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D67F" w14:textId="77777777" w:rsidR="004A7E9D" w:rsidRPr="00A202DA" w:rsidRDefault="004A7E9D" w:rsidP="004A7E9D">
      <w:pPr>
        <w:spacing w:after="0" w:line="360" w:lineRule="auto"/>
        <w:jc w:val="center"/>
        <w:rPr>
          <w:rFonts w:asciiTheme="majorBidi" w:hAnsiTheme="majorBidi" w:cstheme="majorBidi"/>
          <w:b/>
          <w:color w:val="000000" w:themeColor="text1"/>
          <w:spacing w:val="-5"/>
          <w:sz w:val="24"/>
          <w:szCs w:val="24"/>
        </w:rPr>
      </w:pPr>
      <w:r w:rsidRPr="00A202DA">
        <w:rPr>
          <w:rFonts w:asciiTheme="majorBidi" w:hAnsiTheme="majorBidi" w:cstheme="majorBidi"/>
          <w:b/>
          <w:color w:val="000000" w:themeColor="text1"/>
          <w:sz w:val="24"/>
          <w:szCs w:val="24"/>
        </w:rPr>
        <w:t xml:space="preserve">Effect of </w:t>
      </w:r>
      <w:r>
        <w:rPr>
          <w:rFonts w:asciiTheme="majorBidi" w:hAnsiTheme="majorBidi" w:cstheme="majorBidi"/>
          <w:b/>
          <w:color w:val="000000" w:themeColor="text1"/>
          <w:sz w:val="24"/>
          <w:szCs w:val="24"/>
        </w:rPr>
        <w:t>F</w:t>
      </w:r>
      <w:r w:rsidRPr="00A202DA">
        <w:rPr>
          <w:rFonts w:asciiTheme="majorBidi" w:hAnsiTheme="majorBidi" w:cstheme="majorBidi"/>
          <w:b/>
          <w:color w:val="000000" w:themeColor="text1"/>
          <w:sz w:val="24"/>
          <w:szCs w:val="24"/>
        </w:rPr>
        <w:t xml:space="preserve">ortification and </w:t>
      </w:r>
      <w:r>
        <w:rPr>
          <w:rFonts w:asciiTheme="majorBidi" w:hAnsiTheme="majorBidi" w:cstheme="majorBidi"/>
          <w:b/>
          <w:color w:val="000000" w:themeColor="text1"/>
          <w:sz w:val="24"/>
          <w:szCs w:val="24"/>
        </w:rPr>
        <w:t>P</w:t>
      </w:r>
      <w:r w:rsidRPr="00A202DA">
        <w:rPr>
          <w:rFonts w:asciiTheme="majorBidi" w:hAnsiTheme="majorBidi" w:cstheme="majorBidi"/>
          <w:b/>
          <w:color w:val="000000" w:themeColor="text1"/>
          <w:sz w:val="24"/>
          <w:szCs w:val="24"/>
        </w:rPr>
        <w:t xml:space="preserve">rocessing on </w:t>
      </w:r>
      <w:r>
        <w:rPr>
          <w:rFonts w:asciiTheme="majorBidi" w:hAnsiTheme="majorBidi" w:cstheme="majorBidi"/>
          <w:b/>
          <w:color w:val="000000" w:themeColor="text1"/>
          <w:sz w:val="24"/>
          <w:szCs w:val="24"/>
        </w:rPr>
        <w:t>A</w:t>
      </w:r>
      <w:r w:rsidRPr="00A202DA">
        <w:rPr>
          <w:rFonts w:asciiTheme="majorBidi" w:hAnsiTheme="majorBidi" w:cstheme="majorBidi"/>
          <w:b/>
          <w:color w:val="000000" w:themeColor="text1"/>
          <w:sz w:val="24"/>
          <w:szCs w:val="24"/>
        </w:rPr>
        <w:t>ntinutrients</w:t>
      </w:r>
      <w:r w:rsidRPr="00A202DA">
        <w:rPr>
          <w:rFonts w:asciiTheme="majorBidi" w:hAnsiTheme="majorBidi" w:cstheme="majorBidi"/>
          <w:b/>
          <w:color w:val="000000" w:themeColor="text1"/>
          <w:spacing w:val="-5"/>
          <w:sz w:val="24"/>
          <w:szCs w:val="24"/>
        </w:rPr>
        <w:t xml:space="preserve"> and </w:t>
      </w:r>
      <w:r>
        <w:rPr>
          <w:rFonts w:asciiTheme="majorBidi" w:hAnsiTheme="majorBidi" w:cstheme="majorBidi"/>
          <w:b/>
          <w:color w:val="000000" w:themeColor="text1"/>
          <w:spacing w:val="-5"/>
          <w:sz w:val="24"/>
          <w:szCs w:val="24"/>
        </w:rPr>
        <w:t>P</w:t>
      </w:r>
      <w:r w:rsidRPr="00A202DA">
        <w:rPr>
          <w:rFonts w:asciiTheme="majorBidi" w:hAnsiTheme="majorBidi" w:cstheme="majorBidi"/>
          <w:b/>
          <w:color w:val="000000" w:themeColor="text1"/>
          <w:spacing w:val="-5"/>
          <w:sz w:val="24"/>
          <w:szCs w:val="24"/>
        </w:rPr>
        <w:t xml:space="preserve">rotein </w:t>
      </w:r>
      <w:r>
        <w:rPr>
          <w:rFonts w:asciiTheme="majorBidi" w:hAnsiTheme="majorBidi" w:cstheme="majorBidi"/>
          <w:b/>
          <w:color w:val="000000" w:themeColor="text1"/>
          <w:sz w:val="24"/>
          <w:szCs w:val="24"/>
        </w:rPr>
        <w:t>C</w:t>
      </w:r>
      <w:r w:rsidRPr="00A202DA">
        <w:rPr>
          <w:rFonts w:asciiTheme="majorBidi" w:hAnsiTheme="majorBidi" w:cstheme="majorBidi"/>
          <w:b/>
          <w:color w:val="000000" w:themeColor="text1"/>
          <w:sz w:val="24"/>
          <w:szCs w:val="24"/>
        </w:rPr>
        <w:t>ontent</w:t>
      </w:r>
      <w:r w:rsidRPr="00A202DA">
        <w:rPr>
          <w:rFonts w:asciiTheme="majorBidi" w:hAnsiTheme="majorBidi" w:cstheme="majorBidi"/>
          <w:b/>
          <w:color w:val="000000" w:themeColor="text1"/>
          <w:spacing w:val="-4"/>
          <w:sz w:val="24"/>
          <w:szCs w:val="24"/>
        </w:rPr>
        <w:t xml:space="preserve"> </w:t>
      </w:r>
      <w:r w:rsidRPr="00A202DA">
        <w:rPr>
          <w:rFonts w:asciiTheme="majorBidi" w:hAnsiTheme="majorBidi" w:cstheme="majorBidi"/>
          <w:b/>
          <w:color w:val="000000" w:themeColor="text1"/>
          <w:sz w:val="24"/>
          <w:szCs w:val="24"/>
        </w:rPr>
        <w:t>and</w:t>
      </w:r>
      <w:r w:rsidRPr="00A202DA">
        <w:rPr>
          <w:rFonts w:asciiTheme="majorBidi" w:hAnsiTheme="majorBidi" w:cstheme="majorBidi"/>
          <w:b/>
          <w:color w:val="000000" w:themeColor="text1"/>
          <w:spacing w:val="-4"/>
          <w:sz w:val="24"/>
          <w:szCs w:val="24"/>
        </w:rPr>
        <w:t xml:space="preserve"> </w:t>
      </w:r>
      <w:r>
        <w:rPr>
          <w:rFonts w:asciiTheme="majorBidi" w:hAnsiTheme="majorBidi" w:cstheme="majorBidi"/>
          <w:b/>
          <w:color w:val="000000" w:themeColor="text1"/>
          <w:sz w:val="24"/>
          <w:szCs w:val="24"/>
        </w:rPr>
        <w:t>D</w:t>
      </w:r>
      <w:r w:rsidRPr="00A202DA">
        <w:rPr>
          <w:rFonts w:asciiTheme="majorBidi" w:hAnsiTheme="majorBidi" w:cstheme="majorBidi"/>
          <w:b/>
          <w:color w:val="000000" w:themeColor="text1"/>
          <w:sz w:val="24"/>
          <w:szCs w:val="24"/>
        </w:rPr>
        <w:t>igestibility</w:t>
      </w:r>
      <w:r w:rsidRPr="00A202DA">
        <w:rPr>
          <w:rFonts w:asciiTheme="majorBidi" w:hAnsiTheme="majorBidi" w:cstheme="majorBidi"/>
          <w:b/>
          <w:color w:val="000000" w:themeColor="text1"/>
          <w:spacing w:val="-6"/>
          <w:sz w:val="24"/>
          <w:szCs w:val="24"/>
        </w:rPr>
        <w:t xml:space="preserve"> </w:t>
      </w:r>
      <w:r w:rsidRPr="00A202DA">
        <w:rPr>
          <w:rFonts w:asciiTheme="majorBidi" w:hAnsiTheme="majorBidi" w:cstheme="majorBidi"/>
          <w:b/>
          <w:color w:val="000000" w:themeColor="text1"/>
          <w:sz w:val="24"/>
          <w:szCs w:val="24"/>
        </w:rPr>
        <w:t>of</w:t>
      </w:r>
      <w:r w:rsidRPr="00A202DA">
        <w:rPr>
          <w:rFonts w:asciiTheme="majorBidi" w:hAnsiTheme="majorBidi" w:cstheme="majorBidi"/>
          <w:b/>
          <w:color w:val="000000" w:themeColor="text1"/>
          <w:spacing w:val="-4"/>
          <w:sz w:val="24"/>
          <w:szCs w:val="24"/>
        </w:rPr>
        <w:t xml:space="preserve"> </w:t>
      </w:r>
      <w:r>
        <w:rPr>
          <w:rFonts w:asciiTheme="majorBidi" w:hAnsiTheme="majorBidi" w:cstheme="majorBidi"/>
          <w:b/>
          <w:color w:val="000000" w:themeColor="text1"/>
          <w:spacing w:val="-4"/>
          <w:sz w:val="24"/>
          <w:szCs w:val="24"/>
        </w:rPr>
        <w:t>L</w:t>
      </w:r>
      <w:r w:rsidRPr="00A202DA">
        <w:rPr>
          <w:rFonts w:asciiTheme="majorBidi" w:hAnsiTheme="majorBidi" w:cstheme="majorBidi"/>
          <w:b/>
          <w:color w:val="000000" w:themeColor="text1"/>
          <w:spacing w:val="-4"/>
          <w:sz w:val="24"/>
          <w:szCs w:val="24"/>
        </w:rPr>
        <w:t xml:space="preserve">ow- and </w:t>
      </w:r>
      <w:r>
        <w:rPr>
          <w:rFonts w:asciiTheme="majorBidi" w:hAnsiTheme="majorBidi" w:cstheme="majorBidi"/>
          <w:b/>
          <w:color w:val="000000" w:themeColor="text1"/>
          <w:spacing w:val="-4"/>
          <w:sz w:val="24"/>
          <w:szCs w:val="24"/>
        </w:rPr>
        <w:t>H</w:t>
      </w:r>
      <w:r w:rsidRPr="00A202DA">
        <w:rPr>
          <w:rFonts w:asciiTheme="majorBidi" w:hAnsiTheme="majorBidi" w:cstheme="majorBidi"/>
          <w:b/>
          <w:color w:val="000000" w:themeColor="text1"/>
          <w:spacing w:val="-4"/>
          <w:sz w:val="24"/>
          <w:szCs w:val="24"/>
        </w:rPr>
        <w:t>igh-</w:t>
      </w:r>
      <w:r>
        <w:rPr>
          <w:rFonts w:asciiTheme="majorBidi" w:hAnsiTheme="majorBidi" w:cstheme="majorBidi"/>
          <w:b/>
          <w:color w:val="000000" w:themeColor="text1"/>
          <w:spacing w:val="-4"/>
          <w:sz w:val="24"/>
          <w:szCs w:val="24"/>
        </w:rPr>
        <w:t>T</w:t>
      </w:r>
      <w:r w:rsidRPr="00A202DA">
        <w:rPr>
          <w:rFonts w:asciiTheme="majorBidi" w:hAnsiTheme="majorBidi" w:cstheme="majorBidi"/>
          <w:b/>
          <w:color w:val="000000" w:themeColor="text1"/>
          <w:spacing w:val="-4"/>
          <w:sz w:val="24"/>
          <w:szCs w:val="24"/>
        </w:rPr>
        <w:t xml:space="preserve">annin </w:t>
      </w:r>
      <w:r>
        <w:rPr>
          <w:rFonts w:asciiTheme="majorBidi" w:hAnsiTheme="majorBidi" w:cstheme="majorBidi"/>
          <w:b/>
          <w:color w:val="000000" w:themeColor="text1"/>
          <w:sz w:val="24"/>
          <w:szCs w:val="24"/>
        </w:rPr>
        <w:t>S</w:t>
      </w:r>
      <w:r w:rsidRPr="00A202DA">
        <w:rPr>
          <w:rFonts w:asciiTheme="majorBidi" w:hAnsiTheme="majorBidi" w:cstheme="majorBidi"/>
          <w:b/>
          <w:color w:val="000000" w:themeColor="text1"/>
          <w:sz w:val="24"/>
          <w:szCs w:val="24"/>
        </w:rPr>
        <w:t xml:space="preserve">orghum </w:t>
      </w:r>
      <w:r>
        <w:rPr>
          <w:rFonts w:asciiTheme="majorBidi" w:hAnsiTheme="majorBidi" w:cstheme="majorBidi"/>
          <w:b/>
          <w:color w:val="000000" w:themeColor="text1"/>
          <w:sz w:val="24"/>
          <w:szCs w:val="24"/>
        </w:rPr>
        <w:t>C</w:t>
      </w:r>
      <w:r w:rsidRPr="00A202DA">
        <w:rPr>
          <w:rFonts w:asciiTheme="majorBidi" w:hAnsiTheme="majorBidi" w:cstheme="majorBidi"/>
          <w:b/>
          <w:color w:val="000000" w:themeColor="text1"/>
          <w:sz w:val="24"/>
          <w:szCs w:val="24"/>
        </w:rPr>
        <w:t>ultivars</w:t>
      </w:r>
    </w:p>
    <w:p w14:paraId="413F0205" w14:textId="3C78A038" w:rsidR="004A7E9D" w:rsidRDefault="004A7E9D" w:rsidP="004A7E9D">
      <w:pPr>
        <w:pStyle w:val="BodyText"/>
        <w:spacing w:before="205" w:line="360" w:lineRule="auto"/>
        <w:jc w:val="left"/>
        <w:rPr>
          <w:rFonts w:asciiTheme="majorBidi" w:hAnsiTheme="majorBidi" w:cstheme="majorBidi"/>
          <w:color w:val="000000" w:themeColor="text1"/>
          <w:sz w:val="24"/>
          <w:szCs w:val="24"/>
        </w:rPr>
      </w:pPr>
    </w:p>
    <w:p w14:paraId="7AA74DFF" w14:textId="77777777" w:rsidR="00357EF4" w:rsidRDefault="00357EF4" w:rsidP="004A7E9D">
      <w:pPr>
        <w:pStyle w:val="BodyText"/>
        <w:spacing w:before="205" w:line="360" w:lineRule="auto"/>
        <w:jc w:val="left"/>
        <w:rPr>
          <w:rFonts w:asciiTheme="majorBidi" w:hAnsiTheme="majorBidi" w:cstheme="majorBidi"/>
          <w:color w:val="000000" w:themeColor="text1"/>
          <w:sz w:val="24"/>
          <w:szCs w:val="24"/>
        </w:rPr>
      </w:pPr>
    </w:p>
    <w:p w14:paraId="293D45DF" w14:textId="77777777" w:rsidR="004A7E9D" w:rsidRPr="00A202DA" w:rsidRDefault="004A7E9D" w:rsidP="004A7E9D">
      <w:pPr>
        <w:pStyle w:val="BodyText"/>
        <w:spacing w:before="205" w:line="360" w:lineRule="auto"/>
        <w:jc w:val="left"/>
        <w:rPr>
          <w:rFonts w:asciiTheme="majorBidi" w:hAnsiTheme="majorBidi" w:cstheme="majorBidi"/>
          <w:color w:val="000000" w:themeColor="text1"/>
          <w:sz w:val="24"/>
          <w:szCs w:val="24"/>
        </w:rPr>
      </w:pPr>
    </w:p>
    <w:p w14:paraId="2EAE3D80" w14:textId="77777777" w:rsidR="004A7E9D" w:rsidRPr="00A202DA" w:rsidRDefault="004A7E9D" w:rsidP="004A7E9D">
      <w:pPr>
        <w:pStyle w:val="BodyText"/>
        <w:spacing w:before="2" w:line="360" w:lineRule="auto"/>
        <w:rPr>
          <w:rFonts w:asciiTheme="majorBidi" w:eastAsia="Arial" w:hAnsiTheme="majorBidi" w:cstheme="majorBidi"/>
          <w:b/>
          <w:bCs/>
          <w:color w:val="000000" w:themeColor="text1"/>
          <w:spacing w:val="-2"/>
          <w:sz w:val="24"/>
          <w:szCs w:val="24"/>
        </w:rPr>
      </w:pPr>
      <w:r w:rsidRPr="00A202DA">
        <w:rPr>
          <w:rFonts w:asciiTheme="majorBidi" w:eastAsia="Arial" w:hAnsiTheme="majorBidi" w:cstheme="majorBidi"/>
          <w:b/>
          <w:bCs/>
          <w:color w:val="000000" w:themeColor="text1"/>
          <w:spacing w:val="-2"/>
          <w:sz w:val="24"/>
          <w:szCs w:val="24"/>
        </w:rPr>
        <w:t>Abstract</w:t>
      </w:r>
    </w:p>
    <w:p w14:paraId="6D7A27E5" w14:textId="77777777" w:rsidR="004A7E9D" w:rsidRPr="00A202DA" w:rsidRDefault="004A7E9D" w:rsidP="004A7E9D">
      <w:pPr>
        <w:pStyle w:val="BodyText"/>
        <w:spacing w:before="2" w:line="360" w:lineRule="auto"/>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This study aimed to examine the effects of wheat and pigeon pea fortification and processing on antinutrient levels, protein content, and in vitro protein digestibility (IVPD) of low-tannin (Tabat) and high-tannin (WadAhmed) sorghum cultivars. The sorghum cultivar WadAhmed exhibits elevated tannin and phytate concentrations and reduced protein content. Pigeon pea exhibited a markedly elevated IVPD value, while wheat demonstrated modest levels of tannins and phytates. The tannin, phytate, and protein contents, as well as the IVPD of the meals, were evaluated before and after processing. The incorporation of wheat and pigeon pea flours reduced antinutrient levels and increased protein content and in vitro protein digestibility (IVPD). Post-fermentation, antinutrient levels were markedly reduced (P ≤ 0.05), coinciding with a considerable increase in IVPD. Cooking the fermented dough of meals showed significantly greater improvement than cooking raw meals. The ratio of ingredients and fermentation diminished the impact of cooking on protein content and IVPD.</w:t>
      </w:r>
    </w:p>
    <w:p w14:paraId="02597894" w14:textId="77777777" w:rsidR="004A7E9D" w:rsidRDefault="004A7E9D" w:rsidP="004A7E9D">
      <w:pPr>
        <w:pStyle w:val="BodyText"/>
        <w:spacing w:before="2" w:line="360" w:lineRule="auto"/>
        <w:rPr>
          <w:rFonts w:asciiTheme="majorBidi" w:hAnsiTheme="majorBidi" w:cstheme="majorBidi"/>
          <w:color w:val="000000" w:themeColor="text1"/>
          <w:sz w:val="24"/>
          <w:szCs w:val="24"/>
        </w:rPr>
      </w:pPr>
    </w:p>
    <w:p w14:paraId="3D7366F6" w14:textId="77777777" w:rsidR="004A7E9D" w:rsidRDefault="004A7E9D" w:rsidP="004A7E9D">
      <w:pPr>
        <w:pStyle w:val="BodyText"/>
        <w:spacing w:before="2" w:line="360" w:lineRule="auto"/>
        <w:rPr>
          <w:rFonts w:asciiTheme="majorBidi" w:hAnsiTheme="majorBidi" w:cstheme="majorBidi"/>
          <w:color w:val="000000" w:themeColor="text1"/>
          <w:sz w:val="24"/>
          <w:szCs w:val="24"/>
        </w:rPr>
      </w:pPr>
    </w:p>
    <w:p w14:paraId="0F41B0C2" w14:textId="77777777" w:rsidR="004A7E9D" w:rsidRPr="00A202DA" w:rsidRDefault="004A7E9D" w:rsidP="004A7E9D">
      <w:pPr>
        <w:pStyle w:val="BodyText"/>
        <w:spacing w:before="2" w:line="360" w:lineRule="auto"/>
        <w:rPr>
          <w:rFonts w:asciiTheme="majorBidi" w:hAnsiTheme="majorBidi" w:cstheme="majorBidi"/>
          <w:color w:val="000000" w:themeColor="text1"/>
          <w:sz w:val="24"/>
          <w:szCs w:val="24"/>
        </w:rPr>
      </w:pPr>
    </w:p>
    <w:p w14:paraId="6626AE3C" w14:textId="77777777" w:rsidR="004A7E9D" w:rsidRPr="00A202DA" w:rsidRDefault="004A7E9D" w:rsidP="004A7E9D">
      <w:pPr>
        <w:pStyle w:val="BodyText"/>
        <w:tabs>
          <w:tab w:val="left" w:pos="1737"/>
        </w:tabs>
        <w:spacing w:before="205" w:line="360" w:lineRule="auto"/>
        <w:rPr>
          <w:rFonts w:asciiTheme="majorBidi" w:hAnsiTheme="majorBidi" w:cstheme="majorBidi"/>
          <w:color w:val="000000" w:themeColor="text1"/>
          <w:sz w:val="24"/>
          <w:szCs w:val="24"/>
        </w:rPr>
      </w:pPr>
      <w:r w:rsidRPr="00A202DA">
        <w:rPr>
          <w:rFonts w:asciiTheme="majorBidi" w:hAnsiTheme="majorBidi" w:cstheme="majorBidi"/>
          <w:b/>
          <w:color w:val="000000" w:themeColor="text1"/>
          <w:spacing w:val="-2"/>
          <w:sz w:val="24"/>
          <w:szCs w:val="24"/>
        </w:rPr>
        <w:t>Keywords:</w:t>
      </w:r>
      <w:r w:rsidRPr="00A202DA">
        <w:rPr>
          <w:rFonts w:asciiTheme="majorBidi" w:hAnsiTheme="majorBidi" w:cstheme="majorBidi"/>
          <w:color w:val="000000" w:themeColor="text1"/>
          <w:spacing w:val="-2"/>
          <w:sz w:val="24"/>
          <w:szCs w:val="24"/>
        </w:rPr>
        <w:t xml:space="preserve"> Sorghum,</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fortification,</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kisra</w:t>
      </w:r>
      <w:r w:rsidRPr="00A202DA">
        <w:rPr>
          <w:rFonts w:asciiTheme="majorBidi" w:hAnsiTheme="majorBidi" w:cstheme="majorBidi"/>
          <w:color w:val="000000" w:themeColor="text1"/>
          <w:spacing w:val="4"/>
          <w:sz w:val="24"/>
          <w:szCs w:val="24"/>
        </w:rPr>
        <w:t xml:space="preserve"> </w:t>
      </w:r>
      <w:r w:rsidRPr="00A202DA">
        <w:rPr>
          <w:rFonts w:asciiTheme="majorBidi" w:hAnsiTheme="majorBidi" w:cstheme="majorBidi"/>
          <w:color w:val="000000" w:themeColor="text1"/>
          <w:spacing w:val="-2"/>
          <w:sz w:val="24"/>
          <w:szCs w:val="24"/>
        </w:rPr>
        <w:t>processing,</w:t>
      </w:r>
      <w:r w:rsidRPr="00A202DA">
        <w:rPr>
          <w:rFonts w:asciiTheme="majorBidi" w:hAnsiTheme="majorBidi" w:cstheme="majorBidi"/>
          <w:color w:val="000000" w:themeColor="text1"/>
          <w:spacing w:val="2"/>
          <w:sz w:val="24"/>
          <w:szCs w:val="24"/>
        </w:rPr>
        <w:t xml:space="preserve"> </w:t>
      </w:r>
      <w:r w:rsidRPr="00A202DA">
        <w:rPr>
          <w:rFonts w:asciiTheme="majorBidi" w:hAnsiTheme="majorBidi" w:cstheme="majorBidi"/>
          <w:color w:val="000000" w:themeColor="text1"/>
          <w:spacing w:val="-2"/>
          <w:sz w:val="24"/>
          <w:szCs w:val="24"/>
        </w:rPr>
        <w:t>antinutrients,</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i/>
          <w:iCs/>
          <w:color w:val="000000" w:themeColor="text1"/>
          <w:spacing w:val="-2"/>
          <w:sz w:val="24"/>
          <w:szCs w:val="24"/>
        </w:rPr>
        <w:t>in</w:t>
      </w:r>
      <w:r w:rsidRPr="00A202DA">
        <w:rPr>
          <w:rFonts w:asciiTheme="majorBidi" w:hAnsiTheme="majorBidi" w:cstheme="majorBidi"/>
          <w:i/>
          <w:iCs/>
          <w:color w:val="000000" w:themeColor="text1"/>
          <w:spacing w:val="4"/>
          <w:sz w:val="24"/>
          <w:szCs w:val="24"/>
        </w:rPr>
        <w:t xml:space="preserve"> </w:t>
      </w:r>
      <w:r w:rsidRPr="00A202DA">
        <w:rPr>
          <w:rFonts w:asciiTheme="majorBidi" w:hAnsiTheme="majorBidi" w:cstheme="majorBidi"/>
          <w:i/>
          <w:iCs/>
          <w:color w:val="000000" w:themeColor="text1"/>
          <w:spacing w:val="-2"/>
          <w:sz w:val="24"/>
          <w:szCs w:val="24"/>
        </w:rPr>
        <w:t>vitro</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protein</w:t>
      </w:r>
      <w:r w:rsidRPr="00A202DA">
        <w:rPr>
          <w:rFonts w:asciiTheme="majorBidi" w:hAnsiTheme="majorBidi" w:cstheme="majorBidi"/>
          <w:color w:val="000000" w:themeColor="text1"/>
          <w:spacing w:val="3"/>
          <w:sz w:val="24"/>
          <w:szCs w:val="24"/>
        </w:rPr>
        <w:t xml:space="preserve"> </w:t>
      </w:r>
      <w:r w:rsidRPr="00A202DA">
        <w:rPr>
          <w:rFonts w:asciiTheme="majorBidi" w:hAnsiTheme="majorBidi" w:cstheme="majorBidi"/>
          <w:color w:val="000000" w:themeColor="text1"/>
          <w:spacing w:val="-2"/>
          <w:sz w:val="24"/>
          <w:szCs w:val="24"/>
        </w:rPr>
        <w:t>digestibility.</w:t>
      </w:r>
    </w:p>
    <w:p w14:paraId="74F710A1" w14:textId="77777777" w:rsidR="004A7E9D" w:rsidRPr="00A202DA" w:rsidRDefault="004A7E9D" w:rsidP="004A7E9D">
      <w:pPr>
        <w:pStyle w:val="BodyText"/>
        <w:spacing w:line="360" w:lineRule="auto"/>
        <w:jc w:val="left"/>
        <w:rPr>
          <w:rFonts w:asciiTheme="majorBidi" w:hAnsiTheme="majorBidi" w:cstheme="majorBidi"/>
          <w:color w:val="000000" w:themeColor="text1"/>
          <w:sz w:val="24"/>
          <w:szCs w:val="24"/>
        </w:rPr>
      </w:pPr>
    </w:p>
    <w:p w14:paraId="2EB11C99"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4545F2B7"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277D24A2"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06F31FA4"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38118050" w14:textId="77777777" w:rsidR="004A7E9D" w:rsidRDefault="004A7E9D" w:rsidP="004A7E9D">
      <w:pPr>
        <w:pStyle w:val="Heading1"/>
        <w:spacing w:before="95" w:line="360" w:lineRule="auto"/>
        <w:ind w:left="0"/>
        <w:rPr>
          <w:rFonts w:asciiTheme="majorBidi" w:hAnsiTheme="majorBidi" w:cstheme="majorBidi"/>
          <w:color w:val="000000" w:themeColor="text1"/>
          <w:sz w:val="24"/>
          <w:szCs w:val="24"/>
        </w:rPr>
      </w:pPr>
    </w:p>
    <w:p w14:paraId="7AED95DE" w14:textId="1F3C2E3D" w:rsidR="0078764D" w:rsidRPr="00A202DA" w:rsidRDefault="0078764D" w:rsidP="004A7E9D">
      <w:pPr>
        <w:pStyle w:val="Heading1"/>
        <w:numPr>
          <w:ilvl w:val="0"/>
          <w:numId w:val="1"/>
        </w:numPr>
        <w:spacing w:before="95" w:line="360" w:lineRule="auto"/>
        <w:ind w:left="0" w:firstLine="0"/>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lastRenderedPageBreak/>
        <w:t>Introduction</w:t>
      </w:r>
    </w:p>
    <w:p w14:paraId="5B9EFB97" w14:textId="77777777" w:rsidR="007D7325" w:rsidRPr="00A202DA" w:rsidRDefault="005700C5"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Sorghum (</w:t>
      </w:r>
      <w:r w:rsidRPr="00A202DA">
        <w:rPr>
          <w:rFonts w:asciiTheme="majorBidi" w:hAnsiTheme="majorBidi" w:cstheme="majorBidi"/>
          <w:i/>
          <w:iCs/>
          <w:color w:val="000000" w:themeColor="text1"/>
          <w:sz w:val="24"/>
          <w:szCs w:val="24"/>
        </w:rPr>
        <w:t>Sorghum bicolor</w:t>
      </w:r>
      <w:r w:rsidRPr="00A202DA">
        <w:rPr>
          <w:rFonts w:asciiTheme="majorBidi" w:hAnsiTheme="majorBidi" w:cstheme="majorBidi"/>
          <w:color w:val="000000" w:themeColor="text1"/>
          <w:sz w:val="24"/>
          <w:szCs w:val="24"/>
        </w:rPr>
        <w:t xml:space="preserve"> L. Moench) has drought resistance and ranks as the fifth most significant cereal in output, following rice, wheat, maize, and barley. In Sub-Saharan Africa, it ranks </w:t>
      </w:r>
      <w:r w:rsidR="007D7325" w:rsidRPr="00A202DA">
        <w:rPr>
          <w:rFonts w:asciiTheme="majorBidi" w:hAnsiTheme="majorBidi" w:cstheme="majorBidi"/>
          <w:color w:val="000000" w:themeColor="text1"/>
          <w:sz w:val="24"/>
          <w:szCs w:val="24"/>
        </w:rPr>
        <w:t>second in terms of cultivation,</w:t>
      </w:r>
      <w:r w:rsidRPr="00A202DA">
        <w:rPr>
          <w:rFonts w:asciiTheme="majorBidi" w:hAnsiTheme="majorBidi" w:cstheme="majorBidi"/>
          <w:color w:val="000000" w:themeColor="text1"/>
          <w:sz w:val="24"/>
          <w:szCs w:val="24"/>
        </w:rPr>
        <w:t xml:space="preserve"> following maize (Eggen et al., 2019). Notwithstanding this rating, sorghum constitutes less than 3% of worldwide cereal grain production, in contrast to corn, rice, wheat, and barley. Sorghum has recently been </w:t>
      </w:r>
      <w:r w:rsidR="007D7325" w:rsidRPr="00A202DA">
        <w:rPr>
          <w:rFonts w:asciiTheme="majorBidi" w:hAnsiTheme="majorBidi" w:cstheme="majorBidi"/>
          <w:color w:val="000000" w:themeColor="text1"/>
          <w:sz w:val="24"/>
          <w:szCs w:val="24"/>
        </w:rPr>
        <w:t>recognized as a future crop owing to its superior agronomic performance, particularly its significant tolerance to heat and drought, and</w:t>
      </w:r>
      <w:r w:rsidRPr="00A202DA">
        <w:rPr>
          <w:rFonts w:asciiTheme="majorBidi" w:hAnsiTheme="majorBidi" w:cstheme="majorBidi"/>
          <w:color w:val="000000" w:themeColor="text1"/>
          <w:sz w:val="24"/>
          <w:szCs w:val="24"/>
        </w:rPr>
        <w:t xml:space="preserve"> its capacity to produce substantial yields on marginal soils (Cardone et al., 2021). This resistance </w:t>
      </w:r>
      <w:r w:rsidR="007D7325" w:rsidRPr="00A202DA">
        <w:rPr>
          <w:rFonts w:asciiTheme="majorBidi" w:hAnsiTheme="majorBidi" w:cstheme="majorBidi"/>
          <w:color w:val="000000" w:themeColor="text1"/>
          <w:sz w:val="24"/>
          <w:szCs w:val="24"/>
        </w:rPr>
        <w:t>makes sorghum a fundamental food source for hundreds of millions of people</w:t>
      </w:r>
      <w:r w:rsidRPr="00A202DA">
        <w:rPr>
          <w:rFonts w:asciiTheme="majorBidi" w:hAnsiTheme="majorBidi" w:cstheme="majorBidi"/>
          <w:color w:val="000000" w:themeColor="text1"/>
          <w:sz w:val="24"/>
          <w:szCs w:val="24"/>
        </w:rPr>
        <w:t xml:space="preserve"> in the semi-arid areas of Asia and Africa. Consequently, </w:t>
      </w:r>
      <w:r w:rsidR="007D7325" w:rsidRPr="00A202DA">
        <w:rPr>
          <w:rFonts w:asciiTheme="majorBidi" w:hAnsiTheme="majorBidi" w:cstheme="majorBidi"/>
          <w:color w:val="000000" w:themeColor="text1"/>
          <w:sz w:val="24"/>
          <w:szCs w:val="24"/>
        </w:rPr>
        <w:t>processing sorghum grains is essential to enhance their nutritional value and optimize their potential as a sustainable, resilient staple</w:t>
      </w:r>
      <w:r w:rsidRPr="00A202DA">
        <w:rPr>
          <w:rFonts w:asciiTheme="majorBidi" w:hAnsiTheme="majorBidi" w:cstheme="majorBidi"/>
          <w:color w:val="000000" w:themeColor="text1"/>
          <w:sz w:val="24"/>
          <w:szCs w:val="24"/>
        </w:rPr>
        <w:t xml:space="preserve"> (Tanwar et al., 2023).</w:t>
      </w:r>
    </w:p>
    <w:p w14:paraId="23DB2F31" w14:textId="7635EB01" w:rsidR="005700C5" w:rsidRPr="00A202DA" w:rsidRDefault="005700C5"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Sorghum </w:t>
      </w:r>
      <w:r w:rsidR="00DB7422" w:rsidRPr="00A202DA">
        <w:rPr>
          <w:rFonts w:asciiTheme="majorBidi" w:hAnsiTheme="majorBidi" w:cstheme="majorBidi"/>
          <w:color w:val="000000" w:themeColor="text1"/>
          <w:sz w:val="24"/>
          <w:szCs w:val="24"/>
        </w:rPr>
        <w:t>provides carbohydrates, protein, dietary fiber</w:t>
      </w:r>
      <w:r w:rsidRPr="00A202DA">
        <w:rPr>
          <w:rFonts w:asciiTheme="majorBidi" w:hAnsiTheme="majorBidi" w:cstheme="majorBidi"/>
          <w:color w:val="000000" w:themeColor="text1"/>
          <w:sz w:val="24"/>
          <w:szCs w:val="24"/>
        </w:rPr>
        <w:t xml:space="preserve">, vitamins, and minerals (USDA, 2018). Sorghum is inherently gluten-free, </w:t>
      </w:r>
      <w:r w:rsidR="00DB7422" w:rsidRPr="00A202DA">
        <w:rPr>
          <w:rFonts w:asciiTheme="majorBidi" w:hAnsiTheme="majorBidi" w:cstheme="majorBidi"/>
          <w:color w:val="000000" w:themeColor="text1"/>
          <w:sz w:val="24"/>
          <w:szCs w:val="24"/>
        </w:rPr>
        <w:t>making it suitable for people</w:t>
      </w:r>
      <w:r w:rsidRPr="00A202DA">
        <w:rPr>
          <w:rFonts w:asciiTheme="majorBidi" w:hAnsiTheme="majorBidi" w:cstheme="majorBidi"/>
          <w:color w:val="000000" w:themeColor="text1"/>
          <w:sz w:val="24"/>
          <w:szCs w:val="24"/>
        </w:rPr>
        <w:t xml:space="preserve"> with celiac disease and gluten sensitivity (</w:t>
      </w:r>
      <w:proofErr w:type="spellStart"/>
      <w:r w:rsidRPr="00A202DA">
        <w:rPr>
          <w:rFonts w:asciiTheme="majorBidi" w:hAnsiTheme="majorBidi" w:cstheme="majorBidi"/>
          <w:color w:val="000000" w:themeColor="text1"/>
          <w:sz w:val="24"/>
          <w:szCs w:val="24"/>
        </w:rPr>
        <w:t>Awika</w:t>
      </w:r>
      <w:proofErr w:type="spellEnd"/>
      <w:r w:rsidRPr="00A202DA">
        <w:rPr>
          <w:rFonts w:asciiTheme="majorBidi" w:hAnsiTheme="majorBidi" w:cstheme="majorBidi"/>
          <w:color w:val="000000" w:themeColor="text1"/>
          <w:sz w:val="24"/>
          <w:szCs w:val="24"/>
        </w:rPr>
        <w:t xml:space="preserve">, 2017). Sorghum is a notable source of antioxidants that neutralize reactive oxygen and nitrogen species, </w:t>
      </w:r>
      <w:r w:rsidR="007D7325" w:rsidRPr="00A202DA">
        <w:rPr>
          <w:rFonts w:asciiTheme="majorBidi" w:hAnsiTheme="majorBidi" w:cstheme="majorBidi"/>
          <w:color w:val="000000" w:themeColor="text1"/>
          <w:sz w:val="24"/>
          <w:szCs w:val="24"/>
        </w:rPr>
        <w:t>thereby helping prevent</w:t>
      </w:r>
      <w:r w:rsidRPr="00A202DA">
        <w:rPr>
          <w:rFonts w:asciiTheme="majorBidi" w:hAnsiTheme="majorBidi" w:cstheme="majorBidi"/>
          <w:color w:val="000000" w:themeColor="text1"/>
          <w:sz w:val="24"/>
          <w:szCs w:val="24"/>
        </w:rPr>
        <w:t xml:space="preserve"> oxidative illnesses (Abioye et al., 2018). Nonetheless, sorghum </w:t>
      </w:r>
      <w:r w:rsidR="007D7325" w:rsidRPr="00A202DA">
        <w:rPr>
          <w:rFonts w:asciiTheme="majorBidi" w:hAnsiTheme="majorBidi" w:cstheme="majorBidi"/>
          <w:color w:val="000000" w:themeColor="text1"/>
          <w:sz w:val="24"/>
          <w:szCs w:val="24"/>
        </w:rPr>
        <w:t>contains substantial level</w:t>
      </w:r>
      <w:r w:rsidRPr="00A202DA">
        <w:rPr>
          <w:rFonts w:asciiTheme="majorBidi" w:hAnsiTheme="majorBidi" w:cstheme="majorBidi"/>
          <w:color w:val="000000" w:themeColor="text1"/>
          <w:sz w:val="24"/>
          <w:szCs w:val="24"/>
        </w:rPr>
        <w:t xml:space="preserve">s of antinutrients, including tannins, phytates, and oxalates (Tamilselvan and Kushwaha, 2020). These antinutrients might impede the absorption of vital minerals. Tannins can specifically inhibit the digestion of energy and protein, whilst phytates can obstruct the absorption of minerals like zinc and calcium. </w:t>
      </w:r>
      <w:r w:rsidR="00DB7422" w:rsidRPr="00A202DA">
        <w:rPr>
          <w:rFonts w:asciiTheme="majorBidi" w:hAnsiTheme="majorBidi" w:cstheme="majorBidi"/>
          <w:color w:val="000000" w:themeColor="text1"/>
          <w:sz w:val="24"/>
          <w:szCs w:val="24"/>
        </w:rPr>
        <w:t>Various techniques have been used to improve</w:t>
      </w:r>
      <w:r w:rsidRPr="00A202DA">
        <w:rPr>
          <w:rFonts w:asciiTheme="majorBidi" w:hAnsiTheme="majorBidi" w:cstheme="majorBidi"/>
          <w:color w:val="000000" w:themeColor="text1"/>
          <w:sz w:val="24"/>
          <w:szCs w:val="24"/>
        </w:rPr>
        <w:t xml:space="preserve"> the nutritional quality of cereal grains, including fermentation.</w:t>
      </w:r>
    </w:p>
    <w:p w14:paraId="5C37B291" w14:textId="4AD12B47" w:rsidR="005700C5" w:rsidRPr="00A202DA" w:rsidRDefault="005700C5"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Fermentation</w:t>
      </w:r>
      <w:r w:rsidR="007D7325" w:rsidRPr="00A202DA">
        <w:rPr>
          <w:rFonts w:asciiTheme="majorBidi" w:hAnsiTheme="majorBidi" w:cstheme="majorBidi"/>
          <w:color w:val="000000" w:themeColor="text1"/>
          <w:sz w:val="24"/>
          <w:szCs w:val="24"/>
        </w:rPr>
        <w:t>, as a method of food preservation, has been us</w:t>
      </w:r>
      <w:r w:rsidRPr="00A202DA">
        <w:rPr>
          <w:rFonts w:asciiTheme="majorBidi" w:hAnsiTheme="majorBidi" w:cstheme="majorBidi"/>
          <w:color w:val="000000" w:themeColor="text1"/>
          <w:sz w:val="24"/>
          <w:szCs w:val="24"/>
        </w:rPr>
        <w:t>ed since ancient times. It is cost-effective, supplies essential nutrients, promotes nutrient bioavailability, eliminates unwanted elements such as natural toxins and pathogenic microbes, and improves flavor (</w:t>
      </w:r>
      <w:proofErr w:type="spellStart"/>
      <w:r w:rsidRPr="00A202DA">
        <w:rPr>
          <w:rFonts w:asciiTheme="majorBidi" w:hAnsiTheme="majorBidi" w:cstheme="majorBidi"/>
          <w:color w:val="000000" w:themeColor="text1"/>
          <w:sz w:val="24"/>
          <w:szCs w:val="24"/>
        </w:rPr>
        <w:t>Masahid</w:t>
      </w:r>
      <w:proofErr w:type="spellEnd"/>
      <w:r w:rsidRPr="00A202DA">
        <w:rPr>
          <w:rFonts w:asciiTheme="majorBidi" w:hAnsiTheme="majorBidi" w:cstheme="majorBidi"/>
          <w:color w:val="000000" w:themeColor="text1"/>
          <w:sz w:val="24"/>
          <w:szCs w:val="24"/>
        </w:rPr>
        <w:t xml:space="preserve"> et al., 2021). Furthermore, fermentation </w:t>
      </w:r>
      <w:r w:rsidR="00DB7422" w:rsidRPr="00A202DA">
        <w:rPr>
          <w:rFonts w:asciiTheme="majorBidi" w:hAnsiTheme="majorBidi" w:cstheme="majorBidi"/>
          <w:color w:val="000000" w:themeColor="text1"/>
          <w:sz w:val="24"/>
          <w:szCs w:val="24"/>
        </w:rPr>
        <w:t>breaks down</w:t>
      </w:r>
      <w:r w:rsidRPr="00A202DA">
        <w:rPr>
          <w:rFonts w:asciiTheme="majorBidi" w:hAnsiTheme="majorBidi" w:cstheme="majorBidi"/>
          <w:color w:val="000000" w:themeColor="text1"/>
          <w:sz w:val="24"/>
          <w:szCs w:val="24"/>
        </w:rPr>
        <w:t xml:space="preserve"> complex chemicals into simpler forms (</w:t>
      </w:r>
      <w:proofErr w:type="spellStart"/>
      <w:r w:rsidRPr="00A202DA">
        <w:rPr>
          <w:rFonts w:asciiTheme="majorBidi" w:hAnsiTheme="majorBidi" w:cstheme="majorBidi"/>
          <w:color w:val="000000" w:themeColor="text1"/>
          <w:sz w:val="24"/>
          <w:szCs w:val="24"/>
        </w:rPr>
        <w:t>Masahid</w:t>
      </w:r>
      <w:proofErr w:type="spellEnd"/>
      <w:r w:rsidRPr="00A202DA">
        <w:rPr>
          <w:rFonts w:asciiTheme="majorBidi" w:hAnsiTheme="majorBidi" w:cstheme="majorBidi"/>
          <w:color w:val="000000" w:themeColor="text1"/>
          <w:sz w:val="24"/>
          <w:szCs w:val="24"/>
        </w:rPr>
        <w:t xml:space="preserve"> et al., 2021). The processes of dehulling, fermentation, and roasting of sorghum grains enhanced nutritional quality, </w:t>
      </w:r>
      <w:r w:rsidR="007D7325" w:rsidRPr="00A202DA">
        <w:rPr>
          <w:rFonts w:asciiTheme="majorBidi" w:hAnsiTheme="majorBidi" w:cstheme="majorBidi"/>
          <w:color w:val="000000" w:themeColor="text1"/>
          <w:sz w:val="24"/>
          <w:szCs w:val="24"/>
        </w:rPr>
        <w:t>particularly protein levels, while markedly reducing antinutritional factor</w:t>
      </w:r>
      <w:r w:rsidRPr="00A202DA">
        <w:rPr>
          <w:rFonts w:asciiTheme="majorBidi" w:hAnsiTheme="majorBidi" w:cstheme="majorBidi"/>
          <w:color w:val="000000" w:themeColor="text1"/>
          <w:sz w:val="24"/>
          <w:szCs w:val="24"/>
        </w:rPr>
        <w:t>s (</w:t>
      </w:r>
      <w:proofErr w:type="spellStart"/>
      <w:r w:rsidRPr="00A202DA">
        <w:rPr>
          <w:rFonts w:asciiTheme="majorBidi" w:hAnsiTheme="majorBidi" w:cstheme="majorBidi"/>
          <w:color w:val="000000" w:themeColor="text1"/>
          <w:sz w:val="24"/>
          <w:szCs w:val="24"/>
        </w:rPr>
        <w:t>Gwekwe</w:t>
      </w:r>
      <w:proofErr w:type="spellEnd"/>
      <w:r w:rsidRPr="00A202DA">
        <w:rPr>
          <w:rFonts w:asciiTheme="majorBidi" w:hAnsiTheme="majorBidi" w:cstheme="majorBidi"/>
          <w:color w:val="000000" w:themeColor="text1"/>
          <w:sz w:val="24"/>
          <w:szCs w:val="24"/>
        </w:rPr>
        <w:t xml:space="preserve"> et al., 2024). The </w:t>
      </w:r>
      <w:r w:rsidR="007D7325" w:rsidRPr="00A202DA">
        <w:rPr>
          <w:rFonts w:asciiTheme="majorBidi" w:hAnsiTheme="majorBidi" w:cstheme="majorBidi"/>
          <w:color w:val="000000" w:themeColor="text1"/>
          <w:sz w:val="24"/>
          <w:szCs w:val="24"/>
        </w:rPr>
        <w:t>increase in protein concentration post-fermentation is attributed to the release</w:t>
      </w:r>
      <w:r w:rsidRPr="00A202DA">
        <w:rPr>
          <w:rFonts w:asciiTheme="majorBidi" w:hAnsiTheme="majorBidi" w:cstheme="majorBidi"/>
          <w:color w:val="000000" w:themeColor="text1"/>
          <w:sz w:val="24"/>
          <w:szCs w:val="24"/>
        </w:rPr>
        <w:t xml:space="preserve"> of nitrogen as microbes metabolize carbohydrates for </w:t>
      </w:r>
      <w:r w:rsidRPr="00A202DA">
        <w:rPr>
          <w:rFonts w:asciiTheme="majorBidi" w:hAnsiTheme="majorBidi" w:cstheme="majorBidi"/>
          <w:color w:val="000000" w:themeColor="text1"/>
          <w:sz w:val="24"/>
          <w:szCs w:val="24"/>
        </w:rPr>
        <w:lastRenderedPageBreak/>
        <w:t>energy (Province and Sciences 2017). The pre-treatment of sorghum through dehulling, fermentation, and roasting enhanced its protein, moisture, fat, and ash content.</w:t>
      </w:r>
    </w:p>
    <w:p w14:paraId="437DDE89" w14:textId="21D0919E" w:rsidR="005700C5" w:rsidRPr="00A202DA" w:rsidRDefault="005700C5"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reduction of undesired antinutrients, including alkaloids, tannins, and phytic acid, following sorghum pre-treatment indicates that </w:t>
      </w:r>
      <w:r w:rsidR="007D7325" w:rsidRPr="00A202DA">
        <w:rPr>
          <w:rFonts w:asciiTheme="majorBidi" w:hAnsiTheme="majorBidi" w:cstheme="majorBidi"/>
          <w:color w:val="000000" w:themeColor="text1"/>
          <w:sz w:val="24"/>
          <w:szCs w:val="24"/>
        </w:rPr>
        <w:t>integrating</w:t>
      </w:r>
      <w:r w:rsidRPr="00A202DA">
        <w:rPr>
          <w:rFonts w:asciiTheme="majorBidi" w:hAnsiTheme="majorBidi" w:cstheme="majorBidi"/>
          <w:color w:val="000000" w:themeColor="text1"/>
          <w:sz w:val="24"/>
          <w:szCs w:val="24"/>
        </w:rPr>
        <w:t xml:space="preserve"> these processing techniques significantly improves sorghum's nutritional value (</w:t>
      </w:r>
      <w:proofErr w:type="spellStart"/>
      <w:r w:rsidRPr="00A202DA">
        <w:rPr>
          <w:rFonts w:asciiTheme="majorBidi" w:hAnsiTheme="majorBidi" w:cstheme="majorBidi"/>
          <w:color w:val="000000" w:themeColor="text1"/>
          <w:sz w:val="24"/>
          <w:szCs w:val="24"/>
        </w:rPr>
        <w:t>Gwekwe</w:t>
      </w:r>
      <w:proofErr w:type="spellEnd"/>
      <w:r w:rsidRPr="00A202DA">
        <w:rPr>
          <w:rFonts w:asciiTheme="majorBidi" w:hAnsiTheme="majorBidi" w:cstheme="majorBidi"/>
          <w:color w:val="000000" w:themeColor="text1"/>
          <w:sz w:val="24"/>
          <w:szCs w:val="24"/>
        </w:rPr>
        <w:t xml:space="preserve"> et al., 2024). Pigeon pea (</w:t>
      </w:r>
      <w:proofErr w:type="spellStart"/>
      <w:r w:rsidRPr="00A202DA">
        <w:rPr>
          <w:rFonts w:asciiTheme="majorBidi" w:hAnsiTheme="majorBidi" w:cstheme="majorBidi"/>
          <w:i/>
          <w:iCs/>
          <w:color w:val="000000" w:themeColor="text1"/>
          <w:sz w:val="24"/>
          <w:szCs w:val="24"/>
        </w:rPr>
        <w:t>Cajanus</w:t>
      </w:r>
      <w:proofErr w:type="spellEnd"/>
      <w:r w:rsidRPr="00A202DA">
        <w:rPr>
          <w:rFonts w:asciiTheme="majorBidi" w:hAnsiTheme="majorBidi" w:cstheme="majorBidi"/>
          <w:i/>
          <w:iCs/>
          <w:color w:val="000000" w:themeColor="text1"/>
          <w:sz w:val="24"/>
          <w:szCs w:val="24"/>
        </w:rPr>
        <w:t xml:space="preserve"> </w:t>
      </w:r>
      <w:proofErr w:type="spellStart"/>
      <w:r w:rsidRPr="00A202DA">
        <w:rPr>
          <w:rFonts w:asciiTheme="majorBidi" w:hAnsiTheme="majorBidi" w:cstheme="majorBidi"/>
          <w:i/>
          <w:iCs/>
          <w:color w:val="000000" w:themeColor="text1"/>
          <w:sz w:val="24"/>
          <w:szCs w:val="24"/>
        </w:rPr>
        <w:t>cajan</w:t>
      </w:r>
      <w:proofErr w:type="spellEnd"/>
      <w:r w:rsidRPr="00A202DA">
        <w:rPr>
          <w:rFonts w:asciiTheme="majorBidi" w:hAnsiTheme="majorBidi" w:cstheme="majorBidi"/>
          <w:color w:val="000000" w:themeColor="text1"/>
          <w:sz w:val="24"/>
          <w:szCs w:val="24"/>
        </w:rPr>
        <w:t xml:space="preserve"> (L.) </w:t>
      </w:r>
      <w:proofErr w:type="spellStart"/>
      <w:r w:rsidRPr="00A202DA">
        <w:rPr>
          <w:rFonts w:asciiTheme="majorBidi" w:hAnsiTheme="majorBidi" w:cstheme="majorBidi"/>
          <w:color w:val="000000" w:themeColor="text1"/>
          <w:sz w:val="24"/>
          <w:szCs w:val="24"/>
        </w:rPr>
        <w:t>Millsp</w:t>
      </w:r>
      <w:proofErr w:type="spellEnd"/>
      <w:r w:rsidRPr="00A202DA">
        <w:rPr>
          <w:rFonts w:asciiTheme="majorBidi" w:hAnsiTheme="majorBidi" w:cstheme="majorBidi"/>
          <w:color w:val="000000" w:themeColor="text1"/>
          <w:sz w:val="24"/>
          <w:szCs w:val="24"/>
        </w:rPr>
        <w:t xml:space="preserve">.) is an important grain legume grown and consumed in tropical and semi-arid regions worldwide, including areas of Asia, Africa, Latin America, and the Caribbean (Fuller et al., 2019). Nonetheless, despite their nutritional benefits, the widespread utilization of pigeon peas is limited by elevated concentrations of antinutritional compounds, including phytic acid, oxalate, and tannins. These chemicals can </w:t>
      </w:r>
      <w:r w:rsidR="007D7325" w:rsidRPr="00A202DA">
        <w:rPr>
          <w:rFonts w:asciiTheme="majorBidi" w:hAnsiTheme="majorBidi" w:cstheme="majorBidi"/>
          <w:color w:val="000000" w:themeColor="text1"/>
          <w:sz w:val="24"/>
          <w:szCs w:val="24"/>
        </w:rPr>
        <w:t>reduce mineral bioavailability, promote kidney stone formation</w:t>
      </w:r>
      <w:r w:rsidRPr="00A202DA">
        <w:rPr>
          <w:rFonts w:asciiTheme="majorBidi" w:hAnsiTheme="majorBidi" w:cstheme="majorBidi"/>
          <w:color w:val="000000" w:themeColor="text1"/>
          <w:sz w:val="24"/>
          <w:szCs w:val="24"/>
        </w:rPr>
        <w:t>, and diminish nutritional digestibility, especially in complementary foods for infants (Amoah et al., 2023; Das et al., 2022).</w:t>
      </w:r>
    </w:p>
    <w:p w14:paraId="1B9F1584" w14:textId="765ECCDB" w:rsidR="005700C5" w:rsidRPr="00A202DA" w:rsidRDefault="005700C5"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A prior study has shown the efficacy of conventional processing techniques in markedly decreasing the concentrations of these antinutritional components in diverse legume grains. In black soybeans, germination, fermentation, and roasting effectively diminished antinutritional components, including phytic acid and tannins (Chauhan et al., 2022). Pigeon pea </w:t>
      </w:r>
      <w:r w:rsidR="007D7325" w:rsidRPr="00A202DA">
        <w:rPr>
          <w:rFonts w:asciiTheme="majorBidi" w:hAnsiTheme="majorBidi" w:cstheme="majorBidi"/>
          <w:color w:val="000000" w:themeColor="text1"/>
          <w:sz w:val="24"/>
          <w:szCs w:val="24"/>
        </w:rPr>
        <w:t>can be used as a substitute for wheat flour, thereby</w:t>
      </w:r>
      <w:r w:rsidRPr="00A202DA">
        <w:rPr>
          <w:rFonts w:asciiTheme="majorBidi" w:hAnsiTheme="majorBidi" w:cstheme="majorBidi"/>
          <w:color w:val="000000" w:themeColor="text1"/>
          <w:sz w:val="24"/>
          <w:szCs w:val="24"/>
        </w:rPr>
        <w:t xml:space="preserve"> enhancing the nutritional quality of crackers (Olagunju et al., 2018). The composite biscuits, </w:t>
      </w:r>
      <w:r w:rsidR="00DB7422" w:rsidRPr="00A202DA">
        <w:rPr>
          <w:rFonts w:asciiTheme="majorBidi" w:hAnsiTheme="majorBidi" w:cstheme="majorBidi"/>
          <w:color w:val="000000" w:themeColor="text1"/>
          <w:sz w:val="24"/>
          <w:szCs w:val="24"/>
        </w:rPr>
        <w:t>made from combining pigeon pea and wheat flour, had a low glycemic index, thereby reducing</w:t>
      </w:r>
      <w:r w:rsidR="007D7325" w:rsidRPr="00A202DA">
        <w:rPr>
          <w:rFonts w:asciiTheme="majorBidi" w:hAnsiTheme="majorBidi" w:cstheme="majorBidi"/>
          <w:color w:val="000000" w:themeColor="text1"/>
          <w:sz w:val="24"/>
          <w:szCs w:val="24"/>
        </w:rPr>
        <w:t xml:space="preserve"> the postprandial glucose peak 30 minutes after </w:t>
      </w:r>
      <w:r w:rsidRPr="00A202DA">
        <w:rPr>
          <w:rFonts w:asciiTheme="majorBidi" w:hAnsiTheme="majorBidi" w:cstheme="majorBidi"/>
          <w:color w:val="000000" w:themeColor="text1"/>
          <w:sz w:val="24"/>
          <w:szCs w:val="24"/>
        </w:rPr>
        <w:t>consumption in diabetic patients (Gbenga-</w:t>
      </w:r>
      <w:proofErr w:type="spellStart"/>
      <w:r w:rsidRPr="00A202DA">
        <w:rPr>
          <w:rFonts w:asciiTheme="majorBidi" w:hAnsiTheme="majorBidi" w:cstheme="majorBidi"/>
          <w:color w:val="000000" w:themeColor="text1"/>
          <w:sz w:val="24"/>
          <w:szCs w:val="24"/>
        </w:rPr>
        <w:t>Fabusiwa</w:t>
      </w:r>
      <w:proofErr w:type="spellEnd"/>
      <w:r w:rsidRPr="00A202DA">
        <w:rPr>
          <w:rFonts w:asciiTheme="majorBidi" w:hAnsiTheme="majorBidi" w:cstheme="majorBidi"/>
          <w:color w:val="000000" w:themeColor="text1"/>
          <w:sz w:val="24"/>
          <w:szCs w:val="24"/>
        </w:rPr>
        <w:t xml:space="preserve"> et al., 2019). Sorghum-based fermented foods, including </w:t>
      </w:r>
      <w:proofErr w:type="spellStart"/>
      <w:r w:rsidRPr="00A202DA">
        <w:rPr>
          <w:rFonts w:asciiTheme="majorBidi" w:hAnsiTheme="majorBidi" w:cstheme="majorBidi"/>
          <w:color w:val="000000" w:themeColor="text1"/>
          <w:sz w:val="24"/>
          <w:szCs w:val="24"/>
        </w:rPr>
        <w:t>kisra</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hulu-mur</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merica</w:t>
      </w:r>
      <w:proofErr w:type="spellEnd"/>
      <w:r w:rsidRPr="00A202DA">
        <w:rPr>
          <w:rFonts w:asciiTheme="majorBidi" w:hAnsiTheme="majorBidi" w:cstheme="majorBidi"/>
          <w:color w:val="000000" w:themeColor="text1"/>
          <w:sz w:val="24"/>
          <w:szCs w:val="24"/>
        </w:rPr>
        <w:t xml:space="preserve">, and </w:t>
      </w:r>
      <w:proofErr w:type="spellStart"/>
      <w:r w:rsidRPr="00A202DA">
        <w:rPr>
          <w:rFonts w:asciiTheme="majorBidi" w:hAnsiTheme="majorBidi" w:cstheme="majorBidi"/>
          <w:color w:val="000000" w:themeColor="text1"/>
          <w:sz w:val="24"/>
          <w:szCs w:val="24"/>
        </w:rPr>
        <w:t>nasha</w:t>
      </w:r>
      <w:proofErr w:type="spellEnd"/>
      <w:r w:rsidRPr="00A202DA">
        <w:rPr>
          <w:rFonts w:asciiTheme="majorBidi" w:hAnsiTheme="majorBidi" w:cstheme="majorBidi"/>
          <w:color w:val="000000" w:themeColor="text1"/>
          <w:sz w:val="24"/>
          <w:szCs w:val="24"/>
        </w:rPr>
        <w:t xml:space="preserve">, are prevalent in </w:t>
      </w:r>
      <w:r w:rsidR="00DB7422" w:rsidRPr="00A202DA">
        <w:rPr>
          <w:rFonts w:asciiTheme="majorBidi" w:hAnsiTheme="majorBidi" w:cstheme="majorBidi"/>
          <w:color w:val="000000" w:themeColor="text1"/>
          <w:sz w:val="24"/>
          <w:szCs w:val="24"/>
        </w:rPr>
        <w:t>many African nations, such as Sudan, Nigeria, and Tanzania, and serve</w:t>
      </w:r>
      <w:r w:rsidRPr="00A202DA">
        <w:rPr>
          <w:rFonts w:asciiTheme="majorBidi" w:hAnsiTheme="majorBidi" w:cstheme="majorBidi"/>
          <w:color w:val="000000" w:themeColor="text1"/>
          <w:sz w:val="24"/>
          <w:szCs w:val="24"/>
        </w:rPr>
        <w:t xml:space="preserve"> as primary food sources for indigenous populations (Adebo 2020).</w:t>
      </w:r>
    </w:p>
    <w:p w14:paraId="7F357556" w14:textId="00CC84EA" w:rsidR="005700C5" w:rsidRPr="00A202DA" w:rsidRDefault="005700C5" w:rsidP="004A7E9D">
      <w:pPr>
        <w:pStyle w:val="Heading1"/>
        <w:spacing w:before="0" w:line="360" w:lineRule="auto"/>
        <w:ind w:left="0"/>
        <w:jc w:val="both"/>
        <w:rPr>
          <w:rFonts w:asciiTheme="majorBidi" w:eastAsiaTheme="minorHAnsi" w:hAnsiTheme="majorBidi" w:cstheme="majorBidi"/>
          <w:b w:val="0"/>
          <w:bCs w:val="0"/>
          <w:color w:val="000000" w:themeColor="text1"/>
          <w:sz w:val="24"/>
          <w:szCs w:val="24"/>
        </w:rPr>
      </w:pPr>
      <w:r w:rsidRPr="00A202DA">
        <w:rPr>
          <w:rFonts w:asciiTheme="majorBidi" w:eastAsiaTheme="minorHAnsi" w:hAnsiTheme="majorBidi" w:cstheme="majorBidi"/>
          <w:b w:val="0"/>
          <w:bCs w:val="0"/>
          <w:color w:val="000000" w:themeColor="text1"/>
          <w:sz w:val="24"/>
          <w:szCs w:val="24"/>
        </w:rPr>
        <w:t xml:space="preserve">Enhancing these grains can render them more appealing and elevate their acceptance in the food sector. The grains have functional qualities, and </w:t>
      </w:r>
      <w:r w:rsidR="007D7325" w:rsidRPr="00A202DA">
        <w:rPr>
          <w:rFonts w:asciiTheme="majorBidi" w:eastAsiaTheme="minorHAnsi" w:hAnsiTheme="majorBidi" w:cstheme="majorBidi"/>
          <w:b w:val="0"/>
          <w:bCs w:val="0"/>
          <w:color w:val="000000" w:themeColor="text1"/>
          <w:sz w:val="24"/>
          <w:szCs w:val="24"/>
        </w:rPr>
        <w:t xml:space="preserve">the innovative products derived from them are poised to </w:t>
      </w:r>
      <w:r w:rsidR="00DB7422" w:rsidRPr="00A202DA">
        <w:rPr>
          <w:rFonts w:asciiTheme="majorBidi" w:eastAsiaTheme="minorHAnsi" w:hAnsiTheme="majorBidi" w:cstheme="majorBidi"/>
          <w:b w:val="0"/>
          <w:bCs w:val="0"/>
          <w:color w:val="000000" w:themeColor="text1"/>
          <w:sz w:val="24"/>
          <w:szCs w:val="24"/>
        </w:rPr>
        <w:t>gain market penetration as consumers shift toward</w:t>
      </w:r>
      <w:r w:rsidRPr="00A202DA">
        <w:rPr>
          <w:rFonts w:asciiTheme="majorBidi" w:eastAsiaTheme="minorHAnsi" w:hAnsiTheme="majorBidi" w:cstheme="majorBidi"/>
          <w:b w:val="0"/>
          <w:bCs w:val="0"/>
          <w:color w:val="000000" w:themeColor="text1"/>
          <w:sz w:val="24"/>
          <w:szCs w:val="24"/>
        </w:rPr>
        <w:t xml:space="preserve"> healthier food options. Both traditional and contemporary techniques can be employed to mitigate antinutritional effects in tiny grains. Milling, soaking, fermenting, debranning, and autoclaving are procedures </w:t>
      </w:r>
      <w:r w:rsidR="007D7325" w:rsidRPr="00A202DA">
        <w:rPr>
          <w:rFonts w:asciiTheme="majorBidi" w:eastAsiaTheme="minorHAnsi" w:hAnsiTheme="majorBidi" w:cstheme="majorBidi"/>
          <w:b w:val="0"/>
          <w:bCs w:val="0"/>
          <w:color w:val="000000" w:themeColor="text1"/>
          <w:sz w:val="24"/>
          <w:szCs w:val="24"/>
        </w:rPr>
        <w:t>used to reduce antinutritional factors in small</w:t>
      </w:r>
      <w:r w:rsidRPr="00A202DA">
        <w:rPr>
          <w:rFonts w:asciiTheme="majorBidi" w:eastAsiaTheme="minorHAnsi" w:hAnsiTheme="majorBidi" w:cstheme="majorBidi"/>
          <w:b w:val="0"/>
          <w:bCs w:val="0"/>
          <w:color w:val="000000" w:themeColor="text1"/>
          <w:sz w:val="24"/>
          <w:szCs w:val="24"/>
        </w:rPr>
        <w:t xml:space="preserve"> grains. Employing diverse techniques, individually or in co</w:t>
      </w:r>
      <w:r w:rsidR="007D7325" w:rsidRPr="00A202DA">
        <w:rPr>
          <w:rFonts w:asciiTheme="majorBidi" w:eastAsiaTheme="minorHAnsi" w:hAnsiTheme="majorBidi" w:cstheme="majorBidi"/>
          <w:b w:val="0"/>
          <w:bCs w:val="0"/>
          <w:color w:val="000000" w:themeColor="text1"/>
          <w:sz w:val="24"/>
          <w:szCs w:val="24"/>
        </w:rPr>
        <w:t>mbination, can diminish antinutrient concentrations (</w:t>
      </w:r>
      <w:proofErr w:type="spellStart"/>
      <w:r w:rsidR="007D7325" w:rsidRPr="00A202DA">
        <w:rPr>
          <w:rFonts w:asciiTheme="majorBidi" w:eastAsiaTheme="minorHAnsi" w:hAnsiTheme="majorBidi" w:cstheme="majorBidi"/>
          <w:b w:val="0"/>
          <w:bCs w:val="0"/>
          <w:color w:val="000000" w:themeColor="text1"/>
          <w:sz w:val="24"/>
          <w:szCs w:val="24"/>
        </w:rPr>
        <w:t>Samtiya</w:t>
      </w:r>
      <w:proofErr w:type="spellEnd"/>
      <w:r w:rsidR="007D7325" w:rsidRPr="00A202DA">
        <w:rPr>
          <w:rFonts w:asciiTheme="majorBidi" w:eastAsiaTheme="minorHAnsi" w:hAnsiTheme="majorBidi" w:cstheme="majorBidi"/>
          <w:b w:val="0"/>
          <w:bCs w:val="0"/>
          <w:color w:val="000000" w:themeColor="text1"/>
          <w:sz w:val="24"/>
          <w:szCs w:val="24"/>
        </w:rPr>
        <w:t xml:space="preserve"> et al., </w:t>
      </w:r>
      <w:r w:rsidRPr="00A202DA">
        <w:rPr>
          <w:rFonts w:asciiTheme="majorBidi" w:eastAsiaTheme="minorHAnsi" w:hAnsiTheme="majorBidi" w:cstheme="majorBidi"/>
          <w:b w:val="0"/>
          <w:bCs w:val="0"/>
          <w:color w:val="000000" w:themeColor="text1"/>
          <w:sz w:val="24"/>
          <w:szCs w:val="24"/>
        </w:rPr>
        <w:t xml:space="preserve">2020). This study aims to examine the effects of fortification with pigeon pea and </w:t>
      </w:r>
      <w:r w:rsidRPr="00A202DA">
        <w:rPr>
          <w:rFonts w:asciiTheme="majorBidi" w:eastAsiaTheme="minorHAnsi" w:hAnsiTheme="majorBidi" w:cstheme="majorBidi"/>
          <w:b w:val="0"/>
          <w:bCs w:val="0"/>
          <w:color w:val="000000" w:themeColor="text1"/>
          <w:sz w:val="24"/>
          <w:szCs w:val="24"/>
        </w:rPr>
        <w:lastRenderedPageBreak/>
        <w:t xml:space="preserve">wheat flour, as well as processing, on the antinutrient </w:t>
      </w:r>
      <w:r w:rsidR="00BF204F" w:rsidRPr="00A202DA">
        <w:rPr>
          <w:rFonts w:asciiTheme="majorBidi" w:eastAsiaTheme="minorHAnsi" w:hAnsiTheme="majorBidi" w:cstheme="majorBidi"/>
          <w:b w:val="0"/>
          <w:bCs w:val="0"/>
          <w:color w:val="000000" w:themeColor="text1"/>
          <w:sz w:val="24"/>
          <w:szCs w:val="24"/>
        </w:rPr>
        <w:t xml:space="preserve">level </w:t>
      </w:r>
      <w:r w:rsidRPr="00A202DA">
        <w:rPr>
          <w:rFonts w:asciiTheme="majorBidi" w:eastAsiaTheme="minorHAnsi" w:hAnsiTheme="majorBidi" w:cstheme="majorBidi"/>
          <w:b w:val="0"/>
          <w:bCs w:val="0"/>
          <w:color w:val="000000" w:themeColor="text1"/>
          <w:sz w:val="24"/>
          <w:szCs w:val="24"/>
        </w:rPr>
        <w:t>and protein content, and digestibility of low- and high-tannin sorghum cultivars.</w:t>
      </w:r>
    </w:p>
    <w:p w14:paraId="6C213616" w14:textId="1A868302" w:rsidR="00847221" w:rsidRPr="00A202DA" w:rsidRDefault="009135FF" w:rsidP="004A7E9D">
      <w:pPr>
        <w:pStyle w:val="Heading1"/>
        <w:numPr>
          <w:ilvl w:val="0"/>
          <w:numId w:val="1"/>
        </w:numPr>
        <w:spacing w:before="0" w:line="360" w:lineRule="auto"/>
        <w:ind w:left="0" w:firstLine="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Materials and methods</w:t>
      </w:r>
    </w:p>
    <w:p w14:paraId="5124D30A" w14:textId="39817C48"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pacing w:val="-2"/>
          <w:sz w:val="24"/>
          <w:szCs w:val="24"/>
        </w:rPr>
        <w:t xml:space="preserve"> </w:t>
      </w:r>
      <w:r w:rsidR="00847221" w:rsidRPr="005D48F2">
        <w:rPr>
          <w:rFonts w:asciiTheme="majorBidi" w:hAnsiTheme="majorBidi" w:cstheme="majorBidi"/>
          <w:color w:val="000000" w:themeColor="text1"/>
          <w:spacing w:val="-2"/>
          <w:sz w:val="24"/>
          <w:szCs w:val="24"/>
        </w:rPr>
        <w:t>Materials</w:t>
      </w:r>
    </w:p>
    <w:p w14:paraId="747883D1" w14:textId="4396562A" w:rsidR="00846AA1" w:rsidRPr="00A202DA" w:rsidRDefault="00846AA1" w:rsidP="004A7E9D">
      <w:pPr>
        <w:pStyle w:val="Heading2"/>
        <w:spacing w:before="0" w:line="360" w:lineRule="auto"/>
        <w:ind w:left="0"/>
        <w:jc w:val="both"/>
        <w:rPr>
          <w:rFonts w:asciiTheme="majorBidi" w:eastAsia="Arial MT" w:hAnsiTheme="majorBidi" w:cstheme="majorBidi"/>
          <w:b w:val="0"/>
          <w:bCs w:val="0"/>
          <w:color w:val="000000" w:themeColor="text1"/>
          <w:sz w:val="24"/>
          <w:szCs w:val="24"/>
        </w:rPr>
      </w:pPr>
      <w:r w:rsidRPr="00A202DA">
        <w:rPr>
          <w:rFonts w:asciiTheme="majorBidi" w:eastAsia="Arial MT" w:hAnsiTheme="majorBidi" w:cstheme="majorBidi"/>
          <w:b w:val="0"/>
          <w:bCs w:val="0"/>
          <w:color w:val="000000" w:themeColor="text1"/>
          <w:sz w:val="24"/>
          <w:szCs w:val="24"/>
        </w:rPr>
        <w:t>Two sorghum</w:t>
      </w:r>
      <w:r w:rsidR="00F84DE9" w:rsidRPr="00A202DA">
        <w:rPr>
          <w:rFonts w:asciiTheme="majorBidi" w:eastAsia="Arial MT" w:hAnsiTheme="majorBidi" w:cstheme="majorBidi"/>
          <w:b w:val="0"/>
          <w:bCs w:val="0"/>
          <w:color w:val="000000" w:themeColor="text1"/>
          <w:sz w:val="24"/>
          <w:szCs w:val="24"/>
        </w:rPr>
        <w:t xml:space="preserve"> cultivars, Tabat (low-tannin) and WadAhmed (high-</w:t>
      </w:r>
      <w:r w:rsidRPr="00A202DA">
        <w:rPr>
          <w:rFonts w:asciiTheme="majorBidi" w:eastAsia="Arial MT" w:hAnsiTheme="majorBidi" w:cstheme="majorBidi"/>
          <w:b w:val="0"/>
          <w:bCs w:val="0"/>
          <w:color w:val="000000" w:themeColor="text1"/>
          <w:sz w:val="24"/>
          <w:szCs w:val="24"/>
        </w:rPr>
        <w:t>tannin), were acquired from the Agricultural Research Corporation in WadMadani. Commercial Sudanese wheat flour (</w:t>
      </w:r>
      <w:proofErr w:type="spellStart"/>
      <w:r w:rsidRPr="00A202DA">
        <w:rPr>
          <w:rFonts w:asciiTheme="majorBidi" w:eastAsia="Arial MT" w:hAnsiTheme="majorBidi" w:cstheme="majorBidi"/>
          <w:b w:val="0"/>
          <w:bCs w:val="0"/>
          <w:color w:val="000000" w:themeColor="text1"/>
          <w:sz w:val="24"/>
          <w:szCs w:val="24"/>
        </w:rPr>
        <w:t>Debaria</w:t>
      </w:r>
      <w:proofErr w:type="spellEnd"/>
      <w:r w:rsidRPr="00A202DA">
        <w:rPr>
          <w:rFonts w:asciiTheme="majorBidi" w:eastAsia="Arial MT" w:hAnsiTheme="majorBidi" w:cstheme="majorBidi"/>
          <w:b w:val="0"/>
          <w:bCs w:val="0"/>
          <w:color w:val="000000" w:themeColor="text1"/>
          <w:sz w:val="24"/>
          <w:szCs w:val="24"/>
        </w:rPr>
        <w:t>, 72% extraction rate) was procured from Seen Flour Mills. Pigeon pea seeds were procured from the local market in Omdurman. Sorghum and pigeon pea seeds, after being cleaned, were ground to pass through a 0.4 mm screen. Certain flours were preserved at 4 °C, while the remainder was utilized to create composite flour.</w:t>
      </w:r>
    </w:p>
    <w:p w14:paraId="670D47A8" w14:textId="68C9EB56"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pacing w:val="-2"/>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Preparation</w:t>
      </w:r>
      <w:r w:rsidR="00847221" w:rsidRPr="005D48F2">
        <w:rPr>
          <w:rFonts w:asciiTheme="majorBidi" w:hAnsiTheme="majorBidi" w:cstheme="majorBidi"/>
          <w:color w:val="000000" w:themeColor="text1"/>
          <w:spacing w:val="-2"/>
          <w:sz w:val="24"/>
          <w:szCs w:val="24"/>
        </w:rPr>
        <w:t xml:space="preserve"> </w:t>
      </w:r>
      <w:r w:rsidR="00847221" w:rsidRPr="005D48F2">
        <w:rPr>
          <w:rFonts w:asciiTheme="majorBidi" w:hAnsiTheme="majorBidi" w:cstheme="majorBidi"/>
          <w:color w:val="000000" w:themeColor="text1"/>
          <w:sz w:val="24"/>
          <w:szCs w:val="24"/>
        </w:rPr>
        <w:t>of</w:t>
      </w:r>
      <w:r w:rsidR="00847221" w:rsidRPr="005D48F2">
        <w:rPr>
          <w:rFonts w:asciiTheme="majorBidi" w:hAnsiTheme="majorBidi" w:cstheme="majorBidi"/>
          <w:color w:val="000000" w:themeColor="text1"/>
          <w:spacing w:val="-2"/>
          <w:sz w:val="24"/>
          <w:szCs w:val="24"/>
        </w:rPr>
        <w:t xml:space="preserve"> </w:t>
      </w:r>
      <w:r w:rsidR="009F36A1">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omposite</w:t>
      </w:r>
      <w:r w:rsidR="00847221" w:rsidRPr="005D48F2">
        <w:rPr>
          <w:rFonts w:asciiTheme="majorBidi" w:hAnsiTheme="majorBidi" w:cstheme="majorBidi"/>
          <w:color w:val="000000" w:themeColor="text1"/>
          <w:spacing w:val="-3"/>
          <w:sz w:val="24"/>
          <w:szCs w:val="24"/>
        </w:rPr>
        <w:t xml:space="preserve"> </w:t>
      </w:r>
      <w:r w:rsidR="009F36A1">
        <w:rPr>
          <w:rFonts w:asciiTheme="majorBidi" w:hAnsiTheme="majorBidi" w:cstheme="majorBidi"/>
          <w:color w:val="000000" w:themeColor="text1"/>
          <w:sz w:val="24"/>
          <w:szCs w:val="24"/>
        </w:rPr>
        <w:t>F</w:t>
      </w:r>
      <w:r w:rsidR="00847221" w:rsidRPr="005D48F2">
        <w:rPr>
          <w:rFonts w:asciiTheme="majorBidi" w:hAnsiTheme="majorBidi" w:cstheme="majorBidi"/>
          <w:color w:val="000000" w:themeColor="text1"/>
          <w:sz w:val="24"/>
          <w:szCs w:val="24"/>
        </w:rPr>
        <w:t>lour</w:t>
      </w:r>
      <w:r w:rsidR="00847221" w:rsidRPr="005D48F2">
        <w:rPr>
          <w:rFonts w:asciiTheme="majorBidi" w:hAnsiTheme="majorBidi" w:cstheme="majorBidi"/>
          <w:color w:val="000000" w:themeColor="text1"/>
          <w:spacing w:val="-1"/>
          <w:sz w:val="24"/>
          <w:szCs w:val="24"/>
        </w:rPr>
        <w:t xml:space="preserve"> </w:t>
      </w:r>
      <w:r w:rsidR="009F36A1">
        <w:rPr>
          <w:rFonts w:asciiTheme="majorBidi" w:hAnsiTheme="majorBidi" w:cstheme="majorBidi"/>
          <w:color w:val="000000" w:themeColor="text1"/>
          <w:spacing w:val="-2"/>
          <w:sz w:val="24"/>
          <w:szCs w:val="24"/>
        </w:rPr>
        <w:t>B</w:t>
      </w:r>
      <w:r w:rsidR="00847221" w:rsidRPr="005D48F2">
        <w:rPr>
          <w:rFonts w:asciiTheme="majorBidi" w:hAnsiTheme="majorBidi" w:cstheme="majorBidi"/>
          <w:color w:val="000000" w:themeColor="text1"/>
          <w:spacing w:val="-2"/>
          <w:sz w:val="24"/>
          <w:szCs w:val="24"/>
        </w:rPr>
        <w:t>lends</w:t>
      </w:r>
    </w:p>
    <w:p w14:paraId="2C0CE333" w14:textId="3153D9E7" w:rsidR="00F84DE9" w:rsidRDefault="00F84DE9"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Four distinct meals were prepared using sorghum, wheat, and pigeon pea flours in variable proportions, as illustrated in Table 1. The ingredients of each meal were combined with distilled water (1:2 w/v). </w:t>
      </w:r>
      <w:r w:rsidR="007D7325" w:rsidRPr="00A202DA">
        <w:rPr>
          <w:rFonts w:asciiTheme="majorBidi" w:hAnsiTheme="majorBidi" w:cstheme="majorBidi"/>
          <w:b w:val="0"/>
          <w:bCs w:val="0"/>
          <w:color w:val="000000" w:themeColor="text1"/>
          <w:sz w:val="24"/>
          <w:szCs w:val="24"/>
        </w:rPr>
        <w:t>Fermentation of the</w:t>
      </w:r>
      <w:r w:rsidRPr="00A202DA">
        <w:rPr>
          <w:rFonts w:asciiTheme="majorBidi" w:hAnsiTheme="majorBidi" w:cstheme="majorBidi"/>
          <w:b w:val="0"/>
          <w:bCs w:val="0"/>
          <w:color w:val="000000" w:themeColor="text1"/>
          <w:sz w:val="24"/>
          <w:szCs w:val="24"/>
        </w:rPr>
        <w:t xml:space="preserve"> dough commenced with the addition of starters derived from previously fermented doughs of the same type. The dough underwent ferment</w:t>
      </w:r>
      <w:r w:rsidR="007D7325" w:rsidRPr="00A202DA">
        <w:rPr>
          <w:rFonts w:asciiTheme="majorBidi" w:hAnsiTheme="majorBidi" w:cstheme="majorBidi"/>
          <w:b w:val="0"/>
          <w:bCs w:val="0"/>
          <w:color w:val="000000" w:themeColor="text1"/>
          <w:sz w:val="24"/>
          <w:szCs w:val="24"/>
        </w:rPr>
        <w:t>ation</w:t>
      </w:r>
      <w:r w:rsidRPr="00A202DA">
        <w:rPr>
          <w:rFonts w:asciiTheme="majorBidi" w:hAnsiTheme="majorBidi" w:cstheme="majorBidi"/>
          <w:b w:val="0"/>
          <w:bCs w:val="0"/>
          <w:color w:val="000000" w:themeColor="text1"/>
          <w:sz w:val="24"/>
          <w:szCs w:val="24"/>
        </w:rPr>
        <w:t xml:space="preserve"> for 12 hours. </w:t>
      </w:r>
      <w:r w:rsidR="007D7325" w:rsidRPr="00A202DA">
        <w:rPr>
          <w:rFonts w:asciiTheme="majorBidi" w:hAnsiTheme="majorBidi" w:cstheme="majorBidi"/>
          <w:b w:val="0"/>
          <w:bCs w:val="0"/>
          <w:color w:val="000000" w:themeColor="text1"/>
          <w:sz w:val="24"/>
          <w:szCs w:val="24"/>
        </w:rPr>
        <w:t>After the incubation period, the fermented flour was spread onto</w:t>
      </w:r>
      <w:r w:rsidRPr="00A202DA">
        <w:rPr>
          <w:rFonts w:asciiTheme="majorBidi" w:hAnsiTheme="majorBidi" w:cstheme="majorBidi"/>
          <w:b w:val="0"/>
          <w:bCs w:val="0"/>
          <w:color w:val="000000" w:themeColor="text1"/>
          <w:sz w:val="24"/>
          <w:szCs w:val="24"/>
        </w:rPr>
        <w:t xml:space="preserve"> aluminum plates and dehydrated in a hot-air oven at 60 °C for an additional 24 hours. The desiccated samples were subsequently pulverized to pass through a 0.4 mm sieve and preserved at 4 °C. A p</w:t>
      </w:r>
      <w:r w:rsidR="007D7325" w:rsidRPr="00A202DA">
        <w:rPr>
          <w:rFonts w:asciiTheme="majorBidi" w:hAnsiTheme="majorBidi" w:cstheme="majorBidi"/>
          <w:b w:val="0"/>
          <w:bCs w:val="0"/>
          <w:color w:val="000000" w:themeColor="text1"/>
          <w:sz w:val="24"/>
          <w:szCs w:val="24"/>
        </w:rPr>
        <w:t>ortion of the fermented dough was used to mak</w:t>
      </w:r>
      <w:r w:rsidRPr="00A202DA">
        <w:rPr>
          <w:rFonts w:asciiTheme="majorBidi" w:hAnsiTheme="majorBidi" w:cstheme="majorBidi"/>
          <w:b w:val="0"/>
          <w:bCs w:val="0"/>
          <w:color w:val="000000" w:themeColor="text1"/>
          <w:sz w:val="24"/>
          <w:szCs w:val="24"/>
        </w:rPr>
        <w:t>e kisra bread.</w:t>
      </w:r>
    </w:p>
    <w:p w14:paraId="380473CC" w14:textId="77777777" w:rsidR="009C5DCD" w:rsidRPr="00A202DA" w:rsidRDefault="009C5DCD" w:rsidP="004A7E9D">
      <w:pPr>
        <w:pStyle w:val="Heading2"/>
        <w:spacing w:before="0" w:line="360" w:lineRule="auto"/>
        <w:ind w:left="0"/>
        <w:jc w:val="both"/>
        <w:rPr>
          <w:rFonts w:asciiTheme="majorBidi" w:hAnsiTheme="majorBidi" w:cstheme="majorBidi"/>
          <w:b w:val="0"/>
          <w:bCs w:val="0"/>
          <w:color w:val="000000" w:themeColor="text1"/>
          <w:sz w:val="24"/>
          <w:szCs w:val="24"/>
        </w:rPr>
      </w:pPr>
    </w:p>
    <w:p w14:paraId="7365A2C6" w14:textId="0574D7A0" w:rsidR="0040757B" w:rsidRPr="00A202DA" w:rsidRDefault="0040757B" w:rsidP="004A7E9D">
      <w:pPr>
        <w:pStyle w:val="Heading2"/>
        <w:spacing w:before="0" w:line="360" w:lineRule="auto"/>
        <w:ind w:left="1890"/>
        <w:jc w:val="both"/>
        <w:rPr>
          <w:rFonts w:asciiTheme="majorBidi" w:hAnsiTheme="majorBidi" w:cstheme="majorBidi"/>
          <w:b w:val="0"/>
          <w:bCs w:val="0"/>
          <w:color w:val="000000" w:themeColor="text1"/>
          <w:sz w:val="24"/>
          <w:szCs w:val="24"/>
        </w:rPr>
      </w:pPr>
      <w:r w:rsidRPr="00DC2316">
        <w:rPr>
          <w:rFonts w:asciiTheme="majorBidi" w:hAnsiTheme="majorBidi" w:cstheme="majorBidi"/>
          <w:color w:val="000000" w:themeColor="text1"/>
          <w:sz w:val="24"/>
          <w:szCs w:val="24"/>
        </w:rPr>
        <w:t>Table 1. Composite flour formulation</w:t>
      </w:r>
      <w:r w:rsidRPr="00A202DA">
        <w:rPr>
          <w:rFonts w:asciiTheme="majorBidi" w:hAnsiTheme="majorBidi" w:cstheme="majorBidi"/>
          <w:b w:val="0"/>
          <w:bCs w:val="0"/>
          <w:color w:val="000000" w:themeColor="text1"/>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833"/>
        <w:gridCol w:w="1386"/>
        <w:gridCol w:w="926"/>
        <w:gridCol w:w="1315"/>
      </w:tblGrid>
      <w:tr w:rsidR="00A202DA" w:rsidRPr="00A202DA" w14:paraId="3BB78380" w14:textId="77777777" w:rsidTr="0023482A">
        <w:trPr>
          <w:jc w:val="center"/>
        </w:trPr>
        <w:tc>
          <w:tcPr>
            <w:tcW w:w="803" w:type="dxa"/>
            <w:vMerge w:val="restart"/>
            <w:tcBorders>
              <w:top w:val="single" w:sz="4" w:space="0" w:color="auto"/>
            </w:tcBorders>
            <w:vAlign w:val="center"/>
          </w:tcPr>
          <w:p w14:paraId="030E1DD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Meals</w:t>
            </w:r>
          </w:p>
        </w:tc>
        <w:tc>
          <w:tcPr>
            <w:tcW w:w="4460" w:type="dxa"/>
            <w:gridSpan w:val="4"/>
            <w:tcBorders>
              <w:top w:val="single" w:sz="4" w:space="0" w:color="auto"/>
              <w:bottom w:val="single" w:sz="4" w:space="0" w:color="auto"/>
            </w:tcBorders>
          </w:tcPr>
          <w:p w14:paraId="4F9C56B7" w14:textId="77777777" w:rsidR="0040757B" w:rsidRPr="00A202DA" w:rsidRDefault="0040757B" w:rsidP="004A7E9D">
            <w:pPr>
              <w:jc w:val="center"/>
              <w:rPr>
                <w:rFonts w:asciiTheme="majorBidi" w:hAnsiTheme="majorBidi" w:cstheme="majorBidi"/>
                <w:color w:val="000000" w:themeColor="text1"/>
              </w:rPr>
            </w:pPr>
            <w:r w:rsidRPr="00A202DA">
              <w:rPr>
                <w:rFonts w:asciiTheme="majorBidi" w:hAnsiTheme="majorBidi" w:cstheme="majorBidi"/>
                <w:color w:val="000000" w:themeColor="text1"/>
              </w:rPr>
              <w:t>Ingredients%</w:t>
            </w:r>
          </w:p>
        </w:tc>
      </w:tr>
      <w:tr w:rsidR="00A202DA" w:rsidRPr="00A202DA" w14:paraId="3B998ED5" w14:textId="77777777" w:rsidTr="0023482A">
        <w:trPr>
          <w:jc w:val="center"/>
        </w:trPr>
        <w:tc>
          <w:tcPr>
            <w:tcW w:w="803" w:type="dxa"/>
            <w:vMerge/>
            <w:tcBorders>
              <w:bottom w:val="single" w:sz="4" w:space="0" w:color="auto"/>
            </w:tcBorders>
          </w:tcPr>
          <w:p w14:paraId="0A3C87E4" w14:textId="77777777" w:rsidR="0040757B" w:rsidRPr="00A202DA" w:rsidRDefault="0040757B" w:rsidP="004A7E9D">
            <w:pPr>
              <w:rPr>
                <w:rFonts w:asciiTheme="majorBidi" w:hAnsiTheme="majorBidi" w:cstheme="majorBidi"/>
                <w:color w:val="000000" w:themeColor="text1"/>
              </w:rPr>
            </w:pPr>
          </w:p>
        </w:tc>
        <w:tc>
          <w:tcPr>
            <w:tcW w:w="833" w:type="dxa"/>
            <w:tcBorders>
              <w:top w:val="single" w:sz="4" w:space="0" w:color="auto"/>
              <w:bottom w:val="single" w:sz="4" w:space="0" w:color="auto"/>
            </w:tcBorders>
          </w:tcPr>
          <w:p w14:paraId="4F35E6C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Tabat</w:t>
            </w:r>
          </w:p>
        </w:tc>
        <w:tc>
          <w:tcPr>
            <w:tcW w:w="1386" w:type="dxa"/>
            <w:tcBorders>
              <w:top w:val="single" w:sz="4" w:space="0" w:color="auto"/>
              <w:bottom w:val="single" w:sz="4" w:space="0" w:color="auto"/>
            </w:tcBorders>
          </w:tcPr>
          <w:p w14:paraId="61E26B6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WadAhmed</w:t>
            </w:r>
          </w:p>
        </w:tc>
        <w:tc>
          <w:tcPr>
            <w:tcW w:w="926" w:type="dxa"/>
            <w:tcBorders>
              <w:top w:val="single" w:sz="4" w:space="0" w:color="auto"/>
              <w:bottom w:val="single" w:sz="4" w:space="0" w:color="auto"/>
            </w:tcBorders>
          </w:tcPr>
          <w:p w14:paraId="463F40D5"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Wheat</w:t>
            </w:r>
          </w:p>
        </w:tc>
        <w:tc>
          <w:tcPr>
            <w:tcW w:w="1315" w:type="dxa"/>
            <w:tcBorders>
              <w:top w:val="single" w:sz="4" w:space="0" w:color="auto"/>
              <w:bottom w:val="single" w:sz="4" w:space="0" w:color="auto"/>
            </w:tcBorders>
          </w:tcPr>
          <w:p w14:paraId="03A7133C"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Pigeon pea</w:t>
            </w:r>
          </w:p>
        </w:tc>
      </w:tr>
      <w:tr w:rsidR="00A202DA" w:rsidRPr="00A202DA" w14:paraId="19B3339F" w14:textId="77777777" w:rsidTr="0023482A">
        <w:trPr>
          <w:jc w:val="center"/>
        </w:trPr>
        <w:tc>
          <w:tcPr>
            <w:tcW w:w="803" w:type="dxa"/>
            <w:tcBorders>
              <w:top w:val="single" w:sz="4" w:space="0" w:color="auto"/>
            </w:tcBorders>
          </w:tcPr>
          <w:p w14:paraId="0D09576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T0</w:t>
            </w:r>
          </w:p>
        </w:tc>
        <w:tc>
          <w:tcPr>
            <w:tcW w:w="833" w:type="dxa"/>
            <w:tcBorders>
              <w:top w:val="single" w:sz="4" w:space="0" w:color="auto"/>
            </w:tcBorders>
          </w:tcPr>
          <w:p w14:paraId="3A6AAB9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100</w:t>
            </w:r>
          </w:p>
        </w:tc>
        <w:tc>
          <w:tcPr>
            <w:tcW w:w="1386" w:type="dxa"/>
            <w:tcBorders>
              <w:top w:val="single" w:sz="4" w:space="0" w:color="auto"/>
            </w:tcBorders>
          </w:tcPr>
          <w:p w14:paraId="29466B6C" w14:textId="77777777" w:rsidR="0040757B" w:rsidRPr="00A202DA" w:rsidRDefault="0040757B" w:rsidP="004A7E9D">
            <w:pPr>
              <w:rPr>
                <w:rFonts w:asciiTheme="majorBidi" w:hAnsiTheme="majorBidi" w:cstheme="majorBidi"/>
                <w:color w:val="000000" w:themeColor="text1"/>
              </w:rPr>
            </w:pPr>
          </w:p>
        </w:tc>
        <w:tc>
          <w:tcPr>
            <w:tcW w:w="926" w:type="dxa"/>
            <w:tcBorders>
              <w:top w:val="single" w:sz="4" w:space="0" w:color="auto"/>
            </w:tcBorders>
          </w:tcPr>
          <w:p w14:paraId="0D93C95B" w14:textId="77777777" w:rsidR="0040757B" w:rsidRPr="00A202DA" w:rsidRDefault="0040757B" w:rsidP="004A7E9D">
            <w:pPr>
              <w:rPr>
                <w:rFonts w:asciiTheme="majorBidi" w:hAnsiTheme="majorBidi" w:cstheme="majorBidi"/>
                <w:color w:val="000000" w:themeColor="text1"/>
              </w:rPr>
            </w:pPr>
          </w:p>
        </w:tc>
        <w:tc>
          <w:tcPr>
            <w:tcW w:w="1315" w:type="dxa"/>
            <w:tcBorders>
              <w:top w:val="single" w:sz="4" w:space="0" w:color="auto"/>
            </w:tcBorders>
          </w:tcPr>
          <w:p w14:paraId="79A06798" w14:textId="77777777" w:rsidR="0040757B" w:rsidRPr="00A202DA" w:rsidRDefault="0040757B" w:rsidP="004A7E9D">
            <w:pPr>
              <w:rPr>
                <w:rFonts w:asciiTheme="majorBidi" w:hAnsiTheme="majorBidi" w:cstheme="majorBidi"/>
                <w:color w:val="000000" w:themeColor="text1"/>
              </w:rPr>
            </w:pPr>
          </w:p>
        </w:tc>
      </w:tr>
      <w:tr w:rsidR="00A202DA" w:rsidRPr="00A202DA" w14:paraId="715F640F" w14:textId="77777777" w:rsidTr="0023482A">
        <w:trPr>
          <w:jc w:val="center"/>
        </w:trPr>
        <w:tc>
          <w:tcPr>
            <w:tcW w:w="803" w:type="dxa"/>
          </w:tcPr>
          <w:p w14:paraId="0AD028E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T1</w:t>
            </w:r>
          </w:p>
        </w:tc>
        <w:tc>
          <w:tcPr>
            <w:tcW w:w="833" w:type="dxa"/>
          </w:tcPr>
          <w:p w14:paraId="6EBE5DC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182104D9" w14:textId="77777777" w:rsidR="0040757B" w:rsidRPr="00A202DA" w:rsidRDefault="0040757B" w:rsidP="004A7E9D">
            <w:pPr>
              <w:rPr>
                <w:rFonts w:asciiTheme="majorBidi" w:hAnsiTheme="majorBidi" w:cstheme="majorBidi"/>
                <w:color w:val="000000" w:themeColor="text1"/>
              </w:rPr>
            </w:pPr>
          </w:p>
        </w:tc>
        <w:tc>
          <w:tcPr>
            <w:tcW w:w="926" w:type="dxa"/>
          </w:tcPr>
          <w:p w14:paraId="45C3B30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c>
          <w:tcPr>
            <w:tcW w:w="1315" w:type="dxa"/>
          </w:tcPr>
          <w:p w14:paraId="7FB8D8B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r>
      <w:tr w:rsidR="00A202DA" w:rsidRPr="00A202DA" w14:paraId="42EFFE64" w14:textId="77777777" w:rsidTr="0023482A">
        <w:trPr>
          <w:jc w:val="center"/>
        </w:trPr>
        <w:tc>
          <w:tcPr>
            <w:tcW w:w="803" w:type="dxa"/>
          </w:tcPr>
          <w:p w14:paraId="738E837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T2</w:t>
            </w:r>
          </w:p>
        </w:tc>
        <w:tc>
          <w:tcPr>
            <w:tcW w:w="833" w:type="dxa"/>
          </w:tcPr>
          <w:p w14:paraId="3D565B5A"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34FB4D8F" w14:textId="77777777" w:rsidR="0040757B" w:rsidRPr="00A202DA" w:rsidRDefault="0040757B" w:rsidP="004A7E9D">
            <w:pPr>
              <w:rPr>
                <w:rFonts w:asciiTheme="majorBidi" w:hAnsiTheme="majorBidi" w:cstheme="majorBidi"/>
                <w:color w:val="000000" w:themeColor="text1"/>
              </w:rPr>
            </w:pPr>
          </w:p>
        </w:tc>
        <w:tc>
          <w:tcPr>
            <w:tcW w:w="926" w:type="dxa"/>
          </w:tcPr>
          <w:p w14:paraId="27DB33D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c>
          <w:tcPr>
            <w:tcW w:w="1315" w:type="dxa"/>
          </w:tcPr>
          <w:p w14:paraId="1F600D6E"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r>
      <w:tr w:rsidR="00A202DA" w:rsidRPr="00A202DA" w14:paraId="030BA871" w14:textId="77777777" w:rsidTr="0023482A">
        <w:trPr>
          <w:jc w:val="center"/>
        </w:trPr>
        <w:tc>
          <w:tcPr>
            <w:tcW w:w="803" w:type="dxa"/>
          </w:tcPr>
          <w:p w14:paraId="0BFF1C78"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T3</w:t>
            </w:r>
          </w:p>
        </w:tc>
        <w:tc>
          <w:tcPr>
            <w:tcW w:w="833" w:type="dxa"/>
          </w:tcPr>
          <w:p w14:paraId="54F3EEC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1386" w:type="dxa"/>
          </w:tcPr>
          <w:p w14:paraId="2D1C1133" w14:textId="77777777" w:rsidR="0040757B" w:rsidRPr="00A202DA" w:rsidRDefault="0040757B" w:rsidP="004A7E9D">
            <w:pPr>
              <w:rPr>
                <w:rFonts w:asciiTheme="majorBidi" w:hAnsiTheme="majorBidi" w:cstheme="majorBidi"/>
                <w:color w:val="000000" w:themeColor="text1"/>
              </w:rPr>
            </w:pPr>
          </w:p>
        </w:tc>
        <w:tc>
          <w:tcPr>
            <w:tcW w:w="926" w:type="dxa"/>
          </w:tcPr>
          <w:p w14:paraId="28CCA14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c>
          <w:tcPr>
            <w:tcW w:w="1315" w:type="dxa"/>
          </w:tcPr>
          <w:p w14:paraId="4D52F847"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r>
      <w:tr w:rsidR="00A202DA" w:rsidRPr="00A202DA" w14:paraId="5BDB2A5C" w14:textId="77777777" w:rsidTr="0023482A">
        <w:trPr>
          <w:jc w:val="center"/>
        </w:trPr>
        <w:tc>
          <w:tcPr>
            <w:tcW w:w="803" w:type="dxa"/>
          </w:tcPr>
          <w:p w14:paraId="7149B90F"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W0</w:t>
            </w:r>
          </w:p>
        </w:tc>
        <w:tc>
          <w:tcPr>
            <w:tcW w:w="833" w:type="dxa"/>
          </w:tcPr>
          <w:p w14:paraId="344D75A1" w14:textId="77777777" w:rsidR="0040757B" w:rsidRPr="00A202DA" w:rsidRDefault="0040757B" w:rsidP="004A7E9D">
            <w:pPr>
              <w:rPr>
                <w:rFonts w:asciiTheme="majorBidi" w:hAnsiTheme="majorBidi" w:cstheme="majorBidi"/>
                <w:color w:val="000000" w:themeColor="text1"/>
              </w:rPr>
            </w:pPr>
          </w:p>
        </w:tc>
        <w:tc>
          <w:tcPr>
            <w:tcW w:w="1386" w:type="dxa"/>
          </w:tcPr>
          <w:p w14:paraId="1AA671B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100</w:t>
            </w:r>
          </w:p>
        </w:tc>
        <w:tc>
          <w:tcPr>
            <w:tcW w:w="926" w:type="dxa"/>
          </w:tcPr>
          <w:p w14:paraId="7E6627BD" w14:textId="77777777" w:rsidR="0040757B" w:rsidRPr="00A202DA" w:rsidRDefault="0040757B" w:rsidP="004A7E9D">
            <w:pPr>
              <w:rPr>
                <w:rFonts w:asciiTheme="majorBidi" w:hAnsiTheme="majorBidi" w:cstheme="majorBidi"/>
                <w:color w:val="000000" w:themeColor="text1"/>
              </w:rPr>
            </w:pPr>
          </w:p>
        </w:tc>
        <w:tc>
          <w:tcPr>
            <w:tcW w:w="1315" w:type="dxa"/>
          </w:tcPr>
          <w:p w14:paraId="300F73D3" w14:textId="77777777" w:rsidR="0040757B" w:rsidRPr="00A202DA" w:rsidRDefault="0040757B" w:rsidP="004A7E9D">
            <w:pPr>
              <w:rPr>
                <w:rFonts w:asciiTheme="majorBidi" w:hAnsiTheme="majorBidi" w:cstheme="majorBidi"/>
                <w:color w:val="000000" w:themeColor="text1"/>
              </w:rPr>
            </w:pPr>
          </w:p>
        </w:tc>
      </w:tr>
      <w:tr w:rsidR="00A202DA" w:rsidRPr="00A202DA" w14:paraId="55DDEC6D" w14:textId="77777777" w:rsidTr="0023482A">
        <w:trPr>
          <w:jc w:val="center"/>
        </w:trPr>
        <w:tc>
          <w:tcPr>
            <w:tcW w:w="803" w:type="dxa"/>
          </w:tcPr>
          <w:p w14:paraId="01F4FAEB"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W1</w:t>
            </w:r>
          </w:p>
        </w:tc>
        <w:tc>
          <w:tcPr>
            <w:tcW w:w="833" w:type="dxa"/>
          </w:tcPr>
          <w:p w14:paraId="2E4AC7A3" w14:textId="77777777" w:rsidR="0040757B" w:rsidRPr="00A202DA" w:rsidRDefault="0040757B" w:rsidP="004A7E9D">
            <w:pPr>
              <w:rPr>
                <w:rFonts w:asciiTheme="majorBidi" w:hAnsiTheme="majorBidi" w:cstheme="majorBidi"/>
                <w:color w:val="000000" w:themeColor="text1"/>
              </w:rPr>
            </w:pPr>
          </w:p>
        </w:tc>
        <w:tc>
          <w:tcPr>
            <w:tcW w:w="1386" w:type="dxa"/>
          </w:tcPr>
          <w:p w14:paraId="05D98FE3"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0671AF8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c>
          <w:tcPr>
            <w:tcW w:w="1315" w:type="dxa"/>
          </w:tcPr>
          <w:p w14:paraId="52670955"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r>
      <w:tr w:rsidR="00A202DA" w:rsidRPr="00A202DA" w14:paraId="4EB41F66" w14:textId="77777777" w:rsidTr="0023482A">
        <w:trPr>
          <w:jc w:val="center"/>
        </w:trPr>
        <w:tc>
          <w:tcPr>
            <w:tcW w:w="803" w:type="dxa"/>
          </w:tcPr>
          <w:p w14:paraId="3DC3F6AD"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W2</w:t>
            </w:r>
          </w:p>
        </w:tc>
        <w:tc>
          <w:tcPr>
            <w:tcW w:w="833" w:type="dxa"/>
          </w:tcPr>
          <w:p w14:paraId="21DB25F6" w14:textId="77777777" w:rsidR="0040757B" w:rsidRPr="00A202DA" w:rsidRDefault="0040757B" w:rsidP="004A7E9D">
            <w:pPr>
              <w:rPr>
                <w:rFonts w:asciiTheme="majorBidi" w:hAnsiTheme="majorBidi" w:cstheme="majorBidi"/>
                <w:color w:val="000000" w:themeColor="text1"/>
              </w:rPr>
            </w:pPr>
          </w:p>
        </w:tc>
        <w:tc>
          <w:tcPr>
            <w:tcW w:w="1386" w:type="dxa"/>
          </w:tcPr>
          <w:p w14:paraId="6F4C2369"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56F75334"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c>
          <w:tcPr>
            <w:tcW w:w="1315" w:type="dxa"/>
          </w:tcPr>
          <w:p w14:paraId="693FC6A2"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15</w:t>
            </w:r>
          </w:p>
        </w:tc>
      </w:tr>
      <w:tr w:rsidR="0040757B" w:rsidRPr="00A202DA" w14:paraId="0C60A9FA" w14:textId="77777777" w:rsidTr="0023482A">
        <w:trPr>
          <w:jc w:val="center"/>
        </w:trPr>
        <w:tc>
          <w:tcPr>
            <w:tcW w:w="803" w:type="dxa"/>
          </w:tcPr>
          <w:p w14:paraId="6F257121"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W3</w:t>
            </w:r>
          </w:p>
        </w:tc>
        <w:tc>
          <w:tcPr>
            <w:tcW w:w="833" w:type="dxa"/>
          </w:tcPr>
          <w:p w14:paraId="0A720078" w14:textId="77777777" w:rsidR="0040757B" w:rsidRPr="00A202DA" w:rsidRDefault="0040757B" w:rsidP="004A7E9D">
            <w:pPr>
              <w:rPr>
                <w:rFonts w:asciiTheme="majorBidi" w:hAnsiTheme="majorBidi" w:cstheme="majorBidi"/>
                <w:color w:val="000000" w:themeColor="text1"/>
              </w:rPr>
            </w:pPr>
          </w:p>
        </w:tc>
        <w:tc>
          <w:tcPr>
            <w:tcW w:w="1386" w:type="dxa"/>
          </w:tcPr>
          <w:p w14:paraId="5288AA46"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70</w:t>
            </w:r>
          </w:p>
        </w:tc>
        <w:tc>
          <w:tcPr>
            <w:tcW w:w="926" w:type="dxa"/>
          </w:tcPr>
          <w:p w14:paraId="5FF91F7C"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10</w:t>
            </w:r>
          </w:p>
        </w:tc>
        <w:tc>
          <w:tcPr>
            <w:tcW w:w="1315" w:type="dxa"/>
          </w:tcPr>
          <w:p w14:paraId="7339D300" w14:textId="77777777" w:rsidR="0040757B" w:rsidRPr="00A202DA" w:rsidRDefault="0040757B" w:rsidP="004A7E9D">
            <w:pPr>
              <w:rPr>
                <w:rFonts w:asciiTheme="majorBidi" w:hAnsiTheme="majorBidi" w:cstheme="majorBidi"/>
                <w:color w:val="000000" w:themeColor="text1"/>
              </w:rPr>
            </w:pPr>
            <w:r w:rsidRPr="00A202DA">
              <w:rPr>
                <w:rFonts w:asciiTheme="majorBidi" w:hAnsiTheme="majorBidi" w:cstheme="majorBidi"/>
                <w:color w:val="000000" w:themeColor="text1"/>
              </w:rPr>
              <w:t>20</w:t>
            </w:r>
          </w:p>
        </w:tc>
      </w:tr>
    </w:tbl>
    <w:p w14:paraId="78DB2F62" w14:textId="77777777" w:rsidR="007D7325" w:rsidRPr="00A202DA" w:rsidRDefault="007D7325" w:rsidP="004A7E9D">
      <w:pPr>
        <w:pStyle w:val="Heading2"/>
        <w:spacing w:before="0" w:line="360" w:lineRule="auto"/>
        <w:ind w:left="0"/>
        <w:rPr>
          <w:rFonts w:asciiTheme="majorBidi" w:hAnsiTheme="majorBidi" w:cstheme="majorBidi"/>
          <w:b w:val="0"/>
          <w:bCs w:val="0"/>
          <w:i/>
          <w:iCs/>
          <w:color w:val="000000" w:themeColor="text1"/>
          <w:sz w:val="24"/>
          <w:szCs w:val="24"/>
        </w:rPr>
      </w:pPr>
    </w:p>
    <w:p w14:paraId="0BB5B2D9" w14:textId="77777777" w:rsidR="007D7325" w:rsidRPr="00A202DA" w:rsidRDefault="007D7325" w:rsidP="004A7E9D">
      <w:pPr>
        <w:pStyle w:val="Heading2"/>
        <w:spacing w:before="0" w:line="360" w:lineRule="auto"/>
        <w:ind w:left="0"/>
        <w:rPr>
          <w:rFonts w:asciiTheme="majorBidi" w:hAnsiTheme="majorBidi" w:cstheme="majorBidi"/>
          <w:b w:val="0"/>
          <w:bCs w:val="0"/>
          <w:i/>
          <w:iCs/>
          <w:color w:val="000000" w:themeColor="text1"/>
          <w:sz w:val="24"/>
          <w:szCs w:val="24"/>
        </w:rPr>
      </w:pPr>
    </w:p>
    <w:p w14:paraId="4F664AE7" w14:textId="4BCF74E5"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pacing w:val="-2"/>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Kisra</w:t>
      </w:r>
      <w:r w:rsidR="00847221" w:rsidRPr="005D48F2">
        <w:rPr>
          <w:rFonts w:asciiTheme="majorBidi" w:hAnsiTheme="majorBidi" w:cstheme="majorBidi"/>
          <w:color w:val="000000" w:themeColor="text1"/>
          <w:spacing w:val="-11"/>
          <w:sz w:val="24"/>
          <w:szCs w:val="24"/>
        </w:rPr>
        <w:t xml:space="preserve"> </w:t>
      </w:r>
      <w:r w:rsidR="009F36A1">
        <w:rPr>
          <w:rFonts w:asciiTheme="majorBidi" w:hAnsiTheme="majorBidi" w:cstheme="majorBidi"/>
          <w:color w:val="000000" w:themeColor="text1"/>
          <w:spacing w:val="-2"/>
          <w:sz w:val="24"/>
          <w:szCs w:val="24"/>
        </w:rPr>
        <w:t>B</w:t>
      </w:r>
      <w:r w:rsidR="009135FF" w:rsidRPr="005D48F2">
        <w:rPr>
          <w:rFonts w:asciiTheme="majorBidi" w:hAnsiTheme="majorBidi" w:cstheme="majorBidi"/>
          <w:color w:val="000000" w:themeColor="text1"/>
          <w:spacing w:val="-2"/>
          <w:sz w:val="24"/>
          <w:szCs w:val="24"/>
        </w:rPr>
        <w:t xml:space="preserve">read </w:t>
      </w:r>
      <w:r w:rsidR="009F36A1">
        <w:rPr>
          <w:rFonts w:asciiTheme="majorBidi" w:hAnsiTheme="majorBidi" w:cstheme="majorBidi"/>
          <w:color w:val="000000" w:themeColor="text1"/>
          <w:spacing w:val="-2"/>
          <w:sz w:val="24"/>
          <w:szCs w:val="24"/>
        </w:rPr>
        <w:t>P</w:t>
      </w:r>
      <w:r w:rsidR="009135FF" w:rsidRPr="005D48F2">
        <w:rPr>
          <w:rFonts w:asciiTheme="majorBidi" w:hAnsiTheme="majorBidi" w:cstheme="majorBidi"/>
          <w:color w:val="000000" w:themeColor="text1"/>
          <w:spacing w:val="-2"/>
          <w:sz w:val="24"/>
          <w:szCs w:val="24"/>
        </w:rPr>
        <w:t>reparation</w:t>
      </w:r>
    </w:p>
    <w:p w14:paraId="081FCED6" w14:textId="1FF1DA9A" w:rsidR="00F84DE9" w:rsidRPr="00A202DA" w:rsidRDefault="00F84DE9"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Kisra bread was prepared, as reported by Mahgoub et al. (1999). Sorghum (Sorghum bicolor) </w:t>
      </w:r>
      <w:r w:rsidRPr="00A202DA">
        <w:rPr>
          <w:rFonts w:asciiTheme="majorBidi" w:hAnsiTheme="majorBidi" w:cstheme="majorBidi"/>
          <w:b w:val="0"/>
          <w:bCs w:val="0"/>
          <w:color w:val="000000" w:themeColor="text1"/>
          <w:sz w:val="24"/>
          <w:szCs w:val="24"/>
        </w:rPr>
        <w:lastRenderedPageBreak/>
        <w:t xml:space="preserve">cultivars were processed in a commercial mechanical stone mill. Whole-grain flour </w:t>
      </w:r>
      <w:r w:rsidR="007D7325" w:rsidRPr="00A202DA">
        <w:rPr>
          <w:rFonts w:asciiTheme="majorBidi" w:hAnsiTheme="majorBidi" w:cstheme="majorBidi"/>
          <w:b w:val="0"/>
          <w:bCs w:val="0"/>
          <w:color w:val="000000" w:themeColor="text1"/>
          <w:sz w:val="24"/>
          <w:szCs w:val="24"/>
        </w:rPr>
        <w:t>was procured and used to mak</w:t>
      </w:r>
      <w:r w:rsidRPr="00A202DA">
        <w:rPr>
          <w:rFonts w:asciiTheme="majorBidi" w:hAnsiTheme="majorBidi" w:cstheme="majorBidi"/>
          <w:b w:val="0"/>
          <w:bCs w:val="0"/>
          <w:color w:val="000000" w:themeColor="text1"/>
          <w:sz w:val="24"/>
          <w:szCs w:val="24"/>
        </w:rPr>
        <w:t xml:space="preserve">e kisra. A thin layer of fermented dough slurry was applied to the hot plate and baked for 20 to 30 seconds. The baked kisra sheets were subsequently removed using a wooden scraper. The meal sheets were </w:t>
      </w:r>
      <w:r w:rsidR="00DB7422" w:rsidRPr="00A202DA">
        <w:rPr>
          <w:rFonts w:asciiTheme="majorBidi" w:hAnsiTheme="majorBidi" w:cstheme="majorBidi"/>
          <w:b w:val="0"/>
          <w:bCs w:val="0"/>
          <w:color w:val="000000" w:themeColor="text1"/>
          <w:sz w:val="24"/>
          <w:szCs w:val="24"/>
        </w:rPr>
        <w:t xml:space="preserve">stored at 4 °C for subsequent analysis after being oven-dried at 70 °C </w:t>
      </w:r>
      <w:r w:rsidRPr="00A202DA">
        <w:rPr>
          <w:rFonts w:asciiTheme="majorBidi" w:hAnsiTheme="majorBidi" w:cstheme="majorBidi"/>
          <w:b w:val="0"/>
          <w:bCs w:val="0"/>
          <w:color w:val="000000" w:themeColor="text1"/>
          <w:sz w:val="24"/>
          <w:szCs w:val="24"/>
        </w:rPr>
        <w:t>and ground to pass through a 0.4 mm sieve.</w:t>
      </w:r>
    </w:p>
    <w:p w14:paraId="1B711D37" w14:textId="1ACB9928"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Protein</w:t>
      </w:r>
      <w:r w:rsidR="00847221" w:rsidRPr="005D48F2">
        <w:rPr>
          <w:rFonts w:asciiTheme="majorBidi" w:hAnsiTheme="majorBidi" w:cstheme="majorBidi"/>
          <w:color w:val="000000" w:themeColor="text1"/>
          <w:spacing w:val="-1"/>
          <w:sz w:val="24"/>
          <w:szCs w:val="24"/>
        </w:rPr>
        <w:t xml:space="preserve"> </w:t>
      </w:r>
      <w:r w:rsidR="009F36A1">
        <w:rPr>
          <w:rFonts w:asciiTheme="majorBidi" w:hAnsiTheme="majorBidi" w:cstheme="majorBidi"/>
          <w:color w:val="000000" w:themeColor="text1"/>
          <w:spacing w:val="-2"/>
          <w:sz w:val="24"/>
          <w:szCs w:val="24"/>
        </w:rPr>
        <w:t>C</w:t>
      </w:r>
      <w:r w:rsidR="009135FF" w:rsidRPr="005D48F2">
        <w:rPr>
          <w:rFonts w:asciiTheme="majorBidi" w:hAnsiTheme="majorBidi" w:cstheme="majorBidi"/>
          <w:color w:val="000000" w:themeColor="text1"/>
          <w:spacing w:val="-2"/>
          <w:sz w:val="24"/>
          <w:szCs w:val="24"/>
        </w:rPr>
        <w:t xml:space="preserve">ontent </w:t>
      </w:r>
      <w:r w:rsidR="009F36A1">
        <w:rPr>
          <w:rFonts w:asciiTheme="majorBidi" w:hAnsiTheme="majorBidi" w:cstheme="majorBidi"/>
          <w:color w:val="000000" w:themeColor="text1"/>
          <w:spacing w:val="-2"/>
          <w:sz w:val="24"/>
          <w:szCs w:val="24"/>
        </w:rPr>
        <w:t>D</w:t>
      </w:r>
      <w:r w:rsidR="009135FF" w:rsidRPr="005D48F2">
        <w:rPr>
          <w:rFonts w:asciiTheme="majorBidi" w:hAnsiTheme="majorBidi" w:cstheme="majorBidi"/>
          <w:color w:val="000000" w:themeColor="text1"/>
          <w:spacing w:val="-2"/>
          <w:sz w:val="24"/>
          <w:szCs w:val="24"/>
        </w:rPr>
        <w:t>etermination</w:t>
      </w:r>
    </w:p>
    <w:p w14:paraId="3C76C70F" w14:textId="35E09962" w:rsidR="00AD5E7C" w:rsidRPr="00A202DA" w:rsidRDefault="00AD5E7C" w:rsidP="004A7E9D">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The total nitrogen (micro-Kjeldahl) of the samples was </w:t>
      </w:r>
      <w:r w:rsidR="007D7325" w:rsidRPr="00A202DA">
        <w:rPr>
          <w:rFonts w:asciiTheme="majorBidi" w:eastAsia="Arial MT" w:hAnsiTheme="majorBidi" w:cstheme="majorBidi"/>
          <w:color w:val="000000" w:themeColor="text1"/>
          <w:sz w:val="24"/>
          <w:szCs w:val="24"/>
        </w:rPr>
        <w:t>determined according to</w:t>
      </w:r>
      <w:r w:rsidRPr="00A202DA">
        <w:rPr>
          <w:rFonts w:asciiTheme="majorBidi" w:eastAsia="Arial MT" w:hAnsiTheme="majorBidi" w:cstheme="majorBidi"/>
          <w:color w:val="000000" w:themeColor="text1"/>
          <w:sz w:val="24"/>
          <w:szCs w:val="24"/>
        </w:rPr>
        <w:t xml:space="preserve"> AOAC (2005). Protein was determined by multiplying nitrogen by 6.25.</w:t>
      </w:r>
    </w:p>
    <w:p w14:paraId="433C3830" w14:textId="04DCCBCE" w:rsidR="009135FF" w:rsidRPr="005D48F2" w:rsidRDefault="005D48F2" w:rsidP="004A7E9D">
      <w:pPr>
        <w:pStyle w:val="ListParagraph"/>
        <w:numPr>
          <w:ilvl w:val="1"/>
          <w:numId w:val="1"/>
        </w:numPr>
        <w:spacing w:after="0" w:line="360" w:lineRule="auto"/>
        <w:ind w:left="0" w:firstLine="0"/>
        <w:jc w:val="both"/>
        <w:rPr>
          <w:rFonts w:asciiTheme="majorBidi" w:hAnsiTheme="majorBidi" w:cstheme="majorBidi"/>
          <w:b/>
          <w:bCs/>
          <w:color w:val="000000" w:themeColor="text1"/>
          <w:sz w:val="24"/>
          <w:szCs w:val="24"/>
        </w:rPr>
      </w:pPr>
      <w:r>
        <w:rPr>
          <w:rFonts w:asciiTheme="majorBidi" w:hAnsiTheme="majorBidi" w:cstheme="majorBidi"/>
          <w:i/>
          <w:iCs/>
          <w:color w:val="000000" w:themeColor="text1"/>
          <w:sz w:val="24"/>
          <w:szCs w:val="24"/>
        </w:rPr>
        <w:t xml:space="preserve"> </w:t>
      </w:r>
      <w:r w:rsidR="009135FF" w:rsidRPr="005D48F2">
        <w:rPr>
          <w:rFonts w:asciiTheme="majorBidi" w:hAnsiTheme="majorBidi" w:cstheme="majorBidi"/>
          <w:b/>
          <w:bCs/>
          <w:color w:val="000000" w:themeColor="text1"/>
          <w:sz w:val="24"/>
          <w:szCs w:val="24"/>
        </w:rPr>
        <w:t xml:space="preserve">Phytate </w:t>
      </w:r>
      <w:r w:rsidR="009F36A1">
        <w:rPr>
          <w:rFonts w:asciiTheme="majorBidi" w:hAnsiTheme="majorBidi" w:cstheme="majorBidi"/>
          <w:b/>
          <w:bCs/>
          <w:color w:val="000000" w:themeColor="text1"/>
          <w:sz w:val="24"/>
          <w:szCs w:val="24"/>
        </w:rPr>
        <w:t>C</w:t>
      </w:r>
      <w:r w:rsidR="009135FF" w:rsidRPr="005D48F2">
        <w:rPr>
          <w:rFonts w:asciiTheme="majorBidi" w:hAnsiTheme="majorBidi" w:cstheme="majorBidi"/>
          <w:b/>
          <w:bCs/>
          <w:color w:val="000000" w:themeColor="text1"/>
          <w:sz w:val="24"/>
          <w:szCs w:val="24"/>
        </w:rPr>
        <w:t xml:space="preserve">ontent </w:t>
      </w:r>
      <w:r w:rsidR="009F36A1">
        <w:rPr>
          <w:rFonts w:asciiTheme="majorBidi" w:hAnsiTheme="majorBidi" w:cstheme="majorBidi"/>
          <w:b/>
          <w:bCs/>
          <w:color w:val="000000" w:themeColor="text1"/>
          <w:sz w:val="24"/>
          <w:szCs w:val="24"/>
        </w:rPr>
        <w:t>D</w:t>
      </w:r>
      <w:r w:rsidR="009135FF" w:rsidRPr="005D48F2">
        <w:rPr>
          <w:rFonts w:asciiTheme="majorBidi" w:hAnsiTheme="majorBidi" w:cstheme="majorBidi"/>
          <w:b/>
          <w:bCs/>
          <w:color w:val="000000" w:themeColor="text1"/>
          <w:sz w:val="24"/>
          <w:szCs w:val="24"/>
        </w:rPr>
        <w:t>etermination</w:t>
      </w:r>
    </w:p>
    <w:p w14:paraId="0F82C1E4" w14:textId="6278FE5E" w:rsidR="00AD5E7C" w:rsidRPr="00A202DA" w:rsidRDefault="00AD5E7C"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AOAC (2005) method was employed to ascertain phytate concentration. Phytate was extracted </w:t>
      </w:r>
      <w:r w:rsidR="007D7325" w:rsidRPr="00A202DA">
        <w:rPr>
          <w:rFonts w:asciiTheme="majorBidi" w:hAnsiTheme="majorBidi" w:cstheme="majorBidi"/>
          <w:color w:val="000000" w:themeColor="text1"/>
          <w:sz w:val="24"/>
          <w:szCs w:val="24"/>
        </w:rPr>
        <w:t>with 0.5 M HNO3</w:t>
      </w:r>
      <w:r w:rsidR="00DB7422" w:rsidRPr="00A202DA">
        <w:rPr>
          <w:rFonts w:asciiTheme="majorBidi" w:hAnsiTheme="majorBidi" w:cstheme="majorBidi"/>
          <w:color w:val="000000" w:themeColor="text1"/>
          <w:sz w:val="24"/>
          <w:szCs w:val="24"/>
        </w:rPr>
        <w:t xml:space="preserve"> and then digested with 0.5 mL of </w:t>
      </w:r>
      <w:r w:rsidRPr="00A202DA">
        <w:rPr>
          <w:rFonts w:asciiTheme="majorBidi" w:hAnsiTheme="majorBidi" w:cstheme="majorBidi"/>
          <w:color w:val="000000" w:themeColor="text1"/>
          <w:sz w:val="24"/>
          <w:szCs w:val="24"/>
        </w:rPr>
        <w:t>perchloric acid. The processed material was diluted to 25 mL with distilled water in a volumetric flask. A 2.5 mL aliquot of each extract was combined with 2.5 mL of nitric acid, and the phytic phosphorus interacted with 2.5 mL of vanadium molybdate to produce a yellow-orange complex. Absorbance was quantified at 460 nm utilizing a UV/Vis Spectrophotometer (PD-UV, Apel, Saitama, Japan). A blank reagent and a 2 mg standard of phytic acid were utilized to ascertain phytate concentration in mg/100 g.</w:t>
      </w:r>
    </w:p>
    <w:p w14:paraId="7181F965" w14:textId="63AF29A5" w:rsidR="009135FF" w:rsidRPr="005D48F2" w:rsidRDefault="005D48F2" w:rsidP="004A7E9D">
      <w:pPr>
        <w:pStyle w:val="ListParagraph"/>
        <w:numPr>
          <w:ilvl w:val="1"/>
          <w:numId w:val="1"/>
        </w:numPr>
        <w:spacing w:after="0" w:line="360" w:lineRule="auto"/>
        <w:ind w:left="0" w:firstLine="0"/>
        <w:jc w:val="both"/>
        <w:rPr>
          <w:rFonts w:asciiTheme="majorBidi" w:hAnsiTheme="majorBidi" w:cstheme="majorBidi"/>
          <w:b/>
          <w:bCs/>
          <w:color w:val="000000" w:themeColor="text1"/>
          <w:sz w:val="24"/>
          <w:szCs w:val="24"/>
        </w:rPr>
      </w:pPr>
      <w:r>
        <w:rPr>
          <w:rFonts w:asciiTheme="majorBidi" w:hAnsiTheme="majorBidi" w:cstheme="majorBidi"/>
          <w:i/>
          <w:iCs/>
          <w:color w:val="000000" w:themeColor="text1"/>
          <w:sz w:val="24"/>
          <w:szCs w:val="24"/>
        </w:rPr>
        <w:t xml:space="preserve"> </w:t>
      </w:r>
      <w:r w:rsidR="009135FF" w:rsidRPr="005D48F2">
        <w:rPr>
          <w:rFonts w:asciiTheme="majorBidi" w:hAnsiTheme="majorBidi" w:cstheme="majorBidi"/>
          <w:b/>
          <w:bCs/>
          <w:color w:val="000000" w:themeColor="text1"/>
          <w:sz w:val="24"/>
          <w:szCs w:val="24"/>
        </w:rPr>
        <w:t xml:space="preserve">Tannin </w:t>
      </w:r>
      <w:r w:rsidR="009F36A1">
        <w:rPr>
          <w:rFonts w:asciiTheme="majorBidi" w:hAnsiTheme="majorBidi" w:cstheme="majorBidi"/>
          <w:b/>
          <w:bCs/>
          <w:color w:val="000000" w:themeColor="text1"/>
          <w:sz w:val="24"/>
          <w:szCs w:val="24"/>
        </w:rPr>
        <w:t>C</w:t>
      </w:r>
      <w:r w:rsidR="009135FF" w:rsidRPr="005D48F2">
        <w:rPr>
          <w:rFonts w:asciiTheme="majorBidi" w:hAnsiTheme="majorBidi" w:cstheme="majorBidi"/>
          <w:b/>
          <w:bCs/>
          <w:color w:val="000000" w:themeColor="text1"/>
          <w:sz w:val="24"/>
          <w:szCs w:val="24"/>
        </w:rPr>
        <w:t xml:space="preserve">ontent </w:t>
      </w:r>
      <w:r w:rsidR="009F36A1">
        <w:rPr>
          <w:rFonts w:asciiTheme="majorBidi" w:hAnsiTheme="majorBidi" w:cstheme="majorBidi"/>
          <w:b/>
          <w:bCs/>
          <w:color w:val="000000" w:themeColor="text1"/>
          <w:sz w:val="24"/>
          <w:szCs w:val="24"/>
        </w:rPr>
        <w:t>D</w:t>
      </w:r>
      <w:r w:rsidR="009135FF" w:rsidRPr="005D48F2">
        <w:rPr>
          <w:rFonts w:asciiTheme="majorBidi" w:hAnsiTheme="majorBidi" w:cstheme="majorBidi"/>
          <w:b/>
          <w:bCs/>
          <w:color w:val="000000" w:themeColor="text1"/>
          <w:sz w:val="24"/>
          <w:szCs w:val="24"/>
        </w:rPr>
        <w:t xml:space="preserve">etermination </w:t>
      </w:r>
    </w:p>
    <w:p w14:paraId="5179535A" w14:textId="4854E622" w:rsidR="00AD5E7C" w:rsidRPr="00A202DA" w:rsidRDefault="00AD5E7C"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The tannin concentration was measured utilizing the method outlined by Dykes (2019). A 100 mL conical flask containing 0.2 g of each sample </w:t>
      </w:r>
      <w:r w:rsidR="007D7325" w:rsidRPr="00A202DA">
        <w:rPr>
          <w:rFonts w:asciiTheme="majorBidi" w:hAnsiTheme="majorBidi" w:cstheme="majorBidi"/>
          <w:color w:val="000000" w:themeColor="text1"/>
          <w:sz w:val="24"/>
          <w:szCs w:val="24"/>
        </w:rPr>
        <w:t>was treated with</w:t>
      </w:r>
      <w:r w:rsidRPr="00A202DA">
        <w:rPr>
          <w:rFonts w:asciiTheme="majorBidi" w:hAnsiTheme="majorBidi" w:cstheme="majorBidi"/>
          <w:color w:val="000000" w:themeColor="text1"/>
          <w:sz w:val="24"/>
          <w:szCs w:val="24"/>
        </w:rPr>
        <w:t xml:space="preserve"> 10 mL of 1% HCl in methanol (v/v); the mixture was thoroughly mixed and subsequently centrifuged at 2500 rpm for 5 minutes. Subsequently, </w:t>
      </w:r>
      <w:r w:rsidR="007D7325" w:rsidRPr="00A202DA">
        <w:rPr>
          <w:rFonts w:asciiTheme="majorBidi" w:hAnsiTheme="majorBidi" w:cstheme="majorBidi"/>
          <w:color w:val="000000" w:themeColor="text1"/>
          <w:sz w:val="24"/>
          <w:szCs w:val="24"/>
        </w:rPr>
        <w:t xml:space="preserve">approximately 5 mL of vanillin-HCl reagent was added </w:t>
      </w:r>
      <w:r w:rsidRPr="00A202DA">
        <w:rPr>
          <w:rFonts w:asciiTheme="majorBidi" w:hAnsiTheme="majorBidi" w:cstheme="majorBidi"/>
          <w:color w:val="000000" w:themeColor="text1"/>
          <w:sz w:val="24"/>
          <w:szCs w:val="24"/>
        </w:rPr>
        <w:t xml:space="preserve">to 1 mL of supernatant. Following a 20-minute incubation at 30 °C, the absorbance was quantified at 500 nm using a spectrophotometer (PD-UV, Apel, Saitama, Japan). Tannin content was determined using a standard curve of tannic acid, </w:t>
      </w:r>
      <w:r w:rsidR="007D7325" w:rsidRPr="00A202DA">
        <w:rPr>
          <w:rFonts w:asciiTheme="majorBidi" w:hAnsiTheme="majorBidi" w:cstheme="majorBidi"/>
          <w:color w:val="000000" w:themeColor="text1"/>
          <w:sz w:val="24"/>
          <w:szCs w:val="24"/>
        </w:rPr>
        <w:t>and results were reported in mg/100 g</w:t>
      </w:r>
      <w:r w:rsidRPr="00A202DA">
        <w:rPr>
          <w:rFonts w:asciiTheme="majorBidi" w:hAnsiTheme="majorBidi" w:cstheme="majorBidi"/>
          <w:color w:val="000000" w:themeColor="text1"/>
          <w:sz w:val="24"/>
          <w:szCs w:val="24"/>
        </w:rPr>
        <w:t>.</w:t>
      </w:r>
    </w:p>
    <w:p w14:paraId="7ACE0F86" w14:textId="0B27B232" w:rsidR="00847221" w:rsidRPr="005D48F2" w:rsidRDefault="00847221" w:rsidP="004A7E9D">
      <w:pPr>
        <w:pStyle w:val="ListParagraph"/>
        <w:numPr>
          <w:ilvl w:val="1"/>
          <w:numId w:val="1"/>
        </w:numPr>
        <w:spacing w:after="0" w:line="360" w:lineRule="auto"/>
        <w:ind w:left="0" w:firstLine="0"/>
        <w:rPr>
          <w:rFonts w:asciiTheme="majorBidi" w:hAnsiTheme="majorBidi" w:cstheme="majorBidi"/>
          <w:b/>
          <w:iCs/>
          <w:color w:val="000000" w:themeColor="text1"/>
          <w:sz w:val="24"/>
          <w:szCs w:val="24"/>
        </w:rPr>
      </w:pPr>
      <w:r w:rsidRPr="005D48F2">
        <w:rPr>
          <w:rFonts w:asciiTheme="majorBidi" w:hAnsiTheme="majorBidi" w:cstheme="majorBidi"/>
          <w:b/>
          <w:iCs/>
          <w:color w:val="000000" w:themeColor="text1"/>
          <w:sz w:val="24"/>
          <w:szCs w:val="24"/>
        </w:rPr>
        <w:t>In</w:t>
      </w:r>
      <w:r w:rsidRPr="005D48F2">
        <w:rPr>
          <w:rFonts w:asciiTheme="majorBidi" w:hAnsiTheme="majorBidi" w:cstheme="majorBidi"/>
          <w:b/>
          <w:iCs/>
          <w:color w:val="000000" w:themeColor="text1"/>
          <w:spacing w:val="-1"/>
          <w:sz w:val="24"/>
          <w:szCs w:val="24"/>
        </w:rPr>
        <w:t xml:space="preserve"> </w:t>
      </w:r>
      <w:r w:rsidRPr="005D48F2">
        <w:rPr>
          <w:rFonts w:asciiTheme="majorBidi" w:hAnsiTheme="majorBidi" w:cstheme="majorBidi"/>
          <w:b/>
          <w:iCs/>
          <w:color w:val="000000" w:themeColor="text1"/>
          <w:sz w:val="24"/>
          <w:szCs w:val="24"/>
        </w:rPr>
        <w:t>vitro</w:t>
      </w:r>
      <w:r w:rsidRPr="005D48F2">
        <w:rPr>
          <w:rFonts w:asciiTheme="majorBidi" w:hAnsiTheme="majorBidi" w:cstheme="majorBidi"/>
          <w:b/>
          <w:iCs/>
          <w:color w:val="000000" w:themeColor="text1"/>
          <w:spacing w:val="-2"/>
          <w:sz w:val="24"/>
          <w:szCs w:val="24"/>
        </w:rPr>
        <w:t xml:space="preserve"> </w:t>
      </w:r>
      <w:r w:rsidR="009F36A1">
        <w:rPr>
          <w:rFonts w:asciiTheme="majorBidi" w:hAnsiTheme="majorBidi" w:cstheme="majorBidi"/>
          <w:b/>
          <w:iCs/>
          <w:color w:val="000000" w:themeColor="text1"/>
          <w:sz w:val="24"/>
          <w:szCs w:val="24"/>
        </w:rPr>
        <w:t>P</w:t>
      </w:r>
      <w:r w:rsidRPr="005D48F2">
        <w:rPr>
          <w:rFonts w:asciiTheme="majorBidi" w:hAnsiTheme="majorBidi" w:cstheme="majorBidi"/>
          <w:b/>
          <w:iCs/>
          <w:color w:val="000000" w:themeColor="text1"/>
          <w:sz w:val="24"/>
          <w:szCs w:val="24"/>
        </w:rPr>
        <w:t xml:space="preserve">rotein </w:t>
      </w:r>
      <w:r w:rsidR="009F36A1">
        <w:rPr>
          <w:rFonts w:asciiTheme="majorBidi" w:hAnsiTheme="majorBidi" w:cstheme="majorBidi"/>
          <w:b/>
          <w:iCs/>
          <w:color w:val="000000" w:themeColor="text1"/>
          <w:spacing w:val="-2"/>
          <w:sz w:val="24"/>
          <w:szCs w:val="24"/>
        </w:rPr>
        <w:t>D</w:t>
      </w:r>
      <w:r w:rsidRPr="005D48F2">
        <w:rPr>
          <w:rFonts w:asciiTheme="majorBidi" w:hAnsiTheme="majorBidi" w:cstheme="majorBidi"/>
          <w:b/>
          <w:iCs/>
          <w:color w:val="000000" w:themeColor="text1"/>
          <w:spacing w:val="-2"/>
          <w:sz w:val="24"/>
          <w:szCs w:val="24"/>
        </w:rPr>
        <w:t>igestibility</w:t>
      </w:r>
    </w:p>
    <w:p w14:paraId="041CAC34" w14:textId="20049857" w:rsidR="00AD5E7C" w:rsidRPr="00A202DA" w:rsidRDefault="00AD5E7C" w:rsidP="004A7E9D">
      <w:pPr>
        <w:pStyle w:val="Heading1"/>
        <w:spacing w:before="0" w:line="360" w:lineRule="auto"/>
        <w:ind w:left="0"/>
        <w:jc w:val="both"/>
        <w:rPr>
          <w:rFonts w:asciiTheme="majorBidi" w:eastAsiaTheme="minorHAnsi" w:hAnsiTheme="majorBidi" w:cstheme="majorBidi"/>
          <w:b w:val="0"/>
          <w:bCs w:val="0"/>
          <w:color w:val="000000" w:themeColor="text1"/>
          <w:sz w:val="24"/>
          <w:szCs w:val="24"/>
        </w:rPr>
      </w:pPr>
      <w:r w:rsidRPr="00A202DA">
        <w:rPr>
          <w:rFonts w:asciiTheme="majorBidi" w:eastAsiaTheme="minorHAnsi" w:hAnsiTheme="majorBidi" w:cstheme="majorBidi"/>
          <w:b w:val="0"/>
          <w:bCs w:val="0"/>
          <w:color w:val="000000" w:themeColor="text1"/>
          <w:sz w:val="24"/>
          <w:szCs w:val="24"/>
        </w:rPr>
        <w:t xml:space="preserve">According to </w:t>
      </w:r>
      <w:r w:rsidR="007D7325" w:rsidRPr="00A202DA">
        <w:rPr>
          <w:rFonts w:asciiTheme="majorBidi" w:eastAsiaTheme="minorHAnsi" w:hAnsiTheme="majorBidi" w:cstheme="majorBidi"/>
          <w:b w:val="0"/>
          <w:bCs w:val="0"/>
          <w:color w:val="000000" w:themeColor="text1"/>
          <w:sz w:val="24"/>
          <w:szCs w:val="24"/>
        </w:rPr>
        <w:t xml:space="preserve">the </w:t>
      </w:r>
      <w:proofErr w:type="spellStart"/>
      <w:r w:rsidR="007D7325" w:rsidRPr="00A202DA">
        <w:rPr>
          <w:rFonts w:asciiTheme="majorBidi" w:eastAsiaTheme="minorHAnsi" w:hAnsiTheme="majorBidi" w:cstheme="majorBidi"/>
          <w:b w:val="0"/>
          <w:bCs w:val="0"/>
          <w:color w:val="000000" w:themeColor="text1"/>
          <w:sz w:val="24"/>
          <w:szCs w:val="24"/>
        </w:rPr>
        <w:t>Monjula</w:t>
      </w:r>
      <w:proofErr w:type="spellEnd"/>
      <w:r w:rsidR="007D7325" w:rsidRPr="00A202DA">
        <w:rPr>
          <w:rFonts w:asciiTheme="majorBidi" w:eastAsiaTheme="minorHAnsi" w:hAnsiTheme="majorBidi" w:cstheme="majorBidi"/>
          <w:b w:val="0"/>
          <w:bCs w:val="0"/>
          <w:color w:val="000000" w:themeColor="text1"/>
          <w:sz w:val="24"/>
          <w:szCs w:val="24"/>
        </w:rPr>
        <w:t xml:space="preserve"> and John (1991) method, 200 mg of each sample was weigh</w:t>
      </w:r>
      <w:r w:rsidRPr="00A202DA">
        <w:rPr>
          <w:rFonts w:asciiTheme="majorBidi" w:eastAsiaTheme="minorHAnsi" w:hAnsiTheme="majorBidi" w:cstheme="majorBidi"/>
          <w:b w:val="0"/>
          <w:bCs w:val="0"/>
          <w:color w:val="000000" w:themeColor="text1"/>
          <w:sz w:val="24"/>
          <w:szCs w:val="24"/>
        </w:rPr>
        <w:t xml:space="preserve">ed into a 100 mL Erlenmeyer flask containing 35 mL of 0.1 mol/L sodium citrate tribasic dihydrate (pH 2.0) with pepsin (1.5 g/L). The mixture was incubated at 37 °C for 2 hours in a water bath, </w:t>
      </w:r>
      <w:r w:rsidR="007D7325" w:rsidRPr="00A202DA">
        <w:rPr>
          <w:rFonts w:asciiTheme="majorBidi" w:eastAsiaTheme="minorHAnsi" w:hAnsiTheme="majorBidi" w:cstheme="majorBidi"/>
          <w:b w:val="0"/>
          <w:bCs w:val="0"/>
          <w:color w:val="000000" w:themeColor="text1"/>
          <w:sz w:val="24"/>
          <w:szCs w:val="24"/>
        </w:rPr>
        <w:t>then centrifuged</w:t>
      </w:r>
      <w:r w:rsidRPr="00A202DA">
        <w:rPr>
          <w:rFonts w:asciiTheme="majorBidi" w:eastAsiaTheme="minorHAnsi" w:hAnsiTheme="majorBidi" w:cstheme="majorBidi"/>
          <w:b w:val="0"/>
          <w:bCs w:val="0"/>
          <w:color w:val="000000" w:themeColor="text1"/>
          <w:sz w:val="24"/>
          <w:szCs w:val="24"/>
        </w:rPr>
        <w:t xml:space="preserve"> at 1000xg for 15 minutes; the supernatant was discarded. The residue was washed, dried, and analyzed for nitrogen concentration </w:t>
      </w:r>
      <w:r w:rsidR="007D7325" w:rsidRPr="00A202DA">
        <w:rPr>
          <w:rFonts w:asciiTheme="majorBidi" w:eastAsiaTheme="minorHAnsi" w:hAnsiTheme="majorBidi" w:cstheme="majorBidi"/>
          <w:b w:val="0"/>
          <w:bCs w:val="0"/>
          <w:color w:val="000000" w:themeColor="text1"/>
          <w:sz w:val="24"/>
          <w:szCs w:val="24"/>
        </w:rPr>
        <w:t>using the AOAC (2005) standard</w:t>
      </w:r>
      <w:r w:rsidRPr="00A202DA">
        <w:rPr>
          <w:rFonts w:asciiTheme="majorBidi" w:eastAsiaTheme="minorHAnsi" w:hAnsiTheme="majorBidi" w:cstheme="majorBidi"/>
          <w:b w:val="0"/>
          <w:bCs w:val="0"/>
          <w:color w:val="000000" w:themeColor="text1"/>
          <w:sz w:val="24"/>
          <w:szCs w:val="24"/>
        </w:rPr>
        <w:t xml:space="preserve"> </w:t>
      </w:r>
      <w:r w:rsidRPr="00A202DA">
        <w:rPr>
          <w:rFonts w:asciiTheme="majorBidi" w:eastAsiaTheme="minorHAnsi" w:hAnsiTheme="majorBidi" w:cstheme="majorBidi"/>
          <w:b w:val="0"/>
          <w:bCs w:val="0"/>
          <w:color w:val="000000" w:themeColor="text1"/>
          <w:sz w:val="24"/>
          <w:szCs w:val="24"/>
        </w:rPr>
        <w:lastRenderedPageBreak/>
        <w:t xml:space="preserve">procedure. In vitro protein digestibility was </w:t>
      </w:r>
      <w:r w:rsidR="00DB7422" w:rsidRPr="00A202DA">
        <w:rPr>
          <w:rFonts w:asciiTheme="majorBidi" w:eastAsiaTheme="minorHAnsi" w:hAnsiTheme="majorBidi" w:cstheme="majorBidi"/>
          <w:b w:val="0"/>
          <w:bCs w:val="0"/>
          <w:color w:val="000000" w:themeColor="text1"/>
          <w:sz w:val="24"/>
          <w:szCs w:val="24"/>
        </w:rPr>
        <w:t xml:space="preserve">calculated as the percentage of protein in the supernatant relative </w:t>
      </w:r>
      <w:r w:rsidRPr="00A202DA">
        <w:rPr>
          <w:rFonts w:asciiTheme="majorBidi" w:eastAsiaTheme="minorHAnsi" w:hAnsiTheme="majorBidi" w:cstheme="majorBidi"/>
          <w:b w:val="0"/>
          <w:bCs w:val="0"/>
          <w:color w:val="000000" w:themeColor="text1"/>
          <w:sz w:val="24"/>
          <w:szCs w:val="24"/>
        </w:rPr>
        <w:t>to the total protein content of the sample.</w:t>
      </w:r>
    </w:p>
    <w:p w14:paraId="2BF87AF0" w14:textId="5FE4FCC5" w:rsidR="006012B7" w:rsidRPr="005D48F2" w:rsidRDefault="005D48F2" w:rsidP="004A7E9D">
      <w:pPr>
        <w:pStyle w:val="Pa0"/>
        <w:numPr>
          <w:ilvl w:val="1"/>
          <w:numId w:val="1"/>
        </w:numPr>
        <w:spacing w:line="360" w:lineRule="auto"/>
        <w:ind w:left="0" w:firstLine="0"/>
        <w:jc w:val="both"/>
        <w:rPr>
          <w:rFonts w:asciiTheme="majorBidi" w:hAnsiTheme="majorBidi" w:cstheme="majorBidi"/>
          <w:b/>
          <w:bCs/>
          <w:color w:val="000000" w:themeColor="text1"/>
        </w:rPr>
      </w:pPr>
      <w:r>
        <w:rPr>
          <w:rFonts w:asciiTheme="majorBidi" w:hAnsiTheme="majorBidi" w:cstheme="majorBidi"/>
          <w:i/>
          <w:iCs/>
          <w:color w:val="000000" w:themeColor="text1"/>
        </w:rPr>
        <w:t xml:space="preserve"> </w:t>
      </w:r>
      <w:r w:rsidR="006012B7" w:rsidRPr="005D48F2">
        <w:rPr>
          <w:rFonts w:asciiTheme="majorBidi" w:hAnsiTheme="majorBidi" w:cstheme="majorBidi"/>
          <w:b/>
          <w:bCs/>
          <w:color w:val="000000" w:themeColor="text1"/>
        </w:rPr>
        <w:t xml:space="preserve">Statistical </w:t>
      </w:r>
      <w:r w:rsidR="009F36A1">
        <w:rPr>
          <w:rFonts w:asciiTheme="majorBidi" w:hAnsiTheme="majorBidi" w:cstheme="majorBidi"/>
          <w:b/>
          <w:bCs/>
          <w:color w:val="000000" w:themeColor="text1"/>
        </w:rPr>
        <w:t>A</w:t>
      </w:r>
      <w:r w:rsidR="006012B7" w:rsidRPr="005D48F2">
        <w:rPr>
          <w:rFonts w:asciiTheme="majorBidi" w:hAnsiTheme="majorBidi" w:cstheme="majorBidi"/>
          <w:b/>
          <w:bCs/>
          <w:color w:val="000000" w:themeColor="text1"/>
        </w:rPr>
        <w:t xml:space="preserve">nalysis </w:t>
      </w:r>
    </w:p>
    <w:p w14:paraId="6DD491D6" w14:textId="7F6594F3" w:rsidR="00534095" w:rsidRPr="00A202DA" w:rsidRDefault="00534095" w:rsidP="004A7E9D">
      <w:pPr>
        <w:pStyle w:val="Heading1"/>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An analysis of variance was performed on three data replicates utilizing IBM SPSS Statistics 23.0 software (SPSS Inc., USA). The means and standard deviations of the data are presented. Duncan</w:t>
      </w:r>
      <w:r w:rsidR="007D7325" w:rsidRPr="00A202DA">
        <w:rPr>
          <w:rFonts w:asciiTheme="majorBidi" w:hAnsiTheme="majorBidi" w:cstheme="majorBidi"/>
          <w:b w:val="0"/>
          <w:bCs w:val="0"/>
          <w:color w:val="000000" w:themeColor="text1"/>
          <w:sz w:val="24"/>
          <w:szCs w:val="24"/>
        </w:rPr>
        <w:t>'</w:t>
      </w:r>
      <w:r w:rsidRPr="00A202DA">
        <w:rPr>
          <w:rFonts w:asciiTheme="majorBidi" w:hAnsiTheme="majorBidi" w:cstheme="majorBidi"/>
          <w:b w:val="0"/>
          <w:bCs w:val="0"/>
          <w:color w:val="000000" w:themeColor="text1"/>
          <w:sz w:val="24"/>
          <w:szCs w:val="24"/>
        </w:rPr>
        <w:t>s multiple</w:t>
      </w:r>
      <w:r w:rsidR="007D7325" w:rsidRPr="00A202DA">
        <w:rPr>
          <w:rFonts w:asciiTheme="majorBidi" w:hAnsiTheme="majorBidi" w:cstheme="majorBidi"/>
          <w:b w:val="0"/>
          <w:bCs w:val="0"/>
          <w:color w:val="000000" w:themeColor="text1"/>
          <w:sz w:val="24"/>
          <w:szCs w:val="24"/>
        </w:rPr>
        <w:t>-range tests were employed to determine the significance of differences</w:t>
      </w:r>
      <w:r w:rsidRPr="00A202DA">
        <w:rPr>
          <w:rFonts w:asciiTheme="majorBidi" w:hAnsiTheme="majorBidi" w:cstheme="majorBidi"/>
          <w:b w:val="0"/>
          <w:bCs w:val="0"/>
          <w:color w:val="000000" w:themeColor="text1"/>
          <w:sz w:val="24"/>
          <w:szCs w:val="24"/>
        </w:rPr>
        <w:t xml:space="preserve"> between means. Statistical significance was deemed acceptable at P ≤ 0.05.</w:t>
      </w:r>
    </w:p>
    <w:p w14:paraId="7689DFE1" w14:textId="22AFAC97" w:rsidR="00847221" w:rsidRPr="00A202DA" w:rsidRDefault="00847221" w:rsidP="004A7E9D">
      <w:pPr>
        <w:pStyle w:val="Heading1"/>
        <w:numPr>
          <w:ilvl w:val="0"/>
          <w:numId w:val="1"/>
        </w:numPr>
        <w:spacing w:before="0" w:line="360" w:lineRule="auto"/>
        <w:ind w:left="0" w:firstLine="0"/>
        <w:rPr>
          <w:rFonts w:asciiTheme="majorBidi" w:hAnsiTheme="majorBidi" w:cstheme="majorBidi"/>
          <w:color w:val="000000" w:themeColor="text1"/>
          <w:spacing w:val="-2"/>
          <w:sz w:val="24"/>
          <w:szCs w:val="24"/>
        </w:rPr>
      </w:pPr>
      <w:r w:rsidRPr="00A202DA">
        <w:rPr>
          <w:rFonts w:asciiTheme="majorBidi" w:hAnsiTheme="majorBidi" w:cstheme="majorBidi"/>
          <w:color w:val="000000" w:themeColor="text1"/>
          <w:sz w:val="24"/>
          <w:szCs w:val="24"/>
        </w:rPr>
        <w:t>R</w:t>
      </w:r>
      <w:r w:rsidR="00BD6124" w:rsidRPr="00A202DA">
        <w:rPr>
          <w:rFonts w:asciiTheme="majorBidi" w:hAnsiTheme="majorBidi" w:cstheme="majorBidi"/>
          <w:color w:val="000000" w:themeColor="text1"/>
          <w:sz w:val="24"/>
          <w:szCs w:val="24"/>
        </w:rPr>
        <w:t>esults</w:t>
      </w:r>
      <w:r w:rsidRPr="00A202DA">
        <w:rPr>
          <w:rFonts w:asciiTheme="majorBidi" w:hAnsiTheme="majorBidi" w:cstheme="majorBidi"/>
          <w:color w:val="000000" w:themeColor="text1"/>
          <w:spacing w:val="-6"/>
          <w:sz w:val="24"/>
          <w:szCs w:val="24"/>
        </w:rPr>
        <w:t xml:space="preserve"> </w:t>
      </w:r>
      <w:r w:rsidR="00BD6124" w:rsidRPr="00A202DA">
        <w:rPr>
          <w:rFonts w:asciiTheme="majorBidi" w:hAnsiTheme="majorBidi" w:cstheme="majorBidi"/>
          <w:color w:val="000000" w:themeColor="text1"/>
          <w:sz w:val="24"/>
          <w:szCs w:val="24"/>
        </w:rPr>
        <w:t xml:space="preserve">and </w:t>
      </w:r>
      <w:r w:rsidR="009F36A1">
        <w:rPr>
          <w:rFonts w:asciiTheme="majorBidi" w:hAnsiTheme="majorBidi" w:cstheme="majorBidi"/>
          <w:color w:val="000000" w:themeColor="text1"/>
          <w:sz w:val="24"/>
          <w:szCs w:val="24"/>
        </w:rPr>
        <w:t>D</w:t>
      </w:r>
      <w:r w:rsidR="00BD6124" w:rsidRPr="00A202DA">
        <w:rPr>
          <w:rFonts w:asciiTheme="majorBidi" w:hAnsiTheme="majorBidi" w:cstheme="majorBidi"/>
          <w:color w:val="000000" w:themeColor="text1"/>
          <w:sz w:val="24"/>
          <w:szCs w:val="24"/>
        </w:rPr>
        <w:t>iscussion</w:t>
      </w:r>
    </w:p>
    <w:p w14:paraId="225EBBEB" w14:textId="5DD046F5" w:rsidR="00BD6124" w:rsidRPr="005D48F2" w:rsidRDefault="005D48F2" w:rsidP="004A7E9D">
      <w:pPr>
        <w:pStyle w:val="Heading1"/>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BD6124" w:rsidRPr="005D48F2">
        <w:rPr>
          <w:rFonts w:asciiTheme="majorBidi" w:hAnsiTheme="majorBidi" w:cstheme="majorBidi"/>
          <w:color w:val="000000" w:themeColor="text1"/>
          <w:sz w:val="24"/>
          <w:szCs w:val="24"/>
        </w:rPr>
        <w:t>Antinutrients</w:t>
      </w:r>
      <w:r w:rsidR="00374DF2" w:rsidRPr="005D48F2">
        <w:rPr>
          <w:rFonts w:asciiTheme="majorBidi" w:hAnsiTheme="majorBidi" w:cstheme="majorBidi"/>
          <w:color w:val="000000" w:themeColor="text1"/>
          <w:sz w:val="24"/>
          <w:szCs w:val="24"/>
        </w:rPr>
        <w:t>,</w:t>
      </w:r>
      <w:r w:rsidR="00BD6124" w:rsidRPr="005D48F2">
        <w:rPr>
          <w:rFonts w:asciiTheme="majorBidi" w:hAnsiTheme="majorBidi" w:cstheme="majorBidi"/>
          <w:color w:val="000000" w:themeColor="text1"/>
          <w:sz w:val="24"/>
          <w:szCs w:val="24"/>
        </w:rPr>
        <w:t xml:space="preserve"> </w:t>
      </w:r>
      <w:r w:rsidR="009F36A1">
        <w:rPr>
          <w:rFonts w:asciiTheme="majorBidi" w:hAnsiTheme="majorBidi" w:cstheme="majorBidi"/>
          <w:color w:val="000000" w:themeColor="text1"/>
          <w:sz w:val="24"/>
          <w:szCs w:val="24"/>
        </w:rPr>
        <w:t>P</w:t>
      </w:r>
      <w:r w:rsidR="00BD6124" w:rsidRPr="005D48F2">
        <w:rPr>
          <w:rFonts w:asciiTheme="majorBidi" w:hAnsiTheme="majorBidi" w:cstheme="majorBidi"/>
          <w:color w:val="000000" w:themeColor="text1"/>
          <w:sz w:val="24"/>
          <w:szCs w:val="24"/>
        </w:rPr>
        <w:t xml:space="preserve">rotein </w:t>
      </w:r>
      <w:r w:rsidR="009F36A1">
        <w:rPr>
          <w:rFonts w:asciiTheme="majorBidi" w:hAnsiTheme="majorBidi" w:cstheme="majorBidi"/>
          <w:color w:val="000000" w:themeColor="text1"/>
          <w:sz w:val="24"/>
          <w:szCs w:val="24"/>
        </w:rPr>
        <w:t>C</w:t>
      </w:r>
      <w:r w:rsidR="00BD6124" w:rsidRPr="005D48F2">
        <w:rPr>
          <w:rFonts w:asciiTheme="majorBidi" w:hAnsiTheme="majorBidi" w:cstheme="majorBidi"/>
          <w:color w:val="000000" w:themeColor="text1"/>
          <w:sz w:val="24"/>
          <w:szCs w:val="24"/>
        </w:rPr>
        <w:t>ontent</w:t>
      </w:r>
      <w:r w:rsidR="00374DF2" w:rsidRPr="005D48F2">
        <w:rPr>
          <w:rFonts w:asciiTheme="majorBidi" w:hAnsiTheme="majorBidi" w:cstheme="majorBidi"/>
          <w:color w:val="000000" w:themeColor="text1"/>
          <w:sz w:val="24"/>
          <w:szCs w:val="24"/>
        </w:rPr>
        <w:t>,</w:t>
      </w:r>
      <w:r w:rsidR="00BD6124" w:rsidRPr="005D48F2">
        <w:rPr>
          <w:rFonts w:asciiTheme="majorBidi" w:hAnsiTheme="majorBidi" w:cstheme="majorBidi"/>
          <w:color w:val="000000" w:themeColor="text1"/>
          <w:sz w:val="24"/>
          <w:szCs w:val="24"/>
        </w:rPr>
        <w:t xml:space="preserve"> and </w:t>
      </w:r>
      <w:r w:rsidR="009F36A1">
        <w:rPr>
          <w:rFonts w:asciiTheme="majorBidi" w:hAnsiTheme="majorBidi" w:cstheme="majorBidi"/>
          <w:color w:val="000000" w:themeColor="text1"/>
          <w:sz w:val="24"/>
          <w:szCs w:val="24"/>
        </w:rPr>
        <w:t>D</w:t>
      </w:r>
      <w:r w:rsidR="00BD6124" w:rsidRPr="005D48F2">
        <w:rPr>
          <w:rFonts w:asciiTheme="majorBidi" w:hAnsiTheme="majorBidi" w:cstheme="majorBidi"/>
          <w:color w:val="000000" w:themeColor="text1"/>
          <w:sz w:val="24"/>
          <w:szCs w:val="24"/>
        </w:rPr>
        <w:t xml:space="preserve">igestibility of </w:t>
      </w:r>
      <w:r w:rsidR="009F36A1">
        <w:rPr>
          <w:rFonts w:asciiTheme="majorBidi" w:hAnsiTheme="majorBidi" w:cstheme="majorBidi"/>
          <w:color w:val="000000" w:themeColor="text1"/>
          <w:sz w:val="24"/>
          <w:szCs w:val="24"/>
        </w:rPr>
        <w:t>I</w:t>
      </w:r>
      <w:r w:rsidR="00BD6124" w:rsidRPr="005D48F2">
        <w:rPr>
          <w:rFonts w:asciiTheme="majorBidi" w:hAnsiTheme="majorBidi" w:cstheme="majorBidi"/>
          <w:color w:val="000000" w:themeColor="text1"/>
          <w:sz w:val="24"/>
          <w:szCs w:val="24"/>
        </w:rPr>
        <w:t>ngredients</w:t>
      </w:r>
    </w:p>
    <w:p w14:paraId="2289BD4A" w14:textId="6CE76D0E" w:rsidR="005D3857" w:rsidRPr="00A202DA" w:rsidRDefault="005D3857"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Figure 1 illustrates the concentrations of tannin and phytate (mg/100 gm) (A), as well as the protein content (%) and in vitro protein digestibility (IVPD, %) (B) of raw sorghum cultivars (Tabat and WadAhmed), wheat, and pigeon pea. Figure 1 illustrates that the WadAhmed cultivar exhibited much greater tannin content (960.47 mg/100 g) compared to Tabat (350.22 mg/100 g), pigeon pea (145.69 mg/100 g), with wheat displaying the lowest value (41.47 mg/100 g). The phytate concentration in sorghum WadAhmed (265.34 mg/100 gm) was markedly greater than that of other types, followed by pigeon pea (259.74 mg/100 gm), Tabat (233.13 mg/100 gm), and wheat flour (44.12 mg/100 gm). The tannin and phytate levels for sorghum Tabat and wheat were similar to those documented by Mustafa et al. (2024)</w:t>
      </w:r>
      <w:r w:rsidR="007D7325" w:rsidRPr="00A202DA">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and the results for sorghum WadAhmed aligned with those presented by Mustafa et al. (2025). </w:t>
      </w:r>
      <w:r w:rsidRPr="00A202DA">
        <w:rPr>
          <w:rFonts w:ascii="Times New Roman" w:hAnsi="Times New Roman" w:cs="Times New Roman"/>
          <w:color w:val="000000" w:themeColor="text1"/>
          <w:sz w:val="24"/>
          <w:szCs w:val="24"/>
          <w:shd w:val="clear" w:color="auto" w:fill="FFFFFF"/>
        </w:rPr>
        <w:t xml:space="preserve">The phytate value for pigeon pea was lower than that </w:t>
      </w:r>
      <w:r w:rsidR="007D7325" w:rsidRPr="00A202DA">
        <w:rPr>
          <w:rFonts w:ascii="Times New Roman" w:hAnsi="Times New Roman" w:cs="Times New Roman"/>
          <w:color w:val="000000" w:themeColor="text1"/>
          <w:sz w:val="24"/>
          <w:szCs w:val="24"/>
          <w:shd w:val="clear" w:color="auto" w:fill="FFFFFF"/>
        </w:rPr>
        <w:t>reported by Haji et al. (2024); however,</w:t>
      </w:r>
      <w:r w:rsidRPr="00A202DA">
        <w:rPr>
          <w:rFonts w:ascii="Times New Roman" w:hAnsi="Times New Roman" w:cs="Times New Roman"/>
          <w:color w:val="000000" w:themeColor="text1"/>
          <w:sz w:val="24"/>
          <w:szCs w:val="24"/>
          <w:shd w:val="clear" w:color="auto" w:fill="FFFFFF"/>
        </w:rPr>
        <w:t xml:space="preserve"> the tannin value exceeded their findings. Iqbal et al. (2022) assert that wheat </w:t>
      </w:r>
      <w:r w:rsidR="007D7325" w:rsidRPr="00A202DA">
        <w:rPr>
          <w:rFonts w:ascii="Times New Roman" w:hAnsi="Times New Roman" w:cs="Times New Roman"/>
          <w:color w:val="000000" w:themeColor="text1"/>
          <w:sz w:val="24"/>
          <w:szCs w:val="24"/>
          <w:shd w:val="clear" w:color="auto" w:fill="FFFFFF"/>
        </w:rPr>
        <w:t>is a significant source</w:t>
      </w:r>
      <w:r w:rsidRPr="00A202DA">
        <w:rPr>
          <w:rFonts w:ascii="Times New Roman" w:hAnsi="Times New Roman" w:cs="Times New Roman"/>
          <w:color w:val="000000" w:themeColor="text1"/>
          <w:sz w:val="24"/>
          <w:szCs w:val="24"/>
          <w:shd w:val="clear" w:color="auto" w:fill="FFFFFF"/>
        </w:rPr>
        <w:t xml:space="preserve"> of carbohydrates in many industrialized nations, in addition to providing protein and dietary fiber for human consumption. It also </w:t>
      </w:r>
      <w:r w:rsidR="00DB7422" w:rsidRPr="00A202DA">
        <w:rPr>
          <w:rFonts w:ascii="Times New Roman" w:hAnsi="Times New Roman" w:cs="Times New Roman"/>
          <w:color w:val="000000" w:themeColor="text1"/>
          <w:sz w:val="24"/>
          <w:szCs w:val="24"/>
          <w:shd w:val="clear" w:color="auto" w:fill="FFFFFF"/>
        </w:rPr>
        <w:t>contains minerals, fats, and vitamins, all of which are</w:t>
      </w:r>
      <w:r w:rsidRPr="00A202DA">
        <w:rPr>
          <w:rFonts w:ascii="Times New Roman" w:hAnsi="Times New Roman" w:cs="Times New Roman"/>
          <w:color w:val="000000" w:themeColor="text1"/>
          <w:sz w:val="24"/>
          <w:szCs w:val="24"/>
          <w:shd w:val="clear" w:color="auto" w:fill="FFFFFF"/>
        </w:rPr>
        <w:t xml:space="preserve"> sources of micronutrients. Moreover, wheat had negligible levels of antinutrients, </w:t>
      </w:r>
      <w:r w:rsidR="007D7325" w:rsidRPr="00A202DA">
        <w:rPr>
          <w:rFonts w:ascii="Times New Roman" w:hAnsi="Times New Roman" w:cs="Times New Roman"/>
          <w:color w:val="000000" w:themeColor="text1"/>
          <w:sz w:val="24"/>
          <w:szCs w:val="24"/>
          <w:shd w:val="clear" w:color="auto" w:fill="FFFFFF"/>
        </w:rPr>
        <w:t>indicating substantial nutritional</w:t>
      </w:r>
      <w:r w:rsidRPr="00A202DA">
        <w:rPr>
          <w:rFonts w:ascii="Times New Roman" w:hAnsi="Times New Roman" w:cs="Times New Roman"/>
          <w:color w:val="000000" w:themeColor="text1"/>
          <w:sz w:val="24"/>
          <w:szCs w:val="24"/>
          <w:shd w:val="clear" w:color="auto" w:fill="FFFFFF"/>
        </w:rPr>
        <w:t xml:space="preserve"> value. Concerning the in vitro protein digestibility (IVPD) of the ingredients, pigeon pea had a much superior IVPD value of 65.15%, followed by wheat at 51.68%, Sorghum Tabat at 47.96%, while sorghum WadAhmed displayed the lowest value at 34.49%.</w:t>
      </w:r>
      <w:r w:rsidR="006012B7" w:rsidRPr="00A202DA">
        <w:rPr>
          <w:rFonts w:ascii="Times New Roman" w:hAnsi="Times New Roman" w:cs="Times New Roman"/>
          <w:color w:val="000000" w:themeColor="text1"/>
          <w:sz w:val="24"/>
          <w:szCs w:val="24"/>
          <w:shd w:val="clear" w:color="auto" w:fill="FFFFFF"/>
        </w:rPr>
        <w:t xml:space="preserve"> </w:t>
      </w:r>
      <w:r w:rsidRPr="00A202DA">
        <w:rPr>
          <w:rFonts w:ascii="Times New Roman" w:hAnsi="Times New Roman" w:cs="Times New Roman"/>
          <w:color w:val="000000" w:themeColor="text1"/>
          <w:sz w:val="24"/>
          <w:szCs w:val="24"/>
          <w:shd w:val="clear" w:color="auto" w:fill="FFFFFF"/>
        </w:rPr>
        <w:t xml:space="preserve">The findings indicated that antinutrient levels substantially influenced the in vitro protein digestibility (IVPD) of the constituents, as documented by other authors (Rizvi et al., 2022; Singh et al., 2024; Shan &amp; Tian, 2022). Furthermore, protein concentration and structure significantly influence IVPD; the data indicate that </w:t>
      </w:r>
      <w:r w:rsidRPr="00A202DA">
        <w:rPr>
          <w:rFonts w:ascii="Times New Roman" w:hAnsi="Times New Roman" w:cs="Times New Roman"/>
          <w:color w:val="000000" w:themeColor="text1"/>
          <w:sz w:val="24"/>
          <w:szCs w:val="24"/>
          <w:shd w:val="clear" w:color="auto" w:fill="FFFFFF"/>
        </w:rPr>
        <w:lastRenderedPageBreak/>
        <w:t xml:space="preserve">pigeon pea exhibited the highest protein percentage, </w:t>
      </w:r>
      <w:r w:rsidR="006012B7" w:rsidRPr="00A202DA">
        <w:rPr>
          <w:rFonts w:ascii="Times New Roman" w:hAnsi="Times New Roman" w:cs="Times New Roman"/>
          <w:b/>
          <w:bCs/>
          <w:color w:val="000000" w:themeColor="text1"/>
          <w:sz w:val="24"/>
          <w:szCs w:val="24"/>
          <w:shd w:val="clear" w:color="auto" w:fill="FFFFFF"/>
        </w:rPr>
        <w:t>followed</w:t>
      </w:r>
      <w:r w:rsidRPr="00A202DA">
        <w:rPr>
          <w:rFonts w:ascii="Times New Roman" w:hAnsi="Times New Roman" w:cs="Times New Roman"/>
          <w:color w:val="000000" w:themeColor="text1"/>
          <w:sz w:val="24"/>
          <w:szCs w:val="24"/>
          <w:shd w:val="clear" w:color="auto" w:fill="FFFFFF"/>
        </w:rPr>
        <w:t xml:space="preserve"> by wheat, Sorghum Tabat, and lastly WadAhmed. The protein content of pigeon pea was similar to that documented by Okechukwu et al. (2024) and </w:t>
      </w:r>
      <w:proofErr w:type="spellStart"/>
      <w:r w:rsidRPr="00A202DA">
        <w:rPr>
          <w:rFonts w:ascii="Times New Roman" w:hAnsi="Times New Roman" w:cs="Times New Roman"/>
          <w:color w:val="000000" w:themeColor="text1"/>
          <w:sz w:val="24"/>
          <w:szCs w:val="24"/>
          <w:shd w:val="clear" w:color="auto" w:fill="FFFFFF"/>
        </w:rPr>
        <w:t>Garaniya</w:t>
      </w:r>
      <w:proofErr w:type="spellEnd"/>
      <w:r w:rsidRPr="00A202DA">
        <w:rPr>
          <w:rFonts w:ascii="Times New Roman" w:hAnsi="Times New Roman" w:cs="Times New Roman"/>
          <w:color w:val="000000" w:themeColor="text1"/>
          <w:sz w:val="24"/>
          <w:szCs w:val="24"/>
          <w:shd w:val="clear" w:color="auto" w:fill="FFFFFF"/>
        </w:rPr>
        <w:t xml:space="preserve"> et al. (2023).</w:t>
      </w:r>
    </w:p>
    <w:p w14:paraId="0A9BA1AE" w14:textId="6AFD55B9" w:rsidR="00847221" w:rsidRPr="005D48F2" w:rsidRDefault="005D48F2" w:rsidP="004A7E9D">
      <w:pPr>
        <w:pStyle w:val="Heading2"/>
        <w:numPr>
          <w:ilvl w:val="1"/>
          <w:numId w:val="1"/>
        </w:numPr>
        <w:spacing w:before="0" w:line="360" w:lineRule="auto"/>
        <w:ind w:left="0" w:firstLine="0"/>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Effect</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of</w:t>
      </w:r>
      <w:r w:rsidR="00847221" w:rsidRPr="005D48F2">
        <w:rPr>
          <w:rFonts w:asciiTheme="majorBidi" w:hAnsiTheme="majorBidi" w:cstheme="majorBidi"/>
          <w:color w:val="000000" w:themeColor="text1"/>
          <w:spacing w:val="40"/>
          <w:sz w:val="24"/>
          <w:szCs w:val="24"/>
        </w:rPr>
        <w:t xml:space="preserve"> </w:t>
      </w:r>
      <w:r w:rsidR="009F36A1">
        <w:rPr>
          <w:rFonts w:asciiTheme="majorBidi" w:hAnsiTheme="majorBidi" w:cstheme="majorBidi"/>
          <w:color w:val="000000" w:themeColor="text1"/>
          <w:sz w:val="24"/>
          <w:szCs w:val="24"/>
        </w:rPr>
        <w:t>F</w:t>
      </w:r>
      <w:r w:rsidR="0040757B" w:rsidRPr="005D48F2">
        <w:rPr>
          <w:rFonts w:asciiTheme="majorBidi" w:hAnsiTheme="majorBidi" w:cstheme="majorBidi"/>
          <w:color w:val="000000" w:themeColor="text1"/>
          <w:sz w:val="24"/>
          <w:szCs w:val="24"/>
        </w:rPr>
        <w:t>ormulation</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and</w:t>
      </w:r>
      <w:r w:rsidR="00847221" w:rsidRPr="005D48F2">
        <w:rPr>
          <w:rFonts w:asciiTheme="majorBidi" w:hAnsiTheme="majorBidi" w:cstheme="majorBidi"/>
          <w:color w:val="000000" w:themeColor="text1"/>
          <w:spacing w:val="40"/>
          <w:sz w:val="24"/>
          <w:szCs w:val="24"/>
        </w:rPr>
        <w:t xml:space="preserve"> </w:t>
      </w:r>
      <w:r w:rsidR="009F36A1">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rocessing</w:t>
      </w:r>
      <w:r w:rsidR="00847221" w:rsidRPr="005D48F2">
        <w:rPr>
          <w:rFonts w:asciiTheme="majorBidi" w:hAnsiTheme="majorBidi" w:cstheme="majorBidi"/>
          <w:color w:val="000000" w:themeColor="text1"/>
          <w:spacing w:val="40"/>
          <w:sz w:val="24"/>
          <w:szCs w:val="24"/>
        </w:rPr>
        <w:t xml:space="preserve"> </w:t>
      </w:r>
      <w:r w:rsidR="00847221" w:rsidRPr="005D48F2">
        <w:rPr>
          <w:rFonts w:asciiTheme="majorBidi" w:hAnsiTheme="majorBidi" w:cstheme="majorBidi"/>
          <w:color w:val="000000" w:themeColor="text1"/>
          <w:sz w:val="24"/>
          <w:szCs w:val="24"/>
        </w:rPr>
        <w:t xml:space="preserve">on </w:t>
      </w:r>
      <w:r w:rsidR="009F36A1">
        <w:rPr>
          <w:rFonts w:asciiTheme="majorBidi" w:hAnsiTheme="majorBidi" w:cstheme="majorBidi"/>
          <w:color w:val="000000" w:themeColor="text1"/>
          <w:sz w:val="24"/>
          <w:szCs w:val="24"/>
        </w:rPr>
        <w:t>A</w:t>
      </w:r>
      <w:r w:rsidR="00847221" w:rsidRPr="005D48F2">
        <w:rPr>
          <w:rFonts w:asciiTheme="majorBidi" w:hAnsiTheme="majorBidi" w:cstheme="majorBidi"/>
          <w:color w:val="000000" w:themeColor="text1"/>
          <w:sz w:val="24"/>
          <w:szCs w:val="24"/>
        </w:rPr>
        <w:t xml:space="preserve">ntinutrient </w:t>
      </w:r>
      <w:r w:rsidR="009F36A1">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ontent</w:t>
      </w:r>
    </w:p>
    <w:p w14:paraId="300B628C" w14:textId="4ABB2D8E" w:rsidR="006012B7" w:rsidRPr="00A202DA" w:rsidRDefault="006012B7" w:rsidP="004A7E9D">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Figure 2 illustrates the tannin concentration in the composite flour of sorghum cultivars Tabat and WadAhmed, which has been fermented and baked into kisra bread. Figure 2 illustrates that, relative to unformulated sorghum flour, the formulation of raw </w:t>
      </w:r>
      <w:proofErr w:type="spellStart"/>
      <w:r w:rsidRPr="00A202DA">
        <w:rPr>
          <w:rFonts w:asciiTheme="majorBidi" w:eastAsia="Arial MT" w:hAnsiTheme="majorBidi" w:cstheme="majorBidi"/>
          <w:color w:val="000000" w:themeColor="text1"/>
          <w:sz w:val="24"/>
          <w:szCs w:val="24"/>
        </w:rPr>
        <w:t>meal</w:t>
      </w:r>
      <w:proofErr w:type="spellEnd"/>
      <w:r w:rsidRPr="00A202DA">
        <w:rPr>
          <w:rFonts w:asciiTheme="majorBidi" w:eastAsia="Arial MT" w:hAnsiTheme="majorBidi" w:cstheme="majorBidi"/>
          <w:color w:val="000000" w:themeColor="text1"/>
          <w:sz w:val="24"/>
          <w:szCs w:val="24"/>
        </w:rPr>
        <w:t xml:space="preserve"> processing significantly (P </w:t>
      </w:r>
      <w:r w:rsidR="007D7325" w:rsidRPr="00A202DA">
        <w:rPr>
          <w:rFonts w:asciiTheme="majorBidi" w:eastAsia="Arial MT" w:hAnsiTheme="majorBidi" w:cstheme="majorBidi"/>
          <w:color w:val="000000" w:themeColor="text1"/>
          <w:sz w:val="24"/>
          <w:szCs w:val="24"/>
        </w:rPr>
        <w:t>≤</w:t>
      </w:r>
      <w:r w:rsidRPr="00A202DA">
        <w:rPr>
          <w:rFonts w:asciiTheme="majorBidi" w:eastAsia="Arial MT" w:hAnsiTheme="majorBidi" w:cstheme="majorBidi"/>
          <w:color w:val="000000" w:themeColor="text1"/>
          <w:sz w:val="24"/>
          <w:szCs w:val="24"/>
        </w:rPr>
        <w:t xml:space="preserve"> 0.05) decreased the tannin level in both cultivars. The findings indicated that </w:t>
      </w:r>
      <w:r w:rsidR="00DB7422" w:rsidRPr="00A202DA">
        <w:rPr>
          <w:rFonts w:asciiTheme="majorBidi" w:eastAsia="Arial MT" w:hAnsiTheme="majorBidi" w:cstheme="majorBidi"/>
          <w:color w:val="000000" w:themeColor="text1"/>
          <w:sz w:val="24"/>
          <w:szCs w:val="24"/>
        </w:rPr>
        <w:t>combining</w:t>
      </w:r>
      <w:r w:rsidRPr="00A202DA">
        <w:rPr>
          <w:rFonts w:asciiTheme="majorBidi" w:eastAsia="Arial MT" w:hAnsiTheme="majorBidi" w:cstheme="majorBidi"/>
          <w:color w:val="000000" w:themeColor="text1"/>
          <w:sz w:val="24"/>
          <w:szCs w:val="24"/>
        </w:rPr>
        <w:t xml:space="preserve"> sorghum flour with wheat and pigeon pea significantly reduced (P ≤ 0.05) the tannin content of the composite raw flour from 350.22 mg/100g to 280.61, 271.24, and 274.46 mg/100g for meals T1, T2, and T3, respectively. Further reduction occurred post-fermentation, with the minimum value recorded for T2 meal at 170 mg/100g, and after cooking the fermented dough into kisra for T3 meal at 110 mg/100g. The treatment of WadAhmed meals resulted in a tannin reduction rate comparable to that of Tabat meals; however, after cooking into kisra, the meal composed of W1, which consists of sorghum (70%), wheat (20%), and pigeon pea (10%), exhibited a significantly lower tannin content (120 mg/100g) post-cooking.</w:t>
      </w:r>
    </w:p>
    <w:p w14:paraId="4F326E16" w14:textId="5B21D375" w:rsidR="006012B7" w:rsidRPr="00A202DA" w:rsidRDefault="006012B7" w:rsidP="004A7E9D">
      <w:pPr>
        <w:spacing w:after="0"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Conventional food processing techniques, including heating and fermentation, significantly improve the nutritional value of staple crops like sorghum, particularly for economically disadvantaged populations. These approaches are readily available and cost-effective, rendering them particularly appropriate for low-resource environments. Eliminating unwanted food components is crucial </w:t>
      </w:r>
      <w:r w:rsidR="00DB7422" w:rsidRPr="00A202DA">
        <w:rPr>
          <w:rFonts w:asciiTheme="majorBidi" w:hAnsiTheme="majorBidi" w:cstheme="majorBidi"/>
          <w:color w:val="000000" w:themeColor="text1"/>
          <w:sz w:val="24"/>
          <w:szCs w:val="24"/>
        </w:rPr>
        <w:t>to improving</w:t>
      </w:r>
      <w:r w:rsidRPr="00A202DA">
        <w:rPr>
          <w:rFonts w:asciiTheme="majorBidi" w:hAnsiTheme="majorBidi" w:cstheme="majorBidi"/>
          <w:color w:val="000000" w:themeColor="text1"/>
          <w:sz w:val="24"/>
          <w:szCs w:val="24"/>
        </w:rPr>
        <w:t xml:space="preserve"> quality. Various procedures, including soaking, cooking, fermentation, radiation, germination, and chemical treatment, can effectively mitigate antinutritional elements (Popova &amp; </w:t>
      </w:r>
      <w:proofErr w:type="spellStart"/>
      <w:r w:rsidRPr="00A202DA">
        <w:rPr>
          <w:rFonts w:asciiTheme="majorBidi" w:hAnsiTheme="majorBidi" w:cstheme="majorBidi"/>
          <w:color w:val="000000" w:themeColor="text1"/>
          <w:sz w:val="24"/>
          <w:szCs w:val="24"/>
        </w:rPr>
        <w:t>Mihaylova</w:t>
      </w:r>
      <w:proofErr w:type="spellEnd"/>
      <w:r w:rsidRPr="00A202DA">
        <w:rPr>
          <w:rFonts w:asciiTheme="majorBidi" w:hAnsiTheme="majorBidi" w:cstheme="majorBidi"/>
          <w:color w:val="000000" w:themeColor="text1"/>
          <w:sz w:val="24"/>
          <w:szCs w:val="24"/>
        </w:rPr>
        <w:t>, 2019). Cooking is believed to enhance the digestion of macronutrients, soften fibrous structures, and diminish microbial contamination. It a</w:t>
      </w:r>
      <w:r w:rsidR="007D7325" w:rsidRPr="00A202DA">
        <w:rPr>
          <w:rFonts w:asciiTheme="majorBidi" w:hAnsiTheme="majorBidi" w:cstheme="majorBidi"/>
          <w:color w:val="000000" w:themeColor="text1"/>
          <w:sz w:val="24"/>
          <w:szCs w:val="24"/>
        </w:rPr>
        <w:t xml:space="preserve">lso facilitates the thermal decomposition of antinutritional </w:t>
      </w:r>
      <w:r w:rsidR="00DB7422" w:rsidRPr="00A202DA">
        <w:rPr>
          <w:rFonts w:asciiTheme="majorBidi" w:hAnsiTheme="majorBidi" w:cstheme="majorBidi"/>
          <w:color w:val="000000" w:themeColor="text1"/>
          <w:sz w:val="24"/>
          <w:szCs w:val="24"/>
        </w:rPr>
        <w:t xml:space="preserve">compounds, such as phytates and tannins, thereby enhancing mineral bioavailability </w:t>
      </w:r>
      <w:r w:rsidRPr="00A202DA">
        <w:rPr>
          <w:rFonts w:asciiTheme="majorBidi" w:hAnsiTheme="majorBidi" w:cstheme="majorBidi"/>
          <w:color w:val="000000" w:themeColor="text1"/>
          <w:sz w:val="24"/>
          <w:szCs w:val="24"/>
        </w:rPr>
        <w:t xml:space="preserve">(Kumari &amp; Roy, 2023; Savard et al., 2019). Cooking, a ubiquitous domestic activity, causes thermal and structural alterations that influence nutrient content via leaching and degradation (Savard et al., 2019). Fermentation is a proven method of preservation and enhancement that diminishes antinutritional elements and increases the bioavailability of grains, which is </w:t>
      </w:r>
      <w:r w:rsidRPr="00A202DA">
        <w:rPr>
          <w:rFonts w:asciiTheme="majorBidi" w:hAnsiTheme="majorBidi" w:cstheme="majorBidi"/>
          <w:color w:val="000000" w:themeColor="text1"/>
          <w:sz w:val="24"/>
          <w:szCs w:val="24"/>
        </w:rPr>
        <w:lastRenderedPageBreak/>
        <w:t>crucial in cereal-based diets (Siqueira et al., 2020). Fermentation is considered a transforming process that enhances the nutritional value of food. It enables the amalgamation of various plant-derived proteins and promotes the advancement of more sustainable dietary alternatives (</w:t>
      </w:r>
      <w:proofErr w:type="spellStart"/>
      <w:r w:rsidRPr="00A202DA">
        <w:rPr>
          <w:rFonts w:asciiTheme="majorBidi" w:hAnsiTheme="majorBidi" w:cstheme="majorBidi"/>
          <w:color w:val="000000" w:themeColor="text1"/>
          <w:sz w:val="24"/>
          <w:szCs w:val="24"/>
        </w:rPr>
        <w:t>Wairich</w:t>
      </w:r>
      <w:proofErr w:type="spellEnd"/>
      <w:r w:rsidRPr="00A202DA">
        <w:rPr>
          <w:rFonts w:asciiTheme="majorBidi" w:hAnsiTheme="majorBidi" w:cstheme="majorBidi"/>
          <w:color w:val="000000" w:themeColor="text1"/>
          <w:sz w:val="24"/>
          <w:szCs w:val="24"/>
        </w:rPr>
        <w:t xml:space="preserve"> et al., 2022).</w:t>
      </w:r>
    </w:p>
    <w:p w14:paraId="365E8633" w14:textId="1AE4D542" w:rsidR="006012B7" w:rsidRPr="00A202DA" w:rsidRDefault="006012B7" w:rsidP="004A7E9D">
      <w:pPr>
        <w:pStyle w:val="BodyText"/>
        <w:spacing w:line="360" w:lineRule="auto"/>
        <w:rPr>
          <w:rFonts w:asciiTheme="majorBidi" w:eastAsiaTheme="minorHAnsi" w:hAnsiTheme="majorBidi" w:cstheme="majorBidi"/>
          <w:color w:val="000000" w:themeColor="text1"/>
          <w:sz w:val="24"/>
          <w:szCs w:val="24"/>
        </w:rPr>
      </w:pPr>
      <w:r w:rsidRPr="00A202DA">
        <w:rPr>
          <w:rFonts w:asciiTheme="majorBidi" w:eastAsiaTheme="minorHAnsi" w:hAnsiTheme="majorBidi" w:cstheme="majorBidi"/>
          <w:color w:val="000000" w:themeColor="text1"/>
          <w:sz w:val="24"/>
          <w:szCs w:val="24"/>
        </w:rPr>
        <w:t xml:space="preserve">Tannins </w:t>
      </w:r>
      <w:r w:rsidR="00DB7422" w:rsidRPr="00A202DA">
        <w:rPr>
          <w:rFonts w:asciiTheme="majorBidi" w:eastAsiaTheme="minorHAnsi" w:hAnsiTheme="majorBidi" w:cstheme="majorBidi"/>
          <w:color w:val="000000" w:themeColor="text1"/>
          <w:sz w:val="24"/>
          <w:szCs w:val="24"/>
        </w:rPr>
        <w:t>have antinutritional effects by hindering the digestion of many nutrients and obstructing the body's absorption of beneficial,</w:t>
      </w:r>
      <w:r w:rsidRPr="00A202DA">
        <w:rPr>
          <w:rFonts w:asciiTheme="majorBidi" w:eastAsiaTheme="minorHAnsi" w:hAnsiTheme="majorBidi" w:cstheme="majorBidi"/>
          <w:color w:val="000000" w:themeColor="text1"/>
          <w:sz w:val="24"/>
          <w:szCs w:val="24"/>
        </w:rPr>
        <w:t xml:space="preserve"> bioavailable compounds. Antinutrients </w:t>
      </w:r>
      <w:r w:rsidR="00DB7422" w:rsidRPr="00A202DA">
        <w:rPr>
          <w:rFonts w:asciiTheme="majorBidi" w:eastAsiaTheme="minorHAnsi" w:hAnsiTheme="majorBidi" w:cstheme="majorBidi"/>
          <w:color w:val="000000" w:themeColor="text1"/>
          <w:sz w:val="24"/>
          <w:szCs w:val="24"/>
        </w:rPr>
        <w:t>are beneficial active compounds in food and beverages when consumed</w:t>
      </w:r>
      <w:r w:rsidR="007D7325" w:rsidRPr="00A202DA">
        <w:rPr>
          <w:rFonts w:asciiTheme="majorBidi" w:eastAsiaTheme="minorHAnsi" w:hAnsiTheme="majorBidi" w:cstheme="majorBidi"/>
          <w:color w:val="000000" w:themeColor="text1"/>
          <w:sz w:val="24"/>
          <w:szCs w:val="24"/>
        </w:rPr>
        <w:t xml:space="preserve"> in small amount</w:t>
      </w:r>
      <w:r w:rsidRPr="00A202DA">
        <w:rPr>
          <w:rFonts w:asciiTheme="majorBidi" w:eastAsiaTheme="minorHAnsi" w:hAnsiTheme="majorBidi" w:cstheme="majorBidi"/>
          <w:color w:val="000000" w:themeColor="text1"/>
          <w:sz w:val="24"/>
          <w:szCs w:val="24"/>
        </w:rPr>
        <w:t>s. Although tannin</w:t>
      </w:r>
      <w:r w:rsidR="007D7325" w:rsidRPr="00A202DA">
        <w:rPr>
          <w:rFonts w:asciiTheme="majorBidi" w:eastAsiaTheme="minorHAnsi" w:hAnsiTheme="majorBidi" w:cstheme="majorBidi"/>
          <w:color w:val="000000" w:themeColor="text1"/>
          <w:sz w:val="24"/>
          <w:szCs w:val="24"/>
        </w:rPr>
        <w:t xml:space="preserve">s have antinutrient activity, </w:t>
      </w:r>
      <w:r w:rsidR="00DB7422" w:rsidRPr="00A202DA">
        <w:rPr>
          <w:rFonts w:asciiTheme="majorBidi" w:eastAsiaTheme="minorHAnsi" w:hAnsiTheme="majorBidi" w:cstheme="majorBidi"/>
          <w:color w:val="000000" w:themeColor="text1"/>
          <w:sz w:val="24"/>
          <w:szCs w:val="24"/>
        </w:rPr>
        <w:t>various categories of antinutrients</w:t>
      </w:r>
      <w:r w:rsidR="007D7325" w:rsidRPr="00A202DA">
        <w:rPr>
          <w:rFonts w:asciiTheme="majorBidi" w:eastAsiaTheme="minorHAnsi" w:hAnsiTheme="majorBidi" w:cstheme="majorBidi"/>
          <w:color w:val="000000" w:themeColor="text1"/>
          <w:sz w:val="24"/>
          <w:szCs w:val="24"/>
        </w:rPr>
        <w:t>, including tannins, have</w:t>
      </w:r>
      <w:r w:rsidRPr="00A202DA">
        <w:rPr>
          <w:rFonts w:asciiTheme="majorBidi" w:eastAsiaTheme="minorHAnsi" w:hAnsiTheme="majorBidi" w:cstheme="majorBidi"/>
          <w:color w:val="000000" w:themeColor="text1"/>
          <w:sz w:val="24"/>
          <w:szCs w:val="24"/>
        </w:rPr>
        <w:t xml:space="preserve"> demonstrated potential antiviral, antibacterial, and antiparasitic properties (Popova &amp; </w:t>
      </w:r>
      <w:proofErr w:type="spellStart"/>
      <w:r w:rsidRPr="00A202DA">
        <w:rPr>
          <w:rFonts w:asciiTheme="majorBidi" w:eastAsiaTheme="minorHAnsi" w:hAnsiTheme="majorBidi" w:cstheme="majorBidi"/>
          <w:color w:val="000000" w:themeColor="text1"/>
          <w:sz w:val="24"/>
          <w:szCs w:val="24"/>
        </w:rPr>
        <w:t>Mihaylova</w:t>
      </w:r>
      <w:proofErr w:type="spellEnd"/>
      <w:r w:rsidRPr="00A202DA">
        <w:rPr>
          <w:rFonts w:asciiTheme="majorBidi" w:eastAsiaTheme="minorHAnsi" w:hAnsiTheme="majorBidi" w:cstheme="majorBidi"/>
          <w:color w:val="000000" w:themeColor="text1"/>
          <w:sz w:val="24"/>
          <w:szCs w:val="24"/>
        </w:rPr>
        <w:t xml:space="preserve">, 2019). Tannins </w:t>
      </w:r>
      <w:r w:rsidR="00DB7422" w:rsidRPr="00A202DA">
        <w:rPr>
          <w:rFonts w:asciiTheme="majorBidi" w:eastAsiaTheme="minorHAnsi" w:hAnsiTheme="majorBidi" w:cstheme="majorBidi"/>
          <w:color w:val="000000" w:themeColor="text1"/>
          <w:sz w:val="24"/>
          <w:szCs w:val="24"/>
        </w:rPr>
        <w:t>have antinutritional effects by hindering the digestion of numerous nutrients and obstructing the absorption of beneficial</w:t>
      </w:r>
      <w:r w:rsidRPr="00A202DA">
        <w:rPr>
          <w:rFonts w:asciiTheme="majorBidi" w:eastAsiaTheme="minorHAnsi" w:hAnsiTheme="majorBidi" w:cstheme="majorBidi"/>
          <w:color w:val="000000" w:themeColor="text1"/>
          <w:sz w:val="24"/>
          <w:szCs w:val="24"/>
        </w:rPr>
        <w:t xml:space="preserve"> bioavailable compounds (</w:t>
      </w:r>
      <w:proofErr w:type="spellStart"/>
      <w:r w:rsidRPr="00A202DA">
        <w:rPr>
          <w:rFonts w:asciiTheme="majorBidi" w:eastAsiaTheme="minorHAnsi" w:hAnsiTheme="majorBidi" w:cstheme="majorBidi"/>
          <w:color w:val="000000" w:themeColor="text1"/>
          <w:sz w:val="24"/>
          <w:szCs w:val="24"/>
        </w:rPr>
        <w:t>Ertop</w:t>
      </w:r>
      <w:proofErr w:type="spellEnd"/>
      <w:r w:rsidRPr="00A202DA">
        <w:rPr>
          <w:rFonts w:asciiTheme="majorBidi" w:eastAsiaTheme="minorHAnsi" w:hAnsiTheme="majorBidi" w:cstheme="majorBidi"/>
          <w:color w:val="000000" w:themeColor="text1"/>
          <w:sz w:val="24"/>
          <w:szCs w:val="24"/>
        </w:rPr>
        <w:t xml:space="preserve"> &amp; </w:t>
      </w:r>
      <w:proofErr w:type="spellStart"/>
      <w:r w:rsidRPr="00A202DA">
        <w:rPr>
          <w:rFonts w:asciiTheme="majorBidi" w:eastAsiaTheme="minorHAnsi" w:hAnsiTheme="majorBidi" w:cstheme="majorBidi"/>
          <w:color w:val="000000" w:themeColor="text1"/>
          <w:sz w:val="24"/>
          <w:szCs w:val="24"/>
        </w:rPr>
        <w:t>Bektaş</w:t>
      </w:r>
      <w:proofErr w:type="spellEnd"/>
      <w:r w:rsidRPr="00A202DA">
        <w:rPr>
          <w:rFonts w:asciiTheme="majorBidi" w:eastAsiaTheme="minorHAnsi" w:hAnsiTheme="majorBidi" w:cstheme="majorBidi"/>
          <w:color w:val="000000" w:themeColor="text1"/>
          <w:sz w:val="24"/>
          <w:szCs w:val="24"/>
        </w:rPr>
        <w:t xml:space="preserve">, 2018). Tannins can attach to and denature proteins. Tannin-protein complexes can inactivate digestive enzymes and diminish protein digestibility by </w:t>
      </w:r>
      <w:r w:rsidR="007D7325" w:rsidRPr="00A202DA">
        <w:rPr>
          <w:rFonts w:asciiTheme="majorBidi" w:eastAsiaTheme="minorHAnsi" w:hAnsiTheme="majorBidi" w:cstheme="majorBidi"/>
          <w:color w:val="000000" w:themeColor="text1"/>
          <w:sz w:val="24"/>
          <w:szCs w:val="24"/>
        </w:rPr>
        <w:t>binding to the protein substrate and to</w:t>
      </w:r>
      <w:r w:rsidRPr="00A202DA">
        <w:rPr>
          <w:rFonts w:asciiTheme="majorBidi" w:eastAsiaTheme="minorHAnsi" w:hAnsiTheme="majorBidi" w:cstheme="majorBidi"/>
          <w:color w:val="000000" w:themeColor="text1"/>
          <w:sz w:val="24"/>
          <w:szCs w:val="24"/>
        </w:rPr>
        <w:t xml:space="preserve"> ionizable iron. Consistent with our findings, Adeyemo et al. [2016] evaluated the impact of sorghum fermentation on tannin levels and noted a substantial decrease of 72% in tannin content. Boua et al. (2020) </w:t>
      </w:r>
      <w:r w:rsidR="00DB7422" w:rsidRPr="00A202DA">
        <w:rPr>
          <w:rFonts w:asciiTheme="majorBidi" w:eastAsiaTheme="minorHAnsi" w:hAnsiTheme="majorBidi" w:cstheme="majorBidi"/>
          <w:color w:val="000000" w:themeColor="text1"/>
          <w:sz w:val="24"/>
          <w:szCs w:val="24"/>
        </w:rPr>
        <w:t>reported that condensed tannins declined significantly after</w:t>
      </w:r>
      <w:r w:rsidRPr="00A202DA">
        <w:rPr>
          <w:rFonts w:asciiTheme="majorBidi" w:eastAsiaTheme="minorHAnsi" w:hAnsiTheme="majorBidi" w:cstheme="majorBidi"/>
          <w:color w:val="000000" w:themeColor="text1"/>
          <w:sz w:val="24"/>
          <w:szCs w:val="24"/>
        </w:rPr>
        <w:t xml:space="preserve"> cooking.</w:t>
      </w:r>
    </w:p>
    <w:p w14:paraId="2E972517" w14:textId="1E5C37FC" w:rsidR="006012B7" w:rsidRPr="00A202DA" w:rsidRDefault="006012B7" w:rsidP="004A7E9D">
      <w:pPr>
        <w:pStyle w:val="BodyText"/>
        <w:spacing w:line="360" w:lineRule="auto"/>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Figure 3 illustrates the phytate concentration in the composite flour of the sorghum cultivars Tabat and WadAhmed, which has been fermented and cooked into kisra bread. </w:t>
      </w:r>
      <w:r w:rsidR="007D7325" w:rsidRPr="00A202DA">
        <w:rPr>
          <w:rFonts w:asciiTheme="majorBidi" w:hAnsiTheme="majorBidi" w:cstheme="majorBidi"/>
          <w:color w:val="000000" w:themeColor="text1"/>
          <w:sz w:val="24"/>
          <w:szCs w:val="24"/>
        </w:rPr>
        <w:t>Formulation of raw meals and processing significantly (P ≤ 0.05) decreased</w:t>
      </w:r>
      <w:r w:rsidRPr="00A202DA">
        <w:rPr>
          <w:rFonts w:asciiTheme="majorBidi" w:hAnsiTheme="majorBidi" w:cstheme="majorBidi"/>
          <w:color w:val="000000" w:themeColor="text1"/>
          <w:sz w:val="24"/>
          <w:szCs w:val="24"/>
        </w:rPr>
        <w:t xml:space="preserve"> phytate concentration in both cultivars compared </w:t>
      </w:r>
      <w:r w:rsidR="00DB7422" w:rsidRPr="00A202DA">
        <w:rPr>
          <w:rFonts w:asciiTheme="majorBidi" w:hAnsiTheme="majorBidi" w:cstheme="majorBidi"/>
          <w:color w:val="000000" w:themeColor="text1"/>
          <w:sz w:val="24"/>
          <w:szCs w:val="24"/>
        </w:rPr>
        <w:t>with the sorghum flour</w:t>
      </w:r>
      <w:r w:rsidRPr="00A202DA">
        <w:rPr>
          <w:rFonts w:asciiTheme="majorBidi" w:hAnsiTheme="majorBidi" w:cstheme="majorBidi"/>
          <w:color w:val="000000" w:themeColor="text1"/>
          <w:sz w:val="24"/>
          <w:szCs w:val="24"/>
        </w:rPr>
        <w:t>. The results indicated that the formulation of sorghum flour with wheat and pigeon pea significantly reduced (P ≤ 0.05) the phytate content of the composite raw flour of the Tabat cultivar (Figure 3A) from 233.13 mg/100g to 223.96, 208.77, and 219.55 mg/100g for meals T1, T2, and T3, respectively. Further reduction was noted post-fermentation, with the minimum value recorded for meal T1 at 154.9 mg/100g, and after cooking the fermented dough into kisra for meal T1 at 138.3 mg/100g.</w:t>
      </w:r>
    </w:p>
    <w:p w14:paraId="6EC9FB8D" w14:textId="00D3EC6E" w:rsidR="00534095" w:rsidRPr="00A202DA" w:rsidRDefault="00534095" w:rsidP="004A7E9D">
      <w:pPr>
        <w:pStyle w:val="BodyText"/>
        <w:spacing w:line="360" w:lineRule="auto"/>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The treatment of WadAhmed meals (Figure 3B) yielded a phytate reduction rate comparable to that of Tabat meals; however, after cooking into kisra, the meal formulated with W2, a composite of sorghum (70%), wheat (15%), and pigeon pea (15%), exhibited significantly lower tannin content (116.94 mg/100g). It has been reported that, in m</w:t>
      </w:r>
      <w:r w:rsidR="007D7325" w:rsidRPr="00A202DA">
        <w:rPr>
          <w:rFonts w:asciiTheme="majorBidi" w:hAnsiTheme="majorBidi" w:cstheme="majorBidi"/>
          <w:color w:val="000000" w:themeColor="text1"/>
          <w:sz w:val="24"/>
          <w:szCs w:val="24"/>
        </w:rPr>
        <w:t>onocots such as maize, sorghum, and millet, phytate is located in the bran or aleurone layer [</w:t>
      </w:r>
      <w:proofErr w:type="spellStart"/>
      <w:r w:rsidR="007D7325" w:rsidRPr="00A202DA">
        <w:rPr>
          <w:rFonts w:asciiTheme="majorBidi" w:hAnsiTheme="majorBidi" w:cstheme="majorBidi"/>
          <w:color w:val="000000" w:themeColor="text1"/>
          <w:sz w:val="24"/>
          <w:szCs w:val="24"/>
        </w:rPr>
        <w:t>Samtiya</w:t>
      </w:r>
      <w:proofErr w:type="spellEnd"/>
      <w:r w:rsidR="007D7325" w:rsidRPr="00A202DA">
        <w:rPr>
          <w:rFonts w:asciiTheme="majorBidi" w:hAnsiTheme="majorBidi" w:cstheme="majorBidi"/>
          <w:color w:val="000000" w:themeColor="text1"/>
          <w:sz w:val="24"/>
          <w:szCs w:val="24"/>
        </w:rPr>
        <w:t xml:space="preserve"> et al., 2020] </w:t>
      </w:r>
      <w:r w:rsidR="007D7325" w:rsidRPr="00A202DA">
        <w:rPr>
          <w:rFonts w:asciiTheme="majorBidi" w:hAnsiTheme="majorBidi" w:cstheme="majorBidi"/>
          <w:color w:val="000000" w:themeColor="text1"/>
          <w:sz w:val="24"/>
          <w:szCs w:val="24"/>
        </w:rPr>
        <w:lastRenderedPageBreak/>
        <w:t>and must be removed or substantially reduc</w:t>
      </w:r>
      <w:r w:rsidRPr="00A202DA">
        <w:rPr>
          <w:rFonts w:asciiTheme="majorBidi" w:hAnsiTheme="majorBidi" w:cstheme="majorBidi"/>
          <w:color w:val="000000" w:themeColor="text1"/>
          <w:sz w:val="24"/>
          <w:szCs w:val="24"/>
        </w:rPr>
        <w:t xml:space="preserve">ed to enhance mineral and protein absorption from these foods. Fermentation creates an ideal pH for endogenous phytase activity in cereals, facilitating the degradation of phytic acid and enhancing mineral bioavailability [Nkhata et al., 2018]. Fermentation is said to enhance the protein content in chickpeas by 13% and reduce the phytic acid level by 45% [Valdez-González, et al. 2018]. </w:t>
      </w:r>
      <w:r w:rsidRPr="00A202DA">
        <w:rPr>
          <w:rFonts w:asciiTheme="majorBidi" w:hAnsiTheme="majorBidi" w:cstheme="majorBidi"/>
          <w:color w:val="000000" w:themeColor="text1"/>
          <w:sz w:val="24"/>
          <w:szCs w:val="24"/>
          <w:shd w:val="clear" w:color="auto" w:fill="FFFFFF"/>
        </w:rPr>
        <w:t xml:space="preserve">Adeyemo et al. [2016] evaluated the impact of sorghum fermentation on phytate levels and noted a substantial decrease of 60% in phytate content. A comparable trend in phytate reduction was </w:t>
      </w:r>
      <w:r w:rsidR="007D7325" w:rsidRPr="00A202DA">
        <w:rPr>
          <w:rFonts w:asciiTheme="majorBidi" w:hAnsiTheme="majorBidi" w:cstheme="majorBidi"/>
          <w:color w:val="000000" w:themeColor="text1"/>
          <w:sz w:val="24"/>
          <w:szCs w:val="24"/>
          <w:shd w:val="clear" w:color="auto" w:fill="FFFFFF"/>
        </w:rPr>
        <w:t>observed in a study in which</w:t>
      </w:r>
      <w:r w:rsidRPr="00A202DA">
        <w:rPr>
          <w:rFonts w:asciiTheme="majorBidi" w:hAnsiTheme="majorBidi" w:cstheme="majorBidi"/>
          <w:color w:val="000000" w:themeColor="text1"/>
          <w:sz w:val="24"/>
          <w:szCs w:val="24"/>
          <w:shd w:val="clear" w:color="auto" w:fill="FFFFFF"/>
        </w:rPr>
        <w:t xml:space="preserve"> maize </w:t>
      </w:r>
      <w:r w:rsidR="00DB7422" w:rsidRPr="00A202DA">
        <w:rPr>
          <w:rFonts w:asciiTheme="majorBidi" w:hAnsiTheme="majorBidi" w:cstheme="majorBidi"/>
          <w:color w:val="000000" w:themeColor="text1"/>
          <w:sz w:val="24"/>
          <w:szCs w:val="24"/>
          <w:shd w:val="clear" w:color="auto" w:fill="FFFFFF"/>
        </w:rPr>
        <w:t>was spontaneously fermented</w:t>
      </w:r>
      <w:r w:rsidRPr="00A202DA">
        <w:rPr>
          <w:rFonts w:asciiTheme="majorBidi" w:hAnsiTheme="majorBidi" w:cstheme="majorBidi"/>
          <w:color w:val="000000" w:themeColor="text1"/>
          <w:sz w:val="24"/>
          <w:szCs w:val="24"/>
          <w:shd w:val="clear" w:color="auto" w:fill="FFFFFF"/>
        </w:rPr>
        <w:t xml:space="preserve"> for 4 days at 30°C, resulting in a 61.5% decrease in phytate levels (Nsabimana et al., 2024). </w:t>
      </w:r>
      <w:proofErr w:type="spellStart"/>
      <w:r w:rsidRPr="00A202DA">
        <w:rPr>
          <w:rFonts w:asciiTheme="majorBidi" w:hAnsiTheme="majorBidi" w:cstheme="majorBidi"/>
          <w:color w:val="000000" w:themeColor="text1"/>
          <w:sz w:val="24"/>
          <w:szCs w:val="24"/>
          <w:shd w:val="clear" w:color="auto" w:fill="FFFFFF"/>
        </w:rPr>
        <w:t>Nagessa</w:t>
      </w:r>
      <w:proofErr w:type="spellEnd"/>
      <w:r w:rsidRPr="00A202DA">
        <w:rPr>
          <w:rFonts w:asciiTheme="majorBidi" w:hAnsiTheme="majorBidi" w:cstheme="majorBidi"/>
          <w:color w:val="000000" w:themeColor="text1"/>
          <w:sz w:val="24"/>
          <w:szCs w:val="24"/>
          <w:shd w:val="clear" w:color="auto" w:fill="FFFFFF"/>
        </w:rPr>
        <w:t xml:space="preserve"> et al. (2023) </w:t>
      </w:r>
      <w:r w:rsidR="007D7325" w:rsidRPr="00A202DA">
        <w:rPr>
          <w:rFonts w:asciiTheme="majorBidi" w:hAnsiTheme="majorBidi" w:cstheme="majorBidi"/>
          <w:color w:val="000000" w:themeColor="text1"/>
          <w:sz w:val="24"/>
          <w:szCs w:val="24"/>
          <w:shd w:val="clear" w:color="auto" w:fill="FFFFFF"/>
        </w:rPr>
        <w:t>reported that roasting black small common beans markedly reduc</w:t>
      </w:r>
      <w:r w:rsidRPr="00A202DA">
        <w:rPr>
          <w:rFonts w:asciiTheme="majorBidi" w:hAnsiTheme="majorBidi" w:cstheme="majorBidi"/>
          <w:color w:val="000000" w:themeColor="text1"/>
          <w:sz w:val="24"/>
          <w:szCs w:val="24"/>
          <w:shd w:val="clear" w:color="auto" w:fill="FFFFFF"/>
        </w:rPr>
        <w:t xml:space="preserve">ed phytate levels. </w:t>
      </w:r>
      <w:proofErr w:type="spellStart"/>
      <w:r w:rsidRPr="00A202DA">
        <w:rPr>
          <w:rFonts w:asciiTheme="majorBidi" w:hAnsiTheme="majorBidi" w:cstheme="majorBidi"/>
          <w:color w:val="000000" w:themeColor="text1"/>
          <w:sz w:val="24"/>
          <w:szCs w:val="24"/>
          <w:shd w:val="clear" w:color="auto" w:fill="FFFFFF"/>
        </w:rPr>
        <w:t>Atuna</w:t>
      </w:r>
      <w:proofErr w:type="spellEnd"/>
      <w:r w:rsidRPr="00A202DA">
        <w:rPr>
          <w:rFonts w:asciiTheme="majorBidi" w:hAnsiTheme="majorBidi" w:cstheme="majorBidi"/>
          <w:color w:val="000000" w:themeColor="text1"/>
          <w:sz w:val="24"/>
          <w:szCs w:val="24"/>
          <w:shd w:val="clear" w:color="auto" w:fill="FFFFFF"/>
        </w:rPr>
        <w:t xml:space="preserve"> et al. (2022) indicated that boiling </w:t>
      </w:r>
      <w:r w:rsidR="00DB7422" w:rsidRPr="00A202DA">
        <w:rPr>
          <w:rFonts w:asciiTheme="majorBidi" w:hAnsiTheme="majorBidi" w:cstheme="majorBidi"/>
          <w:color w:val="000000" w:themeColor="text1"/>
          <w:sz w:val="24"/>
          <w:szCs w:val="24"/>
          <w:shd w:val="clear" w:color="auto" w:fill="FFFFFF"/>
        </w:rPr>
        <w:t xml:space="preserve">slightly reduced phytic acid levels in cereal flours compared with fermentation and malting, since </w:t>
      </w:r>
      <w:r w:rsidR="007D7325" w:rsidRPr="00A202DA">
        <w:rPr>
          <w:rFonts w:asciiTheme="majorBidi" w:hAnsiTheme="majorBidi" w:cstheme="majorBidi"/>
          <w:color w:val="000000" w:themeColor="text1"/>
          <w:sz w:val="24"/>
          <w:szCs w:val="24"/>
          <w:shd w:val="clear" w:color="auto" w:fill="FFFFFF"/>
        </w:rPr>
        <w:t>elevated temperatures are expec</w:t>
      </w:r>
      <w:r w:rsidRPr="00A202DA">
        <w:rPr>
          <w:rFonts w:asciiTheme="majorBidi" w:hAnsiTheme="majorBidi" w:cstheme="majorBidi"/>
          <w:color w:val="000000" w:themeColor="text1"/>
          <w:sz w:val="24"/>
          <w:szCs w:val="24"/>
          <w:shd w:val="clear" w:color="auto" w:fill="FFFFFF"/>
        </w:rPr>
        <w:t>ted to inactivate phytase.</w:t>
      </w:r>
    </w:p>
    <w:p w14:paraId="11ACD440" w14:textId="6CB4B411" w:rsidR="00847221" w:rsidRPr="005D48F2" w:rsidRDefault="005D48F2" w:rsidP="004A7E9D">
      <w:pPr>
        <w:pStyle w:val="Heading2"/>
        <w:numPr>
          <w:ilvl w:val="1"/>
          <w:numId w:val="1"/>
        </w:numPr>
        <w:spacing w:before="0" w:line="360" w:lineRule="auto"/>
        <w:ind w:left="0" w:firstLine="0"/>
        <w:jc w:val="both"/>
        <w:rPr>
          <w:rFonts w:asciiTheme="majorBidi" w:hAnsiTheme="majorBidi" w:cstheme="majorBidi"/>
          <w:color w:val="000000" w:themeColor="text1"/>
          <w:sz w:val="24"/>
          <w:szCs w:val="24"/>
        </w:rPr>
      </w:pPr>
      <w:r>
        <w:rPr>
          <w:rFonts w:asciiTheme="majorBidi" w:hAnsiTheme="majorBidi" w:cstheme="majorBidi"/>
          <w:b w:val="0"/>
          <w:bCs w:val="0"/>
          <w:i/>
          <w:iCs/>
          <w:color w:val="000000" w:themeColor="text1"/>
          <w:sz w:val="24"/>
          <w:szCs w:val="24"/>
        </w:rPr>
        <w:t xml:space="preserve"> </w:t>
      </w:r>
      <w:r w:rsidR="00847221" w:rsidRPr="005D48F2">
        <w:rPr>
          <w:rFonts w:asciiTheme="majorBidi" w:hAnsiTheme="majorBidi" w:cstheme="majorBidi"/>
          <w:color w:val="000000" w:themeColor="text1"/>
          <w:sz w:val="24"/>
          <w:szCs w:val="24"/>
        </w:rPr>
        <w:t xml:space="preserve">Effect of </w:t>
      </w:r>
      <w:r>
        <w:rPr>
          <w:rFonts w:asciiTheme="majorBidi" w:hAnsiTheme="majorBidi" w:cstheme="majorBidi"/>
          <w:color w:val="000000" w:themeColor="text1"/>
          <w:sz w:val="24"/>
          <w:szCs w:val="24"/>
        </w:rPr>
        <w:t>F</w:t>
      </w:r>
      <w:r w:rsidR="0040757B" w:rsidRPr="005D48F2">
        <w:rPr>
          <w:rFonts w:asciiTheme="majorBidi" w:hAnsiTheme="majorBidi" w:cstheme="majorBidi"/>
          <w:color w:val="000000" w:themeColor="text1"/>
          <w:sz w:val="24"/>
          <w:szCs w:val="24"/>
        </w:rPr>
        <w:t>ormulation</w:t>
      </w:r>
      <w:r w:rsidR="00847221" w:rsidRPr="005D48F2">
        <w:rPr>
          <w:rFonts w:asciiTheme="majorBidi" w:hAnsiTheme="majorBidi" w:cstheme="majorBidi"/>
          <w:color w:val="000000" w:themeColor="text1"/>
          <w:sz w:val="24"/>
          <w:szCs w:val="24"/>
        </w:rPr>
        <w:t xml:space="preserve"> and </w:t>
      </w:r>
      <w:r>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 xml:space="preserve">rocessing on </w:t>
      </w:r>
      <w:r>
        <w:rPr>
          <w:rFonts w:asciiTheme="majorBidi" w:hAnsiTheme="majorBidi" w:cstheme="majorBidi"/>
          <w:color w:val="000000" w:themeColor="text1"/>
          <w:sz w:val="24"/>
          <w:szCs w:val="24"/>
        </w:rPr>
        <w:t>P</w:t>
      </w:r>
      <w:r w:rsidR="00847221" w:rsidRPr="005D48F2">
        <w:rPr>
          <w:rFonts w:asciiTheme="majorBidi" w:hAnsiTheme="majorBidi" w:cstheme="majorBidi"/>
          <w:color w:val="000000" w:themeColor="text1"/>
          <w:sz w:val="24"/>
          <w:szCs w:val="24"/>
        </w:rPr>
        <w:t xml:space="preserve">rotein </w:t>
      </w:r>
      <w:r>
        <w:rPr>
          <w:rFonts w:asciiTheme="majorBidi" w:hAnsiTheme="majorBidi" w:cstheme="majorBidi"/>
          <w:color w:val="000000" w:themeColor="text1"/>
          <w:sz w:val="24"/>
          <w:szCs w:val="24"/>
        </w:rPr>
        <w:t>C</w:t>
      </w:r>
      <w:r w:rsidR="00847221" w:rsidRPr="005D48F2">
        <w:rPr>
          <w:rFonts w:asciiTheme="majorBidi" w:hAnsiTheme="majorBidi" w:cstheme="majorBidi"/>
          <w:color w:val="000000" w:themeColor="text1"/>
          <w:sz w:val="24"/>
          <w:szCs w:val="24"/>
        </w:rPr>
        <w:t xml:space="preserve">ontent and </w:t>
      </w:r>
      <w:r>
        <w:rPr>
          <w:rFonts w:asciiTheme="majorBidi" w:hAnsiTheme="majorBidi" w:cstheme="majorBidi"/>
          <w:color w:val="000000" w:themeColor="text1"/>
          <w:sz w:val="24"/>
          <w:szCs w:val="24"/>
        </w:rPr>
        <w:t>D</w:t>
      </w:r>
      <w:r w:rsidR="00847221" w:rsidRPr="005D48F2">
        <w:rPr>
          <w:rFonts w:asciiTheme="majorBidi" w:hAnsiTheme="majorBidi" w:cstheme="majorBidi"/>
          <w:color w:val="000000" w:themeColor="text1"/>
          <w:sz w:val="24"/>
          <w:szCs w:val="24"/>
        </w:rPr>
        <w:t xml:space="preserve">igestibility of </w:t>
      </w:r>
      <w:r>
        <w:rPr>
          <w:rFonts w:asciiTheme="majorBidi" w:hAnsiTheme="majorBidi" w:cstheme="majorBidi"/>
          <w:color w:val="000000" w:themeColor="text1"/>
          <w:sz w:val="24"/>
          <w:szCs w:val="24"/>
        </w:rPr>
        <w:t>S</w:t>
      </w:r>
      <w:r w:rsidR="00374DF2" w:rsidRPr="005D48F2">
        <w:rPr>
          <w:rFonts w:asciiTheme="majorBidi" w:hAnsiTheme="majorBidi" w:cstheme="majorBidi"/>
          <w:color w:val="000000" w:themeColor="text1"/>
          <w:sz w:val="24"/>
          <w:szCs w:val="24"/>
        </w:rPr>
        <w:t>orghum-based</w:t>
      </w:r>
      <w:r w:rsidR="00847221" w:rsidRPr="005D48F2">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847221" w:rsidRPr="005D48F2">
        <w:rPr>
          <w:rFonts w:asciiTheme="majorBidi" w:hAnsiTheme="majorBidi" w:cstheme="majorBidi"/>
          <w:color w:val="000000" w:themeColor="text1"/>
          <w:sz w:val="24"/>
          <w:szCs w:val="24"/>
        </w:rPr>
        <w:t>isra</w:t>
      </w:r>
    </w:p>
    <w:p w14:paraId="2AA47A8A" w14:textId="340B088B" w:rsidR="00534095" w:rsidRPr="00A202DA" w:rsidRDefault="00534095"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Figure 4 illustrates the protein content of the sorghum cultivars Tabat (A) and WadAhmed (B) in composite flour that has been fermented and cooked into kisra bread. The protein concentration of the raw flour from the Tabat cultivar (Fig. 4A) was 11.42%. The incorporation of wheat and pigeon pea flour in varying proportions </w:t>
      </w:r>
      <w:r w:rsidR="00E31494" w:rsidRPr="00A202DA">
        <w:rPr>
          <w:rFonts w:asciiTheme="majorBidi" w:hAnsiTheme="majorBidi" w:cstheme="majorBidi"/>
          <w:b w:val="0"/>
          <w:bCs w:val="0"/>
          <w:color w:val="000000" w:themeColor="text1"/>
          <w:sz w:val="24"/>
          <w:szCs w:val="24"/>
        </w:rPr>
        <w:t>into the flour markedly (p ≤ 0.05) increased the protein content</w:t>
      </w:r>
      <w:r w:rsidRPr="00A202DA">
        <w:rPr>
          <w:rFonts w:asciiTheme="majorBidi" w:hAnsiTheme="majorBidi" w:cstheme="majorBidi"/>
          <w:b w:val="0"/>
          <w:bCs w:val="0"/>
          <w:color w:val="000000" w:themeColor="text1"/>
          <w:sz w:val="24"/>
          <w:szCs w:val="24"/>
        </w:rPr>
        <w:t xml:space="preserve"> of the meals to 14.22%, 15.02%, and 15.82% for meals T1, T2, and T3, respectively. </w:t>
      </w:r>
      <w:r w:rsidR="00E31494" w:rsidRPr="00A202DA">
        <w:rPr>
          <w:rFonts w:asciiTheme="majorBidi" w:hAnsiTheme="majorBidi" w:cstheme="majorBidi"/>
          <w:b w:val="0"/>
          <w:bCs w:val="0"/>
          <w:color w:val="000000" w:themeColor="text1"/>
          <w:sz w:val="24"/>
          <w:szCs w:val="24"/>
        </w:rPr>
        <w:t>Fermenting raw flour markedly increased the protein content to 15.03% (p &lt; 0.05), but heating the fermented dough reduced it to 13.30%, which remains significantly higher</w:t>
      </w:r>
      <w:r w:rsidRPr="00A202DA">
        <w:rPr>
          <w:rFonts w:asciiTheme="majorBidi" w:hAnsiTheme="majorBidi" w:cstheme="majorBidi"/>
          <w:b w:val="0"/>
          <w:bCs w:val="0"/>
          <w:color w:val="000000" w:themeColor="text1"/>
          <w:sz w:val="24"/>
          <w:szCs w:val="24"/>
        </w:rPr>
        <w:t xml:space="preserve"> than that of the raw flour. </w:t>
      </w:r>
      <w:r w:rsidR="007D7325" w:rsidRPr="00A202DA">
        <w:rPr>
          <w:rFonts w:asciiTheme="majorBidi" w:hAnsiTheme="majorBidi" w:cstheme="majorBidi"/>
          <w:b w:val="0"/>
          <w:bCs w:val="0"/>
          <w:color w:val="000000" w:themeColor="text1"/>
          <w:sz w:val="24"/>
          <w:szCs w:val="24"/>
        </w:rPr>
        <w:t>Fermentation of the meals increas</w:t>
      </w:r>
      <w:r w:rsidRPr="00A202DA">
        <w:rPr>
          <w:rFonts w:asciiTheme="majorBidi" w:hAnsiTheme="majorBidi" w:cstheme="majorBidi"/>
          <w:b w:val="0"/>
          <w:bCs w:val="0"/>
          <w:color w:val="000000" w:themeColor="text1"/>
          <w:sz w:val="24"/>
          <w:szCs w:val="24"/>
        </w:rPr>
        <w:t xml:space="preserve">ed protein content, with the highest value recorded for meal T3 (17.51%). Nonetheless, boiling the fermented dough </w:t>
      </w:r>
      <w:r w:rsidR="007D7325" w:rsidRPr="00A202DA">
        <w:rPr>
          <w:rFonts w:asciiTheme="majorBidi" w:hAnsiTheme="majorBidi" w:cstheme="majorBidi"/>
          <w:b w:val="0"/>
          <w:bCs w:val="0"/>
          <w:color w:val="000000" w:themeColor="text1"/>
          <w:sz w:val="24"/>
          <w:szCs w:val="24"/>
        </w:rPr>
        <w:t>reduced the protein level, which</w:t>
      </w:r>
      <w:r w:rsidRPr="00A202DA">
        <w:rPr>
          <w:rFonts w:asciiTheme="majorBidi" w:hAnsiTheme="majorBidi" w:cstheme="majorBidi"/>
          <w:b w:val="0"/>
          <w:bCs w:val="0"/>
          <w:color w:val="000000" w:themeColor="text1"/>
          <w:sz w:val="24"/>
          <w:szCs w:val="24"/>
        </w:rPr>
        <w:t xml:space="preserve"> remains substantially higher than that of raw meal flour. The protein concentration of the raw flour from the WadAhmed cultivar (Fig. 4B) was determined to be 10.41%. The treatment of the meals yielded protein content comparable to that of Tabat meals.</w:t>
      </w:r>
    </w:p>
    <w:p w14:paraId="5FACF210" w14:textId="249F489C" w:rsidR="00534095" w:rsidRPr="00A202DA" w:rsidRDefault="00534095" w:rsidP="004A7E9D">
      <w:pPr>
        <w:spacing w:after="0" w:line="360" w:lineRule="auto"/>
        <w:jc w:val="both"/>
        <w:rPr>
          <w:rFonts w:asciiTheme="majorBidi" w:eastAsia="Arial" w:hAnsiTheme="majorBidi" w:cstheme="majorBidi"/>
          <w:color w:val="000000" w:themeColor="text1"/>
          <w:sz w:val="24"/>
          <w:szCs w:val="24"/>
        </w:rPr>
      </w:pPr>
      <w:r w:rsidRPr="00A202DA">
        <w:rPr>
          <w:rFonts w:asciiTheme="majorBidi" w:eastAsia="Arial" w:hAnsiTheme="majorBidi" w:cstheme="majorBidi"/>
          <w:color w:val="000000" w:themeColor="text1"/>
          <w:sz w:val="24"/>
          <w:szCs w:val="24"/>
        </w:rPr>
        <w:t xml:space="preserve">The findings suggest that </w:t>
      </w:r>
      <w:r w:rsidR="00E31494" w:rsidRPr="00A202DA">
        <w:rPr>
          <w:rFonts w:asciiTheme="majorBidi" w:eastAsia="Arial" w:hAnsiTheme="majorBidi" w:cstheme="majorBidi"/>
          <w:color w:val="000000" w:themeColor="text1"/>
          <w:sz w:val="24"/>
          <w:szCs w:val="24"/>
        </w:rPr>
        <w:t>higher-nutrient additives may contribute to increases</w:t>
      </w:r>
      <w:r w:rsidRPr="00A202DA">
        <w:rPr>
          <w:rFonts w:asciiTheme="majorBidi" w:eastAsia="Arial" w:hAnsiTheme="majorBidi" w:cstheme="majorBidi"/>
          <w:color w:val="000000" w:themeColor="text1"/>
          <w:sz w:val="24"/>
          <w:szCs w:val="24"/>
        </w:rPr>
        <w:t xml:space="preserve"> in protein content pre- and post-processing. Moreover, as noted by Adebo et al. [2022], fermentation substantially enhanced protein content by facilitating the synthesis and solubilization of </w:t>
      </w:r>
      <w:r w:rsidRPr="00A202DA">
        <w:rPr>
          <w:rFonts w:asciiTheme="majorBidi" w:eastAsia="Arial" w:hAnsiTheme="majorBidi" w:cstheme="majorBidi"/>
          <w:color w:val="000000" w:themeColor="text1"/>
          <w:sz w:val="24"/>
          <w:szCs w:val="24"/>
        </w:rPr>
        <w:lastRenderedPageBreak/>
        <w:t xml:space="preserve">metabolic intermediates by microorganisms. </w:t>
      </w:r>
      <w:r w:rsidRPr="00A202DA">
        <w:rPr>
          <w:rFonts w:asciiTheme="majorBidi" w:hAnsiTheme="majorBidi" w:cstheme="majorBidi"/>
          <w:color w:val="000000" w:themeColor="text1"/>
          <w:sz w:val="24"/>
          <w:szCs w:val="24"/>
        </w:rPr>
        <w:t xml:space="preserve">Following fermentation, the protein concentration </w:t>
      </w:r>
      <w:r w:rsidR="007D7325" w:rsidRPr="00A202DA">
        <w:rPr>
          <w:rFonts w:asciiTheme="majorBidi" w:hAnsiTheme="majorBidi" w:cstheme="majorBidi"/>
          <w:color w:val="000000" w:themeColor="text1"/>
          <w:sz w:val="24"/>
          <w:szCs w:val="24"/>
        </w:rPr>
        <w:t xml:space="preserve">increases while the fiber content decreases, consistent with the findings of </w:t>
      </w:r>
      <w:proofErr w:type="spellStart"/>
      <w:r w:rsidR="007D7325" w:rsidRPr="00A202DA">
        <w:rPr>
          <w:rFonts w:asciiTheme="majorBidi" w:hAnsiTheme="majorBidi" w:cstheme="majorBidi"/>
          <w:color w:val="000000" w:themeColor="text1"/>
          <w:sz w:val="24"/>
          <w:szCs w:val="24"/>
        </w:rPr>
        <w:t>Makkawi</w:t>
      </w:r>
      <w:proofErr w:type="spellEnd"/>
      <w:r w:rsidR="007D7325" w:rsidRPr="00A202DA">
        <w:rPr>
          <w:rFonts w:asciiTheme="majorBidi" w:hAnsiTheme="majorBidi" w:cstheme="majorBidi"/>
          <w:color w:val="000000" w:themeColor="text1"/>
          <w:sz w:val="24"/>
          <w:szCs w:val="24"/>
        </w:rPr>
        <w:t xml:space="preserve"> et al. [2019], who investigated the quality of cooked and fermented sorghum flour us</w:t>
      </w:r>
      <w:r w:rsidRPr="00A202DA">
        <w:rPr>
          <w:rFonts w:asciiTheme="majorBidi" w:hAnsiTheme="majorBidi" w:cstheme="majorBidi"/>
          <w:color w:val="000000" w:themeColor="text1"/>
          <w:sz w:val="24"/>
          <w:szCs w:val="24"/>
        </w:rPr>
        <w:t xml:space="preserve">ing baobab fruit pulp as a starter. Elevated protein levels during fermentation are ascribed to various biochemical and microbiological mechanisms. Microorganisms, including bacteria and yeast, metabolize carbohydrates and other nutrients in the substrate, as well as nitrogen sources (amino acids and peptides), to </w:t>
      </w:r>
      <w:r w:rsidR="007D7325" w:rsidRPr="00A202DA">
        <w:rPr>
          <w:rFonts w:asciiTheme="majorBidi" w:hAnsiTheme="majorBidi" w:cstheme="majorBidi"/>
          <w:color w:val="000000" w:themeColor="text1"/>
          <w:sz w:val="24"/>
          <w:szCs w:val="24"/>
        </w:rPr>
        <w:t>synthesize their own proteins, thereby increasing</w:t>
      </w:r>
      <w:r w:rsidRPr="00A202DA">
        <w:rPr>
          <w:rFonts w:asciiTheme="majorBidi" w:hAnsiTheme="majorBidi" w:cstheme="majorBidi"/>
          <w:color w:val="000000" w:themeColor="text1"/>
          <w:sz w:val="24"/>
          <w:szCs w:val="24"/>
        </w:rPr>
        <w:t xml:space="preserve"> bacterial biomass (Ismail et al., 2024). Proteolytic activity has been documented during fermentation, as this process entails the action of several enzymes, including proteases generated by both the microbe and the cereal. Proteolytic enzymes </w:t>
      </w:r>
      <w:r w:rsidR="00E31494" w:rsidRPr="00A202DA">
        <w:rPr>
          <w:rFonts w:asciiTheme="majorBidi" w:hAnsiTheme="majorBidi" w:cstheme="majorBidi"/>
          <w:color w:val="000000" w:themeColor="text1"/>
          <w:sz w:val="24"/>
          <w:szCs w:val="24"/>
        </w:rPr>
        <w:t>break down complex proteins into smaller peptides and free amino acids, potentially increasing</w:t>
      </w:r>
      <w:r w:rsidRPr="00A202DA">
        <w:rPr>
          <w:rFonts w:asciiTheme="majorBidi" w:hAnsiTheme="majorBidi" w:cstheme="majorBidi"/>
          <w:color w:val="000000" w:themeColor="text1"/>
          <w:sz w:val="24"/>
          <w:szCs w:val="24"/>
        </w:rPr>
        <w:t xml:space="preserve"> protein content (Singh et al., 2015). Certain proteolytic enzymes can degrade the </w:t>
      </w:r>
      <w:r w:rsidR="007D7325" w:rsidRPr="00A202DA">
        <w:rPr>
          <w:rFonts w:asciiTheme="majorBidi" w:hAnsiTheme="majorBidi" w:cstheme="majorBidi"/>
          <w:color w:val="000000" w:themeColor="text1"/>
          <w:sz w:val="24"/>
          <w:szCs w:val="24"/>
        </w:rPr>
        <w:t>aleurone cell wall, thereby enabling the release</w:t>
      </w:r>
      <w:r w:rsidRPr="00A202DA">
        <w:rPr>
          <w:rFonts w:asciiTheme="majorBidi" w:hAnsiTheme="majorBidi" w:cstheme="majorBidi"/>
          <w:color w:val="000000" w:themeColor="text1"/>
          <w:sz w:val="24"/>
          <w:szCs w:val="24"/>
        </w:rPr>
        <w:t xml:space="preserve"> of proteins confined within the grain bran. Consequently, the produced proteolytic enzymes enhance protein digestibility, and alterations in the amino acid profile yield beneficial effects, ultimately augmenting the overall nutritional quality of cereals. The </w:t>
      </w:r>
      <w:r w:rsidR="007D7325" w:rsidRPr="00A202DA">
        <w:rPr>
          <w:rFonts w:asciiTheme="majorBidi" w:hAnsiTheme="majorBidi" w:cstheme="majorBidi"/>
          <w:color w:val="000000" w:themeColor="text1"/>
          <w:sz w:val="24"/>
          <w:szCs w:val="24"/>
        </w:rPr>
        <w:t xml:space="preserve">increase in protein content is presumably </w:t>
      </w:r>
      <w:r w:rsidR="00E31494" w:rsidRPr="00A202DA">
        <w:rPr>
          <w:rFonts w:asciiTheme="majorBidi" w:hAnsiTheme="majorBidi" w:cstheme="majorBidi"/>
          <w:color w:val="000000" w:themeColor="text1"/>
          <w:sz w:val="24"/>
          <w:szCs w:val="24"/>
        </w:rPr>
        <w:t>due to the decrease in carbohydrates and fats during fermentation, resulting in</w:t>
      </w:r>
      <w:r w:rsidR="007D7325" w:rsidRPr="00A202DA">
        <w:rPr>
          <w:rFonts w:asciiTheme="majorBidi" w:hAnsiTheme="majorBidi" w:cstheme="majorBidi"/>
          <w:color w:val="000000" w:themeColor="text1"/>
          <w:sz w:val="24"/>
          <w:szCs w:val="24"/>
        </w:rPr>
        <w:t xml:space="preserve"> a relative increase in</w:t>
      </w:r>
      <w:r w:rsidRPr="00A202DA">
        <w:rPr>
          <w:rFonts w:asciiTheme="majorBidi" w:hAnsiTheme="majorBidi" w:cstheme="majorBidi"/>
          <w:color w:val="000000" w:themeColor="text1"/>
          <w:sz w:val="24"/>
          <w:szCs w:val="24"/>
        </w:rPr>
        <w:t xml:space="preserve"> protein in the dry matter (Nkhata et al., 2018). Cooking in</w:t>
      </w:r>
      <w:r w:rsidR="007D7325" w:rsidRPr="00A202DA">
        <w:rPr>
          <w:rFonts w:asciiTheme="majorBidi" w:hAnsiTheme="majorBidi" w:cstheme="majorBidi"/>
          <w:color w:val="000000" w:themeColor="text1"/>
          <w:sz w:val="24"/>
          <w:szCs w:val="24"/>
        </w:rPr>
        <w:t>consistently affected protein levels, perhaps due to reduced moisture</w:t>
      </w:r>
      <w:r w:rsidRPr="00A202DA">
        <w:rPr>
          <w:rFonts w:asciiTheme="majorBidi" w:hAnsiTheme="majorBidi" w:cstheme="majorBidi"/>
          <w:color w:val="000000" w:themeColor="text1"/>
          <w:sz w:val="24"/>
          <w:szCs w:val="24"/>
        </w:rPr>
        <w:t xml:space="preserve">, resulting in an elevated protein concentration. At elevated temperatures, the protein concentration is </w:t>
      </w:r>
      <w:r w:rsidR="007D7325" w:rsidRPr="00A202DA">
        <w:rPr>
          <w:rFonts w:asciiTheme="majorBidi" w:hAnsiTheme="majorBidi" w:cstheme="majorBidi"/>
          <w:color w:val="000000" w:themeColor="text1"/>
          <w:sz w:val="24"/>
          <w:szCs w:val="24"/>
        </w:rPr>
        <w:t>expected to decrease due to the in</w:t>
      </w:r>
      <w:r w:rsidRPr="00A202DA">
        <w:rPr>
          <w:rFonts w:asciiTheme="majorBidi" w:hAnsiTheme="majorBidi" w:cstheme="majorBidi"/>
          <w:color w:val="000000" w:themeColor="text1"/>
          <w:sz w:val="24"/>
          <w:szCs w:val="24"/>
        </w:rPr>
        <w:t>activation of enzymes that facilitate protein synthesis (Liu et al., 2019).</w:t>
      </w:r>
    </w:p>
    <w:p w14:paraId="0DA50A48" w14:textId="6A458280" w:rsidR="00B41BFF" w:rsidRPr="00A202DA" w:rsidRDefault="00B41BFF"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Figure 5 illustrates the </w:t>
      </w:r>
      <w:r w:rsidRPr="00A202DA">
        <w:rPr>
          <w:rFonts w:asciiTheme="majorBidi" w:hAnsiTheme="majorBidi" w:cstheme="majorBidi"/>
          <w:b w:val="0"/>
          <w:bCs w:val="0"/>
          <w:i/>
          <w:iCs/>
          <w:color w:val="000000" w:themeColor="text1"/>
          <w:sz w:val="24"/>
          <w:szCs w:val="24"/>
        </w:rPr>
        <w:t>in vitro</w:t>
      </w:r>
      <w:r w:rsidRPr="00A202DA">
        <w:rPr>
          <w:rFonts w:asciiTheme="majorBidi" w:hAnsiTheme="majorBidi" w:cstheme="majorBidi"/>
          <w:b w:val="0"/>
          <w:bCs w:val="0"/>
          <w:color w:val="000000" w:themeColor="text1"/>
          <w:sz w:val="24"/>
          <w:szCs w:val="24"/>
        </w:rPr>
        <w:t xml:space="preserve"> protein digestibility (IVPD) of the sorghum cultivars Tabat (A) and WadAhmed (B) in composite flour that has been fermented and cooked as kisra bread. The IVPD of raw flour from the Tabat cultivar was 47.96%. The incorporation of wheat and pigeon pea flour in varying proportions to the flour markedly (p ≤ 0.05) enhanced the IVPD of the meals to 49.55%, 48.14%, and 51.73%, respectively, for meals T1, T2, and T3. </w:t>
      </w:r>
      <w:r w:rsidR="00E31494" w:rsidRPr="00A202DA">
        <w:rPr>
          <w:rFonts w:asciiTheme="majorBidi" w:hAnsiTheme="majorBidi" w:cstheme="majorBidi"/>
          <w:b w:val="0"/>
          <w:bCs w:val="0"/>
          <w:color w:val="000000" w:themeColor="text1"/>
          <w:sz w:val="24"/>
          <w:szCs w:val="24"/>
        </w:rPr>
        <w:t>Fermenting raw flour markedly increased the protein content to 51.73% (p &lt; 0.05), but cooking the fermented dough reduced the IVPD to 57.12%, which remains significantly higher</w:t>
      </w:r>
      <w:r w:rsidRPr="00A202DA">
        <w:rPr>
          <w:rFonts w:asciiTheme="majorBidi" w:hAnsiTheme="majorBidi" w:cstheme="majorBidi"/>
          <w:b w:val="0"/>
          <w:bCs w:val="0"/>
          <w:color w:val="000000" w:themeColor="text1"/>
          <w:sz w:val="24"/>
          <w:szCs w:val="24"/>
        </w:rPr>
        <w:t xml:space="preserve"> than that of raw wheat. </w:t>
      </w:r>
      <w:r w:rsidR="00E31494" w:rsidRPr="00A202DA">
        <w:rPr>
          <w:rFonts w:asciiTheme="majorBidi" w:hAnsiTheme="majorBidi" w:cstheme="majorBidi"/>
          <w:b w:val="0"/>
          <w:bCs w:val="0"/>
          <w:color w:val="000000" w:themeColor="text1"/>
          <w:sz w:val="24"/>
          <w:szCs w:val="24"/>
        </w:rPr>
        <w:t>Fermenting</w:t>
      </w:r>
      <w:r w:rsidRPr="00A202DA">
        <w:rPr>
          <w:rFonts w:asciiTheme="majorBidi" w:hAnsiTheme="majorBidi" w:cstheme="majorBidi"/>
          <w:b w:val="0"/>
          <w:bCs w:val="0"/>
          <w:color w:val="000000" w:themeColor="text1"/>
          <w:sz w:val="24"/>
          <w:szCs w:val="24"/>
        </w:rPr>
        <w:t xml:space="preserve"> the meals resulted in an additional increase in IVPD, with the highest value recorded for meal T3 (67.59%). Nonetheless, boiling the dough-fermented meals </w:t>
      </w:r>
      <w:r w:rsidR="007D7325" w:rsidRPr="00A202DA">
        <w:rPr>
          <w:rFonts w:asciiTheme="majorBidi" w:hAnsiTheme="majorBidi" w:cstheme="majorBidi"/>
          <w:b w:val="0"/>
          <w:bCs w:val="0"/>
          <w:color w:val="000000" w:themeColor="text1"/>
          <w:sz w:val="24"/>
          <w:szCs w:val="24"/>
        </w:rPr>
        <w:t xml:space="preserve">reduced IVPD, but it remains considerably </w:t>
      </w:r>
      <w:r w:rsidR="00E31494" w:rsidRPr="00A202DA">
        <w:rPr>
          <w:rFonts w:asciiTheme="majorBidi" w:hAnsiTheme="majorBidi" w:cstheme="majorBidi"/>
          <w:b w:val="0"/>
          <w:bCs w:val="0"/>
          <w:color w:val="000000" w:themeColor="text1"/>
          <w:sz w:val="24"/>
          <w:szCs w:val="24"/>
        </w:rPr>
        <w:t>higher than that of</w:t>
      </w:r>
      <w:r w:rsidRPr="00A202DA">
        <w:rPr>
          <w:rFonts w:asciiTheme="majorBidi" w:hAnsiTheme="majorBidi" w:cstheme="majorBidi"/>
          <w:b w:val="0"/>
          <w:bCs w:val="0"/>
          <w:color w:val="000000" w:themeColor="text1"/>
          <w:sz w:val="24"/>
          <w:szCs w:val="24"/>
        </w:rPr>
        <w:t xml:space="preserve"> raw </w:t>
      </w:r>
      <w:r w:rsidRPr="00A202DA">
        <w:rPr>
          <w:rFonts w:asciiTheme="majorBidi" w:hAnsiTheme="majorBidi" w:cstheme="majorBidi"/>
          <w:b w:val="0"/>
          <w:bCs w:val="0"/>
          <w:color w:val="000000" w:themeColor="text1"/>
          <w:sz w:val="24"/>
          <w:szCs w:val="24"/>
        </w:rPr>
        <w:lastRenderedPageBreak/>
        <w:t>meal flour. The IVPD of uncooked flour from the WadAhmed cultivar was 34.49%. The treatment of the meals yielded protein content findings comparable to those of Tabat meals.</w:t>
      </w:r>
    </w:p>
    <w:p w14:paraId="0701E668" w14:textId="7CFB4451" w:rsidR="00B41BFF" w:rsidRPr="00A202DA" w:rsidRDefault="00B41BFF" w:rsidP="004A7E9D">
      <w:pPr>
        <w:pStyle w:val="Heading2"/>
        <w:spacing w:before="0" w:line="360" w:lineRule="auto"/>
        <w:ind w:left="0"/>
        <w:jc w:val="both"/>
        <w:rPr>
          <w:rFonts w:asciiTheme="majorBidi" w:hAnsiTheme="majorBidi" w:cstheme="majorBidi"/>
          <w:b w:val="0"/>
          <w:bCs w:val="0"/>
          <w:color w:val="000000" w:themeColor="text1"/>
          <w:sz w:val="24"/>
          <w:szCs w:val="24"/>
        </w:rPr>
      </w:pPr>
      <w:r w:rsidRPr="00A202DA">
        <w:rPr>
          <w:rFonts w:asciiTheme="majorBidi" w:hAnsiTheme="majorBidi" w:cstheme="majorBidi"/>
          <w:b w:val="0"/>
          <w:bCs w:val="0"/>
          <w:color w:val="000000" w:themeColor="text1"/>
          <w:sz w:val="24"/>
          <w:szCs w:val="24"/>
        </w:rPr>
        <w:t xml:space="preserve">The results indicated a fast rise in IVPD, which corresponded with a notable (P ≤ 0.05) reduction in antinutrients. Furthermore, fermentation of the meals resulted in a significant (P ≤ 0.05) reduction in antinutrients and an enhancement in in vitro protein digestibility (IVPD). Olagunju et al. (2018) reported that fermentation significantly reduced trypsin inhibitor activity, tannin concentration, and phytic acid, thereby enhancing protein bioavailability. The </w:t>
      </w:r>
      <w:r w:rsidR="00E31494" w:rsidRPr="00A202DA">
        <w:rPr>
          <w:rFonts w:asciiTheme="majorBidi" w:hAnsiTheme="majorBidi" w:cstheme="majorBidi"/>
          <w:b w:val="0"/>
          <w:bCs w:val="0"/>
          <w:color w:val="000000" w:themeColor="text1"/>
          <w:sz w:val="24"/>
          <w:szCs w:val="24"/>
        </w:rPr>
        <w:t>phytase activity generated during fermentation</w:t>
      </w:r>
      <w:r w:rsidRPr="00A202DA">
        <w:rPr>
          <w:rFonts w:asciiTheme="majorBidi" w:hAnsiTheme="majorBidi" w:cstheme="majorBidi"/>
          <w:b w:val="0"/>
          <w:bCs w:val="0"/>
          <w:color w:val="000000" w:themeColor="text1"/>
          <w:sz w:val="24"/>
          <w:szCs w:val="24"/>
        </w:rPr>
        <w:t xml:space="preserve"> may account for this decline. </w:t>
      </w:r>
      <w:proofErr w:type="spellStart"/>
      <w:r w:rsidRPr="00A202DA">
        <w:rPr>
          <w:rFonts w:asciiTheme="majorBidi" w:hAnsiTheme="majorBidi" w:cstheme="majorBidi"/>
          <w:b w:val="0"/>
          <w:bCs w:val="0"/>
          <w:color w:val="000000" w:themeColor="text1"/>
          <w:sz w:val="24"/>
          <w:szCs w:val="24"/>
        </w:rPr>
        <w:t>Makawi</w:t>
      </w:r>
      <w:proofErr w:type="spellEnd"/>
      <w:r w:rsidRPr="00A202DA">
        <w:rPr>
          <w:rFonts w:asciiTheme="majorBidi" w:hAnsiTheme="majorBidi" w:cstheme="majorBidi"/>
          <w:b w:val="0"/>
          <w:bCs w:val="0"/>
          <w:color w:val="000000" w:themeColor="text1"/>
          <w:sz w:val="24"/>
          <w:szCs w:val="24"/>
        </w:rPr>
        <w:t xml:space="preserve"> et al. (2019) indicated that the enzyme tannase, </w:t>
      </w:r>
      <w:r w:rsidR="00E31494" w:rsidRPr="00A202DA">
        <w:rPr>
          <w:rFonts w:asciiTheme="majorBidi" w:hAnsiTheme="majorBidi" w:cstheme="majorBidi"/>
          <w:b w:val="0"/>
          <w:bCs w:val="0"/>
          <w:color w:val="000000" w:themeColor="text1"/>
          <w:sz w:val="24"/>
          <w:szCs w:val="24"/>
        </w:rPr>
        <w:t>produced by microorganisms during fermentation, may contribute to</w:t>
      </w:r>
      <w:r w:rsidRPr="00A202DA">
        <w:rPr>
          <w:rFonts w:asciiTheme="majorBidi" w:hAnsiTheme="majorBidi" w:cstheme="majorBidi"/>
          <w:b w:val="0"/>
          <w:bCs w:val="0"/>
          <w:color w:val="000000" w:themeColor="text1"/>
          <w:sz w:val="24"/>
          <w:szCs w:val="24"/>
        </w:rPr>
        <w:t xml:space="preserve"> the reduction of tannin levels in cooked dishes. Mustafa et al. (2024) assert that processing </w:t>
      </w:r>
      <w:r w:rsidR="00E31494" w:rsidRPr="00A202DA">
        <w:rPr>
          <w:rFonts w:asciiTheme="majorBidi" w:hAnsiTheme="majorBidi" w:cstheme="majorBidi"/>
          <w:b w:val="0"/>
          <w:bCs w:val="0"/>
          <w:color w:val="000000" w:themeColor="text1"/>
          <w:sz w:val="24"/>
          <w:szCs w:val="24"/>
        </w:rPr>
        <w:t>sorghum-based meals with varying proportions of wheat and pumpkin flour enhances protein digestibility post-fermentation; however, subsequent cooking of the fermented dough reduces it, although it remains higher than</w:t>
      </w:r>
      <w:r w:rsidRPr="00A202DA">
        <w:rPr>
          <w:rFonts w:asciiTheme="majorBidi" w:hAnsiTheme="majorBidi" w:cstheme="majorBidi"/>
          <w:b w:val="0"/>
          <w:bCs w:val="0"/>
          <w:color w:val="000000" w:themeColor="text1"/>
          <w:sz w:val="24"/>
          <w:szCs w:val="24"/>
        </w:rPr>
        <w:t xml:space="preserve"> that of the uncooked meal. They a</w:t>
      </w:r>
      <w:r w:rsidR="007D7325" w:rsidRPr="00A202DA">
        <w:rPr>
          <w:rFonts w:asciiTheme="majorBidi" w:hAnsiTheme="majorBidi" w:cstheme="majorBidi"/>
          <w:b w:val="0"/>
          <w:bCs w:val="0"/>
          <w:color w:val="000000" w:themeColor="text1"/>
          <w:sz w:val="24"/>
          <w:szCs w:val="24"/>
        </w:rPr>
        <w:t>ttributed the rise in IVPD to reduced antinutrient levels and increase</w:t>
      </w:r>
      <w:r w:rsidRPr="00A202DA">
        <w:rPr>
          <w:rFonts w:asciiTheme="majorBidi" w:hAnsiTheme="majorBidi" w:cstheme="majorBidi"/>
          <w:b w:val="0"/>
          <w:bCs w:val="0"/>
          <w:color w:val="000000" w:themeColor="text1"/>
          <w:sz w:val="24"/>
          <w:szCs w:val="24"/>
        </w:rPr>
        <w:t>d protein degradation.</w:t>
      </w:r>
    </w:p>
    <w:p w14:paraId="6A39DBC9" w14:textId="00C07481" w:rsidR="00847221" w:rsidRPr="00A202DA" w:rsidRDefault="00847221" w:rsidP="004A7E9D">
      <w:pPr>
        <w:pStyle w:val="Heading2"/>
        <w:numPr>
          <w:ilvl w:val="0"/>
          <w:numId w:val="1"/>
        </w:numPr>
        <w:spacing w:before="0" w:line="360" w:lineRule="auto"/>
        <w:ind w:left="0" w:firstLine="0"/>
        <w:rPr>
          <w:rFonts w:asciiTheme="majorBidi" w:hAnsiTheme="majorBidi" w:cstheme="majorBidi"/>
          <w:color w:val="000000" w:themeColor="text1"/>
          <w:sz w:val="24"/>
          <w:szCs w:val="24"/>
        </w:rPr>
      </w:pPr>
      <w:r w:rsidRPr="00A202DA">
        <w:rPr>
          <w:rFonts w:asciiTheme="majorBidi" w:hAnsiTheme="majorBidi" w:cstheme="majorBidi"/>
          <w:color w:val="000000" w:themeColor="text1"/>
          <w:spacing w:val="-2"/>
          <w:sz w:val="24"/>
          <w:szCs w:val="24"/>
        </w:rPr>
        <w:t>Conclusion</w:t>
      </w:r>
    </w:p>
    <w:p w14:paraId="486A047F" w14:textId="37DBF6D8" w:rsidR="00533199" w:rsidRDefault="00B41BFF" w:rsidP="004A7E9D">
      <w:pPr>
        <w:spacing w:after="0" w:line="360" w:lineRule="auto"/>
        <w:jc w:val="both"/>
        <w:rPr>
          <w:rFonts w:asciiTheme="majorBidi" w:eastAsia="Arial MT" w:hAnsiTheme="majorBidi" w:cstheme="majorBidi"/>
          <w:color w:val="000000" w:themeColor="text1"/>
          <w:sz w:val="24"/>
          <w:szCs w:val="24"/>
        </w:rPr>
      </w:pPr>
      <w:r w:rsidRPr="00A202DA">
        <w:rPr>
          <w:rFonts w:asciiTheme="majorBidi" w:eastAsia="Arial MT" w:hAnsiTheme="majorBidi" w:cstheme="majorBidi"/>
          <w:color w:val="000000" w:themeColor="text1"/>
          <w:sz w:val="24"/>
          <w:szCs w:val="24"/>
        </w:rPr>
        <w:t xml:space="preserve">The results show that combining sorghum flour with wheat and pigeon pea flours decreased </w:t>
      </w:r>
      <w:r w:rsidR="00E31494" w:rsidRPr="00A202DA">
        <w:rPr>
          <w:rFonts w:asciiTheme="majorBidi" w:eastAsia="Arial MT" w:hAnsiTheme="majorBidi" w:cstheme="majorBidi"/>
          <w:color w:val="000000" w:themeColor="text1"/>
          <w:sz w:val="24"/>
          <w:szCs w:val="24"/>
        </w:rPr>
        <w:t>phytate and tannin levels</w:t>
      </w:r>
      <w:r w:rsidRPr="00A202DA">
        <w:rPr>
          <w:rFonts w:asciiTheme="majorBidi" w:eastAsia="Arial MT" w:hAnsiTheme="majorBidi" w:cstheme="majorBidi"/>
          <w:color w:val="000000" w:themeColor="text1"/>
          <w:sz w:val="24"/>
          <w:szCs w:val="24"/>
        </w:rPr>
        <w:t xml:space="preserve"> while increasing in vitro digestibility. Following fermentation, antinutrient levels were </w:t>
      </w:r>
      <w:r w:rsidR="007D7325" w:rsidRPr="00A202DA">
        <w:rPr>
          <w:rFonts w:asciiTheme="majorBidi" w:eastAsia="Arial MT" w:hAnsiTheme="majorBidi" w:cstheme="majorBidi"/>
          <w:color w:val="000000" w:themeColor="text1"/>
          <w:sz w:val="24"/>
          <w:szCs w:val="24"/>
        </w:rPr>
        <w:t>further reduced</w:t>
      </w:r>
      <w:r w:rsidRPr="00A202DA">
        <w:rPr>
          <w:rFonts w:asciiTheme="majorBidi" w:eastAsia="Arial MT" w:hAnsiTheme="majorBidi" w:cstheme="majorBidi"/>
          <w:color w:val="000000" w:themeColor="text1"/>
          <w:sz w:val="24"/>
          <w:szCs w:val="24"/>
        </w:rPr>
        <w:t xml:space="preserve">, and IVPD improved. Cooking had an </w:t>
      </w:r>
      <w:r w:rsidR="00E31494" w:rsidRPr="00A202DA">
        <w:rPr>
          <w:rFonts w:asciiTheme="majorBidi" w:eastAsia="Arial MT" w:hAnsiTheme="majorBidi" w:cstheme="majorBidi"/>
          <w:color w:val="000000" w:themeColor="text1"/>
          <w:sz w:val="24"/>
          <w:szCs w:val="24"/>
        </w:rPr>
        <w:t>adverse effect on IVPD, whereas dough fermentation mitigated this effect</w:t>
      </w:r>
      <w:r w:rsidRPr="00A202DA">
        <w:rPr>
          <w:rFonts w:asciiTheme="majorBidi" w:eastAsia="Arial MT" w:hAnsiTheme="majorBidi" w:cstheme="majorBidi"/>
          <w:color w:val="000000" w:themeColor="text1"/>
          <w:sz w:val="24"/>
          <w:szCs w:val="24"/>
        </w:rPr>
        <w:t xml:space="preserve">. These findings emphasize the significance of traditional fermentation processes as a promising way to </w:t>
      </w:r>
      <w:r w:rsidR="007D7325" w:rsidRPr="00A202DA">
        <w:rPr>
          <w:rFonts w:asciiTheme="majorBidi" w:eastAsia="Arial MT" w:hAnsiTheme="majorBidi" w:cstheme="majorBidi"/>
          <w:color w:val="000000" w:themeColor="text1"/>
          <w:sz w:val="24"/>
          <w:szCs w:val="24"/>
        </w:rPr>
        <w:t xml:space="preserve">improve </w:t>
      </w:r>
      <w:r w:rsidRPr="00A202DA">
        <w:rPr>
          <w:rFonts w:asciiTheme="majorBidi" w:eastAsia="Arial MT" w:hAnsiTheme="majorBidi" w:cstheme="majorBidi"/>
          <w:color w:val="000000" w:themeColor="text1"/>
          <w:sz w:val="24"/>
          <w:szCs w:val="24"/>
        </w:rPr>
        <w:t>nutrient uptake from grains and support better dietary outcomes.</w:t>
      </w:r>
    </w:p>
    <w:p w14:paraId="19986FE8" w14:textId="77777777" w:rsidR="00960507" w:rsidRPr="00A202DA" w:rsidRDefault="00960507" w:rsidP="004A7E9D">
      <w:pPr>
        <w:spacing w:after="0" w:line="360" w:lineRule="auto"/>
        <w:jc w:val="both"/>
        <w:rPr>
          <w:rFonts w:asciiTheme="majorBidi" w:eastAsia="Arial MT" w:hAnsiTheme="majorBidi" w:cstheme="majorBidi"/>
          <w:color w:val="000000" w:themeColor="text1"/>
          <w:sz w:val="24"/>
          <w:szCs w:val="24"/>
        </w:rPr>
      </w:pPr>
      <w:bookmarkStart w:id="0" w:name="_GoBack"/>
      <w:bookmarkEnd w:id="0"/>
    </w:p>
    <w:p w14:paraId="62B6D562" w14:textId="77777777" w:rsidR="00FE5C94" w:rsidRPr="00A202DA" w:rsidRDefault="00FE5C94" w:rsidP="004A7E9D">
      <w:pPr>
        <w:spacing w:after="0" w:line="360" w:lineRule="auto"/>
        <w:jc w:val="both"/>
        <w:rPr>
          <w:rFonts w:asciiTheme="majorBidi" w:hAnsiTheme="majorBidi" w:cstheme="majorBidi"/>
          <w:b/>
          <w:bCs/>
          <w:color w:val="000000" w:themeColor="text1"/>
          <w:sz w:val="24"/>
          <w:szCs w:val="24"/>
        </w:rPr>
      </w:pPr>
      <w:r w:rsidRPr="00A202DA">
        <w:rPr>
          <w:rFonts w:asciiTheme="majorBidi" w:hAnsiTheme="majorBidi" w:cstheme="majorBidi"/>
          <w:b/>
          <w:bCs/>
          <w:color w:val="000000" w:themeColor="text1"/>
          <w:sz w:val="24"/>
          <w:szCs w:val="24"/>
        </w:rPr>
        <w:t>References</w:t>
      </w:r>
    </w:p>
    <w:p w14:paraId="35FB1E67" w14:textId="77777777" w:rsidR="004A7E9D" w:rsidRDefault="00FE5C94" w:rsidP="004A7E9D">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Abioye, V.F., Ogunlakin, G.O. &amp; Taiwo, G. (2018). Effect of germination on antioxidant activity, total phenols, flavonoids and antinutritional content of finger millet flour. </w:t>
      </w:r>
      <w:r w:rsidRPr="005974F0">
        <w:rPr>
          <w:rFonts w:asciiTheme="majorBidi" w:hAnsiTheme="majorBidi" w:cstheme="majorBidi"/>
          <w:i/>
          <w:iCs/>
          <w:color w:val="000000" w:themeColor="text1"/>
          <w:sz w:val="24"/>
          <w:szCs w:val="24"/>
        </w:rPr>
        <w:t>Journal of Food Processing &amp; Technology</w:t>
      </w:r>
      <w:r w:rsidRPr="00A202DA">
        <w:rPr>
          <w:rFonts w:asciiTheme="majorBidi" w:hAnsiTheme="majorBidi" w:cstheme="majorBidi"/>
          <w:color w:val="000000" w:themeColor="text1"/>
          <w:sz w:val="24"/>
          <w:szCs w:val="24"/>
        </w:rPr>
        <w:t>, 9, 1–5.</w:t>
      </w:r>
      <w:r w:rsidRPr="00A202DA">
        <w:rPr>
          <w:color w:val="000000" w:themeColor="text1"/>
        </w:rPr>
        <w:t xml:space="preserve"> </w:t>
      </w:r>
      <w:hyperlink r:id="rId7" w:history="1">
        <w:r w:rsidRPr="00A202DA">
          <w:rPr>
            <w:rStyle w:val="Hyperlink"/>
            <w:color w:val="000000" w:themeColor="text1"/>
            <w:u w:val="none"/>
          </w:rPr>
          <w:t>https://doi.org/</w:t>
        </w:r>
        <w:r w:rsidRPr="00A202DA">
          <w:rPr>
            <w:rStyle w:val="Hyperlink"/>
            <w:rFonts w:asciiTheme="majorBidi" w:hAnsiTheme="majorBidi" w:cstheme="majorBidi"/>
            <w:color w:val="000000" w:themeColor="text1"/>
            <w:sz w:val="24"/>
            <w:szCs w:val="24"/>
            <w:u w:val="none"/>
          </w:rPr>
          <w:t>10.4172/2157-7110.1000719</w:t>
        </w:r>
      </w:hyperlink>
    </w:p>
    <w:p w14:paraId="18B33906" w14:textId="77777777" w:rsidR="004A7E9D" w:rsidRDefault="00FE5C94" w:rsidP="004A7E9D">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Fonts w:asciiTheme="majorBidi" w:hAnsiTheme="majorBidi" w:cstheme="majorBidi"/>
          <w:color w:val="000000" w:themeColor="text1"/>
          <w:sz w:val="24"/>
          <w:szCs w:val="24"/>
        </w:rPr>
        <w:t>Adebo</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O</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A</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(2020)</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African sorghum-based fermented foods: past, current and future prospects. </w:t>
      </w:r>
      <w:r w:rsidRPr="005974F0">
        <w:rPr>
          <w:rFonts w:asciiTheme="majorBidi" w:hAnsiTheme="majorBidi" w:cstheme="majorBidi"/>
          <w:i/>
          <w:iCs/>
          <w:color w:val="000000" w:themeColor="text1"/>
          <w:sz w:val="24"/>
          <w:szCs w:val="24"/>
        </w:rPr>
        <w:t>Nutrients</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12 (4), 1111. </w:t>
      </w:r>
      <w:hyperlink r:id="rId8" w:history="1">
        <w:r w:rsidRPr="00A202DA">
          <w:rPr>
            <w:rStyle w:val="Hyperlink"/>
            <w:rFonts w:asciiTheme="majorBidi" w:hAnsiTheme="majorBidi" w:cstheme="majorBidi"/>
            <w:color w:val="000000" w:themeColor="text1"/>
            <w:sz w:val="24"/>
            <w:szCs w:val="24"/>
            <w:u w:val="none"/>
          </w:rPr>
          <w:t>https://doi.org/10.3390/nu12041111</w:t>
        </w:r>
      </w:hyperlink>
    </w:p>
    <w:p w14:paraId="62D5A649"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Adebo, J. A., </w:t>
      </w:r>
      <w:proofErr w:type="spellStart"/>
      <w:r w:rsidRPr="00A202DA">
        <w:rPr>
          <w:rStyle w:val="Hyperlink"/>
          <w:rFonts w:asciiTheme="majorBidi" w:hAnsiTheme="majorBidi" w:cstheme="majorBidi"/>
          <w:color w:val="000000" w:themeColor="text1"/>
          <w:sz w:val="24"/>
          <w:szCs w:val="24"/>
          <w:u w:val="none"/>
        </w:rPr>
        <w:t>Njobeh</w:t>
      </w:r>
      <w:proofErr w:type="spellEnd"/>
      <w:r w:rsidRPr="00A202DA">
        <w:rPr>
          <w:rStyle w:val="Hyperlink"/>
          <w:rFonts w:asciiTheme="majorBidi" w:hAnsiTheme="majorBidi" w:cstheme="majorBidi"/>
          <w:color w:val="000000" w:themeColor="text1"/>
          <w:sz w:val="24"/>
          <w:szCs w:val="24"/>
          <w:u w:val="none"/>
        </w:rPr>
        <w:t xml:space="preserve">, P. B., </w:t>
      </w:r>
      <w:proofErr w:type="spellStart"/>
      <w:r w:rsidRPr="00A202DA">
        <w:rPr>
          <w:rStyle w:val="Hyperlink"/>
          <w:rFonts w:asciiTheme="majorBidi" w:hAnsiTheme="majorBidi" w:cstheme="majorBidi"/>
          <w:color w:val="000000" w:themeColor="text1"/>
          <w:sz w:val="24"/>
          <w:szCs w:val="24"/>
          <w:u w:val="none"/>
        </w:rPr>
        <w:t>Gbashi</w:t>
      </w:r>
      <w:proofErr w:type="spellEnd"/>
      <w:r w:rsidRPr="00A202DA">
        <w:rPr>
          <w:rStyle w:val="Hyperlink"/>
          <w:rFonts w:asciiTheme="majorBidi" w:hAnsiTheme="majorBidi" w:cstheme="majorBidi"/>
          <w:color w:val="000000" w:themeColor="text1"/>
          <w:sz w:val="24"/>
          <w:szCs w:val="24"/>
          <w:u w:val="none"/>
        </w:rPr>
        <w:t xml:space="preserve">, S., Oyedeji, A. B., Ogundele, O. M., </w:t>
      </w:r>
      <w:proofErr w:type="spellStart"/>
      <w:r w:rsidRPr="00A202DA">
        <w:rPr>
          <w:rStyle w:val="Hyperlink"/>
          <w:rFonts w:asciiTheme="majorBidi" w:hAnsiTheme="majorBidi" w:cstheme="majorBidi"/>
          <w:color w:val="000000" w:themeColor="text1"/>
          <w:sz w:val="24"/>
          <w:szCs w:val="24"/>
          <w:u w:val="none"/>
        </w:rPr>
        <w:t>Oyeyinka</w:t>
      </w:r>
      <w:proofErr w:type="spellEnd"/>
      <w:r w:rsidRPr="00A202DA">
        <w:rPr>
          <w:rStyle w:val="Hyperlink"/>
          <w:rFonts w:asciiTheme="majorBidi" w:hAnsiTheme="majorBidi" w:cstheme="majorBidi"/>
          <w:color w:val="000000" w:themeColor="text1"/>
          <w:sz w:val="24"/>
          <w:szCs w:val="24"/>
          <w:u w:val="none"/>
        </w:rPr>
        <w:t xml:space="preserve">, S. A., &amp; Adebo, O. A. (2022). Fermentation of cereals and legumes: Impact on nutritional </w:t>
      </w:r>
      <w:r w:rsidRPr="00A202DA">
        <w:rPr>
          <w:rStyle w:val="Hyperlink"/>
          <w:rFonts w:asciiTheme="majorBidi" w:hAnsiTheme="majorBidi" w:cstheme="majorBidi"/>
          <w:color w:val="000000" w:themeColor="text1"/>
          <w:sz w:val="24"/>
          <w:szCs w:val="24"/>
          <w:u w:val="none"/>
        </w:rPr>
        <w:lastRenderedPageBreak/>
        <w:t xml:space="preserve">constituents and nutrient bioavailability. </w:t>
      </w:r>
      <w:r w:rsidRPr="005974F0">
        <w:rPr>
          <w:rStyle w:val="Hyperlink"/>
          <w:rFonts w:asciiTheme="majorBidi" w:hAnsiTheme="majorBidi" w:cstheme="majorBidi"/>
          <w:i/>
          <w:iCs/>
          <w:color w:val="000000" w:themeColor="text1"/>
          <w:sz w:val="24"/>
          <w:szCs w:val="24"/>
          <w:u w:val="none"/>
        </w:rPr>
        <w:t>Fermentation</w:t>
      </w:r>
      <w:r w:rsidRPr="00A202DA">
        <w:rPr>
          <w:rStyle w:val="Hyperlink"/>
          <w:rFonts w:asciiTheme="majorBidi" w:hAnsiTheme="majorBidi" w:cstheme="majorBidi"/>
          <w:color w:val="000000" w:themeColor="text1"/>
          <w:sz w:val="24"/>
          <w:szCs w:val="24"/>
          <w:u w:val="none"/>
        </w:rPr>
        <w:t>, 8(2), 63.</w:t>
      </w:r>
      <w:r w:rsidRPr="00A202DA">
        <w:rPr>
          <w:color w:val="000000" w:themeColor="text1"/>
        </w:rPr>
        <w:t xml:space="preserve"> </w:t>
      </w:r>
      <w:hyperlink r:id="rId9" w:history="1">
        <w:r w:rsidRPr="00A202DA">
          <w:rPr>
            <w:rStyle w:val="Hyperlink"/>
            <w:rFonts w:asciiTheme="majorBidi" w:hAnsiTheme="majorBidi" w:cstheme="majorBidi"/>
            <w:color w:val="000000" w:themeColor="text1"/>
            <w:sz w:val="24"/>
            <w:szCs w:val="24"/>
            <w:u w:val="none"/>
          </w:rPr>
          <w:t>https://doi.org/10.3390/fermentation8020063</w:t>
        </w:r>
      </w:hyperlink>
    </w:p>
    <w:p w14:paraId="6D399E7E"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Adeyemo, S. M., </w:t>
      </w:r>
      <w:proofErr w:type="spellStart"/>
      <w:r w:rsidRPr="00A202DA">
        <w:rPr>
          <w:rFonts w:asciiTheme="majorBidi" w:hAnsiTheme="majorBidi" w:cstheme="majorBidi"/>
          <w:color w:val="000000" w:themeColor="text1"/>
          <w:sz w:val="24"/>
          <w:szCs w:val="24"/>
          <w:shd w:val="clear" w:color="auto" w:fill="FFFFFF"/>
        </w:rPr>
        <w:t>Onilude</w:t>
      </w:r>
      <w:proofErr w:type="spellEnd"/>
      <w:r w:rsidRPr="00A202DA">
        <w:rPr>
          <w:rFonts w:asciiTheme="majorBidi" w:hAnsiTheme="majorBidi" w:cstheme="majorBidi"/>
          <w:color w:val="000000" w:themeColor="text1"/>
          <w:sz w:val="24"/>
          <w:szCs w:val="24"/>
          <w:shd w:val="clear" w:color="auto" w:fill="FFFFFF"/>
        </w:rPr>
        <w:t xml:space="preserve">, A. A., &amp; </w:t>
      </w:r>
      <w:proofErr w:type="spellStart"/>
      <w:r w:rsidRPr="00A202DA">
        <w:rPr>
          <w:rFonts w:asciiTheme="majorBidi" w:hAnsiTheme="majorBidi" w:cstheme="majorBidi"/>
          <w:color w:val="000000" w:themeColor="text1"/>
          <w:sz w:val="24"/>
          <w:szCs w:val="24"/>
          <w:shd w:val="clear" w:color="auto" w:fill="FFFFFF"/>
        </w:rPr>
        <w:t>Olugbogi</w:t>
      </w:r>
      <w:proofErr w:type="spellEnd"/>
      <w:r w:rsidRPr="00A202DA">
        <w:rPr>
          <w:rFonts w:asciiTheme="majorBidi" w:hAnsiTheme="majorBidi" w:cstheme="majorBidi"/>
          <w:color w:val="000000" w:themeColor="text1"/>
          <w:sz w:val="24"/>
          <w:szCs w:val="24"/>
          <w:shd w:val="clear" w:color="auto" w:fill="FFFFFF"/>
        </w:rPr>
        <w:t xml:space="preserve">, D. O. (2016). Reduction of Antinutritional factors of sorghum by lactic acid bacteria isolated from Abacha-an African fermented staple. </w:t>
      </w:r>
      <w:r w:rsidR="005974F0" w:rsidRPr="005974F0">
        <w:rPr>
          <w:rFonts w:asciiTheme="majorBidi" w:hAnsiTheme="majorBidi" w:cstheme="majorBidi"/>
          <w:i/>
          <w:iCs/>
          <w:color w:val="000000" w:themeColor="text1"/>
          <w:sz w:val="24"/>
          <w:szCs w:val="24"/>
          <w:shd w:val="clear" w:color="auto" w:fill="FFFFFF"/>
        </w:rPr>
        <w:t>Frontier in</w:t>
      </w:r>
      <w:r w:rsidRPr="005974F0">
        <w:rPr>
          <w:rFonts w:asciiTheme="majorBidi" w:hAnsiTheme="majorBidi" w:cstheme="majorBidi"/>
          <w:i/>
          <w:iCs/>
          <w:color w:val="000000" w:themeColor="text1"/>
          <w:sz w:val="24"/>
          <w:szCs w:val="24"/>
          <w:shd w:val="clear" w:color="auto" w:fill="FFFFFF"/>
        </w:rPr>
        <w:t xml:space="preserve"> Sci</w:t>
      </w:r>
      <w:r w:rsidR="005974F0" w:rsidRPr="005974F0">
        <w:rPr>
          <w:rFonts w:asciiTheme="majorBidi" w:hAnsiTheme="majorBidi" w:cstheme="majorBidi"/>
          <w:i/>
          <w:iCs/>
          <w:color w:val="000000" w:themeColor="text1"/>
          <w:sz w:val="24"/>
          <w:szCs w:val="24"/>
          <w:shd w:val="clear" w:color="auto" w:fill="FFFFFF"/>
        </w:rPr>
        <w:t>ence</w:t>
      </w:r>
      <w:r w:rsidR="005974F0">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xml:space="preserve"> 6(1), 25-30.</w:t>
      </w:r>
      <w:r w:rsidRPr="00A202DA">
        <w:rPr>
          <w:color w:val="000000" w:themeColor="text1"/>
        </w:rPr>
        <w:t xml:space="preserve"> </w:t>
      </w:r>
      <w:hyperlink r:id="rId10" w:history="1">
        <w:r w:rsidR="009C5DCD" w:rsidRPr="00494E18">
          <w:rPr>
            <w:rStyle w:val="Hyperlink"/>
            <w:rFonts w:asciiTheme="majorBidi" w:hAnsiTheme="majorBidi" w:cstheme="majorBidi"/>
            <w:sz w:val="24"/>
            <w:szCs w:val="24"/>
            <w:shd w:val="clear" w:color="auto" w:fill="FFFFFF"/>
          </w:rPr>
          <w:t>https://doi.org/10.5923/j.fs.20160601.03</w:t>
        </w:r>
      </w:hyperlink>
    </w:p>
    <w:p w14:paraId="197EDFED"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Amoah, I., Ascione, A., Muthanna, F. M., Feraco, A., </w:t>
      </w:r>
      <w:proofErr w:type="spellStart"/>
      <w:r w:rsidRPr="00A202DA">
        <w:rPr>
          <w:rFonts w:asciiTheme="majorBidi" w:hAnsiTheme="majorBidi" w:cstheme="majorBidi"/>
          <w:color w:val="000000" w:themeColor="text1"/>
          <w:sz w:val="24"/>
          <w:szCs w:val="24"/>
          <w:shd w:val="clear" w:color="auto" w:fill="FFFFFF"/>
        </w:rPr>
        <w:t>Camajani</w:t>
      </w:r>
      <w:proofErr w:type="spellEnd"/>
      <w:r w:rsidRPr="00A202DA">
        <w:rPr>
          <w:rFonts w:asciiTheme="majorBidi" w:hAnsiTheme="majorBidi" w:cstheme="majorBidi"/>
          <w:color w:val="000000" w:themeColor="text1"/>
          <w:sz w:val="24"/>
          <w:szCs w:val="24"/>
          <w:shd w:val="clear" w:color="auto" w:fill="FFFFFF"/>
        </w:rPr>
        <w:t xml:space="preserve">, E., </w:t>
      </w:r>
      <w:proofErr w:type="spellStart"/>
      <w:r w:rsidRPr="00A202DA">
        <w:rPr>
          <w:rFonts w:asciiTheme="majorBidi" w:hAnsiTheme="majorBidi" w:cstheme="majorBidi"/>
          <w:color w:val="000000" w:themeColor="text1"/>
          <w:sz w:val="24"/>
          <w:szCs w:val="24"/>
          <w:shd w:val="clear" w:color="auto" w:fill="FFFFFF"/>
        </w:rPr>
        <w:t>Gorini</w:t>
      </w:r>
      <w:proofErr w:type="spellEnd"/>
      <w:r w:rsidRPr="00A202DA">
        <w:rPr>
          <w:rFonts w:asciiTheme="majorBidi" w:hAnsiTheme="majorBidi" w:cstheme="majorBidi"/>
          <w:color w:val="000000" w:themeColor="text1"/>
          <w:sz w:val="24"/>
          <w:szCs w:val="24"/>
          <w:shd w:val="clear" w:color="auto" w:fill="FFFFFF"/>
        </w:rPr>
        <w:t>, S., ... &amp; Lombardo, M. (2023). Sustainable strategies for increasing legume consumption: culinary and educational approaches</w:t>
      </w:r>
      <w:r w:rsidR="005974F0">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Foods</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12</w:t>
      </w:r>
      <w:r w:rsidRPr="00A202DA">
        <w:rPr>
          <w:rFonts w:asciiTheme="majorBidi" w:hAnsiTheme="majorBidi" w:cstheme="majorBidi"/>
          <w:color w:val="000000" w:themeColor="text1"/>
          <w:sz w:val="24"/>
          <w:szCs w:val="24"/>
          <w:shd w:val="clear" w:color="auto" w:fill="FFFFFF"/>
        </w:rPr>
        <w:t xml:space="preserve">(11), 2265.   </w:t>
      </w:r>
      <w:hyperlink r:id="rId11" w:history="1">
        <w:r w:rsidRPr="00A202DA">
          <w:rPr>
            <w:rStyle w:val="Hyperlink"/>
            <w:rFonts w:asciiTheme="majorBidi" w:hAnsiTheme="majorBidi" w:cstheme="majorBidi"/>
            <w:color w:val="000000" w:themeColor="text1"/>
            <w:sz w:val="24"/>
            <w:szCs w:val="24"/>
            <w:u w:val="none"/>
            <w:shd w:val="clear" w:color="auto" w:fill="FFFFFF"/>
          </w:rPr>
          <w:t>https://doi.org/10.3390/foods12112265</w:t>
        </w:r>
      </w:hyperlink>
    </w:p>
    <w:p w14:paraId="3920DB0C"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AOAC (2005). Official methods of the Association of Official </w:t>
      </w:r>
      <w:proofErr w:type="spellStart"/>
      <w:r w:rsidRPr="00A202DA">
        <w:rPr>
          <w:rFonts w:asciiTheme="majorBidi" w:hAnsiTheme="majorBidi" w:cstheme="majorBidi"/>
          <w:color w:val="000000" w:themeColor="text1"/>
          <w:sz w:val="24"/>
          <w:szCs w:val="24"/>
        </w:rPr>
        <w:t>Analyti</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cal</w:t>
      </w:r>
      <w:proofErr w:type="spellEnd"/>
      <w:r w:rsidRPr="00A202DA">
        <w:rPr>
          <w:rFonts w:asciiTheme="majorBidi" w:hAnsiTheme="majorBidi" w:cstheme="majorBidi"/>
          <w:color w:val="000000" w:themeColor="text1"/>
          <w:sz w:val="24"/>
          <w:szCs w:val="24"/>
        </w:rPr>
        <w:t xml:space="preserve"> Chemists, 16th </w:t>
      </w:r>
      <w:proofErr w:type="spellStart"/>
      <w:r w:rsidRPr="00A202DA">
        <w:rPr>
          <w:rFonts w:asciiTheme="majorBidi" w:hAnsiTheme="majorBidi" w:cstheme="majorBidi"/>
          <w:color w:val="000000" w:themeColor="text1"/>
          <w:sz w:val="24"/>
          <w:szCs w:val="24"/>
        </w:rPr>
        <w:t>edn</w:t>
      </w:r>
      <w:proofErr w:type="spellEnd"/>
      <w:r w:rsidRPr="00A202DA">
        <w:rPr>
          <w:rFonts w:asciiTheme="majorBidi" w:hAnsiTheme="majorBidi" w:cstheme="majorBidi"/>
          <w:color w:val="000000" w:themeColor="text1"/>
          <w:sz w:val="24"/>
          <w:szCs w:val="24"/>
        </w:rPr>
        <w:t xml:space="preserve">. Arlington, TX: Association of Official Ana </w:t>
      </w:r>
      <w:proofErr w:type="spellStart"/>
      <w:r w:rsidRPr="00A202DA">
        <w:rPr>
          <w:rFonts w:asciiTheme="majorBidi" w:hAnsiTheme="majorBidi" w:cstheme="majorBidi"/>
          <w:color w:val="000000" w:themeColor="text1"/>
          <w:sz w:val="24"/>
          <w:szCs w:val="24"/>
        </w:rPr>
        <w:t>lytical</w:t>
      </w:r>
      <w:proofErr w:type="spellEnd"/>
      <w:r w:rsidRPr="00A202DA">
        <w:rPr>
          <w:rFonts w:asciiTheme="majorBidi" w:hAnsiTheme="majorBidi" w:cstheme="majorBidi"/>
          <w:color w:val="000000" w:themeColor="text1"/>
          <w:sz w:val="24"/>
          <w:szCs w:val="24"/>
        </w:rPr>
        <w:t xml:space="preserve"> Chemists.</w:t>
      </w:r>
    </w:p>
    <w:p w14:paraId="146CEA70"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Atuna</w:t>
      </w:r>
      <w:proofErr w:type="spellEnd"/>
      <w:r w:rsidRPr="00A202DA">
        <w:rPr>
          <w:rStyle w:val="Hyperlink"/>
          <w:rFonts w:asciiTheme="majorBidi" w:hAnsiTheme="majorBidi" w:cstheme="majorBidi"/>
          <w:color w:val="000000" w:themeColor="text1"/>
          <w:sz w:val="24"/>
          <w:szCs w:val="24"/>
          <w:u w:val="none"/>
        </w:rPr>
        <w:t xml:space="preserve">, R. A., </w:t>
      </w:r>
      <w:proofErr w:type="spellStart"/>
      <w:r w:rsidRPr="00A202DA">
        <w:rPr>
          <w:rStyle w:val="Hyperlink"/>
          <w:rFonts w:asciiTheme="majorBidi" w:hAnsiTheme="majorBidi" w:cstheme="majorBidi"/>
          <w:color w:val="000000" w:themeColor="text1"/>
          <w:sz w:val="24"/>
          <w:szCs w:val="24"/>
          <w:u w:val="none"/>
        </w:rPr>
        <w:t>Ametei</w:t>
      </w:r>
      <w:proofErr w:type="spellEnd"/>
      <w:r w:rsidRPr="00A202DA">
        <w:rPr>
          <w:rStyle w:val="Hyperlink"/>
          <w:rFonts w:asciiTheme="majorBidi" w:hAnsiTheme="majorBidi" w:cstheme="majorBidi"/>
          <w:color w:val="000000" w:themeColor="text1"/>
          <w:sz w:val="24"/>
          <w:szCs w:val="24"/>
          <w:u w:val="none"/>
        </w:rPr>
        <w:t xml:space="preserve">, P. N., Bawa, A. A., &amp; </w:t>
      </w:r>
      <w:proofErr w:type="spellStart"/>
      <w:r w:rsidRPr="00A202DA">
        <w:rPr>
          <w:rStyle w:val="Hyperlink"/>
          <w:rFonts w:asciiTheme="majorBidi" w:hAnsiTheme="majorBidi" w:cstheme="majorBidi"/>
          <w:color w:val="000000" w:themeColor="text1"/>
          <w:sz w:val="24"/>
          <w:szCs w:val="24"/>
          <w:u w:val="none"/>
        </w:rPr>
        <w:t>Amagloh</w:t>
      </w:r>
      <w:proofErr w:type="spellEnd"/>
      <w:r w:rsidRPr="00A202DA">
        <w:rPr>
          <w:rStyle w:val="Hyperlink"/>
          <w:rFonts w:asciiTheme="majorBidi" w:hAnsiTheme="majorBidi" w:cstheme="majorBidi"/>
          <w:color w:val="000000" w:themeColor="text1"/>
          <w:sz w:val="24"/>
          <w:szCs w:val="24"/>
          <w:u w:val="none"/>
        </w:rPr>
        <w:t xml:space="preserve">, F. K. (2022). Traditional processing methods reduced phytate in cereal flour, improved nutritional, functional and rheological properties. </w:t>
      </w:r>
      <w:r w:rsidRPr="005974F0">
        <w:rPr>
          <w:rStyle w:val="Hyperlink"/>
          <w:rFonts w:asciiTheme="majorBidi" w:hAnsiTheme="majorBidi" w:cstheme="majorBidi"/>
          <w:i/>
          <w:iCs/>
          <w:color w:val="000000" w:themeColor="text1"/>
          <w:sz w:val="24"/>
          <w:szCs w:val="24"/>
          <w:u w:val="none"/>
        </w:rPr>
        <w:t>Scientific African</w:t>
      </w:r>
      <w:r w:rsidRPr="00A202DA">
        <w:rPr>
          <w:rStyle w:val="Hyperlink"/>
          <w:rFonts w:asciiTheme="majorBidi" w:hAnsiTheme="majorBidi" w:cstheme="majorBidi"/>
          <w:color w:val="000000" w:themeColor="text1"/>
          <w:sz w:val="24"/>
          <w:szCs w:val="24"/>
          <w:u w:val="none"/>
        </w:rPr>
        <w:t>, 15, e01063.</w:t>
      </w:r>
      <w:r w:rsidRPr="00A202DA">
        <w:rPr>
          <w:color w:val="000000" w:themeColor="text1"/>
        </w:rPr>
        <w:t xml:space="preserve"> </w:t>
      </w:r>
      <w:hyperlink r:id="rId12" w:history="1">
        <w:r w:rsidRPr="00A202DA">
          <w:rPr>
            <w:rStyle w:val="Hyperlink"/>
            <w:rFonts w:asciiTheme="majorBidi" w:hAnsiTheme="majorBidi" w:cstheme="majorBidi"/>
            <w:color w:val="000000" w:themeColor="text1"/>
            <w:sz w:val="24"/>
            <w:szCs w:val="24"/>
            <w:u w:val="none"/>
          </w:rPr>
          <w:t>https://doi.org/10.1016/j.sciaf.2021.e01063</w:t>
        </w:r>
      </w:hyperlink>
    </w:p>
    <w:p w14:paraId="6A122DA6"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rPr>
        <w:t>Awika</w:t>
      </w:r>
      <w:proofErr w:type="spellEnd"/>
      <w:r w:rsidRPr="00A202DA">
        <w:rPr>
          <w:rFonts w:asciiTheme="majorBidi" w:hAnsiTheme="majorBidi" w:cstheme="majorBidi"/>
          <w:color w:val="000000" w:themeColor="text1"/>
          <w:sz w:val="24"/>
          <w:szCs w:val="24"/>
        </w:rPr>
        <w:t xml:space="preserve">, J.M. (2017). Sorghum: its unique nutritional and health-promoting attributes. In: Gluten-free ancient grains. Pp. 21 54. </w:t>
      </w:r>
      <w:proofErr w:type="spellStart"/>
      <w:r w:rsidRPr="00A202DA">
        <w:rPr>
          <w:rFonts w:asciiTheme="majorBidi" w:hAnsiTheme="majorBidi" w:cstheme="majorBidi"/>
          <w:color w:val="000000" w:themeColor="text1"/>
          <w:sz w:val="24"/>
          <w:szCs w:val="24"/>
        </w:rPr>
        <w:t>Sawston</w:t>
      </w:r>
      <w:proofErr w:type="spellEnd"/>
      <w:r w:rsidRPr="00A202DA">
        <w:rPr>
          <w:rFonts w:asciiTheme="majorBidi" w:hAnsiTheme="majorBidi" w:cstheme="majorBidi"/>
          <w:color w:val="000000" w:themeColor="text1"/>
          <w:sz w:val="24"/>
          <w:szCs w:val="24"/>
        </w:rPr>
        <w:t>: Woodhead publishing.</w:t>
      </w:r>
      <w:r w:rsidRPr="00A202DA">
        <w:rPr>
          <w:color w:val="000000" w:themeColor="text1"/>
        </w:rPr>
        <w:t xml:space="preserve"> </w:t>
      </w:r>
      <w:hyperlink r:id="rId13" w:history="1">
        <w:r w:rsidRPr="00A202DA">
          <w:rPr>
            <w:rStyle w:val="Hyperlink"/>
            <w:rFonts w:asciiTheme="majorBidi" w:hAnsiTheme="majorBidi" w:cstheme="majorBidi"/>
            <w:color w:val="000000" w:themeColor="text1"/>
            <w:sz w:val="24"/>
            <w:szCs w:val="24"/>
            <w:u w:val="none"/>
          </w:rPr>
          <w:t>https://doi.org/10.1016/B978-0-08-100866-9.00003-0</w:t>
        </w:r>
      </w:hyperlink>
    </w:p>
    <w:p w14:paraId="482D19CD"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Boua, B. B., Ouattara, D., Traoré, L., </w:t>
      </w:r>
      <w:proofErr w:type="spellStart"/>
      <w:r w:rsidRPr="00A202DA">
        <w:rPr>
          <w:rFonts w:asciiTheme="majorBidi" w:hAnsiTheme="majorBidi" w:cstheme="majorBidi"/>
          <w:color w:val="000000" w:themeColor="text1"/>
          <w:sz w:val="24"/>
          <w:szCs w:val="24"/>
          <w:shd w:val="clear" w:color="auto" w:fill="FFFFFF"/>
        </w:rPr>
        <w:t>Mamyrbekova-Békro</w:t>
      </w:r>
      <w:proofErr w:type="spellEnd"/>
      <w:r w:rsidRPr="00A202DA">
        <w:rPr>
          <w:rFonts w:asciiTheme="majorBidi" w:hAnsiTheme="majorBidi" w:cstheme="majorBidi"/>
          <w:color w:val="000000" w:themeColor="text1"/>
          <w:sz w:val="24"/>
          <w:szCs w:val="24"/>
          <w:shd w:val="clear" w:color="auto" w:fill="FFFFFF"/>
        </w:rPr>
        <w:t xml:space="preserve">, J. A., &amp; </w:t>
      </w:r>
      <w:proofErr w:type="spellStart"/>
      <w:r w:rsidRPr="00A202DA">
        <w:rPr>
          <w:rFonts w:asciiTheme="majorBidi" w:hAnsiTheme="majorBidi" w:cstheme="majorBidi"/>
          <w:color w:val="000000" w:themeColor="text1"/>
          <w:sz w:val="24"/>
          <w:szCs w:val="24"/>
          <w:shd w:val="clear" w:color="auto" w:fill="FFFFFF"/>
        </w:rPr>
        <w:t>Békro</w:t>
      </w:r>
      <w:proofErr w:type="spellEnd"/>
      <w:r w:rsidRPr="00A202DA">
        <w:rPr>
          <w:rFonts w:asciiTheme="majorBidi" w:hAnsiTheme="majorBidi" w:cstheme="majorBidi"/>
          <w:color w:val="000000" w:themeColor="text1"/>
          <w:sz w:val="24"/>
          <w:szCs w:val="24"/>
          <w:shd w:val="clear" w:color="auto" w:fill="FFFFFF"/>
        </w:rPr>
        <w:t>, Y. A. (2020). Effect of domestic cooking on the total phenolic, flavonoid and condensed tannin content from plantain of Côte d</w:t>
      </w:r>
      <w:r w:rsidR="007D7325" w:rsidRPr="00A202DA">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xml:space="preserve">Ivoire. </w:t>
      </w:r>
      <w:r w:rsidRPr="005974F0">
        <w:rPr>
          <w:rFonts w:asciiTheme="majorBidi" w:hAnsiTheme="majorBidi" w:cstheme="majorBidi"/>
          <w:i/>
          <w:iCs/>
          <w:color w:val="000000" w:themeColor="text1"/>
          <w:sz w:val="24"/>
          <w:szCs w:val="24"/>
          <w:shd w:val="clear" w:color="auto" w:fill="FFFFFF"/>
        </w:rPr>
        <w:t>Journal of Materials and Environmental Sciences</w:t>
      </w:r>
      <w:r w:rsidRPr="00A202DA">
        <w:rPr>
          <w:rFonts w:asciiTheme="majorBidi" w:hAnsiTheme="majorBidi" w:cstheme="majorBidi"/>
          <w:color w:val="000000" w:themeColor="text1"/>
          <w:sz w:val="24"/>
          <w:szCs w:val="24"/>
          <w:shd w:val="clear" w:color="auto" w:fill="FFFFFF"/>
        </w:rPr>
        <w:t>, 11(3), 396-403.</w:t>
      </w:r>
    </w:p>
    <w:p w14:paraId="72D0A454"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Cardone, G., Rumler, R., Speranza, S., Marti, A., &amp; </w:t>
      </w:r>
      <w:proofErr w:type="spellStart"/>
      <w:r w:rsidRPr="00A202DA">
        <w:rPr>
          <w:rFonts w:asciiTheme="majorBidi" w:hAnsiTheme="majorBidi" w:cstheme="majorBidi"/>
          <w:color w:val="000000" w:themeColor="text1"/>
          <w:sz w:val="24"/>
          <w:szCs w:val="24"/>
        </w:rPr>
        <w:t>Schönlechner</w:t>
      </w:r>
      <w:proofErr w:type="spellEnd"/>
      <w:r w:rsidRPr="00A202DA">
        <w:rPr>
          <w:rFonts w:asciiTheme="majorBidi" w:hAnsiTheme="majorBidi" w:cstheme="majorBidi"/>
          <w:color w:val="000000" w:themeColor="text1"/>
          <w:sz w:val="24"/>
          <w:szCs w:val="24"/>
        </w:rPr>
        <w:t xml:space="preserve">, R. (2021). Sprouting time affects sorghum (Sorghum bicolor [L.] Moench) functionality and bread-baking performance. </w:t>
      </w:r>
      <w:r w:rsidRPr="005974F0">
        <w:rPr>
          <w:rFonts w:asciiTheme="majorBidi" w:hAnsiTheme="majorBidi" w:cstheme="majorBidi"/>
          <w:i/>
          <w:iCs/>
          <w:color w:val="000000" w:themeColor="text1"/>
          <w:sz w:val="24"/>
          <w:szCs w:val="24"/>
        </w:rPr>
        <w:t>Foods</w:t>
      </w:r>
      <w:r w:rsidRPr="00A202DA">
        <w:rPr>
          <w:rFonts w:asciiTheme="majorBidi" w:hAnsiTheme="majorBidi" w:cstheme="majorBidi"/>
          <w:color w:val="000000" w:themeColor="text1"/>
          <w:sz w:val="24"/>
          <w:szCs w:val="24"/>
        </w:rPr>
        <w:t>, 10(10), 2285.</w:t>
      </w:r>
      <w:r w:rsidRPr="00A202DA">
        <w:rPr>
          <w:color w:val="000000" w:themeColor="text1"/>
        </w:rPr>
        <w:t xml:space="preserve"> </w:t>
      </w:r>
      <w:hyperlink r:id="rId14" w:history="1">
        <w:r w:rsidRPr="00A202DA">
          <w:rPr>
            <w:rStyle w:val="Hyperlink"/>
            <w:rFonts w:asciiTheme="majorBidi" w:hAnsiTheme="majorBidi" w:cstheme="majorBidi"/>
            <w:color w:val="000000" w:themeColor="text1"/>
            <w:sz w:val="24"/>
            <w:szCs w:val="24"/>
            <w:u w:val="none"/>
          </w:rPr>
          <w:t>https://doi.org/10.3390/foods10102285</w:t>
        </w:r>
      </w:hyperlink>
    </w:p>
    <w:p w14:paraId="4640F33D"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Chauhan, D., Kumar, K., Ahmed, N., Thakur, P., Rizvi, Q. U. E. H., Jan, S., &amp; Yadav, A. N. (2022). Impact of soaking, germination, fermentation, and roasting treatments on nutritional, antinutritional, and bioactive composition of black soybean (Glycine max L.). </w:t>
      </w:r>
      <w:r w:rsidRPr="00A202DA">
        <w:rPr>
          <w:rFonts w:asciiTheme="majorBidi" w:hAnsiTheme="majorBidi" w:cstheme="majorBidi"/>
          <w:i/>
          <w:iCs/>
          <w:color w:val="000000" w:themeColor="text1"/>
          <w:sz w:val="24"/>
          <w:szCs w:val="24"/>
          <w:shd w:val="clear" w:color="auto" w:fill="FFFFFF"/>
        </w:rPr>
        <w:t>Journal of Applied Biology and Biotechnology</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10</w:t>
      </w:r>
      <w:r w:rsidRPr="00A202DA">
        <w:rPr>
          <w:rFonts w:asciiTheme="majorBidi" w:hAnsiTheme="majorBidi" w:cstheme="majorBidi"/>
          <w:color w:val="000000" w:themeColor="text1"/>
          <w:sz w:val="24"/>
          <w:szCs w:val="24"/>
          <w:shd w:val="clear" w:color="auto" w:fill="FFFFFF"/>
        </w:rPr>
        <w:t>(5), 186-192.</w:t>
      </w:r>
      <w:r w:rsidRPr="00A202DA">
        <w:rPr>
          <w:rFonts w:asciiTheme="majorBidi" w:hAnsiTheme="majorBidi" w:cstheme="majorBidi"/>
          <w:color w:val="000000" w:themeColor="text1"/>
          <w:sz w:val="24"/>
          <w:szCs w:val="24"/>
        </w:rPr>
        <w:t xml:space="preserve"> </w:t>
      </w:r>
      <w:hyperlink r:id="rId15" w:history="1">
        <w:r w:rsidRPr="00A202DA">
          <w:rPr>
            <w:rStyle w:val="Hyperlink"/>
            <w:rFonts w:asciiTheme="majorBidi" w:hAnsiTheme="majorBidi" w:cstheme="majorBidi"/>
            <w:color w:val="000000" w:themeColor="text1"/>
            <w:sz w:val="24"/>
            <w:szCs w:val="24"/>
            <w:u w:val="none"/>
          </w:rPr>
          <w:t>https://doi.org/10.7324/JABB.2022.100523</w:t>
        </w:r>
      </w:hyperlink>
    </w:p>
    <w:p w14:paraId="38F39287"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lastRenderedPageBreak/>
        <w:t>Das, G., Sharma, A., &amp; Sarkar, P. K. (2022). Conventional and emerging processing techniques for the post-harvest reduction of antinutrients in edible legumes. </w:t>
      </w:r>
      <w:r w:rsidRPr="00A202DA">
        <w:rPr>
          <w:rFonts w:asciiTheme="majorBidi" w:hAnsiTheme="majorBidi" w:cstheme="majorBidi"/>
          <w:i/>
          <w:iCs/>
          <w:color w:val="000000" w:themeColor="text1"/>
          <w:sz w:val="24"/>
          <w:szCs w:val="24"/>
          <w:shd w:val="clear" w:color="auto" w:fill="FFFFFF"/>
        </w:rPr>
        <w:t>Applied Food Research</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2</w:t>
      </w:r>
      <w:r w:rsidRPr="00A202DA">
        <w:rPr>
          <w:rFonts w:asciiTheme="majorBidi" w:hAnsiTheme="majorBidi" w:cstheme="majorBidi"/>
          <w:color w:val="000000" w:themeColor="text1"/>
          <w:sz w:val="24"/>
          <w:szCs w:val="24"/>
          <w:shd w:val="clear" w:color="auto" w:fill="FFFFFF"/>
        </w:rPr>
        <w:t>(1), 100112.</w:t>
      </w:r>
      <w:r w:rsidRPr="00A202DA">
        <w:rPr>
          <w:rFonts w:asciiTheme="majorBidi" w:hAnsiTheme="majorBidi" w:cstheme="majorBidi"/>
          <w:color w:val="000000" w:themeColor="text1"/>
          <w:sz w:val="24"/>
          <w:szCs w:val="24"/>
        </w:rPr>
        <w:t xml:space="preserve"> </w:t>
      </w:r>
      <w:hyperlink r:id="rId16" w:history="1">
        <w:r w:rsidRPr="00A202DA">
          <w:rPr>
            <w:rStyle w:val="Hyperlink"/>
            <w:rFonts w:asciiTheme="majorBidi" w:hAnsiTheme="majorBidi" w:cstheme="majorBidi"/>
            <w:color w:val="000000" w:themeColor="text1"/>
            <w:sz w:val="24"/>
            <w:szCs w:val="24"/>
            <w:u w:val="none"/>
          </w:rPr>
          <w:t>https://doi.org/10.1016/j.afres.2022.100112</w:t>
        </w:r>
      </w:hyperlink>
    </w:p>
    <w:p w14:paraId="1ADB95D9"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Dykes, L. (2019) Tannin Analysis in Sorghum Grains. In: Zhao, ZY., Dahlberg, J. (eds) Sorghum. Methods in Molecular Biology, vol 1931. Humana Press, New York, NY. </w:t>
      </w:r>
      <w:hyperlink r:id="rId17" w:history="1">
        <w:r w:rsidRPr="00A202DA">
          <w:rPr>
            <w:rStyle w:val="Hyperlink"/>
            <w:rFonts w:asciiTheme="majorBidi" w:hAnsiTheme="majorBidi" w:cstheme="majorBidi"/>
            <w:color w:val="000000" w:themeColor="text1"/>
            <w:sz w:val="24"/>
            <w:szCs w:val="24"/>
            <w:u w:val="none"/>
          </w:rPr>
          <w:t>https://doi.org/10.1007/978-1-4939-9039-9_8</w:t>
        </w:r>
      </w:hyperlink>
    </w:p>
    <w:p w14:paraId="0354C5EF"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Eggen, M., M. </w:t>
      </w:r>
      <w:proofErr w:type="spellStart"/>
      <w:r w:rsidRPr="00A202DA">
        <w:rPr>
          <w:rFonts w:asciiTheme="majorBidi" w:hAnsiTheme="majorBidi" w:cstheme="majorBidi"/>
          <w:color w:val="000000" w:themeColor="text1"/>
          <w:sz w:val="24"/>
          <w:szCs w:val="24"/>
        </w:rPr>
        <w:t>Ozdogan</w:t>
      </w:r>
      <w:proofErr w:type="spellEnd"/>
      <w:r w:rsidRPr="00A202DA">
        <w:rPr>
          <w:rFonts w:asciiTheme="majorBidi" w:hAnsiTheme="majorBidi" w:cstheme="majorBidi"/>
          <w:color w:val="000000" w:themeColor="text1"/>
          <w:sz w:val="24"/>
          <w:szCs w:val="24"/>
        </w:rPr>
        <w:t xml:space="preserve">, B. Zaitchik, D. Ademe, J. Foltz, and B. </w:t>
      </w:r>
      <w:proofErr w:type="spellStart"/>
      <w:r w:rsidRPr="00A202DA">
        <w:rPr>
          <w:rFonts w:asciiTheme="majorBidi" w:hAnsiTheme="majorBidi" w:cstheme="majorBidi"/>
          <w:color w:val="000000" w:themeColor="text1"/>
          <w:sz w:val="24"/>
          <w:szCs w:val="24"/>
        </w:rPr>
        <w:t>Simane</w:t>
      </w:r>
      <w:proofErr w:type="spellEnd"/>
      <w:r w:rsidRPr="00A202DA">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shd w:val="clear" w:color="auto" w:fill="FFFFFF"/>
        </w:rPr>
        <w:t xml:space="preserve"> </w:t>
      </w:r>
      <w:r w:rsidR="005974F0">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rPr>
        <w:t>2019</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Vulnerability of Sorghum Production to Extreme, Sub-Seasonal</w:t>
      </w:r>
      <w:r w:rsidRPr="00A202DA">
        <w:rPr>
          <w:rFonts w:asciiTheme="majorBidi" w:hAnsiTheme="majorBidi" w:cstheme="majorBidi"/>
          <w:color w:val="000000" w:themeColor="text1"/>
          <w:sz w:val="24"/>
          <w:szCs w:val="24"/>
          <w:shd w:val="clear" w:color="auto" w:fill="FFFFFF"/>
        </w:rPr>
        <w:t xml:space="preserve"> </w:t>
      </w:r>
      <w:r w:rsidRPr="00A202DA">
        <w:rPr>
          <w:rFonts w:asciiTheme="majorBidi" w:hAnsiTheme="majorBidi" w:cstheme="majorBidi"/>
          <w:color w:val="000000" w:themeColor="text1"/>
          <w:sz w:val="24"/>
          <w:szCs w:val="24"/>
        </w:rPr>
        <w:t xml:space="preserve">Weather under Climate Change. </w:t>
      </w:r>
      <w:r w:rsidRPr="005974F0">
        <w:rPr>
          <w:rFonts w:asciiTheme="majorBidi" w:hAnsiTheme="majorBidi" w:cstheme="majorBidi"/>
          <w:i/>
          <w:iCs/>
          <w:color w:val="000000" w:themeColor="text1"/>
          <w:sz w:val="24"/>
          <w:szCs w:val="24"/>
        </w:rPr>
        <w:t>Environmental Research Letters</w:t>
      </w:r>
      <w:r w:rsidR="005974F0">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14</w:t>
      </w:r>
      <w:r w:rsidRPr="00A202DA">
        <w:rPr>
          <w:rFonts w:asciiTheme="majorBidi" w:hAnsiTheme="majorBidi" w:cstheme="majorBidi"/>
          <w:color w:val="000000" w:themeColor="text1"/>
          <w:sz w:val="24"/>
          <w:szCs w:val="24"/>
        </w:rPr>
        <w:t>(4).</w:t>
      </w:r>
      <w:r w:rsidRPr="00A202DA">
        <w:rPr>
          <w:rFonts w:asciiTheme="majorBidi" w:hAnsiTheme="majorBidi" w:cstheme="majorBidi"/>
          <w:color w:val="000000" w:themeColor="text1"/>
          <w:sz w:val="24"/>
          <w:szCs w:val="24"/>
          <w:shd w:val="clear" w:color="auto" w:fill="FFFFFF"/>
        </w:rPr>
        <w:t xml:space="preserve"> </w:t>
      </w:r>
      <w:hyperlink r:id="rId18" w:history="1">
        <w:r w:rsidRPr="00A202DA">
          <w:rPr>
            <w:rStyle w:val="Hyperlink"/>
            <w:rFonts w:asciiTheme="majorBidi" w:hAnsiTheme="majorBidi" w:cstheme="majorBidi"/>
            <w:color w:val="000000" w:themeColor="text1"/>
            <w:sz w:val="24"/>
            <w:szCs w:val="24"/>
            <w:u w:val="none"/>
          </w:rPr>
          <w:t>https://doi.org/10.1088/1748-9326/aafe19</w:t>
        </w:r>
      </w:hyperlink>
      <w:r w:rsidRPr="00A202DA">
        <w:rPr>
          <w:rFonts w:asciiTheme="majorBidi" w:hAnsiTheme="majorBidi" w:cstheme="majorBidi"/>
          <w:color w:val="000000" w:themeColor="text1"/>
          <w:sz w:val="24"/>
          <w:szCs w:val="24"/>
        </w:rPr>
        <w:t>.</w:t>
      </w:r>
    </w:p>
    <w:p w14:paraId="5E6600C9"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Ertop</w:t>
      </w:r>
      <w:proofErr w:type="spellEnd"/>
      <w:r w:rsidRPr="00A202DA">
        <w:rPr>
          <w:rFonts w:asciiTheme="majorBidi" w:hAnsiTheme="majorBidi" w:cstheme="majorBidi"/>
          <w:color w:val="000000" w:themeColor="text1"/>
          <w:sz w:val="24"/>
          <w:szCs w:val="24"/>
          <w:shd w:val="clear" w:color="auto" w:fill="FFFFFF"/>
        </w:rPr>
        <w:t xml:space="preserve">, M. H., &amp; Bektaş, M. (2018). Enhancement of bioavailable micronutrients and reduction of antinutrients in foods with some processes. Food and Health, 4(3), 159-165. </w:t>
      </w:r>
    </w:p>
    <w:p w14:paraId="398924DB"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Fuller, D. Q., Murphy, C., </w:t>
      </w:r>
      <w:proofErr w:type="spellStart"/>
      <w:r w:rsidRPr="00A202DA">
        <w:rPr>
          <w:rFonts w:asciiTheme="majorBidi" w:hAnsiTheme="majorBidi" w:cstheme="majorBidi"/>
          <w:color w:val="000000" w:themeColor="text1"/>
          <w:sz w:val="24"/>
          <w:szCs w:val="24"/>
          <w:shd w:val="clear" w:color="auto" w:fill="FFFFFF"/>
        </w:rPr>
        <w:t>Kingwell</w:t>
      </w:r>
      <w:proofErr w:type="spellEnd"/>
      <w:r w:rsidRPr="00A202DA">
        <w:rPr>
          <w:rFonts w:asciiTheme="majorBidi" w:hAnsiTheme="majorBidi" w:cstheme="majorBidi"/>
          <w:color w:val="000000" w:themeColor="text1"/>
          <w:sz w:val="24"/>
          <w:szCs w:val="24"/>
          <w:shd w:val="clear" w:color="auto" w:fill="FFFFFF"/>
        </w:rPr>
        <w:t xml:space="preserve">-Banham, E., Castillo, C. C., &amp; Naik, S. (2019). </w:t>
      </w:r>
      <w:proofErr w:type="spellStart"/>
      <w:r w:rsidRPr="00A202DA">
        <w:rPr>
          <w:rFonts w:asciiTheme="majorBidi" w:hAnsiTheme="majorBidi" w:cstheme="majorBidi"/>
          <w:color w:val="000000" w:themeColor="text1"/>
          <w:sz w:val="24"/>
          <w:szCs w:val="24"/>
          <w:shd w:val="clear" w:color="auto" w:fill="FFFFFF"/>
        </w:rPr>
        <w:t>Cajanus</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cajan</w:t>
      </w:r>
      <w:proofErr w:type="spellEnd"/>
      <w:r w:rsidRPr="00A202DA">
        <w:rPr>
          <w:rFonts w:asciiTheme="majorBidi" w:hAnsiTheme="majorBidi" w:cstheme="majorBidi"/>
          <w:color w:val="000000" w:themeColor="text1"/>
          <w:sz w:val="24"/>
          <w:szCs w:val="24"/>
          <w:shd w:val="clear" w:color="auto" w:fill="FFFFFF"/>
        </w:rPr>
        <w:t xml:space="preserve"> (L.) </w:t>
      </w:r>
      <w:proofErr w:type="spellStart"/>
      <w:r w:rsidRPr="00A202DA">
        <w:rPr>
          <w:rFonts w:asciiTheme="majorBidi" w:hAnsiTheme="majorBidi" w:cstheme="majorBidi"/>
          <w:color w:val="000000" w:themeColor="text1"/>
          <w:sz w:val="24"/>
          <w:szCs w:val="24"/>
          <w:shd w:val="clear" w:color="auto" w:fill="FFFFFF"/>
        </w:rPr>
        <w:t>Millsp</w:t>
      </w:r>
      <w:proofErr w:type="spellEnd"/>
      <w:r w:rsidRPr="00A202DA">
        <w:rPr>
          <w:rFonts w:asciiTheme="majorBidi" w:hAnsiTheme="majorBidi" w:cstheme="majorBidi"/>
          <w:color w:val="000000" w:themeColor="text1"/>
          <w:sz w:val="24"/>
          <w:szCs w:val="24"/>
          <w:shd w:val="clear" w:color="auto" w:fill="FFFFFF"/>
        </w:rPr>
        <w:t>. origins and domestication: the South and Southeast Asian archaeobotanical evidence. </w:t>
      </w:r>
      <w:r w:rsidRPr="00A202DA">
        <w:rPr>
          <w:rFonts w:asciiTheme="majorBidi" w:hAnsiTheme="majorBidi" w:cstheme="majorBidi"/>
          <w:i/>
          <w:iCs/>
          <w:color w:val="000000" w:themeColor="text1"/>
          <w:sz w:val="24"/>
          <w:szCs w:val="24"/>
          <w:shd w:val="clear" w:color="auto" w:fill="FFFFFF"/>
        </w:rPr>
        <w:t>Genetic Resources and Crop Evolution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66</w:t>
      </w:r>
      <w:r w:rsidRPr="00A202DA">
        <w:rPr>
          <w:rFonts w:asciiTheme="majorBidi" w:hAnsiTheme="majorBidi" w:cstheme="majorBidi"/>
          <w:color w:val="000000" w:themeColor="text1"/>
          <w:sz w:val="24"/>
          <w:szCs w:val="24"/>
          <w:shd w:val="clear" w:color="auto" w:fill="FFFFFF"/>
        </w:rPr>
        <w:t xml:space="preserve">(6), 1175-1188. </w:t>
      </w:r>
      <w:hyperlink r:id="rId19" w:history="1">
        <w:r w:rsidRPr="00A202DA">
          <w:rPr>
            <w:rStyle w:val="Hyperlink"/>
            <w:rFonts w:asciiTheme="majorBidi" w:hAnsiTheme="majorBidi" w:cstheme="majorBidi"/>
            <w:color w:val="000000" w:themeColor="text1"/>
            <w:sz w:val="24"/>
            <w:szCs w:val="24"/>
            <w:u w:val="none"/>
            <w:shd w:val="clear" w:color="auto" w:fill="FFFFFF"/>
          </w:rPr>
          <w:t>https://doi.org/10.1007/s10722-019-00774-w</w:t>
        </w:r>
      </w:hyperlink>
    </w:p>
    <w:p w14:paraId="60D66724"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rPr>
        <w:t>Garaniya</w:t>
      </w:r>
      <w:proofErr w:type="spellEnd"/>
      <w:r w:rsidRPr="00A202DA">
        <w:rPr>
          <w:rFonts w:asciiTheme="majorBidi" w:hAnsiTheme="majorBidi" w:cstheme="majorBidi"/>
          <w:color w:val="000000" w:themeColor="text1"/>
          <w:sz w:val="24"/>
          <w:szCs w:val="24"/>
        </w:rPr>
        <w:t xml:space="preserve">, N., </w:t>
      </w:r>
      <w:proofErr w:type="spellStart"/>
      <w:r w:rsidRPr="00A202DA">
        <w:rPr>
          <w:rFonts w:asciiTheme="majorBidi" w:hAnsiTheme="majorBidi" w:cstheme="majorBidi"/>
          <w:color w:val="000000" w:themeColor="text1"/>
          <w:sz w:val="24"/>
          <w:szCs w:val="24"/>
        </w:rPr>
        <w:t>Bambhaneeya</w:t>
      </w:r>
      <w:proofErr w:type="spellEnd"/>
      <w:r w:rsidRPr="00A202DA">
        <w:rPr>
          <w:rFonts w:asciiTheme="majorBidi" w:hAnsiTheme="majorBidi" w:cstheme="majorBidi"/>
          <w:color w:val="000000" w:themeColor="text1"/>
          <w:sz w:val="24"/>
          <w:szCs w:val="24"/>
        </w:rPr>
        <w:t xml:space="preserve">, S., Patel, S., &amp; </w:t>
      </w:r>
      <w:proofErr w:type="spellStart"/>
      <w:r w:rsidRPr="00A202DA">
        <w:rPr>
          <w:rFonts w:asciiTheme="majorBidi" w:hAnsiTheme="majorBidi" w:cstheme="majorBidi"/>
          <w:color w:val="000000" w:themeColor="text1"/>
          <w:sz w:val="24"/>
          <w:szCs w:val="24"/>
        </w:rPr>
        <w:t>Bambharolia</w:t>
      </w:r>
      <w:proofErr w:type="spellEnd"/>
      <w:r w:rsidRPr="00A202DA">
        <w:rPr>
          <w:rFonts w:asciiTheme="majorBidi" w:hAnsiTheme="majorBidi" w:cstheme="majorBidi"/>
          <w:color w:val="000000" w:themeColor="text1"/>
          <w:sz w:val="24"/>
          <w:szCs w:val="24"/>
        </w:rPr>
        <w:t xml:space="preserve">, R. (2023). Comparing antinutritional factors in pigeon pea: seeds vs. seed coats. </w:t>
      </w:r>
      <w:r w:rsidRPr="005974F0">
        <w:rPr>
          <w:rFonts w:asciiTheme="majorBidi" w:hAnsiTheme="majorBidi" w:cstheme="majorBidi"/>
          <w:i/>
          <w:iCs/>
          <w:color w:val="000000" w:themeColor="text1"/>
          <w:sz w:val="24"/>
          <w:szCs w:val="24"/>
        </w:rPr>
        <w:t>Annals of Plant and Soil Research</w:t>
      </w:r>
      <w:r w:rsidRPr="00A202DA">
        <w:rPr>
          <w:rFonts w:asciiTheme="majorBidi" w:hAnsiTheme="majorBidi" w:cstheme="majorBidi"/>
          <w:color w:val="000000" w:themeColor="text1"/>
          <w:sz w:val="24"/>
          <w:szCs w:val="24"/>
        </w:rPr>
        <w:t xml:space="preserve">, 25(4), 614-619. </w:t>
      </w:r>
      <w:hyperlink r:id="rId20" w:history="1">
        <w:r w:rsidRPr="00A202DA">
          <w:rPr>
            <w:rStyle w:val="Hyperlink"/>
            <w:rFonts w:asciiTheme="majorBidi" w:hAnsiTheme="majorBidi" w:cstheme="majorBidi"/>
            <w:color w:val="000000" w:themeColor="text1"/>
            <w:sz w:val="24"/>
            <w:szCs w:val="24"/>
            <w:u w:val="none"/>
          </w:rPr>
          <w:t>https://doi.org/10.47815/apsr.2023.10312</w:t>
        </w:r>
      </w:hyperlink>
    </w:p>
    <w:p w14:paraId="0B15C1B0"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Gbenga-</w:t>
      </w:r>
      <w:proofErr w:type="spellStart"/>
      <w:r w:rsidRPr="00A202DA">
        <w:rPr>
          <w:rFonts w:asciiTheme="majorBidi" w:hAnsiTheme="majorBidi" w:cstheme="majorBidi"/>
          <w:color w:val="000000" w:themeColor="text1"/>
          <w:sz w:val="24"/>
          <w:szCs w:val="24"/>
          <w:shd w:val="clear" w:color="auto" w:fill="FFFFFF"/>
        </w:rPr>
        <w:t>Fabusiwa</w:t>
      </w:r>
      <w:proofErr w:type="spellEnd"/>
      <w:r w:rsidRPr="00A202DA">
        <w:rPr>
          <w:rFonts w:asciiTheme="majorBidi" w:hAnsiTheme="majorBidi" w:cstheme="majorBidi"/>
          <w:color w:val="000000" w:themeColor="text1"/>
          <w:sz w:val="24"/>
          <w:szCs w:val="24"/>
          <w:shd w:val="clear" w:color="auto" w:fill="FFFFFF"/>
        </w:rPr>
        <w:t xml:space="preserve">, F. J., Oladele, E. P., Oboh, G., </w:t>
      </w:r>
      <w:proofErr w:type="spellStart"/>
      <w:r w:rsidRPr="00A202DA">
        <w:rPr>
          <w:rFonts w:asciiTheme="majorBidi" w:hAnsiTheme="majorBidi" w:cstheme="majorBidi"/>
          <w:color w:val="000000" w:themeColor="text1"/>
          <w:sz w:val="24"/>
          <w:szCs w:val="24"/>
          <w:shd w:val="clear" w:color="auto" w:fill="FFFFFF"/>
        </w:rPr>
        <w:t>Adefegha</w:t>
      </w:r>
      <w:proofErr w:type="spellEnd"/>
      <w:r w:rsidRPr="00A202DA">
        <w:rPr>
          <w:rFonts w:asciiTheme="majorBidi" w:hAnsiTheme="majorBidi" w:cstheme="majorBidi"/>
          <w:color w:val="000000" w:themeColor="text1"/>
          <w:sz w:val="24"/>
          <w:szCs w:val="24"/>
          <w:shd w:val="clear" w:color="auto" w:fill="FFFFFF"/>
        </w:rPr>
        <w:t xml:space="preserve">, S. A., </w:t>
      </w:r>
      <w:proofErr w:type="spellStart"/>
      <w:r w:rsidRPr="00A202DA">
        <w:rPr>
          <w:rFonts w:asciiTheme="majorBidi" w:hAnsiTheme="majorBidi" w:cstheme="majorBidi"/>
          <w:color w:val="000000" w:themeColor="text1"/>
          <w:sz w:val="24"/>
          <w:szCs w:val="24"/>
          <w:shd w:val="clear" w:color="auto" w:fill="FFFFFF"/>
        </w:rPr>
        <w:t>Fabusiwa</w:t>
      </w:r>
      <w:proofErr w:type="spellEnd"/>
      <w:r w:rsidRPr="00A202DA">
        <w:rPr>
          <w:rFonts w:asciiTheme="majorBidi" w:hAnsiTheme="majorBidi" w:cstheme="majorBidi"/>
          <w:color w:val="000000" w:themeColor="text1"/>
          <w:sz w:val="24"/>
          <w:szCs w:val="24"/>
          <w:shd w:val="clear" w:color="auto" w:fill="FFFFFF"/>
        </w:rPr>
        <w:t>, O. F., Osho, P. O., ... &amp; Oshodi, A. A. (2019). Glycemic response in diabetic subjects to biscuits produced from blends of pigeon pea and wheat flour. </w:t>
      </w:r>
      <w:r w:rsidRPr="00A202DA">
        <w:rPr>
          <w:rFonts w:asciiTheme="majorBidi" w:hAnsiTheme="majorBidi" w:cstheme="majorBidi"/>
          <w:i/>
          <w:iCs/>
          <w:color w:val="000000" w:themeColor="text1"/>
          <w:sz w:val="24"/>
          <w:szCs w:val="24"/>
          <w:shd w:val="clear" w:color="auto" w:fill="FFFFFF"/>
        </w:rPr>
        <w:t>Plant Foods for Human Nutrition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74</w:t>
      </w:r>
      <w:r w:rsidRPr="00A202DA">
        <w:rPr>
          <w:rFonts w:asciiTheme="majorBidi" w:hAnsiTheme="majorBidi" w:cstheme="majorBidi"/>
          <w:color w:val="000000" w:themeColor="text1"/>
          <w:sz w:val="24"/>
          <w:szCs w:val="24"/>
          <w:shd w:val="clear" w:color="auto" w:fill="FFFFFF"/>
        </w:rPr>
        <w:t xml:space="preserve">(4), 553-559. </w:t>
      </w:r>
      <w:hyperlink r:id="rId21" w:history="1">
        <w:r w:rsidRPr="00A202DA">
          <w:rPr>
            <w:rStyle w:val="Hyperlink"/>
            <w:rFonts w:asciiTheme="majorBidi" w:hAnsiTheme="majorBidi" w:cstheme="majorBidi"/>
            <w:color w:val="000000" w:themeColor="text1"/>
            <w:sz w:val="24"/>
            <w:szCs w:val="24"/>
            <w:u w:val="none"/>
            <w:shd w:val="clear" w:color="auto" w:fill="FFFFFF"/>
          </w:rPr>
          <w:t>https://doi.org/10.1007/s11130-019-00758-2</w:t>
        </w:r>
      </w:hyperlink>
    </w:p>
    <w:p w14:paraId="327712D4"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proofErr w:type="spellStart"/>
      <w:r w:rsidRPr="00A202DA">
        <w:rPr>
          <w:rFonts w:asciiTheme="majorBidi" w:hAnsiTheme="majorBidi" w:cstheme="majorBidi"/>
          <w:color w:val="000000" w:themeColor="text1"/>
          <w:sz w:val="24"/>
          <w:szCs w:val="24"/>
          <w:shd w:val="clear" w:color="auto" w:fill="FFFFFF"/>
        </w:rPr>
        <w:t>Gwekwe</w:t>
      </w:r>
      <w:proofErr w:type="spellEnd"/>
      <w:r w:rsidRPr="00A202DA">
        <w:rPr>
          <w:rFonts w:asciiTheme="majorBidi" w:hAnsiTheme="majorBidi" w:cstheme="majorBidi"/>
          <w:color w:val="000000" w:themeColor="text1"/>
          <w:sz w:val="24"/>
          <w:szCs w:val="24"/>
          <w:shd w:val="clear" w:color="auto" w:fill="FFFFFF"/>
        </w:rPr>
        <w:t xml:space="preserve">, B. N., </w:t>
      </w:r>
      <w:proofErr w:type="spellStart"/>
      <w:r w:rsidRPr="00A202DA">
        <w:rPr>
          <w:rFonts w:asciiTheme="majorBidi" w:hAnsiTheme="majorBidi" w:cstheme="majorBidi"/>
          <w:color w:val="000000" w:themeColor="text1"/>
          <w:sz w:val="24"/>
          <w:szCs w:val="24"/>
          <w:shd w:val="clear" w:color="auto" w:fill="FFFFFF"/>
        </w:rPr>
        <w:t>Chopera</w:t>
      </w:r>
      <w:proofErr w:type="spellEnd"/>
      <w:r w:rsidRPr="00A202DA">
        <w:rPr>
          <w:rFonts w:asciiTheme="majorBidi" w:hAnsiTheme="majorBidi" w:cstheme="majorBidi"/>
          <w:color w:val="000000" w:themeColor="text1"/>
          <w:sz w:val="24"/>
          <w:szCs w:val="24"/>
          <w:shd w:val="clear" w:color="auto" w:fill="FFFFFF"/>
        </w:rPr>
        <w:t xml:space="preserve">, P., </w:t>
      </w:r>
      <w:proofErr w:type="spellStart"/>
      <w:r w:rsidRPr="00A202DA">
        <w:rPr>
          <w:rFonts w:asciiTheme="majorBidi" w:hAnsiTheme="majorBidi" w:cstheme="majorBidi"/>
          <w:color w:val="000000" w:themeColor="text1"/>
          <w:sz w:val="24"/>
          <w:szCs w:val="24"/>
          <w:shd w:val="clear" w:color="auto" w:fill="FFFFFF"/>
        </w:rPr>
        <w:t>Matsungo</w:t>
      </w:r>
      <w:proofErr w:type="spellEnd"/>
      <w:r w:rsidRPr="00A202DA">
        <w:rPr>
          <w:rFonts w:asciiTheme="majorBidi" w:hAnsiTheme="majorBidi" w:cstheme="majorBidi"/>
          <w:color w:val="000000" w:themeColor="text1"/>
          <w:sz w:val="24"/>
          <w:szCs w:val="24"/>
          <w:shd w:val="clear" w:color="auto" w:fill="FFFFFF"/>
        </w:rPr>
        <w:t xml:space="preserve">, T. M., Chidewe, C., </w:t>
      </w:r>
      <w:proofErr w:type="spellStart"/>
      <w:r w:rsidRPr="00A202DA">
        <w:rPr>
          <w:rFonts w:asciiTheme="majorBidi" w:hAnsiTheme="majorBidi" w:cstheme="majorBidi"/>
          <w:color w:val="000000" w:themeColor="text1"/>
          <w:sz w:val="24"/>
          <w:szCs w:val="24"/>
          <w:shd w:val="clear" w:color="auto" w:fill="FFFFFF"/>
        </w:rPr>
        <w:t>Mukanganyama</w:t>
      </w:r>
      <w:proofErr w:type="spellEnd"/>
      <w:r w:rsidRPr="00A202DA">
        <w:rPr>
          <w:rFonts w:asciiTheme="majorBidi" w:hAnsiTheme="majorBidi" w:cstheme="majorBidi"/>
          <w:color w:val="000000" w:themeColor="text1"/>
          <w:sz w:val="24"/>
          <w:szCs w:val="24"/>
          <w:shd w:val="clear" w:color="auto" w:fill="FFFFFF"/>
        </w:rPr>
        <w:t>, S., Nyakudya, E., ... &amp; Nyanga, L. K. (2024). Effect of dehulling, fermentation, and roasting on the nutrient and antinutrient content of sorghum and pearl millet flour. </w:t>
      </w:r>
      <w:r w:rsidRPr="00A202DA">
        <w:rPr>
          <w:rFonts w:asciiTheme="majorBidi" w:hAnsiTheme="majorBidi" w:cstheme="majorBidi"/>
          <w:i/>
          <w:iCs/>
          <w:color w:val="000000" w:themeColor="text1"/>
          <w:sz w:val="24"/>
          <w:szCs w:val="24"/>
          <w:shd w:val="clear" w:color="auto" w:fill="FFFFFF"/>
        </w:rPr>
        <w:t>International Journal on Food, Agriculture and Natural Resources</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5</w:t>
      </w:r>
      <w:r w:rsidRPr="00A202DA">
        <w:rPr>
          <w:rFonts w:asciiTheme="majorBidi" w:hAnsiTheme="majorBidi" w:cstheme="majorBidi"/>
          <w:color w:val="000000" w:themeColor="text1"/>
          <w:sz w:val="24"/>
          <w:szCs w:val="24"/>
          <w:shd w:val="clear" w:color="auto" w:fill="FFFFFF"/>
        </w:rPr>
        <w:t>(1), 1-7.</w:t>
      </w:r>
      <w:r w:rsidRPr="00A202DA">
        <w:rPr>
          <w:color w:val="000000" w:themeColor="text1"/>
        </w:rPr>
        <w:t xml:space="preserve"> </w:t>
      </w:r>
      <w:hyperlink r:id="rId22" w:history="1">
        <w:r w:rsidRPr="00A202DA">
          <w:rPr>
            <w:rStyle w:val="Hyperlink"/>
            <w:rFonts w:asciiTheme="majorBidi" w:hAnsiTheme="majorBidi" w:cstheme="majorBidi"/>
            <w:color w:val="000000" w:themeColor="text1"/>
            <w:sz w:val="24"/>
            <w:szCs w:val="24"/>
            <w:u w:val="none"/>
            <w:shd w:val="clear" w:color="auto" w:fill="FFFFFF"/>
          </w:rPr>
          <w:t>https://doi.org/10.46676/ij-fanres.v5i1.221</w:t>
        </w:r>
      </w:hyperlink>
      <w:bookmarkStart w:id="1" w:name="_Hlk221095301"/>
    </w:p>
    <w:p w14:paraId="6F737586"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Haji</w:t>
      </w:r>
      <w:bookmarkEnd w:id="1"/>
      <w:r w:rsidRPr="00A202DA">
        <w:rPr>
          <w:rFonts w:asciiTheme="majorBidi" w:hAnsiTheme="majorBidi" w:cstheme="majorBidi"/>
          <w:color w:val="000000" w:themeColor="text1"/>
          <w:sz w:val="24"/>
          <w:szCs w:val="24"/>
        </w:rPr>
        <w:t xml:space="preserve">, A., Teka, T. A., Bereka, T. Y., </w:t>
      </w:r>
      <w:proofErr w:type="spellStart"/>
      <w:r w:rsidRPr="00A202DA">
        <w:rPr>
          <w:rFonts w:asciiTheme="majorBidi" w:hAnsiTheme="majorBidi" w:cstheme="majorBidi"/>
          <w:color w:val="000000" w:themeColor="text1"/>
          <w:sz w:val="24"/>
          <w:szCs w:val="24"/>
        </w:rPr>
        <w:t>Astatkie</w:t>
      </w:r>
      <w:proofErr w:type="spellEnd"/>
      <w:r w:rsidRPr="00A202DA">
        <w:rPr>
          <w:rFonts w:asciiTheme="majorBidi" w:hAnsiTheme="majorBidi" w:cstheme="majorBidi"/>
          <w:color w:val="000000" w:themeColor="text1"/>
          <w:sz w:val="24"/>
          <w:szCs w:val="24"/>
        </w:rPr>
        <w:t xml:space="preserve">, T., Woldemariam, H. W., &amp; </w:t>
      </w:r>
      <w:proofErr w:type="spellStart"/>
      <w:r w:rsidRPr="00A202DA">
        <w:rPr>
          <w:rFonts w:asciiTheme="majorBidi" w:hAnsiTheme="majorBidi" w:cstheme="majorBidi"/>
          <w:color w:val="000000" w:themeColor="text1"/>
          <w:sz w:val="24"/>
          <w:szCs w:val="24"/>
        </w:rPr>
        <w:t>Urugo</w:t>
      </w:r>
      <w:proofErr w:type="spellEnd"/>
      <w:r w:rsidRPr="00A202DA">
        <w:rPr>
          <w:rFonts w:asciiTheme="majorBidi" w:hAnsiTheme="majorBidi" w:cstheme="majorBidi"/>
          <w:color w:val="000000" w:themeColor="text1"/>
          <w:sz w:val="24"/>
          <w:szCs w:val="24"/>
        </w:rPr>
        <w:t xml:space="preserve">, M. M. (2024). Effect of processing methods on the nutrient, antinutrient, functional, and </w:t>
      </w:r>
      <w:r w:rsidRPr="00A202DA">
        <w:rPr>
          <w:rFonts w:asciiTheme="majorBidi" w:hAnsiTheme="majorBidi" w:cstheme="majorBidi"/>
          <w:color w:val="000000" w:themeColor="text1"/>
          <w:sz w:val="24"/>
          <w:szCs w:val="24"/>
        </w:rPr>
        <w:lastRenderedPageBreak/>
        <w:t>antioxidant properties of pigeon pea (</w:t>
      </w:r>
      <w:proofErr w:type="spellStart"/>
      <w:r w:rsidRPr="00A202DA">
        <w:rPr>
          <w:rFonts w:asciiTheme="majorBidi" w:hAnsiTheme="majorBidi" w:cstheme="majorBidi"/>
          <w:color w:val="000000" w:themeColor="text1"/>
          <w:sz w:val="24"/>
          <w:szCs w:val="24"/>
        </w:rPr>
        <w:t>Cajanus</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cajan</w:t>
      </w:r>
      <w:proofErr w:type="spellEnd"/>
      <w:r w:rsidRPr="00A202DA">
        <w:rPr>
          <w:rFonts w:asciiTheme="majorBidi" w:hAnsiTheme="majorBidi" w:cstheme="majorBidi"/>
          <w:color w:val="000000" w:themeColor="text1"/>
          <w:sz w:val="24"/>
          <w:szCs w:val="24"/>
        </w:rPr>
        <w:t xml:space="preserve"> (L.) </w:t>
      </w:r>
      <w:proofErr w:type="spellStart"/>
      <w:r w:rsidRPr="00A202DA">
        <w:rPr>
          <w:rFonts w:asciiTheme="majorBidi" w:hAnsiTheme="majorBidi" w:cstheme="majorBidi"/>
          <w:color w:val="000000" w:themeColor="text1"/>
          <w:sz w:val="24"/>
          <w:szCs w:val="24"/>
        </w:rPr>
        <w:t>Millsp</w:t>
      </w:r>
      <w:proofErr w:type="spellEnd"/>
      <w:r w:rsidRPr="00A202DA">
        <w:rPr>
          <w:rFonts w:asciiTheme="majorBidi" w:hAnsiTheme="majorBidi" w:cstheme="majorBidi"/>
          <w:color w:val="000000" w:themeColor="text1"/>
          <w:sz w:val="24"/>
          <w:szCs w:val="24"/>
        </w:rPr>
        <w:t xml:space="preserve">.) flour. </w:t>
      </w:r>
      <w:r w:rsidRPr="005974F0">
        <w:rPr>
          <w:rFonts w:asciiTheme="majorBidi" w:hAnsiTheme="majorBidi" w:cstheme="majorBidi"/>
          <w:i/>
          <w:iCs/>
          <w:color w:val="000000" w:themeColor="text1"/>
          <w:sz w:val="24"/>
          <w:szCs w:val="24"/>
        </w:rPr>
        <w:t>Journal of Agriculture and Food Research</w:t>
      </w:r>
      <w:r w:rsidRPr="00A202DA">
        <w:rPr>
          <w:rFonts w:asciiTheme="majorBidi" w:hAnsiTheme="majorBidi" w:cstheme="majorBidi"/>
          <w:color w:val="000000" w:themeColor="text1"/>
          <w:sz w:val="24"/>
          <w:szCs w:val="24"/>
        </w:rPr>
        <w:t xml:space="preserve">, 18, 101493. </w:t>
      </w:r>
      <w:hyperlink r:id="rId23" w:history="1">
        <w:r w:rsidRPr="00A202DA">
          <w:rPr>
            <w:rStyle w:val="Hyperlink"/>
            <w:rFonts w:asciiTheme="majorBidi" w:hAnsiTheme="majorBidi" w:cstheme="majorBidi"/>
            <w:color w:val="000000" w:themeColor="text1"/>
            <w:sz w:val="24"/>
            <w:szCs w:val="24"/>
            <w:u w:val="none"/>
          </w:rPr>
          <w:t>https://doi.org/10.1016/j.jafr.2024.101493</w:t>
        </w:r>
      </w:hyperlink>
    </w:p>
    <w:p w14:paraId="1DA09FF5"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Iqbal, M. J., Shams, N., &amp; Fatima, K. (2022). Nutritional quality of wheat, In: </w:t>
      </w:r>
      <w:r w:rsidRPr="00A202DA">
        <w:rPr>
          <w:rStyle w:val="Hyperlink"/>
          <w:rFonts w:asciiTheme="majorBidi" w:hAnsiTheme="majorBidi" w:cstheme="majorBidi"/>
          <w:i/>
          <w:iCs/>
          <w:color w:val="000000" w:themeColor="text1"/>
          <w:sz w:val="24"/>
          <w:szCs w:val="24"/>
          <w:u w:val="none"/>
        </w:rPr>
        <w:t>Wheat-Recent Advances</w:t>
      </w:r>
      <w:r w:rsidRPr="00A202DA">
        <w:rPr>
          <w:rStyle w:val="Hyperlink"/>
          <w:rFonts w:asciiTheme="majorBidi" w:hAnsiTheme="majorBidi" w:cstheme="majorBidi"/>
          <w:color w:val="000000" w:themeColor="text1"/>
          <w:sz w:val="24"/>
          <w:szCs w:val="24"/>
          <w:u w:val="none"/>
        </w:rPr>
        <w:t xml:space="preserve">. </w:t>
      </w:r>
      <w:proofErr w:type="spellStart"/>
      <w:r w:rsidRPr="00A202DA">
        <w:rPr>
          <w:rStyle w:val="Hyperlink"/>
          <w:rFonts w:asciiTheme="majorBidi" w:hAnsiTheme="majorBidi" w:cstheme="majorBidi"/>
          <w:color w:val="000000" w:themeColor="text1"/>
          <w:sz w:val="24"/>
          <w:szCs w:val="24"/>
          <w:u w:val="none"/>
        </w:rPr>
        <w:t>IntechOpen</w:t>
      </w:r>
      <w:proofErr w:type="spellEnd"/>
      <w:r w:rsidRPr="00A202DA">
        <w:rPr>
          <w:rStyle w:val="Hyperlink"/>
          <w:rFonts w:asciiTheme="majorBidi" w:hAnsiTheme="majorBidi" w:cstheme="majorBidi"/>
          <w:color w:val="000000" w:themeColor="text1"/>
          <w:sz w:val="24"/>
          <w:szCs w:val="24"/>
          <w:u w:val="none"/>
        </w:rPr>
        <w:t>.</w:t>
      </w:r>
    </w:p>
    <w:p w14:paraId="452AC052"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Ismail, T., Akhtar, S., Qamar, M., </w:t>
      </w:r>
      <w:proofErr w:type="spellStart"/>
      <w:r w:rsidRPr="00A202DA">
        <w:rPr>
          <w:rStyle w:val="Hyperlink"/>
          <w:rFonts w:asciiTheme="majorBidi" w:hAnsiTheme="majorBidi" w:cstheme="majorBidi"/>
          <w:color w:val="000000" w:themeColor="text1"/>
          <w:sz w:val="24"/>
          <w:szCs w:val="24"/>
          <w:u w:val="none"/>
        </w:rPr>
        <w:t>Esatbeyoglu</w:t>
      </w:r>
      <w:proofErr w:type="spellEnd"/>
      <w:r w:rsidRPr="00A202DA">
        <w:rPr>
          <w:rStyle w:val="Hyperlink"/>
          <w:rFonts w:asciiTheme="majorBidi" w:hAnsiTheme="majorBidi" w:cstheme="majorBidi"/>
          <w:color w:val="000000" w:themeColor="text1"/>
          <w:sz w:val="24"/>
          <w:szCs w:val="24"/>
          <w:u w:val="none"/>
        </w:rPr>
        <w:t xml:space="preserve">, T., </w:t>
      </w:r>
      <w:proofErr w:type="spellStart"/>
      <w:r w:rsidRPr="00A202DA">
        <w:rPr>
          <w:rStyle w:val="Hyperlink"/>
          <w:rFonts w:asciiTheme="majorBidi" w:hAnsiTheme="majorBidi" w:cstheme="majorBidi"/>
          <w:color w:val="000000" w:themeColor="text1"/>
          <w:sz w:val="24"/>
          <w:szCs w:val="24"/>
          <w:u w:val="none"/>
        </w:rPr>
        <w:t>Sestili</w:t>
      </w:r>
      <w:proofErr w:type="spellEnd"/>
      <w:r w:rsidRPr="00A202DA">
        <w:rPr>
          <w:rStyle w:val="Hyperlink"/>
          <w:rFonts w:asciiTheme="majorBidi" w:hAnsiTheme="majorBidi" w:cstheme="majorBidi"/>
          <w:color w:val="000000" w:themeColor="text1"/>
          <w:sz w:val="24"/>
          <w:szCs w:val="24"/>
          <w:u w:val="none"/>
        </w:rPr>
        <w:t xml:space="preserve">, P., Saeed, W., &amp; Lazarte, C. E. (2024). Effect of crop maturity stages and lactic acid fermentation on nutrient absorption properties, and bioaccessibility of Fe, Zn and ca in Spinacia oleracea L. </w:t>
      </w:r>
      <w:r w:rsidRPr="005974F0">
        <w:rPr>
          <w:rStyle w:val="Hyperlink"/>
          <w:rFonts w:asciiTheme="majorBidi" w:hAnsiTheme="majorBidi" w:cstheme="majorBidi"/>
          <w:i/>
          <w:iCs/>
          <w:color w:val="000000" w:themeColor="text1"/>
          <w:sz w:val="24"/>
          <w:szCs w:val="24"/>
          <w:u w:val="none"/>
        </w:rPr>
        <w:t>Journal of Food Composition and Analysis</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133</w:t>
      </w:r>
      <w:r w:rsidRPr="00A202DA">
        <w:rPr>
          <w:rStyle w:val="Hyperlink"/>
          <w:rFonts w:asciiTheme="majorBidi" w:hAnsiTheme="majorBidi" w:cstheme="majorBidi"/>
          <w:color w:val="000000" w:themeColor="text1"/>
          <w:sz w:val="24"/>
          <w:szCs w:val="24"/>
          <w:u w:val="none"/>
        </w:rPr>
        <w:t>, 106427.</w:t>
      </w:r>
      <w:r w:rsidRPr="00A202DA">
        <w:rPr>
          <w:color w:val="000000" w:themeColor="text1"/>
        </w:rPr>
        <w:t xml:space="preserve"> </w:t>
      </w:r>
      <w:hyperlink r:id="rId24" w:history="1">
        <w:r w:rsidRPr="00A202DA">
          <w:rPr>
            <w:rStyle w:val="Hyperlink"/>
            <w:rFonts w:asciiTheme="majorBidi" w:hAnsiTheme="majorBidi" w:cstheme="majorBidi"/>
            <w:color w:val="000000" w:themeColor="text1"/>
            <w:sz w:val="24"/>
            <w:szCs w:val="24"/>
            <w:u w:val="none"/>
          </w:rPr>
          <w:t>https://doi.org/10.1016/j.jfca.2024.106427</w:t>
        </w:r>
      </w:hyperlink>
    </w:p>
    <w:p w14:paraId="335C513F"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Kumari, A., &amp; Roy, A. (2023). Enhancing micronutrient absorption through simultaneous fortification and phytic acid degradation. </w:t>
      </w:r>
      <w:r w:rsidRPr="005974F0">
        <w:rPr>
          <w:rStyle w:val="Hyperlink"/>
          <w:rFonts w:asciiTheme="majorBidi" w:hAnsiTheme="majorBidi" w:cstheme="majorBidi"/>
          <w:i/>
          <w:iCs/>
          <w:color w:val="000000" w:themeColor="text1"/>
          <w:sz w:val="24"/>
          <w:szCs w:val="24"/>
          <w:u w:val="none"/>
        </w:rPr>
        <w:t>Food Science and Biotechnology</w:t>
      </w:r>
      <w:r w:rsidRPr="00A202DA">
        <w:rPr>
          <w:rStyle w:val="Hyperlink"/>
          <w:rFonts w:asciiTheme="majorBidi" w:hAnsiTheme="majorBidi" w:cstheme="majorBidi"/>
          <w:color w:val="000000" w:themeColor="text1"/>
          <w:sz w:val="24"/>
          <w:szCs w:val="24"/>
          <w:u w:val="none"/>
        </w:rPr>
        <w:t xml:space="preserve">, 32(9), 1235. </w:t>
      </w:r>
      <w:hyperlink r:id="rId25" w:history="1">
        <w:r w:rsidRPr="00A202DA">
          <w:rPr>
            <w:rStyle w:val="Hyperlink"/>
            <w:rFonts w:asciiTheme="majorBidi" w:hAnsiTheme="majorBidi" w:cstheme="majorBidi"/>
            <w:color w:val="000000" w:themeColor="text1"/>
            <w:sz w:val="24"/>
            <w:szCs w:val="24"/>
            <w:u w:val="none"/>
          </w:rPr>
          <w:t>https://doi.org/10.1007/s10068-023-01255-8</w:t>
        </w:r>
      </w:hyperlink>
    </w:p>
    <w:p w14:paraId="3AF14DA6"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Liu, K., Zheng, J., &amp; Chen, F. (2019). Effect of domestic cooking on rice protein digestibility. </w:t>
      </w:r>
      <w:r w:rsidRPr="005974F0">
        <w:rPr>
          <w:rStyle w:val="Hyperlink"/>
          <w:rFonts w:asciiTheme="majorBidi" w:hAnsiTheme="majorBidi" w:cstheme="majorBidi"/>
          <w:i/>
          <w:iCs/>
          <w:color w:val="000000" w:themeColor="text1"/>
          <w:sz w:val="24"/>
          <w:szCs w:val="24"/>
          <w:u w:val="none"/>
        </w:rPr>
        <w:t>Food Science &amp; Nutrition</w:t>
      </w:r>
      <w:r w:rsidRPr="00A202DA">
        <w:rPr>
          <w:rStyle w:val="Hyperlink"/>
          <w:rFonts w:asciiTheme="majorBidi" w:hAnsiTheme="majorBidi" w:cstheme="majorBidi"/>
          <w:color w:val="000000" w:themeColor="text1"/>
          <w:sz w:val="24"/>
          <w:szCs w:val="24"/>
          <w:u w:val="none"/>
        </w:rPr>
        <w:t xml:space="preserve">, 7(2), 608. </w:t>
      </w:r>
      <w:hyperlink r:id="rId26" w:history="1">
        <w:r w:rsidRPr="00A202DA">
          <w:rPr>
            <w:rStyle w:val="Hyperlink"/>
            <w:rFonts w:asciiTheme="majorBidi" w:hAnsiTheme="majorBidi" w:cstheme="majorBidi"/>
            <w:color w:val="000000" w:themeColor="text1"/>
            <w:sz w:val="24"/>
            <w:szCs w:val="24"/>
            <w:u w:val="none"/>
          </w:rPr>
          <w:t>https://doi.org/10.1002/fsn3.884</w:t>
        </w:r>
      </w:hyperlink>
    </w:p>
    <w:p w14:paraId="5AD5C7A4"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Mahgoub, S. E., Ahmed, B. M., Ahmed, M. M., &amp; El Agib, E. N. A. (1999). Effect of traditional Sudanese processing of </w:t>
      </w:r>
      <w:proofErr w:type="spellStart"/>
      <w:r w:rsidRPr="00A202DA">
        <w:rPr>
          <w:rFonts w:asciiTheme="majorBidi" w:hAnsiTheme="majorBidi" w:cstheme="majorBidi"/>
          <w:color w:val="000000" w:themeColor="text1"/>
          <w:sz w:val="24"/>
          <w:szCs w:val="24"/>
          <w:shd w:val="clear" w:color="auto" w:fill="FFFFFF"/>
        </w:rPr>
        <w:t>kisra</w:t>
      </w:r>
      <w:proofErr w:type="spellEnd"/>
      <w:r w:rsidRPr="00A202DA">
        <w:rPr>
          <w:rFonts w:asciiTheme="majorBidi" w:hAnsiTheme="majorBidi" w:cstheme="majorBidi"/>
          <w:color w:val="000000" w:themeColor="text1"/>
          <w:sz w:val="24"/>
          <w:szCs w:val="24"/>
          <w:shd w:val="clear" w:color="auto" w:fill="FFFFFF"/>
        </w:rPr>
        <w:t xml:space="preserve"> bread </w:t>
      </w:r>
      <w:proofErr w:type="spellStart"/>
      <w:r w:rsidRPr="00A202DA">
        <w:rPr>
          <w:rFonts w:asciiTheme="majorBidi" w:hAnsiTheme="majorBidi" w:cstheme="majorBidi"/>
          <w:color w:val="000000" w:themeColor="text1"/>
          <w:sz w:val="24"/>
          <w:szCs w:val="24"/>
          <w:shd w:val="clear" w:color="auto" w:fill="FFFFFF"/>
        </w:rPr>
        <w:t>andhulu-mur</w:t>
      </w:r>
      <w:proofErr w:type="spellEnd"/>
      <w:r w:rsidRPr="00A202DA">
        <w:rPr>
          <w:rFonts w:asciiTheme="majorBidi" w:hAnsiTheme="majorBidi" w:cstheme="majorBidi"/>
          <w:color w:val="000000" w:themeColor="text1"/>
          <w:sz w:val="24"/>
          <w:szCs w:val="24"/>
          <w:shd w:val="clear" w:color="auto" w:fill="FFFFFF"/>
        </w:rPr>
        <w:t xml:space="preserve"> drink on their thiamine, riboflavin and mineral contents. </w:t>
      </w:r>
      <w:r w:rsidRPr="00A202DA">
        <w:rPr>
          <w:rFonts w:asciiTheme="majorBidi" w:hAnsiTheme="majorBidi" w:cstheme="majorBidi"/>
          <w:i/>
          <w:iCs/>
          <w:color w:val="000000" w:themeColor="text1"/>
          <w:sz w:val="24"/>
          <w:szCs w:val="24"/>
          <w:shd w:val="clear" w:color="auto" w:fill="FFFFFF"/>
        </w:rPr>
        <w:t>Food Chemistry</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67</w:t>
      </w:r>
      <w:r w:rsidRPr="00A202DA">
        <w:rPr>
          <w:rFonts w:asciiTheme="majorBidi" w:hAnsiTheme="majorBidi" w:cstheme="majorBidi"/>
          <w:color w:val="000000" w:themeColor="text1"/>
          <w:sz w:val="24"/>
          <w:szCs w:val="24"/>
          <w:shd w:val="clear" w:color="auto" w:fill="FFFFFF"/>
        </w:rPr>
        <w:t>(2), 129-133.</w:t>
      </w:r>
      <w:r w:rsidRPr="00A202DA">
        <w:rPr>
          <w:rFonts w:asciiTheme="majorBidi" w:hAnsiTheme="majorBidi" w:cstheme="majorBidi"/>
          <w:color w:val="000000" w:themeColor="text1"/>
          <w:sz w:val="24"/>
          <w:szCs w:val="24"/>
        </w:rPr>
        <w:t xml:space="preserve"> </w:t>
      </w:r>
      <w:hyperlink r:id="rId27" w:history="1">
        <w:r w:rsidRPr="00A202DA">
          <w:rPr>
            <w:rStyle w:val="Hyperlink"/>
            <w:rFonts w:asciiTheme="majorBidi" w:hAnsiTheme="majorBidi" w:cstheme="majorBidi"/>
            <w:color w:val="000000" w:themeColor="text1"/>
            <w:sz w:val="24"/>
            <w:szCs w:val="24"/>
            <w:u w:val="none"/>
          </w:rPr>
          <w:t>https://doi.org/10.1016/S0308-8146(99)00074-6</w:t>
        </w:r>
      </w:hyperlink>
    </w:p>
    <w:p w14:paraId="6FE9A42B"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Makawi</w:t>
      </w:r>
      <w:proofErr w:type="spellEnd"/>
      <w:r w:rsidRPr="00A202DA">
        <w:rPr>
          <w:rStyle w:val="Hyperlink"/>
          <w:rFonts w:asciiTheme="majorBidi" w:hAnsiTheme="majorBidi" w:cstheme="majorBidi"/>
          <w:color w:val="000000" w:themeColor="text1"/>
          <w:sz w:val="24"/>
          <w:szCs w:val="24"/>
          <w:u w:val="none"/>
        </w:rPr>
        <w:t xml:space="preserve">, A. B., Mustafa, A. I., </w:t>
      </w:r>
      <w:proofErr w:type="spellStart"/>
      <w:r w:rsidRPr="00A202DA">
        <w:rPr>
          <w:rStyle w:val="Hyperlink"/>
          <w:rFonts w:asciiTheme="majorBidi" w:hAnsiTheme="majorBidi" w:cstheme="majorBidi"/>
          <w:color w:val="000000" w:themeColor="text1"/>
          <w:sz w:val="24"/>
          <w:szCs w:val="24"/>
          <w:u w:val="none"/>
        </w:rPr>
        <w:t>Adiamo</w:t>
      </w:r>
      <w:proofErr w:type="spellEnd"/>
      <w:r w:rsidRPr="00A202DA">
        <w:rPr>
          <w:rStyle w:val="Hyperlink"/>
          <w:rFonts w:asciiTheme="majorBidi" w:hAnsiTheme="majorBidi" w:cstheme="majorBidi"/>
          <w:color w:val="000000" w:themeColor="text1"/>
          <w:sz w:val="24"/>
          <w:szCs w:val="24"/>
          <w:u w:val="none"/>
        </w:rPr>
        <w:t xml:space="preserve">, O. Q., &amp; Mohamed Ahmed, I. A. (2019). Quality attributes of Kisra prepared from sorghum flour fermented with baobab fruit pulp flour as starter. </w:t>
      </w:r>
      <w:r w:rsidRPr="005974F0">
        <w:rPr>
          <w:rStyle w:val="Hyperlink"/>
          <w:rFonts w:asciiTheme="majorBidi" w:hAnsiTheme="majorBidi" w:cstheme="majorBidi"/>
          <w:i/>
          <w:iCs/>
          <w:color w:val="000000" w:themeColor="text1"/>
          <w:sz w:val="24"/>
          <w:szCs w:val="24"/>
          <w:u w:val="none"/>
        </w:rPr>
        <w:t>Journal of Food Science and Technology</w:t>
      </w:r>
      <w:r w:rsidRPr="00A202DA">
        <w:rPr>
          <w:rStyle w:val="Hyperlink"/>
          <w:rFonts w:asciiTheme="majorBidi" w:hAnsiTheme="majorBidi" w:cstheme="majorBidi"/>
          <w:color w:val="000000" w:themeColor="text1"/>
          <w:sz w:val="24"/>
          <w:szCs w:val="24"/>
          <w:u w:val="none"/>
        </w:rPr>
        <w:t>, 56(8), 3754-3763.</w:t>
      </w:r>
      <w:r w:rsidRPr="00A202DA">
        <w:rPr>
          <w:color w:val="000000" w:themeColor="text1"/>
        </w:rPr>
        <w:t xml:space="preserve"> </w:t>
      </w:r>
      <w:hyperlink r:id="rId28" w:history="1">
        <w:r w:rsidRPr="00A202DA">
          <w:rPr>
            <w:rStyle w:val="Hyperlink"/>
            <w:rFonts w:asciiTheme="majorBidi" w:hAnsiTheme="majorBidi" w:cstheme="majorBidi"/>
            <w:color w:val="000000" w:themeColor="text1"/>
            <w:sz w:val="24"/>
            <w:szCs w:val="24"/>
            <w:u w:val="none"/>
          </w:rPr>
          <w:t>https://doi.org/10.1007/s13197-019-03848-w</w:t>
        </w:r>
      </w:hyperlink>
    </w:p>
    <w:p w14:paraId="14E2A537"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Masahid, A. D., </w:t>
      </w:r>
      <w:proofErr w:type="spellStart"/>
      <w:r w:rsidRPr="00A202DA">
        <w:rPr>
          <w:rFonts w:asciiTheme="majorBidi" w:hAnsiTheme="majorBidi" w:cstheme="majorBidi"/>
          <w:color w:val="000000" w:themeColor="text1"/>
          <w:sz w:val="24"/>
          <w:szCs w:val="24"/>
        </w:rPr>
        <w:t>Belgis</w:t>
      </w:r>
      <w:proofErr w:type="spellEnd"/>
      <w:r w:rsidRPr="00A202DA">
        <w:rPr>
          <w:rFonts w:asciiTheme="majorBidi" w:hAnsiTheme="majorBidi" w:cstheme="majorBidi"/>
          <w:color w:val="000000" w:themeColor="text1"/>
          <w:sz w:val="24"/>
          <w:szCs w:val="24"/>
        </w:rPr>
        <w:t xml:space="preserve">, M., &amp; </w:t>
      </w:r>
      <w:proofErr w:type="spellStart"/>
      <w:r w:rsidRPr="00A202DA">
        <w:rPr>
          <w:rFonts w:asciiTheme="majorBidi" w:hAnsiTheme="majorBidi" w:cstheme="majorBidi"/>
          <w:color w:val="000000" w:themeColor="text1"/>
          <w:sz w:val="24"/>
          <w:szCs w:val="24"/>
        </w:rPr>
        <w:t>Agesti</w:t>
      </w:r>
      <w:proofErr w:type="spellEnd"/>
      <w:r w:rsidRPr="00A202DA">
        <w:rPr>
          <w:rFonts w:asciiTheme="majorBidi" w:hAnsiTheme="majorBidi" w:cstheme="majorBidi"/>
          <w:color w:val="000000" w:themeColor="text1"/>
          <w:sz w:val="24"/>
          <w:szCs w:val="24"/>
        </w:rPr>
        <w:t xml:space="preserve">, H. V. (2021). Functional properties of </w:t>
      </w:r>
      <w:proofErr w:type="spellStart"/>
      <w:r w:rsidRPr="00A202DA">
        <w:rPr>
          <w:rFonts w:asciiTheme="majorBidi" w:hAnsiTheme="majorBidi" w:cstheme="majorBidi"/>
          <w:color w:val="000000" w:themeColor="text1"/>
          <w:sz w:val="24"/>
          <w:szCs w:val="24"/>
        </w:rPr>
        <w:t>adlay</w:t>
      </w:r>
      <w:proofErr w:type="spellEnd"/>
      <w:r w:rsidRPr="00A202DA">
        <w:rPr>
          <w:rFonts w:asciiTheme="majorBidi" w:hAnsiTheme="majorBidi" w:cstheme="majorBidi"/>
          <w:color w:val="000000" w:themeColor="text1"/>
          <w:sz w:val="24"/>
          <w:szCs w:val="24"/>
        </w:rPr>
        <w:t xml:space="preserve"> flour (</w:t>
      </w:r>
      <w:proofErr w:type="spellStart"/>
      <w:r w:rsidRPr="00A202DA">
        <w:rPr>
          <w:rFonts w:asciiTheme="majorBidi" w:hAnsiTheme="majorBidi" w:cstheme="majorBidi"/>
          <w:color w:val="000000" w:themeColor="text1"/>
          <w:sz w:val="24"/>
          <w:szCs w:val="24"/>
        </w:rPr>
        <w:t>Coix</w:t>
      </w:r>
      <w:proofErr w:type="spellEnd"/>
      <w:r w:rsidRPr="00A202DA">
        <w:rPr>
          <w:rFonts w:asciiTheme="majorBidi" w:hAnsiTheme="majorBidi" w:cstheme="majorBidi"/>
          <w:color w:val="000000" w:themeColor="text1"/>
          <w:sz w:val="24"/>
          <w:szCs w:val="24"/>
        </w:rPr>
        <w:t xml:space="preserve"> </w:t>
      </w:r>
      <w:proofErr w:type="spellStart"/>
      <w:r w:rsidRPr="00A202DA">
        <w:rPr>
          <w:rFonts w:asciiTheme="majorBidi" w:hAnsiTheme="majorBidi" w:cstheme="majorBidi"/>
          <w:color w:val="000000" w:themeColor="text1"/>
          <w:sz w:val="24"/>
          <w:szCs w:val="24"/>
        </w:rPr>
        <w:t>lacryma-jobi</w:t>
      </w:r>
      <w:proofErr w:type="spellEnd"/>
      <w:r w:rsidRPr="00A202DA">
        <w:rPr>
          <w:rFonts w:asciiTheme="majorBidi" w:hAnsiTheme="majorBidi" w:cstheme="majorBidi"/>
          <w:color w:val="000000" w:themeColor="text1"/>
          <w:sz w:val="24"/>
          <w:szCs w:val="24"/>
        </w:rPr>
        <w:t xml:space="preserve"> L. var. Ma-yuen) resulting from modified durations of fermentation using Rhizopus </w:t>
      </w:r>
      <w:proofErr w:type="spellStart"/>
      <w:r w:rsidRPr="00A202DA">
        <w:rPr>
          <w:rFonts w:asciiTheme="majorBidi" w:hAnsiTheme="majorBidi" w:cstheme="majorBidi"/>
          <w:color w:val="000000" w:themeColor="text1"/>
          <w:sz w:val="24"/>
          <w:szCs w:val="24"/>
        </w:rPr>
        <w:t>oligosporus</w:t>
      </w:r>
      <w:proofErr w:type="spellEnd"/>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International Journal on Food, Agriculture and Natural Resources</w:t>
      </w:r>
      <w:r w:rsidRPr="00A202DA">
        <w:rPr>
          <w:rFonts w:asciiTheme="majorBidi" w:hAnsiTheme="majorBidi" w:cstheme="majorBidi"/>
          <w:color w:val="000000" w:themeColor="text1"/>
          <w:sz w:val="24"/>
          <w:szCs w:val="24"/>
        </w:rPr>
        <w:t xml:space="preserve">, </w:t>
      </w:r>
      <w:r w:rsidRPr="005974F0">
        <w:rPr>
          <w:rFonts w:asciiTheme="majorBidi" w:hAnsiTheme="majorBidi" w:cstheme="majorBidi"/>
          <w:i/>
          <w:iCs/>
          <w:color w:val="000000" w:themeColor="text1"/>
          <w:sz w:val="24"/>
          <w:szCs w:val="24"/>
        </w:rPr>
        <w:t>2(2)</w:t>
      </w:r>
      <w:r w:rsidRPr="00A202DA">
        <w:rPr>
          <w:rFonts w:asciiTheme="majorBidi" w:hAnsiTheme="majorBidi" w:cstheme="majorBidi"/>
          <w:color w:val="000000" w:themeColor="text1"/>
          <w:sz w:val="24"/>
          <w:szCs w:val="24"/>
        </w:rPr>
        <w:t xml:space="preserve">, 1-6. </w:t>
      </w:r>
      <w:hyperlink r:id="rId29" w:history="1">
        <w:r w:rsidRPr="00A202DA">
          <w:rPr>
            <w:rStyle w:val="Hyperlink"/>
            <w:rFonts w:asciiTheme="majorBidi" w:hAnsiTheme="majorBidi" w:cstheme="majorBidi"/>
            <w:color w:val="000000" w:themeColor="text1"/>
            <w:sz w:val="24"/>
            <w:szCs w:val="24"/>
            <w:u w:val="none"/>
          </w:rPr>
          <w:t>https://doi.org/10.46676/ij-fanres.v2i2.32</w:t>
        </w:r>
      </w:hyperlink>
    </w:p>
    <w:p w14:paraId="342FBD11"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Mustafa, M. A., Abdallh, A. H., &amp; Babiker, E. E. (2024). Effect of Fermentation and/or Cooking on Some Nutritional Quality of Sorghum Meals Formulated with Different Ratios of Wheat and Pumpkin Flour. </w:t>
      </w:r>
      <w:r w:rsidRPr="00A202DA">
        <w:rPr>
          <w:rFonts w:asciiTheme="majorBidi" w:hAnsiTheme="majorBidi" w:cstheme="majorBidi"/>
          <w:i/>
          <w:iCs/>
          <w:color w:val="000000" w:themeColor="text1"/>
          <w:sz w:val="24"/>
          <w:szCs w:val="24"/>
          <w:shd w:val="clear" w:color="auto" w:fill="FFFFFF"/>
        </w:rPr>
        <w:t>Food Science and Engineering</w:t>
      </w:r>
      <w:r w:rsidRPr="00A202DA">
        <w:rPr>
          <w:rFonts w:asciiTheme="majorBidi" w:hAnsiTheme="majorBidi" w:cstheme="majorBidi"/>
          <w:color w:val="000000" w:themeColor="text1"/>
          <w:sz w:val="24"/>
          <w:szCs w:val="24"/>
          <w:shd w:val="clear" w:color="auto" w:fill="FFFFFF"/>
        </w:rPr>
        <w:t>, 418-432.https://doi.org/10.37256/fse.5220245361</w:t>
      </w:r>
    </w:p>
    <w:p w14:paraId="1BEE13D2"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lastRenderedPageBreak/>
        <w:t xml:space="preserve">Mustafa, M. A., Abdallh, A. H., &amp; Babiker, E. E. (2025). The impact of processing on some nutritional properties of ready-to-eat meals made from composite flour. </w:t>
      </w:r>
      <w:r w:rsidRPr="005974F0">
        <w:rPr>
          <w:rFonts w:asciiTheme="majorBidi" w:hAnsiTheme="majorBidi" w:cstheme="majorBidi"/>
          <w:i/>
          <w:iCs/>
          <w:color w:val="000000" w:themeColor="text1"/>
          <w:sz w:val="24"/>
          <w:szCs w:val="24"/>
        </w:rPr>
        <w:t>Innovative Romanian Food Biotechnology</w:t>
      </w:r>
      <w:r w:rsidRPr="00A202DA">
        <w:rPr>
          <w:rFonts w:asciiTheme="majorBidi" w:hAnsiTheme="majorBidi" w:cstheme="majorBidi"/>
          <w:color w:val="000000" w:themeColor="text1"/>
          <w:sz w:val="24"/>
          <w:szCs w:val="24"/>
        </w:rPr>
        <w:t>, (27), 1-23.</w:t>
      </w:r>
    </w:p>
    <w:p w14:paraId="46B07A14"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Nagessa</w:t>
      </w:r>
      <w:proofErr w:type="spellEnd"/>
      <w:r w:rsidRPr="00A202DA">
        <w:rPr>
          <w:rStyle w:val="Hyperlink"/>
          <w:rFonts w:asciiTheme="majorBidi" w:hAnsiTheme="majorBidi" w:cstheme="majorBidi"/>
          <w:color w:val="000000" w:themeColor="text1"/>
          <w:sz w:val="24"/>
          <w:szCs w:val="24"/>
          <w:u w:val="none"/>
        </w:rPr>
        <w:t xml:space="preserve">, W. B., Chambal, B., &amp; </w:t>
      </w:r>
      <w:proofErr w:type="spellStart"/>
      <w:r w:rsidRPr="00A202DA">
        <w:rPr>
          <w:rStyle w:val="Hyperlink"/>
          <w:rFonts w:asciiTheme="majorBidi" w:hAnsiTheme="majorBidi" w:cstheme="majorBidi"/>
          <w:color w:val="000000" w:themeColor="text1"/>
          <w:sz w:val="24"/>
          <w:szCs w:val="24"/>
          <w:u w:val="none"/>
        </w:rPr>
        <w:t>Macuamule</w:t>
      </w:r>
      <w:proofErr w:type="spellEnd"/>
      <w:r w:rsidRPr="00A202DA">
        <w:rPr>
          <w:rStyle w:val="Hyperlink"/>
          <w:rFonts w:asciiTheme="majorBidi" w:hAnsiTheme="majorBidi" w:cstheme="majorBidi"/>
          <w:color w:val="000000" w:themeColor="text1"/>
          <w:sz w:val="24"/>
          <w:szCs w:val="24"/>
          <w:u w:val="none"/>
        </w:rPr>
        <w:t xml:space="preserve">, C. (2023). Effects of processing methods on phytate and tannin content of black small common beans (Phaseolus vulgaris L.) cultivated in Mozambique. </w:t>
      </w:r>
      <w:r w:rsidRPr="005974F0">
        <w:rPr>
          <w:rStyle w:val="Hyperlink"/>
          <w:rFonts w:asciiTheme="majorBidi" w:hAnsiTheme="majorBidi" w:cstheme="majorBidi"/>
          <w:i/>
          <w:iCs/>
          <w:color w:val="000000" w:themeColor="text1"/>
          <w:sz w:val="24"/>
          <w:szCs w:val="24"/>
          <w:u w:val="none"/>
        </w:rPr>
        <w:t>Cogent Food &amp; Agriculture</w:t>
      </w:r>
      <w:r w:rsidRPr="00A202DA">
        <w:rPr>
          <w:rStyle w:val="Hyperlink"/>
          <w:rFonts w:asciiTheme="majorBidi" w:hAnsiTheme="majorBidi" w:cstheme="majorBidi"/>
          <w:color w:val="000000" w:themeColor="text1"/>
          <w:sz w:val="24"/>
          <w:szCs w:val="24"/>
          <w:u w:val="none"/>
        </w:rPr>
        <w:t>, 9(2), 2289713.</w:t>
      </w:r>
      <w:r w:rsidRPr="00A202DA">
        <w:rPr>
          <w:color w:val="000000" w:themeColor="text1"/>
        </w:rPr>
        <w:t xml:space="preserve"> </w:t>
      </w:r>
      <w:hyperlink r:id="rId30" w:history="1">
        <w:r w:rsidRPr="00A202DA">
          <w:rPr>
            <w:rStyle w:val="Hyperlink"/>
            <w:rFonts w:asciiTheme="majorBidi" w:hAnsiTheme="majorBidi" w:cstheme="majorBidi"/>
            <w:color w:val="000000" w:themeColor="text1"/>
            <w:sz w:val="24"/>
            <w:szCs w:val="24"/>
            <w:u w:val="none"/>
          </w:rPr>
          <w:t>https://doi.org/10.1080/23311932.2023.2289713</w:t>
        </w:r>
      </w:hyperlink>
    </w:p>
    <w:p w14:paraId="4A2BCF99"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Nissar, J., Ahad, T., Naik, H. R., &amp; Hussain, S. Z. (2017). A review phytic acid: As antinutrient or nutraceutical. </w:t>
      </w:r>
      <w:r w:rsidRPr="005974F0">
        <w:rPr>
          <w:rFonts w:asciiTheme="majorBidi" w:hAnsiTheme="majorBidi" w:cstheme="majorBidi"/>
          <w:i/>
          <w:iCs/>
          <w:color w:val="000000" w:themeColor="text1"/>
          <w:sz w:val="24"/>
          <w:szCs w:val="24"/>
          <w:shd w:val="clear" w:color="auto" w:fill="FFFFFF"/>
        </w:rPr>
        <w:t>J</w:t>
      </w:r>
      <w:r w:rsidR="005974F0" w:rsidRPr="005974F0">
        <w:rPr>
          <w:rFonts w:asciiTheme="majorBidi" w:hAnsiTheme="majorBidi" w:cstheme="majorBidi"/>
          <w:i/>
          <w:iCs/>
          <w:color w:val="000000" w:themeColor="text1"/>
          <w:sz w:val="24"/>
          <w:szCs w:val="24"/>
          <w:shd w:val="clear" w:color="auto" w:fill="FFFFFF"/>
        </w:rPr>
        <w:t xml:space="preserve">ournal </w:t>
      </w:r>
      <w:proofErr w:type="spellStart"/>
      <w:r w:rsidRPr="005974F0">
        <w:rPr>
          <w:rFonts w:asciiTheme="majorBidi" w:hAnsiTheme="majorBidi" w:cstheme="majorBidi"/>
          <w:i/>
          <w:iCs/>
          <w:color w:val="000000" w:themeColor="text1"/>
          <w:sz w:val="24"/>
          <w:szCs w:val="24"/>
          <w:shd w:val="clear" w:color="auto" w:fill="FFFFFF"/>
        </w:rPr>
        <w:t>Pharmacogn</w:t>
      </w:r>
      <w:proofErr w:type="spellEnd"/>
      <w:r w:rsidRPr="005974F0">
        <w:rPr>
          <w:rFonts w:asciiTheme="majorBidi" w:hAnsiTheme="majorBidi" w:cstheme="majorBidi"/>
          <w:i/>
          <w:iCs/>
          <w:color w:val="000000" w:themeColor="text1"/>
          <w:sz w:val="24"/>
          <w:szCs w:val="24"/>
          <w:shd w:val="clear" w:color="auto" w:fill="FFFFFF"/>
        </w:rPr>
        <w:t>. Phytochem</w:t>
      </w:r>
      <w:r w:rsidR="005974F0" w:rsidRPr="005974F0">
        <w:rPr>
          <w:rFonts w:asciiTheme="majorBidi" w:hAnsiTheme="majorBidi" w:cstheme="majorBidi"/>
          <w:i/>
          <w:iCs/>
          <w:color w:val="000000" w:themeColor="text1"/>
          <w:sz w:val="24"/>
          <w:szCs w:val="24"/>
          <w:shd w:val="clear" w:color="auto" w:fill="FFFFFF"/>
        </w:rPr>
        <w:t>istry</w:t>
      </w:r>
      <w:r w:rsidR="005974F0">
        <w:rPr>
          <w:rFonts w:asciiTheme="majorBidi" w:hAnsiTheme="majorBidi" w:cstheme="majorBidi"/>
          <w:color w:val="000000" w:themeColor="text1"/>
          <w:sz w:val="24"/>
          <w:szCs w:val="24"/>
          <w:shd w:val="clear" w:color="auto" w:fill="FFFFFF"/>
        </w:rPr>
        <w:t>,</w:t>
      </w:r>
      <w:r w:rsidRPr="00A202DA">
        <w:rPr>
          <w:rFonts w:asciiTheme="majorBidi" w:hAnsiTheme="majorBidi" w:cstheme="majorBidi"/>
          <w:color w:val="000000" w:themeColor="text1"/>
          <w:sz w:val="24"/>
          <w:szCs w:val="24"/>
          <w:shd w:val="clear" w:color="auto" w:fill="FFFFFF"/>
        </w:rPr>
        <w:t xml:space="preserve"> </w:t>
      </w:r>
      <w:r w:rsidRPr="005974F0">
        <w:rPr>
          <w:rFonts w:asciiTheme="majorBidi" w:hAnsiTheme="majorBidi" w:cstheme="majorBidi"/>
          <w:i/>
          <w:iCs/>
          <w:color w:val="000000" w:themeColor="text1"/>
          <w:sz w:val="24"/>
          <w:szCs w:val="24"/>
          <w:shd w:val="clear" w:color="auto" w:fill="FFFFFF"/>
        </w:rPr>
        <w:t>6(6)</w:t>
      </w:r>
      <w:r w:rsidR="003C63A8">
        <w:rPr>
          <w:rFonts w:asciiTheme="majorBidi" w:hAnsiTheme="majorBidi" w:cstheme="majorBidi"/>
          <w:color w:val="000000" w:themeColor="text1"/>
          <w:sz w:val="24"/>
          <w:szCs w:val="24"/>
          <w:shd w:val="clear" w:color="auto" w:fill="FFFFFF"/>
        </w:rPr>
        <w:t>, 1554-1560.</w:t>
      </w:r>
    </w:p>
    <w:p w14:paraId="2C5F0392"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Nkhata</w:t>
      </w:r>
      <w:proofErr w:type="spellEnd"/>
      <w:r w:rsidRPr="00A202DA">
        <w:rPr>
          <w:rStyle w:val="Hyperlink"/>
          <w:rFonts w:asciiTheme="majorBidi" w:hAnsiTheme="majorBidi" w:cstheme="majorBidi"/>
          <w:color w:val="000000" w:themeColor="text1"/>
          <w:sz w:val="24"/>
          <w:szCs w:val="24"/>
          <w:u w:val="none"/>
        </w:rPr>
        <w:t xml:space="preserve">, S.G., </w:t>
      </w:r>
      <w:proofErr w:type="spellStart"/>
      <w:r w:rsidRPr="00A202DA">
        <w:rPr>
          <w:rStyle w:val="Hyperlink"/>
          <w:rFonts w:asciiTheme="majorBidi" w:hAnsiTheme="majorBidi" w:cstheme="majorBidi"/>
          <w:color w:val="000000" w:themeColor="text1"/>
          <w:sz w:val="24"/>
          <w:szCs w:val="24"/>
          <w:u w:val="none"/>
        </w:rPr>
        <w:t>Ayua</w:t>
      </w:r>
      <w:proofErr w:type="spellEnd"/>
      <w:r w:rsidRPr="00A202DA">
        <w:rPr>
          <w:rStyle w:val="Hyperlink"/>
          <w:rFonts w:asciiTheme="majorBidi" w:hAnsiTheme="majorBidi" w:cstheme="majorBidi"/>
          <w:color w:val="000000" w:themeColor="text1"/>
          <w:sz w:val="24"/>
          <w:szCs w:val="24"/>
          <w:u w:val="none"/>
        </w:rPr>
        <w:t xml:space="preserve">, E., Kamau, E.H., &amp; </w:t>
      </w:r>
      <w:proofErr w:type="spellStart"/>
      <w:r w:rsidRPr="00A202DA">
        <w:rPr>
          <w:rStyle w:val="Hyperlink"/>
          <w:rFonts w:asciiTheme="majorBidi" w:hAnsiTheme="majorBidi" w:cstheme="majorBidi"/>
          <w:color w:val="000000" w:themeColor="text1"/>
          <w:sz w:val="24"/>
          <w:szCs w:val="24"/>
          <w:u w:val="none"/>
        </w:rPr>
        <w:t>Shingiro</w:t>
      </w:r>
      <w:proofErr w:type="spellEnd"/>
      <w:r w:rsidRPr="00A202DA">
        <w:rPr>
          <w:rStyle w:val="Hyperlink"/>
          <w:rFonts w:asciiTheme="majorBidi" w:hAnsiTheme="majorBidi" w:cstheme="majorBidi"/>
          <w:color w:val="000000" w:themeColor="text1"/>
          <w:sz w:val="24"/>
          <w:szCs w:val="24"/>
          <w:u w:val="none"/>
        </w:rPr>
        <w:t xml:space="preserve">, J.B. (2018). Fermentation and germination improve nutritional value of cereals and legumes through activation of endogenous enzymes. </w:t>
      </w:r>
      <w:r w:rsidRPr="005974F0">
        <w:rPr>
          <w:rStyle w:val="Hyperlink"/>
          <w:rFonts w:asciiTheme="majorBidi" w:hAnsiTheme="majorBidi" w:cstheme="majorBidi"/>
          <w:i/>
          <w:iCs/>
          <w:color w:val="000000" w:themeColor="text1"/>
          <w:sz w:val="24"/>
          <w:szCs w:val="24"/>
          <w:u w:val="none"/>
        </w:rPr>
        <w:t>Food Science and Nutrition</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6(8)</w:t>
      </w:r>
      <w:r w:rsidRPr="00A202DA">
        <w:rPr>
          <w:rStyle w:val="Hyperlink"/>
          <w:rFonts w:asciiTheme="majorBidi" w:hAnsiTheme="majorBidi" w:cstheme="majorBidi"/>
          <w:color w:val="000000" w:themeColor="text1"/>
          <w:sz w:val="24"/>
          <w:szCs w:val="24"/>
          <w:u w:val="none"/>
        </w:rPr>
        <w:t xml:space="preserve">, 2446–2458. </w:t>
      </w:r>
      <w:hyperlink r:id="rId31" w:history="1">
        <w:r w:rsidRPr="00A202DA">
          <w:rPr>
            <w:rStyle w:val="Hyperlink"/>
            <w:rFonts w:asciiTheme="majorBidi" w:hAnsiTheme="majorBidi" w:cstheme="majorBidi"/>
            <w:color w:val="000000" w:themeColor="text1"/>
            <w:sz w:val="24"/>
            <w:szCs w:val="24"/>
            <w:u w:val="none"/>
          </w:rPr>
          <w:t>https://doi.org/10.1002/fsn3.846</w:t>
        </w:r>
      </w:hyperlink>
    </w:p>
    <w:p w14:paraId="227FD079"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Nsabimana, S., Ismail, T., &amp; Lazarte, C. E. (2024). Enhancing iron and zinc bioavailability in maize (Zea mays) through phytate reduction: the impact of fermentation alone and in combination with soaking and germination. </w:t>
      </w:r>
      <w:r w:rsidRPr="005974F0">
        <w:rPr>
          <w:rStyle w:val="Hyperlink"/>
          <w:rFonts w:asciiTheme="majorBidi" w:hAnsiTheme="majorBidi" w:cstheme="majorBidi"/>
          <w:i/>
          <w:iCs/>
          <w:color w:val="000000" w:themeColor="text1"/>
          <w:sz w:val="24"/>
          <w:szCs w:val="24"/>
          <w:u w:val="none"/>
        </w:rPr>
        <w:t>Frontiers in Nutrition</w:t>
      </w:r>
      <w:r w:rsidRPr="00A202DA">
        <w:rPr>
          <w:rStyle w:val="Hyperlink"/>
          <w:rFonts w:asciiTheme="majorBidi" w:hAnsiTheme="majorBidi" w:cstheme="majorBidi"/>
          <w:color w:val="000000" w:themeColor="text1"/>
          <w:sz w:val="24"/>
          <w:szCs w:val="24"/>
          <w:u w:val="none"/>
        </w:rPr>
        <w:t xml:space="preserve">, </w:t>
      </w:r>
      <w:r w:rsidRPr="005974F0">
        <w:rPr>
          <w:rStyle w:val="Hyperlink"/>
          <w:rFonts w:asciiTheme="majorBidi" w:hAnsiTheme="majorBidi" w:cstheme="majorBidi"/>
          <w:i/>
          <w:iCs/>
          <w:color w:val="000000" w:themeColor="text1"/>
          <w:sz w:val="24"/>
          <w:szCs w:val="24"/>
          <w:u w:val="none"/>
        </w:rPr>
        <w:t>11</w:t>
      </w:r>
      <w:r w:rsidRPr="00A202DA">
        <w:rPr>
          <w:rStyle w:val="Hyperlink"/>
          <w:rFonts w:asciiTheme="majorBidi" w:hAnsiTheme="majorBidi" w:cstheme="majorBidi"/>
          <w:color w:val="000000" w:themeColor="text1"/>
          <w:sz w:val="24"/>
          <w:szCs w:val="24"/>
          <w:u w:val="none"/>
        </w:rPr>
        <w:t>, 1478155.</w:t>
      </w:r>
      <w:r w:rsidRPr="00A202DA">
        <w:rPr>
          <w:color w:val="000000" w:themeColor="text1"/>
        </w:rPr>
        <w:t xml:space="preserve"> </w:t>
      </w:r>
      <w:hyperlink r:id="rId32" w:history="1">
        <w:r w:rsidRPr="00A202DA">
          <w:rPr>
            <w:rStyle w:val="Hyperlink"/>
            <w:rFonts w:asciiTheme="majorBidi" w:hAnsiTheme="majorBidi" w:cstheme="majorBidi"/>
            <w:color w:val="000000" w:themeColor="text1"/>
            <w:sz w:val="24"/>
            <w:szCs w:val="24"/>
            <w:u w:val="none"/>
          </w:rPr>
          <w:t>https://doi.org/10.3389/fnut.2024.1478155</w:t>
        </w:r>
      </w:hyperlink>
    </w:p>
    <w:p w14:paraId="2F8E4E31"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Okechukwu, C. O., Okoye, J. I., </w:t>
      </w:r>
      <w:proofErr w:type="spellStart"/>
      <w:r w:rsidRPr="00A202DA">
        <w:rPr>
          <w:rFonts w:asciiTheme="majorBidi" w:hAnsiTheme="majorBidi" w:cstheme="majorBidi"/>
          <w:color w:val="000000" w:themeColor="text1"/>
          <w:sz w:val="24"/>
          <w:szCs w:val="24"/>
        </w:rPr>
        <w:t>Egbujie</w:t>
      </w:r>
      <w:proofErr w:type="spellEnd"/>
      <w:r w:rsidRPr="00A202DA">
        <w:rPr>
          <w:rFonts w:asciiTheme="majorBidi" w:hAnsiTheme="majorBidi" w:cstheme="majorBidi"/>
          <w:color w:val="000000" w:themeColor="text1"/>
          <w:sz w:val="24"/>
          <w:szCs w:val="24"/>
        </w:rPr>
        <w:t>, A. E., Odo, P. C., &amp; Eze, S. I. (2024). Evaluation of the effects of thermal processing treatments on the nutrient and antinutrient composition of pigeon pea (</w:t>
      </w:r>
      <w:proofErr w:type="spellStart"/>
      <w:r w:rsidRPr="00A202DA">
        <w:rPr>
          <w:rFonts w:asciiTheme="majorBidi" w:hAnsiTheme="majorBidi" w:cstheme="majorBidi"/>
          <w:i/>
          <w:iCs/>
          <w:color w:val="000000" w:themeColor="text1"/>
          <w:sz w:val="24"/>
          <w:szCs w:val="24"/>
        </w:rPr>
        <w:t>Cajanus</w:t>
      </w:r>
      <w:proofErr w:type="spellEnd"/>
      <w:r w:rsidRPr="00A202DA">
        <w:rPr>
          <w:rFonts w:asciiTheme="majorBidi" w:hAnsiTheme="majorBidi" w:cstheme="majorBidi"/>
          <w:i/>
          <w:iCs/>
          <w:color w:val="000000" w:themeColor="text1"/>
          <w:sz w:val="24"/>
          <w:szCs w:val="24"/>
        </w:rPr>
        <w:t xml:space="preserve"> </w:t>
      </w:r>
      <w:proofErr w:type="spellStart"/>
      <w:r w:rsidRPr="00A202DA">
        <w:rPr>
          <w:rFonts w:asciiTheme="majorBidi" w:hAnsiTheme="majorBidi" w:cstheme="majorBidi"/>
          <w:i/>
          <w:iCs/>
          <w:color w:val="000000" w:themeColor="text1"/>
          <w:sz w:val="24"/>
          <w:szCs w:val="24"/>
        </w:rPr>
        <w:t>cajan</w:t>
      </w:r>
      <w:proofErr w:type="spellEnd"/>
      <w:r w:rsidRPr="00A202DA">
        <w:rPr>
          <w:rFonts w:asciiTheme="majorBidi" w:hAnsiTheme="majorBidi" w:cstheme="majorBidi"/>
          <w:color w:val="000000" w:themeColor="text1"/>
          <w:sz w:val="24"/>
          <w:szCs w:val="24"/>
        </w:rPr>
        <w:t xml:space="preserve">) seed flours. </w:t>
      </w:r>
      <w:r w:rsidR="00DB7A32" w:rsidRPr="00DB7A32">
        <w:rPr>
          <w:rFonts w:asciiTheme="majorBidi" w:hAnsiTheme="majorBidi" w:cstheme="majorBidi"/>
          <w:i/>
          <w:iCs/>
          <w:color w:val="000000" w:themeColor="text1"/>
          <w:sz w:val="24"/>
          <w:szCs w:val="24"/>
        </w:rPr>
        <w:t>International Journal of Life Science and Agriculture Research</w:t>
      </w:r>
      <w:r w:rsidR="00DB7A32">
        <w:rPr>
          <w:rFonts w:asciiTheme="majorBidi" w:hAnsiTheme="majorBidi" w:cstheme="majorBidi"/>
          <w:color w:val="000000" w:themeColor="text1"/>
          <w:sz w:val="24"/>
          <w:szCs w:val="24"/>
        </w:rPr>
        <w:t>,</w:t>
      </w:r>
      <w:r w:rsidR="00DB7A32" w:rsidRPr="00DB7A32">
        <w:rPr>
          <w:rFonts w:asciiTheme="majorBidi" w:hAnsiTheme="majorBidi" w:cstheme="majorBidi"/>
          <w:color w:val="000000" w:themeColor="text1"/>
          <w:sz w:val="24"/>
          <w:szCs w:val="24"/>
        </w:rPr>
        <w:t xml:space="preserve"> </w:t>
      </w:r>
      <w:r w:rsidR="00DB7A32" w:rsidRPr="00DB7A32">
        <w:rPr>
          <w:rFonts w:asciiTheme="majorBidi" w:hAnsiTheme="majorBidi" w:cstheme="majorBidi"/>
          <w:i/>
          <w:iCs/>
          <w:color w:val="000000" w:themeColor="text1"/>
          <w:sz w:val="24"/>
          <w:szCs w:val="24"/>
        </w:rPr>
        <w:t>03</w:t>
      </w:r>
      <w:r w:rsidRPr="00DB7A32">
        <w:rPr>
          <w:rFonts w:asciiTheme="majorBidi" w:hAnsiTheme="majorBidi" w:cstheme="majorBidi"/>
          <w:i/>
          <w:iCs/>
          <w:color w:val="000000" w:themeColor="text1"/>
          <w:sz w:val="24"/>
          <w:szCs w:val="24"/>
        </w:rPr>
        <w:t>(11)</w:t>
      </w:r>
      <w:r w:rsidRPr="00A202DA">
        <w:rPr>
          <w:rFonts w:asciiTheme="majorBidi" w:hAnsiTheme="majorBidi" w:cstheme="majorBidi"/>
          <w:color w:val="000000" w:themeColor="text1"/>
          <w:sz w:val="24"/>
          <w:szCs w:val="24"/>
        </w:rPr>
        <w:t xml:space="preserve">, 853-864 </w:t>
      </w:r>
      <w:hyperlink r:id="rId33" w:history="1">
        <w:r w:rsidRPr="00A202DA">
          <w:rPr>
            <w:rStyle w:val="Hyperlink"/>
            <w:rFonts w:asciiTheme="majorBidi" w:hAnsiTheme="majorBidi" w:cstheme="majorBidi"/>
            <w:color w:val="000000" w:themeColor="text1"/>
            <w:sz w:val="24"/>
            <w:szCs w:val="24"/>
            <w:u w:val="none"/>
          </w:rPr>
          <w:t>https://doi.org/10.55677/ijlsar/V03I11Y2024-04</w:t>
        </w:r>
      </w:hyperlink>
    </w:p>
    <w:p w14:paraId="06FABB39"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Olagunju, A. I., </w:t>
      </w:r>
      <w:proofErr w:type="spellStart"/>
      <w:r w:rsidRPr="00A202DA">
        <w:rPr>
          <w:rFonts w:asciiTheme="majorBidi" w:hAnsiTheme="majorBidi" w:cstheme="majorBidi"/>
          <w:color w:val="000000" w:themeColor="text1"/>
          <w:sz w:val="24"/>
          <w:szCs w:val="24"/>
          <w:shd w:val="clear" w:color="auto" w:fill="FFFFFF"/>
        </w:rPr>
        <w:t>Omoba</w:t>
      </w:r>
      <w:proofErr w:type="spellEnd"/>
      <w:r w:rsidRPr="00A202DA">
        <w:rPr>
          <w:rFonts w:asciiTheme="majorBidi" w:hAnsiTheme="majorBidi" w:cstheme="majorBidi"/>
          <w:color w:val="000000" w:themeColor="text1"/>
          <w:sz w:val="24"/>
          <w:szCs w:val="24"/>
          <w:shd w:val="clear" w:color="auto" w:fill="FFFFFF"/>
        </w:rPr>
        <w:t xml:space="preserve">, O. S., </w:t>
      </w:r>
      <w:proofErr w:type="spellStart"/>
      <w:r w:rsidRPr="00A202DA">
        <w:rPr>
          <w:rFonts w:asciiTheme="majorBidi" w:hAnsiTheme="majorBidi" w:cstheme="majorBidi"/>
          <w:color w:val="000000" w:themeColor="text1"/>
          <w:sz w:val="24"/>
          <w:szCs w:val="24"/>
          <w:shd w:val="clear" w:color="auto" w:fill="FFFFFF"/>
        </w:rPr>
        <w:t>Enujiugha</w:t>
      </w:r>
      <w:proofErr w:type="spellEnd"/>
      <w:r w:rsidRPr="00A202DA">
        <w:rPr>
          <w:rFonts w:asciiTheme="majorBidi" w:hAnsiTheme="majorBidi" w:cstheme="majorBidi"/>
          <w:color w:val="000000" w:themeColor="text1"/>
          <w:sz w:val="24"/>
          <w:szCs w:val="24"/>
          <w:shd w:val="clear" w:color="auto" w:fill="FFFFFF"/>
        </w:rPr>
        <w:t xml:space="preserve">, V. N., &amp; Aluko, R. E. (2018). Development of value‐added nutritious crackers with high antidiabetic properties from blends of </w:t>
      </w:r>
      <w:proofErr w:type="spellStart"/>
      <w:r w:rsidRPr="00A202DA">
        <w:rPr>
          <w:rFonts w:asciiTheme="majorBidi" w:hAnsiTheme="majorBidi" w:cstheme="majorBidi"/>
          <w:color w:val="000000" w:themeColor="text1"/>
          <w:sz w:val="24"/>
          <w:szCs w:val="24"/>
          <w:shd w:val="clear" w:color="auto" w:fill="FFFFFF"/>
        </w:rPr>
        <w:t>Acha</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Digitaria</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exilis</w:t>
      </w:r>
      <w:proofErr w:type="spellEnd"/>
      <w:r w:rsidRPr="00A202DA">
        <w:rPr>
          <w:rFonts w:asciiTheme="majorBidi" w:hAnsiTheme="majorBidi" w:cstheme="majorBidi"/>
          <w:color w:val="000000" w:themeColor="text1"/>
          <w:sz w:val="24"/>
          <w:szCs w:val="24"/>
          <w:shd w:val="clear" w:color="auto" w:fill="FFFFFF"/>
        </w:rPr>
        <w:t>) and blanched Pigeon pea (</w:t>
      </w:r>
      <w:proofErr w:type="spellStart"/>
      <w:r w:rsidRPr="00A202DA">
        <w:rPr>
          <w:rFonts w:asciiTheme="majorBidi" w:hAnsiTheme="majorBidi" w:cstheme="majorBidi"/>
          <w:color w:val="000000" w:themeColor="text1"/>
          <w:sz w:val="24"/>
          <w:szCs w:val="24"/>
          <w:shd w:val="clear" w:color="auto" w:fill="FFFFFF"/>
        </w:rPr>
        <w:t>Cajanus</w:t>
      </w:r>
      <w:proofErr w:type="spellEnd"/>
      <w:r w:rsidRPr="00A202DA">
        <w:rPr>
          <w:rFonts w:asciiTheme="majorBidi" w:hAnsiTheme="majorBidi" w:cstheme="majorBidi"/>
          <w:color w:val="000000" w:themeColor="text1"/>
          <w:sz w:val="24"/>
          <w:szCs w:val="24"/>
          <w:shd w:val="clear" w:color="auto" w:fill="FFFFFF"/>
        </w:rPr>
        <w:t xml:space="preserve"> </w:t>
      </w:r>
      <w:proofErr w:type="spellStart"/>
      <w:r w:rsidRPr="00A202DA">
        <w:rPr>
          <w:rFonts w:asciiTheme="majorBidi" w:hAnsiTheme="majorBidi" w:cstheme="majorBidi"/>
          <w:color w:val="000000" w:themeColor="text1"/>
          <w:sz w:val="24"/>
          <w:szCs w:val="24"/>
          <w:shd w:val="clear" w:color="auto" w:fill="FFFFFF"/>
        </w:rPr>
        <w:t>cajan</w:t>
      </w:r>
      <w:proofErr w:type="spellEnd"/>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Food Science &amp; Nutrition</w:t>
      </w:r>
      <w:r w:rsidRPr="00A202DA">
        <w:rPr>
          <w:rFonts w:asciiTheme="majorBidi" w:hAnsiTheme="majorBidi" w:cstheme="majorBidi"/>
          <w:color w:val="000000" w:themeColor="text1"/>
          <w:sz w:val="24"/>
          <w:szCs w:val="24"/>
          <w:shd w:val="clear" w:color="auto" w:fill="FFFFFF"/>
        </w:rPr>
        <w:t>, </w:t>
      </w:r>
      <w:r w:rsidRPr="00A202DA">
        <w:rPr>
          <w:rFonts w:asciiTheme="majorBidi" w:hAnsiTheme="majorBidi" w:cstheme="majorBidi"/>
          <w:i/>
          <w:iCs/>
          <w:color w:val="000000" w:themeColor="text1"/>
          <w:sz w:val="24"/>
          <w:szCs w:val="24"/>
          <w:shd w:val="clear" w:color="auto" w:fill="FFFFFF"/>
        </w:rPr>
        <w:t>6</w:t>
      </w:r>
      <w:r w:rsidRPr="00A202DA">
        <w:rPr>
          <w:rFonts w:asciiTheme="majorBidi" w:hAnsiTheme="majorBidi" w:cstheme="majorBidi"/>
          <w:color w:val="000000" w:themeColor="text1"/>
          <w:sz w:val="24"/>
          <w:szCs w:val="24"/>
          <w:shd w:val="clear" w:color="auto" w:fill="FFFFFF"/>
        </w:rPr>
        <w:t>(7), 1791-1802.</w:t>
      </w:r>
      <w:r w:rsidRPr="00A202DA">
        <w:rPr>
          <w:color w:val="000000" w:themeColor="text1"/>
        </w:rPr>
        <w:t xml:space="preserve"> </w:t>
      </w:r>
      <w:hyperlink r:id="rId34" w:history="1">
        <w:r w:rsidRPr="00A202DA">
          <w:rPr>
            <w:rStyle w:val="Hyperlink"/>
            <w:rFonts w:asciiTheme="majorBidi" w:hAnsiTheme="majorBidi" w:cstheme="majorBidi"/>
            <w:color w:val="000000" w:themeColor="text1"/>
            <w:sz w:val="24"/>
            <w:szCs w:val="24"/>
            <w:u w:val="none"/>
            <w:shd w:val="clear" w:color="auto" w:fill="FFFFFF"/>
          </w:rPr>
          <w:t>https://doi.org/10.1002/fsn3.748</w:t>
        </w:r>
      </w:hyperlink>
    </w:p>
    <w:p w14:paraId="663F3DF7"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t xml:space="preserve">Popova, A., &amp; </w:t>
      </w:r>
      <w:proofErr w:type="spellStart"/>
      <w:r w:rsidRPr="00A202DA">
        <w:rPr>
          <w:rFonts w:asciiTheme="majorBidi" w:hAnsiTheme="majorBidi" w:cstheme="majorBidi"/>
          <w:color w:val="000000" w:themeColor="text1"/>
          <w:sz w:val="24"/>
          <w:szCs w:val="24"/>
          <w:shd w:val="clear" w:color="auto" w:fill="FFFFFF"/>
        </w:rPr>
        <w:t>Mihaylova</w:t>
      </w:r>
      <w:proofErr w:type="spellEnd"/>
      <w:r w:rsidRPr="00A202DA">
        <w:rPr>
          <w:rFonts w:asciiTheme="majorBidi" w:hAnsiTheme="majorBidi" w:cstheme="majorBidi"/>
          <w:color w:val="000000" w:themeColor="text1"/>
          <w:sz w:val="24"/>
          <w:szCs w:val="24"/>
          <w:shd w:val="clear" w:color="auto" w:fill="FFFFFF"/>
        </w:rPr>
        <w:t xml:space="preserve">, D. (2019). Antinutrients in plant-based foods: A review. </w:t>
      </w:r>
      <w:r w:rsidRPr="00DB7A32">
        <w:rPr>
          <w:rFonts w:asciiTheme="majorBidi" w:hAnsiTheme="majorBidi" w:cstheme="majorBidi"/>
          <w:i/>
          <w:iCs/>
          <w:color w:val="000000" w:themeColor="text1"/>
          <w:sz w:val="24"/>
          <w:szCs w:val="24"/>
          <w:shd w:val="clear" w:color="auto" w:fill="FFFFFF"/>
        </w:rPr>
        <w:t>The Open Biotechnology Journal,</w:t>
      </w:r>
      <w:r w:rsidRPr="00A202DA">
        <w:rPr>
          <w:rFonts w:asciiTheme="majorBidi" w:hAnsiTheme="majorBidi" w:cstheme="majorBidi"/>
          <w:color w:val="000000" w:themeColor="text1"/>
          <w:sz w:val="24"/>
          <w:szCs w:val="24"/>
          <w:shd w:val="clear" w:color="auto" w:fill="FFFFFF"/>
        </w:rPr>
        <w:t xml:space="preserve"> </w:t>
      </w:r>
      <w:r w:rsidRPr="00DB7A32">
        <w:rPr>
          <w:rFonts w:asciiTheme="majorBidi" w:hAnsiTheme="majorBidi" w:cstheme="majorBidi"/>
          <w:i/>
          <w:iCs/>
          <w:color w:val="000000" w:themeColor="text1"/>
          <w:sz w:val="24"/>
          <w:szCs w:val="24"/>
          <w:shd w:val="clear" w:color="auto" w:fill="FFFFFF"/>
        </w:rPr>
        <w:t>13(1)</w:t>
      </w:r>
      <w:r w:rsidRPr="00A202DA">
        <w:rPr>
          <w:rFonts w:asciiTheme="majorBidi" w:hAnsiTheme="majorBidi" w:cstheme="majorBidi"/>
          <w:color w:val="000000" w:themeColor="text1"/>
          <w:sz w:val="24"/>
          <w:szCs w:val="24"/>
          <w:shd w:val="clear" w:color="auto" w:fill="FFFFFF"/>
        </w:rPr>
        <w:t>.</w:t>
      </w:r>
      <w:r w:rsidRPr="00A202DA">
        <w:rPr>
          <w:color w:val="000000" w:themeColor="text1"/>
        </w:rPr>
        <w:t xml:space="preserve"> </w:t>
      </w:r>
      <w:r w:rsidRPr="00A202DA">
        <w:rPr>
          <w:rFonts w:asciiTheme="majorBidi" w:hAnsiTheme="majorBidi" w:cstheme="majorBidi"/>
          <w:color w:val="000000" w:themeColor="text1"/>
          <w:sz w:val="24"/>
          <w:szCs w:val="24"/>
        </w:rPr>
        <w:t>68-76.</w:t>
      </w:r>
      <w:r w:rsidRPr="00A202DA">
        <w:rPr>
          <w:color w:val="000000" w:themeColor="text1"/>
        </w:rPr>
        <w:t xml:space="preserve"> </w:t>
      </w:r>
      <w:hyperlink r:id="rId35" w:history="1">
        <w:r w:rsidRPr="00A202DA">
          <w:rPr>
            <w:rStyle w:val="Hyperlink"/>
            <w:rFonts w:asciiTheme="majorBidi" w:hAnsiTheme="majorBidi" w:cstheme="majorBidi"/>
            <w:color w:val="000000" w:themeColor="text1"/>
            <w:sz w:val="24"/>
            <w:szCs w:val="24"/>
            <w:u w:val="none"/>
            <w:shd w:val="clear" w:color="auto" w:fill="FFFFFF"/>
          </w:rPr>
          <w:t>https://doi.org/10.2174/1874070701913010068</w:t>
        </w:r>
      </w:hyperlink>
    </w:p>
    <w:p w14:paraId="72D76310"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Rizvi, Q. U. E. H., Kumar, K., Ahmed, N., Yadav, A. N., Chauhan, D., Thakur, P., ... &amp; Sheikh, I. (2022). Influence of soaking and germination treatments on the nutritional, antinutritional, and bioactive composition of pigeon pea (</w:t>
      </w:r>
      <w:proofErr w:type="spellStart"/>
      <w:r w:rsidRPr="00DB7A32">
        <w:rPr>
          <w:rFonts w:asciiTheme="majorBidi" w:hAnsiTheme="majorBidi" w:cstheme="majorBidi"/>
          <w:i/>
          <w:iCs/>
          <w:color w:val="000000" w:themeColor="text1"/>
          <w:sz w:val="24"/>
          <w:szCs w:val="24"/>
        </w:rPr>
        <w:t>Cajanus</w:t>
      </w:r>
      <w:proofErr w:type="spellEnd"/>
      <w:r w:rsidRPr="00DB7A32">
        <w:rPr>
          <w:rFonts w:asciiTheme="majorBidi" w:hAnsiTheme="majorBidi" w:cstheme="majorBidi"/>
          <w:i/>
          <w:iCs/>
          <w:color w:val="000000" w:themeColor="text1"/>
          <w:sz w:val="24"/>
          <w:szCs w:val="24"/>
        </w:rPr>
        <w:t xml:space="preserve"> </w:t>
      </w:r>
      <w:proofErr w:type="spellStart"/>
      <w:r w:rsidRPr="00DB7A32">
        <w:rPr>
          <w:rFonts w:asciiTheme="majorBidi" w:hAnsiTheme="majorBidi" w:cstheme="majorBidi"/>
          <w:i/>
          <w:iCs/>
          <w:color w:val="000000" w:themeColor="text1"/>
          <w:sz w:val="24"/>
          <w:szCs w:val="24"/>
        </w:rPr>
        <w:t>cajan</w:t>
      </w:r>
      <w:proofErr w:type="spellEnd"/>
      <w:r w:rsidRPr="00A202DA">
        <w:rPr>
          <w:rFonts w:asciiTheme="majorBidi" w:hAnsiTheme="majorBidi" w:cstheme="majorBidi"/>
          <w:color w:val="000000" w:themeColor="text1"/>
          <w:sz w:val="24"/>
          <w:szCs w:val="24"/>
        </w:rPr>
        <w:t xml:space="preserve"> L.). </w:t>
      </w:r>
      <w:r w:rsidRPr="00DB7A32">
        <w:rPr>
          <w:rFonts w:asciiTheme="majorBidi" w:hAnsiTheme="majorBidi" w:cstheme="majorBidi"/>
          <w:i/>
          <w:iCs/>
          <w:color w:val="000000" w:themeColor="text1"/>
          <w:sz w:val="24"/>
          <w:szCs w:val="24"/>
        </w:rPr>
        <w:t>J</w:t>
      </w:r>
      <w:r w:rsidR="00DB7A32" w:rsidRPr="00DB7A32">
        <w:rPr>
          <w:rFonts w:asciiTheme="majorBidi" w:hAnsiTheme="majorBidi" w:cstheme="majorBidi"/>
          <w:i/>
          <w:iCs/>
          <w:color w:val="000000" w:themeColor="text1"/>
          <w:sz w:val="24"/>
          <w:szCs w:val="24"/>
        </w:rPr>
        <w:t>ournal of</w:t>
      </w:r>
      <w:r w:rsidRPr="00DB7A32">
        <w:rPr>
          <w:rFonts w:asciiTheme="majorBidi" w:hAnsiTheme="majorBidi" w:cstheme="majorBidi"/>
          <w:i/>
          <w:iCs/>
          <w:color w:val="000000" w:themeColor="text1"/>
          <w:sz w:val="24"/>
          <w:szCs w:val="24"/>
        </w:rPr>
        <w:t xml:space="preserve"> </w:t>
      </w:r>
      <w:r w:rsidR="00DB7A32" w:rsidRPr="00DB7A32">
        <w:rPr>
          <w:rFonts w:asciiTheme="majorBidi" w:hAnsiTheme="majorBidi" w:cstheme="majorBidi"/>
          <w:i/>
          <w:iCs/>
          <w:color w:val="000000" w:themeColor="text1"/>
          <w:sz w:val="24"/>
          <w:szCs w:val="24"/>
        </w:rPr>
        <w:t>Applied Biology Biotechnology</w:t>
      </w:r>
      <w:r w:rsidRPr="00A202DA">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10(3)</w:t>
      </w:r>
      <w:r w:rsidRPr="00A202DA">
        <w:rPr>
          <w:rFonts w:asciiTheme="majorBidi" w:hAnsiTheme="majorBidi" w:cstheme="majorBidi"/>
          <w:color w:val="000000" w:themeColor="text1"/>
          <w:sz w:val="24"/>
          <w:szCs w:val="24"/>
        </w:rPr>
        <w:t xml:space="preserve">, 127-134. </w:t>
      </w:r>
      <w:hyperlink r:id="rId36" w:history="1">
        <w:r w:rsidRPr="00A202DA">
          <w:rPr>
            <w:rStyle w:val="Hyperlink"/>
            <w:rFonts w:asciiTheme="majorBidi" w:hAnsiTheme="majorBidi" w:cstheme="majorBidi"/>
            <w:color w:val="000000" w:themeColor="text1"/>
            <w:sz w:val="24"/>
            <w:szCs w:val="24"/>
            <w:u w:val="none"/>
          </w:rPr>
          <w:t>https://doi.org/10.7324/JABB.2022.100317</w:t>
        </w:r>
      </w:hyperlink>
    </w:p>
    <w:p w14:paraId="66927926"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lastRenderedPageBreak/>
        <w:t>Samtiya</w:t>
      </w:r>
      <w:proofErr w:type="spellEnd"/>
      <w:r w:rsidRPr="00A202DA">
        <w:rPr>
          <w:rStyle w:val="Hyperlink"/>
          <w:rFonts w:asciiTheme="majorBidi" w:hAnsiTheme="majorBidi" w:cstheme="majorBidi"/>
          <w:color w:val="000000" w:themeColor="text1"/>
          <w:sz w:val="24"/>
          <w:szCs w:val="24"/>
          <w:u w:val="none"/>
        </w:rPr>
        <w:t xml:space="preserve">, M., Aluko, R. E., &amp; Dhewa, T. (2020). Plant food antinutritional factors and their reduction strategies: an overview. </w:t>
      </w:r>
      <w:r w:rsidRPr="00DB7A32">
        <w:rPr>
          <w:rStyle w:val="Hyperlink"/>
          <w:rFonts w:asciiTheme="majorBidi" w:hAnsiTheme="majorBidi" w:cstheme="majorBidi"/>
          <w:i/>
          <w:iCs/>
          <w:color w:val="000000" w:themeColor="text1"/>
          <w:sz w:val="24"/>
          <w:szCs w:val="24"/>
          <w:u w:val="none"/>
        </w:rPr>
        <w:t>Food Production, Processing and Nutrition</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2(1)</w:t>
      </w:r>
      <w:r w:rsidRPr="00A202DA">
        <w:rPr>
          <w:rStyle w:val="Hyperlink"/>
          <w:rFonts w:asciiTheme="majorBidi" w:hAnsiTheme="majorBidi" w:cstheme="majorBidi"/>
          <w:color w:val="000000" w:themeColor="text1"/>
          <w:sz w:val="24"/>
          <w:szCs w:val="24"/>
          <w:u w:val="none"/>
        </w:rPr>
        <w:t xml:space="preserve">, </w:t>
      </w:r>
      <w:r w:rsidR="00DB7A32">
        <w:rPr>
          <w:rStyle w:val="Hyperlink"/>
          <w:rFonts w:asciiTheme="majorBidi" w:hAnsiTheme="majorBidi" w:cstheme="majorBidi"/>
          <w:color w:val="000000" w:themeColor="text1"/>
          <w:sz w:val="24"/>
          <w:szCs w:val="24"/>
          <w:u w:val="none"/>
        </w:rPr>
        <w:t>1-14.</w:t>
      </w:r>
      <w:r w:rsidRPr="00A202DA">
        <w:rPr>
          <w:color w:val="000000" w:themeColor="text1"/>
        </w:rPr>
        <w:t xml:space="preserve"> </w:t>
      </w:r>
      <w:hyperlink r:id="rId37" w:history="1">
        <w:r w:rsidRPr="00A202DA">
          <w:rPr>
            <w:rStyle w:val="Hyperlink"/>
            <w:rFonts w:asciiTheme="majorBidi" w:hAnsiTheme="majorBidi" w:cstheme="majorBidi"/>
            <w:color w:val="000000" w:themeColor="text1"/>
            <w:sz w:val="24"/>
            <w:szCs w:val="24"/>
            <w:u w:val="none"/>
          </w:rPr>
          <w:t>https://doi.org/10.1186/s43014- 020- 0020- 5</w:t>
        </w:r>
      </w:hyperlink>
    </w:p>
    <w:p w14:paraId="10436A8E"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Savard, C., Lemieux, S., </w:t>
      </w:r>
      <w:proofErr w:type="spellStart"/>
      <w:r w:rsidRPr="00A202DA">
        <w:rPr>
          <w:rStyle w:val="Hyperlink"/>
          <w:rFonts w:asciiTheme="majorBidi" w:hAnsiTheme="majorBidi" w:cstheme="majorBidi"/>
          <w:color w:val="000000" w:themeColor="text1"/>
          <w:sz w:val="24"/>
          <w:szCs w:val="24"/>
          <w:u w:val="none"/>
        </w:rPr>
        <w:t>Weisnagel</w:t>
      </w:r>
      <w:proofErr w:type="spellEnd"/>
      <w:r w:rsidRPr="00A202DA">
        <w:rPr>
          <w:rStyle w:val="Hyperlink"/>
          <w:rFonts w:asciiTheme="majorBidi" w:hAnsiTheme="majorBidi" w:cstheme="majorBidi"/>
          <w:color w:val="000000" w:themeColor="text1"/>
          <w:sz w:val="24"/>
          <w:szCs w:val="24"/>
          <w:u w:val="none"/>
        </w:rPr>
        <w:t xml:space="preserve">, S.J., Fontaine-Bisson, B., Gagnon, C., Robitaille, J., &amp; </w:t>
      </w:r>
      <w:proofErr w:type="spellStart"/>
      <w:r w:rsidRPr="00A202DA">
        <w:rPr>
          <w:rStyle w:val="Hyperlink"/>
          <w:rFonts w:asciiTheme="majorBidi" w:hAnsiTheme="majorBidi" w:cstheme="majorBidi"/>
          <w:color w:val="000000" w:themeColor="text1"/>
          <w:sz w:val="24"/>
          <w:szCs w:val="24"/>
          <w:u w:val="none"/>
        </w:rPr>
        <w:t>Morisset</w:t>
      </w:r>
      <w:proofErr w:type="spellEnd"/>
      <w:r w:rsidRPr="00A202DA">
        <w:rPr>
          <w:rStyle w:val="Hyperlink"/>
          <w:rFonts w:asciiTheme="majorBidi" w:hAnsiTheme="majorBidi" w:cstheme="majorBidi"/>
          <w:color w:val="000000" w:themeColor="text1"/>
          <w:sz w:val="24"/>
          <w:szCs w:val="24"/>
          <w:u w:val="none"/>
        </w:rPr>
        <w:t xml:space="preserve">, A.S. (2019). Trimester-specific Dietary intakes in a sample of French-Canadian pregnant women in comparison with national nutritional guidelines. </w:t>
      </w:r>
      <w:r w:rsidRPr="00DB7A32">
        <w:rPr>
          <w:rStyle w:val="Hyperlink"/>
          <w:rFonts w:asciiTheme="majorBidi" w:hAnsiTheme="majorBidi" w:cstheme="majorBidi"/>
          <w:i/>
          <w:iCs/>
          <w:color w:val="000000" w:themeColor="text1"/>
          <w:sz w:val="24"/>
          <w:szCs w:val="24"/>
          <w:u w:val="none"/>
        </w:rPr>
        <w:t>Nutrients</w:t>
      </w:r>
      <w:r w:rsidRPr="00A202DA">
        <w:rPr>
          <w:rStyle w:val="Hyperlink"/>
          <w:rFonts w:asciiTheme="majorBidi" w:hAnsiTheme="majorBidi" w:cstheme="majorBidi"/>
          <w:color w:val="000000" w:themeColor="text1"/>
          <w:sz w:val="24"/>
          <w:szCs w:val="24"/>
          <w:u w:val="none"/>
        </w:rPr>
        <w:t xml:space="preserve">, 11(1), 84. </w:t>
      </w:r>
      <w:hyperlink r:id="rId38" w:history="1">
        <w:r w:rsidRPr="00A202DA">
          <w:rPr>
            <w:rStyle w:val="Hyperlink"/>
            <w:rFonts w:asciiTheme="majorBidi" w:hAnsiTheme="majorBidi" w:cstheme="majorBidi"/>
            <w:color w:val="000000" w:themeColor="text1"/>
            <w:sz w:val="24"/>
            <w:szCs w:val="24"/>
            <w:u w:val="none"/>
          </w:rPr>
          <w:t>https://doi.org/10.3390/nu11010084</w:t>
        </w:r>
      </w:hyperlink>
    </w:p>
    <w:p w14:paraId="0A832DEF"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Shan, Y., &amp; Tian, S. (2022). Effects of Antinutritional Factors on the Digestibility, Bioavailability, and Quality of Protein. In </w:t>
      </w:r>
      <w:r w:rsidRPr="00A202DA">
        <w:rPr>
          <w:rFonts w:asciiTheme="majorBidi" w:hAnsiTheme="majorBidi" w:cstheme="majorBidi"/>
          <w:i/>
          <w:iCs/>
          <w:color w:val="000000" w:themeColor="text1"/>
          <w:sz w:val="24"/>
          <w:szCs w:val="24"/>
        </w:rPr>
        <w:t>Nutritional Toxicology</w:t>
      </w:r>
      <w:r w:rsidRPr="00A202DA">
        <w:rPr>
          <w:rFonts w:asciiTheme="majorBidi" w:hAnsiTheme="majorBidi" w:cstheme="majorBidi"/>
          <w:color w:val="000000" w:themeColor="text1"/>
          <w:sz w:val="24"/>
          <w:szCs w:val="24"/>
        </w:rPr>
        <w:t xml:space="preserve">. Singapore: Springer Nature, Singapore, pp. 43-52. </w:t>
      </w:r>
      <w:hyperlink r:id="rId39" w:history="1">
        <w:r w:rsidR="003C63A8" w:rsidRPr="00494E18">
          <w:rPr>
            <w:rStyle w:val="Hyperlink"/>
            <w:rFonts w:asciiTheme="majorBidi" w:hAnsiTheme="majorBidi" w:cstheme="majorBidi"/>
            <w:sz w:val="24"/>
            <w:szCs w:val="24"/>
          </w:rPr>
          <w:t>https://doi.org/10.1007/978-981-19-0872-9_3</w:t>
        </w:r>
      </w:hyperlink>
    </w:p>
    <w:p w14:paraId="18DE11E8"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Singh, A. K., Rehal, J., Kaur, A., &amp; Jyot, G. (2015). Enhancement of attributes of cereals by germination and fermentation: a review. </w:t>
      </w:r>
      <w:r w:rsidRPr="00DB7A32">
        <w:rPr>
          <w:rStyle w:val="Hyperlink"/>
          <w:rFonts w:asciiTheme="majorBidi" w:hAnsiTheme="majorBidi" w:cstheme="majorBidi"/>
          <w:i/>
          <w:iCs/>
          <w:color w:val="000000" w:themeColor="text1"/>
          <w:sz w:val="24"/>
          <w:szCs w:val="24"/>
          <w:u w:val="none"/>
        </w:rPr>
        <w:t>Critical Reviews in Food Science and Nutrition</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55(11)</w:t>
      </w:r>
      <w:r w:rsidRPr="00A202DA">
        <w:rPr>
          <w:rStyle w:val="Hyperlink"/>
          <w:rFonts w:asciiTheme="majorBidi" w:hAnsiTheme="majorBidi" w:cstheme="majorBidi"/>
          <w:color w:val="000000" w:themeColor="text1"/>
          <w:sz w:val="24"/>
          <w:szCs w:val="24"/>
          <w:u w:val="none"/>
        </w:rPr>
        <w:t>, 1575-1589.</w:t>
      </w:r>
      <w:r w:rsidRPr="00A202DA">
        <w:rPr>
          <w:color w:val="000000" w:themeColor="text1"/>
        </w:rPr>
        <w:t xml:space="preserve"> </w:t>
      </w:r>
      <w:hyperlink r:id="rId40" w:history="1">
        <w:r w:rsidRPr="00A202DA">
          <w:rPr>
            <w:rStyle w:val="Hyperlink"/>
            <w:rFonts w:asciiTheme="majorBidi" w:hAnsiTheme="majorBidi" w:cstheme="majorBidi"/>
            <w:color w:val="000000" w:themeColor="text1"/>
            <w:sz w:val="24"/>
            <w:szCs w:val="24"/>
            <w:u w:val="none"/>
          </w:rPr>
          <w:t>https://doi.org/10.1080/10408398.2012.706661</w:t>
        </w:r>
      </w:hyperlink>
    </w:p>
    <w:p w14:paraId="22AA840E"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Singh, S., Habib, M., Mondal, D., Thakur, M., Kumar, Y., Bashir, K., ... &amp; Jan, K. (2024). Effects of germination on the physicochemical, thermal, in vitro protein digestibility, Antinutrients, and antioxidant properties of sorghum flour. </w:t>
      </w:r>
      <w:r w:rsidRPr="00DB7A32">
        <w:rPr>
          <w:rFonts w:asciiTheme="majorBidi" w:hAnsiTheme="majorBidi" w:cstheme="majorBidi"/>
          <w:i/>
          <w:iCs/>
          <w:color w:val="000000" w:themeColor="text1"/>
          <w:sz w:val="24"/>
          <w:szCs w:val="24"/>
        </w:rPr>
        <w:t>International Journal of Food Science and Technology</w:t>
      </w:r>
      <w:r w:rsidRPr="00A202DA">
        <w:rPr>
          <w:rFonts w:asciiTheme="majorBidi" w:hAnsiTheme="majorBidi" w:cstheme="majorBidi"/>
          <w:color w:val="000000" w:themeColor="text1"/>
          <w:sz w:val="24"/>
          <w:szCs w:val="24"/>
        </w:rPr>
        <w:t xml:space="preserve">, 59(9), 6513-6521. </w:t>
      </w:r>
      <w:hyperlink r:id="rId41" w:history="1">
        <w:r w:rsidRPr="00A202DA">
          <w:rPr>
            <w:rStyle w:val="Hyperlink"/>
            <w:rFonts w:asciiTheme="majorBidi" w:hAnsiTheme="majorBidi" w:cstheme="majorBidi"/>
            <w:color w:val="000000" w:themeColor="text1"/>
            <w:sz w:val="24"/>
            <w:szCs w:val="24"/>
            <w:u w:val="none"/>
          </w:rPr>
          <w:t>https://doi.org/10.1111/ijfs.17399</w:t>
        </w:r>
      </w:hyperlink>
    </w:p>
    <w:p w14:paraId="3A627D84" w14:textId="77777777" w:rsidR="00960507"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r w:rsidRPr="00A202DA">
        <w:rPr>
          <w:rStyle w:val="Hyperlink"/>
          <w:rFonts w:asciiTheme="majorBidi" w:hAnsiTheme="majorBidi" w:cstheme="majorBidi"/>
          <w:color w:val="000000" w:themeColor="text1"/>
          <w:sz w:val="24"/>
          <w:szCs w:val="24"/>
          <w:u w:val="none"/>
        </w:rPr>
        <w:t xml:space="preserve">Siqueira, A.C.O., </w:t>
      </w:r>
      <w:proofErr w:type="spellStart"/>
      <w:r w:rsidRPr="00A202DA">
        <w:rPr>
          <w:rStyle w:val="Hyperlink"/>
          <w:rFonts w:asciiTheme="majorBidi" w:hAnsiTheme="majorBidi" w:cstheme="majorBidi"/>
          <w:color w:val="000000" w:themeColor="text1"/>
          <w:sz w:val="24"/>
          <w:szCs w:val="24"/>
          <w:u w:val="none"/>
        </w:rPr>
        <w:t>Mascarin</w:t>
      </w:r>
      <w:proofErr w:type="spellEnd"/>
      <w:r w:rsidRPr="00A202DA">
        <w:rPr>
          <w:rStyle w:val="Hyperlink"/>
          <w:rFonts w:asciiTheme="majorBidi" w:hAnsiTheme="majorBidi" w:cstheme="majorBidi"/>
          <w:color w:val="000000" w:themeColor="text1"/>
          <w:sz w:val="24"/>
          <w:szCs w:val="24"/>
          <w:u w:val="none"/>
        </w:rPr>
        <w:t xml:space="preserve">, G.M., Gonçalves, C.R.N.C.B., Marcon, J., </w:t>
      </w:r>
      <w:proofErr w:type="spellStart"/>
      <w:r w:rsidRPr="00A202DA">
        <w:rPr>
          <w:rStyle w:val="Hyperlink"/>
          <w:rFonts w:asciiTheme="majorBidi" w:hAnsiTheme="majorBidi" w:cstheme="majorBidi"/>
          <w:color w:val="000000" w:themeColor="text1"/>
          <w:sz w:val="24"/>
          <w:szCs w:val="24"/>
          <w:u w:val="none"/>
        </w:rPr>
        <w:t>Quecine</w:t>
      </w:r>
      <w:proofErr w:type="spellEnd"/>
      <w:r w:rsidRPr="00A202DA">
        <w:rPr>
          <w:rStyle w:val="Hyperlink"/>
          <w:rFonts w:asciiTheme="majorBidi" w:hAnsiTheme="majorBidi" w:cstheme="majorBidi"/>
          <w:color w:val="000000" w:themeColor="text1"/>
          <w:sz w:val="24"/>
          <w:szCs w:val="24"/>
          <w:u w:val="none"/>
        </w:rPr>
        <w:t xml:space="preserve">, M.C., </w:t>
      </w:r>
      <w:proofErr w:type="spellStart"/>
      <w:r w:rsidRPr="00A202DA">
        <w:rPr>
          <w:rStyle w:val="Hyperlink"/>
          <w:rFonts w:asciiTheme="majorBidi" w:hAnsiTheme="majorBidi" w:cstheme="majorBidi"/>
          <w:color w:val="000000" w:themeColor="text1"/>
          <w:sz w:val="24"/>
          <w:szCs w:val="24"/>
          <w:u w:val="none"/>
        </w:rPr>
        <w:t>Figueira</w:t>
      </w:r>
      <w:proofErr w:type="spellEnd"/>
      <w:r w:rsidRPr="00A202DA">
        <w:rPr>
          <w:rStyle w:val="Hyperlink"/>
          <w:rFonts w:asciiTheme="majorBidi" w:hAnsiTheme="majorBidi" w:cstheme="majorBidi"/>
          <w:color w:val="000000" w:themeColor="text1"/>
          <w:sz w:val="24"/>
          <w:szCs w:val="24"/>
          <w:u w:val="none"/>
        </w:rPr>
        <w:t xml:space="preserve">, A., &amp; </w:t>
      </w:r>
      <w:proofErr w:type="spellStart"/>
      <w:r w:rsidRPr="00A202DA">
        <w:rPr>
          <w:rStyle w:val="Hyperlink"/>
          <w:rFonts w:asciiTheme="majorBidi" w:hAnsiTheme="majorBidi" w:cstheme="majorBidi"/>
          <w:color w:val="000000" w:themeColor="text1"/>
          <w:sz w:val="24"/>
          <w:szCs w:val="24"/>
          <w:u w:val="none"/>
        </w:rPr>
        <w:t>Delalibera</w:t>
      </w:r>
      <w:proofErr w:type="spellEnd"/>
      <w:r w:rsidRPr="00A202DA">
        <w:rPr>
          <w:rStyle w:val="Hyperlink"/>
          <w:rFonts w:asciiTheme="majorBidi" w:hAnsiTheme="majorBidi" w:cstheme="majorBidi"/>
          <w:color w:val="000000" w:themeColor="text1"/>
          <w:sz w:val="24"/>
          <w:szCs w:val="24"/>
          <w:u w:val="none"/>
        </w:rPr>
        <w:t xml:space="preserve">, Í. (2020). Multi-trait biochemical features of Metarhizium species and their activities that stimulate the growth of tomato plants. </w:t>
      </w:r>
      <w:r w:rsidRPr="00DB7A32">
        <w:rPr>
          <w:rStyle w:val="Hyperlink"/>
          <w:rFonts w:asciiTheme="majorBidi" w:hAnsiTheme="majorBidi" w:cstheme="majorBidi"/>
          <w:i/>
          <w:iCs/>
          <w:color w:val="000000" w:themeColor="text1"/>
          <w:sz w:val="24"/>
          <w:szCs w:val="24"/>
          <w:u w:val="none"/>
        </w:rPr>
        <w:t>Frontiers in Sustainable Food Systems</w:t>
      </w:r>
      <w:r w:rsidRPr="00A202DA">
        <w:rPr>
          <w:rStyle w:val="Hyperlink"/>
          <w:rFonts w:asciiTheme="majorBidi" w:hAnsiTheme="majorBidi" w:cstheme="majorBidi"/>
          <w:color w:val="000000" w:themeColor="text1"/>
          <w:sz w:val="24"/>
          <w:szCs w:val="24"/>
          <w:u w:val="none"/>
        </w:rPr>
        <w:t xml:space="preserve">, </w:t>
      </w:r>
      <w:r w:rsidRPr="00DB7A32">
        <w:rPr>
          <w:rStyle w:val="Hyperlink"/>
          <w:rFonts w:asciiTheme="majorBidi" w:hAnsiTheme="majorBidi" w:cstheme="majorBidi"/>
          <w:i/>
          <w:iCs/>
          <w:color w:val="000000" w:themeColor="text1"/>
          <w:sz w:val="24"/>
          <w:szCs w:val="24"/>
          <w:u w:val="none"/>
        </w:rPr>
        <w:t>4</w:t>
      </w:r>
      <w:r w:rsidRPr="00A202DA">
        <w:rPr>
          <w:rStyle w:val="Hyperlink"/>
          <w:rFonts w:asciiTheme="majorBidi" w:hAnsiTheme="majorBidi" w:cstheme="majorBidi"/>
          <w:color w:val="000000" w:themeColor="text1"/>
          <w:sz w:val="24"/>
          <w:szCs w:val="24"/>
          <w:u w:val="none"/>
        </w:rPr>
        <w:t xml:space="preserve">, 535160. </w:t>
      </w:r>
      <w:hyperlink r:id="rId42" w:history="1">
        <w:r w:rsidRPr="00A202DA">
          <w:rPr>
            <w:rStyle w:val="Hyperlink"/>
            <w:rFonts w:asciiTheme="majorBidi" w:hAnsiTheme="majorBidi" w:cstheme="majorBidi"/>
            <w:color w:val="000000" w:themeColor="text1"/>
            <w:sz w:val="24"/>
            <w:szCs w:val="24"/>
            <w:u w:val="none"/>
          </w:rPr>
          <w:t>https://doi.org/10.3389/fsufs.2020.00137</w:t>
        </w:r>
      </w:hyperlink>
    </w:p>
    <w:p w14:paraId="0ADE62C4" w14:textId="77777777" w:rsidR="00960507" w:rsidRDefault="00DB7A32" w:rsidP="00960507">
      <w:pPr>
        <w:spacing w:after="0" w:line="360" w:lineRule="auto"/>
        <w:ind w:left="360" w:hanging="360"/>
        <w:jc w:val="both"/>
        <w:rPr>
          <w:rFonts w:asciiTheme="majorBidi" w:hAnsiTheme="majorBidi" w:cstheme="majorBidi"/>
          <w:color w:val="000000" w:themeColor="text1"/>
          <w:sz w:val="24"/>
          <w:szCs w:val="24"/>
        </w:rPr>
      </w:pPr>
      <w:r w:rsidRPr="00DB7A32">
        <w:rPr>
          <w:rFonts w:asciiTheme="majorBidi" w:hAnsiTheme="majorBidi" w:cstheme="majorBidi"/>
          <w:color w:val="000000" w:themeColor="text1"/>
          <w:sz w:val="24"/>
          <w:szCs w:val="24"/>
        </w:rPr>
        <w:t>Tamilselvan, T., &amp; Kushwaha, A. (2020). Effect of traditional processing methods on the nutritional composition of sorghum (</w:t>
      </w:r>
      <w:r w:rsidRPr="00DB7A32">
        <w:rPr>
          <w:rFonts w:asciiTheme="majorBidi" w:hAnsiTheme="majorBidi" w:cstheme="majorBidi"/>
          <w:i/>
          <w:iCs/>
          <w:color w:val="000000" w:themeColor="text1"/>
          <w:sz w:val="24"/>
          <w:szCs w:val="24"/>
        </w:rPr>
        <w:t xml:space="preserve">Sorghum </w:t>
      </w:r>
      <w:proofErr w:type="spellStart"/>
      <w:r w:rsidRPr="00DB7A32">
        <w:rPr>
          <w:rFonts w:asciiTheme="majorBidi" w:hAnsiTheme="majorBidi" w:cstheme="majorBidi"/>
          <w:i/>
          <w:iCs/>
          <w:color w:val="000000" w:themeColor="text1"/>
          <w:sz w:val="24"/>
          <w:szCs w:val="24"/>
        </w:rPr>
        <w:t>bicolour</w:t>
      </w:r>
      <w:proofErr w:type="spellEnd"/>
      <w:r w:rsidRPr="00DB7A32">
        <w:rPr>
          <w:rFonts w:asciiTheme="majorBidi" w:hAnsiTheme="majorBidi" w:cstheme="majorBidi"/>
          <w:color w:val="000000" w:themeColor="text1"/>
          <w:sz w:val="24"/>
          <w:szCs w:val="24"/>
        </w:rPr>
        <w:t xml:space="preserve"> L. Moench) flour. </w:t>
      </w:r>
      <w:r w:rsidRPr="00DB7A32">
        <w:rPr>
          <w:rFonts w:asciiTheme="majorBidi" w:hAnsiTheme="majorBidi" w:cstheme="majorBidi"/>
          <w:i/>
          <w:iCs/>
          <w:color w:val="000000" w:themeColor="text1"/>
          <w:sz w:val="24"/>
          <w:szCs w:val="24"/>
        </w:rPr>
        <w:t>European Journal of Nutrition &amp; Food Safety</w:t>
      </w:r>
      <w:r w:rsidRPr="00DB7A32">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12(7)</w:t>
      </w:r>
      <w:r w:rsidRPr="00DB7A32">
        <w:rPr>
          <w:rFonts w:asciiTheme="majorBidi" w:hAnsiTheme="majorBidi" w:cstheme="majorBidi"/>
          <w:color w:val="000000" w:themeColor="text1"/>
          <w:sz w:val="24"/>
          <w:szCs w:val="24"/>
        </w:rPr>
        <w:t xml:space="preserve">, 69-77. </w:t>
      </w:r>
      <w:hyperlink r:id="rId43" w:history="1">
        <w:r w:rsidR="00FE5C94" w:rsidRPr="00A202DA">
          <w:rPr>
            <w:rStyle w:val="Hyperlink"/>
            <w:rFonts w:asciiTheme="majorBidi" w:hAnsiTheme="majorBidi" w:cstheme="majorBidi"/>
            <w:color w:val="000000" w:themeColor="text1"/>
            <w:sz w:val="24"/>
            <w:szCs w:val="24"/>
            <w:u w:val="none"/>
          </w:rPr>
          <w:t>https://doi.org/10.9734/ejnfs/2020/v12i730252</w:t>
        </w:r>
      </w:hyperlink>
    </w:p>
    <w:p w14:paraId="44250860"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Tanwar, R., </w:t>
      </w:r>
      <w:proofErr w:type="spellStart"/>
      <w:r w:rsidRPr="00A202DA">
        <w:rPr>
          <w:rFonts w:asciiTheme="majorBidi" w:hAnsiTheme="majorBidi" w:cstheme="majorBidi"/>
          <w:color w:val="000000" w:themeColor="text1"/>
          <w:sz w:val="24"/>
          <w:szCs w:val="24"/>
        </w:rPr>
        <w:t>Panghal</w:t>
      </w:r>
      <w:proofErr w:type="spellEnd"/>
      <w:r w:rsidRPr="00A202DA">
        <w:rPr>
          <w:rFonts w:asciiTheme="majorBidi" w:hAnsiTheme="majorBidi" w:cstheme="majorBidi"/>
          <w:color w:val="000000" w:themeColor="text1"/>
          <w:sz w:val="24"/>
          <w:szCs w:val="24"/>
        </w:rPr>
        <w:t xml:space="preserve">, A., Chaudhary, G., Kumari, A. &amp; </w:t>
      </w:r>
      <w:proofErr w:type="spellStart"/>
      <w:r w:rsidRPr="00A202DA">
        <w:rPr>
          <w:rFonts w:asciiTheme="majorBidi" w:hAnsiTheme="majorBidi" w:cstheme="majorBidi"/>
          <w:color w:val="000000" w:themeColor="text1"/>
          <w:sz w:val="24"/>
          <w:szCs w:val="24"/>
        </w:rPr>
        <w:t>Chhikara</w:t>
      </w:r>
      <w:proofErr w:type="spellEnd"/>
      <w:r w:rsidRPr="00A202DA">
        <w:rPr>
          <w:rFonts w:asciiTheme="majorBidi" w:hAnsiTheme="majorBidi" w:cstheme="majorBidi"/>
          <w:color w:val="000000" w:themeColor="text1"/>
          <w:sz w:val="24"/>
          <w:szCs w:val="24"/>
        </w:rPr>
        <w:t xml:space="preserve">, N. (2023). Nutritional, phytochemical and functional potential of sorghum: a review. </w:t>
      </w:r>
      <w:r w:rsidRPr="00DB7A32">
        <w:rPr>
          <w:rFonts w:asciiTheme="majorBidi" w:hAnsiTheme="majorBidi" w:cstheme="majorBidi"/>
          <w:i/>
          <w:iCs/>
          <w:color w:val="000000" w:themeColor="text1"/>
          <w:sz w:val="24"/>
          <w:szCs w:val="24"/>
        </w:rPr>
        <w:t>Food Chemistry Advances</w:t>
      </w:r>
      <w:r w:rsidRPr="00A202DA">
        <w:rPr>
          <w:rFonts w:asciiTheme="majorBidi" w:hAnsiTheme="majorBidi" w:cstheme="majorBidi"/>
          <w:color w:val="000000" w:themeColor="text1"/>
          <w:sz w:val="24"/>
          <w:szCs w:val="24"/>
        </w:rPr>
        <w:t xml:space="preserve">, </w:t>
      </w:r>
      <w:r w:rsidRPr="00DB7A32">
        <w:rPr>
          <w:rFonts w:asciiTheme="majorBidi" w:hAnsiTheme="majorBidi" w:cstheme="majorBidi"/>
          <w:i/>
          <w:iCs/>
          <w:color w:val="000000" w:themeColor="text1"/>
          <w:sz w:val="24"/>
          <w:szCs w:val="24"/>
        </w:rPr>
        <w:t>3</w:t>
      </w:r>
      <w:r w:rsidRPr="00A202DA">
        <w:rPr>
          <w:rFonts w:asciiTheme="majorBidi" w:hAnsiTheme="majorBidi" w:cstheme="majorBidi"/>
          <w:color w:val="000000" w:themeColor="text1"/>
          <w:sz w:val="24"/>
          <w:szCs w:val="24"/>
        </w:rPr>
        <w:t>, 100501.</w:t>
      </w:r>
      <w:r w:rsidRPr="00A202DA">
        <w:rPr>
          <w:color w:val="000000" w:themeColor="text1"/>
        </w:rPr>
        <w:t xml:space="preserve"> </w:t>
      </w:r>
      <w:hyperlink r:id="rId44" w:history="1">
        <w:r w:rsidRPr="00A202DA">
          <w:rPr>
            <w:rStyle w:val="Hyperlink"/>
            <w:rFonts w:asciiTheme="majorBidi" w:hAnsiTheme="majorBidi" w:cstheme="majorBidi"/>
            <w:color w:val="000000" w:themeColor="text1"/>
            <w:sz w:val="24"/>
            <w:szCs w:val="24"/>
            <w:u w:val="none"/>
          </w:rPr>
          <w:t>https://doi.org/10.1016/j.focha.2023.100501</w:t>
        </w:r>
      </w:hyperlink>
    </w:p>
    <w:p w14:paraId="3490DBF9"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 xml:space="preserve">USDA (2018). Sorghum </w:t>
      </w:r>
      <w:proofErr w:type="spellStart"/>
      <w:r w:rsidRPr="00A202DA">
        <w:rPr>
          <w:rFonts w:asciiTheme="majorBidi" w:hAnsiTheme="majorBidi" w:cstheme="majorBidi"/>
          <w:color w:val="000000" w:themeColor="text1"/>
          <w:sz w:val="24"/>
          <w:szCs w:val="24"/>
        </w:rPr>
        <w:t>Grainm</w:t>
      </w:r>
      <w:proofErr w:type="spellEnd"/>
      <w:r w:rsidRPr="00A202DA">
        <w:rPr>
          <w:rFonts w:asciiTheme="majorBidi" w:hAnsiTheme="majorBidi" w:cstheme="majorBidi"/>
          <w:color w:val="000000" w:themeColor="text1"/>
          <w:sz w:val="24"/>
          <w:szCs w:val="24"/>
        </w:rPr>
        <w:t xml:space="preserve"> (SR Legacy, 169716). In: </w:t>
      </w:r>
      <w:proofErr w:type="spellStart"/>
      <w:r w:rsidRPr="00A202DA">
        <w:rPr>
          <w:rFonts w:asciiTheme="majorBidi" w:hAnsiTheme="majorBidi" w:cstheme="majorBidi"/>
          <w:color w:val="000000" w:themeColor="text1"/>
          <w:sz w:val="24"/>
          <w:szCs w:val="24"/>
        </w:rPr>
        <w:t>FoodData</w:t>
      </w:r>
      <w:proofErr w:type="spellEnd"/>
      <w:r w:rsidRPr="00A202DA">
        <w:rPr>
          <w:rFonts w:asciiTheme="majorBidi" w:hAnsiTheme="majorBidi" w:cstheme="majorBidi"/>
          <w:color w:val="000000" w:themeColor="text1"/>
          <w:sz w:val="24"/>
          <w:szCs w:val="24"/>
        </w:rPr>
        <w:t xml:space="preserve"> Central. U.S: Department of Agriculture, Agricultural Research Service. https://fdc.nal.usda.gov/fdc-app.html#/food-details/169716/ nutrients Accessed on June 25, 2024</w:t>
      </w:r>
    </w:p>
    <w:p w14:paraId="478CB756" w14:textId="77777777" w:rsidR="00960507" w:rsidRDefault="00FE5C94" w:rsidP="00960507">
      <w:pPr>
        <w:spacing w:after="0" w:line="360" w:lineRule="auto"/>
        <w:ind w:left="360" w:hanging="360"/>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shd w:val="clear" w:color="auto" w:fill="FFFFFF"/>
        </w:rPr>
        <w:lastRenderedPageBreak/>
        <w:t xml:space="preserve">Valdez-González, F. J., Gutiérrez-Dorado, R., García-Ulloa, M., Cuevas-Rodríguez, B. L., &amp; Rodríguez-González, H. (2018). Effect of fermented, hardened, and dehulled of chickpea (Cicer arietinum) meals in digestibility and antinutrients in diets for tilapia (Oreochromis niloticus). </w:t>
      </w:r>
      <w:r w:rsidRPr="00DB7A32">
        <w:rPr>
          <w:rFonts w:asciiTheme="majorBidi" w:hAnsiTheme="majorBidi" w:cstheme="majorBidi"/>
          <w:i/>
          <w:iCs/>
          <w:color w:val="000000" w:themeColor="text1"/>
          <w:sz w:val="24"/>
          <w:szCs w:val="24"/>
          <w:shd w:val="clear" w:color="auto" w:fill="FFFFFF"/>
        </w:rPr>
        <w:t>Spanish Journal of Agricultural Research</w:t>
      </w:r>
      <w:r w:rsidRPr="00A202DA">
        <w:rPr>
          <w:rFonts w:asciiTheme="majorBidi" w:hAnsiTheme="majorBidi" w:cstheme="majorBidi"/>
          <w:color w:val="000000" w:themeColor="text1"/>
          <w:sz w:val="24"/>
          <w:szCs w:val="24"/>
          <w:shd w:val="clear" w:color="auto" w:fill="FFFFFF"/>
        </w:rPr>
        <w:t xml:space="preserve">, </w:t>
      </w:r>
      <w:r w:rsidRPr="00DB7A32">
        <w:rPr>
          <w:rFonts w:asciiTheme="majorBidi" w:hAnsiTheme="majorBidi" w:cstheme="majorBidi"/>
          <w:i/>
          <w:iCs/>
          <w:color w:val="000000" w:themeColor="text1"/>
          <w:sz w:val="24"/>
          <w:szCs w:val="24"/>
          <w:shd w:val="clear" w:color="auto" w:fill="FFFFFF"/>
        </w:rPr>
        <w:t>16</w:t>
      </w:r>
      <w:r w:rsidRPr="00A202DA">
        <w:rPr>
          <w:rFonts w:asciiTheme="majorBidi" w:hAnsiTheme="majorBidi" w:cstheme="majorBidi"/>
          <w:color w:val="000000" w:themeColor="text1"/>
          <w:sz w:val="24"/>
          <w:szCs w:val="24"/>
          <w:shd w:val="clear" w:color="auto" w:fill="FFFFFF"/>
        </w:rPr>
        <w:t>(1), e0605-e0605.</w:t>
      </w:r>
      <w:r w:rsidRPr="00A202DA">
        <w:rPr>
          <w:color w:val="000000" w:themeColor="text1"/>
        </w:rPr>
        <w:t xml:space="preserve"> </w:t>
      </w:r>
      <w:hyperlink r:id="rId45" w:history="1">
        <w:r w:rsidR="003C63A8" w:rsidRPr="00494E18">
          <w:rPr>
            <w:rStyle w:val="Hyperlink"/>
            <w:rFonts w:asciiTheme="majorBidi" w:hAnsiTheme="majorBidi" w:cstheme="majorBidi"/>
            <w:sz w:val="24"/>
            <w:szCs w:val="24"/>
            <w:shd w:val="clear" w:color="auto" w:fill="FFFFFF"/>
          </w:rPr>
          <w:t>https://doi.org/10.5424/sjar/2018161-11830</w:t>
        </w:r>
      </w:hyperlink>
    </w:p>
    <w:p w14:paraId="6526FD66" w14:textId="7C624797" w:rsidR="00FE5C94" w:rsidRPr="00A202DA" w:rsidRDefault="00FE5C94" w:rsidP="00960507">
      <w:pPr>
        <w:spacing w:after="0" w:line="360" w:lineRule="auto"/>
        <w:ind w:left="360" w:hanging="360"/>
        <w:jc w:val="both"/>
        <w:rPr>
          <w:rStyle w:val="Hyperlink"/>
          <w:rFonts w:asciiTheme="majorBidi" w:hAnsiTheme="majorBidi" w:cstheme="majorBidi"/>
          <w:color w:val="000000" w:themeColor="text1"/>
          <w:sz w:val="24"/>
          <w:szCs w:val="24"/>
          <w:u w:val="none"/>
        </w:rPr>
      </w:pPr>
      <w:proofErr w:type="spellStart"/>
      <w:r w:rsidRPr="00A202DA">
        <w:rPr>
          <w:rStyle w:val="Hyperlink"/>
          <w:rFonts w:asciiTheme="majorBidi" w:hAnsiTheme="majorBidi" w:cstheme="majorBidi"/>
          <w:color w:val="000000" w:themeColor="text1"/>
          <w:sz w:val="24"/>
          <w:szCs w:val="24"/>
          <w:u w:val="none"/>
        </w:rPr>
        <w:t>Wairich</w:t>
      </w:r>
      <w:proofErr w:type="spellEnd"/>
      <w:r w:rsidRPr="00A202DA">
        <w:rPr>
          <w:rStyle w:val="Hyperlink"/>
          <w:rFonts w:asciiTheme="majorBidi" w:hAnsiTheme="majorBidi" w:cstheme="majorBidi"/>
          <w:color w:val="000000" w:themeColor="text1"/>
          <w:sz w:val="24"/>
          <w:szCs w:val="24"/>
          <w:u w:val="none"/>
        </w:rPr>
        <w:t xml:space="preserve">, A., Ricachenevsky, F.K., &amp; Lee, S. (2022). A tale of two metals: Biofortification of rice grains with iron and zinc. </w:t>
      </w:r>
      <w:r w:rsidRPr="00DB7A32">
        <w:rPr>
          <w:rStyle w:val="Hyperlink"/>
          <w:rFonts w:asciiTheme="majorBidi" w:hAnsiTheme="majorBidi" w:cstheme="majorBidi"/>
          <w:i/>
          <w:iCs/>
          <w:color w:val="000000" w:themeColor="text1"/>
          <w:sz w:val="24"/>
          <w:szCs w:val="24"/>
          <w:u w:val="none"/>
        </w:rPr>
        <w:t>Frontiers in Plant Science</w:t>
      </w:r>
      <w:r w:rsidRPr="00A202DA">
        <w:rPr>
          <w:rStyle w:val="Hyperlink"/>
          <w:rFonts w:asciiTheme="majorBidi" w:hAnsiTheme="majorBidi" w:cstheme="majorBidi"/>
          <w:color w:val="000000" w:themeColor="text1"/>
          <w:sz w:val="24"/>
          <w:szCs w:val="24"/>
          <w:u w:val="none"/>
        </w:rPr>
        <w:t>, 13</w:t>
      </w:r>
      <w:r w:rsidR="00DB7A32">
        <w:rPr>
          <w:rStyle w:val="Hyperlink"/>
          <w:rFonts w:asciiTheme="majorBidi" w:hAnsiTheme="majorBidi" w:cstheme="majorBidi"/>
          <w:color w:val="000000" w:themeColor="text1"/>
          <w:sz w:val="24"/>
          <w:szCs w:val="24"/>
          <w:u w:val="none"/>
        </w:rPr>
        <w:t>, 944624.</w:t>
      </w:r>
      <w:r w:rsidRPr="00A202DA">
        <w:rPr>
          <w:rStyle w:val="Hyperlink"/>
          <w:rFonts w:asciiTheme="majorBidi" w:hAnsiTheme="majorBidi" w:cstheme="majorBidi"/>
          <w:color w:val="000000" w:themeColor="text1"/>
          <w:sz w:val="24"/>
          <w:szCs w:val="24"/>
          <w:u w:val="none"/>
        </w:rPr>
        <w:t xml:space="preserve"> </w:t>
      </w:r>
      <w:hyperlink r:id="rId46" w:history="1">
        <w:r w:rsidRPr="00A202DA">
          <w:rPr>
            <w:rStyle w:val="Hyperlink"/>
            <w:rFonts w:asciiTheme="majorBidi" w:hAnsiTheme="majorBidi" w:cstheme="majorBidi"/>
            <w:color w:val="000000" w:themeColor="text1"/>
            <w:sz w:val="24"/>
            <w:szCs w:val="24"/>
            <w:u w:val="none"/>
          </w:rPr>
          <w:t>https://doi.org/10.3389/fpls.2022.944624</w:t>
        </w:r>
      </w:hyperlink>
    </w:p>
    <w:p w14:paraId="775F78AC" w14:textId="77777777" w:rsidR="00FE5C94" w:rsidRDefault="00FE5C94" w:rsidP="004A7E9D">
      <w:pPr>
        <w:jc w:val="center"/>
        <w:rPr>
          <w:color w:val="000000" w:themeColor="text1"/>
        </w:rPr>
      </w:pPr>
    </w:p>
    <w:p w14:paraId="02E85441" w14:textId="77777777" w:rsidR="00960507" w:rsidRDefault="00960507" w:rsidP="004A7E9D">
      <w:pPr>
        <w:jc w:val="center"/>
        <w:rPr>
          <w:color w:val="000000" w:themeColor="text1"/>
        </w:rPr>
      </w:pPr>
    </w:p>
    <w:p w14:paraId="77A1EBA6" w14:textId="77777777" w:rsidR="00960507" w:rsidRDefault="00960507" w:rsidP="004A7E9D">
      <w:pPr>
        <w:jc w:val="center"/>
        <w:rPr>
          <w:color w:val="000000" w:themeColor="text1"/>
        </w:rPr>
      </w:pPr>
    </w:p>
    <w:p w14:paraId="5C88EB1C" w14:textId="77777777" w:rsidR="00960507" w:rsidRDefault="00960507" w:rsidP="004A7E9D">
      <w:pPr>
        <w:jc w:val="center"/>
        <w:rPr>
          <w:color w:val="000000" w:themeColor="text1"/>
        </w:rPr>
      </w:pPr>
    </w:p>
    <w:p w14:paraId="568A2B86" w14:textId="77777777" w:rsidR="00960507" w:rsidRDefault="00960507" w:rsidP="004A7E9D">
      <w:pPr>
        <w:jc w:val="center"/>
        <w:rPr>
          <w:color w:val="000000" w:themeColor="text1"/>
        </w:rPr>
      </w:pPr>
    </w:p>
    <w:p w14:paraId="69FCFC52" w14:textId="77777777" w:rsidR="00960507" w:rsidRDefault="00960507" w:rsidP="004A7E9D">
      <w:pPr>
        <w:jc w:val="center"/>
        <w:rPr>
          <w:color w:val="000000" w:themeColor="text1"/>
        </w:rPr>
      </w:pPr>
    </w:p>
    <w:p w14:paraId="198F6E94" w14:textId="77777777" w:rsidR="00960507" w:rsidRDefault="00960507" w:rsidP="004A7E9D">
      <w:pPr>
        <w:jc w:val="center"/>
        <w:rPr>
          <w:color w:val="000000" w:themeColor="text1"/>
        </w:rPr>
      </w:pPr>
    </w:p>
    <w:p w14:paraId="1D97E98C" w14:textId="77777777" w:rsidR="00960507" w:rsidRDefault="00960507" w:rsidP="004A7E9D">
      <w:pPr>
        <w:jc w:val="center"/>
        <w:rPr>
          <w:color w:val="000000" w:themeColor="text1"/>
        </w:rPr>
      </w:pPr>
    </w:p>
    <w:p w14:paraId="4D4363CD" w14:textId="77777777" w:rsidR="00960507" w:rsidRDefault="00960507" w:rsidP="004A7E9D">
      <w:pPr>
        <w:jc w:val="center"/>
        <w:rPr>
          <w:color w:val="000000" w:themeColor="text1"/>
        </w:rPr>
      </w:pPr>
    </w:p>
    <w:p w14:paraId="36BBE88B" w14:textId="77777777" w:rsidR="00960507" w:rsidRDefault="00960507" w:rsidP="004A7E9D">
      <w:pPr>
        <w:jc w:val="center"/>
        <w:rPr>
          <w:color w:val="000000" w:themeColor="text1"/>
        </w:rPr>
      </w:pPr>
    </w:p>
    <w:p w14:paraId="0415B996" w14:textId="77777777" w:rsidR="00960507" w:rsidRDefault="00960507" w:rsidP="004A7E9D">
      <w:pPr>
        <w:jc w:val="center"/>
        <w:rPr>
          <w:color w:val="000000" w:themeColor="text1"/>
        </w:rPr>
      </w:pPr>
    </w:p>
    <w:p w14:paraId="09961174" w14:textId="77777777" w:rsidR="00960507" w:rsidRDefault="00960507" w:rsidP="004A7E9D">
      <w:pPr>
        <w:jc w:val="center"/>
        <w:rPr>
          <w:color w:val="000000" w:themeColor="text1"/>
        </w:rPr>
      </w:pPr>
    </w:p>
    <w:p w14:paraId="2F72ACA2" w14:textId="77777777" w:rsidR="00960507" w:rsidRDefault="00960507" w:rsidP="004A7E9D">
      <w:pPr>
        <w:jc w:val="center"/>
        <w:rPr>
          <w:color w:val="000000" w:themeColor="text1"/>
        </w:rPr>
      </w:pPr>
    </w:p>
    <w:p w14:paraId="750DEEAC" w14:textId="77777777" w:rsidR="00960507" w:rsidRPr="00A202DA" w:rsidRDefault="00960507" w:rsidP="004A7E9D">
      <w:pPr>
        <w:jc w:val="center"/>
        <w:rPr>
          <w:color w:val="000000" w:themeColor="text1"/>
        </w:rPr>
      </w:pPr>
    </w:p>
    <w:p w14:paraId="24A5631C" w14:textId="77777777" w:rsidR="00FE5C94" w:rsidRPr="00A202DA" w:rsidRDefault="00FE5C94" w:rsidP="004A7E9D">
      <w:pPr>
        <w:jc w:val="center"/>
        <w:rPr>
          <w:color w:val="000000" w:themeColor="text1"/>
        </w:rPr>
      </w:pPr>
      <w:r w:rsidRPr="00A202DA">
        <w:rPr>
          <w:noProof/>
          <w:color w:val="000000" w:themeColor="text1"/>
        </w:rPr>
        <w:lastRenderedPageBreak/>
        <w:drawing>
          <wp:inline distT="0" distB="0" distL="0" distR="0" wp14:anchorId="12F6D62A" wp14:editId="2282B64B">
            <wp:extent cx="4950460" cy="540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0460" cy="5407660"/>
                    </a:xfrm>
                    <a:prstGeom prst="rect">
                      <a:avLst/>
                    </a:prstGeom>
                    <a:noFill/>
                  </pic:spPr>
                </pic:pic>
              </a:graphicData>
            </a:graphic>
          </wp:inline>
        </w:drawing>
      </w:r>
    </w:p>
    <w:p w14:paraId="77D7F020" w14:textId="77777777" w:rsidR="00FE5C94" w:rsidRPr="00A202DA" w:rsidRDefault="00FE5C94" w:rsidP="004A7E9D">
      <w:pPr>
        <w:jc w:val="center"/>
        <w:rPr>
          <w:color w:val="000000" w:themeColor="text1"/>
        </w:rPr>
      </w:pPr>
    </w:p>
    <w:p w14:paraId="3223FC5A" w14:textId="04C0D6D6"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1. Tannin and phytate content (mg/100 gm) (A) and protein content (%) and </w:t>
      </w:r>
      <w:r w:rsidRPr="00A202DA">
        <w:rPr>
          <w:rFonts w:asciiTheme="majorBidi" w:hAnsiTheme="majorBidi" w:cstheme="majorBidi"/>
          <w:i/>
          <w:iCs/>
          <w:color w:val="000000" w:themeColor="text1"/>
          <w:sz w:val="24"/>
          <w:szCs w:val="24"/>
        </w:rPr>
        <w:t>in vitro</w:t>
      </w:r>
      <w:r w:rsidRPr="00A202DA">
        <w:rPr>
          <w:rFonts w:asciiTheme="majorBidi" w:hAnsiTheme="majorBidi" w:cstheme="majorBidi"/>
          <w:color w:val="000000" w:themeColor="text1"/>
          <w:sz w:val="24"/>
          <w:szCs w:val="24"/>
        </w:rPr>
        <w:t xml:space="preserve"> protein digestibility (IVPD, %) (B) of raw sorghum cultivars (Tabat and WadAhmed), wheat, and pigeon pea.</w:t>
      </w:r>
      <w:r w:rsidRPr="00A202DA">
        <w:rPr>
          <w:color w:val="000000" w:themeColor="text1"/>
        </w:rPr>
        <w:t xml:space="preserve"> </w:t>
      </w:r>
      <w:r w:rsidRPr="00A202DA">
        <w:rPr>
          <w:rFonts w:asciiTheme="majorBidi" w:hAnsiTheme="majorBidi" w:cstheme="majorBidi"/>
          <w:color w:val="000000" w:themeColor="text1"/>
          <w:sz w:val="24"/>
          <w:szCs w:val="24"/>
        </w:rPr>
        <w:t>Values are means of three samples. The error bar indicates standard deviation. Small letters denote a significant difference (P ≤ 0.05) between cultivar parameters.</w:t>
      </w:r>
    </w:p>
    <w:p w14:paraId="2994E4EF" w14:textId="77777777" w:rsidR="00FE5C94" w:rsidRDefault="00FE5C94" w:rsidP="004A7E9D">
      <w:pPr>
        <w:jc w:val="center"/>
        <w:rPr>
          <w:color w:val="000000" w:themeColor="text1"/>
        </w:rPr>
      </w:pPr>
    </w:p>
    <w:p w14:paraId="74FE93A0" w14:textId="77777777" w:rsidR="009F36A1" w:rsidRDefault="009F36A1" w:rsidP="004A7E9D">
      <w:pPr>
        <w:jc w:val="center"/>
        <w:rPr>
          <w:color w:val="000000" w:themeColor="text1"/>
        </w:rPr>
      </w:pPr>
    </w:p>
    <w:p w14:paraId="501F6F4D" w14:textId="77777777" w:rsidR="00FE5C94" w:rsidRPr="00A202DA" w:rsidRDefault="00FE5C94" w:rsidP="004A7E9D">
      <w:pPr>
        <w:jc w:val="center"/>
        <w:rPr>
          <w:color w:val="000000" w:themeColor="text1"/>
        </w:rPr>
      </w:pPr>
      <w:r w:rsidRPr="00A202DA">
        <w:rPr>
          <w:noProof/>
          <w:color w:val="000000" w:themeColor="text1"/>
        </w:rPr>
        <w:lastRenderedPageBreak/>
        <w:drawing>
          <wp:inline distT="0" distB="0" distL="0" distR="0" wp14:anchorId="0B981518" wp14:editId="646DF5E2">
            <wp:extent cx="5395595" cy="554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95595" cy="5541645"/>
                    </a:xfrm>
                    <a:prstGeom prst="rect">
                      <a:avLst/>
                    </a:prstGeom>
                    <a:noFill/>
                  </pic:spPr>
                </pic:pic>
              </a:graphicData>
            </a:graphic>
          </wp:inline>
        </w:drawing>
      </w:r>
    </w:p>
    <w:p w14:paraId="0385B6C5" w14:textId="0F1D07F9"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2. Tannin content (mg/100 gm)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3BC14B5B" w14:textId="77777777" w:rsidR="00FE5C94" w:rsidRPr="00A202DA" w:rsidRDefault="00FE5C94" w:rsidP="004A7E9D">
      <w:pPr>
        <w:jc w:val="center"/>
        <w:rPr>
          <w:color w:val="000000" w:themeColor="text1"/>
        </w:rPr>
      </w:pPr>
      <w:r w:rsidRPr="00A202DA">
        <w:rPr>
          <w:noProof/>
          <w:color w:val="000000" w:themeColor="text1"/>
        </w:rPr>
        <w:lastRenderedPageBreak/>
        <w:drawing>
          <wp:inline distT="0" distB="0" distL="0" distR="0" wp14:anchorId="697ED9D5" wp14:editId="4277AE73">
            <wp:extent cx="5033176" cy="5669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5643" cy="5672059"/>
                    </a:xfrm>
                    <a:prstGeom prst="rect">
                      <a:avLst/>
                    </a:prstGeom>
                    <a:noFill/>
                  </pic:spPr>
                </pic:pic>
              </a:graphicData>
            </a:graphic>
          </wp:inline>
        </w:drawing>
      </w:r>
    </w:p>
    <w:p w14:paraId="0174A6D9" w14:textId="77777777" w:rsidR="00FE5C94" w:rsidRPr="00A202DA" w:rsidRDefault="00FE5C94" w:rsidP="004A7E9D">
      <w:pPr>
        <w:rPr>
          <w:color w:val="000000" w:themeColor="text1"/>
        </w:rPr>
      </w:pPr>
    </w:p>
    <w:p w14:paraId="73317C90" w14:textId="00C491EA"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3. Phytate content (mg/100g)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4C84A72F" w14:textId="77777777" w:rsidR="00FE5C94" w:rsidRPr="00A202DA" w:rsidRDefault="00FE5C94" w:rsidP="004A7E9D">
      <w:pPr>
        <w:tabs>
          <w:tab w:val="left" w:pos="2780"/>
        </w:tabs>
        <w:rPr>
          <w:color w:val="000000" w:themeColor="text1"/>
        </w:rPr>
      </w:pPr>
    </w:p>
    <w:p w14:paraId="180E99A8"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046C451A" wp14:editId="48A3A952">
            <wp:extent cx="5605669" cy="528761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6318" cy="5288230"/>
                    </a:xfrm>
                    <a:prstGeom prst="rect">
                      <a:avLst/>
                    </a:prstGeom>
                    <a:noFill/>
                  </pic:spPr>
                </pic:pic>
              </a:graphicData>
            </a:graphic>
          </wp:inline>
        </w:drawing>
      </w:r>
    </w:p>
    <w:p w14:paraId="032984DF" w14:textId="77777777" w:rsidR="00FE5C94" w:rsidRPr="00A202DA" w:rsidRDefault="00FE5C94" w:rsidP="004A7E9D">
      <w:pPr>
        <w:rPr>
          <w:color w:val="000000" w:themeColor="text1"/>
        </w:rPr>
      </w:pPr>
    </w:p>
    <w:p w14:paraId="6ADB1362" w14:textId="79DAC064"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4. Protein content (%)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p w14:paraId="600C67C8" w14:textId="77777777" w:rsidR="00FE5C94" w:rsidRPr="00A202DA" w:rsidRDefault="00FE5C94" w:rsidP="004A7E9D">
      <w:pPr>
        <w:rPr>
          <w:color w:val="000000" w:themeColor="text1"/>
        </w:rPr>
      </w:pPr>
    </w:p>
    <w:p w14:paraId="56F65AB7" w14:textId="77777777" w:rsidR="00FE5C94" w:rsidRPr="00A202DA" w:rsidRDefault="00FE5C94" w:rsidP="004A7E9D">
      <w:pPr>
        <w:jc w:val="center"/>
        <w:rPr>
          <w:color w:val="000000" w:themeColor="text1"/>
        </w:rPr>
      </w:pPr>
      <w:r w:rsidRPr="00A202DA">
        <w:rPr>
          <w:noProof/>
          <w:color w:val="000000" w:themeColor="text1"/>
        </w:rPr>
        <w:drawing>
          <wp:inline distT="0" distB="0" distL="0" distR="0" wp14:anchorId="49A39571" wp14:editId="23A8E40C">
            <wp:extent cx="5446644" cy="523195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45460" cy="5230822"/>
                    </a:xfrm>
                    <a:prstGeom prst="rect">
                      <a:avLst/>
                    </a:prstGeom>
                    <a:noFill/>
                  </pic:spPr>
                </pic:pic>
              </a:graphicData>
            </a:graphic>
          </wp:inline>
        </w:drawing>
      </w:r>
    </w:p>
    <w:p w14:paraId="2323FB20" w14:textId="0724DB6A" w:rsidR="00FE5C94" w:rsidRPr="00A202DA" w:rsidRDefault="00FE5C94" w:rsidP="004A7E9D">
      <w:pPr>
        <w:spacing w:line="360" w:lineRule="auto"/>
        <w:jc w:val="both"/>
        <w:rPr>
          <w:rFonts w:asciiTheme="majorBidi" w:hAnsiTheme="majorBidi" w:cstheme="majorBidi"/>
          <w:color w:val="000000" w:themeColor="text1"/>
          <w:sz w:val="24"/>
          <w:szCs w:val="24"/>
        </w:rPr>
      </w:pPr>
      <w:r w:rsidRPr="00A202DA">
        <w:rPr>
          <w:rFonts w:asciiTheme="majorBidi" w:hAnsiTheme="majorBidi" w:cstheme="majorBidi"/>
          <w:color w:val="000000" w:themeColor="text1"/>
          <w:sz w:val="24"/>
          <w:szCs w:val="24"/>
        </w:rPr>
        <w:t>Fig</w:t>
      </w:r>
      <w:r w:rsidR="009F36A1">
        <w:rPr>
          <w:rFonts w:asciiTheme="majorBidi" w:hAnsiTheme="majorBidi" w:cstheme="majorBidi"/>
          <w:color w:val="000000" w:themeColor="text1"/>
          <w:sz w:val="24"/>
          <w:szCs w:val="24"/>
        </w:rPr>
        <w:t>.</w:t>
      </w:r>
      <w:r w:rsidRPr="00A202DA">
        <w:rPr>
          <w:rFonts w:asciiTheme="majorBidi" w:hAnsiTheme="majorBidi" w:cstheme="majorBidi"/>
          <w:color w:val="000000" w:themeColor="text1"/>
          <w:sz w:val="24"/>
          <w:szCs w:val="24"/>
        </w:rPr>
        <w:t xml:space="preserve"> 5. </w:t>
      </w:r>
      <w:r w:rsidRPr="00A202DA">
        <w:rPr>
          <w:rFonts w:asciiTheme="majorBidi" w:hAnsiTheme="majorBidi" w:cstheme="majorBidi"/>
          <w:i/>
          <w:iCs/>
          <w:color w:val="000000" w:themeColor="text1"/>
          <w:sz w:val="24"/>
          <w:szCs w:val="24"/>
        </w:rPr>
        <w:t>In vitro</w:t>
      </w:r>
      <w:r w:rsidRPr="00A202DA">
        <w:rPr>
          <w:rFonts w:asciiTheme="majorBidi" w:hAnsiTheme="majorBidi" w:cstheme="majorBidi"/>
          <w:color w:val="000000" w:themeColor="text1"/>
          <w:sz w:val="24"/>
          <w:szCs w:val="24"/>
        </w:rPr>
        <w:t xml:space="preserve"> protein digestibility (IVPD, %) of sorghum cultivars Tabat (A) and WadAhmed (B) composite flour fermented and cooked as kisra bread.</w:t>
      </w:r>
      <w:r w:rsidRPr="00A202DA">
        <w:rPr>
          <w:color w:val="000000" w:themeColor="text1"/>
        </w:rPr>
        <w:t xml:space="preserve"> </w:t>
      </w:r>
      <w:r w:rsidRPr="00A202DA">
        <w:rPr>
          <w:rFonts w:asciiTheme="majorBidi" w:hAnsiTheme="majorBidi" w:cstheme="majorBidi"/>
          <w:color w:val="000000" w:themeColor="text1"/>
          <w:sz w:val="24"/>
          <w:szCs w:val="24"/>
        </w:rPr>
        <w:t>T0 and W0, Tabat or WadAhmed flour; T1 and W1, Tabat or WadAhmed flour supplemented with 20% wheat and 10% pigeon pea seed flour; T2 and W2, Tabat or WadAhmed flour supplemented with 15% wheat and 15% pigeon pea seed flour; T3 and W3, Tabat or Wad</w:t>
      </w:r>
      <w:r w:rsidR="007D7325" w:rsidRPr="00A202DA">
        <w:rPr>
          <w:rFonts w:asciiTheme="majorBidi" w:hAnsiTheme="majorBidi" w:cstheme="majorBidi"/>
          <w:color w:val="000000" w:themeColor="text1"/>
          <w:sz w:val="24"/>
          <w:szCs w:val="24"/>
        </w:rPr>
        <w:t>A</w:t>
      </w:r>
      <w:r w:rsidRPr="00A202DA">
        <w:rPr>
          <w:rFonts w:asciiTheme="majorBidi" w:hAnsiTheme="majorBidi" w:cstheme="majorBidi"/>
          <w:color w:val="000000" w:themeColor="text1"/>
          <w:sz w:val="24"/>
          <w:szCs w:val="24"/>
        </w:rPr>
        <w:t>hmed flour supplemented with 10% wheat and 20% pigeon pea seed flour.</w:t>
      </w:r>
      <w:r w:rsidRPr="00A202DA">
        <w:rPr>
          <w:color w:val="000000" w:themeColor="text1"/>
        </w:rPr>
        <w:t xml:space="preserve"> </w:t>
      </w:r>
      <w:r w:rsidRPr="00A202DA">
        <w:rPr>
          <w:rFonts w:asciiTheme="majorBidi" w:hAnsiTheme="majorBidi" w:cstheme="majorBidi"/>
          <w:color w:val="000000" w:themeColor="text1"/>
          <w:sz w:val="24"/>
          <w:szCs w:val="24"/>
        </w:rPr>
        <w:t xml:space="preserve">Values are means of three samples. </w:t>
      </w:r>
      <w:r w:rsidR="007D7325" w:rsidRPr="00A202DA">
        <w:rPr>
          <w:rFonts w:asciiTheme="majorBidi" w:hAnsiTheme="majorBidi" w:cstheme="majorBidi"/>
          <w:color w:val="000000" w:themeColor="text1"/>
          <w:sz w:val="24"/>
          <w:szCs w:val="24"/>
        </w:rPr>
        <w:t>The e</w:t>
      </w:r>
      <w:r w:rsidRPr="00A202DA">
        <w:rPr>
          <w:rFonts w:asciiTheme="majorBidi" w:hAnsiTheme="majorBidi" w:cstheme="majorBidi"/>
          <w:color w:val="000000" w:themeColor="text1"/>
          <w:sz w:val="24"/>
          <w:szCs w:val="24"/>
        </w:rPr>
        <w:t xml:space="preserve">rror bar indicates standard deviation. Small letters denote </w:t>
      </w:r>
      <w:r w:rsidR="007D7325" w:rsidRPr="00A202DA">
        <w:rPr>
          <w:rFonts w:asciiTheme="majorBidi" w:hAnsiTheme="majorBidi" w:cstheme="majorBidi"/>
          <w:color w:val="000000" w:themeColor="text1"/>
          <w:sz w:val="24"/>
          <w:szCs w:val="24"/>
        </w:rPr>
        <w:t xml:space="preserve">a </w:t>
      </w:r>
      <w:r w:rsidRPr="00A202DA">
        <w:rPr>
          <w:rFonts w:asciiTheme="majorBidi" w:hAnsiTheme="majorBidi" w:cstheme="majorBidi"/>
          <w:color w:val="000000" w:themeColor="text1"/>
          <w:sz w:val="24"/>
          <w:szCs w:val="24"/>
        </w:rPr>
        <w:t>significant difference (P ≤ 0.05) between treatments.</w:t>
      </w:r>
    </w:p>
    <w:sectPr w:rsidR="00FE5C94" w:rsidRPr="00A202DA" w:rsidSect="00CB5659">
      <w:headerReference w:type="even" r:id="rId52"/>
      <w:headerReference w:type="default" r:id="rId53"/>
      <w:footerReference w:type="even" r:id="rId54"/>
      <w:footerReference w:type="default" r:id="rId55"/>
      <w:headerReference w:type="first" r:id="rId56"/>
      <w:footerReference w:type="first" r:id="rId57"/>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FD0B3" w14:textId="77777777" w:rsidR="00102520" w:rsidRDefault="00102520" w:rsidP="00847221">
      <w:pPr>
        <w:spacing w:after="0" w:line="240" w:lineRule="auto"/>
      </w:pPr>
      <w:r>
        <w:separator/>
      </w:r>
    </w:p>
  </w:endnote>
  <w:endnote w:type="continuationSeparator" w:id="0">
    <w:p w14:paraId="7E2AA529" w14:textId="77777777" w:rsidR="00102520" w:rsidRDefault="00102520" w:rsidP="00847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CDE66" w14:textId="77777777" w:rsidR="004654F0" w:rsidRDefault="004654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D2D" w14:textId="77777777" w:rsidR="00847221" w:rsidRDefault="00847221">
    <w:pPr>
      <w:pStyle w:val="BodyText"/>
      <w:spacing w:line="14" w:lineRule="auto"/>
      <w:jc w:val="left"/>
      <w:rPr>
        <w:sz w:val="20"/>
      </w:rPr>
    </w:pPr>
    <w:r>
      <w:rPr>
        <w:noProof/>
        <w:sz w:val="20"/>
      </w:rPr>
      <mc:AlternateContent>
        <mc:Choice Requires="wps">
          <w:drawing>
            <wp:anchor distT="0" distB="0" distL="0" distR="0" simplePos="0" relativeHeight="251660288" behindDoc="1" locked="0" layoutInCell="1" allowOverlap="1" wp14:anchorId="7C50DFA6" wp14:editId="45A0E288">
              <wp:simplePos x="0" y="0"/>
              <wp:positionH relativeFrom="page">
                <wp:posOffset>3695699</wp:posOffset>
              </wp:positionH>
              <wp:positionV relativeFrom="page">
                <wp:posOffset>9418404</wp:posOffset>
              </wp:positionV>
              <wp:extent cx="3937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194310"/>
                      </a:xfrm>
                      <a:prstGeom prst="rect">
                        <a:avLst/>
                      </a:prstGeom>
                    </wps:spPr>
                    <wps:txbx>
                      <w:txbxContent>
                        <w:p w14:paraId="481F65BB" w14:textId="77777777" w:rsidR="00847221" w:rsidRDefault="00847221">
                          <w:pPr>
                            <w:spacing w:before="10"/>
                            <w:ind w:left="60"/>
                            <w:rPr>
                              <w:rFonts w:ascii="Times New Roman"/>
                              <w:sz w:val="24"/>
                            </w:rPr>
                          </w:pPr>
                          <w:r>
                            <w:rPr>
                              <w:rFonts w:ascii="Times New Roman"/>
                              <w:spacing w:val="-4"/>
                              <w:sz w:val="24"/>
                            </w:rPr>
                            <w:fldChar w:fldCharType="begin"/>
                          </w:r>
                          <w:r>
                            <w:rPr>
                              <w:rFonts w:ascii="Times New Roman"/>
                              <w:spacing w:val="-4"/>
                              <w:sz w:val="24"/>
                            </w:rPr>
                            <w:instrText xml:space="preserve"> PAGE </w:instrText>
                          </w:r>
                          <w:r>
                            <w:rPr>
                              <w:rFonts w:ascii="Times New Roman"/>
                              <w:spacing w:val="-4"/>
                              <w:sz w:val="24"/>
                            </w:rPr>
                            <w:fldChar w:fldCharType="separate"/>
                          </w:r>
                          <w:r w:rsidR="00960507">
                            <w:rPr>
                              <w:rFonts w:ascii="Times New Roman"/>
                              <w:noProof/>
                              <w:spacing w:val="-4"/>
                              <w:sz w:val="24"/>
                            </w:rPr>
                            <w:t>23</w:t>
                          </w:r>
                          <w:r>
                            <w:rPr>
                              <w:rFonts w:ascii="Times New Roman"/>
                              <w:spacing w:val="-4"/>
                              <w:sz w:val="24"/>
                            </w:rPr>
                            <w:fldChar w:fldCharType="end"/>
                          </w:r>
                        </w:p>
                      </w:txbxContent>
                    </wps:txbx>
                    <wps:bodyPr wrap="square" lIns="0" tIns="0" rIns="0" bIns="0" rtlCol="0">
                      <a:noAutofit/>
                    </wps:bodyPr>
                  </wps:wsp>
                </a:graphicData>
              </a:graphic>
            </wp:anchor>
          </w:drawing>
        </mc:Choice>
        <mc:Fallback>
          <w:pict>
            <v:shapetype w14:anchorId="7C50DFA6" id="_x0000_t202" coordsize="21600,21600" o:spt="202" path="m,l,21600r21600,l21600,xe">
              <v:stroke joinstyle="miter"/>
              <v:path gradientshapeok="t" o:connecttype="rect"/>
            </v:shapetype>
            <v:shape id="Textbox 2" o:spid="_x0000_s1026" type="#_x0000_t202" style="position:absolute;margin-left:291pt;margin-top:741.6pt;width:31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" filled="f" stroked="f">
              <v:textbox inset="0,0,0,0">
                <w:txbxContent>
                  <w:p w14:paraId="481F65BB" w14:textId="77777777" w:rsidR="00847221" w:rsidRDefault="00847221">
                    <w:pPr>
                      <w:spacing w:before="10"/>
                      <w:ind w:left="60"/>
                      <w:rPr>
                        <w:rFonts w:ascii="Times New Roman"/>
                        <w:sz w:val="24"/>
                      </w:rPr>
                    </w:pPr>
                    <w:r>
                      <w:rPr>
                        <w:rFonts w:ascii="Times New Roman"/>
                        <w:spacing w:val="-4"/>
                        <w:sz w:val="24"/>
                      </w:rPr>
                      <w:fldChar w:fldCharType="begin"/>
                    </w:r>
                    <w:r>
                      <w:rPr>
                        <w:rFonts w:ascii="Times New Roman"/>
                        <w:spacing w:val="-4"/>
                        <w:sz w:val="24"/>
                      </w:rPr>
                      <w:instrText xml:space="preserve"> PAGE </w:instrText>
                    </w:r>
                    <w:r>
                      <w:rPr>
                        <w:rFonts w:ascii="Times New Roman"/>
                        <w:spacing w:val="-4"/>
                        <w:sz w:val="24"/>
                      </w:rPr>
                      <w:fldChar w:fldCharType="separate"/>
                    </w:r>
                    <w:r w:rsidR="00960507">
                      <w:rPr>
                        <w:rFonts w:ascii="Times New Roman"/>
                        <w:noProof/>
                        <w:spacing w:val="-4"/>
                        <w:sz w:val="24"/>
                      </w:rPr>
                      <w:t>23</w:t>
                    </w:r>
                    <w:r>
                      <w:rPr>
                        <w:rFonts w:ascii="Times New Roman"/>
                        <w:spacing w:val="-4"/>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85191" w14:textId="77777777" w:rsidR="004654F0" w:rsidRDefault="004654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40CD1" w14:textId="77777777" w:rsidR="00102520" w:rsidRDefault="00102520" w:rsidP="00847221">
      <w:pPr>
        <w:spacing w:after="0" w:line="240" w:lineRule="auto"/>
      </w:pPr>
      <w:r>
        <w:separator/>
      </w:r>
    </w:p>
  </w:footnote>
  <w:footnote w:type="continuationSeparator" w:id="0">
    <w:p w14:paraId="5C9C83B2" w14:textId="77777777" w:rsidR="00102520" w:rsidRDefault="00102520" w:rsidP="00847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AC57" w14:textId="404888B5" w:rsidR="004654F0" w:rsidRDefault="004654F0">
    <w:pPr>
      <w:pStyle w:val="Header"/>
    </w:pPr>
    <w:r>
      <w:rPr>
        <w:noProof/>
      </w:rPr>
      <w:pict w14:anchorId="45008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29" o:spid="_x0000_s2050" type="#_x0000_t136" style="position:absolute;margin-left:0;margin-top:0;width:534.2pt;height:100.15pt;rotation:315;z-index:-25165209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9558" w14:textId="3DB53F7E" w:rsidR="00847221" w:rsidRDefault="004654F0">
    <w:pPr>
      <w:pStyle w:val="BodyText"/>
      <w:spacing w:line="14" w:lineRule="auto"/>
      <w:jc w:val="left"/>
      <w:rPr>
        <w:sz w:val="20"/>
      </w:rPr>
    </w:pPr>
    <w:r>
      <w:rPr>
        <w:noProof/>
      </w:rPr>
      <w:pict w14:anchorId="68DE92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30" o:spid="_x0000_s2051" type="#_x0000_t136" style="position:absolute;margin-left:0;margin-top:0;width:534.2pt;height:100.15pt;rotation:315;z-index:-25165004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53159" w14:textId="3D0C2FAF" w:rsidR="004654F0" w:rsidRDefault="004654F0">
    <w:pPr>
      <w:pStyle w:val="Header"/>
    </w:pPr>
    <w:r>
      <w:rPr>
        <w:noProof/>
      </w:rPr>
      <w:pict w14:anchorId="447AF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7205328" o:spid="_x0000_s2049" type="#_x0000_t136" style="position:absolute;margin-left:0;margin-top:0;width:534.2pt;height:100.15pt;rotation:315;z-index:-25165414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A66BEB"/>
    <w:multiLevelType w:val="multilevel"/>
    <w:tmpl w:val="43546DDE"/>
    <w:lvl w:ilvl="0">
      <w:start w:val="1"/>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NTMxsbC0MDezNLZU0lEKTi0uzszPAykwNKwFAOoqRnYtAAAA"/>
  </w:docVars>
  <w:rsids>
    <w:rsidRoot w:val="00B02C3E"/>
    <w:rsid w:val="00015BC1"/>
    <w:rsid w:val="00031209"/>
    <w:rsid w:val="00077A11"/>
    <w:rsid w:val="00085198"/>
    <w:rsid w:val="00095759"/>
    <w:rsid w:val="000E3491"/>
    <w:rsid w:val="000E3F0C"/>
    <w:rsid w:val="00102520"/>
    <w:rsid w:val="0014338F"/>
    <w:rsid w:val="001775D2"/>
    <w:rsid w:val="00247AB7"/>
    <w:rsid w:val="0025517B"/>
    <w:rsid w:val="00285821"/>
    <w:rsid w:val="002C4E11"/>
    <w:rsid w:val="0031433D"/>
    <w:rsid w:val="003274CB"/>
    <w:rsid w:val="00331B5A"/>
    <w:rsid w:val="00357EF4"/>
    <w:rsid w:val="00373B45"/>
    <w:rsid w:val="00374DF2"/>
    <w:rsid w:val="003844B1"/>
    <w:rsid w:val="003A5C96"/>
    <w:rsid w:val="003C338C"/>
    <w:rsid w:val="003C63A8"/>
    <w:rsid w:val="003D1CB3"/>
    <w:rsid w:val="0040757B"/>
    <w:rsid w:val="00422287"/>
    <w:rsid w:val="00431575"/>
    <w:rsid w:val="00441158"/>
    <w:rsid w:val="004479B8"/>
    <w:rsid w:val="004654F0"/>
    <w:rsid w:val="00480C72"/>
    <w:rsid w:val="004814F0"/>
    <w:rsid w:val="00490782"/>
    <w:rsid w:val="00493D97"/>
    <w:rsid w:val="004A7E9D"/>
    <w:rsid w:val="004A7ECE"/>
    <w:rsid w:val="00533199"/>
    <w:rsid w:val="00534095"/>
    <w:rsid w:val="00544C68"/>
    <w:rsid w:val="005700C5"/>
    <w:rsid w:val="00581243"/>
    <w:rsid w:val="00587803"/>
    <w:rsid w:val="005974F0"/>
    <w:rsid w:val="005D3857"/>
    <w:rsid w:val="005D48F2"/>
    <w:rsid w:val="005D4E26"/>
    <w:rsid w:val="005E04D2"/>
    <w:rsid w:val="005E280F"/>
    <w:rsid w:val="005F0F03"/>
    <w:rsid w:val="005F451E"/>
    <w:rsid w:val="006012B7"/>
    <w:rsid w:val="00617D93"/>
    <w:rsid w:val="00625B29"/>
    <w:rsid w:val="006632F7"/>
    <w:rsid w:val="00663789"/>
    <w:rsid w:val="006E6E9C"/>
    <w:rsid w:val="0078764D"/>
    <w:rsid w:val="007D7325"/>
    <w:rsid w:val="00817B2E"/>
    <w:rsid w:val="00846AA1"/>
    <w:rsid w:val="00846FB4"/>
    <w:rsid w:val="00847221"/>
    <w:rsid w:val="008C0453"/>
    <w:rsid w:val="008D54E0"/>
    <w:rsid w:val="008E4176"/>
    <w:rsid w:val="008F49E3"/>
    <w:rsid w:val="009135FF"/>
    <w:rsid w:val="00960507"/>
    <w:rsid w:val="0097102C"/>
    <w:rsid w:val="0097740F"/>
    <w:rsid w:val="00987CCA"/>
    <w:rsid w:val="009C2227"/>
    <w:rsid w:val="009C5DCD"/>
    <w:rsid w:val="009D5E6D"/>
    <w:rsid w:val="009F36A1"/>
    <w:rsid w:val="00A00A89"/>
    <w:rsid w:val="00A07748"/>
    <w:rsid w:val="00A1611A"/>
    <w:rsid w:val="00A202DA"/>
    <w:rsid w:val="00A54D8F"/>
    <w:rsid w:val="00AA35B6"/>
    <w:rsid w:val="00AB6842"/>
    <w:rsid w:val="00AB7695"/>
    <w:rsid w:val="00AD5E7C"/>
    <w:rsid w:val="00AE0C17"/>
    <w:rsid w:val="00B02C3E"/>
    <w:rsid w:val="00B06779"/>
    <w:rsid w:val="00B10662"/>
    <w:rsid w:val="00B136C1"/>
    <w:rsid w:val="00B41BFF"/>
    <w:rsid w:val="00B6625C"/>
    <w:rsid w:val="00B71198"/>
    <w:rsid w:val="00BD5538"/>
    <w:rsid w:val="00BD6124"/>
    <w:rsid w:val="00BF204F"/>
    <w:rsid w:val="00C20713"/>
    <w:rsid w:val="00C32741"/>
    <w:rsid w:val="00C83594"/>
    <w:rsid w:val="00CB5659"/>
    <w:rsid w:val="00CC1E43"/>
    <w:rsid w:val="00CE2057"/>
    <w:rsid w:val="00CF613D"/>
    <w:rsid w:val="00D65FA1"/>
    <w:rsid w:val="00D662EE"/>
    <w:rsid w:val="00D75132"/>
    <w:rsid w:val="00DA44DB"/>
    <w:rsid w:val="00DB7422"/>
    <w:rsid w:val="00DB7A32"/>
    <w:rsid w:val="00DC2316"/>
    <w:rsid w:val="00DC313D"/>
    <w:rsid w:val="00DC6A0D"/>
    <w:rsid w:val="00E151C3"/>
    <w:rsid w:val="00E31494"/>
    <w:rsid w:val="00E54E1D"/>
    <w:rsid w:val="00E77AAE"/>
    <w:rsid w:val="00E93470"/>
    <w:rsid w:val="00EA2534"/>
    <w:rsid w:val="00EB2495"/>
    <w:rsid w:val="00ED1217"/>
    <w:rsid w:val="00ED184E"/>
    <w:rsid w:val="00F20281"/>
    <w:rsid w:val="00F30FDA"/>
    <w:rsid w:val="00F35C3F"/>
    <w:rsid w:val="00F437B6"/>
    <w:rsid w:val="00F46A26"/>
    <w:rsid w:val="00F84DE9"/>
    <w:rsid w:val="00FA244F"/>
    <w:rsid w:val="00FB4288"/>
    <w:rsid w:val="00FD5D2A"/>
    <w:rsid w:val="00FE5C94"/>
    <w:rsid w:val="00FF160D"/>
    <w:rsid w:val="00FF36E7"/>
    <w:rsid w:val="00FF5F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ED1352D"/>
  <w15:docId w15:val="{AFAA46FB-E5DE-48B7-9C92-328AE6C8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847221"/>
    <w:pPr>
      <w:widowControl w:val="0"/>
      <w:autoSpaceDE w:val="0"/>
      <w:autoSpaceDN w:val="0"/>
      <w:spacing w:before="94" w:after="0" w:line="240" w:lineRule="auto"/>
      <w:ind w:left="72"/>
      <w:outlineLvl w:val="0"/>
    </w:pPr>
    <w:rPr>
      <w:rFonts w:ascii="Arial" w:eastAsia="Arial" w:hAnsi="Arial" w:cs="Arial"/>
      <w:b/>
      <w:bCs/>
      <w:sz w:val="18"/>
      <w:szCs w:val="18"/>
    </w:rPr>
  </w:style>
  <w:style w:type="paragraph" w:styleId="Heading2">
    <w:name w:val="heading 2"/>
    <w:basedOn w:val="Normal"/>
    <w:link w:val="Heading2Char"/>
    <w:uiPriority w:val="1"/>
    <w:qFormat/>
    <w:rsid w:val="00847221"/>
    <w:pPr>
      <w:widowControl w:val="0"/>
      <w:autoSpaceDE w:val="0"/>
      <w:autoSpaceDN w:val="0"/>
      <w:spacing w:before="206" w:after="0" w:line="240" w:lineRule="auto"/>
      <w:ind w:left="72"/>
      <w:outlineLvl w:val="1"/>
    </w:pPr>
    <w:rPr>
      <w:rFonts w:ascii="Arial" w:eastAsia="Arial"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7221"/>
    <w:rPr>
      <w:rFonts w:ascii="Arial" w:eastAsia="Arial" w:hAnsi="Arial" w:cs="Arial"/>
      <w:b/>
      <w:bCs/>
      <w:sz w:val="18"/>
      <w:szCs w:val="18"/>
    </w:rPr>
  </w:style>
  <w:style w:type="character" w:customStyle="1" w:styleId="Heading2Char">
    <w:name w:val="Heading 2 Char"/>
    <w:basedOn w:val="DefaultParagraphFont"/>
    <w:link w:val="Heading2"/>
    <w:uiPriority w:val="1"/>
    <w:rsid w:val="00847221"/>
    <w:rPr>
      <w:rFonts w:ascii="Arial" w:eastAsia="Arial" w:hAnsi="Arial" w:cs="Arial"/>
      <w:b/>
      <w:bCs/>
      <w:sz w:val="18"/>
      <w:szCs w:val="18"/>
    </w:rPr>
  </w:style>
  <w:style w:type="paragraph" w:styleId="BodyText">
    <w:name w:val="Body Text"/>
    <w:basedOn w:val="Normal"/>
    <w:link w:val="BodyTextChar"/>
    <w:uiPriority w:val="1"/>
    <w:qFormat/>
    <w:rsid w:val="00847221"/>
    <w:pPr>
      <w:widowControl w:val="0"/>
      <w:autoSpaceDE w:val="0"/>
      <w:autoSpaceDN w:val="0"/>
      <w:spacing w:after="0" w:line="240" w:lineRule="auto"/>
      <w:jc w:val="both"/>
    </w:pPr>
    <w:rPr>
      <w:rFonts w:ascii="Arial MT" w:eastAsia="Arial MT" w:hAnsi="Arial MT" w:cs="Arial MT"/>
      <w:sz w:val="18"/>
      <w:szCs w:val="18"/>
    </w:rPr>
  </w:style>
  <w:style w:type="character" w:customStyle="1" w:styleId="BodyTextChar">
    <w:name w:val="Body Text Char"/>
    <w:basedOn w:val="DefaultParagraphFont"/>
    <w:link w:val="BodyText"/>
    <w:uiPriority w:val="1"/>
    <w:rsid w:val="00847221"/>
    <w:rPr>
      <w:rFonts w:ascii="Arial MT" w:eastAsia="Arial MT" w:hAnsi="Arial MT" w:cs="Arial MT"/>
      <w:sz w:val="18"/>
      <w:szCs w:val="18"/>
    </w:rPr>
  </w:style>
  <w:style w:type="paragraph" w:styleId="Header">
    <w:name w:val="header"/>
    <w:basedOn w:val="Normal"/>
    <w:link w:val="HeaderChar"/>
    <w:uiPriority w:val="99"/>
    <w:unhideWhenUsed/>
    <w:rsid w:val="00847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221"/>
  </w:style>
  <w:style w:type="paragraph" w:styleId="Footer">
    <w:name w:val="footer"/>
    <w:basedOn w:val="Normal"/>
    <w:link w:val="FooterChar"/>
    <w:uiPriority w:val="99"/>
    <w:unhideWhenUsed/>
    <w:rsid w:val="00847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221"/>
  </w:style>
  <w:style w:type="character" w:styleId="Hyperlink">
    <w:name w:val="Hyperlink"/>
    <w:basedOn w:val="DefaultParagraphFont"/>
    <w:uiPriority w:val="99"/>
    <w:unhideWhenUsed/>
    <w:rsid w:val="00015BC1"/>
    <w:rPr>
      <w:color w:val="0000FF" w:themeColor="hyperlink"/>
      <w:u w:val="single"/>
    </w:rPr>
  </w:style>
  <w:style w:type="character" w:customStyle="1" w:styleId="UnresolvedMention1">
    <w:name w:val="Unresolved Mention1"/>
    <w:basedOn w:val="DefaultParagraphFont"/>
    <w:uiPriority w:val="99"/>
    <w:semiHidden/>
    <w:unhideWhenUsed/>
    <w:rsid w:val="00015BC1"/>
    <w:rPr>
      <w:color w:val="605E5C"/>
      <w:shd w:val="clear" w:color="auto" w:fill="E1DFDD"/>
    </w:rPr>
  </w:style>
  <w:style w:type="table" w:styleId="TableGrid">
    <w:name w:val="Table Grid"/>
    <w:basedOn w:val="TableNormal"/>
    <w:uiPriority w:val="59"/>
    <w:rsid w:val="0040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A35B6"/>
    <w:rPr>
      <w:i/>
      <w:iCs/>
    </w:rPr>
  </w:style>
  <w:style w:type="paragraph" w:customStyle="1" w:styleId="Default">
    <w:name w:val="Default"/>
    <w:rsid w:val="00CC1E4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0">
    <w:name w:val="Pa0"/>
    <w:basedOn w:val="Default"/>
    <w:next w:val="Default"/>
    <w:uiPriority w:val="99"/>
    <w:rsid w:val="006012B7"/>
    <w:pPr>
      <w:spacing w:line="241" w:lineRule="atLeast"/>
    </w:pPr>
    <w:rPr>
      <w:color w:val="auto"/>
    </w:rPr>
  </w:style>
  <w:style w:type="paragraph" w:styleId="BalloonText">
    <w:name w:val="Balloon Text"/>
    <w:basedOn w:val="Normal"/>
    <w:link w:val="BalloonTextChar"/>
    <w:uiPriority w:val="99"/>
    <w:semiHidden/>
    <w:unhideWhenUsed/>
    <w:rsid w:val="00FE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5C94"/>
    <w:rPr>
      <w:rFonts w:ascii="Tahoma" w:hAnsi="Tahoma" w:cs="Tahoma"/>
      <w:sz w:val="16"/>
      <w:szCs w:val="16"/>
    </w:rPr>
  </w:style>
  <w:style w:type="paragraph" w:styleId="ListParagraph">
    <w:name w:val="List Paragraph"/>
    <w:basedOn w:val="Normal"/>
    <w:uiPriority w:val="34"/>
    <w:qFormat/>
    <w:rsid w:val="005D48F2"/>
    <w:pPr>
      <w:ind w:left="720"/>
      <w:contextualSpacing/>
    </w:pPr>
  </w:style>
  <w:style w:type="character" w:styleId="LineNumber">
    <w:name w:val="line number"/>
    <w:basedOn w:val="DefaultParagraphFont"/>
    <w:uiPriority w:val="99"/>
    <w:semiHidden/>
    <w:unhideWhenUsed/>
    <w:rsid w:val="009C5DCD"/>
  </w:style>
  <w:style w:type="character" w:styleId="UnresolvedMention">
    <w:name w:val="Unresolved Mention"/>
    <w:basedOn w:val="DefaultParagraphFont"/>
    <w:uiPriority w:val="99"/>
    <w:semiHidden/>
    <w:unhideWhenUsed/>
    <w:rsid w:val="00BD55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B978-0-08-100866-9.00003-0" TargetMode="External"/><Relationship Id="rId18" Type="http://schemas.openxmlformats.org/officeDocument/2006/relationships/hyperlink" Target="https://doi.org/10.1088/1748-9326/aafe19" TargetMode="External"/><Relationship Id="rId26" Type="http://schemas.openxmlformats.org/officeDocument/2006/relationships/hyperlink" Target="https://doi.org/10.1002/fsn3.884" TargetMode="External"/><Relationship Id="rId39" Type="http://schemas.openxmlformats.org/officeDocument/2006/relationships/hyperlink" Target="https://doi.org/10.1007/978-981-19-0872-9_3" TargetMode="External"/><Relationship Id="rId21" Type="http://schemas.openxmlformats.org/officeDocument/2006/relationships/hyperlink" Target="https://doi.org/10.1007/s11130-019-00758-2" TargetMode="External"/><Relationship Id="rId34" Type="http://schemas.openxmlformats.org/officeDocument/2006/relationships/hyperlink" Target="https://doi.org/10.1002/fsn3.748" TargetMode="External"/><Relationship Id="rId42" Type="http://schemas.openxmlformats.org/officeDocument/2006/relationships/hyperlink" Target="https://doi.org/10.3389/fsufs.2020.00137"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footer" Target="footer2.xml"/><Relationship Id="rId7" Type="http://schemas.openxmlformats.org/officeDocument/2006/relationships/hyperlink" Target="https://doi.org/10.4172/2157-7110.1000719" TargetMode="External"/><Relationship Id="rId2" Type="http://schemas.openxmlformats.org/officeDocument/2006/relationships/styles" Target="styles.xml"/><Relationship Id="rId16" Type="http://schemas.openxmlformats.org/officeDocument/2006/relationships/hyperlink" Target="https://doi.org/10.1016/j.afres.2022.100112" TargetMode="External"/><Relationship Id="rId29" Type="http://schemas.openxmlformats.org/officeDocument/2006/relationships/hyperlink" Target="https://doi.org/10.46676/ij-fanres.v2i2.32" TargetMode="External"/><Relationship Id="rId11" Type="http://schemas.openxmlformats.org/officeDocument/2006/relationships/hyperlink" Target="https://doi.org/10.3390/foods12112265" TargetMode="External"/><Relationship Id="rId24" Type="http://schemas.openxmlformats.org/officeDocument/2006/relationships/hyperlink" Target="https://doi.org/10.1016/j.jfca.2024.106427" TargetMode="External"/><Relationship Id="rId32" Type="http://schemas.openxmlformats.org/officeDocument/2006/relationships/hyperlink" Target="https://doi.org/10.3389/fnut.2024.1478155" TargetMode="External"/><Relationship Id="rId37" Type="http://schemas.openxmlformats.org/officeDocument/2006/relationships/hyperlink" Target="https://doi.org/10.1186/s43014-%20020-%200020-%205" TargetMode="External"/><Relationship Id="rId40" Type="http://schemas.openxmlformats.org/officeDocument/2006/relationships/hyperlink" Target="https://doi.org/10.1080/10408398.2012.706661" TargetMode="External"/><Relationship Id="rId45" Type="http://schemas.openxmlformats.org/officeDocument/2006/relationships/hyperlink" Target="https://doi.org/10.5424/sjar/2018161-11830"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1007/s10722-019-00774-w" TargetMode="External"/><Relationship Id="rId4" Type="http://schemas.openxmlformats.org/officeDocument/2006/relationships/webSettings" Target="webSettings.xml"/><Relationship Id="rId9" Type="http://schemas.openxmlformats.org/officeDocument/2006/relationships/hyperlink" Target="https://doi.org/10.3390/fermentation8020063" TargetMode="External"/><Relationship Id="rId14" Type="http://schemas.openxmlformats.org/officeDocument/2006/relationships/hyperlink" Target="https://doi.org/10.3390/foods10102285" TargetMode="External"/><Relationship Id="rId22" Type="http://schemas.openxmlformats.org/officeDocument/2006/relationships/hyperlink" Target="https://doi.org/10.46676/ij-fanres.v5i1.221" TargetMode="External"/><Relationship Id="rId27" Type="http://schemas.openxmlformats.org/officeDocument/2006/relationships/hyperlink" Target="https://doi.org/10.1016/S0308-8146(99)00074-6" TargetMode="External"/><Relationship Id="rId30" Type="http://schemas.openxmlformats.org/officeDocument/2006/relationships/hyperlink" Target="https://doi.org/10.1080/23311932.2023.2289713" TargetMode="External"/><Relationship Id="rId35" Type="http://schemas.openxmlformats.org/officeDocument/2006/relationships/hyperlink" Target="https://doi.org/10.2174/1874070701913010068" TargetMode="External"/><Relationship Id="rId43" Type="http://schemas.openxmlformats.org/officeDocument/2006/relationships/hyperlink" Target="https://doi.org/10.9734/ejnfs/2020/v12i730252" TargetMode="External"/><Relationship Id="rId48" Type="http://schemas.openxmlformats.org/officeDocument/2006/relationships/image" Target="media/image2.png"/><Relationship Id="rId56" Type="http://schemas.openxmlformats.org/officeDocument/2006/relationships/header" Target="header3.xml"/><Relationship Id="rId8" Type="http://schemas.openxmlformats.org/officeDocument/2006/relationships/hyperlink" Target="https://doi.org/10.3390/nu12041111"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doi.org/10.1016/j.sciaf.2021.e01063" TargetMode="External"/><Relationship Id="rId17" Type="http://schemas.openxmlformats.org/officeDocument/2006/relationships/hyperlink" Target="https://doi.org/10.1007/978-1-4939-9039-9_8" TargetMode="External"/><Relationship Id="rId25" Type="http://schemas.openxmlformats.org/officeDocument/2006/relationships/hyperlink" Target="https://doi.org/10.1007/s10068-023-01255-8" TargetMode="External"/><Relationship Id="rId33" Type="http://schemas.openxmlformats.org/officeDocument/2006/relationships/hyperlink" Target="https://doi.org/10.55677/ijlsar/V03I11Y2024-04" TargetMode="External"/><Relationship Id="rId38" Type="http://schemas.openxmlformats.org/officeDocument/2006/relationships/hyperlink" Target="https://doi.org/10.3390/nu11010084" TargetMode="External"/><Relationship Id="rId46" Type="http://schemas.openxmlformats.org/officeDocument/2006/relationships/hyperlink" Target="https://doi.org/10.3389/fpls.2022.944624" TargetMode="External"/><Relationship Id="rId59" Type="http://schemas.openxmlformats.org/officeDocument/2006/relationships/theme" Target="theme/theme1.xml"/><Relationship Id="rId20" Type="http://schemas.openxmlformats.org/officeDocument/2006/relationships/hyperlink" Target="https://doi.org/10.47815/apsr.2023.10312" TargetMode="External"/><Relationship Id="rId41" Type="http://schemas.openxmlformats.org/officeDocument/2006/relationships/hyperlink" Target="https://doi.org/10.1111/ijfs.1739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7324/JABB.2022.100523" TargetMode="External"/><Relationship Id="rId23" Type="http://schemas.openxmlformats.org/officeDocument/2006/relationships/hyperlink" Target="https://doi.org/10.1016/j.jafr.2024.101493" TargetMode="External"/><Relationship Id="rId28" Type="http://schemas.openxmlformats.org/officeDocument/2006/relationships/hyperlink" Target="https://doi.org/10.1007/s13197-019-03848-w" TargetMode="External"/><Relationship Id="rId36" Type="http://schemas.openxmlformats.org/officeDocument/2006/relationships/hyperlink" Target="https://doi.org/10.7324/JABB.2022.100317" TargetMode="External"/><Relationship Id="rId49" Type="http://schemas.openxmlformats.org/officeDocument/2006/relationships/image" Target="media/image3.png"/><Relationship Id="rId57" Type="http://schemas.openxmlformats.org/officeDocument/2006/relationships/footer" Target="footer3.xml"/><Relationship Id="rId10" Type="http://schemas.openxmlformats.org/officeDocument/2006/relationships/hyperlink" Target="https://doi.org/10.5923/j.fs.20160601.03" TargetMode="External"/><Relationship Id="rId31" Type="http://schemas.openxmlformats.org/officeDocument/2006/relationships/hyperlink" Target="https://doi.org/10.1002/fsn3.846" TargetMode="External"/><Relationship Id="rId44" Type="http://schemas.openxmlformats.org/officeDocument/2006/relationships/hyperlink" Target="https://doi.org/10.1016/j.focha.2023.100501" TargetMode="External"/><Relationship Id="rId5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834</TotalTime>
  <Pages>22</Pages>
  <Words>6486</Words>
  <Characters>36975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dc:creator>
  <cp:lastModifiedBy>SDI PC 1170</cp:lastModifiedBy>
  <cp:revision>87</cp:revision>
  <dcterms:created xsi:type="dcterms:W3CDTF">2026-01-16T16:52:00Z</dcterms:created>
  <dcterms:modified xsi:type="dcterms:W3CDTF">2026-03-06T09:47:00Z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85e0456c-7899-407d-9f6c-44281a823c85</vt:lpwstr>
  </property>
</Properties>
</file>