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7E900" w14:textId="77777777" w:rsidR="007A5039" w:rsidRDefault="00A56C92">
      <w:pPr>
        <w:jc w:val="both"/>
        <w:rPr>
          <w:rFonts w:ascii="Times New Roman" w:hAnsi="Times New Roman" w:cs="Times New Roman"/>
          <w:b/>
          <w:bCs/>
        </w:rPr>
      </w:pPr>
      <w:r>
        <w:rPr>
          <w:rFonts w:ascii="Times New Roman" w:hAnsi="Times New Roman" w:cs="Times New Roman"/>
          <w:b/>
          <w:bCs/>
        </w:rPr>
        <w:t xml:space="preserve">QUALITY EVALUATION OF FORTIFIED OATMEAL COOKIES WITH BANANA PULP AND HONEY </w:t>
      </w:r>
    </w:p>
    <w:p w14:paraId="3E48E5FB" w14:textId="77777777" w:rsidR="00DA438C" w:rsidRDefault="00DA438C">
      <w:pPr>
        <w:jc w:val="both"/>
        <w:rPr>
          <w:rFonts w:ascii="Times New Roman" w:hAnsi="Times New Roman" w:cs="Times New Roman"/>
          <w:b/>
        </w:rPr>
      </w:pPr>
    </w:p>
    <w:p w14:paraId="0F649E90" w14:textId="1C1A76B6" w:rsidR="007628E0" w:rsidRDefault="00A56C92">
      <w:pPr>
        <w:jc w:val="both"/>
        <w:rPr>
          <w:rFonts w:ascii="Times New Roman" w:hAnsi="Times New Roman" w:cs="Times New Roman"/>
          <w:b/>
        </w:rPr>
      </w:pPr>
      <w:bookmarkStart w:id="0" w:name="_GoBack"/>
      <w:bookmarkEnd w:id="0"/>
      <w:r>
        <w:rPr>
          <w:rFonts w:ascii="Times New Roman" w:hAnsi="Times New Roman" w:cs="Times New Roman"/>
          <w:b/>
        </w:rPr>
        <w:t>ABSTRACT</w:t>
      </w:r>
    </w:p>
    <w:p w14:paraId="2223A9AB" w14:textId="77777777" w:rsidR="007628E0" w:rsidRDefault="00A56C92">
      <w:pPr>
        <w:jc w:val="both"/>
        <w:rPr>
          <w:rFonts w:ascii="Times New Roman" w:hAnsi="Times New Roman" w:cs="Times New Roman"/>
          <w:sz w:val="20"/>
          <w:szCs w:val="20"/>
        </w:rPr>
      </w:pPr>
      <w:r>
        <w:rPr>
          <w:rFonts w:ascii="Times New Roman" w:hAnsi="Times New Roman" w:cs="Times New Roman"/>
          <w:sz w:val="20"/>
          <w:szCs w:val="20"/>
        </w:rPr>
        <w:t>This study evaluated the quality of oatmeal cookies fortified with banana pulp and honey. The proximate composition, physical properties, mineral composition and s</w:t>
      </w:r>
      <w:r>
        <w:rPr>
          <w:rFonts w:ascii="Times New Roman" w:hAnsi="Times New Roman" w:cs="Times New Roman"/>
          <w:sz w:val="20"/>
          <w:szCs w:val="20"/>
        </w:rPr>
        <w:t>ensory properties were determined using standard analytical methods. The proximate composition revealed that moisture, fat and crude protein values decreased significantly (p&lt;0.05) from samples A to E. Moisture content decreased from 9.18 to 7.18%, fat dec</w:t>
      </w:r>
      <w:r>
        <w:rPr>
          <w:rFonts w:ascii="Times New Roman" w:hAnsi="Times New Roman" w:cs="Times New Roman"/>
          <w:sz w:val="20"/>
          <w:szCs w:val="20"/>
        </w:rPr>
        <w:t xml:space="preserve">reased from 3.26 to 2.45% while crude protein decreased from 19.47 to 17.44%. However, ash, crude </w:t>
      </w:r>
      <w:proofErr w:type="spellStart"/>
      <w:r>
        <w:rPr>
          <w:rFonts w:ascii="Times New Roman" w:hAnsi="Times New Roman" w:cs="Times New Roman"/>
          <w:sz w:val="20"/>
          <w:szCs w:val="20"/>
        </w:rPr>
        <w:t>fibre</w:t>
      </w:r>
      <w:proofErr w:type="spellEnd"/>
      <w:r>
        <w:rPr>
          <w:rFonts w:ascii="Times New Roman" w:hAnsi="Times New Roman" w:cs="Times New Roman"/>
          <w:sz w:val="20"/>
          <w:szCs w:val="20"/>
        </w:rPr>
        <w:t xml:space="preserve"> and carbohydrate increased from 0.26 to 1.18%; 5.54 to 6.72 % and 62.30 to 65.0% respectively. Results of physical properties of oatmeal cookies showed </w:t>
      </w:r>
      <w:r>
        <w:rPr>
          <w:rFonts w:ascii="Times New Roman" w:hAnsi="Times New Roman" w:cs="Times New Roman"/>
          <w:sz w:val="20"/>
          <w:szCs w:val="20"/>
        </w:rPr>
        <w:t>that cookies diameter ranged from 5.25 to 5.48cm, thickness ranged from 0.48 to 0.53cm, spread ratio ranged from 10.17 to 11.50 and weight increased non significantly (p&gt;0.05) from 9.33 to 11.30g. Results of mineral composition revealed that all the minera</w:t>
      </w:r>
      <w:r>
        <w:rPr>
          <w:rFonts w:ascii="Times New Roman" w:hAnsi="Times New Roman" w:cs="Times New Roman"/>
          <w:sz w:val="20"/>
          <w:szCs w:val="20"/>
        </w:rPr>
        <w:t>ls evaluated  (calcium, iron, potassium and sodium) increased progressively from sample A to E with sample E having the highest values of 3.87mg/100g for calcium, 310mg/100g for potassium and 113.6mg/100g for sodium, while iron peaked in sample D (0.480mg/</w:t>
      </w:r>
      <w:r>
        <w:rPr>
          <w:rFonts w:ascii="Times New Roman" w:hAnsi="Times New Roman" w:cs="Times New Roman"/>
          <w:sz w:val="20"/>
          <w:szCs w:val="20"/>
        </w:rPr>
        <w:t xml:space="preserve">100g). Sensory properties revealed that all the oatmeal cookies samples were generally well accepted with mean scores above 7.5 on a 9-point hedonic scale across all attributes.   </w:t>
      </w:r>
    </w:p>
    <w:p w14:paraId="4D30D72B" w14:textId="77777777" w:rsidR="007628E0" w:rsidRDefault="00A56C92">
      <w:pPr>
        <w:jc w:val="both"/>
        <w:rPr>
          <w:rFonts w:ascii="Times New Roman" w:hAnsi="Times New Roman" w:cs="Times New Roman"/>
        </w:rPr>
      </w:pPr>
      <w:r>
        <w:rPr>
          <w:rFonts w:ascii="Times New Roman" w:hAnsi="Times New Roman" w:cs="Times New Roman"/>
          <w:b/>
        </w:rPr>
        <w:t>KEY WORDS:</w:t>
      </w:r>
      <w:r>
        <w:rPr>
          <w:rFonts w:ascii="Times New Roman" w:hAnsi="Times New Roman" w:cs="Times New Roman"/>
        </w:rPr>
        <w:t xml:space="preserve"> Cookies, Oatmeal, Honey, Banana pulp, nutritional composition</w:t>
      </w:r>
    </w:p>
    <w:p w14:paraId="65BB627D" w14:textId="77777777" w:rsidR="007628E0" w:rsidRDefault="00A56C92">
      <w:pPr>
        <w:jc w:val="both"/>
        <w:rPr>
          <w:rFonts w:ascii="Times New Roman" w:hAnsi="Times New Roman" w:cs="Times New Roman"/>
          <w:b/>
        </w:rPr>
      </w:pPr>
      <w:r>
        <w:rPr>
          <w:rFonts w:ascii="Times New Roman" w:hAnsi="Times New Roman" w:cs="Times New Roman"/>
          <w:b/>
        </w:rPr>
        <w:t>1.</w:t>
      </w:r>
      <w:r>
        <w:rPr>
          <w:rFonts w:ascii="Times New Roman" w:hAnsi="Times New Roman" w:cs="Times New Roman"/>
          <w:b/>
        </w:rPr>
        <w:t>0 INTRODUCTION</w:t>
      </w:r>
    </w:p>
    <w:p w14:paraId="60BE3564" w14:textId="77777777" w:rsidR="007628E0" w:rsidRDefault="00A56C92">
      <w:pPr>
        <w:spacing w:line="240" w:lineRule="auto"/>
        <w:jc w:val="both"/>
        <w:rPr>
          <w:rFonts w:ascii="Times New Roman" w:hAnsi="Times New Roman" w:cs="Times New Roman"/>
        </w:rPr>
      </w:pPr>
      <w:r>
        <w:rPr>
          <w:rFonts w:ascii="Times New Roman" w:hAnsi="Times New Roman" w:cs="Times New Roman"/>
        </w:rPr>
        <w:t>The global food industry continually evolves to meet changing consumer demands and preferences. One notable area of innovation lies in the creation of baked goods, such as cookies, which have become more than just delightful treats (Birch an</w:t>
      </w:r>
      <w:r>
        <w:rPr>
          <w:rFonts w:ascii="Times New Roman" w:hAnsi="Times New Roman" w:cs="Times New Roman"/>
        </w:rPr>
        <w:t xml:space="preserve">d </w:t>
      </w:r>
      <w:proofErr w:type="spellStart"/>
      <w:r>
        <w:rPr>
          <w:rFonts w:ascii="Times New Roman" w:hAnsi="Times New Roman" w:cs="Times New Roman"/>
        </w:rPr>
        <w:t>Bonwick</w:t>
      </w:r>
      <w:proofErr w:type="spellEnd"/>
      <w:r>
        <w:rPr>
          <w:rFonts w:ascii="Times New Roman" w:hAnsi="Times New Roman" w:cs="Times New Roman"/>
        </w:rPr>
        <w:t xml:space="preserve">, 2019). Today's consumers seek both indulgence and health benefits from their food choices, prompting researchers and food manufacturers to explore unconventional ingredients to develop innovative products. </w:t>
      </w:r>
    </w:p>
    <w:p w14:paraId="7C133150" w14:textId="77777777" w:rsidR="007628E0" w:rsidRDefault="00A56C92">
      <w:pPr>
        <w:spacing w:line="240" w:lineRule="auto"/>
        <w:jc w:val="both"/>
        <w:rPr>
          <w:rFonts w:ascii="Times New Roman" w:hAnsi="Times New Roman" w:cs="Times New Roman"/>
        </w:rPr>
      </w:pPr>
      <w:r>
        <w:rPr>
          <w:rFonts w:ascii="Times New Roman" w:hAnsi="Times New Roman" w:cs="Times New Roman"/>
        </w:rPr>
        <w:t>Cookies are popular snack items enjoye</w:t>
      </w:r>
      <w:r>
        <w:rPr>
          <w:rFonts w:ascii="Times New Roman" w:hAnsi="Times New Roman" w:cs="Times New Roman"/>
        </w:rPr>
        <w:t xml:space="preserve">d by people of all ages. They come in various flavors, shapes, and sizes, offering a delightful culinary experience. Traditional cookie recipes often rely on wheat flour as a primary ingredient (Manley </w:t>
      </w:r>
      <w:r>
        <w:rPr>
          <w:rFonts w:ascii="Times New Roman" w:hAnsi="Times New Roman" w:cs="Times New Roman"/>
          <w:i/>
          <w:iCs/>
        </w:rPr>
        <w:t>et al</w:t>
      </w:r>
      <w:r>
        <w:rPr>
          <w:rFonts w:ascii="Times New Roman" w:hAnsi="Times New Roman" w:cs="Times New Roman"/>
        </w:rPr>
        <w:t xml:space="preserve">., 2015). However, as health awareness grows and </w:t>
      </w:r>
      <w:r>
        <w:rPr>
          <w:rFonts w:ascii="Times New Roman" w:hAnsi="Times New Roman" w:cs="Times New Roman"/>
        </w:rPr>
        <w:t>dietary restrictions become more prevalent, the limitations of using a single type of flour have become apparent. The incorporation of alternative flours and ingredients offers a solution to address these challenges and presents an opportunity to create co</w:t>
      </w:r>
      <w:r>
        <w:rPr>
          <w:rFonts w:ascii="Times New Roman" w:hAnsi="Times New Roman" w:cs="Times New Roman"/>
        </w:rPr>
        <w:t xml:space="preserve">okies that align with modern nutritional goals. The nutritional value and health benefits of cookies can be enhanced by incorporating alternative flours and ingredients into their production (Ostermann-Porcel </w:t>
      </w:r>
      <w:r>
        <w:rPr>
          <w:rFonts w:ascii="Times New Roman" w:hAnsi="Times New Roman" w:cs="Times New Roman"/>
          <w:i/>
          <w:iCs/>
        </w:rPr>
        <w:t>et al</w:t>
      </w:r>
      <w:r>
        <w:rPr>
          <w:rFonts w:ascii="Times New Roman" w:hAnsi="Times New Roman" w:cs="Times New Roman"/>
        </w:rPr>
        <w:t>., 2017).</w:t>
      </w:r>
    </w:p>
    <w:p w14:paraId="0757D129" w14:textId="77777777" w:rsidR="007628E0" w:rsidRDefault="00A56C92">
      <w:pPr>
        <w:spacing w:line="240" w:lineRule="auto"/>
        <w:jc w:val="both"/>
        <w:rPr>
          <w:rFonts w:ascii="Times New Roman" w:hAnsi="Times New Roman" w:cs="Times New Roman"/>
        </w:rPr>
      </w:pPr>
      <w:r>
        <w:rPr>
          <w:rFonts w:ascii="Times New Roman" w:hAnsi="Times New Roman" w:cs="Times New Roman"/>
        </w:rPr>
        <w:t>Composite flours are mixtures of</w:t>
      </w:r>
      <w:r>
        <w:rPr>
          <w:rFonts w:ascii="Times New Roman" w:hAnsi="Times New Roman" w:cs="Times New Roman"/>
        </w:rPr>
        <w:t xml:space="preserve"> different flours from roots, tubers, grains and legumes, with or without wheat flour. In most parts of the world, baked goods based on wheat flour in particular, are a popular foodstuff (Amadeu </w:t>
      </w:r>
      <w:r>
        <w:rPr>
          <w:rFonts w:ascii="Times New Roman" w:hAnsi="Times New Roman" w:cs="Times New Roman"/>
          <w:i/>
          <w:iCs/>
        </w:rPr>
        <w:t>et al</w:t>
      </w:r>
      <w:r>
        <w:rPr>
          <w:rFonts w:ascii="Times New Roman" w:hAnsi="Times New Roman" w:cs="Times New Roman"/>
        </w:rPr>
        <w:t xml:space="preserve">., 2024). The application of composite flour in various </w:t>
      </w:r>
      <w:r>
        <w:rPr>
          <w:rFonts w:ascii="Times New Roman" w:hAnsi="Times New Roman" w:cs="Times New Roman"/>
        </w:rPr>
        <w:t xml:space="preserve">food products would be economically beneficial if the imports of wheat could be reduced or eliminated, and that demand for pastry, cookies and bread products could be met by the use of domestically grown products added to wheat (Jisha </w:t>
      </w:r>
      <w:r>
        <w:rPr>
          <w:rFonts w:ascii="Times New Roman" w:hAnsi="Times New Roman" w:cs="Times New Roman"/>
          <w:i/>
          <w:iCs/>
        </w:rPr>
        <w:t>et al</w:t>
      </w:r>
      <w:r>
        <w:rPr>
          <w:rFonts w:ascii="Times New Roman" w:hAnsi="Times New Roman" w:cs="Times New Roman"/>
        </w:rPr>
        <w:t>., 2018).</w:t>
      </w:r>
    </w:p>
    <w:p w14:paraId="4EFFD88D" w14:textId="77777777" w:rsidR="007628E0" w:rsidRDefault="00A56C92">
      <w:pPr>
        <w:spacing w:line="240" w:lineRule="auto"/>
        <w:jc w:val="both"/>
        <w:rPr>
          <w:rFonts w:ascii="Times New Roman" w:hAnsi="Times New Roman" w:cs="Times New Roman"/>
        </w:rPr>
      </w:pPr>
      <w:r>
        <w:rPr>
          <w:rFonts w:ascii="Times New Roman" w:hAnsi="Times New Roman" w:cs="Times New Roman"/>
        </w:rPr>
        <w:t>Oats a</w:t>
      </w:r>
      <w:r>
        <w:rPr>
          <w:rFonts w:ascii="Times New Roman" w:hAnsi="Times New Roman" w:cs="Times New Roman"/>
        </w:rPr>
        <w:t>re a rich source of dietary fiber, specifically, β-glucan. Oatmeal is a tonic for general debility, treats anorexia, is good for convalescence and fatigue, lowers blood cholesterol levels and helps to control hormonal activity. Oatmeal cuts the risk of str</w:t>
      </w:r>
      <w:r>
        <w:rPr>
          <w:rFonts w:ascii="Times New Roman" w:hAnsi="Times New Roman" w:cs="Times New Roman"/>
        </w:rPr>
        <w:t xml:space="preserve">okes and heart attacks from blocked </w:t>
      </w:r>
      <w:r>
        <w:rPr>
          <w:rFonts w:ascii="Times New Roman" w:hAnsi="Times New Roman" w:cs="Times New Roman"/>
        </w:rPr>
        <w:lastRenderedPageBreak/>
        <w:t>arteries, stabilizes blood sugar and increases the body’s ability to fight off infectious diseases (</w:t>
      </w:r>
      <w:proofErr w:type="spellStart"/>
      <w:r>
        <w:rPr>
          <w:rFonts w:ascii="Times New Roman" w:hAnsi="Times New Roman" w:cs="Times New Roman"/>
        </w:rPr>
        <w:t>Bornare</w:t>
      </w:r>
      <w:proofErr w:type="spellEnd"/>
      <w:r>
        <w:rPr>
          <w:rFonts w:ascii="Times New Roman" w:hAnsi="Times New Roman" w:cs="Times New Roman"/>
        </w:rPr>
        <w:t xml:space="preserve"> and Khan, 2015).  </w:t>
      </w:r>
    </w:p>
    <w:p w14:paraId="48237E13" w14:textId="77777777" w:rsidR="007628E0" w:rsidRDefault="00A56C92">
      <w:pPr>
        <w:spacing w:line="240" w:lineRule="auto"/>
        <w:jc w:val="both"/>
        <w:rPr>
          <w:rFonts w:ascii="Times New Roman" w:hAnsi="Times New Roman" w:cs="Times New Roman"/>
        </w:rPr>
      </w:pPr>
      <w:r>
        <w:rPr>
          <w:rFonts w:ascii="Times New Roman" w:hAnsi="Times New Roman" w:cs="Times New Roman"/>
        </w:rPr>
        <w:t>Bananas are edible ripe berries of the herbaceous flowering plants in the genus Musa. Musa be</w:t>
      </w:r>
      <w:r>
        <w:rPr>
          <w:rFonts w:ascii="Times New Roman" w:hAnsi="Times New Roman" w:cs="Times New Roman"/>
        </w:rPr>
        <w:t xml:space="preserve">longs to a genus containing 50 of tropical monocot (pseudo) plants, significant for food, primarily for their delicious fruits, beverages (wine and beer), fiber for industry and as ornamental plants. Bananas are an excellent source of potassium, providing </w:t>
      </w:r>
      <w:r>
        <w:rPr>
          <w:rFonts w:ascii="Times New Roman" w:hAnsi="Times New Roman" w:cs="Times New Roman"/>
        </w:rPr>
        <w:t xml:space="preserve">about 450 mg per medium fruit, which is roughly 10% of the daily recommended intake. Potassium is crucial for heart health, as it helps regulate heartbeat, muscle contractions, and nerve signals. It also aids in lowering blood pressure by promoting sodium </w:t>
      </w:r>
      <w:r>
        <w:rPr>
          <w:rFonts w:ascii="Times New Roman" w:hAnsi="Times New Roman" w:cs="Times New Roman"/>
        </w:rPr>
        <w:t xml:space="preserve">excretion and relaxing blood vessel walls, thereby protecting against atherosclerosis and hypertension (Ranjha </w:t>
      </w:r>
      <w:r>
        <w:rPr>
          <w:rFonts w:ascii="Times New Roman" w:hAnsi="Times New Roman" w:cs="Times New Roman"/>
          <w:i/>
          <w:iCs/>
        </w:rPr>
        <w:t>et al</w:t>
      </w:r>
      <w:r>
        <w:rPr>
          <w:rFonts w:ascii="Times New Roman" w:hAnsi="Times New Roman" w:cs="Times New Roman"/>
        </w:rPr>
        <w:t xml:space="preserve">. 2022; Quan </w:t>
      </w:r>
      <w:r>
        <w:rPr>
          <w:rFonts w:ascii="Times New Roman" w:hAnsi="Times New Roman" w:cs="Times New Roman"/>
          <w:i/>
          <w:iCs/>
        </w:rPr>
        <w:t>et al</w:t>
      </w:r>
      <w:r>
        <w:rPr>
          <w:rFonts w:ascii="Times New Roman" w:hAnsi="Times New Roman" w:cs="Times New Roman"/>
        </w:rPr>
        <w:t>., 2024).</w:t>
      </w:r>
    </w:p>
    <w:p w14:paraId="14A88B7A" w14:textId="77777777" w:rsidR="007628E0" w:rsidRDefault="00A56C92">
      <w:pPr>
        <w:spacing w:line="240" w:lineRule="auto"/>
        <w:jc w:val="both"/>
        <w:rPr>
          <w:rFonts w:ascii="Times New Roman" w:hAnsi="Times New Roman" w:cs="Times New Roman"/>
        </w:rPr>
      </w:pPr>
      <w:r>
        <w:rPr>
          <w:rFonts w:ascii="Times New Roman" w:hAnsi="Times New Roman" w:cs="Times New Roman"/>
        </w:rPr>
        <w:t>Honey is known for its effectiveness in instantly boosting the performance, endurance and reduces fatigue in mus</w:t>
      </w:r>
      <w:r>
        <w:rPr>
          <w:rFonts w:ascii="Times New Roman" w:hAnsi="Times New Roman" w:cs="Times New Roman"/>
        </w:rPr>
        <w:t xml:space="preserve">cle (Hemmati </w:t>
      </w:r>
      <w:r>
        <w:rPr>
          <w:rFonts w:ascii="Times New Roman" w:hAnsi="Times New Roman" w:cs="Times New Roman"/>
          <w:i/>
          <w:iCs/>
        </w:rPr>
        <w:t>et al</w:t>
      </w:r>
      <w:r>
        <w:rPr>
          <w:rFonts w:ascii="Times New Roman" w:hAnsi="Times New Roman" w:cs="Times New Roman"/>
        </w:rPr>
        <w:t>., 2024). Beyond many health claims and ability to mask any taste deficiency that may have resulted from ingredient interactions, inclusion of honey into bread formulation is reported to offer functional benefits, improve water-binding ca</w:t>
      </w:r>
      <w:r>
        <w:rPr>
          <w:rFonts w:ascii="Times New Roman" w:hAnsi="Times New Roman" w:cs="Times New Roman"/>
        </w:rPr>
        <w:t>pacity of dough, provide increased volumes and improves shelf life of baked products.</w:t>
      </w:r>
    </w:p>
    <w:p w14:paraId="20FB825E" w14:textId="77777777" w:rsidR="007628E0" w:rsidRDefault="00A56C92">
      <w:pPr>
        <w:spacing w:line="240" w:lineRule="auto"/>
        <w:jc w:val="both"/>
        <w:rPr>
          <w:rFonts w:ascii="Times New Roman" w:hAnsi="Times New Roman" w:cs="Times New Roman"/>
        </w:rPr>
      </w:pPr>
      <w:r>
        <w:rPr>
          <w:rFonts w:ascii="Times New Roman" w:hAnsi="Times New Roman" w:cs="Times New Roman"/>
        </w:rPr>
        <w:t>The increasing demand for healthier snack options highlights the need to develop nutrient-rich cookies using natural ingredients. Traditional cookies lack essential nutri</w:t>
      </w:r>
      <w:r>
        <w:rPr>
          <w:rFonts w:ascii="Times New Roman" w:hAnsi="Times New Roman" w:cs="Times New Roman"/>
        </w:rPr>
        <w:t>ents and rely on refined sugar and flour. By incorporating banana pulp and honey into oatmeal cookies, this study aims to enhance their nutritional value using locally available and underutilized resources.</w:t>
      </w:r>
    </w:p>
    <w:p w14:paraId="6BC508B8"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Oats provide fiber, banana adds natural sugars </w:t>
      </w:r>
      <w:r>
        <w:rPr>
          <w:rFonts w:ascii="Times New Roman" w:hAnsi="Times New Roman" w:cs="Times New Roman"/>
        </w:rPr>
        <w:t xml:space="preserve">and vitamins, while honey offers antioxidants and replaces refined sugar. This formulation supports better health, adds value to local produce, and aligns with current consumer preferences for functional and clean-label foods. The study would benefit both </w:t>
      </w:r>
      <w:r>
        <w:rPr>
          <w:rFonts w:ascii="Times New Roman" w:hAnsi="Times New Roman" w:cs="Times New Roman"/>
        </w:rPr>
        <w:t>consumers and food producers by introducing a healthier alternative to conventional cookies. The broad objective of this study was therefore to develop and evaluate fortified oatmeal cookies with banana pulp and honey.</w:t>
      </w:r>
    </w:p>
    <w:p w14:paraId="00EC5A02" w14:textId="77777777" w:rsidR="007628E0" w:rsidRDefault="00A56C92">
      <w:pPr>
        <w:spacing w:line="240" w:lineRule="auto"/>
        <w:jc w:val="both"/>
        <w:rPr>
          <w:rFonts w:ascii="Times New Roman" w:hAnsi="Times New Roman" w:cs="Times New Roman"/>
          <w:b/>
        </w:rPr>
      </w:pPr>
      <w:r>
        <w:rPr>
          <w:rFonts w:ascii="Times New Roman" w:hAnsi="Times New Roman" w:cs="Times New Roman"/>
          <w:b/>
        </w:rPr>
        <w:t>2.0 Materials and Methods</w:t>
      </w:r>
    </w:p>
    <w:p w14:paraId="0645A638" w14:textId="77777777" w:rsidR="007628E0" w:rsidRDefault="00A56C92">
      <w:pPr>
        <w:spacing w:line="240" w:lineRule="auto"/>
        <w:jc w:val="both"/>
        <w:rPr>
          <w:rFonts w:ascii="Times New Roman" w:hAnsi="Times New Roman" w:cs="Times New Roman"/>
          <w:b/>
        </w:rPr>
      </w:pPr>
      <w:r>
        <w:rPr>
          <w:rFonts w:ascii="Times New Roman" w:hAnsi="Times New Roman" w:cs="Times New Roman"/>
          <w:b/>
        </w:rPr>
        <w:t xml:space="preserve">2.1 Source </w:t>
      </w:r>
      <w:r>
        <w:rPr>
          <w:rFonts w:ascii="Times New Roman" w:hAnsi="Times New Roman" w:cs="Times New Roman"/>
          <w:b/>
        </w:rPr>
        <w:t>of Raw Materials</w:t>
      </w:r>
    </w:p>
    <w:p w14:paraId="39065B42"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The bananas were bought from </w:t>
      </w:r>
      <w:proofErr w:type="spellStart"/>
      <w:r>
        <w:rPr>
          <w:rFonts w:ascii="Times New Roman" w:hAnsi="Times New Roman" w:cs="Times New Roman"/>
        </w:rPr>
        <w:t>Wurukum</w:t>
      </w:r>
      <w:proofErr w:type="spellEnd"/>
      <w:r>
        <w:rPr>
          <w:rFonts w:ascii="Times New Roman" w:hAnsi="Times New Roman" w:cs="Times New Roman"/>
        </w:rPr>
        <w:t xml:space="preserve"> market, while the oatmeal flour and honey were purchased from the Modern market. Other ingredients like sugar, fat, yeast and salt were purchased from North-bank market, Makurdi, Benue State, Nigeria; a</w:t>
      </w:r>
      <w:r>
        <w:rPr>
          <w:rFonts w:ascii="Times New Roman" w:hAnsi="Times New Roman" w:cs="Times New Roman"/>
        </w:rPr>
        <w:t>nd the equipment used were obtained from the processing laboratory of the department of Food Science and Technology, Joseph Sarwuan Tarka University, Makurdi.</w:t>
      </w:r>
    </w:p>
    <w:p w14:paraId="43E7B8B1" w14:textId="77777777" w:rsidR="007628E0" w:rsidRDefault="00A56C92">
      <w:pPr>
        <w:spacing w:line="240" w:lineRule="auto"/>
        <w:jc w:val="both"/>
        <w:rPr>
          <w:rFonts w:ascii="Times New Roman" w:hAnsi="Times New Roman" w:cs="Times New Roman"/>
          <w:b/>
          <w:bCs/>
        </w:rPr>
      </w:pPr>
      <w:r>
        <w:rPr>
          <w:rFonts w:ascii="Times New Roman" w:hAnsi="Times New Roman" w:cs="Times New Roman"/>
          <w:b/>
          <w:bCs/>
        </w:rPr>
        <w:t>2.2</w:t>
      </w:r>
      <w:r>
        <w:rPr>
          <w:rFonts w:ascii="Times New Roman" w:hAnsi="Times New Roman" w:cs="Times New Roman"/>
          <w:b/>
          <w:bCs/>
        </w:rPr>
        <w:tab/>
        <w:t>Sample Preparation</w:t>
      </w:r>
    </w:p>
    <w:p w14:paraId="2BA5445B" w14:textId="77777777" w:rsidR="007628E0" w:rsidRDefault="00A56C92">
      <w:pPr>
        <w:spacing w:line="240" w:lineRule="auto"/>
        <w:jc w:val="both"/>
        <w:rPr>
          <w:rFonts w:ascii="Times New Roman" w:hAnsi="Times New Roman" w:cs="Times New Roman"/>
          <w:b/>
          <w:bCs/>
        </w:rPr>
      </w:pPr>
      <w:r>
        <w:rPr>
          <w:rFonts w:ascii="Times New Roman" w:hAnsi="Times New Roman" w:cs="Times New Roman"/>
          <w:b/>
          <w:bCs/>
        </w:rPr>
        <w:t>2.2.1</w:t>
      </w:r>
      <w:r>
        <w:rPr>
          <w:rFonts w:ascii="Times New Roman" w:hAnsi="Times New Roman" w:cs="Times New Roman"/>
          <w:b/>
          <w:bCs/>
        </w:rPr>
        <w:tab/>
        <w:t>Preparation of Banana pulp/ oatmeal flour and blend formulation</w:t>
      </w:r>
    </w:p>
    <w:p w14:paraId="7E3C19AB"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banana was washed along with the skin to reduce contamination, peeled and mashed into a pulp with fork using modified method of Olufemi (2024). Oatmeal was milled into flour and formulated into blends with banana pulp and honey using the following ratios: </w:t>
      </w:r>
      <w:r>
        <w:rPr>
          <w:rFonts w:ascii="Times New Roman" w:hAnsi="Times New Roman" w:cs="Times New Roman"/>
        </w:rPr>
        <w:t>Sample A was 95% Oatmeal Flour: 0% Banana pulp: 5% Honey; B was 90% Oatmeal Flour: 5% Banana pulp: 5% Honey; C was 85% Oatmeal Flour: 10% Banana pulp: 5% Honey; D contained 80% Oatmeal Flour: 15% Banana pulp: 5% Honey while E contained 75% Oatmeal Flour: 2</w:t>
      </w:r>
      <w:r>
        <w:rPr>
          <w:rFonts w:ascii="Times New Roman" w:hAnsi="Times New Roman" w:cs="Times New Roman"/>
        </w:rPr>
        <w:t>0% Banana pulp: 5% Honey.</w:t>
      </w:r>
    </w:p>
    <w:p w14:paraId="62B1A151" w14:textId="77777777" w:rsidR="007628E0" w:rsidRDefault="00A56C92">
      <w:pPr>
        <w:spacing w:line="240" w:lineRule="auto"/>
        <w:jc w:val="both"/>
        <w:rPr>
          <w:rFonts w:ascii="Times New Roman" w:hAnsi="Times New Roman" w:cs="Times New Roman"/>
          <w:b/>
          <w:bCs/>
        </w:rPr>
      </w:pPr>
      <w:r>
        <w:rPr>
          <w:rFonts w:ascii="Times New Roman" w:hAnsi="Times New Roman" w:cs="Times New Roman"/>
          <w:b/>
          <w:bCs/>
        </w:rPr>
        <w:lastRenderedPageBreak/>
        <w:t>2.2.2</w:t>
      </w:r>
      <w:r>
        <w:rPr>
          <w:rFonts w:ascii="Times New Roman" w:hAnsi="Times New Roman" w:cs="Times New Roman"/>
          <w:b/>
          <w:bCs/>
        </w:rPr>
        <w:tab/>
        <w:t xml:space="preserve"> Preparation of Cookies</w:t>
      </w:r>
    </w:p>
    <w:p w14:paraId="5386855A" w14:textId="77777777" w:rsidR="007628E0" w:rsidRDefault="00A56C92">
      <w:pPr>
        <w:spacing w:line="240" w:lineRule="auto"/>
        <w:jc w:val="both"/>
        <w:rPr>
          <w:rFonts w:ascii="Times New Roman" w:hAnsi="Times New Roman" w:cs="Times New Roman"/>
        </w:rPr>
      </w:pPr>
      <w:r>
        <w:rPr>
          <w:rFonts w:ascii="Times New Roman" w:hAnsi="Times New Roman" w:cs="Times New Roman"/>
        </w:rPr>
        <w:t>The oat meal flour, ripe banana pulp blend was mixed thoroughly with ingredients which consisted of honey, vegetable oil, salt and baking powder. After thorough mixing, it was kneaded neatly, rolled a</w:t>
      </w:r>
      <w:r>
        <w:rPr>
          <w:rFonts w:ascii="Times New Roman" w:hAnsi="Times New Roman" w:cs="Times New Roman"/>
        </w:rPr>
        <w:t xml:space="preserve">nd cut into desired shape according to the modified method of Soni </w:t>
      </w:r>
      <w:r>
        <w:rPr>
          <w:rFonts w:ascii="Times New Roman" w:hAnsi="Times New Roman" w:cs="Times New Roman"/>
          <w:i/>
        </w:rPr>
        <w:t xml:space="preserve">et al. </w:t>
      </w:r>
      <w:r>
        <w:rPr>
          <w:rFonts w:ascii="Times New Roman" w:hAnsi="Times New Roman" w:cs="Times New Roman"/>
        </w:rPr>
        <w:t>(2018). The dough was baked for 30 minutes at 180°C and then packaged for sensory evaluation.</w:t>
      </w:r>
    </w:p>
    <w:p w14:paraId="6AB6C13C" w14:textId="77777777" w:rsidR="007628E0" w:rsidRDefault="00A56C92">
      <w:pPr>
        <w:pStyle w:val="Heading2"/>
        <w:rPr>
          <w:rFonts w:ascii="Times New Roman" w:hAnsi="Times New Roman" w:cs="Times New Roman"/>
          <w:b/>
          <w:sz w:val="24"/>
          <w:szCs w:val="24"/>
        </w:rPr>
      </w:pPr>
      <w:r>
        <w:rPr>
          <w:rFonts w:ascii="Times New Roman" w:hAnsi="Times New Roman" w:cs="Times New Roman"/>
          <w:b/>
          <w:color w:val="auto"/>
          <w:sz w:val="24"/>
          <w:szCs w:val="24"/>
        </w:rPr>
        <w:t>2.3 Proximate composition</w:t>
      </w:r>
      <w:r>
        <w:rPr>
          <w:rFonts w:ascii="Times New Roman" w:hAnsi="Times New Roman" w:cs="Times New Roman"/>
          <w:b/>
          <w:sz w:val="24"/>
          <w:szCs w:val="24"/>
        </w:rPr>
        <w:t xml:space="preserve"> </w:t>
      </w:r>
    </w:p>
    <w:p w14:paraId="001FF816" w14:textId="77777777" w:rsidR="007628E0" w:rsidRDefault="00A56C92">
      <w:pPr>
        <w:spacing w:line="240" w:lineRule="auto"/>
        <w:jc w:val="both"/>
        <w:rPr>
          <w:rFonts w:ascii="Times New Roman" w:hAnsi="Times New Roman" w:cs="Times New Roman"/>
        </w:rPr>
      </w:pPr>
      <w:r>
        <w:rPr>
          <w:rFonts w:ascii="Times New Roman" w:eastAsiaTheme="minorEastAsia" w:hAnsi="Times New Roman" w:cs="Times New Roman"/>
        </w:rPr>
        <w:t>Protein (micro-Kjeldahl procedure), fat (Soxhlet extraction m</w:t>
      </w:r>
      <w:r>
        <w:rPr>
          <w:rFonts w:ascii="Times New Roman" w:eastAsiaTheme="minorEastAsia" w:hAnsi="Times New Roman" w:cs="Times New Roman"/>
        </w:rPr>
        <w:t xml:space="preserve">ethod), moisture (dry oven method), crude </w:t>
      </w:r>
      <w:proofErr w:type="spellStart"/>
      <w:r>
        <w:rPr>
          <w:rFonts w:ascii="Times New Roman" w:eastAsiaTheme="minorEastAsia" w:hAnsi="Times New Roman" w:cs="Times New Roman"/>
        </w:rPr>
        <w:t>fibre</w:t>
      </w:r>
      <w:proofErr w:type="spellEnd"/>
      <w:r>
        <w:rPr>
          <w:rFonts w:ascii="Times New Roman" w:eastAsiaTheme="minorEastAsia" w:hAnsi="Times New Roman" w:cs="Times New Roman"/>
        </w:rPr>
        <w:t xml:space="preserve"> and ash were determined using the method of AOAC (2012).</w:t>
      </w:r>
    </w:p>
    <w:p w14:paraId="657D1CF0" w14:textId="77777777" w:rsidR="007628E0" w:rsidRDefault="00A56C92">
      <w:pPr>
        <w:pStyle w:val="Heading2"/>
        <w:spacing w:line="240" w:lineRule="auto"/>
        <w:rPr>
          <w:rFonts w:ascii="Times New Roman" w:hAnsi="Times New Roman" w:cs="Times New Roman"/>
          <w:b/>
          <w:color w:val="auto"/>
          <w:sz w:val="24"/>
          <w:szCs w:val="24"/>
        </w:rPr>
      </w:pPr>
      <w:bookmarkStart w:id="1" w:name="_Toc183525207"/>
      <w:r>
        <w:rPr>
          <w:rFonts w:ascii="Times New Roman" w:hAnsi="Times New Roman" w:cs="Times New Roman"/>
          <w:b/>
          <w:color w:val="auto"/>
          <w:sz w:val="24"/>
          <w:szCs w:val="24"/>
        </w:rPr>
        <w:t>2.4</w:t>
      </w:r>
      <w:r>
        <w:rPr>
          <w:rFonts w:ascii="Times New Roman" w:hAnsi="Times New Roman" w:cs="Times New Roman"/>
          <w:b/>
          <w:color w:val="auto"/>
          <w:sz w:val="24"/>
          <w:szCs w:val="24"/>
        </w:rPr>
        <w:tab/>
        <w:t>Determination of Physical Properties</w:t>
      </w:r>
      <w:bookmarkEnd w:id="1"/>
    </w:p>
    <w:p w14:paraId="0BCBFED4" w14:textId="77777777" w:rsidR="007628E0" w:rsidRDefault="00A56C92">
      <w:pPr>
        <w:spacing w:line="240" w:lineRule="auto"/>
        <w:rPr>
          <w:rFonts w:ascii="Times New Roman" w:hAnsi="Times New Roman" w:cs="Times New Roman"/>
        </w:rPr>
      </w:pPr>
      <w:r>
        <w:rPr>
          <w:rFonts w:ascii="Times New Roman" w:hAnsi="Times New Roman" w:cs="Times New Roman"/>
        </w:rPr>
        <w:t xml:space="preserve">Physical Properties such as weight, spread ratio, diameter and thickness were determined by the method described by Ayo </w:t>
      </w:r>
      <w:r>
        <w:rPr>
          <w:rFonts w:ascii="Times New Roman" w:hAnsi="Times New Roman" w:cs="Times New Roman"/>
          <w:i/>
          <w:iCs/>
        </w:rPr>
        <w:t>et al.</w:t>
      </w:r>
      <w:r>
        <w:rPr>
          <w:rFonts w:ascii="Times New Roman" w:hAnsi="Times New Roman" w:cs="Times New Roman"/>
        </w:rPr>
        <w:t xml:space="preserve"> (2007).</w:t>
      </w:r>
    </w:p>
    <w:p w14:paraId="2BFBD280"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b/>
          <w:bCs/>
        </w:rPr>
        <w:t>2.4.1 Weight and Diameter:</w:t>
      </w:r>
      <w:r>
        <w:rPr>
          <w:rFonts w:ascii="Times New Roman" w:hAnsi="Times New Roman" w:cs="Times New Roman"/>
        </w:rPr>
        <w:t xml:space="preserve"> The weight and the diameter of the baked cookies were determined by weighing on a weighing bal</w:t>
      </w:r>
      <w:r>
        <w:rPr>
          <w:rFonts w:ascii="Times New Roman" w:hAnsi="Times New Roman" w:cs="Times New Roman"/>
        </w:rPr>
        <w:t>ance (</w:t>
      </w:r>
      <w:proofErr w:type="spellStart"/>
      <w:r>
        <w:rPr>
          <w:rFonts w:ascii="Times New Roman" w:hAnsi="Times New Roman" w:cs="Times New Roman"/>
        </w:rPr>
        <w:t>Santual</w:t>
      </w:r>
      <w:proofErr w:type="spellEnd"/>
      <w:r>
        <w:rPr>
          <w:rFonts w:ascii="Times New Roman" w:hAnsi="Times New Roman" w:cs="Times New Roman"/>
        </w:rPr>
        <w:t xml:space="preserve"> Electronic Weighing Balance) and measuring with a calibrated ruler, respectively.</w:t>
      </w:r>
    </w:p>
    <w:p w14:paraId="76C736EA"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b/>
          <w:bCs/>
        </w:rPr>
        <w:t>2.4.2 Thickness:</w:t>
      </w:r>
      <w:r>
        <w:rPr>
          <w:rFonts w:ascii="Times New Roman" w:hAnsi="Times New Roman" w:cs="Times New Roman"/>
        </w:rPr>
        <w:t xml:space="preserve"> Thickness was determined using a calibrated ruler as described by Ayo </w:t>
      </w:r>
      <w:r>
        <w:rPr>
          <w:rFonts w:ascii="Times New Roman" w:hAnsi="Times New Roman" w:cs="Times New Roman"/>
          <w:i/>
          <w:iCs/>
        </w:rPr>
        <w:t>et al</w:t>
      </w:r>
      <w:r>
        <w:rPr>
          <w:rFonts w:ascii="Times New Roman" w:hAnsi="Times New Roman" w:cs="Times New Roman"/>
        </w:rPr>
        <w:t>. (2007) and using a digital Vernier caliper (Fowler, US). The measu</w:t>
      </w:r>
      <w:r>
        <w:rPr>
          <w:rFonts w:ascii="Times New Roman" w:hAnsi="Times New Roman" w:cs="Times New Roman"/>
        </w:rPr>
        <w:t>rement was repeated twice to get an average value and results were reported in mm (AACC, 2000).</w:t>
      </w:r>
    </w:p>
    <w:p w14:paraId="5392949C"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b/>
          <w:bCs/>
        </w:rPr>
        <w:t>2.4.3 Spread Ratio:</w:t>
      </w:r>
      <w:r>
        <w:rPr>
          <w:rFonts w:ascii="Times New Roman" w:hAnsi="Times New Roman" w:cs="Times New Roman"/>
        </w:rPr>
        <w:t xml:space="preserve"> Spread ratio was calculated as diameter (length) to thickness ratio (Shrestha and </w:t>
      </w:r>
      <w:proofErr w:type="spellStart"/>
      <w:r>
        <w:rPr>
          <w:rFonts w:ascii="Times New Roman" w:hAnsi="Times New Roman" w:cs="Times New Roman"/>
        </w:rPr>
        <w:t>Noomhorm</w:t>
      </w:r>
      <w:proofErr w:type="spellEnd"/>
      <w:r>
        <w:rPr>
          <w:rFonts w:ascii="Times New Roman" w:hAnsi="Times New Roman" w:cs="Times New Roman"/>
        </w:rPr>
        <w:t>, 2002) by using the following equation:</w:t>
      </w:r>
    </w:p>
    <w:p w14:paraId="395C0A33" w14:textId="77777777" w:rsidR="007628E0" w:rsidRDefault="00A56C92">
      <w:pPr>
        <w:spacing w:after="0" w:line="240" w:lineRule="auto"/>
        <w:jc w:val="both"/>
        <w:rPr>
          <w:rFonts w:ascii="Times New Roman" w:hAnsi="Times New Roman" w:cs="Times New Roman"/>
        </w:rPr>
      </w:pPr>
      <m:oMathPara>
        <m:oMath>
          <m:r>
            <w:rPr>
              <w:rFonts w:ascii="Cambria Math" w:hAnsi="Cambria Math" w:cs="Times New Roman"/>
            </w:rPr>
            <m:t>Spread</m:t>
          </m:r>
          <m:r>
            <w:rPr>
              <w:rFonts w:ascii="Cambria Math" w:hAnsi="Cambria Math" w:cs="Times New Roman"/>
            </w:rPr>
            <m:t xml:space="preserve"> </m:t>
          </m:r>
          <m:r>
            <w:rPr>
              <w:rFonts w:ascii="Cambria Math" w:hAnsi="Cambria Math" w:cs="Times New Roman"/>
            </w:rPr>
            <m:t>Ratio</m:t>
          </m:r>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Diameter</m:t>
              </m:r>
            </m:num>
            <m:den>
              <m:r>
                <w:rPr>
                  <w:rFonts w:ascii="Cambria Math" w:hAnsi="Cambria Math" w:cs="Times New Roman"/>
                </w:rPr>
                <m:t>T</m:t>
              </m:r>
              <m:r>
                <w:rPr>
                  <w:rFonts w:ascii="Cambria Math" w:hAnsi="Cambria Math" w:cs="Times New Roman"/>
                </w:rPr>
                <m:t>h</m:t>
              </m:r>
              <m:r>
                <w:rPr>
                  <w:rFonts w:ascii="Cambria Math" w:hAnsi="Cambria Math" w:cs="Times New Roman"/>
                </w:rPr>
                <m:t>ickness</m:t>
              </m:r>
            </m:den>
          </m:f>
        </m:oMath>
      </m:oMathPara>
    </w:p>
    <w:p w14:paraId="1B002517" w14:textId="77777777" w:rsidR="007628E0" w:rsidRDefault="00A56C92">
      <w:pPr>
        <w:spacing w:after="0" w:line="240" w:lineRule="auto"/>
        <w:jc w:val="both"/>
        <w:rPr>
          <w:rFonts w:ascii="Times New Roman" w:eastAsiaTheme="minorEastAsia" w:hAnsi="Times New Roman" w:cs="Times New Roman"/>
          <w:b/>
          <w:bCs/>
        </w:rPr>
      </w:pPr>
      <w:r>
        <w:rPr>
          <w:rFonts w:ascii="Times New Roman" w:eastAsiaTheme="minorEastAsia" w:hAnsi="Times New Roman" w:cs="Times New Roman"/>
          <w:b/>
          <w:bCs/>
        </w:rPr>
        <w:t>2.5</w:t>
      </w:r>
      <w:r>
        <w:rPr>
          <w:rFonts w:ascii="Times New Roman" w:eastAsiaTheme="minorEastAsia" w:hAnsi="Times New Roman" w:cs="Times New Roman"/>
          <w:b/>
          <w:bCs/>
        </w:rPr>
        <w:tab/>
        <w:t>Mineral Analysis</w:t>
      </w:r>
    </w:p>
    <w:p w14:paraId="6F9B9FAC" w14:textId="77777777" w:rsidR="007628E0" w:rsidRDefault="00A56C92">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The mineral contents of the test samples were determined by the dry ash extraction method following each specific mineral element as described by AOAC (2OO5). Twenty (20) grams</w:t>
      </w:r>
      <w:r>
        <w:rPr>
          <w:rFonts w:ascii="Times New Roman" w:eastAsiaTheme="minorEastAsia" w:hAnsi="Times New Roman" w:cs="Times New Roman"/>
        </w:rPr>
        <w:t xml:space="preserve"> of the test sample was burnt to ash and resulting ash was dissolved in 100ml of dilute hydrochloric acid (1MHCL) and then diluted to 100ml volumetric flask using distilled water. The solution was used for the various analysis of mineral.</w:t>
      </w:r>
    </w:p>
    <w:p w14:paraId="40496BCA" w14:textId="77777777" w:rsidR="007628E0" w:rsidRDefault="00A56C92">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bCs/>
        </w:rPr>
        <w:t>2.5.1 Determinati</w:t>
      </w:r>
      <w:r>
        <w:rPr>
          <w:rFonts w:ascii="Times New Roman" w:eastAsiaTheme="minorEastAsia" w:hAnsi="Times New Roman" w:cs="Times New Roman"/>
          <w:b/>
          <w:bCs/>
        </w:rPr>
        <w:t>on of Calcium (Ca):</w:t>
      </w:r>
      <w:r>
        <w:rPr>
          <w:rFonts w:ascii="Times New Roman" w:eastAsiaTheme="minorEastAsia" w:hAnsi="Times New Roman" w:cs="Times New Roman"/>
        </w:rPr>
        <w:t xml:space="preserve"> Calcium contents of the test sample was determined by the EDTA complex isometric titration. Twenty (20) ml of each extract was dispersed into a conical flask and panels of the masking agents, </w:t>
      </w:r>
      <w:proofErr w:type="spellStart"/>
      <w:r>
        <w:rPr>
          <w:rFonts w:ascii="Times New Roman" w:eastAsiaTheme="minorEastAsia" w:hAnsi="Times New Roman" w:cs="Times New Roman"/>
        </w:rPr>
        <w:t>hydroxytannin</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hydrochlorate</w:t>
      </w:r>
      <w:proofErr w:type="spellEnd"/>
      <w:r>
        <w:rPr>
          <w:rFonts w:ascii="Times New Roman" w:eastAsiaTheme="minorEastAsia" w:hAnsi="Times New Roman" w:cs="Times New Roman"/>
        </w:rPr>
        <w:t xml:space="preserve"> and potassium c</w:t>
      </w:r>
      <w:r>
        <w:rPr>
          <w:rFonts w:ascii="Times New Roman" w:eastAsiaTheme="minorEastAsia" w:hAnsi="Times New Roman" w:cs="Times New Roman"/>
        </w:rPr>
        <w:t xml:space="preserve">yanide were added followed by 20ml of ammonia buffer (pH 10.0). A pinch of the indicator-Ferrochrome black was added and the mixture was shaken well. It was titrated against 0.02N EDTA solution. </w:t>
      </w:r>
    </w:p>
    <w:p w14:paraId="5BB90A36" w14:textId="77777777" w:rsidR="007628E0" w:rsidRDefault="00A56C92">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The calcium contents were calculated using the formula below</w:t>
      </w:r>
      <w:r>
        <w:rPr>
          <w:rFonts w:ascii="Times New Roman" w:eastAsiaTheme="minorEastAsia" w:hAnsi="Times New Roman" w:cs="Times New Roman"/>
        </w:rPr>
        <w:t>:</w:t>
      </w:r>
    </w:p>
    <w:p w14:paraId="64C98DAF" w14:textId="77777777" w:rsidR="007628E0" w:rsidRDefault="00A56C92">
      <w:pPr>
        <w:spacing w:after="0" w:line="240" w:lineRule="auto"/>
        <w:jc w:val="both"/>
        <w:rPr>
          <w:rFonts w:ascii="Times New Roman" w:eastAsiaTheme="minorEastAsia" w:hAnsi="Times New Roman" w:cs="Times New Roman"/>
        </w:rPr>
      </w:pPr>
      <m:oMathPara>
        <m:oMath>
          <m:r>
            <w:rPr>
              <w:rFonts w:ascii="Cambria Math" w:eastAsiaTheme="minorEastAsia" w:hAnsi="Cambria Math" w:cs="Times New Roman"/>
            </w:rPr>
            <m:t>Calcium</m:t>
          </m:r>
          <m:r>
            <w:rPr>
              <w:rFonts w:ascii="Cambria Math" w:eastAsiaTheme="minorEastAsia" w:hAnsi="Cambria Math" w:cs="Times New Roman"/>
            </w:rPr>
            <m:t xml:space="preserve"> (</m:t>
          </m:r>
          <m:r>
            <w:rPr>
              <w:rFonts w:ascii="Cambria Math" w:eastAsiaTheme="minorEastAsia" w:hAnsi="Cambria Math" w:cs="Times New Roman"/>
            </w:rPr>
            <m:t>mg</m:t>
          </m:r>
          <m:r>
            <w:rPr>
              <w:rFonts w:ascii="Cambria Math" w:eastAsiaTheme="minorEastAsia" w:hAnsi="Cambria Math" w:cs="Times New Roman"/>
            </w:rPr>
            <m:t>/100</m:t>
          </m:r>
          <m:r>
            <w:rPr>
              <w:rFonts w:ascii="Cambria Math" w:eastAsiaTheme="minorEastAsia" w:hAnsi="Cambria Math" w:cs="Times New Roman"/>
            </w:rPr>
            <m:t>g</m:t>
          </m:r>
          <m:r>
            <w:rPr>
              <w:rFonts w:ascii="Cambria Math" w:eastAsiaTheme="minorEastAsia" w:hAnsi="Cambria Math" w:cs="Times New Roman"/>
            </w:rPr>
            <m:t xml:space="preserve"> )= </m:t>
          </m:r>
          <m:f>
            <m:fPr>
              <m:ctrlPr>
                <w:rPr>
                  <w:rFonts w:ascii="Cambria Math" w:eastAsiaTheme="minorEastAsia" w:hAnsi="Cambria Math" w:cs="Times New Roman"/>
                  <w:i/>
                </w:rPr>
              </m:ctrlPr>
            </m:fPr>
            <m:num>
              <m:r>
                <w:rPr>
                  <w:rFonts w:ascii="Cambria Math" w:eastAsiaTheme="minorEastAsia" w:hAnsi="Cambria Math" w:cs="Times New Roman"/>
                </w:rPr>
                <m:t>Tv</m:t>
              </m:r>
              <m:r>
                <w:rPr>
                  <w:rFonts w:ascii="Cambria Math" w:eastAsiaTheme="minorEastAsia" w:hAnsi="Cambria Math" w:cs="Times New Roman"/>
                </w:rPr>
                <m:t>×0.4008 ×1000</m:t>
              </m:r>
            </m:num>
            <m:den>
              <m:r>
                <w:rPr>
                  <w:rFonts w:ascii="Cambria Math" w:eastAsiaTheme="minorEastAsia" w:hAnsi="Cambria Math" w:cs="Times New Roman"/>
                </w:rPr>
                <m:t>Vol</m:t>
              </m:r>
              <m:r>
                <w:rPr>
                  <w:rFonts w:ascii="Cambria Math" w:eastAsiaTheme="minorEastAsia" w:hAnsi="Cambria Math" w:cs="Times New Roman"/>
                </w:rPr>
                <m:t xml:space="preserve">  </m:t>
              </m:r>
              <m:r>
                <w:rPr>
                  <w:rFonts w:ascii="Cambria Math" w:eastAsiaTheme="minorEastAsia" w:hAnsi="Cambria Math" w:cs="Times New Roman"/>
                </w:rPr>
                <m:t>of</m:t>
              </m:r>
              <m:r>
                <w:rPr>
                  <w:rFonts w:ascii="Cambria Math" w:eastAsiaTheme="minorEastAsia" w:hAnsi="Cambria Math" w:cs="Times New Roman"/>
                </w:rPr>
                <m:t xml:space="preserve"> </m:t>
              </m:r>
              <m:r>
                <w:rPr>
                  <w:rFonts w:ascii="Cambria Math" w:eastAsiaTheme="minorEastAsia" w:hAnsi="Cambria Math" w:cs="Times New Roman"/>
                </w:rPr>
                <m:t>sample</m:t>
              </m:r>
              <m:r>
                <w:rPr>
                  <w:rFonts w:ascii="Cambria Math" w:eastAsiaTheme="minorEastAsia" w:hAnsi="Cambria Math" w:cs="Times New Roman"/>
                </w:rPr>
                <m:t xml:space="preserve"> </m:t>
              </m:r>
              <m:r>
                <w:rPr>
                  <w:rFonts w:ascii="Cambria Math" w:eastAsiaTheme="minorEastAsia" w:hAnsi="Cambria Math" w:cs="Times New Roman"/>
                </w:rPr>
                <m:t>used</m:t>
              </m:r>
            </m:den>
          </m:f>
        </m:oMath>
      </m:oMathPara>
    </w:p>
    <w:p w14:paraId="234D6B23" w14:textId="77777777" w:rsidR="007628E0" w:rsidRDefault="00A56C92">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bCs/>
        </w:rPr>
        <w:t xml:space="preserve"> 2.5.2 Determination of Potassium (K):</w:t>
      </w:r>
      <w:r>
        <w:rPr>
          <w:rFonts w:ascii="Times New Roman" w:eastAsiaTheme="minorEastAsia" w:hAnsi="Times New Roman" w:cs="Times New Roman"/>
        </w:rPr>
        <w:t xml:space="preserve"> The concentrations of potassium (ppm) was analyzed using UV-spectrophotometer at a wavelength of 766.5 nm, and the concentration in m</w:t>
      </w:r>
      <w:r>
        <w:rPr>
          <w:rFonts w:ascii="Times New Roman" w:eastAsiaTheme="minorEastAsia" w:hAnsi="Times New Roman" w:cs="Times New Roman"/>
        </w:rPr>
        <w:t>g/100 g was calculated using the formula below:</w:t>
      </w:r>
    </w:p>
    <w:p w14:paraId="6C13DB27" w14:textId="77777777" w:rsidR="007628E0" w:rsidRDefault="00A56C92">
      <w:pPr>
        <w:spacing w:after="0" w:line="240" w:lineRule="auto"/>
        <w:jc w:val="both"/>
        <w:rPr>
          <w:rFonts w:ascii="Times New Roman" w:eastAsiaTheme="minorEastAsia" w:hAnsi="Times New Roman" w:cs="Times New Roman"/>
        </w:rPr>
      </w:pPr>
      <m:oMathPara>
        <m:oMath>
          <m:r>
            <w:rPr>
              <w:rFonts w:ascii="Cambria Math" w:eastAsiaTheme="minorEastAsia" w:hAnsi="Cambria Math" w:cs="Times New Roman"/>
            </w:rPr>
            <m:t>Potassium</m:t>
          </m:r>
          <m:r>
            <w:rPr>
              <w:rFonts w:ascii="Cambria Math" w:eastAsiaTheme="minorEastAsia" w:hAnsi="Cambria Math" w:cs="Times New Roman"/>
            </w:rPr>
            <m:t xml:space="preserve"> (</m:t>
          </m:r>
          <m:r>
            <w:rPr>
              <w:rFonts w:ascii="Cambria Math" w:eastAsiaTheme="minorEastAsia" w:hAnsi="Cambria Math" w:cs="Times New Roman"/>
            </w:rPr>
            <m:t>mg</m:t>
          </m:r>
          <m:r>
            <w:rPr>
              <w:rFonts w:ascii="Cambria Math" w:eastAsiaTheme="minorEastAsia" w:hAnsi="Cambria Math" w:cs="Times New Roman"/>
            </w:rPr>
            <m:t>/ 100</m:t>
          </m:r>
          <m:r>
            <w:rPr>
              <w:rFonts w:ascii="Cambria Math" w:eastAsiaTheme="minorEastAsia" w:hAnsi="Cambria Math" w:cs="Times New Roman"/>
            </w:rPr>
            <m:t>g</m:t>
          </m:r>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concentration</m:t>
              </m:r>
              <m: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rPr>
                    <m:t>ppm</m:t>
                  </m:r>
                </m:e>
              </m:d>
              <m:r>
                <w:rPr>
                  <w:rFonts w:ascii="Cambria Math" w:eastAsiaTheme="minorEastAsia" w:hAnsi="Cambria Math" w:cs="Times New Roman"/>
                </w:rPr>
                <m:t>×</m:t>
              </m:r>
              <m:r>
                <w:rPr>
                  <w:rFonts w:ascii="Cambria Math" w:eastAsiaTheme="minorEastAsia" w:hAnsi="Cambria Math" w:cs="Times New Roman"/>
                </w:rPr>
                <m:t>Dilution</m:t>
              </m:r>
              <m:r>
                <w:rPr>
                  <w:rFonts w:ascii="Cambria Math" w:eastAsiaTheme="minorEastAsia" w:hAnsi="Cambria Math" w:cs="Times New Roman"/>
                </w:rPr>
                <m:t xml:space="preserve"> </m:t>
              </m:r>
              <m:r>
                <w:rPr>
                  <w:rFonts w:ascii="Cambria Math" w:eastAsiaTheme="minorEastAsia" w:hAnsi="Cambria Math" w:cs="Times New Roman"/>
                </w:rPr>
                <m:t>Factor</m:t>
              </m:r>
              <m:r>
                <w:rPr>
                  <w:rFonts w:ascii="Cambria Math" w:eastAsiaTheme="minorEastAsia" w:hAnsi="Cambria Math" w:cs="Times New Roman"/>
                </w:rPr>
                <m:t xml:space="preserve"> ×100</m:t>
              </m:r>
            </m:num>
            <m:den>
              <m:r>
                <w:rPr>
                  <w:rFonts w:ascii="Cambria Math" w:eastAsiaTheme="minorEastAsia" w:hAnsi="Cambria Math" w:cs="Times New Roman"/>
                </w:rPr>
                <m:t>Weig</m:t>
              </m:r>
              <m:r>
                <w:rPr>
                  <w:rFonts w:ascii="Cambria Math" w:eastAsiaTheme="minorEastAsia" w:hAnsi="Cambria Math" w:cs="Times New Roman"/>
                </w:rPr>
                <m:t>h</m:t>
              </m:r>
              <m:r>
                <w:rPr>
                  <w:rFonts w:ascii="Cambria Math" w:eastAsiaTheme="minorEastAsia" w:hAnsi="Cambria Math" w:cs="Times New Roman"/>
                </w:rPr>
                <m:t>t</m:t>
              </m:r>
              <m:r>
                <w:rPr>
                  <w:rFonts w:ascii="Cambria Math" w:eastAsiaTheme="minorEastAsia" w:hAnsi="Cambria Math" w:cs="Times New Roman"/>
                </w:rPr>
                <m:t xml:space="preserve"> </m:t>
              </m:r>
              <m:r>
                <w:rPr>
                  <w:rFonts w:ascii="Cambria Math" w:eastAsiaTheme="minorEastAsia" w:hAnsi="Cambria Math" w:cs="Times New Roman"/>
                </w:rPr>
                <m:t>of</m:t>
              </m:r>
              <m:r>
                <w:rPr>
                  <w:rFonts w:ascii="Cambria Math" w:eastAsiaTheme="minorEastAsia" w:hAnsi="Cambria Math" w:cs="Times New Roman"/>
                </w:rPr>
                <m:t xml:space="preserve"> </m:t>
              </m:r>
              <m:r>
                <w:rPr>
                  <w:rFonts w:ascii="Cambria Math" w:eastAsiaTheme="minorEastAsia" w:hAnsi="Cambria Math" w:cs="Times New Roman"/>
                </w:rPr>
                <m:t>sample</m:t>
              </m:r>
            </m:den>
          </m:f>
          <m:r>
            <w:rPr>
              <w:rFonts w:ascii="Cambria Math" w:eastAsiaTheme="minorEastAsia" w:hAnsi="Cambria Math" w:cs="Times New Roman"/>
            </w:rPr>
            <m:t xml:space="preserve"> </m:t>
          </m:r>
        </m:oMath>
      </m:oMathPara>
    </w:p>
    <w:p w14:paraId="50CB6546" w14:textId="77777777" w:rsidR="007628E0" w:rsidRDefault="00A56C92">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bCs/>
        </w:rPr>
        <w:t>2.5.3 Determination of Iron (Fe):</w:t>
      </w:r>
      <w:r>
        <w:rPr>
          <w:rFonts w:ascii="Times New Roman" w:eastAsiaTheme="minorEastAsia" w:hAnsi="Times New Roman" w:cs="Times New Roman"/>
        </w:rPr>
        <w:t xml:space="preserve"> The concentrations of iron (mg/100g) was </w:t>
      </w:r>
      <w:proofErr w:type="spellStart"/>
      <w:r>
        <w:rPr>
          <w:rFonts w:ascii="Times New Roman" w:eastAsiaTheme="minorEastAsia" w:hAnsi="Times New Roman" w:cs="Times New Roman"/>
        </w:rPr>
        <w:t>analysed</w:t>
      </w:r>
      <w:proofErr w:type="spellEnd"/>
      <w:r>
        <w:rPr>
          <w:rFonts w:ascii="Times New Roman" w:eastAsiaTheme="minorEastAsia" w:hAnsi="Times New Roman" w:cs="Times New Roman"/>
        </w:rPr>
        <w:t xml:space="preserve"> using atomic absorption spectrophotometer at a wavelength of 243nm and the concentration in mg/ 100 g was calculated using the following equation:</w:t>
      </w:r>
    </w:p>
    <w:p w14:paraId="25F8FCE2" w14:textId="77777777" w:rsidR="007628E0" w:rsidRDefault="00A56C92">
      <w:pPr>
        <w:spacing w:after="0" w:line="240" w:lineRule="auto"/>
        <w:jc w:val="both"/>
        <w:rPr>
          <w:rFonts w:ascii="Times New Roman" w:eastAsiaTheme="minorEastAsia" w:hAnsi="Times New Roman" w:cs="Times New Roman"/>
        </w:rPr>
      </w:pPr>
      <m:oMathPara>
        <m:oMath>
          <m:r>
            <w:rPr>
              <w:rFonts w:ascii="Cambria Math" w:eastAsiaTheme="minorEastAsia" w:hAnsi="Cambria Math" w:cs="Times New Roman"/>
            </w:rPr>
            <w:lastRenderedPageBreak/>
            <m:t>Iron</m:t>
          </m:r>
          <m:r>
            <w:rPr>
              <w:rFonts w:ascii="Cambria Math" w:eastAsiaTheme="minorEastAsia" w:hAnsi="Cambria Math" w:cs="Times New Roman"/>
            </w:rPr>
            <m:t xml:space="preserve">  (</m:t>
          </m:r>
          <m:r>
            <w:rPr>
              <w:rFonts w:ascii="Cambria Math" w:eastAsiaTheme="minorEastAsia" w:hAnsi="Cambria Math" w:cs="Times New Roman"/>
            </w:rPr>
            <m:t>mg</m:t>
          </m:r>
          <m:r>
            <w:rPr>
              <w:rFonts w:ascii="Cambria Math" w:eastAsiaTheme="minorEastAsia" w:hAnsi="Cambria Math" w:cs="Times New Roman"/>
            </w:rPr>
            <m:t>/ 100</m:t>
          </m:r>
          <m:r>
            <w:rPr>
              <w:rFonts w:ascii="Cambria Math" w:eastAsiaTheme="minorEastAsia" w:hAnsi="Cambria Math" w:cs="Times New Roman"/>
            </w:rPr>
            <m:t>g</m:t>
          </m:r>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concentration</m:t>
              </m:r>
              <m: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rPr>
                    <m:t>ppm</m:t>
                  </m:r>
                </m:e>
              </m:d>
              <m:r>
                <w:rPr>
                  <w:rFonts w:ascii="Cambria Math" w:eastAsiaTheme="minorEastAsia" w:hAnsi="Cambria Math" w:cs="Times New Roman"/>
                </w:rPr>
                <m:t>×</m:t>
              </m:r>
              <m:r>
                <w:rPr>
                  <w:rFonts w:ascii="Cambria Math" w:eastAsiaTheme="minorEastAsia" w:hAnsi="Cambria Math" w:cs="Times New Roman"/>
                </w:rPr>
                <m:t>Dilution</m:t>
              </m:r>
              <m:r>
                <w:rPr>
                  <w:rFonts w:ascii="Cambria Math" w:eastAsiaTheme="minorEastAsia" w:hAnsi="Cambria Math" w:cs="Times New Roman"/>
                </w:rPr>
                <m:t xml:space="preserve"> </m:t>
              </m:r>
              <m:r>
                <w:rPr>
                  <w:rFonts w:ascii="Cambria Math" w:eastAsiaTheme="minorEastAsia" w:hAnsi="Cambria Math" w:cs="Times New Roman"/>
                </w:rPr>
                <m:t>Factor</m:t>
              </m:r>
              <m:r>
                <w:rPr>
                  <w:rFonts w:ascii="Cambria Math" w:eastAsiaTheme="minorEastAsia" w:hAnsi="Cambria Math" w:cs="Times New Roman"/>
                </w:rPr>
                <m:t xml:space="preserve"> ×100</m:t>
              </m:r>
            </m:num>
            <m:den>
              <m:r>
                <w:rPr>
                  <w:rFonts w:ascii="Cambria Math" w:eastAsiaTheme="minorEastAsia" w:hAnsi="Cambria Math" w:cs="Times New Roman"/>
                </w:rPr>
                <m:t>Wei</m:t>
              </m:r>
              <m:r>
                <w:rPr>
                  <w:rFonts w:ascii="Cambria Math" w:eastAsiaTheme="minorEastAsia" w:hAnsi="Cambria Math" w:cs="Times New Roman"/>
                </w:rPr>
                <m:t>g</m:t>
              </m:r>
              <m:r>
                <w:rPr>
                  <w:rFonts w:ascii="Cambria Math" w:eastAsiaTheme="minorEastAsia" w:hAnsi="Cambria Math" w:cs="Times New Roman"/>
                </w:rPr>
                <m:t>h</m:t>
              </m:r>
              <m:r>
                <w:rPr>
                  <w:rFonts w:ascii="Cambria Math" w:eastAsiaTheme="minorEastAsia" w:hAnsi="Cambria Math" w:cs="Times New Roman"/>
                </w:rPr>
                <m:t>t</m:t>
              </m:r>
              <m:r>
                <w:rPr>
                  <w:rFonts w:ascii="Cambria Math" w:eastAsiaTheme="minorEastAsia" w:hAnsi="Cambria Math" w:cs="Times New Roman"/>
                </w:rPr>
                <m:t xml:space="preserve"> </m:t>
              </m:r>
              <m:r>
                <w:rPr>
                  <w:rFonts w:ascii="Cambria Math" w:eastAsiaTheme="minorEastAsia" w:hAnsi="Cambria Math" w:cs="Times New Roman"/>
                </w:rPr>
                <m:t>of</m:t>
              </m:r>
              <m:r>
                <w:rPr>
                  <w:rFonts w:ascii="Cambria Math" w:eastAsiaTheme="minorEastAsia" w:hAnsi="Cambria Math" w:cs="Times New Roman"/>
                </w:rPr>
                <m:t xml:space="preserve"> </m:t>
              </m:r>
              <m:r>
                <w:rPr>
                  <w:rFonts w:ascii="Cambria Math" w:eastAsiaTheme="minorEastAsia" w:hAnsi="Cambria Math" w:cs="Times New Roman"/>
                </w:rPr>
                <m:t>sample</m:t>
              </m:r>
            </m:den>
          </m:f>
        </m:oMath>
      </m:oMathPara>
    </w:p>
    <w:p w14:paraId="5C0A2465" w14:textId="77777777" w:rsidR="007628E0" w:rsidRDefault="00A56C92">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bCs/>
        </w:rPr>
        <w:t>2.5.4 Determination of Sodium (Na):</w:t>
      </w:r>
      <w:r>
        <w:rPr>
          <w:rFonts w:ascii="Times New Roman" w:eastAsiaTheme="minorEastAsia" w:hAnsi="Times New Roman" w:cs="Times New Roman"/>
        </w:rPr>
        <w:t xml:space="preserve"> The concentrations of sodium (ppm) was </w:t>
      </w:r>
      <w:proofErr w:type="spellStart"/>
      <w:r>
        <w:rPr>
          <w:rFonts w:ascii="Times New Roman" w:eastAsiaTheme="minorEastAsia" w:hAnsi="Times New Roman" w:cs="Times New Roman"/>
        </w:rPr>
        <w:t>analysed</w:t>
      </w:r>
      <w:proofErr w:type="spellEnd"/>
      <w:r>
        <w:rPr>
          <w:rFonts w:ascii="Times New Roman" w:eastAsiaTheme="minorEastAsia" w:hAnsi="Times New Roman" w:cs="Times New Roman"/>
        </w:rPr>
        <w:t xml:space="preserve"> using atomic absorption spectrometer at a wavelength of 243nm and the concentration in mg/100 g was calculated using the following equation:</w:t>
      </w:r>
    </w:p>
    <w:p w14:paraId="0C231CAC" w14:textId="77777777" w:rsidR="007628E0" w:rsidRDefault="00A56C92">
      <w:pPr>
        <w:spacing w:after="0" w:line="240" w:lineRule="auto"/>
        <w:jc w:val="both"/>
        <w:rPr>
          <w:rFonts w:ascii="Times New Roman" w:eastAsiaTheme="minorEastAsia" w:hAnsi="Times New Roman" w:cs="Times New Roman"/>
        </w:rPr>
      </w:pPr>
      <m:oMathPara>
        <m:oMath>
          <m:r>
            <w:rPr>
              <w:rFonts w:ascii="Cambria Math" w:eastAsiaTheme="minorEastAsia" w:hAnsi="Cambria Math" w:cs="Times New Roman"/>
            </w:rPr>
            <m:t>Sodi</m:t>
          </m:r>
          <m:r>
            <w:rPr>
              <w:rFonts w:ascii="Cambria Math" w:eastAsiaTheme="minorEastAsia" w:hAnsi="Cambria Math" w:cs="Times New Roman"/>
            </w:rPr>
            <m:t>um</m:t>
          </m:r>
          <m:r>
            <w:rPr>
              <w:rFonts w:ascii="Cambria Math" w:eastAsiaTheme="minorEastAsia" w:hAnsi="Cambria Math" w:cs="Times New Roman"/>
            </w:rPr>
            <m:t xml:space="preserve"> (</m:t>
          </m:r>
          <m:r>
            <w:rPr>
              <w:rFonts w:ascii="Cambria Math" w:eastAsiaTheme="minorEastAsia" w:hAnsi="Cambria Math" w:cs="Times New Roman"/>
            </w:rPr>
            <m:t>mg</m:t>
          </m:r>
          <m:r>
            <w:rPr>
              <w:rFonts w:ascii="Cambria Math" w:eastAsiaTheme="minorEastAsia" w:hAnsi="Cambria Math" w:cs="Times New Roman"/>
            </w:rPr>
            <m:t>/ 100</m:t>
          </m:r>
          <m:r>
            <w:rPr>
              <w:rFonts w:ascii="Cambria Math" w:eastAsiaTheme="minorEastAsia" w:hAnsi="Cambria Math" w:cs="Times New Roman"/>
            </w:rPr>
            <m:t>g</m:t>
          </m:r>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concentration</m:t>
              </m:r>
              <m: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rPr>
                    <m:t>ppm</m:t>
                  </m:r>
                </m:e>
              </m:d>
              <m:r>
                <w:rPr>
                  <w:rFonts w:ascii="Cambria Math" w:eastAsiaTheme="minorEastAsia" w:hAnsi="Cambria Math" w:cs="Times New Roman"/>
                </w:rPr>
                <m:t>×</m:t>
              </m:r>
              <m:r>
                <w:rPr>
                  <w:rFonts w:ascii="Cambria Math" w:eastAsiaTheme="minorEastAsia" w:hAnsi="Cambria Math" w:cs="Times New Roman"/>
                </w:rPr>
                <m:t>Dilution</m:t>
              </m:r>
              <m:r>
                <w:rPr>
                  <w:rFonts w:ascii="Cambria Math" w:eastAsiaTheme="minorEastAsia" w:hAnsi="Cambria Math" w:cs="Times New Roman"/>
                </w:rPr>
                <m:t xml:space="preserve"> </m:t>
              </m:r>
              <m:r>
                <w:rPr>
                  <w:rFonts w:ascii="Cambria Math" w:eastAsiaTheme="minorEastAsia" w:hAnsi="Cambria Math" w:cs="Times New Roman"/>
                </w:rPr>
                <m:t>Factor</m:t>
              </m:r>
              <m:r>
                <w:rPr>
                  <w:rFonts w:ascii="Cambria Math" w:eastAsiaTheme="minorEastAsia" w:hAnsi="Cambria Math" w:cs="Times New Roman"/>
                </w:rPr>
                <m:t xml:space="preserve"> ×100</m:t>
              </m:r>
            </m:num>
            <m:den>
              <m:r>
                <w:rPr>
                  <w:rFonts w:ascii="Cambria Math" w:eastAsiaTheme="minorEastAsia" w:hAnsi="Cambria Math" w:cs="Times New Roman"/>
                </w:rPr>
                <m:t>Weig</m:t>
              </m:r>
              <m:r>
                <w:rPr>
                  <w:rFonts w:ascii="Cambria Math" w:eastAsiaTheme="minorEastAsia" w:hAnsi="Cambria Math" w:cs="Times New Roman"/>
                </w:rPr>
                <m:t>h</m:t>
              </m:r>
              <m:r>
                <w:rPr>
                  <w:rFonts w:ascii="Cambria Math" w:eastAsiaTheme="minorEastAsia" w:hAnsi="Cambria Math" w:cs="Times New Roman"/>
                </w:rPr>
                <m:t>t</m:t>
              </m:r>
              <m:r>
                <w:rPr>
                  <w:rFonts w:ascii="Cambria Math" w:eastAsiaTheme="minorEastAsia" w:hAnsi="Cambria Math" w:cs="Times New Roman"/>
                </w:rPr>
                <m:t xml:space="preserve"> </m:t>
              </m:r>
              <m:r>
                <w:rPr>
                  <w:rFonts w:ascii="Cambria Math" w:eastAsiaTheme="minorEastAsia" w:hAnsi="Cambria Math" w:cs="Times New Roman"/>
                </w:rPr>
                <m:t>of</m:t>
              </m:r>
              <m:r>
                <w:rPr>
                  <w:rFonts w:ascii="Cambria Math" w:eastAsiaTheme="minorEastAsia" w:hAnsi="Cambria Math" w:cs="Times New Roman"/>
                </w:rPr>
                <m:t xml:space="preserve"> </m:t>
              </m:r>
              <m:r>
                <w:rPr>
                  <w:rFonts w:ascii="Cambria Math" w:eastAsiaTheme="minorEastAsia" w:hAnsi="Cambria Math" w:cs="Times New Roman"/>
                </w:rPr>
                <m:t>sample</m:t>
              </m:r>
            </m:den>
          </m:f>
        </m:oMath>
      </m:oMathPara>
    </w:p>
    <w:p w14:paraId="3A0FAE21" w14:textId="77777777" w:rsidR="007628E0" w:rsidRDefault="00A56C92">
      <w:pPr>
        <w:pStyle w:val="Heading2"/>
        <w:spacing w:line="240" w:lineRule="auto"/>
        <w:rPr>
          <w:rFonts w:ascii="Times New Roman" w:hAnsi="Times New Roman" w:cs="Times New Roman"/>
          <w:b/>
          <w:color w:val="auto"/>
          <w:sz w:val="24"/>
          <w:szCs w:val="24"/>
          <w:shd w:val="clear" w:color="auto" w:fill="FFFFFF"/>
        </w:rPr>
      </w:pPr>
      <w:bookmarkStart w:id="2" w:name="_Toc183525209"/>
      <w:r>
        <w:rPr>
          <w:rFonts w:ascii="Times New Roman" w:hAnsi="Times New Roman" w:cs="Times New Roman"/>
          <w:b/>
          <w:color w:val="auto"/>
          <w:sz w:val="24"/>
          <w:szCs w:val="24"/>
          <w:shd w:val="clear" w:color="auto" w:fill="FFFFFF"/>
        </w:rPr>
        <w:t>2.6</w:t>
      </w:r>
      <w:r>
        <w:rPr>
          <w:rFonts w:ascii="Times New Roman" w:hAnsi="Times New Roman" w:cs="Times New Roman"/>
          <w:b/>
          <w:color w:val="auto"/>
          <w:sz w:val="24"/>
          <w:szCs w:val="24"/>
          <w:shd w:val="clear" w:color="auto" w:fill="FFFFFF"/>
        </w:rPr>
        <w:tab/>
        <w:t>Sensory Analysis</w:t>
      </w:r>
      <w:bookmarkEnd w:id="2"/>
    </w:p>
    <w:p w14:paraId="0697F1F2"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 xml:space="preserve">The sensorial acceptability of the </w:t>
      </w:r>
      <w:proofErr w:type="gramStart"/>
      <w:r>
        <w:rPr>
          <w:rFonts w:ascii="Times New Roman" w:hAnsi="Times New Roman" w:cs="Times New Roman"/>
        </w:rPr>
        <w:t>cookies</w:t>
      </w:r>
      <w:proofErr w:type="gramEnd"/>
      <w:r>
        <w:rPr>
          <w:rFonts w:ascii="Times New Roman" w:hAnsi="Times New Roman" w:cs="Times New Roman"/>
        </w:rPr>
        <w:t xml:space="preserve"> samples prepared were evaluated based on the crispiness, taste, aroma, app</w:t>
      </w:r>
      <w:r>
        <w:rPr>
          <w:rFonts w:ascii="Times New Roman" w:hAnsi="Times New Roman" w:cs="Times New Roman"/>
        </w:rPr>
        <w:t>earance, texture and overall acceptability.</w:t>
      </w:r>
    </w:p>
    <w:p w14:paraId="0E298F1C"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 xml:space="preserve">Twenty (20) member semi-trained sensory panelists evaluated the samples using a 9-point Hedonic scale in line with the procedure described by </w:t>
      </w:r>
      <w:proofErr w:type="spellStart"/>
      <w:r>
        <w:rPr>
          <w:rFonts w:ascii="Times New Roman" w:hAnsi="Times New Roman" w:cs="Times New Roman"/>
        </w:rPr>
        <w:t>Ahaotu</w:t>
      </w:r>
      <w:proofErr w:type="spellEnd"/>
      <w:r>
        <w:rPr>
          <w:rFonts w:ascii="Times New Roman" w:hAnsi="Times New Roman" w:cs="Times New Roman"/>
        </w:rPr>
        <w:t xml:space="preserve"> and </w:t>
      </w:r>
      <w:proofErr w:type="spellStart"/>
      <w:r>
        <w:rPr>
          <w:rFonts w:ascii="Times New Roman" w:hAnsi="Times New Roman" w:cs="Times New Roman"/>
        </w:rPr>
        <w:t>Ihekoronye</w:t>
      </w:r>
      <w:proofErr w:type="spellEnd"/>
      <w:r>
        <w:rPr>
          <w:rFonts w:ascii="Times New Roman" w:hAnsi="Times New Roman" w:cs="Times New Roman"/>
        </w:rPr>
        <w:t xml:space="preserve"> (2019) with slight modifications. Sensory score </w:t>
      </w:r>
      <w:r>
        <w:rPr>
          <w:rFonts w:ascii="Times New Roman" w:hAnsi="Times New Roman" w:cs="Times New Roman"/>
        </w:rPr>
        <w:t>9 was the highest rating interpreted as like extremely whereas sensory score 1 was the least interpreted as dislike extremely. The panelists were instructed to use a glass of potable water provided to rinse their mouth before putting each sample in the mou</w:t>
      </w:r>
      <w:r>
        <w:rPr>
          <w:rFonts w:ascii="Times New Roman" w:hAnsi="Times New Roman" w:cs="Times New Roman"/>
        </w:rPr>
        <w:t>th for sensory evaluation.</w:t>
      </w:r>
      <w:bookmarkStart w:id="3" w:name="_Toc156521980"/>
    </w:p>
    <w:p w14:paraId="6B63CF81" w14:textId="77777777" w:rsidR="007628E0" w:rsidRDefault="00A56C92">
      <w:pPr>
        <w:pStyle w:val="Heading1"/>
        <w:spacing w:line="240" w:lineRule="auto"/>
      </w:pPr>
      <w:r>
        <w:t>2.7</w:t>
      </w:r>
      <w:r>
        <w:tab/>
        <w:t>Statistical Analysis</w:t>
      </w:r>
    </w:p>
    <w:p w14:paraId="6F1C79C0"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 xml:space="preserve">The data generated were subjected to analysis of variance (ANOVA) and means were separated using Fisher’s Least Significant difference. Significant difference was tested at 5 % level of probability using </w:t>
      </w:r>
      <w:proofErr w:type="spellStart"/>
      <w:r>
        <w:rPr>
          <w:rFonts w:ascii="Times New Roman" w:hAnsi="Times New Roman" w:cs="Times New Roman"/>
        </w:rPr>
        <w:t>Genstat</w:t>
      </w:r>
      <w:proofErr w:type="spellEnd"/>
      <w:r>
        <w:rPr>
          <w:rFonts w:ascii="Times New Roman" w:hAnsi="Times New Roman" w:cs="Times New Roman"/>
        </w:rPr>
        <w:t xml:space="preserve"> 17.0 software.</w:t>
      </w:r>
    </w:p>
    <w:bookmarkEnd w:id="3"/>
    <w:p w14:paraId="3277BE8D" w14:textId="77777777" w:rsidR="007628E0" w:rsidRDefault="00A56C92">
      <w:pPr>
        <w:spacing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3.0 Results and Discussion</w:t>
      </w:r>
    </w:p>
    <w:p w14:paraId="36D5EE2E" w14:textId="77777777" w:rsidR="007628E0" w:rsidRDefault="00A56C92">
      <w:pPr>
        <w:spacing w:after="0" w:line="24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t>Proximate Composition of cookies from oatmeal flour, banana pulp and honey blend</w:t>
      </w:r>
    </w:p>
    <w:p w14:paraId="481F3513"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Table 1 shows the proximate composition of cookies from oatmeal flour, banana pulp and honey blend.</w:t>
      </w:r>
    </w:p>
    <w:p w14:paraId="7043F5FD"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Moisture content ranged from 7.2% to 9.2% which was sufficiently low to suggest good shelf stability and aligned with values in recent cookie studies by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(2022) who reported moisture contents of 5.35–6.75% in cookies made from wheat-oat comp</w:t>
      </w:r>
      <w:r>
        <w:rPr>
          <w:rFonts w:ascii="Times New Roman" w:hAnsi="Times New Roman" w:cs="Times New Roman"/>
        </w:rPr>
        <w:t xml:space="preserve">osite flour sweetened with date syrup, noting that lower moisture helps reduce spoilage risk while still maintaining acceptable texture. </w:t>
      </w:r>
    </w:p>
    <w:p w14:paraId="7A40CDD0"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Protein levels varied significantly, with sample A recording the highest value (19.47%) while samples C and D had the </w:t>
      </w:r>
      <w:r>
        <w:rPr>
          <w:rFonts w:ascii="Times New Roman" w:hAnsi="Times New Roman" w:cs="Times New Roman"/>
        </w:rPr>
        <w:t xml:space="preserve">lowest (around 16.8–17.0%). These levels are considerably higher than those reported by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(2022) for cookies made from wheat-oat cookies, which ranged between 13.58 - 18.01%. The higher protein values here reflect the contribution of oatmeal,</w:t>
      </w:r>
      <w:r>
        <w:rPr>
          <w:rFonts w:ascii="Times New Roman" w:hAnsi="Times New Roman" w:cs="Times New Roman"/>
        </w:rPr>
        <w:t xml:space="preserve"> a protein-rich cereal, and highlight the nutritional advantage of this blend, which could contribute meaningfully to daily protein requirements.</w:t>
      </w:r>
    </w:p>
    <w:p w14:paraId="23249BC7" w14:textId="77777777" w:rsidR="007628E0" w:rsidRDefault="00A56C92">
      <w:pPr>
        <w:spacing w:line="240" w:lineRule="auto"/>
        <w:jc w:val="both"/>
        <w:rPr>
          <w:rFonts w:ascii="Times New Roman" w:hAnsi="Times New Roman" w:cs="Times New Roman"/>
        </w:rPr>
      </w:pPr>
      <w:r>
        <w:rPr>
          <w:rFonts w:ascii="Times New Roman" w:hAnsi="Times New Roman" w:cs="Times New Roman"/>
        </w:rPr>
        <w:t>Ash content, an index of mineral composition, ranged from 0.26% in sample A to 1.30% in sample B, showing that</w:t>
      </w:r>
      <w:r>
        <w:rPr>
          <w:rFonts w:ascii="Times New Roman" w:hAnsi="Times New Roman" w:cs="Times New Roman"/>
        </w:rPr>
        <w:t xml:space="preserve"> minerals were contributed appreciably from banana pulp and oatmeal into the cookies. This is consistent with findings of Alam </w:t>
      </w:r>
      <w:r>
        <w:rPr>
          <w:rFonts w:ascii="Times New Roman" w:hAnsi="Times New Roman" w:cs="Times New Roman"/>
          <w:i/>
        </w:rPr>
        <w:t>et al</w:t>
      </w:r>
      <w:r>
        <w:rPr>
          <w:rFonts w:ascii="Times New Roman" w:hAnsi="Times New Roman" w:cs="Times New Roman"/>
        </w:rPr>
        <w:t>. (2020) who reported that substitution with banana/banana-peel flour increased ash content compared to control cookies, dem</w:t>
      </w:r>
      <w:r>
        <w:rPr>
          <w:rFonts w:ascii="Times New Roman" w:hAnsi="Times New Roman" w:cs="Times New Roman"/>
        </w:rPr>
        <w:t xml:space="preserve">onstrating improved mineral content. </w:t>
      </w:r>
    </w:p>
    <w:p w14:paraId="4E78D478" w14:textId="77777777" w:rsidR="007628E0" w:rsidRDefault="00A56C92">
      <w:pPr>
        <w:spacing w:line="240" w:lineRule="auto"/>
        <w:jc w:val="both"/>
        <w:rPr>
          <w:rFonts w:ascii="Times New Roman" w:hAnsi="Times New Roman" w:cs="Times New Roman"/>
        </w:rPr>
      </w:pPr>
      <w:r>
        <w:rPr>
          <w:rFonts w:ascii="Times New Roman" w:hAnsi="Times New Roman" w:cs="Times New Roman"/>
        </w:rPr>
        <w:t>The fat content of the cookies was moderate, ranging from 2.45% in sample E to 3.26% in sample A. These levels are substantially lower than the 10–20% fat content often reported in conventional cookies due to the use o</w:t>
      </w:r>
      <w:r>
        <w:rPr>
          <w:rFonts w:ascii="Times New Roman" w:hAnsi="Times New Roman" w:cs="Times New Roman"/>
        </w:rPr>
        <w:t xml:space="preserve">f butter or margarine. A similar trend was noted by </w:t>
      </w:r>
      <w:proofErr w:type="spellStart"/>
      <w:r>
        <w:rPr>
          <w:rFonts w:ascii="Times New Roman" w:hAnsi="Times New Roman" w:cs="Times New Roman"/>
        </w:rPr>
        <w:t>Chaipoot</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(2024), </w:t>
      </w:r>
      <w:r>
        <w:rPr>
          <w:rFonts w:ascii="Times New Roman" w:hAnsi="Times New Roman" w:cs="Times New Roman"/>
        </w:rPr>
        <w:lastRenderedPageBreak/>
        <w:t>who observed reduced fat levels when honey was used as a binder in place of traditional fat sources. The lower fat content here is beneficial for health-conscious consumers, making</w:t>
      </w:r>
      <w:r>
        <w:rPr>
          <w:rFonts w:ascii="Times New Roman" w:hAnsi="Times New Roman" w:cs="Times New Roman"/>
        </w:rPr>
        <w:t xml:space="preserve"> the cookies a more attractive option for individuals seeking reduced-calorie diets.</w:t>
      </w:r>
    </w:p>
    <w:p w14:paraId="0C7BDBC2"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Crude </w:t>
      </w:r>
      <w:proofErr w:type="spellStart"/>
      <w:r>
        <w:rPr>
          <w:rFonts w:ascii="Times New Roman" w:hAnsi="Times New Roman" w:cs="Times New Roman"/>
        </w:rPr>
        <w:t>fibre</w:t>
      </w:r>
      <w:proofErr w:type="spellEnd"/>
      <w:r>
        <w:rPr>
          <w:rFonts w:ascii="Times New Roman" w:hAnsi="Times New Roman" w:cs="Times New Roman"/>
        </w:rPr>
        <w:t xml:space="preserve"> was highest in sample E (6.72%) and lowest in sample A (5.54%), reflecting the </w:t>
      </w:r>
      <w:proofErr w:type="spellStart"/>
      <w:r>
        <w:rPr>
          <w:rFonts w:ascii="Times New Roman" w:hAnsi="Times New Roman" w:cs="Times New Roman"/>
        </w:rPr>
        <w:t>fibre</w:t>
      </w:r>
      <w:proofErr w:type="spellEnd"/>
      <w:r>
        <w:rPr>
          <w:rFonts w:ascii="Times New Roman" w:hAnsi="Times New Roman" w:cs="Times New Roman"/>
        </w:rPr>
        <w:t xml:space="preserve"> contribution of banana pulp and oatmeal. These values are considerably hig</w:t>
      </w:r>
      <w:r>
        <w:rPr>
          <w:rFonts w:ascii="Times New Roman" w:hAnsi="Times New Roman" w:cs="Times New Roman"/>
        </w:rPr>
        <w:t xml:space="preserve">her than the &lt;2% typically found in wheat-based cookies. This is consistent with the findings of Adeniji (2015), who observed that incorporating banana pulp into bakery products significantly enhanced </w:t>
      </w:r>
      <w:proofErr w:type="spellStart"/>
      <w:r>
        <w:rPr>
          <w:rFonts w:ascii="Times New Roman" w:hAnsi="Times New Roman" w:cs="Times New Roman"/>
        </w:rPr>
        <w:t>fibre</w:t>
      </w:r>
      <w:proofErr w:type="spellEnd"/>
      <w:r>
        <w:rPr>
          <w:rFonts w:ascii="Times New Roman" w:hAnsi="Times New Roman" w:cs="Times New Roman"/>
        </w:rPr>
        <w:t xml:space="preserve"> content. </w:t>
      </w:r>
      <w:proofErr w:type="spellStart"/>
      <w:r>
        <w:rPr>
          <w:rFonts w:ascii="Times New Roman" w:hAnsi="Times New Roman" w:cs="Times New Roman"/>
        </w:rPr>
        <w:t>Fibre</w:t>
      </w:r>
      <w:proofErr w:type="spellEnd"/>
      <w:r>
        <w:rPr>
          <w:rFonts w:ascii="Times New Roman" w:hAnsi="Times New Roman" w:cs="Times New Roman"/>
        </w:rPr>
        <w:t>-rich cookies are particularly impo</w:t>
      </w:r>
      <w:r>
        <w:rPr>
          <w:rFonts w:ascii="Times New Roman" w:hAnsi="Times New Roman" w:cs="Times New Roman"/>
        </w:rPr>
        <w:t xml:space="preserve">rtant in promoting gut health and in reducing the risk of diet-related non-communicable diseases. </w:t>
      </w:r>
    </w:p>
    <w:p w14:paraId="06AA64FE"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Carbohydrate was the major constituent of the cookies, ranging between 62.3% and 65.0%. Although this is slightly lower than the &gt;70% carbohydrate content co</w:t>
      </w:r>
      <w:r>
        <w:rPr>
          <w:rFonts w:ascii="Times New Roman" w:hAnsi="Times New Roman" w:cs="Times New Roman"/>
        </w:rPr>
        <w:t xml:space="preserve">mmonly reported in conventional cookies (Ho </w:t>
      </w:r>
      <w:r>
        <w:rPr>
          <w:rFonts w:ascii="Times New Roman" w:hAnsi="Times New Roman" w:cs="Times New Roman"/>
          <w:i/>
        </w:rPr>
        <w:t>et al</w:t>
      </w:r>
      <w:r>
        <w:rPr>
          <w:rFonts w:ascii="Times New Roman" w:hAnsi="Times New Roman" w:cs="Times New Roman"/>
        </w:rPr>
        <w:t xml:space="preserve">., 2020); the reduction could be attributed to the relatively higher protein and </w:t>
      </w:r>
      <w:proofErr w:type="spellStart"/>
      <w:r>
        <w:rPr>
          <w:rFonts w:ascii="Times New Roman" w:hAnsi="Times New Roman" w:cs="Times New Roman"/>
        </w:rPr>
        <w:t>fibre</w:t>
      </w:r>
      <w:proofErr w:type="spellEnd"/>
      <w:r>
        <w:rPr>
          <w:rFonts w:ascii="Times New Roman" w:hAnsi="Times New Roman" w:cs="Times New Roman"/>
        </w:rPr>
        <w:t xml:space="preserve"> content in the present formulations. This compositional balance is nutritionally desirable, as it reduces the </w:t>
      </w:r>
      <w:proofErr w:type="spellStart"/>
      <w:r>
        <w:rPr>
          <w:rFonts w:ascii="Times New Roman" w:hAnsi="Times New Roman" w:cs="Times New Roman"/>
        </w:rPr>
        <w:t>glycaemic</w:t>
      </w:r>
      <w:proofErr w:type="spellEnd"/>
      <w:r>
        <w:rPr>
          <w:rFonts w:ascii="Times New Roman" w:hAnsi="Times New Roman" w:cs="Times New Roman"/>
        </w:rPr>
        <w:t xml:space="preserve"> </w:t>
      </w:r>
      <w:r>
        <w:rPr>
          <w:rFonts w:ascii="Times New Roman" w:hAnsi="Times New Roman" w:cs="Times New Roman"/>
        </w:rPr>
        <w:t xml:space="preserve">load while simultaneously enhancing the protein and </w:t>
      </w:r>
      <w:proofErr w:type="spellStart"/>
      <w:r>
        <w:rPr>
          <w:rFonts w:ascii="Times New Roman" w:hAnsi="Times New Roman" w:cs="Times New Roman"/>
        </w:rPr>
        <w:t>fibre</w:t>
      </w:r>
      <w:proofErr w:type="spellEnd"/>
      <w:r>
        <w:rPr>
          <w:rFonts w:ascii="Times New Roman" w:hAnsi="Times New Roman" w:cs="Times New Roman"/>
        </w:rPr>
        <w:t xml:space="preserve"> profile of the product. </w:t>
      </w:r>
    </w:p>
    <w:p w14:paraId="51F10AA3" w14:textId="77777777" w:rsidR="007628E0" w:rsidRDefault="00A56C92">
      <w:pPr>
        <w:spacing w:after="0" w:line="240" w:lineRule="auto"/>
        <w:ind w:left="810" w:hanging="81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Table 1: Proximate Composition (%) of cookies</w:t>
      </w:r>
      <w:r>
        <w:rPr>
          <w:rFonts w:ascii="Times New Roman" w:hAnsi="Times New Roman" w:cs="Times New Roman"/>
          <w:b/>
          <w:color w:val="000000" w:themeColor="text1"/>
          <w:spacing w:val="5"/>
          <w:sz w:val="20"/>
          <w:szCs w:val="20"/>
        </w:rPr>
        <w:t xml:space="preserve"> from oatmeal flour, banana pulp and honey blends</w:t>
      </w:r>
    </w:p>
    <w:tbl>
      <w:tblPr>
        <w:tblStyle w:val="PlainTable21"/>
        <w:tblW w:w="5000" w:type="pct"/>
        <w:tblLook w:val="04A0" w:firstRow="1" w:lastRow="0" w:firstColumn="1" w:lastColumn="0" w:noHBand="0" w:noVBand="1"/>
      </w:tblPr>
      <w:tblGrid>
        <w:gridCol w:w="892"/>
        <w:gridCol w:w="1659"/>
        <w:gridCol w:w="1224"/>
        <w:gridCol w:w="1159"/>
        <w:gridCol w:w="1357"/>
        <w:gridCol w:w="1541"/>
        <w:gridCol w:w="1528"/>
      </w:tblGrid>
      <w:tr w:rsidR="007628E0" w14:paraId="3CF39D8E" w14:textId="77777777" w:rsidTr="007A503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2731E90E"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Sample</w:t>
            </w:r>
          </w:p>
        </w:tc>
        <w:tc>
          <w:tcPr>
            <w:tcW w:w="886" w:type="pct"/>
            <w:noWrap/>
          </w:tcPr>
          <w:p w14:paraId="40C68FC2"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 xml:space="preserve">Moisture </w:t>
            </w:r>
          </w:p>
        </w:tc>
        <w:tc>
          <w:tcPr>
            <w:tcW w:w="654" w:type="pct"/>
            <w:noWrap/>
          </w:tcPr>
          <w:p w14:paraId="1C85DEDE"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Ash</w:t>
            </w:r>
          </w:p>
        </w:tc>
        <w:tc>
          <w:tcPr>
            <w:tcW w:w="619" w:type="pct"/>
            <w:noWrap/>
          </w:tcPr>
          <w:p w14:paraId="56C3B8DF"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b w:val="0"/>
                <w:bCs w:val="0"/>
                <w:color w:val="000000" w:themeColor="text1"/>
                <w:sz w:val="20"/>
                <w:szCs w:val="20"/>
              </w:rPr>
              <w:t>F</w:t>
            </w:r>
            <w:r>
              <w:rPr>
                <w:rFonts w:cs="Times New Roman"/>
                <w:color w:val="000000" w:themeColor="text1"/>
                <w:sz w:val="20"/>
                <w:szCs w:val="20"/>
              </w:rPr>
              <w:t>at</w:t>
            </w:r>
          </w:p>
        </w:tc>
        <w:tc>
          <w:tcPr>
            <w:tcW w:w="725" w:type="pct"/>
            <w:noWrap/>
          </w:tcPr>
          <w:p w14:paraId="2D983521"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 xml:space="preserve">Crude </w:t>
            </w:r>
            <w:proofErr w:type="spellStart"/>
            <w:r>
              <w:rPr>
                <w:rFonts w:cs="Times New Roman"/>
                <w:color w:val="000000" w:themeColor="text1"/>
                <w:sz w:val="20"/>
                <w:szCs w:val="20"/>
              </w:rPr>
              <w:t>Fibre</w:t>
            </w:r>
            <w:proofErr w:type="spellEnd"/>
            <w:r>
              <w:rPr>
                <w:rFonts w:cs="Times New Roman"/>
                <w:color w:val="000000" w:themeColor="text1"/>
                <w:sz w:val="20"/>
                <w:szCs w:val="20"/>
              </w:rPr>
              <w:t xml:space="preserve"> </w:t>
            </w:r>
          </w:p>
        </w:tc>
        <w:tc>
          <w:tcPr>
            <w:tcW w:w="823" w:type="pct"/>
            <w:noWrap/>
          </w:tcPr>
          <w:p w14:paraId="433AFEF7"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 xml:space="preserve">Crude Protein </w:t>
            </w:r>
          </w:p>
        </w:tc>
        <w:tc>
          <w:tcPr>
            <w:tcW w:w="816" w:type="pct"/>
            <w:noWrap/>
          </w:tcPr>
          <w:p w14:paraId="49542A9D"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Carbohydrate</w:t>
            </w:r>
          </w:p>
        </w:tc>
      </w:tr>
      <w:tr w:rsidR="007628E0" w14:paraId="52CD77A7" w14:textId="77777777" w:rsidTr="007A503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68F0263A"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A</w:t>
            </w:r>
          </w:p>
        </w:tc>
        <w:tc>
          <w:tcPr>
            <w:tcW w:w="886" w:type="pct"/>
            <w:noWrap/>
          </w:tcPr>
          <w:p w14:paraId="5FF77083"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9.18</w:t>
            </w:r>
            <w:r>
              <w:rPr>
                <w:rFonts w:cs="Times New Roman"/>
                <w:color w:val="000000" w:themeColor="text1"/>
                <w:kern w:val="0"/>
                <w:sz w:val="20"/>
                <w:szCs w:val="20"/>
                <w:vertAlign w:val="superscript"/>
              </w:rPr>
              <w:t>a</w:t>
            </w:r>
            <w:r>
              <w:rPr>
                <w:rFonts w:cs="Times New Roman"/>
                <w:color w:val="000000" w:themeColor="text1"/>
                <w:kern w:val="0"/>
                <w:sz w:val="20"/>
                <w:szCs w:val="20"/>
              </w:rPr>
              <w:t>±0.33</w:t>
            </w:r>
          </w:p>
        </w:tc>
        <w:tc>
          <w:tcPr>
            <w:tcW w:w="654" w:type="pct"/>
            <w:noWrap/>
          </w:tcPr>
          <w:p w14:paraId="32A42B94"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0.26</w:t>
            </w:r>
            <w:r>
              <w:rPr>
                <w:rFonts w:cs="Times New Roman"/>
                <w:color w:val="000000" w:themeColor="text1"/>
                <w:kern w:val="0"/>
                <w:sz w:val="20"/>
                <w:szCs w:val="20"/>
                <w:vertAlign w:val="superscript"/>
              </w:rPr>
              <w:t>d</w:t>
            </w:r>
            <w:r>
              <w:rPr>
                <w:rFonts w:cs="Times New Roman"/>
                <w:color w:val="000000" w:themeColor="text1"/>
                <w:kern w:val="0"/>
                <w:sz w:val="20"/>
                <w:szCs w:val="20"/>
              </w:rPr>
              <w:t>±0.02</w:t>
            </w:r>
          </w:p>
        </w:tc>
        <w:tc>
          <w:tcPr>
            <w:tcW w:w="619" w:type="pct"/>
            <w:noWrap/>
          </w:tcPr>
          <w:p w14:paraId="5F28AC5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3.26</w:t>
            </w:r>
            <w:r>
              <w:rPr>
                <w:rFonts w:cs="Times New Roman"/>
                <w:color w:val="000000" w:themeColor="text1"/>
                <w:kern w:val="0"/>
                <w:sz w:val="20"/>
                <w:szCs w:val="20"/>
                <w:vertAlign w:val="superscript"/>
              </w:rPr>
              <w:t>a</w:t>
            </w:r>
            <w:r>
              <w:rPr>
                <w:rFonts w:cs="Times New Roman"/>
                <w:color w:val="000000" w:themeColor="text1"/>
                <w:kern w:val="0"/>
                <w:sz w:val="20"/>
                <w:szCs w:val="20"/>
              </w:rPr>
              <w:t>±0.02</w:t>
            </w:r>
          </w:p>
        </w:tc>
        <w:tc>
          <w:tcPr>
            <w:tcW w:w="725" w:type="pct"/>
            <w:noWrap/>
          </w:tcPr>
          <w:p w14:paraId="3669B006"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5.54</w:t>
            </w:r>
            <w:r>
              <w:rPr>
                <w:rFonts w:cs="Times New Roman"/>
                <w:color w:val="000000" w:themeColor="text1"/>
                <w:kern w:val="0"/>
                <w:sz w:val="20"/>
                <w:szCs w:val="20"/>
                <w:vertAlign w:val="superscript"/>
              </w:rPr>
              <w:t>c</w:t>
            </w:r>
            <w:r>
              <w:rPr>
                <w:rFonts w:cs="Times New Roman"/>
                <w:color w:val="000000" w:themeColor="text1"/>
                <w:kern w:val="0"/>
                <w:sz w:val="20"/>
                <w:szCs w:val="20"/>
              </w:rPr>
              <w:t>±0.01</w:t>
            </w:r>
          </w:p>
        </w:tc>
        <w:tc>
          <w:tcPr>
            <w:tcW w:w="823" w:type="pct"/>
            <w:noWrap/>
          </w:tcPr>
          <w:p w14:paraId="0F92A528"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19.47</w:t>
            </w:r>
            <w:r>
              <w:rPr>
                <w:rFonts w:cs="Times New Roman"/>
                <w:color w:val="000000" w:themeColor="text1"/>
                <w:kern w:val="0"/>
                <w:sz w:val="20"/>
                <w:szCs w:val="20"/>
                <w:vertAlign w:val="superscript"/>
              </w:rPr>
              <w:t>a</w:t>
            </w:r>
            <w:r>
              <w:rPr>
                <w:rFonts w:cs="Times New Roman"/>
                <w:color w:val="000000" w:themeColor="text1"/>
                <w:kern w:val="0"/>
                <w:sz w:val="20"/>
                <w:szCs w:val="20"/>
              </w:rPr>
              <w:t>±0.06</w:t>
            </w:r>
          </w:p>
        </w:tc>
        <w:tc>
          <w:tcPr>
            <w:tcW w:w="816" w:type="pct"/>
            <w:noWrap/>
          </w:tcPr>
          <w:p w14:paraId="07D6B43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62.30</w:t>
            </w:r>
            <w:r>
              <w:rPr>
                <w:rFonts w:cs="Times New Roman"/>
                <w:color w:val="000000" w:themeColor="text1"/>
                <w:kern w:val="0"/>
                <w:sz w:val="20"/>
                <w:szCs w:val="20"/>
                <w:vertAlign w:val="superscript"/>
              </w:rPr>
              <w:t>b</w:t>
            </w:r>
            <w:r>
              <w:rPr>
                <w:rFonts w:cs="Times New Roman"/>
                <w:color w:val="000000" w:themeColor="text1"/>
                <w:kern w:val="0"/>
                <w:sz w:val="20"/>
                <w:szCs w:val="20"/>
              </w:rPr>
              <w:t>±0.38</w:t>
            </w:r>
          </w:p>
        </w:tc>
      </w:tr>
      <w:tr w:rsidR="007628E0" w14:paraId="5EC4D212" w14:textId="77777777" w:rsidTr="007A503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2F74264C"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B</w:t>
            </w:r>
          </w:p>
        </w:tc>
        <w:tc>
          <w:tcPr>
            <w:tcW w:w="886" w:type="pct"/>
            <w:noWrap/>
          </w:tcPr>
          <w:p w14:paraId="15EE0947"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8.25</w:t>
            </w:r>
            <w:r>
              <w:rPr>
                <w:rFonts w:cs="Times New Roman"/>
                <w:color w:val="000000" w:themeColor="text1"/>
                <w:kern w:val="0"/>
                <w:sz w:val="20"/>
                <w:szCs w:val="20"/>
                <w:vertAlign w:val="superscript"/>
              </w:rPr>
              <w:t>b</w:t>
            </w:r>
            <w:r>
              <w:rPr>
                <w:rFonts w:cs="Times New Roman"/>
                <w:color w:val="000000" w:themeColor="text1"/>
                <w:kern w:val="0"/>
                <w:sz w:val="20"/>
                <w:szCs w:val="20"/>
              </w:rPr>
              <w:t>±0.15</w:t>
            </w:r>
          </w:p>
        </w:tc>
        <w:tc>
          <w:tcPr>
            <w:tcW w:w="654" w:type="pct"/>
            <w:noWrap/>
          </w:tcPr>
          <w:p w14:paraId="67E6B033"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1.30</w:t>
            </w:r>
            <w:r>
              <w:rPr>
                <w:rFonts w:cs="Times New Roman"/>
                <w:color w:val="000000" w:themeColor="text1"/>
                <w:kern w:val="0"/>
                <w:sz w:val="20"/>
                <w:szCs w:val="20"/>
                <w:vertAlign w:val="superscript"/>
              </w:rPr>
              <w:t>a</w:t>
            </w:r>
            <w:r>
              <w:rPr>
                <w:rFonts w:cs="Times New Roman"/>
                <w:color w:val="000000" w:themeColor="text1"/>
                <w:kern w:val="0"/>
                <w:sz w:val="20"/>
                <w:szCs w:val="20"/>
              </w:rPr>
              <w:t>±0.10</w:t>
            </w:r>
          </w:p>
        </w:tc>
        <w:tc>
          <w:tcPr>
            <w:tcW w:w="619" w:type="pct"/>
            <w:noWrap/>
          </w:tcPr>
          <w:p w14:paraId="18027257"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2.72</w:t>
            </w:r>
            <w:r>
              <w:rPr>
                <w:rFonts w:cs="Times New Roman"/>
                <w:color w:val="000000" w:themeColor="text1"/>
                <w:kern w:val="0"/>
                <w:sz w:val="20"/>
                <w:szCs w:val="20"/>
                <w:vertAlign w:val="superscript"/>
              </w:rPr>
              <w:t>b</w:t>
            </w:r>
            <w:r>
              <w:rPr>
                <w:rFonts w:cs="Times New Roman"/>
                <w:color w:val="000000" w:themeColor="text1"/>
                <w:kern w:val="0"/>
                <w:sz w:val="20"/>
                <w:szCs w:val="20"/>
              </w:rPr>
              <w:t>±0.23</w:t>
            </w:r>
          </w:p>
        </w:tc>
        <w:tc>
          <w:tcPr>
            <w:tcW w:w="725" w:type="pct"/>
            <w:noWrap/>
          </w:tcPr>
          <w:p w14:paraId="30E936F8"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5.97</w:t>
            </w:r>
            <w:r>
              <w:rPr>
                <w:rFonts w:cs="Times New Roman"/>
                <w:color w:val="000000" w:themeColor="text1"/>
                <w:kern w:val="0"/>
                <w:sz w:val="20"/>
                <w:szCs w:val="20"/>
                <w:vertAlign w:val="superscript"/>
              </w:rPr>
              <w:t>b</w:t>
            </w:r>
            <w:r>
              <w:rPr>
                <w:rFonts w:cs="Times New Roman"/>
                <w:color w:val="000000" w:themeColor="text1"/>
                <w:kern w:val="0"/>
                <w:sz w:val="20"/>
                <w:szCs w:val="20"/>
              </w:rPr>
              <w:t>±0.16</w:t>
            </w:r>
          </w:p>
        </w:tc>
        <w:tc>
          <w:tcPr>
            <w:tcW w:w="823" w:type="pct"/>
            <w:noWrap/>
          </w:tcPr>
          <w:p w14:paraId="7DEE86E1"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18.92</w:t>
            </w:r>
            <w:r>
              <w:rPr>
                <w:rFonts w:cs="Times New Roman"/>
                <w:color w:val="000000" w:themeColor="text1"/>
                <w:kern w:val="0"/>
                <w:sz w:val="20"/>
                <w:szCs w:val="20"/>
                <w:vertAlign w:val="superscript"/>
              </w:rPr>
              <w:t>b</w:t>
            </w:r>
            <w:r>
              <w:rPr>
                <w:rFonts w:cs="Times New Roman"/>
                <w:color w:val="000000" w:themeColor="text1"/>
                <w:kern w:val="0"/>
                <w:sz w:val="20"/>
                <w:szCs w:val="20"/>
              </w:rPr>
              <w:t>±0.11</w:t>
            </w:r>
          </w:p>
        </w:tc>
        <w:tc>
          <w:tcPr>
            <w:tcW w:w="816" w:type="pct"/>
            <w:noWrap/>
          </w:tcPr>
          <w:p w14:paraId="42B96E2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62.90</w:t>
            </w:r>
            <w:r>
              <w:rPr>
                <w:rFonts w:cs="Times New Roman"/>
                <w:color w:val="000000" w:themeColor="text1"/>
                <w:kern w:val="0"/>
                <w:sz w:val="20"/>
                <w:szCs w:val="20"/>
                <w:vertAlign w:val="superscript"/>
              </w:rPr>
              <w:t>b</w:t>
            </w:r>
            <w:r>
              <w:rPr>
                <w:rFonts w:cs="Times New Roman"/>
                <w:color w:val="000000" w:themeColor="text1"/>
                <w:kern w:val="0"/>
                <w:sz w:val="20"/>
                <w:szCs w:val="20"/>
              </w:rPr>
              <w:t>±0.29</w:t>
            </w:r>
          </w:p>
        </w:tc>
      </w:tr>
      <w:tr w:rsidR="007628E0" w14:paraId="571603D4" w14:textId="77777777" w:rsidTr="007A503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3FBBE3F1"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C</w:t>
            </w:r>
          </w:p>
        </w:tc>
        <w:tc>
          <w:tcPr>
            <w:tcW w:w="886" w:type="pct"/>
            <w:noWrap/>
          </w:tcPr>
          <w:p w14:paraId="26246181"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8.27</w:t>
            </w:r>
            <w:r>
              <w:rPr>
                <w:rFonts w:cs="Times New Roman"/>
                <w:color w:val="000000" w:themeColor="text1"/>
                <w:kern w:val="0"/>
                <w:sz w:val="20"/>
                <w:szCs w:val="20"/>
                <w:vertAlign w:val="superscript"/>
              </w:rPr>
              <w:t>b</w:t>
            </w:r>
            <w:r>
              <w:rPr>
                <w:rFonts w:cs="Times New Roman"/>
                <w:color w:val="000000" w:themeColor="text1"/>
                <w:kern w:val="0"/>
                <w:sz w:val="20"/>
                <w:szCs w:val="20"/>
              </w:rPr>
              <w:t>±0.07</w:t>
            </w:r>
          </w:p>
        </w:tc>
        <w:tc>
          <w:tcPr>
            <w:tcW w:w="654" w:type="pct"/>
            <w:noWrap/>
          </w:tcPr>
          <w:p w14:paraId="5CBD5A3E"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1.08</w:t>
            </w:r>
            <w:r>
              <w:rPr>
                <w:rFonts w:cs="Times New Roman"/>
                <w:color w:val="000000" w:themeColor="text1"/>
                <w:kern w:val="0"/>
                <w:sz w:val="20"/>
                <w:szCs w:val="20"/>
                <w:vertAlign w:val="superscript"/>
              </w:rPr>
              <w:t>c</w:t>
            </w:r>
            <w:r>
              <w:rPr>
                <w:rFonts w:cs="Times New Roman"/>
                <w:color w:val="000000" w:themeColor="text1"/>
                <w:kern w:val="0"/>
                <w:sz w:val="20"/>
                <w:szCs w:val="20"/>
              </w:rPr>
              <w:t>±0.02</w:t>
            </w:r>
          </w:p>
        </w:tc>
        <w:tc>
          <w:tcPr>
            <w:tcW w:w="619" w:type="pct"/>
            <w:noWrap/>
          </w:tcPr>
          <w:p w14:paraId="673BE831"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2.70</w:t>
            </w:r>
            <w:r>
              <w:rPr>
                <w:rFonts w:cs="Times New Roman"/>
                <w:color w:val="000000" w:themeColor="text1"/>
                <w:kern w:val="0"/>
                <w:sz w:val="20"/>
                <w:szCs w:val="20"/>
                <w:vertAlign w:val="superscript"/>
              </w:rPr>
              <w:t>bc</w:t>
            </w:r>
            <w:r>
              <w:rPr>
                <w:rFonts w:cs="Times New Roman"/>
                <w:color w:val="000000" w:themeColor="text1"/>
                <w:kern w:val="0"/>
                <w:sz w:val="20"/>
                <w:szCs w:val="20"/>
              </w:rPr>
              <w:t>±0.01</w:t>
            </w:r>
          </w:p>
        </w:tc>
        <w:tc>
          <w:tcPr>
            <w:tcW w:w="725" w:type="pct"/>
            <w:noWrap/>
          </w:tcPr>
          <w:p w14:paraId="0047A0A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6.51</w:t>
            </w:r>
            <w:r>
              <w:rPr>
                <w:rFonts w:cs="Times New Roman"/>
                <w:color w:val="000000" w:themeColor="text1"/>
                <w:kern w:val="0"/>
                <w:sz w:val="20"/>
                <w:szCs w:val="20"/>
                <w:vertAlign w:val="superscript"/>
              </w:rPr>
              <w:t>a</w:t>
            </w:r>
            <w:r>
              <w:rPr>
                <w:rFonts w:cs="Times New Roman"/>
                <w:color w:val="000000" w:themeColor="text1"/>
                <w:kern w:val="0"/>
                <w:sz w:val="20"/>
                <w:szCs w:val="20"/>
              </w:rPr>
              <w:t>±0.28</w:t>
            </w:r>
          </w:p>
        </w:tc>
        <w:tc>
          <w:tcPr>
            <w:tcW w:w="823" w:type="pct"/>
            <w:noWrap/>
          </w:tcPr>
          <w:p w14:paraId="56EBF6D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16.95</w:t>
            </w:r>
            <w:r>
              <w:rPr>
                <w:rFonts w:cs="Times New Roman"/>
                <w:color w:val="000000" w:themeColor="text1"/>
                <w:kern w:val="0"/>
                <w:sz w:val="20"/>
                <w:szCs w:val="20"/>
                <w:vertAlign w:val="superscript"/>
              </w:rPr>
              <w:t>d</w:t>
            </w:r>
            <w:r>
              <w:rPr>
                <w:rFonts w:cs="Times New Roman"/>
                <w:color w:val="000000" w:themeColor="text1"/>
                <w:kern w:val="0"/>
                <w:sz w:val="20"/>
                <w:szCs w:val="20"/>
              </w:rPr>
              <w:t>±0.11</w:t>
            </w:r>
          </w:p>
        </w:tc>
        <w:tc>
          <w:tcPr>
            <w:tcW w:w="816" w:type="pct"/>
            <w:noWrap/>
          </w:tcPr>
          <w:p w14:paraId="356AA3AD"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64.50</w:t>
            </w:r>
            <w:r>
              <w:rPr>
                <w:rFonts w:cs="Times New Roman"/>
                <w:color w:val="000000" w:themeColor="text1"/>
                <w:kern w:val="0"/>
                <w:sz w:val="20"/>
                <w:szCs w:val="20"/>
                <w:vertAlign w:val="superscript"/>
              </w:rPr>
              <w:t>a</w:t>
            </w:r>
            <w:r>
              <w:rPr>
                <w:rFonts w:cs="Times New Roman"/>
                <w:color w:val="000000" w:themeColor="text1"/>
                <w:kern w:val="0"/>
                <w:sz w:val="20"/>
                <w:szCs w:val="20"/>
              </w:rPr>
              <w:t>±0.35</w:t>
            </w:r>
          </w:p>
        </w:tc>
      </w:tr>
      <w:tr w:rsidR="007628E0" w14:paraId="0A63690F" w14:textId="77777777" w:rsidTr="007A503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029DD002"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D</w:t>
            </w:r>
          </w:p>
        </w:tc>
        <w:tc>
          <w:tcPr>
            <w:tcW w:w="886" w:type="pct"/>
            <w:noWrap/>
          </w:tcPr>
          <w:p w14:paraId="7B419718"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8.53</w:t>
            </w:r>
            <w:r>
              <w:rPr>
                <w:rFonts w:cs="Times New Roman"/>
                <w:color w:val="000000" w:themeColor="text1"/>
                <w:kern w:val="0"/>
                <w:sz w:val="20"/>
                <w:szCs w:val="20"/>
                <w:vertAlign w:val="superscript"/>
              </w:rPr>
              <w:t>b</w:t>
            </w:r>
            <w:r>
              <w:rPr>
                <w:rFonts w:cs="Times New Roman"/>
                <w:color w:val="000000" w:themeColor="text1"/>
                <w:kern w:val="0"/>
                <w:sz w:val="20"/>
                <w:szCs w:val="20"/>
              </w:rPr>
              <w:t>±0.18</w:t>
            </w:r>
          </w:p>
        </w:tc>
        <w:tc>
          <w:tcPr>
            <w:tcW w:w="654" w:type="pct"/>
            <w:noWrap/>
          </w:tcPr>
          <w:p w14:paraId="1E4E60AB"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1.27</w:t>
            </w:r>
            <w:r>
              <w:rPr>
                <w:rFonts w:cs="Times New Roman"/>
                <w:color w:val="000000" w:themeColor="text1"/>
                <w:kern w:val="0"/>
                <w:sz w:val="20"/>
                <w:szCs w:val="20"/>
                <w:vertAlign w:val="superscript"/>
              </w:rPr>
              <w:t>a</w:t>
            </w:r>
            <w:r>
              <w:rPr>
                <w:rFonts w:cs="Times New Roman"/>
                <w:color w:val="000000" w:themeColor="text1"/>
                <w:kern w:val="0"/>
                <w:sz w:val="20"/>
                <w:szCs w:val="20"/>
              </w:rPr>
              <w:t>±0.01</w:t>
            </w:r>
          </w:p>
        </w:tc>
        <w:tc>
          <w:tcPr>
            <w:tcW w:w="619" w:type="pct"/>
            <w:noWrap/>
          </w:tcPr>
          <w:p w14:paraId="3FDF4EB9"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2.52</w:t>
            </w:r>
            <w:r>
              <w:rPr>
                <w:rFonts w:cs="Times New Roman"/>
                <w:color w:val="000000" w:themeColor="text1"/>
                <w:kern w:val="0"/>
                <w:sz w:val="20"/>
                <w:szCs w:val="20"/>
                <w:vertAlign w:val="superscript"/>
              </w:rPr>
              <w:t>cd</w:t>
            </w:r>
            <w:r>
              <w:rPr>
                <w:rFonts w:cs="Times New Roman"/>
                <w:color w:val="000000" w:themeColor="text1"/>
                <w:kern w:val="0"/>
                <w:sz w:val="20"/>
                <w:szCs w:val="20"/>
              </w:rPr>
              <w:t>±0.05</w:t>
            </w:r>
          </w:p>
        </w:tc>
        <w:tc>
          <w:tcPr>
            <w:tcW w:w="725" w:type="pct"/>
            <w:noWrap/>
          </w:tcPr>
          <w:p w14:paraId="74DBD76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6.40</w:t>
            </w:r>
            <w:r>
              <w:rPr>
                <w:rFonts w:cs="Times New Roman"/>
                <w:color w:val="000000" w:themeColor="text1"/>
                <w:kern w:val="0"/>
                <w:sz w:val="20"/>
                <w:szCs w:val="20"/>
                <w:vertAlign w:val="superscript"/>
              </w:rPr>
              <w:t>a</w:t>
            </w:r>
            <w:r>
              <w:rPr>
                <w:rFonts w:cs="Times New Roman"/>
                <w:color w:val="000000" w:themeColor="text1"/>
                <w:kern w:val="0"/>
                <w:sz w:val="20"/>
                <w:szCs w:val="20"/>
              </w:rPr>
              <w:t>±0.17</w:t>
            </w:r>
          </w:p>
        </w:tc>
        <w:tc>
          <w:tcPr>
            <w:tcW w:w="823" w:type="pct"/>
            <w:noWrap/>
          </w:tcPr>
          <w:p w14:paraId="30E4C16D"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16.82</w:t>
            </w:r>
            <w:r>
              <w:rPr>
                <w:rFonts w:cs="Times New Roman"/>
                <w:color w:val="000000" w:themeColor="text1"/>
                <w:kern w:val="0"/>
                <w:sz w:val="20"/>
                <w:szCs w:val="20"/>
                <w:vertAlign w:val="superscript"/>
              </w:rPr>
              <w:t>d</w:t>
            </w:r>
            <w:r>
              <w:rPr>
                <w:rFonts w:cs="Times New Roman"/>
                <w:color w:val="000000" w:themeColor="text1"/>
                <w:kern w:val="0"/>
                <w:sz w:val="20"/>
                <w:szCs w:val="20"/>
              </w:rPr>
              <w:t>±0.24</w:t>
            </w:r>
          </w:p>
        </w:tc>
        <w:tc>
          <w:tcPr>
            <w:tcW w:w="816" w:type="pct"/>
            <w:noWrap/>
          </w:tcPr>
          <w:p w14:paraId="52DD2F10"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64.50</w:t>
            </w:r>
            <w:r>
              <w:rPr>
                <w:rFonts w:cs="Times New Roman"/>
                <w:color w:val="000000" w:themeColor="text1"/>
                <w:kern w:val="0"/>
                <w:sz w:val="20"/>
                <w:szCs w:val="20"/>
                <w:vertAlign w:val="superscript"/>
              </w:rPr>
              <w:t>a</w:t>
            </w:r>
            <w:r>
              <w:rPr>
                <w:rFonts w:cs="Times New Roman"/>
                <w:color w:val="000000" w:themeColor="text1"/>
                <w:kern w:val="0"/>
                <w:sz w:val="20"/>
                <w:szCs w:val="20"/>
              </w:rPr>
              <w:t>±0.60</w:t>
            </w:r>
          </w:p>
        </w:tc>
      </w:tr>
      <w:tr w:rsidR="007628E0" w14:paraId="3466AD69" w14:textId="77777777" w:rsidTr="007A503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22C21BAC"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E</w:t>
            </w:r>
          </w:p>
        </w:tc>
        <w:tc>
          <w:tcPr>
            <w:tcW w:w="886" w:type="pct"/>
            <w:noWrap/>
          </w:tcPr>
          <w:p w14:paraId="0BAC6A4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7.18</w:t>
            </w:r>
            <w:r>
              <w:rPr>
                <w:rFonts w:cs="Times New Roman"/>
                <w:color w:val="000000" w:themeColor="text1"/>
                <w:kern w:val="0"/>
                <w:sz w:val="20"/>
                <w:szCs w:val="20"/>
                <w:vertAlign w:val="superscript"/>
              </w:rPr>
              <w:t>a</w:t>
            </w:r>
            <w:r>
              <w:rPr>
                <w:rFonts w:cs="Times New Roman"/>
                <w:color w:val="000000" w:themeColor="text1"/>
                <w:kern w:val="0"/>
                <w:sz w:val="20"/>
                <w:szCs w:val="20"/>
              </w:rPr>
              <w:t>±0.03</w:t>
            </w:r>
          </w:p>
        </w:tc>
        <w:tc>
          <w:tcPr>
            <w:tcW w:w="654" w:type="pct"/>
            <w:noWrap/>
          </w:tcPr>
          <w:p w14:paraId="7076FD7D"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1.18</w:t>
            </w:r>
            <w:r>
              <w:rPr>
                <w:rFonts w:cs="Times New Roman"/>
                <w:color w:val="000000" w:themeColor="text1"/>
                <w:kern w:val="0"/>
                <w:sz w:val="20"/>
                <w:szCs w:val="20"/>
                <w:vertAlign w:val="superscript"/>
              </w:rPr>
              <w:t>b</w:t>
            </w:r>
            <w:r>
              <w:rPr>
                <w:rFonts w:cs="Times New Roman"/>
                <w:color w:val="000000" w:themeColor="text1"/>
                <w:kern w:val="0"/>
                <w:sz w:val="20"/>
                <w:szCs w:val="20"/>
              </w:rPr>
              <w:t>±0.02</w:t>
            </w:r>
          </w:p>
        </w:tc>
        <w:tc>
          <w:tcPr>
            <w:tcW w:w="619" w:type="pct"/>
            <w:noWrap/>
          </w:tcPr>
          <w:p w14:paraId="1FE7855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2.45</w:t>
            </w:r>
            <w:r>
              <w:rPr>
                <w:rFonts w:cs="Times New Roman"/>
                <w:color w:val="000000" w:themeColor="text1"/>
                <w:kern w:val="0"/>
                <w:sz w:val="20"/>
                <w:szCs w:val="20"/>
                <w:vertAlign w:val="superscript"/>
              </w:rPr>
              <w:t>d</w:t>
            </w:r>
            <w:r>
              <w:rPr>
                <w:rFonts w:cs="Times New Roman"/>
                <w:color w:val="000000" w:themeColor="text1"/>
                <w:kern w:val="0"/>
                <w:sz w:val="20"/>
                <w:szCs w:val="20"/>
              </w:rPr>
              <w:t>±0.02</w:t>
            </w:r>
          </w:p>
        </w:tc>
        <w:tc>
          <w:tcPr>
            <w:tcW w:w="725" w:type="pct"/>
            <w:noWrap/>
          </w:tcPr>
          <w:p w14:paraId="0FF442CA"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6.72</w:t>
            </w:r>
            <w:r>
              <w:rPr>
                <w:rFonts w:cs="Times New Roman"/>
                <w:color w:val="000000" w:themeColor="text1"/>
                <w:kern w:val="0"/>
                <w:sz w:val="20"/>
                <w:szCs w:val="20"/>
                <w:vertAlign w:val="superscript"/>
              </w:rPr>
              <w:t>a</w:t>
            </w:r>
            <w:r>
              <w:rPr>
                <w:rFonts w:cs="Times New Roman"/>
                <w:color w:val="000000" w:themeColor="text1"/>
                <w:kern w:val="0"/>
                <w:sz w:val="20"/>
                <w:szCs w:val="20"/>
              </w:rPr>
              <w:t>±0.29</w:t>
            </w:r>
          </w:p>
        </w:tc>
        <w:tc>
          <w:tcPr>
            <w:tcW w:w="823" w:type="pct"/>
            <w:noWrap/>
          </w:tcPr>
          <w:p w14:paraId="28B2F87B"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17.44</w:t>
            </w:r>
            <w:r>
              <w:rPr>
                <w:rFonts w:cs="Times New Roman"/>
                <w:color w:val="000000" w:themeColor="text1"/>
                <w:kern w:val="0"/>
                <w:sz w:val="20"/>
                <w:szCs w:val="20"/>
                <w:vertAlign w:val="superscript"/>
              </w:rPr>
              <w:t>c</w:t>
            </w:r>
            <w:r>
              <w:rPr>
                <w:rFonts w:cs="Times New Roman"/>
                <w:color w:val="000000" w:themeColor="text1"/>
                <w:kern w:val="0"/>
                <w:sz w:val="20"/>
                <w:szCs w:val="20"/>
              </w:rPr>
              <w:t>±0.05</w:t>
            </w:r>
          </w:p>
        </w:tc>
        <w:tc>
          <w:tcPr>
            <w:tcW w:w="816" w:type="pct"/>
            <w:noWrap/>
          </w:tcPr>
          <w:p w14:paraId="74F349E4"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65.00</w:t>
            </w:r>
            <w:r>
              <w:rPr>
                <w:rFonts w:cs="Times New Roman"/>
                <w:color w:val="000000" w:themeColor="text1"/>
                <w:kern w:val="0"/>
                <w:sz w:val="20"/>
                <w:szCs w:val="20"/>
                <w:vertAlign w:val="superscript"/>
              </w:rPr>
              <w:t>a</w:t>
            </w:r>
            <w:r>
              <w:rPr>
                <w:rFonts w:cs="Times New Roman"/>
                <w:color w:val="000000" w:themeColor="text1"/>
                <w:kern w:val="0"/>
                <w:sz w:val="20"/>
                <w:szCs w:val="20"/>
              </w:rPr>
              <w:t>±0.31</w:t>
            </w:r>
          </w:p>
        </w:tc>
      </w:tr>
    </w:tbl>
    <w:p w14:paraId="6217591A" w14:textId="77777777" w:rsidR="007628E0" w:rsidRDefault="00A56C92">
      <w:pPr>
        <w:spacing w:line="240" w:lineRule="auto"/>
        <w:jc w:val="both"/>
        <w:rPr>
          <w:rFonts w:ascii="Times New Roman" w:hAnsi="Times New Roman" w:cs="Times New Roman"/>
          <w:color w:val="000000" w:themeColor="text1"/>
          <w:kern w:val="0"/>
          <w:sz w:val="20"/>
          <w:szCs w:val="20"/>
        </w:rPr>
      </w:pPr>
      <w:r>
        <w:rPr>
          <w:rFonts w:ascii="Times New Roman" w:hAnsi="Times New Roman" w:cs="Times New Roman"/>
          <w:color w:val="000000" w:themeColor="text1"/>
          <w:sz w:val="20"/>
          <w:szCs w:val="20"/>
        </w:rPr>
        <w:t xml:space="preserve">Values are means </w:t>
      </w:r>
      <w:r>
        <w:rPr>
          <w:rFonts w:ascii="Times New Roman" w:hAnsi="Times New Roman" w:cs="Times New Roman"/>
          <w:color w:val="000000" w:themeColor="text1"/>
          <w:kern w:val="0"/>
          <w:sz w:val="20"/>
          <w:szCs w:val="20"/>
        </w:rPr>
        <w:t>± standard deviations of triplicate determinations. Means in the same column with different superscripts are significantly (p&lt;0.05) different.</w:t>
      </w:r>
    </w:p>
    <w:p w14:paraId="34C230FC" w14:textId="77777777" w:rsidR="007628E0" w:rsidRDefault="00A56C92">
      <w:pPr>
        <w:spacing w:after="0" w:line="240" w:lineRule="auto"/>
        <w:jc w:val="both"/>
        <w:rPr>
          <w:rFonts w:ascii="Times New Roman" w:hAnsi="Times New Roman" w:cs="Times New Roman"/>
          <w:b/>
          <w:bCs/>
          <w:sz w:val="20"/>
          <w:szCs w:val="20"/>
        </w:rPr>
      </w:pPr>
      <w:bookmarkStart w:id="4" w:name="_Toc183525210"/>
      <w:r>
        <w:rPr>
          <w:rFonts w:ascii="Times New Roman" w:hAnsi="Times New Roman" w:cs="Times New Roman"/>
          <w:b/>
          <w:bCs/>
          <w:sz w:val="20"/>
          <w:szCs w:val="20"/>
        </w:rPr>
        <w:t>KEYS</w:t>
      </w:r>
    </w:p>
    <w:p w14:paraId="18DDF4AA" w14:textId="77777777" w:rsidR="007628E0" w:rsidRDefault="00A56C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 95% Oatmeal Flour: 0% Banana pulp: 5% Honey; B = 90% Oatmeal Flour: 5% Banana pulp: 5% Honey; C = 85% Oatmeal Flour: 10% Banana pulp: 5% Honey; D = 80% Oatmeal Flour: 15% Banana pulp: 5% Honey; E = 75% Oatmeal Flour: 20% Banana pulp: 5% Honey</w:t>
      </w:r>
    </w:p>
    <w:p w14:paraId="15FFCB51" w14:textId="77777777" w:rsidR="007628E0" w:rsidRDefault="007628E0">
      <w:pPr>
        <w:spacing w:line="240" w:lineRule="auto"/>
        <w:rPr>
          <w:rFonts w:ascii="Times New Roman" w:hAnsi="Times New Roman" w:cs="Times New Roman"/>
          <w:b/>
          <w:bCs/>
        </w:rPr>
      </w:pPr>
    </w:p>
    <w:p w14:paraId="1127A6B0" w14:textId="77777777" w:rsidR="007628E0" w:rsidRDefault="00A56C92">
      <w:pPr>
        <w:spacing w:line="240" w:lineRule="auto"/>
        <w:rPr>
          <w:rFonts w:ascii="Times New Roman" w:hAnsi="Times New Roman" w:cs="Times New Roman"/>
          <w:b/>
          <w:bCs/>
        </w:rPr>
      </w:pPr>
      <w:r>
        <w:rPr>
          <w:rFonts w:ascii="Times New Roman" w:hAnsi="Times New Roman" w:cs="Times New Roman"/>
          <w:b/>
          <w:bCs/>
        </w:rPr>
        <w:t>3.2</w:t>
      </w:r>
      <w:r>
        <w:rPr>
          <w:rFonts w:ascii="Times New Roman" w:hAnsi="Times New Roman" w:cs="Times New Roman"/>
          <w:b/>
          <w:bCs/>
        </w:rPr>
        <w:tab/>
        <w:t>Physical Properties of Cookies from Oatmeal flour, Banana Pulp and Honey Blend</w:t>
      </w:r>
    </w:p>
    <w:p w14:paraId="3932739F"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Table 2 shows the physical properties which includes the diameter, thickness, spread ratio, and weight. The diameters ranged from 5.25 cm in sample A to 5.48 cm in sample D, </w:t>
      </w:r>
      <w:r>
        <w:rPr>
          <w:rFonts w:ascii="Times New Roman" w:hAnsi="Times New Roman" w:cs="Times New Roman"/>
        </w:rPr>
        <w:t>while thickness values varied slightly between 0.467 cm and 0.533 cm. Spread ratios were relatively high, between 10.17 and 11.50, and weights ranged from 9.33 g to 11.30 g.</w:t>
      </w:r>
    </w:p>
    <w:p w14:paraId="5F8A71C0"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Xiong </w:t>
      </w:r>
      <w:r>
        <w:rPr>
          <w:rFonts w:ascii="Times New Roman" w:hAnsi="Times New Roman" w:cs="Times New Roman"/>
          <w:i/>
        </w:rPr>
        <w:t>et al</w:t>
      </w:r>
      <w:r>
        <w:rPr>
          <w:rFonts w:ascii="Times New Roman" w:hAnsi="Times New Roman" w:cs="Times New Roman"/>
        </w:rPr>
        <w:t xml:space="preserve">. (2023) reported that partial substitution of wheat flour with </w:t>
      </w:r>
      <w:proofErr w:type="spellStart"/>
      <w:r>
        <w:rPr>
          <w:rFonts w:ascii="Times New Roman" w:hAnsi="Times New Roman" w:cs="Times New Roman"/>
        </w:rPr>
        <w:t>Huangji</w:t>
      </w:r>
      <w:r>
        <w:rPr>
          <w:rFonts w:ascii="Times New Roman" w:hAnsi="Times New Roman" w:cs="Times New Roman"/>
        </w:rPr>
        <w:t>ng</w:t>
      </w:r>
      <w:proofErr w:type="spellEnd"/>
      <w:r>
        <w:rPr>
          <w:rFonts w:ascii="Times New Roman" w:hAnsi="Times New Roman" w:cs="Times New Roman"/>
        </w:rPr>
        <w:t xml:space="preserve"> flour produced cookies whose spread ratios remained similar to control samples at lower inclusion levels, but decreased when substitution was high due to increased dough viscosity and reduced gluten development. </w:t>
      </w:r>
    </w:p>
    <w:p w14:paraId="5D3ACE88"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Similarly, </w:t>
      </w:r>
      <w:proofErr w:type="spellStart"/>
      <w:r>
        <w:rPr>
          <w:rFonts w:ascii="Times New Roman" w:hAnsi="Times New Roman" w:cs="Times New Roman"/>
        </w:rPr>
        <w:t>Aljobair</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(2022) observ</w:t>
      </w:r>
      <w:r>
        <w:rPr>
          <w:rFonts w:ascii="Times New Roman" w:hAnsi="Times New Roman" w:cs="Times New Roman"/>
        </w:rPr>
        <w:t>ed that addition of clove powder in composite flour cookies did not significantly alter cookie diameter or thickness at moderate concentrations.</w:t>
      </w:r>
    </w:p>
    <w:p w14:paraId="341213F2"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The spread ratios obtained in the present study (10–11) are consistent with values of Alam </w:t>
      </w:r>
      <w:r>
        <w:rPr>
          <w:rFonts w:ascii="Times New Roman" w:hAnsi="Times New Roman" w:cs="Times New Roman"/>
          <w:i/>
        </w:rPr>
        <w:t>et al</w:t>
      </w:r>
      <w:r>
        <w:rPr>
          <w:rFonts w:ascii="Times New Roman" w:hAnsi="Times New Roman" w:cs="Times New Roman"/>
        </w:rPr>
        <w:t>. (2020), sugge</w:t>
      </w:r>
      <w:r>
        <w:rPr>
          <w:rFonts w:ascii="Times New Roman" w:hAnsi="Times New Roman" w:cs="Times New Roman"/>
        </w:rPr>
        <w:t>sting that the oatmeal–banana–honey blend maintained adequate dough extensibility and moisture balance to allow spreading without collapse.</w:t>
      </w:r>
    </w:p>
    <w:p w14:paraId="3493EAE7" w14:textId="77777777" w:rsidR="007628E0" w:rsidRDefault="00A56C92">
      <w:pPr>
        <w:spacing w:line="240" w:lineRule="auto"/>
        <w:jc w:val="both"/>
        <w:rPr>
          <w:rFonts w:ascii="Times New Roman" w:hAnsi="Times New Roman" w:cs="Times New Roman"/>
        </w:rPr>
      </w:pPr>
      <w:r>
        <w:rPr>
          <w:rFonts w:ascii="Times New Roman" w:hAnsi="Times New Roman" w:cs="Times New Roman"/>
        </w:rPr>
        <w:lastRenderedPageBreak/>
        <w:t xml:space="preserve">The weights of the cookies in this study (9.33–11.30 g) are also comparable to values reported by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w:t>
      </w:r>
      <w:r>
        <w:rPr>
          <w:rFonts w:ascii="Times New Roman" w:hAnsi="Times New Roman" w:cs="Times New Roman"/>
        </w:rPr>
        <w:t xml:space="preserve">022) for wheat–oat composite cookies sweetened with date syrup (8.75–12.00 g), further demonstrating that the substitution of honey and banana pulp in place of refined sugar and fat does not adversely affect final product yield. </w:t>
      </w:r>
    </w:p>
    <w:p w14:paraId="29A77E67" w14:textId="77777777" w:rsidR="007628E0" w:rsidRDefault="00A56C92">
      <w:pPr>
        <w:spacing w:line="240" w:lineRule="auto"/>
        <w:jc w:val="both"/>
        <w:rPr>
          <w:rFonts w:ascii="Times New Roman" w:hAnsi="Times New Roman" w:cs="Times New Roman"/>
        </w:rPr>
      </w:pPr>
      <w:r>
        <w:rPr>
          <w:rFonts w:ascii="Times New Roman" w:hAnsi="Times New Roman" w:cs="Times New Roman"/>
        </w:rPr>
        <w:t>The relatively narrow rang</w:t>
      </w:r>
      <w:r>
        <w:rPr>
          <w:rFonts w:ascii="Times New Roman" w:hAnsi="Times New Roman" w:cs="Times New Roman"/>
        </w:rPr>
        <w:t>e of weights across samples indicates consistency in dough handling and baking performance, a desirable characteristic for commercial production.</w:t>
      </w:r>
    </w:p>
    <w:p w14:paraId="19A91122" w14:textId="77777777" w:rsidR="007628E0" w:rsidRDefault="00A56C9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Table 2: Physical Properties of Oatmeal flour, banana pulp and honey blends</w:t>
      </w:r>
    </w:p>
    <w:tbl>
      <w:tblPr>
        <w:tblStyle w:val="PlainTable21"/>
        <w:tblW w:w="5000" w:type="pct"/>
        <w:tblLook w:val="04A0" w:firstRow="1" w:lastRow="0" w:firstColumn="1" w:lastColumn="0" w:noHBand="0" w:noVBand="1"/>
      </w:tblPr>
      <w:tblGrid>
        <w:gridCol w:w="1099"/>
        <w:gridCol w:w="2014"/>
        <w:gridCol w:w="2243"/>
        <w:gridCol w:w="1670"/>
        <w:gridCol w:w="2334"/>
      </w:tblGrid>
      <w:tr w:rsidR="007628E0" w14:paraId="140BE9A1" w14:textId="77777777" w:rsidTr="007628E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87" w:type="pct"/>
          </w:tcPr>
          <w:p w14:paraId="0603056B"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Sample</w:t>
            </w:r>
          </w:p>
        </w:tc>
        <w:tc>
          <w:tcPr>
            <w:tcW w:w="1076" w:type="pct"/>
          </w:tcPr>
          <w:p w14:paraId="3CF398F6"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Diameter</w:t>
            </w:r>
            <w:proofErr w:type="gramStart"/>
            <w:r>
              <w:rPr>
                <w:rFonts w:cs="Times New Roman"/>
                <w:color w:val="000000" w:themeColor="text1"/>
                <w:sz w:val="20"/>
                <w:szCs w:val="20"/>
              </w:rPr>
              <w:t xml:space="preserve">   (</w:t>
            </w:r>
            <w:proofErr w:type="gramEnd"/>
            <w:r>
              <w:rPr>
                <w:rFonts w:cs="Times New Roman"/>
                <w:color w:val="000000" w:themeColor="text1"/>
                <w:sz w:val="20"/>
                <w:szCs w:val="20"/>
              </w:rPr>
              <w:t>cm)</w:t>
            </w:r>
          </w:p>
        </w:tc>
        <w:tc>
          <w:tcPr>
            <w:tcW w:w="1198" w:type="pct"/>
          </w:tcPr>
          <w:p w14:paraId="683FECF5"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 xml:space="preserve">Thickness </w:t>
            </w:r>
            <w:r>
              <w:rPr>
                <w:rFonts w:cs="Times New Roman"/>
                <w:color w:val="000000" w:themeColor="text1"/>
                <w:sz w:val="20"/>
                <w:szCs w:val="20"/>
              </w:rPr>
              <w:t>(cm)</w:t>
            </w:r>
          </w:p>
        </w:tc>
        <w:tc>
          <w:tcPr>
            <w:tcW w:w="892" w:type="pct"/>
          </w:tcPr>
          <w:p w14:paraId="777259CD"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Spread Ratio</w:t>
            </w:r>
          </w:p>
        </w:tc>
        <w:tc>
          <w:tcPr>
            <w:tcW w:w="1247" w:type="pct"/>
          </w:tcPr>
          <w:p w14:paraId="78EC15C4"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Weight (g)</w:t>
            </w:r>
          </w:p>
        </w:tc>
      </w:tr>
      <w:tr w:rsidR="007628E0" w14:paraId="171DA66E"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280E8ED8"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A</w:t>
            </w:r>
          </w:p>
        </w:tc>
        <w:tc>
          <w:tcPr>
            <w:tcW w:w="1076" w:type="pct"/>
          </w:tcPr>
          <w:p w14:paraId="518AC7A3"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5.25</w:t>
            </w:r>
            <w:r>
              <w:rPr>
                <w:rFonts w:cs="Times New Roman"/>
                <w:color w:val="000000" w:themeColor="text1"/>
                <w:sz w:val="20"/>
                <w:szCs w:val="20"/>
              </w:rPr>
              <w:t>ᵃ</w:t>
            </w:r>
            <w:r>
              <w:rPr>
                <w:rFonts w:cs="Times New Roman"/>
                <w:color w:val="000000" w:themeColor="text1"/>
                <w:sz w:val="20"/>
                <w:szCs w:val="20"/>
              </w:rPr>
              <w:t xml:space="preserve"> ± 0.13</w:t>
            </w:r>
          </w:p>
        </w:tc>
        <w:tc>
          <w:tcPr>
            <w:tcW w:w="1198" w:type="pct"/>
          </w:tcPr>
          <w:p w14:paraId="5419A9E1"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0.48</w:t>
            </w:r>
            <w:r>
              <w:rPr>
                <w:rFonts w:cs="Times New Roman"/>
                <w:color w:val="000000" w:themeColor="text1"/>
                <w:sz w:val="20"/>
                <w:szCs w:val="20"/>
              </w:rPr>
              <w:t>ᵃ</w:t>
            </w:r>
            <w:r>
              <w:rPr>
                <w:rFonts w:cs="Times New Roman"/>
                <w:color w:val="000000" w:themeColor="text1"/>
                <w:sz w:val="20"/>
                <w:szCs w:val="20"/>
              </w:rPr>
              <w:t xml:space="preserve"> ± 0.029</w:t>
            </w:r>
          </w:p>
        </w:tc>
        <w:tc>
          <w:tcPr>
            <w:tcW w:w="892" w:type="pct"/>
          </w:tcPr>
          <w:p w14:paraId="77970BA1"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10.9</w:t>
            </w:r>
            <w:r>
              <w:rPr>
                <w:rFonts w:cs="Times New Roman"/>
                <w:color w:val="000000" w:themeColor="text1"/>
                <w:sz w:val="20"/>
                <w:szCs w:val="20"/>
              </w:rPr>
              <w:t>ᵃ</w:t>
            </w:r>
            <w:r>
              <w:rPr>
                <w:rFonts w:cs="Times New Roman"/>
                <w:color w:val="000000" w:themeColor="text1"/>
                <w:sz w:val="20"/>
                <w:szCs w:val="20"/>
              </w:rPr>
              <w:t xml:space="preserve"> ± 0.82</w:t>
            </w:r>
          </w:p>
        </w:tc>
        <w:tc>
          <w:tcPr>
            <w:tcW w:w="1247" w:type="pct"/>
          </w:tcPr>
          <w:p w14:paraId="78A61918"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9.33</w:t>
            </w:r>
            <w:r>
              <w:rPr>
                <w:rFonts w:cs="Times New Roman"/>
                <w:color w:val="000000" w:themeColor="text1"/>
                <w:sz w:val="20"/>
                <w:szCs w:val="20"/>
              </w:rPr>
              <w:t>ᵃ</w:t>
            </w:r>
            <w:r>
              <w:rPr>
                <w:rFonts w:cs="Times New Roman"/>
                <w:color w:val="000000" w:themeColor="text1"/>
                <w:sz w:val="20"/>
                <w:szCs w:val="20"/>
              </w:rPr>
              <w:t xml:space="preserve"> ± 0.32</w:t>
            </w:r>
          </w:p>
        </w:tc>
      </w:tr>
      <w:tr w:rsidR="007628E0" w14:paraId="2AEFF7C1"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67869569"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B</w:t>
            </w:r>
          </w:p>
        </w:tc>
        <w:tc>
          <w:tcPr>
            <w:tcW w:w="1076" w:type="pct"/>
          </w:tcPr>
          <w:p w14:paraId="311ED9FA"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5.30</w:t>
            </w:r>
            <w:r>
              <w:rPr>
                <w:rFonts w:cs="Times New Roman"/>
                <w:color w:val="000000" w:themeColor="text1"/>
                <w:sz w:val="20"/>
                <w:szCs w:val="20"/>
              </w:rPr>
              <w:t>ᵃ</w:t>
            </w:r>
            <w:r>
              <w:rPr>
                <w:rFonts w:cs="Times New Roman"/>
                <w:color w:val="000000" w:themeColor="text1"/>
                <w:sz w:val="20"/>
                <w:szCs w:val="20"/>
              </w:rPr>
              <w:t xml:space="preserve"> ± 0.20</w:t>
            </w:r>
          </w:p>
        </w:tc>
        <w:tc>
          <w:tcPr>
            <w:tcW w:w="1198" w:type="pct"/>
          </w:tcPr>
          <w:p w14:paraId="079D16D4"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0.47</w:t>
            </w:r>
            <w:r>
              <w:rPr>
                <w:rFonts w:cs="Times New Roman"/>
                <w:color w:val="000000" w:themeColor="text1"/>
                <w:sz w:val="20"/>
                <w:szCs w:val="20"/>
              </w:rPr>
              <w:t>ᵃ</w:t>
            </w:r>
            <w:r>
              <w:rPr>
                <w:rFonts w:cs="Times New Roman"/>
                <w:color w:val="000000" w:themeColor="text1"/>
                <w:sz w:val="20"/>
                <w:szCs w:val="20"/>
              </w:rPr>
              <w:t xml:space="preserve"> ± 0.058</w:t>
            </w:r>
          </w:p>
        </w:tc>
        <w:tc>
          <w:tcPr>
            <w:tcW w:w="892" w:type="pct"/>
          </w:tcPr>
          <w:p w14:paraId="30816FAD"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11.5</w:t>
            </w:r>
            <w:r>
              <w:rPr>
                <w:rFonts w:cs="Times New Roman"/>
                <w:color w:val="000000" w:themeColor="text1"/>
                <w:sz w:val="20"/>
                <w:szCs w:val="20"/>
              </w:rPr>
              <w:t>ᵃ</w:t>
            </w:r>
            <w:r>
              <w:rPr>
                <w:rFonts w:cs="Times New Roman"/>
                <w:color w:val="000000" w:themeColor="text1"/>
                <w:sz w:val="20"/>
                <w:szCs w:val="20"/>
              </w:rPr>
              <w:t xml:space="preserve"> ± 1.61</w:t>
            </w:r>
          </w:p>
        </w:tc>
        <w:tc>
          <w:tcPr>
            <w:tcW w:w="1247" w:type="pct"/>
          </w:tcPr>
          <w:p w14:paraId="70A5FD36"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10.50</w:t>
            </w:r>
            <w:r>
              <w:rPr>
                <w:rFonts w:cs="Times New Roman"/>
                <w:color w:val="000000" w:themeColor="text1"/>
                <w:sz w:val="20"/>
                <w:szCs w:val="20"/>
              </w:rPr>
              <w:t>ᵃ</w:t>
            </w:r>
            <w:r>
              <w:rPr>
                <w:rFonts w:cs="Times New Roman"/>
                <w:color w:val="000000" w:themeColor="text1"/>
                <w:sz w:val="20"/>
                <w:szCs w:val="20"/>
              </w:rPr>
              <w:t xml:space="preserve"> ± 0.82</w:t>
            </w:r>
          </w:p>
        </w:tc>
      </w:tr>
      <w:tr w:rsidR="007628E0" w14:paraId="07057D85"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530079C2"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C</w:t>
            </w:r>
          </w:p>
        </w:tc>
        <w:tc>
          <w:tcPr>
            <w:tcW w:w="1076" w:type="pct"/>
          </w:tcPr>
          <w:p w14:paraId="544BEEBA"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5.42</w:t>
            </w:r>
            <w:r>
              <w:rPr>
                <w:rFonts w:cs="Times New Roman"/>
                <w:color w:val="000000" w:themeColor="text1"/>
                <w:sz w:val="20"/>
                <w:szCs w:val="20"/>
              </w:rPr>
              <w:t>ᵃ</w:t>
            </w:r>
            <w:r>
              <w:rPr>
                <w:rFonts w:cs="Times New Roman"/>
                <w:color w:val="000000" w:themeColor="text1"/>
                <w:sz w:val="20"/>
                <w:szCs w:val="20"/>
              </w:rPr>
              <w:t xml:space="preserve"> ± 0.16</w:t>
            </w:r>
          </w:p>
        </w:tc>
        <w:tc>
          <w:tcPr>
            <w:tcW w:w="1198" w:type="pct"/>
          </w:tcPr>
          <w:p w14:paraId="00123AF4"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0.53</w:t>
            </w:r>
            <w:r>
              <w:rPr>
                <w:rFonts w:cs="Times New Roman"/>
                <w:color w:val="000000" w:themeColor="text1"/>
                <w:sz w:val="20"/>
                <w:szCs w:val="20"/>
              </w:rPr>
              <w:t>ᵃ</w:t>
            </w:r>
            <w:r>
              <w:rPr>
                <w:rFonts w:cs="Times New Roman"/>
                <w:color w:val="000000" w:themeColor="text1"/>
                <w:sz w:val="20"/>
                <w:szCs w:val="20"/>
              </w:rPr>
              <w:t xml:space="preserve"> ± 0.115</w:t>
            </w:r>
          </w:p>
        </w:tc>
        <w:tc>
          <w:tcPr>
            <w:tcW w:w="892" w:type="pct"/>
          </w:tcPr>
          <w:p w14:paraId="566C4CE6"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10.48</w:t>
            </w:r>
            <w:r>
              <w:rPr>
                <w:rFonts w:cs="Times New Roman"/>
                <w:color w:val="000000" w:themeColor="text1"/>
                <w:sz w:val="20"/>
                <w:szCs w:val="20"/>
              </w:rPr>
              <w:t>ᵃ</w:t>
            </w:r>
            <w:r>
              <w:rPr>
                <w:rFonts w:cs="Times New Roman"/>
                <w:color w:val="000000" w:themeColor="text1"/>
                <w:sz w:val="20"/>
                <w:szCs w:val="20"/>
              </w:rPr>
              <w:t xml:space="preserve"> ± 2.40</w:t>
            </w:r>
          </w:p>
        </w:tc>
        <w:tc>
          <w:tcPr>
            <w:tcW w:w="1247" w:type="pct"/>
          </w:tcPr>
          <w:p w14:paraId="13CEFE7B"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11.30</w:t>
            </w:r>
            <w:r>
              <w:rPr>
                <w:rFonts w:cs="Times New Roman"/>
                <w:color w:val="000000" w:themeColor="text1"/>
                <w:sz w:val="20"/>
                <w:szCs w:val="20"/>
              </w:rPr>
              <w:t>ᵃ</w:t>
            </w:r>
            <w:r>
              <w:rPr>
                <w:rFonts w:cs="Times New Roman"/>
                <w:color w:val="000000" w:themeColor="text1"/>
                <w:sz w:val="20"/>
                <w:szCs w:val="20"/>
              </w:rPr>
              <w:t xml:space="preserve"> ± 1.93</w:t>
            </w:r>
          </w:p>
        </w:tc>
      </w:tr>
      <w:tr w:rsidR="007628E0" w14:paraId="15FB10AE"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78ACF9B5"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D</w:t>
            </w:r>
          </w:p>
        </w:tc>
        <w:tc>
          <w:tcPr>
            <w:tcW w:w="1076" w:type="pct"/>
          </w:tcPr>
          <w:p w14:paraId="1EF47CE8"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5.48</w:t>
            </w:r>
            <w:r>
              <w:rPr>
                <w:rFonts w:cs="Times New Roman"/>
                <w:color w:val="000000" w:themeColor="text1"/>
                <w:sz w:val="20"/>
                <w:szCs w:val="20"/>
              </w:rPr>
              <w:t>ᵃ</w:t>
            </w:r>
            <w:r>
              <w:rPr>
                <w:rFonts w:cs="Times New Roman"/>
                <w:color w:val="000000" w:themeColor="text1"/>
                <w:sz w:val="20"/>
                <w:szCs w:val="20"/>
              </w:rPr>
              <w:t xml:space="preserve"> ± 0.10</w:t>
            </w:r>
          </w:p>
        </w:tc>
        <w:tc>
          <w:tcPr>
            <w:tcW w:w="1198" w:type="pct"/>
          </w:tcPr>
          <w:p w14:paraId="24689657"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0.52</w:t>
            </w:r>
            <w:r>
              <w:rPr>
                <w:rFonts w:cs="Times New Roman"/>
                <w:color w:val="000000" w:themeColor="text1"/>
                <w:sz w:val="20"/>
                <w:szCs w:val="20"/>
              </w:rPr>
              <w:t>ᵃ</w:t>
            </w:r>
            <w:r>
              <w:rPr>
                <w:rFonts w:cs="Times New Roman"/>
                <w:color w:val="000000" w:themeColor="text1"/>
                <w:sz w:val="20"/>
                <w:szCs w:val="20"/>
              </w:rPr>
              <w:t xml:space="preserve"> ± 0.076</w:t>
            </w:r>
          </w:p>
        </w:tc>
        <w:tc>
          <w:tcPr>
            <w:tcW w:w="892" w:type="pct"/>
          </w:tcPr>
          <w:p w14:paraId="5B5C5B13"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10.73</w:t>
            </w:r>
            <w:r>
              <w:rPr>
                <w:rFonts w:cs="Times New Roman"/>
                <w:color w:val="000000" w:themeColor="text1"/>
                <w:sz w:val="20"/>
                <w:szCs w:val="20"/>
              </w:rPr>
              <w:t>ᵃ</w:t>
            </w:r>
            <w:r>
              <w:rPr>
                <w:rFonts w:cs="Times New Roman"/>
                <w:color w:val="000000" w:themeColor="text1"/>
                <w:sz w:val="20"/>
                <w:szCs w:val="20"/>
              </w:rPr>
              <w:t xml:space="preserve"> ± 1.40</w:t>
            </w:r>
          </w:p>
        </w:tc>
        <w:tc>
          <w:tcPr>
            <w:tcW w:w="1247" w:type="pct"/>
          </w:tcPr>
          <w:p w14:paraId="011ECF15"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11.23</w:t>
            </w:r>
            <w:r>
              <w:rPr>
                <w:rFonts w:cs="Times New Roman"/>
                <w:color w:val="000000" w:themeColor="text1"/>
                <w:sz w:val="20"/>
                <w:szCs w:val="20"/>
              </w:rPr>
              <w:t>ᵃ</w:t>
            </w:r>
            <w:r>
              <w:rPr>
                <w:rFonts w:cs="Times New Roman"/>
                <w:color w:val="000000" w:themeColor="text1"/>
                <w:sz w:val="20"/>
                <w:szCs w:val="20"/>
              </w:rPr>
              <w:t xml:space="preserve"> ± </w:t>
            </w:r>
            <w:r>
              <w:rPr>
                <w:rFonts w:cs="Times New Roman"/>
                <w:color w:val="000000" w:themeColor="text1"/>
                <w:sz w:val="20"/>
                <w:szCs w:val="20"/>
              </w:rPr>
              <w:t>1.72</w:t>
            </w:r>
          </w:p>
        </w:tc>
      </w:tr>
      <w:tr w:rsidR="007628E0" w14:paraId="24F3CB37"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5BBB9197"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E</w:t>
            </w:r>
          </w:p>
        </w:tc>
        <w:tc>
          <w:tcPr>
            <w:tcW w:w="1076" w:type="pct"/>
          </w:tcPr>
          <w:p w14:paraId="45CD43E8"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5.38</w:t>
            </w:r>
            <w:r>
              <w:rPr>
                <w:rFonts w:cs="Times New Roman"/>
                <w:color w:val="000000" w:themeColor="text1"/>
                <w:sz w:val="20"/>
                <w:szCs w:val="20"/>
              </w:rPr>
              <w:t>ᵃ</w:t>
            </w:r>
            <w:r>
              <w:rPr>
                <w:rFonts w:cs="Times New Roman"/>
                <w:color w:val="000000" w:themeColor="text1"/>
                <w:sz w:val="20"/>
                <w:szCs w:val="20"/>
              </w:rPr>
              <w:t xml:space="preserve"> ± 0.03</w:t>
            </w:r>
          </w:p>
        </w:tc>
        <w:tc>
          <w:tcPr>
            <w:tcW w:w="1198" w:type="pct"/>
          </w:tcPr>
          <w:p w14:paraId="6EB2E89B"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0.53</w:t>
            </w:r>
            <w:r>
              <w:rPr>
                <w:rFonts w:cs="Times New Roman"/>
                <w:color w:val="000000" w:themeColor="text1"/>
                <w:sz w:val="20"/>
                <w:szCs w:val="20"/>
              </w:rPr>
              <w:t>ᵃ</w:t>
            </w:r>
            <w:r>
              <w:rPr>
                <w:rFonts w:cs="Times New Roman"/>
                <w:color w:val="000000" w:themeColor="text1"/>
                <w:sz w:val="20"/>
                <w:szCs w:val="20"/>
              </w:rPr>
              <w:t xml:space="preserve"> ± 0.058</w:t>
            </w:r>
          </w:p>
        </w:tc>
        <w:tc>
          <w:tcPr>
            <w:tcW w:w="892" w:type="pct"/>
          </w:tcPr>
          <w:p w14:paraId="60926D88"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10.17</w:t>
            </w:r>
            <w:r>
              <w:rPr>
                <w:rFonts w:cs="Times New Roman"/>
                <w:color w:val="000000" w:themeColor="text1"/>
                <w:sz w:val="20"/>
                <w:szCs w:val="20"/>
              </w:rPr>
              <w:t>ᵃ</w:t>
            </w:r>
            <w:r>
              <w:rPr>
                <w:rFonts w:cs="Times New Roman"/>
                <w:color w:val="000000" w:themeColor="text1"/>
                <w:sz w:val="20"/>
                <w:szCs w:val="20"/>
              </w:rPr>
              <w:t xml:space="preserve"> ± 1.01</w:t>
            </w:r>
          </w:p>
        </w:tc>
        <w:tc>
          <w:tcPr>
            <w:tcW w:w="1247" w:type="pct"/>
          </w:tcPr>
          <w:p w14:paraId="6C80D18C"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10.07</w:t>
            </w:r>
            <w:r>
              <w:rPr>
                <w:rFonts w:cs="Times New Roman"/>
                <w:color w:val="000000" w:themeColor="text1"/>
                <w:sz w:val="20"/>
                <w:szCs w:val="20"/>
              </w:rPr>
              <w:t>ᵃ</w:t>
            </w:r>
            <w:r>
              <w:rPr>
                <w:rFonts w:cs="Times New Roman"/>
                <w:color w:val="000000" w:themeColor="text1"/>
                <w:sz w:val="20"/>
                <w:szCs w:val="20"/>
              </w:rPr>
              <w:t xml:space="preserve"> ± 0.68</w:t>
            </w:r>
          </w:p>
        </w:tc>
      </w:tr>
    </w:tbl>
    <w:p w14:paraId="37C7D16D" w14:textId="77777777" w:rsidR="007628E0" w:rsidRDefault="00A56C92">
      <w:pPr>
        <w:rPr>
          <w:rFonts w:ascii="Times New Roman" w:hAnsi="Times New Roman" w:cs="Times New Roman"/>
          <w:sz w:val="20"/>
          <w:szCs w:val="20"/>
        </w:rPr>
      </w:pPr>
      <w:r>
        <w:rPr>
          <w:rFonts w:ascii="Times New Roman" w:hAnsi="Times New Roman" w:cs="Times New Roman"/>
          <w:b/>
          <w:color w:val="000000" w:themeColor="text1"/>
        </w:rPr>
        <w:t xml:space="preserve"> </w:t>
      </w:r>
      <w:r>
        <w:rPr>
          <w:rFonts w:ascii="Times New Roman" w:hAnsi="Times New Roman" w:cs="Times New Roman"/>
          <w:iCs/>
          <w:sz w:val="20"/>
          <w:szCs w:val="20"/>
        </w:rPr>
        <w:t xml:space="preserve">Values are means of triplicate determinations ± standard deviation. Means in the same column with different superscripts differ significantly (p&lt;0.05) according to Duncan’s multiple range </w:t>
      </w:r>
      <w:r>
        <w:rPr>
          <w:rFonts w:ascii="Times New Roman" w:hAnsi="Times New Roman" w:cs="Times New Roman"/>
          <w:iCs/>
          <w:sz w:val="20"/>
          <w:szCs w:val="20"/>
        </w:rPr>
        <w:t>test.</w:t>
      </w:r>
    </w:p>
    <w:p w14:paraId="07BA1147" w14:textId="77777777" w:rsidR="007628E0" w:rsidRDefault="00A56C92">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KEYS</w:t>
      </w:r>
    </w:p>
    <w:p w14:paraId="083579A2" w14:textId="77777777" w:rsidR="007628E0" w:rsidRDefault="00A56C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 95% Oatmeal Flour: 0% Banana pulp: 5% Honey; B = 90% Oatmeal Flour: 5% Banana pulp: 5% Honey</w:t>
      </w:r>
    </w:p>
    <w:p w14:paraId="0687EF1B" w14:textId="77777777" w:rsidR="007628E0" w:rsidRDefault="00A56C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 = 85% Oatmeal Flour: 10% Banana pulp: 5% Honey; D = 80% Oatmeal Flour: 15% Banana pulp: 5% Honey</w:t>
      </w:r>
    </w:p>
    <w:p w14:paraId="27EC9B94" w14:textId="77777777" w:rsidR="007628E0" w:rsidRDefault="00A56C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 = 75% Oatmeal Flour: 20% Banana pulp: 5% Honey</w:t>
      </w:r>
    </w:p>
    <w:p w14:paraId="3B193C28" w14:textId="77777777" w:rsidR="007628E0" w:rsidRDefault="00A56C92">
      <w:pPr>
        <w:spacing w:line="240" w:lineRule="auto"/>
        <w:jc w:val="both"/>
        <w:rPr>
          <w:rFonts w:ascii="Times New Roman" w:hAnsi="Times New Roman" w:cs="Times New Roman"/>
          <w:b/>
          <w:bCs/>
        </w:rPr>
      </w:pPr>
      <w:r>
        <w:rPr>
          <w:rFonts w:ascii="Times New Roman" w:hAnsi="Times New Roman" w:cs="Times New Roman"/>
          <w:b/>
          <w:bCs/>
        </w:rPr>
        <w:t>3.3</w:t>
      </w:r>
      <w:r>
        <w:rPr>
          <w:rFonts w:ascii="Times New Roman" w:hAnsi="Times New Roman" w:cs="Times New Roman"/>
          <w:b/>
          <w:bCs/>
        </w:rPr>
        <w:tab/>
        <w:t>Mineral Analysis of Cookies from Oatmeal Flour, Banana Pulp and Honey</w:t>
      </w:r>
    </w:p>
    <w:p w14:paraId="522597A2"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Table 3 shows result on the mineral analysis; calcium (Ca), iron (Fe), potassium (K), and sodium (Na) contents increased progressively from Sample A through E, with Sample E having </w:t>
      </w:r>
      <w:r>
        <w:rPr>
          <w:rFonts w:ascii="Times New Roman" w:hAnsi="Times New Roman" w:cs="Times New Roman"/>
        </w:rPr>
        <w:t>the highest Ca (3.867 mg/100 g), K (310.0 mg/100 g), and Na (113.6 mg/100 g), while Fe peaked in Sample D (0.480 mg/100 g).</w:t>
      </w:r>
    </w:p>
    <w:p w14:paraId="0736F82C"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Chayote mung bean flour biscuits evaluated by </w:t>
      </w:r>
      <w:proofErr w:type="spellStart"/>
      <w:r>
        <w:rPr>
          <w:rFonts w:ascii="Times New Roman" w:hAnsi="Times New Roman" w:cs="Times New Roman"/>
        </w:rPr>
        <w:t>Sakung</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(2021) had K values significantly lower than 300 mg/100 g, demonstrating</w:t>
      </w:r>
      <w:r>
        <w:rPr>
          <w:rFonts w:ascii="Times New Roman" w:hAnsi="Times New Roman" w:cs="Times New Roman"/>
        </w:rPr>
        <w:t xml:space="preserve"> that the banana containing formulations in the result, achieved mineral levels among the higher end of typical composite flour baked goods.</w:t>
      </w:r>
    </w:p>
    <w:p w14:paraId="62DB6D0D" w14:textId="77777777" w:rsidR="007628E0" w:rsidRDefault="00A56C92">
      <w:pPr>
        <w:spacing w:line="240" w:lineRule="auto"/>
        <w:jc w:val="both"/>
        <w:rPr>
          <w:rFonts w:ascii="Times New Roman" w:hAnsi="Times New Roman" w:cs="Times New Roman"/>
        </w:rPr>
      </w:pPr>
      <w:r>
        <w:rPr>
          <w:rFonts w:ascii="Times New Roman" w:hAnsi="Times New Roman" w:cs="Times New Roman"/>
        </w:rPr>
        <w:t>The calcium levels observed in the present study (1.80–3.87 mg/100 g) were modest when compared with values reporte</w:t>
      </w:r>
      <w:r>
        <w:rPr>
          <w:rFonts w:ascii="Times New Roman" w:hAnsi="Times New Roman" w:cs="Times New Roman"/>
        </w:rPr>
        <w:t xml:space="preserve">d for many fruit- or seed-enriched cookies. For instance, Hussein </w:t>
      </w:r>
      <w:r>
        <w:rPr>
          <w:rFonts w:ascii="Times New Roman" w:hAnsi="Times New Roman" w:cs="Times New Roman"/>
          <w:i/>
        </w:rPr>
        <w:t>et al</w:t>
      </w:r>
      <w:r>
        <w:rPr>
          <w:rFonts w:ascii="Times New Roman" w:hAnsi="Times New Roman" w:cs="Times New Roman"/>
        </w:rPr>
        <w:t xml:space="preserve">. (2020) found that cookies fortified with pumpkin seed flour recorded calcium contents in the range of 32–46 mg/100 g, far exceeding the levels obtained in this study. Similarly, </w:t>
      </w:r>
      <w:proofErr w:type="spellStart"/>
      <w:r>
        <w:rPr>
          <w:rFonts w:ascii="Times New Roman" w:hAnsi="Times New Roman" w:cs="Times New Roman"/>
        </w:rPr>
        <w:t>Manej</w:t>
      </w:r>
      <w:r>
        <w:rPr>
          <w:rFonts w:ascii="Times New Roman" w:hAnsi="Times New Roman" w:cs="Times New Roman"/>
        </w:rPr>
        <w:t>u</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(2021) reported significantly higher calcium levels when banana peel flour was incorporated into biscuit formulations, attributing the increase to the higher mineral density of the peel compared to the pulp. These findings suggest that the relativ</w:t>
      </w:r>
      <w:r>
        <w:rPr>
          <w:rFonts w:ascii="Times New Roman" w:hAnsi="Times New Roman" w:cs="Times New Roman"/>
        </w:rPr>
        <w:t>ely low calcium in the current samples is linked to the use of banana pulp, which is less mineral-dense, and the absence of mineral-rich seed flours.</w:t>
      </w:r>
    </w:p>
    <w:p w14:paraId="16F366FD"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Iron concentrations in the cookies (0.28–0.48 mg/100 g) were similarly low, a trend consistent with most non-fortified bakery products. </w:t>
      </w:r>
      <w:proofErr w:type="spellStart"/>
      <w:r>
        <w:rPr>
          <w:rFonts w:ascii="Times New Roman" w:hAnsi="Times New Roman" w:cs="Times New Roman"/>
        </w:rPr>
        <w:t>Adegunwa</w:t>
      </w:r>
      <w:proofErr w:type="spellEnd"/>
      <w:r>
        <w:rPr>
          <w:rFonts w:ascii="Times New Roman" w:hAnsi="Times New Roman" w:cs="Times New Roman"/>
          <w:i/>
        </w:rPr>
        <w:t xml:space="preserve"> et al.</w:t>
      </w:r>
      <w:r>
        <w:rPr>
          <w:rFonts w:ascii="Times New Roman" w:hAnsi="Times New Roman" w:cs="Times New Roman"/>
        </w:rPr>
        <w:t xml:space="preserve"> (2017) noted that cookies produced from wheat–plantain–</w:t>
      </w:r>
      <w:proofErr w:type="spellStart"/>
      <w:r>
        <w:rPr>
          <w:rFonts w:ascii="Times New Roman" w:hAnsi="Times New Roman" w:cs="Times New Roman"/>
        </w:rPr>
        <w:t>bambara</w:t>
      </w:r>
      <w:proofErr w:type="spellEnd"/>
      <w:r>
        <w:rPr>
          <w:rFonts w:ascii="Times New Roman" w:hAnsi="Times New Roman" w:cs="Times New Roman"/>
        </w:rPr>
        <w:t xml:space="preserve"> groundnut blends contained less than 1 mg</w:t>
      </w:r>
      <w:r>
        <w:rPr>
          <w:rFonts w:ascii="Times New Roman" w:hAnsi="Times New Roman" w:cs="Times New Roman"/>
        </w:rPr>
        <w:t xml:space="preserve">/100 g of iron, while higher iron values were only achieved when iron-rich legumes or by-products were used. In contrast, Adelekan </w:t>
      </w:r>
      <w:r>
        <w:rPr>
          <w:rFonts w:ascii="Times New Roman" w:hAnsi="Times New Roman" w:cs="Times New Roman"/>
          <w:i/>
        </w:rPr>
        <w:t>et al</w:t>
      </w:r>
      <w:r>
        <w:rPr>
          <w:rFonts w:ascii="Times New Roman" w:hAnsi="Times New Roman" w:cs="Times New Roman"/>
        </w:rPr>
        <w:t>. (2019) reported appreciably higher iron (up to 12 mg/100 g) in cookies fortified with African locust bean flour, highl</w:t>
      </w:r>
      <w:r>
        <w:rPr>
          <w:rFonts w:ascii="Times New Roman" w:hAnsi="Times New Roman" w:cs="Times New Roman"/>
        </w:rPr>
        <w:t>ighting the role of ingredient choice in improving iron density.</w:t>
      </w:r>
    </w:p>
    <w:p w14:paraId="12C2B488" w14:textId="77777777" w:rsidR="007628E0" w:rsidRDefault="00A56C92">
      <w:pPr>
        <w:spacing w:line="240" w:lineRule="auto"/>
        <w:jc w:val="both"/>
        <w:rPr>
          <w:rFonts w:ascii="Times New Roman" w:hAnsi="Times New Roman" w:cs="Times New Roman"/>
        </w:rPr>
      </w:pPr>
      <w:r>
        <w:rPr>
          <w:rFonts w:ascii="Times New Roman" w:hAnsi="Times New Roman" w:cs="Times New Roman"/>
        </w:rPr>
        <w:lastRenderedPageBreak/>
        <w:t xml:space="preserve">Sodium levels in this study ranged between 32.40 and 113.6 mg/100 g, which were moderate compared to many commercial cookies.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(2022) reported sodium contents between 95–145 mg</w:t>
      </w:r>
      <w:r>
        <w:rPr>
          <w:rFonts w:ascii="Times New Roman" w:hAnsi="Times New Roman" w:cs="Times New Roman"/>
        </w:rPr>
        <w:t xml:space="preserve">/100 g in wheat–oat cookies sweetened with date syrup, while Xiong </w:t>
      </w:r>
      <w:r>
        <w:rPr>
          <w:rFonts w:ascii="Times New Roman" w:hAnsi="Times New Roman" w:cs="Times New Roman"/>
          <w:i/>
        </w:rPr>
        <w:t>et al</w:t>
      </w:r>
      <w:r>
        <w:rPr>
          <w:rFonts w:ascii="Times New Roman" w:hAnsi="Times New Roman" w:cs="Times New Roman"/>
        </w:rPr>
        <w:t xml:space="preserve">. (2023) also found elevated sodium levels in </w:t>
      </w:r>
      <w:proofErr w:type="spellStart"/>
      <w:r>
        <w:rPr>
          <w:rFonts w:ascii="Times New Roman" w:hAnsi="Times New Roman" w:cs="Times New Roman"/>
        </w:rPr>
        <w:t>Huangjing</w:t>
      </w:r>
      <w:proofErr w:type="spellEnd"/>
      <w:r>
        <w:rPr>
          <w:rFonts w:ascii="Times New Roman" w:hAnsi="Times New Roman" w:cs="Times New Roman"/>
        </w:rPr>
        <w:t>-enriched cookies where salt was added to enhance flavor. The sodium levels in Sample E of the present study (113.6 mg/100 g) are</w:t>
      </w:r>
      <w:r>
        <w:rPr>
          <w:rFonts w:ascii="Times New Roman" w:hAnsi="Times New Roman" w:cs="Times New Roman"/>
        </w:rPr>
        <w:t xml:space="preserve"> within this commercial range, likely influenced by the combined effects of added salt and the mineral content of honey.</w:t>
      </w:r>
    </w:p>
    <w:p w14:paraId="529476DC" w14:textId="77777777" w:rsidR="007628E0" w:rsidRDefault="00A56C92">
      <w:pPr>
        <w:spacing w:line="240" w:lineRule="auto"/>
        <w:jc w:val="both"/>
        <w:rPr>
          <w:rFonts w:ascii="Times New Roman" w:hAnsi="Times New Roman" w:cs="Times New Roman"/>
          <w:b/>
          <w:sz w:val="20"/>
          <w:szCs w:val="20"/>
        </w:rPr>
      </w:pPr>
      <w:r>
        <w:rPr>
          <w:rFonts w:ascii="Times New Roman" w:hAnsi="Times New Roman" w:cs="Times New Roman"/>
          <w:b/>
          <w:sz w:val="20"/>
          <w:szCs w:val="20"/>
        </w:rPr>
        <w:t>Table 3: Mineral Analysis of Cookies (mg/100g)</w:t>
      </w:r>
    </w:p>
    <w:tbl>
      <w:tblPr>
        <w:tblStyle w:val="PlainTable21"/>
        <w:tblW w:w="5000" w:type="pct"/>
        <w:tblLook w:val="04A0" w:firstRow="1" w:lastRow="0" w:firstColumn="1" w:lastColumn="0" w:noHBand="0" w:noVBand="1"/>
      </w:tblPr>
      <w:tblGrid>
        <w:gridCol w:w="1099"/>
        <w:gridCol w:w="2014"/>
        <w:gridCol w:w="2243"/>
        <w:gridCol w:w="1670"/>
        <w:gridCol w:w="2334"/>
      </w:tblGrid>
      <w:tr w:rsidR="007628E0" w14:paraId="48C43225" w14:textId="77777777" w:rsidTr="007628E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87" w:type="pct"/>
          </w:tcPr>
          <w:p w14:paraId="24A0AB44"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Sample</w:t>
            </w:r>
          </w:p>
        </w:tc>
        <w:tc>
          <w:tcPr>
            <w:tcW w:w="1076" w:type="pct"/>
          </w:tcPr>
          <w:p w14:paraId="42D72545"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Calcium</w:t>
            </w:r>
          </w:p>
        </w:tc>
        <w:tc>
          <w:tcPr>
            <w:tcW w:w="1198" w:type="pct"/>
          </w:tcPr>
          <w:p w14:paraId="52BDB28A"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Iron</w:t>
            </w:r>
          </w:p>
        </w:tc>
        <w:tc>
          <w:tcPr>
            <w:tcW w:w="892" w:type="pct"/>
          </w:tcPr>
          <w:p w14:paraId="5277363E"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 xml:space="preserve">Potassium                    </w:t>
            </w:r>
          </w:p>
        </w:tc>
        <w:tc>
          <w:tcPr>
            <w:tcW w:w="1247" w:type="pct"/>
          </w:tcPr>
          <w:p w14:paraId="4268C7C2"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Sodium</w:t>
            </w:r>
          </w:p>
        </w:tc>
      </w:tr>
      <w:tr w:rsidR="007628E0" w14:paraId="3EB1DE64"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29C49906"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A</w:t>
            </w:r>
          </w:p>
        </w:tc>
        <w:tc>
          <w:tcPr>
            <w:tcW w:w="1076" w:type="pct"/>
          </w:tcPr>
          <w:p w14:paraId="762F3E03"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1.80</w:t>
            </w:r>
            <w:r>
              <w:rPr>
                <w:rFonts w:cs="Times New Roman"/>
                <w:sz w:val="20"/>
                <w:szCs w:val="20"/>
              </w:rPr>
              <w:t>ᵉ</w:t>
            </w:r>
            <w:r>
              <w:rPr>
                <w:rFonts w:cs="Times New Roman"/>
                <w:sz w:val="20"/>
                <w:szCs w:val="20"/>
              </w:rPr>
              <w:t xml:space="preserve"> ± 0.13</w:t>
            </w:r>
          </w:p>
        </w:tc>
        <w:tc>
          <w:tcPr>
            <w:tcW w:w="1198" w:type="pct"/>
          </w:tcPr>
          <w:p w14:paraId="0D6AFA32"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0.28</w:t>
            </w:r>
            <w:r>
              <w:rPr>
                <w:rFonts w:cs="Times New Roman"/>
                <w:sz w:val="20"/>
                <w:szCs w:val="20"/>
              </w:rPr>
              <w:t>ᵈ</w:t>
            </w:r>
            <w:r>
              <w:rPr>
                <w:rFonts w:cs="Times New Roman"/>
                <w:sz w:val="20"/>
                <w:szCs w:val="20"/>
              </w:rPr>
              <w:t xml:space="preserve"> ± 0.01</w:t>
            </w:r>
          </w:p>
        </w:tc>
        <w:tc>
          <w:tcPr>
            <w:tcW w:w="892" w:type="pct"/>
          </w:tcPr>
          <w:p w14:paraId="5C0D0271"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88</w:t>
            </w:r>
            <w:r>
              <w:rPr>
                <w:rFonts w:cs="Times New Roman"/>
                <w:sz w:val="20"/>
                <w:szCs w:val="20"/>
              </w:rPr>
              <w:t>.59</w:t>
            </w:r>
            <w:r>
              <w:rPr>
                <w:rFonts w:cs="Times New Roman"/>
                <w:sz w:val="20"/>
                <w:szCs w:val="20"/>
              </w:rPr>
              <w:t>ᵉ</w:t>
            </w:r>
            <w:r>
              <w:rPr>
                <w:rFonts w:cs="Times New Roman"/>
                <w:sz w:val="20"/>
                <w:szCs w:val="20"/>
              </w:rPr>
              <w:t xml:space="preserve"> ± 0.12</w:t>
            </w:r>
          </w:p>
        </w:tc>
        <w:tc>
          <w:tcPr>
            <w:tcW w:w="1247" w:type="pct"/>
          </w:tcPr>
          <w:p w14:paraId="7A237E51"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32.40</w:t>
            </w:r>
            <w:r>
              <w:rPr>
                <w:rFonts w:cs="Times New Roman"/>
                <w:sz w:val="20"/>
                <w:szCs w:val="20"/>
              </w:rPr>
              <w:t>ᵉ</w:t>
            </w:r>
            <w:r>
              <w:rPr>
                <w:rFonts w:cs="Times New Roman"/>
                <w:sz w:val="20"/>
                <w:szCs w:val="20"/>
              </w:rPr>
              <w:t xml:space="preserve"> ± 0.04</w:t>
            </w:r>
          </w:p>
        </w:tc>
      </w:tr>
      <w:tr w:rsidR="007628E0" w14:paraId="2FE854B5"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48AD6AA2"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B</w:t>
            </w:r>
          </w:p>
        </w:tc>
        <w:tc>
          <w:tcPr>
            <w:tcW w:w="1076" w:type="pct"/>
          </w:tcPr>
          <w:p w14:paraId="3FE0AD8E"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2.48</w:t>
            </w:r>
            <w:r>
              <w:rPr>
                <w:rFonts w:cs="Times New Roman"/>
                <w:sz w:val="20"/>
                <w:szCs w:val="20"/>
              </w:rPr>
              <w:t>ᵈ</w:t>
            </w:r>
            <w:r>
              <w:rPr>
                <w:rFonts w:cs="Times New Roman"/>
                <w:sz w:val="20"/>
                <w:szCs w:val="20"/>
              </w:rPr>
              <w:t xml:space="preserve"> ± 0.03</w:t>
            </w:r>
          </w:p>
        </w:tc>
        <w:tc>
          <w:tcPr>
            <w:tcW w:w="1198" w:type="pct"/>
          </w:tcPr>
          <w:p w14:paraId="296EFF39"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0.33</w:t>
            </w:r>
            <w:r>
              <w:rPr>
                <w:rFonts w:cs="Times New Roman"/>
                <w:sz w:val="20"/>
                <w:szCs w:val="20"/>
              </w:rPr>
              <w:t>ᶜ</w:t>
            </w:r>
            <w:r>
              <w:rPr>
                <w:rFonts w:cs="Times New Roman"/>
                <w:sz w:val="20"/>
                <w:szCs w:val="20"/>
              </w:rPr>
              <w:t xml:space="preserve"> ± 0.01</w:t>
            </w:r>
          </w:p>
        </w:tc>
        <w:tc>
          <w:tcPr>
            <w:tcW w:w="892" w:type="pct"/>
          </w:tcPr>
          <w:p w14:paraId="2241F0FF"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106.6</w:t>
            </w:r>
            <w:r>
              <w:rPr>
                <w:rFonts w:cs="Times New Roman"/>
                <w:sz w:val="20"/>
                <w:szCs w:val="20"/>
              </w:rPr>
              <w:t>ᵈ</w:t>
            </w:r>
            <w:r>
              <w:rPr>
                <w:rFonts w:cs="Times New Roman"/>
                <w:sz w:val="20"/>
                <w:szCs w:val="20"/>
              </w:rPr>
              <w:t xml:space="preserve"> ± 0.08</w:t>
            </w:r>
          </w:p>
        </w:tc>
        <w:tc>
          <w:tcPr>
            <w:tcW w:w="1247" w:type="pct"/>
          </w:tcPr>
          <w:p w14:paraId="56C71E75"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42.69</w:t>
            </w:r>
            <w:r>
              <w:rPr>
                <w:rFonts w:cs="Times New Roman"/>
                <w:sz w:val="20"/>
                <w:szCs w:val="20"/>
              </w:rPr>
              <w:t>ᵈ</w:t>
            </w:r>
            <w:r>
              <w:rPr>
                <w:rFonts w:cs="Times New Roman"/>
                <w:sz w:val="20"/>
                <w:szCs w:val="20"/>
              </w:rPr>
              <w:t xml:space="preserve"> ± 0.05</w:t>
            </w:r>
          </w:p>
        </w:tc>
      </w:tr>
      <w:tr w:rsidR="007628E0" w14:paraId="24FA12CF"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7F06744C"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C</w:t>
            </w:r>
          </w:p>
        </w:tc>
        <w:tc>
          <w:tcPr>
            <w:tcW w:w="1076" w:type="pct"/>
          </w:tcPr>
          <w:p w14:paraId="35A891EE"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2.77</w:t>
            </w:r>
            <w:r>
              <w:rPr>
                <w:rFonts w:cs="Times New Roman"/>
                <w:sz w:val="20"/>
                <w:szCs w:val="20"/>
              </w:rPr>
              <w:t>ᶜ</w:t>
            </w:r>
            <w:r>
              <w:rPr>
                <w:rFonts w:cs="Times New Roman"/>
                <w:sz w:val="20"/>
                <w:szCs w:val="20"/>
              </w:rPr>
              <w:t xml:space="preserve"> ± 0.02</w:t>
            </w:r>
          </w:p>
        </w:tc>
        <w:tc>
          <w:tcPr>
            <w:tcW w:w="1198" w:type="pct"/>
          </w:tcPr>
          <w:p w14:paraId="1EF316ED"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0.29</w:t>
            </w:r>
            <w:r>
              <w:rPr>
                <w:rFonts w:cs="Times New Roman"/>
                <w:sz w:val="20"/>
                <w:szCs w:val="20"/>
              </w:rPr>
              <w:t>ᵈ</w:t>
            </w:r>
            <w:r>
              <w:rPr>
                <w:rFonts w:cs="Times New Roman"/>
                <w:sz w:val="20"/>
                <w:szCs w:val="20"/>
              </w:rPr>
              <w:t xml:space="preserve"> ± 0.01</w:t>
            </w:r>
          </w:p>
        </w:tc>
        <w:tc>
          <w:tcPr>
            <w:tcW w:w="892" w:type="pct"/>
          </w:tcPr>
          <w:p w14:paraId="6EC3562A"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111.8</w:t>
            </w:r>
            <w:r>
              <w:rPr>
                <w:rFonts w:cs="Times New Roman"/>
                <w:sz w:val="20"/>
                <w:szCs w:val="20"/>
              </w:rPr>
              <w:t>ᶜ</w:t>
            </w:r>
            <w:r>
              <w:rPr>
                <w:rFonts w:cs="Times New Roman"/>
                <w:sz w:val="20"/>
                <w:szCs w:val="20"/>
              </w:rPr>
              <w:t xml:space="preserve"> ± 0.13</w:t>
            </w:r>
          </w:p>
        </w:tc>
        <w:tc>
          <w:tcPr>
            <w:tcW w:w="1247" w:type="pct"/>
          </w:tcPr>
          <w:p w14:paraId="56CD81D1"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92.18</w:t>
            </w:r>
            <w:r>
              <w:rPr>
                <w:rFonts w:cs="Times New Roman"/>
                <w:sz w:val="20"/>
                <w:szCs w:val="20"/>
              </w:rPr>
              <w:t>ᶜ</w:t>
            </w:r>
            <w:r>
              <w:rPr>
                <w:rFonts w:cs="Times New Roman"/>
                <w:sz w:val="20"/>
                <w:szCs w:val="20"/>
              </w:rPr>
              <w:t xml:space="preserve"> ± 0.04</w:t>
            </w:r>
          </w:p>
        </w:tc>
      </w:tr>
      <w:tr w:rsidR="007628E0" w14:paraId="1A0DB816"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28B0478C"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D</w:t>
            </w:r>
          </w:p>
        </w:tc>
        <w:tc>
          <w:tcPr>
            <w:tcW w:w="1076" w:type="pct"/>
          </w:tcPr>
          <w:p w14:paraId="0DB5901E"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3.53</w:t>
            </w:r>
            <w:r>
              <w:rPr>
                <w:rFonts w:cs="Times New Roman"/>
                <w:sz w:val="20"/>
                <w:szCs w:val="20"/>
              </w:rPr>
              <w:t>ᵇ</w:t>
            </w:r>
            <w:r>
              <w:rPr>
                <w:rFonts w:cs="Times New Roman"/>
                <w:sz w:val="20"/>
                <w:szCs w:val="20"/>
              </w:rPr>
              <w:t xml:space="preserve"> ± 0.01</w:t>
            </w:r>
          </w:p>
        </w:tc>
        <w:tc>
          <w:tcPr>
            <w:tcW w:w="1198" w:type="pct"/>
          </w:tcPr>
          <w:p w14:paraId="0966829A"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0.48</w:t>
            </w:r>
            <w:r>
              <w:rPr>
                <w:rFonts w:cs="Times New Roman"/>
                <w:sz w:val="20"/>
                <w:szCs w:val="20"/>
              </w:rPr>
              <w:t>ᵃ</w:t>
            </w:r>
            <w:r>
              <w:rPr>
                <w:rFonts w:cs="Times New Roman"/>
                <w:sz w:val="20"/>
                <w:szCs w:val="20"/>
              </w:rPr>
              <w:t xml:space="preserve"> ± 0.01</w:t>
            </w:r>
          </w:p>
        </w:tc>
        <w:tc>
          <w:tcPr>
            <w:tcW w:w="892" w:type="pct"/>
          </w:tcPr>
          <w:p w14:paraId="3CAD0E29"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277.4</w:t>
            </w:r>
            <w:r>
              <w:rPr>
                <w:rFonts w:cs="Times New Roman"/>
                <w:sz w:val="20"/>
                <w:szCs w:val="20"/>
              </w:rPr>
              <w:t>ᵇ</w:t>
            </w:r>
            <w:r>
              <w:rPr>
                <w:rFonts w:cs="Times New Roman"/>
                <w:sz w:val="20"/>
                <w:szCs w:val="20"/>
              </w:rPr>
              <w:t xml:space="preserve"> ± 0.01</w:t>
            </w:r>
          </w:p>
        </w:tc>
        <w:tc>
          <w:tcPr>
            <w:tcW w:w="1247" w:type="pct"/>
          </w:tcPr>
          <w:p w14:paraId="560507EB"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105.2</w:t>
            </w:r>
            <w:r>
              <w:rPr>
                <w:rFonts w:cs="Times New Roman"/>
                <w:sz w:val="20"/>
                <w:szCs w:val="20"/>
              </w:rPr>
              <w:t>ᵇ</w:t>
            </w:r>
            <w:r>
              <w:rPr>
                <w:rFonts w:cs="Times New Roman"/>
                <w:sz w:val="20"/>
                <w:szCs w:val="20"/>
              </w:rPr>
              <w:t xml:space="preserve"> ± 0.01</w:t>
            </w:r>
          </w:p>
        </w:tc>
      </w:tr>
      <w:tr w:rsidR="007628E0" w14:paraId="504862FA"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1B5BE52F"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E</w:t>
            </w:r>
          </w:p>
        </w:tc>
        <w:tc>
          <w:tcPr>
            <w:tcW w:w="1076" w:type="pct"/>
          </w:tcPr>
          <w:p w14:paraId="2F73F09A"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3.87</w:t>
            </w:r>
            <w:r>
              <w:rPr>
                <w:rFonts w:cs="Times New Roman"/>
                <w:sz w:val="20"/>
                <w:szCs w:val="20"/>
              </w:rPr>
              <w:t>ᵃ</w:t>
            </w:r>
            <w:r>
              <w:rPr>
                <w:rFonts w:cs="Times New Roman"/>
                <w:sz w:val="20"/>
                <w:szCs w:val="20"/>
              </w:rPr>
              <w:t xml:space="preserve"> ± 0.01</w:t>
            </w:r>
          </w:p>
        </w:tc>
        <w:tc>
          <w:tcPr>
            <w:tcW w:w="1198" w:type="pct"/>
          </w:tcPr>
          <w:p w14:paraId="0DE20416"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0.45</w:t>
            </w:r>
            <w:r>
              <w:rPr>
                <w:rFonts w:cs="Times New Roman"/>
                <w:sz w:val="20"/>
                <w:szCs w:val="20"/>
              </w:rPr>
              <w:t>ᵇ</w:t>
            </w:r>
            <w:r>
              <w:rPr>
                <w:rFonts w:cs="Times New Roman"/>
                <w:sz w:val="20"/>
                <w:szCs w:val="20"/>
              </w:rPr>
              <w:t xml:space="preserve"> ± 0.00</w:t>
            </w:r>
          </w:p>
        </w:tc>
        <w:tc>
          <w:tcPr>
            <w:tcW w:w="892" w:type="pct"/>
          </w:tcPr>
          <w:p w14:paraId="32C3860D"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310.0</w:t>
            </w:r>
            <w:r>
              <w:rPr>
                <w:rFonts w:cs="Times New Roman"/>
                <w:sz w:val="20"/>
                <w:szCs w:val="20"/>
              </w:rPr>
              <w:t>ᵃ</w:t>
            </w:r>
            <w:r>
              <w:rPr>
                <w:rFonts w:cs="Times New Roman"/>
                <w:sz w:val="20"/>
                <w:szCs w:val="20"/>
              </w:rPr>
              <w:t xml:space="preserve"> ± 0.01</w:t>
            </w:r>
          </w:p>
        </w:tc>
        <w:tc>
          <w:tcPr>
            <w:tcW w:w="1247" w:type="pct"/>
          </w:tcPr>
          <w:p w14:paraId="11FA7432"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113.6</w:t>
            </w:r>
            <w:r>
              <w:rPr>
                <w:rFonts w:cs="Times New Roman"/>
                <w:sz w:val="20"/>
                <w:szCs w:val="20"/>
              </w:rPr>
              <w:t>ᵃ</w:t>
            </w:r>
            <w:r>
              <w:rPr>
                <w:rFonts w:cs="Times New Roman"/>
                <w:sz w:val="20"/>
                <w:szCs w:val="20"/>
              </w:rPr>
              <w:t xml:space="preserve"> ± 0.01</w:t>
            </w:r>
          </w:p>
        </w:tc>
      </w:tr>
    </w:tbl>
    <w:p w14:paraId="0409EF3C" w14:textId="77777777" w:rsidR="007628E0" w:rsidRDefault="00A56C92">
      <w:pPr>
        <w:spacing w:line="240" w:lineRule="auto"/>
        <w:jc w:val="both"/>
        <w:rPr>
          <w:rFonts w:ascii="Times New Roman" w:hAnsi="Times New Roman" w:cs="Times New Roman"/>
        </w:rPr>
      </w:pPr>
      <w:r>
        <w:rPr>
          <w:rFonts w:ascii="Times New Roman" w:hAnsi="Times New Roman" w:cs="Times New Roman"/>
          <w:iCs/>
        </w:rPr>
        <w:t>Values are means of triplicate determinations ± standard deviation. Means in the same column with different superscripts differ significantly (p&lt;0.05) according to Duncan’s multiple range test.</w:t>
      </w:r>
    </w:p>
    <w:p w14:paraId="0C2B7F2E" w14:textId="77777777" w:rsidR="007628E0" w:rsidRDefault="00A56C92">
      <w:pPr>
        <w:spacing w:after="0" w:line="240" w:lineRule="auto"/>
        <w:jc w:val="both"/>
        <w:rPr>
          <w:rFonts w:ascii="Times New Roman" w:hAnsi="Times New Roman" w:cs="Times New Roman"/>
          <w:b/>
          <w:bCs/>
        </w:rPr>
      </w:pPr>
      <w:r>
        <w:rPr>
          <w:rFonts w:ascii="Times New Roman" w:hAnsi="Times New Roman" w:cs="Times New Roman"/>
          <w:b/>
          <w:bCs/>
        </w:rPr>
        <w:t>KEYS</w:t>
      </w:r>
    </w:p>
    <w:p w14:paraId="7BBACBE4"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 xml:space="preserve">A = 95% Oatmeal Flour: 0% Banana pulp: 5% Honey; B = 90% </w:t>
      </w:r>
      <w:r>
        <w:rPr>
          <w:rFonts w:ascii="Times New Roman" w:hAnsi="Times New Roman" w:cs="Times New Roman"/>
        </w:rPr>
        <w:t>Oatmeal Flour: 5% Banana pulp: 5% Honey; C = 85% Oatmeal Flour: 10% Banana pulp: 5% Honey; D = 80% Oatmeal Flour: 15% Banana pulp: 5% Honey; E = 75% Oatmeal Flour: 20% Banana pulp: 5% Honey</w:t>
      </w:r>
    </w:p>
    <w:p w14:paraId="482CF545" w14:textId="77777777" w:rsidR="007628E0" w:rsidRDefault="00A56C92">
      <w:pPr>
        <w:spacing w:line="240" w:lineRule="auto"/>
        <w:jc w:val="both"/>
        <w:rPr>
          <w:rFonts w:ascii="Times New Roman" w:hAnsi="Times New Roman" w:cs="Times New Roman"/>
          <w:b/>
          <w:bCs/>
        </w:rPr>
      </w:pPr>
      <w:r>
        <w:rPr>
          <w:rFonts w:ascii="Times New Roman" w:hAnsi="Times New Roman" w:cs="Times New Roman"/>
          <w:b/>
          <w:bCs/>
        </w:rPr>
        <w:t>3.4</w:t>
      </w:r>
      <w:r>
        <w:rPr>
          <w:rFonts w:ascii="Times New Roman" w:hAnsi="Times New Roman" w:cs="Times New Roman"/>
          <w:b/>
          <w:bCs/>
        </w:rPr>
        <w:tab/>
        <w:t xml:space="preserve">Sensory Properties of Cookies from Oatmeal Flour, Banana Pulp </w:t>
      </w:r>
      <w:r>
        <w:rPr>
          <w:rFonts w:ascii="Times New Roman" w:hAnsi="Times New Roman" w:cs="Times New Roman"/>
          <w:b/>
          <w:bCs/>
        </w:rPr>
        <w:t>and Honey</w:t>
      </w:r>
    </w:p>
    <w:p w14:paraId="7FCA3340" w14:textId="77777777" w:rsidR="007628E0" w:rsidRDefault="00A56C92">
      <w:pPr>
        <w:spacing w:line="240" w:lineRule="auto"/>
        <w:jc w:val="both"/>
        <w:rPr>
          <w:rFonts w:ascii="Times New Roman" w:hAnsi="Times New Roman" w:cs="Times New Roman"/>
        </w:rPr>
      </w:pPr>
      <w:r>
        <w:rPr>
          <w:rFonts w:ascii="Times New Roman" w:hAnsi="Times New Roman" w:cs="Times New Roman"/>
        </w:rPr>
        <w:t>Table 4 result revealed that all the samples were generally well accepted, with mean scores above 7.5 on a nine-point hedonic scale across all attributes. Appearance scores ranged from 8.40 to 8.60, with sample C rated the highest (8.60) and samp</w:t>
      </w:r>
      <w:r>
        <w:rPr>
          <w:rFonts w:ascii="Times New Roman" w:hAnsi="Times New Roman" w:cs="Times New Roman"/>
        </w:rPr>
        <w:t xml:space="preserve">le B slightly lower (8.40). These values indicated that the oatmeal–banana–honey blends produced cookies that were visually appealing and comparable to conventional products. Similar findings were reported by </w:t>
      </w:r>
      <w:proofErr w:type="spellStart"/>
      <w:r>
        <w:rPr>
          <w:rFonts w:ascii="Times New Roman" w:hAnsi="Times New Roman" w:cs="Times New Roman"/>
        </w:rPr>
        <w:t>Ekeocha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(2025), who noted that shortbrea</w:t>
      </w:r>
      <w:r>
        <w:rPr>
          <w:rFonts w:ascii="Times New Roman" w:hAnsi="Times New Roman" w:cs="Times New Roman"/>
        </w:rPr>
        <w:t>d cookies enriched with soybean and carrot flour maintained high appearance ratings (7.9–8.4) despite compositional modifications.</w:t>
      </w:r>
    </w:p>
    <w:p w14:paraId="0B1D20A1" w14:textId="77777777" w:rsidR="007628E0" w:rsidRDefault="00A56C92">
      <w:pPr>
        <w:spacing w:line="240" w:lineRule="auto"/>
        <w:jc w:val="both"/>
        <w:rPr>
          <w:rFonts w:ascii="Times New Roman" w:hAnsi="Times New Roman" w:cs="Times New Roman"/>
        </w:rPr>
      </w:pPr>
      <w:r>
        <w:rPr>
          <w:rFonts w:ascii="Times New Roman" w:hAnsi="Times New Roman" w:cs="Times New Roman"/>
        </w:rPr>
        <w:t>Aroma scores ranged from 7.95 in sample A to 8.50 in sample E, with significant differences (p&lt;0.05). The higher aroma scores</w:t>
      </w:r>
      <w:r>
        <w:rPr>
          <w:rFonts w:ascii="Times New Roman" w:hAnsi="Times New Roman" w:cs="Times New Roman"/>
        </w:rPr>
        <w:t xml:space="preserve"> in samples with greater banana and honey proportions (notably sample E) could be attributed to the natural volatile compounds present in these ingredients, which enhanced flavor perception. This observation aligned with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(2022), who reporte</w:t>
      </w:r>
      <w:r>
        <w:rPr>
          <w:rFonts w:ascii="Times New Roman" w:hAnsi="Times New Roman" w:cs="Times New Roman"/>
        </w:rPr>
        <w:t>d improved aroma in wheat–oat cookies sweetened with date syrup, suggesting that natural sweeteners contribute positively to sensory quality.</w:t>
      </w:r>
    </w:p>
    <w:p w14:paraId="7779760F" w14:textId="77777777" w:rsidR="007628E0" w:rsidRDefault="00A56C92">
      <w:pPr>
        <w:spacing w:line="240" w:lineRule="auto"/>
        <w:jc w:val="both"/>
        <w:rPr>
          <w:rFonts w:ascii="Times New Roman" w:hAnsi="Times New Roman" w:cs="Times New Roman"/>
        </w:rPr>
      </w:pPr>
      <w:proofErr w:type="spellStart"/>
      <w:r>
        <w:rPr>
          <w:rFonts w:ascii="Times New Roman" w:hAnsi="Times New Roman" w:cs="Times New Roman"/>
        </w:rPr>
        <w:t>Colour</w:t>
      </w:r>
      <w:proofErr w:type="spellEnd"/>
      <w:r>
        <w:rPr>
          <w:rFonts w:ascii="Times New Roman" w:hAnsi="Times New Roman" w:cs="Times New Roman"/>
        </w:rPr>
        <w:t xml:space="preserve"> ratings were fairly consistent (7.85–8.30), with no significant differences among samples, indicating that </w:t>
      </w:r>
      <w:r>
        <w:rPr>
          <w:rFonts w:ascii="Times New Roman" w:hAnsi="Times New Roman" w:cs="Times New Roman"/>
        </w:rPr>
        <w:t xml:space="preserve">the substitution did not negatively impact consumer perception of cookie </w:t>
      </w:r>
      <w:proofErr w:type="spellStart"/>
      <w:r>
        <w:rPr>
          <w:rFonts w:ascii="Times New Roman" w:hAnsi="Times New Roman" w:cs="Times New Roman"/>
        </w:rPr>
        <w:t>colour</w:t>
      </w:r>
      <w:proofErr w:type="spellEnd"/>
      <w:r>
        <w:rPr>
          <w:rFonts w:ascii="Times New Roman" w:hAnsi="Times New Roman" w:cs="Times New Roman"/>
        </w:rPr>
        <w:t xml:space="preserve">. This is in agreement with Yusuf </w:t>
      </w:r>
      <w:r>
        <w:rPr>
          <w:rFonts w:ascii="Times New Roman" w:hAnsi="Times New Roman" w:cs="Times New Roman"/>
          <w:i/>
        </w:rPr>
        <w:t>et al</w:t>
      </w:r>
      <w:r>
        <w:rPr>
          <w:rFonts w:ascii="Times New Roman" w:hAnsi="Times New Roman" w:cs="Times New Roman"/>
        </w:rPr>
        <w:t xml:space="preserve">. (2023), who found that composite cookies incorporating banana and sesame maintained acceptable </w:t>
      </w:r>
      <w:proofErr w:type="spellStart"/>
      <w:r>
        <w:rPr>
          <w:rFonts w:ascii="Times New Roman" w:hAnsi="Times New Roman" w:cs="Times New Roman"/>
        </w:rPr>
        <w:t>colour</w:t>
      </w:r>
      <w:proofErr w:type="spellEnd"/>
      <w:r>
        <w:rPr>
          <w:rFonts w:ascii="Times New Roman" w:hAnsi="Times New Roman" w:cs="Times New Roman"/>
        </w:rPr>
        <w:t xml:space="preserve"> values similar to those of control samples.</w:t>
      </w:r>
    </w:p>
    <w:p w14:paraId="09B318C9"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Taste scores were all above 7.8, with sample D (8.40) achieving the highest rating. The pleasant taste profile likely stems from the synergy between banana pulp and honey, which provided natural </w:t>
      </w:r>
      <w:r>
        <w:rPr>
          <w:rFonts w:ascii="Times New Roman" w:hAnsi="Times New Roman" w:cs="Times New Roman"/>
        </w:rPr>
        <w:lastRenderedPageBreak/>
        <w:t>sweetness and ma</w:t>
      </w:r>
      <w:r>
        <w:rPr>
          <w:rFonts w:ascii="Times New Roman" w:hAnsi="Times New Roman" w:cs="Times New Roman"/>
        </w:rPr>
        <w:t xml:space="preserve">sked potential bitterness from oatmeal. Similar improvements in taste perception were reported by Alam </w:t>
      </w:r>
      <w:r>
        <w:rPr>
          <w:rFonts w:ascii="Times New Roman" w:hAnsi="Times New Roman" w:cs="Times New Roman"/>
          <w:i/>
        </w:rPr>
        <w:t>et al</w:t>
      </w:r>
      <w:r>
        <w:rPr>
          <w:rFonts w:ascii="Times New Roman" w:hAnsi="Times New Roman" w:cs="Times New Roman"/>
        </w:rPr>
        <w:t xml:space="preserve">. (2020) when banana peel and honey were incorporated into </w:t>
      </w:r>
      <w:proofErr w:type="spellStart"/>
      <w:r>
        <w:rPr>
          <w:rFonts w:ascii="Times New Roman" w:hAnsi="Times New Roman" w:cs="Times New Roman"/>
        </w:rPr>
        <w:t>fibre</w:t>
      </w:r>
      <w:proofErr w:type="spellEnd"/>
      <w:r>
        <w:rPr>
          <w:rFonts w:ascii="Times New Roman" w:hAnsi="Times New Roman" w:cs="Times New Roman"/>
        </w:rPr>
        <w:t>-enriched cookies, showing that fruit-based components can enhance palatability.</w:t>
      </w:r>
    </w:p>
    <w:p w14:paraId="36CA89E6" w14:textId="77777777" w:rsidR="007628E0" w:rsidRDefault="00A56C92">
      <w:pPr>
        <w:spacing w:line="240" w:lineRule="auto"/>
        <w:jc w:val="both"/>
        <w:rPr>
          <w:rFonts w:ascii="Times New Roman" w:hAnsi="Times New Roman" w:cs="Times New Roman"/>
        </w:rPr>
      </w:pPr>
      <w:r>
        <w:rPr>
          <w:rFonts w:ascii="Times New Roman" w:hAnsi="Times New Roman" w:cs="Times New Roman"/>
        </w:rPr>
        <w:t>Tex</w:t>
      </w:r>
      <w:r>
        <w:rPr>
          <w:rFonts w:ascii="Times New Roman" w:hAnsi="Times New Roman" w:cs="Times New Roman"/>
        </w:rPr>
        <w:t xml:space="preserve">ture scores ranged from 7.65 to 8.20, with sample E rated the highest. This suggests that the formulation provided a desirable balance between crispness and tenderness, possibly influenced by the humectant properties of honey and the </w:t>
      </w:r>
      <w:proofErr w:type="spellStart"/>
      <w:r>
        <w:rPr>
          <w:rFonts w:ascii="Times New Roman" w:hAnsi="Times New Roman" w:cs="Times New Roman"/>
        </w:rPr>
        <w:t>fibre</w:t>
      </w:r>
      <w:proofErr w:type="spellEnd"/>
      <w:r>
        <w:rPr>
          <w:rFonts w:ascii="Times New Roman" w:hAnsi="Times New Roman" w:cs="Times New Roman"/>
        </w:rPr>
        <w:t xml:space="preserve"> contribution of </w:t>
      </w:r>
      <w:r>
        <w:rPr>
          <w:rFonts w:ascii="Times New Roman" w:hAnsi="Times New Roman" w:cs="Times New Roman"/>
        </w:rPr>
        <w:t xml:space="preserve">oatmeal. Comparable outcomes were observed by Okoye </w:t>
      </w:r>
      <w:r>
        <w:rPr>
          <w:rFonts w:ascii="Times New Roman" w:hAnsi="Times New Roman" w:cs="Times New Roman"/>
          <w:i/>
        </w:rPr>
        <w:t>et al</w:t>
      </w:r>
      <w:r>
        <w:rPr>
          <w:rFonts w:ascii="Times New Roman" w:hAnsi="Times New Roman" w:cs="Times New Roman"/>
        </w:rPr>
        <w:t xml:space="preserve">. (2019), who reported that composite cookies containing plantain and sesame flour achieved high texture ratings despite </w:t>
      </w:r>
      <w:proofErr w:type="spellStart"/>
      <w:r>
        <w:rPr>
          <w:rFonts w:ascii="Times New Roman" w:hAnsi="Times New Roman" w:cs="Times New Roman"/>
        </w:rPr>
        <w:t>fibre</w:t>
      </w:r>
      <w:proofErr w:type="spellEnd"/>
      <w:r>
        <w:rPr>
          <w:rFonts w:ascii="Times New Roman" w:hAnsi="Times New Roman" w:cs="Times New Roman"/>
        </w:rPr>
        <w:t xml:space="preserve"> enrichment.</w:t>
      </w:r>
    </w:p>
    <w:p w14:paraId="1318FCD9" w14:textId="77777777" w:rsidR="007628E0" w:rsidRDefault="00A56C92">
      <w:pPr>
        <w:spacing w:line="240" w:lineRule="auto"/>
        <w:jc w:val="both"/>
        <w:rPr>
          <w:rFonts w:ascii="Times New Roman" w:hAnsi="Times New Roman" w:cs="Times New Roman"/>
        </w:rPr>
      </w:pPr>
      <w:r>
        <w:rPr>
          <w:rFonts w:ascii="Times New Roman" w:hAnsi="Times New Roman" w:cs="Times New Roman"/>
        </w:rPr>
        <w:t>Overall acceptability followed a similar trend, with all samples rated highly (8.10–8.50), confirming that the oatmeal–banana–honey blends produced cookies with strong consumer appeal. The highest acceptability was observed in sample E (8.50), which also r</w:t>
      </w:r>
      <w:r>
        <w:rPr>
          <w:rFonts w:ascii="Times New Roman" w:hAnsi="Times New Roman" w:cs="Times New Roman"/>
        </w:rPr>
        <w:t xml:space="preserve">ecorded the best aroma and texture scores. This mirrors the results of </w:t>
      </w:r>
      <w:proofErr w:type="spellStart"/>
      <w:r>
        <w:rPr>
          <w:rFonts w:ascii="Times New Roman" w:hAnsi="Times New Roman" w:cs="Times New Roman"/>
        </w:rPr>
        <w:t>Maneju</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(2021), who observed that cookies enriched with banana peel flour were preferred by panelists due to their distinctive aroma and balanced texture.</w:t>
      </w:r>
    </w:p>
    <w:bookmarkEnd w:id="4"/>
    <w:p w14:paraId="40A8BE77" w14:textId="77777777" w:rsidR="007628E0" w:rsidRDefault="00A56C92">
      <w:pPr>
        <w:spacing w:line="240" w:lineRule="auto"/>
        <w:ind w:left="900" w:hanging="900"/>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Table 4:</w:t>
      </w:r>
      <w:r>
        <w:rPr>
          <w:rFonts w:ascii="Times New Roman" w:hAnsi="Times New Roman" w:cs="Times New Roman"/>
          <w:color w:val="000000" w:themeColor="text1"/>
          <w:sz w:val="20"/>
          <w:szCs w:val="20"/>
        </w:rPr>
        <w:t xml:space="preserve"> </w:t>
      </w:r>
      <w:r>
        <w:rPr>
          <w:rFonts w:ascii="Times New Roman" w:hAnsi="Times New Roman" w:cs="Times New Roman"/>
          <w:b/>
          <w:color w:val="000000" w:themeColor="text1"/>
          <w:sz w:val="20"/>
          <w:szCs w:val="20"/>
        </w:rPr>
        <w:t>Sensory</w:t>
      </w:r>
      <w:r>
        <w:rPr>
          <w:rFonts w:ascii="Times New Roman" w:hAnsi="Times New Roman" w:cs="Times New Roman"/>
          <w:b/>
          <w:color w:val="000000" w:themeColor="text1"/>
          <w:spacing w:val="-2"/>
          <w:sz w:val="20"/>
          <w:szCs w:val="20"/>
        </w:rPr>
        <w:t xml:space="preserve"> </w:t>
      </w:r>
      <w:r>
        <w:rPr>
          <w:rFonts w:ascii="Times New Roman" w:hAnsi="Times New Roman" w:cs="Times New Roman"/>
          <w:b/>
          <w:color w:val="000000" w:themeColor="text1"/>
          <w:sz w:val="20"/>
          <w:szCs w:val="20"/>
        </w:rPr>
        <w:t>Attribu</w:t>
      </w:r>
      <w:r>
        <w:rPr>
          <w:rFonts w:ascii="Times New Roman" w:hAnsi="Times New Roman" w:cs="Times New Roman"/>
          <w:b/>
          <w:color w:val="000000" w:themeColor="text1"/>
          <w:sz w:val="20"/>
          <w:szCs w:val="20"/>
        </w:rPr>
        <w:t>tes</w:t>
      </w:r>
      <w:r>
        <w:rPr>
          <w:rFonts w:ascii="Times New Roman" w:hAnsi="Times New Roman" w:cs="Times New Roman"/>
          <w:b/>
          <w:color w:val="000000" w:themeColor="text1"/>
          <w:spacing w:val="-2"/>
          <w:sz w:val="20"/>
          <w:szCs w:val="20"/>
        </w:rPr>
        <w:t xml:space="preserve"> </w:t>
      </w:r>
      <w:r>
        <w:rPr>
          <w:rFonts w:ascii="Times New Roman" w:hAnsi="Times New Roman" w:cs="Times New Roman"/>
          <w:b/>
          <w:color w:val="000000" w:themeColor="text1"/>
          <w:sz w:val="20"/>
          <w:szCs w:val="20"/>
        </w:rPr>
        <w:t>of</w:t>
      </w:r>
      <w:r>
        <w:rPr>
          <w:rFonts w:ascii="Times New Roman" w:hAnsi="Times New Roman" w:cs="Times New Roman"/>
          <w:b/>
          <w:color w:val="000000" w:themeColor="text1"/>
          <w:spacing w:val="-1"/>
          <w:sz w:val="20"/>
          <w:szCs w:val="20"/>
        </w:rPr>
        <w:t xml:space="preserve"> Oatmeal </w:t>
      </w:r>
      <w:r>
        <w:rPr>
          <w:rFonts w:ascii="Times New Roman" w:hAnsi="Times New Roman" w:cs="Times New Roman"/>
          <w:b/>
          <w:color w:val="000000" w:themeColor="text1"/>
          <w:spacing w:val="5"/>
          <w:sz w:val="20"/>
          <w:szCs w:val="20"/>
        </w:rPr>
        <w:t>cookies from oatmeal flour, banana pulp and honey blends</w:t>
      </w:r>
    </w:p>
    <w:tbl>
      <w:tblPr>
        <w:tblStyle w:val="PlainTable21"/>
        <w:tblW w:w="4970" w:type="pct"/>
        <w:tblLayout w:type="fixed"/>
        <w:tblLook w:val="04A0" w:firstRow="1" w:lastRow="0" w:firstColumn="1" w:lastColumn="0" w:noHBand="0" w:noVBand="1"/>
      </w:tblPr>
      <w:tblGrid>
        <w:gridCol w:w="903"/>
        <w:gridCol w:w="1258"/>
        <w:gridCol w:w="359"/>
        <w:gridCol w:w="1172"/>
        <w:gridCol w:w="1172"/>
        <w:gridCol w:w="1169"/>
        <w:gridCol w:w="1202"/>
        <w:gridCol w:w="2069"/>
      </w:tblGrid>
      <w:tr w:rsidR="007628E0" w14:paraId="5062A189" w14:textId="77777777" w:rsidTr="007628E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85" w:type="pct"/>
            <w:noWrap/>
          </w:tcPr>
          <w:p w14:paraId="249FA676" w14:textId="77777777" w:rsidR="007628E0" w:rsidRDefault="00A56C92">
            <w:pPr>
              <w:spacing w:after="0"/>
              <w:jc w:val="left"/>
              <w:rPr>
                <w:rFonts w:cs="Times New Roman"/>
                <w:b w:val="0"/>
                <w:bCs w:val="0"/>
                <w:color w:val="000000" w:themeColor="text1"/>
                <w:sz w:val="20"/>
                <w:szCs w:val="20"/>
              </w:rPr>
            </w:pPr>
            <w:r>
              <w:rPr>
                <w:rFonts w:cs="Times New Roman"/>
                <w:color w:val="000000" w:themeColor="text1"/>
                <w:sz w:val="20"/>
                <w:szCs w:val="20"/>
              </w:rPr>
              <w:t>Sample</w:t>
            </w:r>
          </w:p>
        </w:tc>
        <w:tc>
          <w:tcPr>
            <w:tcW w:w="676" w:type="pct"/>
          </w:tcPr>
          <w:p w14:paraId="1BC1BE6F"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Appearance</w:t>
            </w:r>
          </w:p>
        </w:tc>
        <w:tc>
          <w:tcPr>
            <w:tcW w:w="193" w:type="pct"/>
          </w:tcPr>
          <w:p w14:paraId="72B35953" w14:textId="77777777" w:rsidR="007628E0" w:rsidRDefault="007628E0">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p>
        </w:tc>
        <w:tc>
          <w:tcPr>
            <w:tcW w:w="630" w:type="pct"/>
            <w:noWrap/>
          </w:tcPr>
          <w:p w14:paraId="6576BD69"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Aroma</w:t>
            </w:r>
          </w:p>
        </w:tc>
        <w:tc>
          <w:tcPr>
            <w:tcW w:w="630" w:type="pct"/>
            <w:noWrap/>
          </w:tcPr>
          <w:p w14:paraId="174D5384"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proofErr w:type="spellStart"/>
            <w:r>
              <w:rPr>
                <w:rFonts w:cs="Times New Roman"/>
                <w:color w:val="000000" w:themeColor="text1"/>
                <w:sz w:val="20"/>
                <w:szCs w:val="20"/>
              </w:rPr>
              <w:t>Colour</w:t>
            </w:r>
            <w:proofErr w:type="spellEnd"/>
          </w:p>
        </w:tc>
        <w:tc>
          <w:tcPr>
            <w:tcW w:w="628" w:type="pct"/>
            <w:noWrap/>
          </w:tcPr>
          <w:p w14:paraId="0C89B7C9"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 xml:space="preserve">Taste             </w:t>
            </w:r>
          </w:p>
        </w:tc>
        <w:tc>
          <w:tcPr>
            <w:tcW w:w="646" w:type="pct"/>
            <w:noWrap/>
          </w:tcPr>
          <w:p w14:paraId="1A5C62C7"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 xml:space="preserve">Texture                                          </w:t>
            </w:r>
          </w:p>
        </w:tc>
        <w:tc>
          <w:tcPr>
            <w:tcW w:w="1112" w:type="pct"/>
          </w:tcPr>
          <w:p w14:paraId="65462E14"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Overall Acceptability</w:t>
            </w:r>
          </w:p>
        </w:tc>
      </w:tr>
      <w:tr w:rsidR="007628E0" w14:paraId="2950BCDF" w14:textId="77777777" w:rsidTr="007628E0">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14:paraId="72DBF0AA" w14:textId="77777777" w:rsidR="007628E0" w:rsidRDefault="00A56C92">
            <w:pPr>
              <w:spacing w:after="0"/>
              <w:jc w:val="left"/>
              <w:rPr>
                <w:rFonts w:cs="Times New Roman"/>
                <w:b w:val="0"/>
                <w:bCs w:val="0"/>
                <w:color w:val="000000" w:themeColor="text1"/>
                <w:sz w:val="20"/>
                <w:szCs w:val="20"/>
              </w:rPr>
            </w:pPr>
            <w:r>
              <w:rPr>
                <w:rFonts w:cs="Times New Roman"/>
                <w:bCs w:val="0"/>
                <w:color w:val="000000" w:themeColor="text1"/>
                <w:sz w:val="20"/>
                <w:szCs w:val="20"/>
              </w:rPr>
              <w:t>A</w:t>
            </w:r>
          </w:p>
        </w:tc>
        <w:tc>
          <w:tcPr>
            <w:tcW w:w="676" w:type="pct"/>
          </w:tcPr>
          <w:p w14:paraId="7AAC992C"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8.55</w:t>
            </w:r>
            <w:r>
              <w:rPr>
                <w:rFonts w:cs="Times New Roman"/>
                <w:color w:val="000000" w:themeColor="text1"/>
                <w:kern w:val="0"/>
                <w:sz w:val="20"/>
                <w:szCs w:val="20"/>
                <w:vertAlign w:val="superscript"/>
              </w:rPr>
              <w:t>a</w:t>
            </w:r>
            <w:r>
              <w:rPr>
                <w:rFonts w:cs="Times New Roman"/>
                <w:color w:val="000000" w:themeColor="text1"/>
                <w:kern w:val="0"/>
                <w:sz w:val="20"/>
                <w:szCs w:val="20"/>
              </w:rPr>
              <w:t>±0.61</w:t>
            </w:r>
          </w:p>
        </w:tc>
        <w:tc>
          <w:tcPr>
            <w:tcW w:w="193" w:type="pct"/>
          </w:tcPr>
          <w:p w14:paraId="4A7D3115" w14:textId="77777777" w:rsidR="007628E0" w:rsidRDefault="007628E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14:paraId="3FD0D576"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7.95</w:t>
            </w:r>
            <w:r>
              <w:rPr>
                <w:rFonts w:cs="Times New Roman"/>
                <w:color w:val="000000" w:themeColor="text1"/>
                <w:kern w:val="0"/>
                <w:sz w:val="20"/>
                <w:szCs w:val="20"/>
                <w:vertAlign w:val="superscript"/>
              </w:rPr>
              <w:t>b</w:t>
            </w:r>
            <w:r>
              <w:rPr>
                <w:rFonts w:cs="Times New Roman"/>
                <w:color w:val="000000" w:themeColor="text1"/>
                <w:kern w:val="0"/>
                <w:sz w:val="20"/>
                <w:szCs w:val="20"/>
              </w:rPr>
              <w:t>±0.61</w:t>
            </w:r>
          </w:p>
        </w:tc>
        <w:tc>
          <w:tcPr>
            <w:tcW w:w="630" w:type="pct"/>
            <w:noWrap/>
          </w:tcPr>
          <w:p w14:paraId="4999D9B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8.10</w:t>
            </w:r>
            <w:r>
              <w:rPr>
                <w:rFonts w:cs="Times New Roman"/>
                <w:color w:val="000000" w:themeColor="text1"/>
                <w:kern w:val="0"/>
                <w:sz w:val="20"/>
                <w:szCs w:val="20"/>
                <w:vertAlign w:val="superscript"/>
              </w:rPr>
              <w:t>a</w:t>
            </w:r>
            <w:r>
              <w:rPr>
                <w:rFonts w:cs="Times New Roman"/>
                <w:color w:val="000000" w:themeColor="text1"/>
                <w:kern w:val="0"/>
                <w:sz w:val="20"/>
                <w:szCs w:val="20"/>
              </w:rPr>
              <w:t>±0.72</w:t>
            </w:r>
          </w:p>
        </w:tc>
        <w:tc>
          <w:tcPr>
            <w:tcW w:w="628" w:type="pct"/>
            <w:noWrap/>
          </w:tcPr>
          <w:p w14:paraId="2E4351F9"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7.80</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±0.83     </w:t>
            </w:r>
          </w:p>
        </w:tc>
        <w:tc>
          <w:tcPr>
            <w:tcW w:w="646" w:type="pct"/>
            <w:noWrap/>
          </w:tcPr>
          <w:p w14:paraId="67AC9246"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7.75</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 ±1.07                        </w:t>
            </w:r>
          </w:p>
        </w:tc>
        <w:tc>
          <w:tcPr>
            <w:tcW w:w="1112" w:type="pct"/>
          </w:tcPr>
          <w:p w14:paraId="627478F2"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8.10</w:t>
            </w:r>
            <w:r>
              <w:rPr>
                <w:rFonts w:cs="Times New Roman"/>
                <w:color w:val="000000" w:themeColor="text1"/>
                <w:kern w:val="0"/>
                <w:sz w:val="20"/>
                <w:szCs w:val="20"/>
                <w:vertAlign w:val="superscript"/>
              </w:rPr>
              <w:t>a</w:t>
            </w:r>
            <w:r>
              <w:rPr>
                <w:rFonts w:cs="Times New Roman"/>
                <w:color w:val="000000" w:themeColor="text1"/>
                <w:kern w:val="0"/>
                <w:sz w:val="20"/>
                <w:szCs w:val="20"/>
              </w:rPr>
              <w:t>±0.79</w:t>
            </w:r>
          </w:p>
        </w:tc>
      </w:tr>
      <w:tr w:rsidR="007628E0" w14:paraId="3159DD48" w14:textId="77777777" w:rsidTr="007628E0">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14:paraId="196A9280" w14:textId="77777777" w:rsidR="007628E0" w:rsidRDefault="00A56C92">
            <w:pPr>
              <w:spacing w:after="0"/>
              <w:jc w:val="left"/>
              <w:rPr>
                <w:rFonts w:cs="Times New Roman"/>
                <w:b w:val="0"/>
                <w:bCs w:val="0"/>
                <w:color w:val="000000" w:themeColor="text1"/>
                <w:sz w:val="20"/>
                <w:szCs w:val="20"/>
              </w:rPr>
            </w:pPr>
            <w:r>
              <w:rPr>
                <w:rFonts w:cs="Times New Roman"/>
                <w:color w:val="000000" w:themeColor="text1"/>
                <w:sz w:val="20"/>
                <w:szCs w:val="20"/>
              </w:rPr>
              <w:t>B</w:t>
            </w:r>
          </w:p>
        </w:tc>
        <w:tc>
          <w:tcPr>
            <w:tcW w:w="676" w:type="pct"/>
          </w:tcPr>
          <w:p w14:paraId="28830A06"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8.40</w:t>
            </w:r>
            <w:r>
              <w:rPr>
                <w:rFonts w:cs="Times New Roman"/>
                <w:color w:val="000000" w:themeColor="text1"/>
                <w:kern w:val="0"/>
                <w:sz w:val="20"/>
                <w:szCs w:val="20"/>
                <w:vertAlign w:val="superscript"/>
              </w:rPr>
              <w:t>a</w:t>
            </w:r>
            <w:r>
              <w:rPr>
                <w:rFonts w:cs="Times New Roman"/>
                <w:color w:val="000000" w:themeColor="text1"/>
                <w:kern w:val="0"/>
                <w:sz w:val="20"/>
                <w:szCs w:val="20"/>
              </w:rPr>
              <w:t>±0.68</w:t>
            </w:r>
          </w:p>
        </w:tc>
        <w:tc>
          <w:tcPr>
            <w:tcW w:w="193" w:type="pct"/>
          </w:tcPr>
          <w:p w14:paraId="462453A2" w14:textId="77777777" w:rsidR="007628E0" w:rsidRDefault="007628E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14:paraId="7AA94451"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8.15</w:t>
            </w:r>
            <w:r>
              <w:rPr>
                <w:rFonts w:cs="Times New Roman"/>
                <w:color w:val="000000" w:themeColor="text1"/>
                <w:kern w:val="0"/>
                <w:sz w:val="20"/>
                <w:szCs w:val="20"/>
                <w:vertAlign w:val="superscript"/>
              </w:rPr>
              <w:t>ab</w:t>
            </w:r>
            <w:r>
              <w:rPr>
                <w:rFonts w:cs="Times New Roman"/>
                <w:color w:val="000000" w:themeColor="text1"/>
                <w:kern w:val="0"/>
                <w:sz w:val="20"/>
                <w:szCs w:val="20"/>
              </w:rPr>
              <w:t>±0.59</w:t>
            </w:r>
          </w:p>
        </w:tc>
        <w:tc>
          <w:tcPr>
            <w:tcW w:w="630" w:type="pct"/>
            <w:noWrap/>
          </w:tcPr>
          <w:p w14:paraId="4AAEC8CB"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8.26</w:t>
            </w:r>
            <w:r>
              <w:rPr>
                <w:rFonts w:cs="Times New Roman"/>
                <w:color w:val="000000" w:themeColor="text1"/>
                <w:kern w:val="0"/>
                <w:sz w:val="20"/>
                <w:szCs w:val="20"/>
                <w:vertAlign w:val="superscript"/>
              </w:rPr>
              <w:t>a</w:t>
            </w:r>
            <w:r>
              <w:rPr>
                <w:rFonts w:cs="Times New Roman"/>
                <w:color w:val="000000" w:themeColor="text1"/>
                <w:kern w:val="0"/>
                <w:sz w:val="20"/>
                <w:szCs w:val="20"/>
              </w:rPr>
              <w:t>±0.87</w:t>
            </w:r>
          </w:p>
        </w:tc>
        <w:tc>
          <w:tcPr>
            <w:tcW w:w="628" w:type="pct"/>
            <w:noWrap/>
          </w:tcPr>
          <w:p w14:paraId="2E59E6D8"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7.90</w:t>
            </w:r>
            <w:r>
              <w:rPr>
                <w:rFonts w:cs="Times New Roman"/>
                <w:color w:val="000000" w:themeColor="text1"/>
                <w:kern w:val="0"/>
                <w:sz w:val="20"/>
                <w:szCs w:val="20"/>
                <w:vertAlign w:val="superscript"/>
              </w:rPr>
              <w:t>a</w:t>
            </w:r>
            <w:r>
              <w:rPr>
                <w:rFonts w:cs="Times New Roman"/>
                <w:color w:val="000000" w:themeColor="text1"/>
                <w:kern w:val="0"/>
                <w:sz w:val="20"/>
                <w:szCs w:val="20"/>
              </w:rPr>
              <w:t>±0.72</w:t>
            </w:r>
          </w:p>
        </w:tc>
        <w:tc>
          <w:tcPr>
            <w:tcW w:w="646" w:type="pct"/>
            <w:noWrap/>
          </w:tcPr>
          <w:p w14:paraId="49F9B0CE"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7.65</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±1.04                      </w:t>
            </w:r>
          </w:p>
        </w:tc>
        <w:tc>
          <w:tcPr>
            <w:tcW w:w="1112" w:type="pct"/>
          </w:tcPr>
          <w:p w14:paraId="0B009B7E"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8.30</w:t>
            </w:r>
            <w:r>
              <w:rPr>
                <w:rFonts w:cs="Times New Roman"/>
                <w:color w:val="000000" w:themeColor="text1"/>
                <w:kern w:val="0"/>
                <w:sz w:val="20"/>
                <w:szCs w:val="20"/>
                <w:vertAlign w:val="superscript"/>
              </w:rPr>
              <w:t>a</w:t>
            </w:r>
            <w:r>
              <w:rPr>
                <w:rFonts w:cs="Times New Roman"/>
                <w:color w:val="000000" w:themeColor="text1"/>
                <w:kern w:val="0"/>
                <w:sz w:val="20"/>
                <w:szCs w:val="20"/>
              </w:rPr>
              <w:t>±0.57</w:t>
            </w:r>
          </w:p>
        </w:tc>
      </w:tr>
      <w:tr w:rsidR="007628E0" w14:paraId="2D7699FD" w14:textId="77777777" w:rsidTr="007628E0">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14:paraId="5F8AE8F3" w14:textId="77777777" w:rsidR="007628E0" w:rsidRDefault="00A56C92">
            <w:pPr>
              <w:spacing w:after="0"/>
              <w:jc w:val="left"/>
              <w:rPr>
                <w:rFonts w:cs="Times New Roman"/>
                <w:b w:val="0"/>
                <w:bCs w:val="0"/>
                <w:color w:val="000000" w:themeColor="text1"/>
                <w:sz w:val="20"/>
                <w:szCs w:val="20"/>
              </w:rPr>
            </w:pPr>
            <w:r>
              <w:rPr>
                <w:rFonts w:cs="Times New Roman"/>
                <w:color w:val="000000" w:themeColor="text1"/>
                <w:sz w:val="20"/>
                <w:szCs w:val="20"/>
              </w:rPr>
              <w:t>C</w:t>
            </w:r>
          </w:p>
        </w:tc>
        <w:tc>
          <w:tcPr>
            <w:tcW w:w="676" w:type="pct"/>
          </w:tcPr>
          <w:p w14:paraId="6F178B4A"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8.60</w:t>
            </w:r>
            <w:r>
              <w:rPr>
                <w:rFonts w:cs="Times New Roman"/>
                <w:color w:val="000000" w:themeColor="text1"/>
                <w:kern w:val="0"/>
                <w:sz w:val="20"/>
                <w:szCs w:val="20"/>
                <w:vertAlign w:val="superscript"/>
              </w:rPr>
              <w:t>a</w:t>
            </w:r>
            <w:r>
              <w:rPr>
                <w:rFonts w:cs="Times New Roman"/>
                <w:color w:val="000000" w:themeColor="text1"/>
                <w:kern w:val="0"/>
                <w:sz w:val="20"/>
                <w:szCs w:val="20"/>
              </w:rPr>
              <w:t>±0.50</w:t>
            </w:r>
          </w:p>
        </w:tc>
        <w:tc>
          <w:tcPr>
            <w:tcW w:w="193" w:type="pct"/>
          </w:tcPr>
          <w:p w14:paraId="75478DFD" w14:textId="77777777" w:rsidR="007628E0" w:rsidRDefault="007628E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14:paraId="551F29B5"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8.20</w:t>
            </w:r>
            <w:r>
              <w:rPr>
                <w:rFonts w:cs="Times New Roman"/>
                <w:color w:val="000000" w:themeColor="text1"/>
                <w:kern w:val="0"/>
                <w:sz w:val="20"/>
                <w:szCs w:val="20"/>
                <w:vertAlign w:val="superscript"/>
              </w:rPr>
              <w:t>ab</w:t>
            </w:r>
            <w:r>
              <w:rPr>
                <w:rFonts w:cs="Times New Roman"/>
                <w:color w:val="000000" w:themeColor="text1"/>
                <w:kern w:val="0"/>
                <w:sz w:val="20"/>
                <w:szCs w:val="20"/>
              </w:rPr>
              <w:t>±0.62</w:t>
            </w:r>
          </w:p>
        </w:tc>
        <w:tc>
          <w:tcPr>
            <w:tcW w:w="630" w:type="pct"/>
            <w:noWrap/>
          </w:tcPr>
          <w:p w14:paraId="278FD5E7"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8.25</w:t>
            </w:r>
            <w:r>
              <w:rPr>
                <w:rFonts w:cs="Times New Roman"/>
                <w:color w:val="000000" w:themeColor="text1"/>
                <w:kern w:val="0"/>
                <w:sz w:val="20"/>
                <w:szCs w:val="20"/>
                <w:vertAlign w:val="superscript"/>
              </w:rPr>
              <w:t>a</w:t>
            </w:r>
            <w:r>
              <w:rPr>
                <w:rFonts w:cs="Times New Roman"/>
                <w:color w:val="000000" w:themeColor="text1"/>
                <w:kern w:val="0"/>
                <w:sz w:val="20"/>
                <w:szCs w:val="20"/>
              </w:rPr>
              <w:t>±0.79</w:t>
            </w:r>
          </w:p>
        </w:tc>
        <w:tc>
          <w:tcPr>
            <w:tcW w:w="628" w:type="pct"/>
            <w:noWrap/>
          </w:tcPr>
          <w:p w14:paraId="540DCDE4"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8.05</w:t>
            </w:r>
            <w:r>
              <w:rPr>
                <w:rFonts w:cs="Times New Roman"/>
                <w:color w:val="000000" w:themeColor="text1"/>
                <w:kern w:val="0"/>
                <w:sz w:val="20"/>
                <w:szCs w:val="20"/>
                <w:vertAlign w:val="superscript"/>
              </w:rPr>
              <w:t>a</w:t>
            </w:r>
            <w:r>
              <w:rPr>
                <w:rFonts w:cs="Times New Roman"/>
                <w:color w:val="000000" w:themeColor="text1"/>
                <w:kern w:val="0"/>
                <w:sz w:val="20"/>
                <w:szCs w:val="20"/>
              </w:rPr>
              <w:t>±0.76</w:t>
            </w:r>
          </w:p>
        </w:tc>
        <w:tc>
          <w:tcPr>
            <w:tcW w:w="646" w:type="pct"/>
            <w:noWrap/>
          </w:tcPr>
          <w:p w14:paraId="30A08EE7"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7.90</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±0.97                         </w:t>
            </w:r>
          </w:p>
        </w:tc>
        <w:tc>
          <w:tcPr>
            <w:tcW w:w="1112" w:type="pct"/>
          </w:tcPr>
          <w:p w14:paraId="1A96FD0D"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8.40</w:t>
            </w:r>
            <w:r>
              <w:rPr>
                <w:rFonts w:cs="Times New Roman"/>
                <w:color w:val="000000" w:themeColor="text1"/>
                <w:kern w:val="0"/>
                <w:sz w:val="20"/>
                <w:szCs w:val="20"/>
                <w:vertAlign w:val="superscript"/>
              </w:rPr>
              <w:t>a</w:t>
            </w:r>
            <w:r>
              <w:rPr>
                <w:rFonts w:cs="Times New Roman"/>
                <w:color w:val="000000" w:themeColor="text1"/>
                <w:kern w:val="0"/>
                <w:sz w:val="20"/>
                <w:szCs w:val="20"/>
              </w:rPr>
              <w:t>±0.60</w:t>
            </w:r>
          </w:p>
        </w:tc>
      </w:tr>
      <w:tr w:rsidR="007628E0" w14:paraId="60B52D71" w14:textId="77777777" w:rsidTr="007628E0">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14:paraId="39FE5694" w14:textId="77777777" w:rsidR="007628E0" w:rsidRDefault="00A56C92">
            <w:pPr>
              <w:spacing w:after="0"/>
              <w:jc w:val="left"/>
              <w:rPr>
                <w:rFonts w:cs="Times New Roman"/>
                <w:b w:val="0"/>
                <w:bCs w:val="0"/>
                <w:color w:val="000000" w:themeColor="text1"/>
                <w:sz w:val="20"/>
                <w:szCs w:val="20"/>
              </w:rPr>
            </w:pPr>
            <w:r>
              <w:rPr>
                <w:rFonts w:cs="Times New Roman"/>
                <w:color w:val="000000" w:themeColor="text1"/>
                <w:sz w:val="20"/>
                <w:szCs w:val="20"/>
              </w:rPr>
              <w:t>D</w:t>
            </w:r>
          </w:p>
        </w:tc>
        <w:tc>
          <w:tcPr>
            <w:tcW w:w="676" w:type="pct"/>
          </w:tcPr>
          <w:p w14:paraId="6D4C332B"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8.45</w:t>
            </w:r>
            <w:r>
              <w:rPr>
                <w:rFonts w:cs="Times New Roman"/>
                <w:color w:val="000000" w:themeColor="text1"/>
                <w:kern w:val="0"/>
                <w:sz w:val="20"/>
                <w:szCs w:val="20"/>
                <w:vertAlign w:val="superscript"/>
              </w:rPr>
              <w:t>a</w:t>
            </w:r>
            <w:r>
              <w:rPr>
                <w:rFonts w:cs="Times New Roman"/>
                <w:color w:val="000000" w:themeColor="text1"/>
                <w:kern w:val="0"/>
                <w:sz w:val="20"/>
                <w:szCs w:val="20"/>
              </w:rPr>
              <w:t>±0.76</w:t>
            </w:r>
          </w:p>
        </w:tc>
        <w:tc>
          <w:tcPr>
            <w:tcW w:w="193" w:type="pct"/>
          </w:tcPr>
          <w:p w14:paraId="1F53FCCC" w14:textId="77777777" w:rsidR="007628E0" w:rsidRDefault="007628E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14:paraId="7415E178"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8.20</w:t>
            </w:r>
            <w:r>
              <w:rPr>
                <w:rFonts w:cs="Times New Roman"/>
                <w:color w:val="000000" w:themeColor="text1"/>
                <w:kern w:val="0"/>
                <w:sz w:val="20"/>
                <w:szCs w:val="20"/>
                <w:vertAlign w:val="superscript"/>
              </w:rPr>
              <w:t>ab</w:t>
            </w:r>
            <w:r>
              <w:rPr>
                <w:rFonts w:cs="Times New Roman"/>
                <w:color w:val="000000" w:themeColor="text1"/>
                <w:kern w:val="0"/>
                <w:sz w:val="20"/>
                <w:szCs w:val="20"/>
              </w:rPr>
              <w:t>±0.62</w:t>
            </w:r>
          </w:p>
        </w:tc>
        <w:tc>
          <w:tcPr>
            <w:tcW w:w="630" w:type="pct"/>
            <w:noWrap/>
          </w:tcPr>
          <w:p w14:paraId="06779DC0"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8.30</w:t>
            </w:r>
            <w:r>
              <w:rPr>
                <w:rFonts w:cs="Times New Roman"/>
                <w:color w:val="000000" w:themeColor="text1"/>
                <w:kern w:val="0"/>
                <w:sz w:val="20"/>
                <w:szCs w:val="20"/>
                <w:vertAlign w:val="superscript"/>
              </w:rPr>
              <w:t>a</w:t>
            </w:r>
            <w:r>
              <w:rPr>
                <w:rFonts w:cs="Times New Roman"/>
                <w:color w:val="000000" w:themeColor="text1"/>
                <w:kern w:val="0"/>
                <w:sz w:val="20"/>
                <w:szCs w:val="20"/>
              </w:rPr>
              <w:t>±0.80</w:t>
            </w:r>
          </w:p>
        </w:tc>
        <w:tc>
          <w:tcPr>
            <w:tcW w:w="628" w:type="pct"/>
            <w:noWrap/>
          </w:tcPr>
          <w:p w14:paraId="35EB8A9E"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8.40</w:t>
            </w:r>
            <w:r>
              <w:rPr>
                <w:rFonts w:cs="Times New Roman"/>
                <w:color w:val="000000" w:themeColor="text1"/>
                <w:kern w:val="0"/>
                <w:sz w:val="20"/>
                <w:szCs w:val="20"/>
                <w:vertAlign w:val="superscript"/>
              </w:rPr>
              <w:t>a</w:t>
            </w:r>
            <w:r>
              <w:rPr>
                <w:rFonts w:cs="Times New Roman"/>
                <w:color w:val="000000" w:themeColor="text1"/>
                <w:kern w:val="0"/>
                <w:sz w:val="20"/>
                <w:szCs w:val="20"/>
              </w:rPr>
              <w:t>±0.82</w:t>
            </w:r>
          </w:p>
        </w:tc>
        <w:tc>
          <w:tcPr>
            <w:tcW w:w="646" w:type="pct"/>
            <w:noWrap/>
          </w:tcPr>
          <w:p w14:paraId="2831AE42"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8.05</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±1.05                         </w:t>
            </w:r>
          </w:p>
        </w:tc>
        <w:tc>
          <w:tcPr>
            <w:tcW w:w="1112" w:type="pct"/>
          </w:tcPr>
          <w:p w14:paraId="14F6F22C"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8.30</w:t>
            </w:r>
            <w:r>
              <w:rPr>
                <w:rFonts w:cs="Times New Roman"/>
                <w:color w:val="000000" w:themeColor="text1"/>
                <w:kern w:val="0"/>
                <w:sz w:val="20"/>
                <w:szCs w:val="20"/>
                <w:vertAlign w:val="superscript"/>
              </w:rPr>
              <w:t>a</w:t>
            </w:r>
            <w:r>
              <w:rPr>
                <w:rFonts w:cs="Times New Roman"/>
                <w:color w:val="000000" w:themeColor="text1"/>
                <w:kern w:val="0"/>
                <w:sz w:val="20"/>
                <w:szCs w:val="20"/>
              </w:rPr>
              <w:t>±0.66</w:t>
            </w:r>
          </w:p>
        </w:tc>
      </w:tr>
      <w:tr w:rsidR="007628E0" w14:paraId="2401AF1F" w14:textId="77777777" w:rsidTr="007628E0">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14:paraId="219D2F61" w14:textId="77777777" w:rsidR="007628E0" w:rsidRDefault="00A56C92">
            <w:pPr>
              <w:spacing w:after="0"/>
              <w:jc w:val="left"/>
              <w:rPr>
                <w:rFonts w:cs="Times New Roman"/>
                <w:b w:val="0"/>
                <w:bCs w:val="0"/>
                <w:color w:val="000000" w:themeColor="text1"/>
                <w:sz w:val="20"/>
                <w:szCs w:val="20"/>
              </w:rPr>
            </w:pPr>
            <w:r>
              <w:rPr>
                <w:rFonts w:cs="Times New Roman"/>
                <w:color w:val="000000" w:themeColor="text1"/>
                <w:sz w:val="20"/>
                <w:szCs w:val="20"/>
              </w:rPr>
              <w:t>E</w:t>
            </w:r>
          </w:p>
        </w:tc>
        <w:tc>
          <w:tcPr>
            <w:tcW w:w="676" w:type="pct"/>
          </w:tcPr>
          <w:p w14:paraId="262F6239"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8.50</w:t>
            </w:r>
            <w:r>
              <w:rPr>
                <w:rFonts w:cs="Times New Roman"/>
                <w:color w:val="000000" w:themeColor="text1"/>
                <w:kern w:val="0"/>
                <w:sz w:val="20"/>
                <w:szCs w:val="20"/>
                <w:vertAlign w:val="superscript"/>
              </w:rPr>
              <w:t>a</w:t>
            </w:r>
            <w:r>
              <w:rPr>
                <w:rFonts w:cs="Times New Roman"/>
                <w:color w:val="000000" w:themeColor="text1"/>
                <w:kern w:val="0"/>
                <w:sz w:val="20"/>
                <w:szCs w:val="20"/>
              </w:rPr>
              <w:t>±0.76</w:t>
            </w:r>
          </w:p>
        </w:tc>
        <w:tc>
          <w:tcPr>
            <w:tcW w:w="193" w:type="pct"/>
          </w:tcPr>
          <w:p w14:paraId="02D7F136" w14:textId="77777777" w:rsidR="007628E0" w:rsidRDefault="007628E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14:paraId="314D698D"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8.50</w:t>
            </w:r>
            <w:r>
              <w:rPr>
                <w:rFonts w:cs="Times New Roman"/>
                <w:color w:val="000000" w:themeColor="text1"/>
                <w:kern w:val="0"/>
                <w:sz w:val="20"/>
                <w:szCs w:val="20"/>
                <w:vertAlign w:val="superscript"/>
              </w:rPr>
              <w:t>a</w:t>
            </w:r>
            <w:r>
              <w:rPr>
                <w:rFonts w:cs="Times New Roman"/>
                <w:color w:val="000000" w:themeColor="text1"/>
                <w:kern w:val="0"/>
                <w:sz w:val="20"/>
                <w:szCs w:val="20"/>
              </w:rPr>
              <w:t>±0.61</w:t>
            </w:r>
          </w:p>
        </w:tc>
        <w:tc>
          <w:tcPr>
            <w:tcW w:w="630" w:type="pct"/>
            <w:noWrap/>
          </w:tcPr>
          <w:p w14:paraId="01D72444"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7.85</w:t>
            </w:r>
            <w:r>
              <w:rPr>
                <w:rFonts w:cs="Times New Roman"/>
                <w:color w:val="000000" w:themeColor="text1"/>
                <w:kern w:val="0"/>
                <w:sz w:val="20"/>
                <w:szCs w:val="20"/>
                <w:vertAlign w:val="superscript"/>
              </w:rPr>
              <w:t>c</w:t>
            </w:r>
            <w:r>
              <w:rPr>
                <w:rFonts w:cs="Times New Roman"/>
                <w:color w:val="000000" w:themeColor="text1"/>
                <w:kern w:val="0"/>
                <w:sz w:val="20"/>
                <w:szCs w:val="20"/>
              </w:rPr>
              <w:t>±0.99</w:t>
            </w:r>
          </w:p>
        </w:tc>
        <w:tc>
          <w:tcPr>
            <w:tcW w:w="628" w:type="pct"/>
            <w:noWrap/>
          </w:tcPr>
          <w:p w14:paraId="3596E73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8.15</w:t>
            </w:r>
            <w:r>
              <w:rPr>
                <w:rFonts w:cs="Times New Roman"/>
                <w:color w:val="000000" w:themeColor="text1"/>
                <w:kern w:val="0"/>
                <w:sz w:val="20"/>
                <w:szCs w:val="20"/>
                <w:vertAlign w:val="superscript"/>
              </w:rPr>
              <w:t>a</w:t>
            </w:r>
            <w:r>
              <w:rPr>
                <w:rFonts w:cs="Times New Roman"/>
                <w:color w:val="000000" w:themeColor="text1"/>
                <w:kern w:val="0"/>
                <w:sz w:val="20"/>
                <w:szCs w:val="20"/>
              </w:rPr>
              <w:t>±1.27</w:t>
            </w:r>
          </w:p>
        </w:tc>
        <w:tc>
          <w:tcPr>
            <w:tcW w:w="646" w:type="pct"/>
            <w:noWrap/>
          </w:tcPr>
          <w:p w14:paraId="79322B9C"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8.20</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±1.01                         </w:t>
            </w:r>
          </w:p>
        </w:tc>
        <w:tc>
          <w:tcPr>
            <w:tcW w:w="1112" w:type="pct"/>
          </w:tcPr>
          <w:p w14:paraId="14BFFAB5"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8.50</w:t>
            </w:r>
            <w:r>
              <w:rPr>
                <w:rFonts w:cs="Times New Roman"/>
                <w:color w:val="000000" w:themeColor="text1"/>
                <w:kern w:val="0"/>
                <w:sz w:val="20"/>
                <w:szCs w:val="20"/>
                <w:vertAlign w:val="superscript"/>
              </w:rPr>
              <w:t>a</w:t>
            </w:r>
            <w:r>
              <w:rPr>
                <w:rFonts w:cs="Times New Roman"/>
                <w:color w:val="000000" w:themeColor="text1"/>
                <w:kern w:val="0"/>
                <w:sz w:val="20"/>
                <w:szCs w:val="20"/>
              </w:rPr>
              <w:t>±0.69</w:t>
            </w:r>
          </w:p>
        </w:tc>
      </w:tr>
    </w:tbl>
    <w:p w14:paraId="6FA80908" w14:textId="77777777" w:rsidR="007628E0" w:rsidRDefault="00A56C92">
      <w:pPr>
        <w:tabs>
          <w:tab w:val="left" w:pos="900"/>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Values are means of sensory panel ratings ± standard deviation. Means in </w:t>
      </w:r>
      <w:r>
        <w:rPr>
          <w:rFonts w:ascii="Times New Roman" w:hAnsi="Times New Roman" w:cs="Times New Roman"/>
          <w:sz w:val="20"/>
          <w:szCs w:val="20"/>
        </w:rPr>
        <w:t>the same column with similar superscripts do not differ significantly (p&gt;0.05).</w:t>
      </w:r>
    </w:p>
    <w:p w14:paraId="1C6F70C5" w14:textId="77777777" w:rsidR="007628E0" w:rsidRDefault="00A56C92">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KEYS</w:t>
      </w:r>
    </w:p>
    <w:p w14:paraId="7A45E897" w14:textId="77777777" w:rsidR="007628E0" w:rsidRDefault="00A56C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 95% Oatmeal Flour: 0% Banana pulp: 5% Honey; B = 90% Oatmeal Flour: 5% Banana pulp: 5% Honey; C = 85% Oatmeal Flour: 10% Banana pulp: 5% Honey; D = 80% Oatmeal Flour: </w:t>
      </w:r>
      <w:r>
        <w:rPr>
          <w:rFonts w:ascii="Times New Roman" w:hAnsi="Times New Roman" w:cs="Times New Roman"/>
          <w:sz w:val="20"/>
          <w:szCs w:val="20"/>
        </w:rPr>
        <w:t>15% Banana pulp: 5% Honey; E = 75% Oatmeal Flour: 20% Banana pulp: 5% Honey.</w:t>
      </w:r>
    </w:p>
    <w:p w14:paraId="66F8DD71" w14:textId="77777777" w:rsidR="007628E0" w:rsidRDefault="00A56C92">
      <w:pPr>
        <w:spacing w:after="0" w:line="240" w:lineRule="auto"/>
        <w:jc w:val="both"/>
        <w:rPr>
          <w:rFonts w:ascii="Times New Roman" w:hAnsi="Times New Roman" w:cs="Times New Roman"/>
          <w:b/>
        </w:rPr>
      </w:pPr>
      <w:r>
        <w:rPr>
          <w:rFonts w:ascii="Times New Roman" w:hAnsi="Times New Roman" w:cs="Times New Roman"/>
          <w:b/>
        </w:rPr>
        <w:t>4.0 Conclusion and Recommendation</w:t>
      </w:r>
    </w:p>
    <w:p w14:paraId="74542A2A" w14:textId="77777777" w:rsidR="007628E0" w:rsidRDefault="00A56C92">
      <w:pPr>
        <w:spacing w:line="240" w:lineRule="auto"/>
        <w:jc w:val="both"/>
        <w:rPr>
          <w:rFonts w:ascii="Times New Roman" w:hAnsi="Times New Roman" w:cs="Times New Roman"/>
        </w:rPr>
      </w:pPr>
      <w:r>
        <w:rPr>
          <w:rFonts w:ascii="Times New Roman" w:hAnsi="Times New Roman" w:cs="Times New Roman"/>
        </w:rPr>
        <w:t>The study demonstrated that blending oatmeal flour with banana pulp and honey produced cookies with improved nutritional and sensory attributes.  Proximate composition showed that while sample A had the highest protein (19.47%), sample E contained the leas</w:t>
      </w:r>
      <w:r>
        <w:rPr>
          <w:rFonts w:ascii="Times New Roman" w:hAnsi="Times New Roman" w:cs="Times New Roman"/>
        </w:rPr>
        <w:t xml:space="preserve">t fat (2.45%) and the highest crude </w:t>
      </w:r>
      <w:proofErr w:type="spellStart"/>
      <w:r>
        <w:rPr>
          <w:rFonts w:ascii="Times New Roman" w:hAnsi="Times New Roman" w:cs="Times New Roman"/>
        </w:rPr>
        <w:t>fibre</w:t>
      </w:r>
      <w:proofErr w:type="spellEnd"/>
      <w:r>
        <w:rPr>
          <w:rFonts w:ascii="Times New Roman" w:hAnsi="Times New Roman" w:cs="Times New Roman"/>
        </w:rPr>
        <w:t xml:space="preserve"> (6.72%) and carbohydrate (65.0%), making it nutritionally superior in terms of </w:t>
      </w:r>
      <w:proofErr w:type="spellStart"/>
      <w:r>
        <w:rPr>
          <w:rFonts w:ascii="Times New Roman" w:hAnsi="Times New Roman" w:cs="Times New Roman"/>
        </w:rPr>
        <w:t>fibre</w:t>
      </w:r>
      <w:proofErr w:type="spellEnd"/>
      <w:r>
        <w:rPr>
          <w:rFonts w:ascii="Times New Roman" w:hAnsi="Times New Roman" w:cs="Times New Roman"/>
        </w:rPr>
        <w:t xml:space="preserve"> enrichment and energy contribution. Physical properties were relatively uniform across all samples, indicating good baking consis</w:t>
      </w:r>
      <w:r>
        <w:rPr>
          <w:rFonts w:ascii="Times New Roman" w:hAnsi="Times New Roman" w:cs="Times New Roman"/>
        </w:rPr>
        <w:t xml:space="preserve">tency and commercial suitability. Mineral analysis revealed progressive increases in calcium, potassium, and sodium with increasing levels of banana pulp, with sample E exhibiting the highest Ca (3.867 mg/100 g), K (310 mg/100 g), and Na (113.6 mg/100 g). </w:t>
      </w:r>
      <w:r>
        <w:rPr>
          <w:rFonts w:ascii="Times New Roman" w:hAnsi="Times New Roman" w:cs="Times New Roman"/>
        </w:rPr>
        <w:t>Sensory evaluation further confirmed consumer acceptability, as all samples scored above 7.5, with sample E scoring highest for aroma, texture, and overall acceptability (8.50).</w:t>
      </w:r>
    </w:p>
    <w:p w14:paraId="5BE27F99" w14:textId="77777777" w:rsidR="007628E0" w:rsidRDefault="00A56C92">
      <w:pPr>
        <w:spacing w:line="240" w:lineRule="auto"/>
        <w:jc w:val="both"/>
        <w:rPr>
          <w:rFonts w:ascii="Times New Roman" w:hAnsi="Times New Roman" w:cs="Times New Roman"/>
        </w:rPr>
      </w:pPr>
      <w:r>
        <w:rPr>
          <w:rFonts w:ascii="Times New Roman" w:hAnsi="Times New Roman" w:cs="Times New Roman"/>
        </w:rPr>
        <w:t>Among the five samples, sample E (75% oatmeal flour, 20% banana pulp, 5% honey</w:t>
      </w:r>
      <w:r>
        <w:rPr>
          <w:rFonts w:ascii="Times New Roman" w:hAnsi="Times New Roman" w:cs="Times New Roman"/>
        </w:rPr>
        <w:t>) was identified as the best formulation. It provided the most favorable balance of nutritional value, mineral enrichment, and consumer acceptability, making it the most promising option for both functional food development and consumer markets.</w:t>
      </w:r>
    </w:p>
    <w:p w14:paraId="1B45F19E" w14:textId="77777777" w:rsidR="007628E0" w:rsidRDefault="00A56C92">
      <w:pPr>
        <w:spacing w:line="240" w:lineRule="auto"/>
        <w:jc w:val="both"/>
        <w:rPr>
          <w:rFonts w:ascii="Times New Roman" w:hAnsi="Times New Roman" w:cs="Times New Roman"/>
        </w:rPr>
      </w:pPr>
      <w:r>
        <w:rPr>
          <w:rFonts w:ascii="Times New Roman" w:hAnsi="Times New Roman" w:cs="Times New Roman"/>
        </w:rPr>
        <w:t>Further re</w:t>
      </w:r>
      <w:r>
        <w:rPr>
          <w:rFonts w:ascii="Times New Roman" w:hAnsi="Times New Roman" w:cs="Times New Roman"/>
        </w:rPr>
        <w:t xml:space="preserve">search should be carried out on the storage stability of the developed cookies to establish their shelf life. </w:t>
      </w:r>
    </w:p>
    <w:p w14:paraId="6552F67D" w14:textId="77777777" w:rsidR="007628E0" w:rsidRDefault="00A56C92">
      <w:pPr>
        <w:spacing w:after="0" w:line="240" w:lineRule="auto"/>
        <w:jc w:val="both"/>
        <w:rPr>
          <w:rFonts w:ascii="Times New Roman" w:hAnsi="Times New Roman" w:cs="Times New Roman"/>
          <w:b/>
        </w:rPr>
      </w:pPr>
      <w:r>
        <w:rPr>
          <w:rFonts w:ascii="Times New Roman" w:hAnsi="Times New Roman" w:cs="Times New Roman"/>
          <w:b/>
        </w:rPr>
        <w:lastRenderedPageBreak/>
        <w:t>References</w:t>
      </w:r>
    </w:p>
    <w:p w14:paraId="3AC70D2D" w14:textId="77777777" w:rsidR="007628E0" w:rsidRDefault="007628E0">
      <w:pPr>
        <w:spacing w:after="0" w:line="240" w:lineRule="auto"/>
        <w:jc w:val="both"/>
        <w:rPr>
          <w:rFonts w:ascii="Times New Roman" w:hAnsi="Times New Roman" w:cs="Times New Roman"/>
          <w:b/>
        </w:rPr>
      </w:pPr>
    </w:p>
    <w:p w14:paraId="0151432E" w14:textId="77777777" w:rsidR="007628E0" w:rsidRDefault="00A56C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AACC (2000): Approved Methods of the American Association of Cereal Chemists (10</w:t>
      </w:r>
      <w:r>
        <w:rPr>
          <w:rFonts w:ascii="Times New Roman" w:hAnsi="Times New Roman" w:cs="Times New Roman"/>
          <w:sz w:val="20"/>
          <w:szCs w:val="20"/>
          <w:vertAlign w:val="superscript"/>
        </w:rPr>
        <w:t>th</w:t>
      </w:r>
      <w:r>
        <w:rPr>
          <w:rFonts w:ascii="Times New Roman" w:hAnsi="Times New Roman" w:cs="Times New Roman"/>
          <w:sz w:val="20"/>
          <w:szCs w:val="20"/>
        </w:rPr>
        <w:t xml:space="preserve"> </w:t>
      </w:r>
      <w:proofErr w:type="spellStart"/>
      <w:r>
        <w:rPr>
          <w:rFonts w:ascii="Times New Roman" w:hAnsi="Times New Roman" w:cs="Times New Roman"/>
          <w:sz w:val="20"/>
          <w:szCs w:val="20"/>
        </w:rPr>
        <w:t>edn</w:t>
      </w:r>
      <w:proofErr w:type="spellEnd"/>
      <w:r>
        <w:rPr>
          <w:rFonts w:ascii="Times New Roman" w:hAnsi="Times New Roman" w:cs="Times New Roman"/>
          <w:sz w:val="20"/>
          <w:szCs w:val="20"/>
        </w:rPr>
        <w:t>). American Association of Cereal Chemists, St.</w:t>
      </w:r>
      <w:r>
        <w:rPr>
          <w:rFonts w:ascii="Times New Roman" w:hAnsi="Times New Roman" w:cs="Times New Roman"/>
          <w:sz w:val="20"/>
          <w:szCs w:val="20"/>
        </w:rPr>
        <w:t xml:space="preserve"> Paul, MN, USA.</w:t>
      </w:r>
    </w:p>
    <w:p w14:paraId="258AE84C" w14:textId="77777777" w:rsidR="007628E0" w:rsidRDefault="00A56C92">
      <w:pPr>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Adegunwa</w:t>
      </w:r>
      <w:proofErr w:type="spellEnd"/>
      <w:r>
        <w:rPr>
          <w:rFonts w:ascii="Times New Roman" w:hAnsi="Times New Roman" w:cs="Times New Roman"/>
          <w:sz w:val="20"/>
          <w:szCs w:val="20"/>
        </w:rPr>
        <w:t xml:space="preserve">, M. O., Alamu, E. O. and Bakare, H. A. (2017): Evaluation of nutritional and sensory properties of cookies from wheat, plantain and </w:t>
      </w:r>
      <w:proofErr w:type="spellStart"/>
      <w:r>
        <w:rPr>
          <w:rFonts w:ascii="Times New Roman" w:hAnsi="Times New Roman" w:cs="Times New Roman"/>
          <w:sz w:val="20"/>
          <w:szCs w:val="20"/>
        </w:rPr>
        <w:t>bambara</w:t>
      </w:r>
      <w:proofErr w:type="spellEnd"/>
      <w:r>
        <w:rPr>
          <w:rFonts w:ascii="Times New Roman" w:hAnsi="Times New Roman" w:cs="Times New Roman"/>
          <w:sz w:val="20"/>
          <w:szCs w:val="20"/>
        </w:rPr>
        <w:t xml:space="preserve"> groundnut flour blends. </w:t>
      </w:r>
      <w:r>
        <w:rPr>
          <w:rFonts w:ascii="Times New Roman" w:hAnsi="Times New Roman" w:cs="Times New Roman"/>
          <w:i/>
          <w:iCs/>
          <w:sz w:val="20"/>
          <w:szCs w:val="20"/>
        </w:rPr>
        <w:t>Journal of Food Science and Nutrition, 5</w:t>
      </w:r>
      <w:r>
        <w:rPr>
          <w:rFonts w:ascii="Times New Roman" w:hAnsi="Times New Roman" w:cs="Times New Roman"/>
          <w:sz w:val="20"/>
          <w:szCs w:val="20"/>
        </w:rPr>
        <w:t>(3): 105–112.</w:t>
      </w:r>
    </w:p>
    <w:p w14:paraId="5CFE6202"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Adelekan, A. </w:t>
      </w:r>
      <w:r>
        <w:rPr>
          <w:rFonts w:ascii="Times New Roman" w:hAnsi="Times New Roman" w:cs="Times New Roman"/>
          <w:sz w:val="20"/>
          <w:szCs w:val="20"/>
        </w:rPr>
        <w:t xml:space="preserve">O., Akinwande, B. A. and Balogun, O. O. (2019): Nutritional evaluation of cookies produced from wheat flour fortified with African locust bean flour. </w:t>
      </w:r>
      <w:r>
        <w:rPr>
          <w:rFonts w:ascii="Times New Roman" w:hAnsi="Times New Roman" w:cs="Times New Roman"/>
          <w:i/>
          <w:iCs/>
          <w:sz w:val="20"/>
          <w:szCs w:val="20"/>
        </w:rPr>
        <w:t>Journal of Food Research, 8</w:t>
      </w:r>
      <w:r>
        <w:rPr>
          <w:rFonts w:ascii="Times New Roman" w:hAnsi="Times New Roman" w:cs="Times New Roman"/>
          <w:sz w:val="20"/>
          <w:szCs w:val="20"/>
        </w:rPr>
        <w:t>(4): 55–62.</w:t>
      </w:r>
    </w:p>
    <w:p w14:paraId="2602C720"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Adeniji, T. A. (2015): Plantain, banana and wheat flour composites </w:t>
      </w:r>
      <w:r>
        <w:rPr>
          <w:rFonts w:ascii="Times New Roman" w:hAnsi="Times New Roman" w:cs="Times New Roman"/>
          <w:sz w:val="20"/>
          <w:szCs w:val="20"/>
        </w:rPr>
        <w:t>in bread making: Prospects for industrial application. </w:t>
      </w:r>
      <w:r>
        <w:rPr>
          <w:rFonts w:ascii="Times New Roman" w:hAnsi="Times New Roman" w:cs="Times New Roman"/>
          <w:i/>
          <w:iCs/>
          <w:sz w:val="20"/>
          <w:szCs w:val="20"/>
        </w:rPr>
        <w:t>African Journal of Food, Agriculture, Nutrition and Development</w:t>
      </w:r>
      <w:r>
        <w:rPr>
          <w:rFonts w:ascii="Times New Roman" w:hAnsi="Times New Roman" w:cs="Times New Roman"/>
          <w:sz w:val="20"/>
          <w:szCs w:val="20"/>
        </w:rPr>
        <w:t>, </w:t>
      </w:r>
      <w:r>
        <w:rPr>
          <w:rFonts w:ascii="Times New Roman" w:hAnsi="Times New Roman" w:cs="Times New Roman"/>
          <w:i/>
          <w:iCs/>
          <w:sz w:val="20"/>
          <w:szCs w:val="20"/>
        </w:rPr>
        <w:t>15</w:t>
      </w:r>
      <w:r>
        <w:rPr>
          <w:rFonts w:ascii="Times New Roman" w:hAnsi="Times New Roman" w:cs="Times New Roman"/>
          <w:sz w:val="20"/>
          <w:szCs w:val="20"/>
        </w:rPr>
        <w:t>(4): 10182-10197.</w:t>
      </w:r>
    </w:p>
    <w:p w14:paraId="539DD111" w14:textId="77777777" w:rsidR="007628E0" w:rsidRDefault="00A56C92">
      <w:pPr>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Ahaotu</w:t>
      </w:r>
      <w:proofErr w:type="spellEnd"/>
      <w:r>
        <w:rPr>
          <w:rFonts w:ascii="Times New Roman" w:hAnsi="Times New Roman" w:cs="Times New Roman"/>
          <w:sz w:val="20"/>
          <w:szCs w:val="20"/>
        </w:rPr>
        <w:t xml:space="preserve">, E. O. and </w:t>
      </w:r>
      <w:proofErr w:type="spellStart"/>
      <w:r>
        <w:rPr>
          <w:rFonts w:ascii="Times New Roman" w:hAnsi="Times New Roman" w:cs="Times New Roman"/>
          <w:sz w:val="20"/>
          <w:szCs w:val="20"/>
        </w:rPr>
        <w:t>Ihekoronye</w:t>
      </w:r>
      <w:proofErr w:type="spellEnd"/>
      <w:r>
        <w:rPr>
          <w:rFonts w:ascii="Times New Roman" w:hAnsi="Times New Roman" w:cs="Times New Roman"/>
          <w:sz w:val="20"/>
          <w:szCs w:val="20"/>
        </w:rPr>
        <w:t xml:space="preserve">, B. (2019): Environmental, Ecological and Anti-Nutritional Factors for Cashew Utilization in Rabbit Production- A Review. </w:t>
      </w:r>
      <w:r>
        <w:rPr>
          <w:rFonts w:ascii="Times New Roman" w:hAnsi="Times New Roman" w:cs="Times New Roman"/>
          <w:i/>
          <w:sz w:val="20"/>
          <w:szCs w:val="20"/>
        </w:rPr>
        <w:t>International Journal of Research in Agriculture and Forestry, 6 (1): 8-22.</w:t>
      </w:r>
      <w:r>
        <w:rPr>
          <w:rFonts w:ascii="Times New Roman" w:hAnsi="Times New Roman" w:cs="Times New Roman"/>
          <w:sz w:val="20"/>
          <w:szCs w:val="20"/>
        </w:rPr>
        <w:t xml:space="preserve"> </w:t>
      </w:r>
    </w:p>
    <w:p w14:paraId="686A6D16"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Alam, M. S., Singh, A., Sawhney, B. K. and Singh, D. (20</w:t>
      </w:r>
      <w:r>
        <w:rPr>
          <w:rFonts w:ascii="Times New Roman" w:hAnsi="Times New Roman" w:cs="Times New Roman"/>
          <w:sz w:val="20"/>
          <w:szCs w:val="20"/>
        </w:rPr>
        <w:t xml:space="preserve">20): Development of fiber and mineral enriched wheat-oat cookies by utilization of banana and banana peel flour. </w:t>
      </w:r>
      <w:r>
        <w:rPr>
          <w:rFonts w:ascii="Times New Roman" w:hAnsi="Times New Roman" w:cs="Times New Roman"/>
          <w:i/>
          <w:iCs/>
          <w:sz w:val="20"/>
          <w:szCs w:val="20"/>
        </w:rPr>
        <w:t>Asian Journal of Dairy and Food Research, 39</w:t>
      </w:r>
      <w:r>
        <w:rPr>
          <w:rFonts w:ascii="Times New Roman" w:hAnsi="Times New Roman" w:cs="Times New Roman"/>
          <w:sz w:val="20"/>
          <w:szCs w:val="20"/>
        </w:rPr>
        <w:t>(4): 338–343</w:t>
      </w:r>
    </w:p>
    <w:p w14:paraId="55E7E51E" w14:textId="77777777" w:rsidR="007628E0" w:rsidRDefault="00A56C92">
      <w:pPr>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Aljobair</w:t>
      </w:r>
      <w:proofErr w:type="spellEnd"/>
      <w:r>
        <w:rPr>
          <w:rFonts w:ascii="Times New Roman" w:hAnsi="Times New Roman" w:cs="Times New Roman"/>
          <w:sz w:val="20"/>
          <w:szCs w:val="20"/>
        </w:rPr>
        <w:t>, M. O., Elgasim, E. A., Ahmed, I. A. M. and Babiker, E. E. (2022): Physicoche</w:t>
      </w:r>
      <w:r>
        <w:rPr>
          <w:rFonts w:ascii="Times New Roman" w:hAnsi="Times New Roman" w:cs="Times New Roman"/>
          <w:sz w:val="20"/>
          <w:szCs w:val="20"/>
        </w:rPr>
        <w:t xml:space="preserve">mical properties, bioactive compounds, and antioxidant activity of clove incorporated cookies. </w:t>
      </w:r>
      <w:r>
        <w:rPr>
          <w:rFonts w:ascii="Times New Roman" w:hAnsi="Times New Roman" w:cs="Times New Roman"/>
          <w:i/>
          <w:iCs/>
          <w:sz w:val="20"/>
          <w:szCs w:val="20"/>
        </w:rPr>
        <w:t>International Journal of Food Properties, 25</w:t>
      </w:r>
      <w:r>
        <w:rPr>
          <w:rFonts w:ascii="Times New Roman" w:hAnsi="Times New Roman" w:cs="Times New Roman"/>
          <w:sz w:val="20"/>
          <w:szCs w:val="20"/>
        </w:rPr>
        <w:t xml:space="preserve">(1): 1176–1189. </w:t>
      </w:r>
    </w:p>
    <w:p w14:paraId="3C4DA0F7" w14:textId="77777777" w:rsidR="007628E0" w:rsidRDefault="00A56C92">
      <w:pPr>
        <w:spacing w:line="240" w:lineRule="auto"/>
        <w:jc w:val="both"/>
        <w:rPr>
          <w:rFonts w:ascii="Times New Roman" w:hAnsi="Times New Roman" w:cs="Times New Roman"/>
          <w:sz w:val="20"/>
          <w:szCs w:val="20"/>
        </w:rPr>
      </w:pPr>
      <w:r>
        <w:rPr>
          <w:rFonts w:ascii="Times New Roman" w:hAnsi="Times New Roman" w:cs="Times New Roman"/>
          <w:sz w:val="20"/>
          <w:szCs w:val="20"/>
        </w:rPr>
        <w:t>AOAC (2005): Official Methods of Analysis. 18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edition. Association of Analytical Chemist. AOAC Int</w:t>
      </w:r>
      <w:r>
        <w:rPr>
          <w:rFonts w:ascii="Times New Roman" w:hAnsi="Times New Roman" w:cs="Times New Roman"/>
          <w:sz w:val="20"/>
          <w:szCs w:val="20"/>
        </w:rPr>
        <w:t>ernational.</w:t>
      </w:r>
    </w:p>
    <w:p w14:paraId="0925013F"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AOAC (2012): Official methods of Analysis (19</w:t>
      </w:r>
      <w:r>
        <w:rPr>
          <w:rFonts w:ascii="Times New Roman" w:hAnsi="Times New Roman" w:cs="Times New Roman"/>
          <w:sz w:val="20"/>
          <w:szCs w:val="20"/>
          <w:vertAlign w:val="superscript"/>
        </w:rPr>
        <w:t>th</w:t>
      </w:r>
      <w:r>
        <w:rPr>
          <w:rFonts w:ascii="Times New Roman" w:hAnsi="Times New Roman" w:cs="Times New Roman"/>
          <w:sz w:val="20"/>
          <w:szCs w:val="20"/>
        </w:rPr>
        <w:t xml:space="preserve"> </w:t>
      </w:r>
      <w:proofErr w:type="spellStart"/>
      <w:r>
        <w:rPr>
          <w:rFonts w:ascii="Times New Roman" w:hAnsi="Times New Roman" w:cs="Times New Roman"/>
          <w:sz w:val="20"/>
          <w:szCs w:val="20"/>
        </w:rPr>
        <w:t>edn</w:t>
      </w:r>
      <w:proofErr w:type="spellEnd"/>
      <w:r>
        <w:rPr>
          <w:rFonts w:ascii="Times New Roman" w:hAnsi="Times New Roman" w:cs="Times New Roman"/>
          <w:sz w:val="20"/>
          <w:szCs w:val="20"/>
        </w:rPr>
        <w:t>). Gaithersburg, md; AOAC International.</w:t>
      </w:r>
    </w:p>
    <w:p w14:paraId="6BAD755F"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Ayo, J. A., Ayo, V. A., </w:t>
      </w:r>
      <w:proofErr w:type="spellStart"/>
      <w:r>
        <w:rPr>
          <w:rFonts w:ascii="Times New Roman" w:hAnsi="Times New Roman" w:cs="Times New Roman"/>
          <w:sz w:val="20"/>
          <w:szCs w:val="20"/>
        </w:rPr>
        <w:t>Nkama</w:t>
      </w:r>
      <w:proofErr w:type="spellEnd"/>
      <w:r>
        <w:rPr>
          <w:rFonts w:ascii="Times New Roman" w:hAnsi="Times New Roman" w:cs="Times New Roman"/>
          <w:sz w:val="20"/>
          <w:szCs w:val="20"/>
        </w:rPr>
        <w:t xml:space="preserve">, I. and </w:t>
      </w:r>
      <w:proofErr w:type="spellStart"/>
      <w:r>
        <w:rPr>
          <w:rFonts w:ascii="Times New Roman" w:hAnsi="Times New Roman" w:cs="Times New Roman"/>
          <w:sz w:val="20"/>
          <w:szCs w:val="20"/>
        </w:rPr>
        <w:t>Adewori</w:t>
      </w:r>
      <w:proofErr w:type="spellEnd"/>
      <w:r>
        <w:rPr>
          <w:rFonts w:ascii="Times New Roman" w:hAnsi="Times New Roman" w:cs="Times New Roman"/>
          <w:sz w:val="20"/>
          <w:szCs w:val="20"/>
        </w:rPr>
        <w:t xml:space="preserve">, R. (2007): </w:t>
      </w:r>
      <w:proofErr w:type="spellStart"/>
      <w:r>
        <w:rPr>
          <w:rFonts w:ascii="Times New Roman" w:hAnsi="Times New Roman" w:cs="Times New Roman"/>
          <w:sz w:val="20"/>
          <w:szCs w:val="20"/>
        </w:rPr>
        <w:t>Physico</w:t>
      </w:r>
      <w:proofErr w:type="spellEnd"/>
      <w:r>
        <w:rPr>
          <w:rFonts w:ascii="Times New Roman" w:hAnsi="Times New Roman" w:cs="Times New Roman"/>
          <w:sz w:val="20"/>
          <w:szCs w:val="20"/>
        </w:rPr>
        <w:t>-chemical, Invitro digestibility and organoleptic evaluation of “</w:t>
      </w:r>
      <w:proofErr w:type="spellStart"/>
      <w:r>
        <w:rPr>
          <w:rFonts w:ascii="Times New Roman" w:hAnsi="Times New Roman" w:cs="Times New Roman"/>
          <w:sz w:val="20"/>
          <w:szCs w:val="20"/>
        </w:rPr>
        <w:t>Acha</w:t>
      </w:r>
      <w:proofErr w:type="spellEnd"/>
      <w:r>
        <w:rPr>
          <w:rFonts w:ascii="Times New Roman" w:hAnsi="Times New Roman" w:cs="Times New Roman"/>
          <w:sz w:val="20"/>
          <w:szCs w:val="20"/>
        </w:rPr>
        <w:t>”-Wheat Biscuit su</w:t>
      </w:r>
      <w:r>
        <w:rPr>
          <w:rFonts w:ascii="Times New Roman" w:hAnsi="Times New Roman" w:cs="Times New Roman"/>
          <w:sz w:val="20"/>
          <w:szCs w:val="20"/>
        </w:rPr>
        <w:t xml:space="preserve">pplemented with soybean flour. </w:t>
      </w:r>
      <w:r>
        <w:rPr>
          <w:rFonts w:ascii="Times New Roman" w:hAnsi="Times New Roman" w:cs="Times New Roman"/>
          <w:i/>
          <w:sz w:val="20"/>
          <w:szCs w:val="20"/>
        </w:rPr>
        <w:t>Nigerian Food Journal</w:t>
      </w:r>
      <w:r>
        <w:rPr>
          <w:rFonts w:ascii="Times New Roman" w:hAnsi="Times New Roman" w:cs="Times New Roman"/>
          <w:sz w:val="20"/>
          <w:szCs w:val="20"/>
        </w:rPr>
        <w:t xml:space="preserve"> 25 (1) DOI:10.4314/</w:t>
      </w:r>
      <w:proofErr w:type="gramStart"/>
      <w:r>
        <w:rPr>
          <w:rFonts w:ascii="Times New Roman" w:hAnsi="Times New Roman" w:cs="Times New Roman"/>
          <w:sz w:val="20"/>
          <w:szCs w:val="20"/>
        </w:rPr>
        <w:t>nifoj.v</w:t>
      </w:r>
      <w:proofErr w:type="gramEnd"/>
      <w:r>
        <w:rPr>
          <w:rFonts w:ascii="Times New Roman" w:hAnsi="Times New Roman" w:cs="Times New Roman"/>
          <w:sz w:val="20"/>
          <w:szCs w:val="20"/>
        </w:rPr>
        <w:t xml:space="preserve">25i1.33656 </w:t>
      </w:r>
    </w:p>
    <w:p w14:paraId="787CB325" w14:textId="77777777" w:rsidR="007628E0" w:rsidRDefault="00A56C92">
      <w:pPr>
        <w:spacing w:before="240" w:line="240" w:lineRule="auto"/>
        <w:ind w:left="720" w:hanging="720"/>
        <w:jc w:val="both"/>
        <w:rPr>
          <w:rFonts w:ascii="Times New Roman" w:hAnsi="Times New Roman" w:cs="Times New Roman"/>
          <w:sz w:val="20"/>
          <w:szCs w:val="20"/>
          <w:shd w:val="clear" w:color="auto" w:fill="FFFFFF"/>
        </w:rPr>
      </w:pPr>
      <w:bookmarkStart w:id="5" w:name="_Hlk143431965"/>
      <w:r>
        <w:rPr>
          <w:rFonts w:ascii="Times New Roman" w:hAnsi="Times New Roman" w:cs="Times New Roman"/>
          <w:sz w:val="20"/>
          <w:szCs w:val="20"/>
          <w:shd w:val="clear" w:color="auto" w:fill="FFFFFF"/>
        </w:rPr>
        <w:t>Birch</w:t>
      </w:r>
      <w:bookmarkEnd w:id="5"/>
      <w:r>
        <w:rPr>
          <w:rFonts w:ascii="Times New Roman" w:hAnsi="Times New Roman" w:cs="Times New Roman"/>
          <w:sz w:val="20"/>
          <w:szCs w:val="20"/>
          <w:shd w:val="clear" w:color="auto" w:fill="FFFFFF"/>
        </w:rPr>
        <w:t xml:space="preserve">, C. S. and </w:t>
      </w:r>
      <w:bookmarkStart w:id="6" w:name="_Hlk143431975"/>
      <w:proofErr w:type="spellStart"/>
      <w:r>
        <w:rPr>
          <w:rFonts w:ascii="Times New Roman" w:hAnsi="Times New Roman" w:cs="Times New Roman"/>
          <w:sz w:val="20"/>
          <w:szCs w:val="20"/>
          <w:shd w:val="clear" w:color="auto" w:fill="FFFFFF"/>
        </w:rPr>
        <w:t>Bonwick</w:t>
      </w:r>
      <w:bookmarkEnd w:id="6"/>
      <w:proofErr w:type="spellEnd"/>
      <w:r>
        <w:rPr>
          <w:rFonts w:ascii="Times New Roman" w:hAnsi="Times New Roman" w:cs="Times New Roman"/>
          <w:sz w:val="20"/>
          <w:szCs w:val="20"/>
          <w:shd w:val="clear" w:color="auto" w:fill="FFFFFF"/>
        </w:rPr>
        <w:t>, G. A. (2019): Ensuring the future of functional foods. </w:t>
      </w:r>
      <w:r>
        <w:rPr>
          <w:rFonts w:ascii="Times New Roman" w:hAnsi="Times New Roman" w:cs="Times New Roman"/>
          <w:i/>
          <w:iCs/>
          <w:sz w:val="20"/>
          <w:szCs w:val="20"/>
          <w:shd w:val="clear" w:color="auto" w:fill="FFFFFF"/>
        </w:rPr>
        <w:t>International Journal of Food Science and Technology</w:t>
      </w:r>
      <w:r>
        <w:rPr>
          <w:rFonts w:ascii="Times New Roman" w:hAnsi="Times New Roman" w:cs="Times New Roman"/>
          <w:sz w:val="20"/>
          <w:szCs w:val="20"/>
          <w:shd w:val="clear" w:color="auto" w:fill="FFFFFF"/>
        </w:rPr>
        <w:t>, </w:t>
      </w:r>
      <w:r>
        <w:rPr>
          <w:rFonts w:ascii="Times New Roman" w:hAnsi="Times New Roman" w:cs="Times New Roman"/>
          <w:i/>
          <w:iCs/>
          <w:sz w:val="20"/>
          <w:szCs w:val="20"/>
          <w:shd w:val="clear" w:color="auto" w:fill="FFFFFF"/>
        </w:rPr>
        <w:t>54</w:t>
      </w:r>
      <w:r>
        <w:rPr>
          <w:rFonts w:ascii="Times New Roman" w:hAnsi="Times New Roman" w:cs="Times New Roman"/>
          <w:sz w:val="20"/>
          <w:szCs w:val="20"/>
          <w:shd w:val="clear" w:color="auto" w:fill="FFFFFF"/>
        </w:rPr>
        <w:t>(5): 1467-1485.</w:t>
      </w:r>
    </w:p>
    <w:p w14:paraId="62F19989" w14:textId="77777777" w:rsidR="007628E0" w:rsidRDefault="00A56C92">
      <w:pPr>
        <w:spacing w:before="240" w:line="240" w:lineRule="auto"/>
        <w:ind w:left="720" w:hanging="720"/>
        <w:rPr>
          <w:rFonts w:ascii="Times New Roman" w:hAnsi="Times New Roman" w:cs="Times New Roman"/>
          <w:sz w:val="20"/>
          <w:szCs w:val="20"/>
        </w:rPr>
      </w:pPr>
      <w:proofErr w:type="spellStart"/>
      <w:r>
        <w:rPr>
          <w:rFonts w:ascii="Times New Roman" w:hAnsi="Times New Roman" w:cs="Times New Roman"/>
          <w:sz w:val="20"/>
          <w:szCs w:val="20"/>
        </w:rPr>
        <w:t>Bornare</w:t>
      </w:r>
      <w:proofErr w:type="spellEnd"/>
      <w:r>
        <w:rPr>
          <w:rFonts w:ascii="Times New Roman" w:hAnsi="Times New Roman" w:cs="Times New Roman"/>
          <w:sz w:val="20"/>
          <w:szCs w:val="20"/>
        </w:rPr>
        <w:t xml:space="preserve">, D. </w:t>
      </w:r>
      <w:r>
        <w:rPr>
          <w:rFonts w:ascii="Times New Roman" w:hAnsi="Times New Roman" w:cs="Times New Roman"/>
          <w:sz w:val="20"/>
          <w:szCs w:val="20"/>
        </w:rPr>
        <w:t>T. and Khan, K. S. A. (2015): Physical and sensory evaluation of cookies incorporated with oats and honey. </w:t>
      </w:r>
      <w:r>
        <w:rPr>
          <w:rFonts w:ascii="Times New Roman" w:hAnsi="Times New Roman" w:cs="Times New Roman"/>
          <w:i/>
          <w:iCs/>
          <w:sz w:val="20"/>
          <w:szCs w:val="20"/>
        </w:rPr>
        <w:t>International Journal of Engineering Research and Technology</w:t>
      </w:r>
      <w:r>
        <w:rPr>
          <w:rFonts w:ascii="Times New Roman" w:hAnsi="Times New Roman" w:cs="Times New Roman"/>
          <w:sz w:val="20"/>
          <w:szCs w:val="20"/>
        </w:rPr>
        <w:t>, </w:t>
      </w:r>
      <w:r>
        <w:rPr>
          <w:rFonts w:ascii="Times New Roman" w:hAnsi="Times New Roman" w:cs="Times New Roman"/>
          <w:i/>
          <w:iCs/>
          <w:sz w:val="20"/>
          <w:szCs w:val="20"/>
        </w:rPr>
        <w:t>4</w:t>
      </w:r>
      <w:r>
        <w:rPr>
          <w:rFonts w:ascii="Times New Roman" w:hAnsi="Times New Roman" w:cs="Times New Roman"/>
          <w:sz w:val="20"/>
          <w:szCs w:val="20"/>
        </w:rPr>
        <w:t>(8): 407-411.</w:t>
      </w:r>
    </w:p>
    <w:p w14:paraId="699C09CA" w14:textId="77777777" w:rsidR="007628E0" w:rsidRDefault="00A56C92">
      <w:pPr>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Chaipoot</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Phongphisutthinant</w:t>
      </w:r>
      <w:proofErr w:type="spellEnd"/>
      <w:r>
        <w:rPr>
          <w:rFonts w:ascii="Times New Roman" w:hAnsi="Times New Roman" w:cs="Times New Roman"/>
          <w:sz w:val="20"/>
          <w:szCs w:val="20"/>
        </w:rPr>
        <w:t xml:space="preserve">, R., </w:t>
      </w:r>
      <w:proofErr w:type="spellStart"/>
      <w:r>
        <w:rPr>
          <w:rFonts w:ascii="Times New Roman" w:hAnsi="Times New Roman" w:cs="Times New Roman"/>
          <w:sz w:val="20"/>
          <w:szCs w:val="20"/>
        </w:rPr>
        <w:t>Wiriyacharee</w:t>
      </w:r>
      <w:proofErr w:type="spellEnd"/>
      <w:r>
        <w:rPr>
          <w:rFonts w:ascii="Times New Roman" w:hAnsi="Times New Roman" w:cs="Times New Roman"/>
          <w:sz w:val="20"/>
          <w:szCs w:val="20"/>
        </w:rPr>
        <w:t xml:space="preserve">, P., </w:t>
      </w:r>
      <w:proofErr w:type="spellStart"/>
      <w:r>
        <w:rPr>
          <w:rFonts w:ascii="Times New Roman" w:hAnsi="Times New Roman" w:cs="Times New Roman"/>
          <w:sz w:val="20"/>
          <w:szCs w:val="20"/>
        </w:rPr>
        <w:t>Kanthakat</w:t>
      </w:r>
      <w:proofErr w:type="spellEnd"/>
      <w:r>
        <w:rPr>
          <w:rFonts w:ascii="Times New Roman" w:hAnsi="Times New Roman" w:cs="Times New Roman"/>
          <w:sz w:val="20"/>
          <w:szCs w:val="20"/>
        </w:rPr>
        <w:t xml:space="preserve">, G., </w:t>
      </w:r>
      <w:proofErr w:type="spellStart"/>
      <w:r>
        <w:rPr>
          <w:rFonts w:ascii="Times New Roman" w:hAnsi="Times New Roman" w:cs="Times New Roman"/>
          <w:sz w:val="20"/>
          <w:szCs w:val="20"/>
        </w:rPr>
        <w:t>W</w:t>
      </w:r>
      <w:r>
        <w:rPr>
          <w:rFonts w:ascii="Times New Roman" w:hAnsi="Times New Roman" w:cs="Times New Roman"/>
          <w:sz w:val="20"/>
          <w:szCs w:val="20"/>
        </w:rPr>
        <w:t>ongwatcharayothin</w:t>
      </w:r>
      <w:proofErr w:type="spellEnd"/>
      <w:r>
        <w:rPr>
          <w:rFonts w:ascii="Times New Roman" w:hAnsi="Times New Roman" w:cs="Times New Roman"/>
          <w:sz w:val="20"/>
          <w:szCs w:val="20"/>
        </w:rPr>
        <w:t xml:space="preserve">, W., </w:t>
      </w:r>
      <w:proofErr w:type="spellStart"/>
      <w:r>
        <w:rPr>
          <w:rFonts w:ascii="Times New Roman" w:hAnsi="Times New Roman" w:cs="Times New Roman"/>
          <w:sz w:val="20"/>
          <w:szCs w:val="20"/>
        </w:rPr>
        <w:t>Somjai</w:t>
      </w:r>
      <w:proofErr w:type="spellEnd"/>
      <w:r>
        <w:rPr>
          <w:rFonts w:ascii="Times New Roman" w:hAnsi="Times New Roman" w:cs="Times New Roman"/>
          <w:sz w:val="20"/>
          <w:szCs w:val="20"/>
        </w:rPr>
        <w:t xml:space="preserve">, C. and </w:t>
      </w:r>
      <w:proofErr w:type="spellStart"/>
      <w:r>
        <w:rPr>
          <w:rFonts w:ascii="Times New Roman" w:hAnsi="Times New Roman" w:cs="Times New Roman"/>
          <w:sz w:val="20"/>
          <w:szCs w:val="20"/>
        </w:rPr>
        <w:t>Chuttong</w:t>
      </w:r>
      <w:proofErr w:type="spellEnd"/>
      <w:r>
        <w:rPr>
          <w:rFonts w:ascii="Times New Roman" w:hAnsi="Times New Roman" w:cs="Times New Roman"/>
          <w:sz w:val="20"/>
          <w:szCs w:val="20"/>
        </w:rPr>
        <w:t>, B. (2024): Application of Carboxymethyl Cellulose and Glycerol Monostearate as Binder Agents for Protein Powder Production from Honey Bee Brood Using Foam-Mat Drying Technique. </w:t>
      </w:r>
      <w:r>
        <w:rPr>
          <w:rFonts w:ascii="Times New Roman" w:hAnsi="Times New Roman" w:cs="Times New Roman"/>
          <w:i/>
          <w:iCs/>
          <w:sz w:val="20"/>
          <w:szCs w:val="20"/>
        </w:rPr>
        <w:t>Foods</w:t>
      </w:r>
      <w:r>
        <w:rPr>
          <w:rFonts w:ascii="Times New Roman" w:hAnsi="Times New Roman" w:cs="Times New Roman"/>
          <w:sz w:val="20"/>
          <w:szCs w:val="20"/>
        </w:rPr>
        <w:t>, </w:t>
      </w:r>
      <w:r>
        <w:rPr>
          <w:rFonts w:ascii="Times New Roman" w:hAnsi="Times New Roman" w:cs="Times New Roman"/>
          <w:i/>
          <w:iCs/>
          <w:sz w:val="20"/>
          <w:szCs w:val="20"/>
        </w:rPr>
        <w:t>13</w:t>
      </w:r>
      <w:r>
        <w:rPr>
          <w:rFonts w:ascii="Times New Roman" w:hAnsi="Times New Roman" w:cs="Times New Roman"/>
          <w:sz w:val="20"/>
          <w:szCs w:val="20"/>
        </w:rPr>
        <w:t>(14): 2265.</w:t>
      </w:r>
    </w:p>
    <w:p w14:paraId="22306F3D" w14:textId="77777777" w:rsidR="007628E0" w:rsidRDefault="00A56C92">
      <w:pPr>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Ekeocha</w:t>
      </w:r>
      <w:proofErr w:type="spellEnd"/>
      <w:r>
        <w:rPr>
          <w:rFonts w:ascii="Times New Roman" w:hAnsi="Times New Roman" w:cs="Times New Roman"/>
          <w:sz w:val="20"/>
          <w:szCs w:val="20"/>
        </w:rPr>
        <w:t>, C</w:t>
      </w:r>
      <w:r>
        <w:rPr>
          <w:rFonts w:ascii="Times New Roman" w:hAnsi="Times New Roman" w:cs="Times New Roman"/>
          <w:sz w:val="20"/>
          <w:szCs w:val="20"/>
        </w:rPr>
        <w:t xml:space="preserve">. O., </w:t>
      </w:r>
      <w:proofErr w:type="spellStart"/>
      <w:r>
        <w:rPr>
          <w:rFonts w:ascii="Times New Roman" w:hAnsi="Times New Roman" w:cs="Times New Roman"/>
          <w:sz w:val="20"/>
          <w:szCs w:val="20"/>
        </w:rPr>
        <w:t>Nwokoro</w:t>
      </w:r>
      <w:proofErr w:type="spellEnd"/>
      <w:r>
        <w:rPr>
          <w:rFonts w:ascii="Times New Roman" w:hAnsi="Times New Roman" w:cs="Times New Roman"/>
          <w:sz w:val="20"/>
          <w:szCs w:val="20"/>
        </w:rPr>
        <w:t xml:space="preserve">, S. O., and Igwe, V. S. (2025): Nutritional and sensory properties of shortbread cookies produced from wheat, soybean, and carrot flour blends. </w:t>
      </w:r>
      <w:r>
        <w:rPr>
          <w:rFonts w:ascii="Times New Roman" w:hAnsi="Times New Roman" w:cs="Times New Roman"/>
          <w:i/>
          <w:iCs/>
          <w:sz w:val="20"/>
          <w:szCs w:val="20"/>
        </w:rPr>
        <w:t>Asian Journal of Food Research and Nutrition, 5</w:t>
      </w:r>
      <w:r>
        <w:rPr>
          <w:rFonts w:ascii="Times New Roman" w:hAnsi="Times New Roman" w:cs="Times New Roman"/>
          <w:sz w:val="20"/>
          <w:szCs w:val="20"/>
        </w:rPr>
        <w:t xml:space="preserve">(1): 35–44. </w:t>
      </w:r>
    </w:p>
    <w:p w14:paraId="37283D5E" w14:textId="77777777" w:rsidR="007628E0" w:rsidRDefault="00A56C92">
      <w:pPr>
        <w:spacing w:before="240" w:line="240" w:lineRule="auto"/>
        <w:ind w:left="720" w:hanging="720"/>
        <w:rPr>
          <w:rFonts w:ascii="Times New Roman" w:hAnsi="Times New Roman" w:cs="Times New Roman"/>
          <w:sz w:val="20"/>
          <w:szCs w:val="20"/>
        </w:rPr>
      </w:pPr>
      <w:bookmarkStart w:id="7" w:name="_Hlk199153167"/>
      <w:r>
        <w:rPr>
          <w:rFonts w:ascii="Times New Roman" w:hAnsi="Times New Roman" w:cs="Times New Roman"/>
          <w:sz w:val="20"/>
          <w:szCs w:val="20"/>
        </w:rPr>
        <w:t>Hemmati</w:t>
      </w:r>
      <w:bookmarkEnd w:id="7"/>
      <w:r>
        <w:rPr>
          <w:rFonts w:ascii="Times New Roman" w:hAnsi="Times New Roman" w:cs="Times New Roman"/>
          <w:sz w:val="20"/>
          <w:szCs w:val="20"/>
        </w:rPr>
        <w:t xml:space="preserve">, H., </w:t>
      </w:r>
      <w:proofErr w:type="spellStart"/>
      <w:r>
        <w:rPr>
          <w:rFonts w:ascii="Times New Roman" w:hAnsi="Times New Roman" w:cs="Times New Roman"/>
          <w:sz w:val="20"/>
          <w:szCs w:val="20"/>
        </w:rPr>
        <w:t>Alkasasbeh</w:t>
      </w:r>
      <w:proofErr w:type="spellEnd"/>
      <w:r>
        <w:rPr>
          <w:rFonts w:ascii="Times New Roman" w:hAnsi="Times New Roman" w:cs="Times New Roman"/>
          <w:sz w:val="20"/>
          <w:szCs w:val="20"/>
        </w:rPr>
        <w:t xml:space="preserve">, W. J., </w:t>
      </w:r>
      <w:proofErr w:type="spellStart"/>
      <w:r>
        <w:rPr>
          <w:rFonts w:ascii="Times New Roman" w:hAnsi="Times New Roman" w:cs="Times New Roman"/>
          <w:sz w:val="20"/>
          <w:szCs w:val="20"/>
        </w:rPr>
        <w:t>Hemmat</w:t>
      </w:r>
      <w:r>
        <w:rPr>
          <w:rFonts w:ascii="Times New Roman" w:hAnsi="Times New Roman" w:cs="Times New Roman"/>
          <w:sz w:val="20"/>
          <w:szCs w:val="20"/>
        </w:rPr>
        <w:t>inafar</w:t>
      </w:r>
      <w:proofErr w:type="spellEnd"/>
      <w:r>
        <w:rPr>
          <w:rFonts w:ascii="Times New Roman" w:hAnsi="Times New Roman" w:cs="Times New Roman"/>
          <w:sz w:val="20"/>
          <w:szCs w:val="20"/>
        </w:rPr>
        <w:t xml:space="preserve">, M., Salesi, M., </w:t>
      </w:r>
      <w:proofErr w:type="spellStart"/>
      <w:r>
        <w:rPr>
          <w:rFonts w:ascii="Times New Roman" w:hAnsi="Times New Roman" w:cs="Times New Roman"/>
          <w:sz w:val="20"/>
          <w:szCs w:val="20"/>
        </w:rPr>
        <w:t>Pirmohammadi</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Imanian</w:t>
      </w:r>
      <w:proofErr w:type="spellEnd"/>
      <w:r>
        <w:rPr>
          <w:rFonts w:ascii="Times New Roman" w:hAnsi="Times New Roman" w:cs="Times New Roman"/>
          <w:sz w:val="20"/>
          <w:szCs w:val="20"/>
        </w:rPr>
        <w:t>, B. and Rezaei, R. (2024): Effect of a honey-sweetened beverage on muscle soreness and recovery of performance after exercise-induced muscle damage in strength-trained females. </w:t>
      </w:r>
      <w:r>
        <w:rPr>
          <w:rFonts w:ascii="Times New Roman" w:hAnsi="Times New Roman" w:cs="Times New Roman"/>
          <w:i/>
          <w:iCs/>
          <w:sz w:val="20"/>
          <w:szCs w:val="20"/>
        </w:rPr>
        <w:t>Frontiers in Physiology</w:t>
      </w:r>
      <w:r>
        <w:rPr>
          <w:rFonts w:ascii="Times New Roman" w:hAnsi="Times New Roman" w:cs="Times New Roman"/>
          <w:sz w:val="20"/>
          <w:szCs w:val="20"/>
        </w:rPr>
        <w:t>, </w:t>
      </w:r>
      <w:r>
        <w:rPr>
          <w:rFonts w:ascii="Times New Roman" w:hAnsi="Times New Roman" w:cs="Times New Roman"/>
          <w:i/>
          <w:iCs/>
          <w:sz w:val="20"/>
          <w:szCs w:val="20"/>
        </w:rPr>
        <w:t>15</w:t>
      </w:r>
      <w:r>
        <w:rPr>
          <w:rFonts w:ascii="Times New Roman" w:hAnsi="Times New Roman" w:cs="Times New Roman"/>
          <w:sz w:val="20"/>
          <w:szCs w:val="20"/>
        </w:rPr>
        <w:t xml:space="preserve">, </w:t>
      </w:r>
      <w:r>
        <w:rPr>
          <w:rFonts w:ascii="Times New Roman" w:hAnsi="Times New Roman" w:cs="Times New Roman"/>
          <w:sz w:val="20"/>
          <w:szCs w:val="20"/>
        </w:rPr>
        <w:t>1426872.</w:t>
      </w:r>
    </w:p>
    <w:p w14:paraId="1DC7208F"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Ho, L. H. and </w:t>
      </w:r>
      <w:proofErr w:type="spellStart"/>
      <w:r>
        <w:rPr>
          <w:rFonts w:ascii="Times New Roman" w:hAnsi="Times New Roman" w:cs="Times New Roman"/>
          <w:sz w:val="20"/>
          <w:szCs w:val="20"/>
        </w:rPr>
        <w:t>Pulsawat</w:t>
      </w:r>
      <w:proofErr w:type="spellEnd"/>
      <w:r>
        <w:rPr>
          <w:rFonts w:ascii="Times New Roman" w:hAnsi="Times New Roman" w:cs="Times New Roman"/>
          <w:sz w:val="20"/>
          <w:szCs w:val="20"/>
        </w:rPr>
        <w:t>, M. M. (2020): Effects of partial sugar replacement on the physicochemical and sensory properties of low sugar cookies. </w:t>
      </w:r>
      <w:r>
        <w:rPr>
          <w:rFonts w:ascii="Times New Roman" w:hAnsi="Times New Roman" w:cs="Times New Roman"/>
          <w:i/>
          <w:iCs/>
          <w:sz w:val="20"/>
          <w:szCs w:val="20"/>
        </w:rPr>
        <w:t>International Food Research Journal</w:t>
      </w:r>
      <w:r>
        <w:rPr>
          <w:rFonts w:ascii="Times New Roman" w:hAnsi="Times New Roman" w:cs="Times New Roman"/>
          <w:sz w:val="20"/>
          <w:szCs w:val="20"/>
        </w:rPr>
        <w:t>, </w:t>
      </w:r>
      <w:r>
        <w:rPr>
          <w:rFonts w:ascii="Times New Roman" w:hAnsi="Times New Roman" w:cs="Times New Roman"/>
          <w:i/>
          <w:iCs/>
          <w:sz w:val="20"/>
          <w:szCs w:val="20"/>
        </w:rPr>
        <w:t>27</w:t>
      </w:r>
      <w:r>
        <w:rPr>
          <w:rFonts w:ascii="Times New Roman" w:hAnsi="Times New Roman" w:cs="Times New Roman"/>
          <w:sz w:val="20"/>
          <w:szCs w:val="20"/>
        </w:rPr>
        <w:t>(3): 557-567.</w:t>
      </w:r>
    </w:p>
    <w:p w14:paraId="7B38C684"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Hussein, A. M., Abou-El-Hawa, S. H. and Mohamed, S.</w:t>
      </w:r>
      <w:r>
        <w:rPr>
          <w:rFonts w:ascii="Times New Roman" w:hAnsi="Times New Roman" w:cs="Times New Roman"/>
          <w:sz w:val="20"/>
          <w:szCs w:val="20"/>
        </w:rPr>
        <w:t xml:space="preserve"> A. (2020): Nutritional quality and sensory evaluation of cookies enriched with pumpkin seed flour. </w:t>
      </w:r>
      <w:r>
        <w:rPr>
          <w:rFonts w:ascii="Times New Roman" w:hAnsi="Times New Roman" w:cs="Times New Roman"/>
          <w:i/>
          <w:iCs/>
          <w:sz w:val="20"/>
          <w:szCs w:val="20"/>
        </w:rPr>
        <w:t>Journal of Food Science and Technology, 57</w:t>
      </w:r>
      <w:r>
        <w:rPr>
          <w:rFonts w:ascii="Times New Roman" w:hAnsi="Times New Roman" w:cs="Times New Roman"/>
          <w:sz w:val="20"/>
          <w:szCs w:val="20"/>
        </w:rPr>
        <w:t>(7): 2674–2682.</w:t>
      </w:r>
    </w:p>
    <w:p w14:paraId="4C24BB7A" w14:textId="77777777" w:rsidR="007628E0" w:rsidRDefault="00A56C92">
      <w:pPr>
        <w:spacing w:before="240" w:line="240" w:lineRule="auto"/>
        <w:ind w:left="720" w:hanging="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lastRenderedPageBreak/>
        <w:t>Jisha, S., Padmaja, G., Moorthy, S. N. and Rajeshkumar, K. (2018): Pre-treatment effect on the nut</w:t>
      </w:r>
      <w:r>
        <w:rPr>
          <w:rFonts w:ascii="Times New Roman" w:hAnsi="Times New Roman" w:cs="Times New Roman"/>
          <w:sz w:val="20"/>
          <w:szCs w:val="20"/>
          <w:shd w:val="clear" w:color="auto" w:fill="FFFFFF"/>
        </w:rPr>
        <w:t>ritional and functional properties of selected cassava-based composite flours. </w:t>
      </w:r>
      <w:r>
        <w:rPr>
          <w:rFonts w:ascii="Times New Roman" w:hAnsi="Times New Roman" w:cs="Times New Roman"/>
          <w:i/>
          <w:iCs/>
          <w:sz w:val="20"/>
          <w:szCs w:val="20"/>
          <w:shd w:val="clear" w:color="auto" w:fill="FFFFFF"/>
        </w:rPr>
        <w:t>Innovative Food Science and Emerging Technologies</w:t>
      </w:r>
      <w:r>
        <w:rPr>
          <w:rFonts w:ascii="Times New Roman" w:hAnsi="Times New Roman" w:cs="Times New Roman"/>
          <w:sz w:val="20"/>
          <w:szCs w:val="20"/>
          <w:shd w:val="clear" w:color="auto" w:fill="FFFFFF"/>
        </w:rPr>
        <w:t>, </w:t>
      </w:r>
      <w:r>
        <w:rPr>
          <w:rFonts w:ascii="Times New Roman" w:hAnsi="Times New Roman" w:cs="Times New Roman"/>
          <w:i/>
          <w:iCs/>
          <w:sz w:val="20"/>
          <w:szCs w:val="20"/>
          <w:shd w:val="clear" w:color="auto" w:fill="FFFFFF"/>
        </w:rPr>
        <w:t>9</w:t>
      </w:r>
      <w:r>
        <w:rPr>
          <w:rFonts w:ascii="Times New Roman" w:hAnsi="Times New Roman" w:cs="Times New Roman"/>
          <w:sz w:val="20"/>
          <w:szCs w:val="20"/>
          <w:shd w:val="clear" w:color="auto" w:fill="FFFFFF"/>
        </w:rPr>
        <w:t>(4): 587-592.</w:t>
      </w:r>
    </w:p>
    <w:p w14:paraId="3839052C" w14:textId="77777777" w:rsidR="007628E0" w:rsidRDefault="00A56C92">
      <w:pPr>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Maneju</w:t>
      </w:r>
      <w:proofErr w:type="spellEnd"/>
      <w:r>
        <w:rPr>
          <w:rFonts w:ascii="Times New Roman" w:hAnsi="Times New Roman" w:cs="Times New Roman"/>
          <w:sz w:val="20"/>
          <w:szCs w:val="20"/>
        </w:rPr>
        <w:t>, H., Sunday, J. and Abah, S. (2021): Nutritional and sensory evaluation of biscuits produced from wheat–</w:t>
      </w:r>
      <w:r>
        <w:rPr>
          <w:rFonts w:ascii="Times New Roman" w:hAnsi="Times New Roman" w:cs="Times New Roman"/>
          <w:sz w:val="20"/>
          <w:szCs w:val="20"/>
        </w:rPr>
        <w:t xml:space="preserve">banana peel composite flour blends. </w:t>
      </w:r>
      <w:r>
        <w:rPr>
          <w:rFonts w:ascii="Times New Roman" w:hAnsi="Times New Roman" w:cs="Times New Roman"/>
          <w:i/>
          <w:iCs/>
          <w:sz w:val="20"/>
          <w:szCs w:val="20"/>
        </w:rPr>
        <w:t>African Journal of Food Science, 15</w:t>
      </w:r>
      <w:r>
        <w:rPr>
          <w:rFonts w:ascii="Times New Roman" w:hAnsi="Times New Roman" w:cs="Times New Roman"/>
          <w:sz w:val="20"/>
          <w:szCs w:val="20"/>
        </w:rPr>
        <w:t>(3): 88–96.</w:t>
      </w:r>
    </w:p>
    <w:p w14:paraId="7E883841" w14:textId="77777777" w:rsidR="007628E0" w:rsidRDefault="00A56C92">
      <w:pPr>
        <w:spacing w:before="240" w:line="240" w:lineRule="auto"/>
        <w:ind w:left="720" w:hanging="720"/>
        <w:jc w:val="both"/>
        <w:rPr>
          <w:rFonts w:ascii="Times New Roman" w:hAnsi="Times New Roman" w:cs="Times New Roman"/>
          <w:sz w:val="20"/>
          <w:szCs w:val="20"/>
          <w:shd w:val="clear" w:color="auto" w:fill="FFFFFF"/>
        </w:rPr>
      </w:pPr>
      <w:bookmarkStart w:id="8" w:name="_Hlk143432052"/>
      <w:r>
        <w:rPr>
          <w:rFonts w:ascii="Times New Roman" w:hAnsi="Times New Roman" w:cs="Times New Roman"/>
          <w:sz w:val="20"/>
          <w:szCs w:val="20"/>
          <w:shd w:val="clear" w:color="auto" w:fill="FFFFFF"/>
        </w:rPr>
        <w:t>Manley</w:t>
      </w:r>
      <w:bookmarkEnd w:id="8"/>
      <w:r>
        <w:rPr>
          <w:rFonts w:ascii="Times New Roman" w:hAnsi="Times New Roman" w:cs="Times New Roman"/>
          <w:sz w:val="20"/>
          <w:szCs w:val="20"/>
          <w:shd w:val="clear" w:color="auto" w:fill="FFFFFF"/>
        </w:rPr>
        <w:t xml:space="preserve">, D., </w:t>
      </w:r>
      <w:proofErr w:type="spellStart"/>
      <w:r>
        <w:rPr>
          <w:rFonts w:ascii="Times New Roman" w:hAnsi="Times New Roman" w:cs="Times New Roman"/>
          <w:sz w:val="20"/>
          <w:szCs w:val="20"/>
          <w:shd w:val="clear" w:color="auto" w:fill="FFFFFF"/>
        </w:rPr>
        <w:t>Pareyt</w:t>
      </w:r>
      <w:proofErr w:type="spellEnd"/>
      <w:r>
        <w:rPr>
          <w:rFonts w:ascii="Times New Roman" w:hAnsi="Times New Roman" w:cs="Times New Roman"/>
          <w:sz w:val="20"/>
          <w:szCs w:val="20"/>
          <w:shd w:val="clear" w:color="auto" w:fill="FFFFFF"/>
        </w:rPr>
        <w:t>, B. and Delcour, J. A. (2015): Wheat flour and vital wheat gluten as biscuit ingredients. In </w:t>
      </w:r>
      <w:r>
        <w:rPr>
          <w:rFonts w:ascii="Times New Roman" w:hAnsi="Times New Roman" w:cs="Times New Roman"/>
          <w:i/>
          <w:iCs/>
          <w:sz w:val="20"/>
          <w:szCs w:val="20"/>
          <w:shd w:val="clear" w:color="auto" w:fill="FFFFFF"/>
        </w:rPr>
        <w:t>Manley’s technology of biscuits, crackers and cookies</w:t>
      </w:r>
      <w:r>
        <w:rPr>
          <w:rFonts w:ascii="Times New Roman" w:hAnsi="Times New Roman" w:cs="Times New Roman"/>
          <w:sz w:val="20"/>
          <w:szCs w:val="20"/>
          <w:shd w:val="clear" w:color="auto" w:fill="FFFFFF"/>
        </w:rPr>
        <w:t> (pp. 10</w:t>
      </w:r>
      <w:r>
        <w:rPr>
          <w:rFonts w:ascii="Times New Roman" w:hAnsi="Times New Roman" w:cs="Times New Roman"/>
          <w:sz w:val="20"/>
          <w:szCs w:val="20"/>
          <w:shd w:val="clear" w:color="auto" w:fill="FFFFFF"/>
        </w:rPr>
        <w:t>9-133): Woodhead Publishing.</w:t>
      </w:r>
    </w:p>
    <w:p w14:paraId="4AE31C8F"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Nwanagba, E. C., </w:t>
      </w:r>
      <w:proofErr w:type="spellStart"/>
      <w:r>
        <w:rPr>
          <w:rFonts w:ascii="Times New Roman" w:hAnsi="Times New Roman" w:cs="Times New Roman"/>
          <w:sz w:val="20"/>
          <w:szCs w:val="20"/>
        </w:rPr>
        <w:t>Umego</w:t>
      </w:r>
      <w:proofErr w:type="spellEnd"/>
      <w:r>
        <w:rPr>
          <w:rFonts w:ascii="Times New Roman" w:hAnsi="Times New Roman" w:cs="Times New Roman"/>
          <w:sz w:val="20"/>
          <w:szCs w:val="20"/>
        </w:rPr>
        <w:t xml:space="preserve">, C. F., Odo, C. E. and Olawale, A. (2022): Quality evaluation of cookies produced from wheat–oat composite flour sweetened with date syrup. </w:t>
      </w:r>
      <w:r>
        <w:rPr>
          <w:rFonts w:ascii="Times New Roman" w:hAnsi="Times New Roman" w:cs="Times New Roman"/>
          <w:i/>
          <w:iCs/>
          <w:sz w:val="20"/>
          <w:szCs w:val="20"/>
        </w:rPr>
        <w:t>Nigerian Agricultural Journal, 53</w:t>
      </w:r>
      <w:r>
        <w:rPr>
          <w:rFonts w:ascii="Times New Roman" w:hAnsi="Times New Roman" w:cs="Times New Roman"/>
          <w:sz w:val="20"/>
          <w:szCs w:val="20"/>
        </w:rPr>
        <w:t>(2): 73–80.</w:t>
      </w:r>
    </w:p>
    <w:p w14:paraId="05CB7909"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Okoye, J. I., Nkwoc</w:t>
      </w:r>
      <w:r>
        <w:rPr>
          <w:rFonts w:ascii="Times New Roman" w:hAnsi="Times New Roman" w:cs="Times New Roman"/>
          <w:sz w:val="20"/>
          <w:szCs w:val="20"/>
        </w:rPr>
        <w:t xml:space="preserve">ha, A. C. and Ogbonna, A. C. (2019): Production, proximate composition and sensory properties of biscuits from wheat, sesame and unripe plantain composite flours. </w:t>
      </w:r>
      <w:r>
        <w:rPr>
          <w:rFonts w:ascii="Times New Roman" w:hAnsi="Times New Roman" w:cs="Times New Roman"/>
          <w:i/>
          <w:iCs/>
          <w:sz w:val="20"/>
          <w:szCs w:val="20"/>
        </w:rPr>
        <w:t>International Journal of Food Science and Biotechnology, 4</w:t>
      </w:r>
      <w:r>
        <w:rPr>
          <w:rFonts w:ascii="Times New Roman" w:hAnsi="Times New Roman" w:cs="Times New Roman"/>
          <w:sz w:val="20"/>
          <w:szCs w:val="20"/>
        </w:rPr>
        <w:t>(1): 14–20.</w:t>
      </w:r>
    </w:p>
    <w:p w14:paraId="69EF1500" w14:textId="77777777" w:rsidR="007628E0" w:rsidRDefault="00A56C92">
      <w:pPr>
        <w:spacing w:before="240" w:line="240" w:lineRule="auto"/>
        <w:ind w:left="720" w:hanging="720"/>
        <w:jc w:val="both"/>
        <w:rPr>
          <w:rFonts w:ascii="Times New Roman" w:hAnsi="Times New Roman" w:cs="Times New Roman"/>
          <w:sz w:val="20"/>
          <w:szCs w:val="20"/>
        </w:rPr>
      </w:pPr>
      <w:bookmarkStart w:id="9" w:name="_Hlk199872251"/>
      <w:r>
        <w:rPr>
          <w:rFonts w:ascii="Times New Roman" w:hAnsi="Times New Roman" w:cs="Times New Roman"/>
          <w:sz w:val="20"/>
          <w:szCs w:val="20"/>
        </w:rPr>
        <w:t>Olufemi</w:t>
      </w:r>
      <w:bookmarkEnd w:id="9"/>
      <w:r>
        <w:rPr>
          <w:rFonts w:ascii="Times New Roman" w:hAnsi="Times New Roman" w:cs="Times New Roman"/>
          <w:sz w:val="20"/>
          <w:szCs w:val="20"/>
        </w:rPr>
        <w:t xml:space="preserve">, O. S. (2024): </w:t>
      </w:r>
      <w:r>
        <w:rPr>
          <w:rFonts w:ascii="Times New Roman" w:hAnsi="Times New Roman" w:cs="Times New Roman"/>
          <w:sz w:val="20"/>
          <w:szCs w:val="20"/>
        </w:rPr>
        <w:t>Exploring banana production in Africa for food security and economic growth: A short review. </w:t>
      </w:r>
      <w:r>
        <w:rPr>
          <w:rFonts w:ascii="Times New Roman" w:hAnsi="Times New Roman" w:cs="Times New Roman"/>
          <w:i/>
          <w:iCs/>
          <w:sz w:val="20"/>
          <w:szCs w:val="20"/>
        </w:rPr>
        <w:t>Food Nutrition Chemistry</w:t>
      </w:r>
      <w:r>
        <w:rPr>
          <w:rFonts w:ascii="Times New Roman" w:hAnsi="Times New Roman" w:cs="Times New Roman"/>
          <w:sz w:val="20"/>
          <w:szCs w:val="20"/>
        </w:rPr>
        <w:t>, </w:t>
      </w:r>
      <w:r>
        <w:rPr>
          <w:rFonts w:ascii="Times New Roman" w:hAnsi="Times New Roman" w:cs="Times New Roman"/>
          <w:i/>
          <w:iCs/>
          <w:sz w:val="20"/>
          <w:szCs w:val="20"/>
        </w:rPr>
        <w:t>2</w:t>
      </w:r>
      <w:r>
        <w:rPr>
          <w:rFonts w:ascii="Times New Roman" w:hAnsi="Times New Roman" w:cs="Times New Roman"/>
          <w:sz w:val="20"/>
          <w:szCs w:val="20"/>
        </w:rPr>
        <w:t>(1): 125.</w:t>
      </w:r>
    </w:p>
    <w:p w14:paraId="14058CD3" w14:textId="77777777" w:rsidR="007628E0" w:rsidRDefault="00A56C92">
      <w:pPr>
        <w:spacing w:before="240" w:line="240" w:lineRule="auto"/>
        <w:ind w:left="720" w:hanging="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Ostermann-Porcel, M. V., Quiroga-Panelo, N., </w:t>
      </w:r>
      <w:proofErr w:type="spellStart"/>
      <w:r>
        <w:rPr>
          <w:rFonts w:ascii="Times New Roman" w:hAnsi="Times New Roman" w:cs="Times New Roman"/>
          <w:sz w:val="20"/>
          <w:szCs w:val="20"/>
          <w:shd w:val="clear" w:color="auto" w:fill="FFFFFF"/>
        </w:rPr>
        <w:t>Rinaldoni</w:t>
      </w:r>
      <w:proofErr w:type="spellEnd"/>
      <w:r>
        <w:rPr>
          <w:rFonts w:ascii="Times New Roman" w:hAnsi="Times New Roman" w:cs="Times New Roman"/>
          <w:sz w:val="20"/>
          <w:szCs w:val="20"/>
          <w:shd w:val="clear" w:color="auto" w:fill="FFFFFF"/>
        </w:rPr>
        <w:t xml:space="preserve">, A. N. and </w:t>
      </w:r>
      <w:proofErr w:type="spellStart"/>
      <w:r>
        <w:rPr>
          <w:rFonts w:ascii="Times New Roman" w:hAnsi="Times New Roman" w:cs="Times New Roman"/>
          <w:sz w:val="20"/>
          <w:szCs w:val="20"/>
          <w:shd w:val="clear" w:color="auto" w:fill="FFFFFF"/>
        </w:rPr>
        <w:t>Campderrós</w:t>
      </w:r>
      <w:proofErr w:type="spellEnd"/>
      <w:r>
        <w:rPr>
          <w:rFonts w:ascii="Times New Roman" w:hAnsi="Times New Roman" w:cs="Times New Roman"/>
          <w:sz w:val="20"/>
          <w:szCs w:val="20"/>
          <w:shd w:val="clear" w:color="auto" w:fill="FFFFFF"/>
        </w:rPr>
        <w:t xml:space="preserve">, M. E. (2017): Incorporation of Okara into </w:t>
      </w:r>
      <w:r>
        <w:rPr>
          <w:rFonts w:ascii="Times New Roman" w:hAnsi="Times New Roman" w:cs="Times New Roman"/>
          <w:sz w:val="20"/>
          <w:szCs w:val="20"/>
          <w:shd w:val="clear" w:color="auto" w:fill="FFFFFF"/>
        </w:rPr>
        <w:t>gluten-free cookies with high quality and nutritional value. </w:t>
      </w:r>
      <w:r>
        <w:rPr>
          <w:rFonts w:ascii="Times New Roman" w:hAnsi="Times New Roman" w:cs="Times New Roman"/>
          <w:i/>
          <w:iCs/>
          <w:sz w:val="20"/>
          <w:szCs w:val="20"/>
          <w:shd w:val="clear" w:color="auto" w:fill="FFFFFF"/>
        </w:rPr>
        <w:t>Journal of Food Quality</w:t>
      </w:r>
      <w:r>
        <w:rPr>
          <w:rFonts w:ascii="Times New Roman" w:hAnsi="Times New Roman" w:cs="Times New Roman"/>
          <w:sz w:val="20"/>
          <w:szCs w:val="20"/>
          <w:shd w:val="clear" w:color="auto" w:fill="FFFFFF"/>
        </w:rPr>
        <w:t>, </w:t>
      </w:r>
      <w:r>
        <w:rPr>
          <w:rFonts w:ascii="Times New Roman" w:hAnsi="Times New Roman" w:cs="Times New Roman"/>
          <w:i/>
          <w:iCs/>
          <w:sz w:val="20"/>
          <w:szCs w:val="20"/>
          <w:shd w:val="clear" w:color="auto" w:fill="FFFFFF"/>
        </w:rPr>
        <w:t>2017</w:t>
      </w:r>
      <w:r>
        <w:rPr>
          <w:rFonts w:ascii="Times New Roman" w:hAnsi="Times New Roman" w:cs="Times New Roman"/>
          <w:sz w:val="20"/>
          <w:szCs w:val="20"/>
          <w:shd w:val="clear" w:color="auto" w:fill="FFFFFF"/>
        </w:rPr>
        <w:t>.</w:t>
      </w:r>
    </w:p>
    <w:p w14:paraId="33F83CBD" w14:textId="77777777" w:rsidR="007628E0" w:rsidRDefault="00A56C92">
      <w:pPr>
        <w:spacing w:before="24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Quan, Z., Li, C., Zhao, L., Cui, D., Liu, S., Yin, Y. and Fu, X. (2024): Effect of banana intake on serum potassium level in patients undergoing maintenance hemodia</w:t>
      </w:r>
      <w:r>
        <w:rPr>
          <w:rFonts w:ascii="Times New Roman" w:hAnsi="Times New Roman" w:cs="Times New Roman"/>
          <w:sz w:val="20"/>
          <w:szCs w:val="20"/>
        </w:rPr>
        <w:t>lysis: A randomized controlled trial. </w:t>
      </w:r>
      <w:r>
        <w:rPr>
          <w:rFonts w:ascii="Times New Roman" w:hAnsi="Times New Roman" w:cs="Times New Roman"/>
          <w:i/>
          <w:iCs/>
          <w:sz w:val="20"/>
          <w:szCs w:val="20"/>
        </w:rPr>
        <w:t>International Journal of Nursing Sciences</w:t>
      </w:r>
      <w:r>
        <w:rPr>
          <w:rFonts w:ascii="Times New Roman" w:hAnsi="Times New Roman" w:cs="Times New Roman"/>
          <w:sz w:val="20"/>
          <w:szCs w:val="20"/>
        </w:rPr>
        <w:t>, </w:t>
      </w:r>
      <w:r>
        <w:rPr>
          <w:rFonts w:ascii="Times New Roman" w:hAnsi="Times New Roman" w:cs="Times New Roman"/>
          <w:i/>
          <w:iCs/>
          <w:sz w:val="20"/>
          <w:szCs w:val="20"/>
        </w:rPr>
        <w:t>11</w:t>
      </w:r>
      <w:r>
        <w:rPr>
          <w:rFonts w:ascii="Times New Roman" w:hAnsi="Times New Roman" w:cs="Times New Roman"/>
          <w:sz w:val="20"/>
          <w:szCs w:val="20"/>
        </w:rPr>
        <w:t>(2): 197-204.</w:t>
      </w:r>
    </w:p>
    <w:p w14:paraId="553F0071" w14:textId="77777777" w:rsidR="007628E0" w:rsidRDefault="00A56C92">
      <w:pPr>
        <w:spacing w:before="24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Ranjha, M. M. A. N., Irfan, S., Nadeem, M. and Mahmood, S. (2022): A comprehensive review on nutritional value, medicinal uses, and processing of banana. </w:t>
      </w:r>
      <w:r>
        <w:rPr>
          <w:rFonts w:ascii="Times New Roman" w:hAnsi="Times New Roman" w:cs="Times New Roman"/>
          <w:i/>
          <w:iCs/>
          <w:sz w:val="20"/>
          <w:szCs w:val="20"/>
        </w:rPr>
        <w:t xml:space="preserve">Food </w:t>
      </w:r>
      <w:r>
        <w:rPr>
          <w:rFonts w:ascii="Times New Roman" w:hAnsi="Times New Roman" w:cs="Times New Roman"/>
          <w:i/>
          <w:iCs/>
          <w:sz w:val="20"/>
          <w:szCs w:val="20"/>
        </w:rPr>
        <w:t>Reviews International</w:t>
      </w:r>
      <w:r>
        <w:rPr>
          <w:rFonts w:ascii="Times New Roman" w:hAnsi="Times New Roman" w:cs="Times New Roman"/>
          <w:sz w:val="20"/>
          <w:szCs w:val="20"/>
        </w:rPr>
        <w:t>, </w:t>
      </w:r>
      <w:r>
        <w:rPr>
          <w:rFonts w:ascii="Times New Roman" w:hAnsi="Times New Roman" w:cs="Times New Roman"/>
          <w:i/>
          <w:iCs/>
          <w:sz w:val="20"/>
          <w:szCs w:val="20"/>
        </w:rPr>
        <w:t>38</w:t>
      </w:r>
      <w:r>
        <w:rPr>
          <w:rFonts w:ascii="Times New Roman" w:hAnsi="Times New Roman" w:cs="Times New Roman"/>
          <w:sz w:val="20"/>
          <w:szCs w:val="20"/>
        </w:rPr>
        <w:t>(2): 199-225.</w:t>
      </w:r>
    </w:p>
    <w:p w14:paraId="6D00CA76" w14:textId="77777777" w:rsidR="007628E0" w:rsidRDefault="00A56C92">
      <w:pPr>
        <w:spacing w:before="24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Shrestha, A. K. and </w:t>
      </w:r>
      <w:proofErr w:type="spellStart"/>
      <w:r>
        <w:rPr>
          <w:rFonts w:ascii="Times New Roman" w:hAnsi="Times New Roman" w:cs="Times New Roman"/>
          <w:sz w:val="20"/>
          <w:szCs w:val="20"/>
        </w:rPr>
        <w:t>Noomhorm</w:t>
      </w:r>
      <w:proofErr w:type="spellEnd"/>
      <w:r>
        <w:rPr>
          <w:rFonts w:ascii="Times New Roman" w:hAnsi="Times New Roman" w:cs="Times New Roman"/>
          <w:sz w:val="20"/>
          <w:szCs w:val="20"/>
        </w:rPr>
        <w:t xml:space="preserve">, A. (2002): Comparison of </w:t>
      </w:r>
      <w:proofErr w:type="spellStart"/>
      <w:r>
        <w:rPr>
          <w:rFonts w:ascii="Times New Roman" w:hAnsi="Times New Roman" w:cs="Times New Roman"/>
          <w:sz w:val="20"/>
          <w:szCs w:val="20"/>
        </w:rPr>
        <w:t>physico</w:t>
      </w:r>
      <w:proofErr w:type="spellEnd"/>
      <w:r>
        <w:rPr>
          <w:rFonts w:ascii="Times New Roman" w:hAnsi="Times New Roman" w:cs="Times New Roman"/>
          <w:sz w:val="20"/>
          <w:szCs w:val="20"/>
        </w:rPr>
        <w:t xml:space="preserve">-chemical properties of biscuits supplemented with soy and Kinema flours. </w:t>
      </w:r>
      <w:r>
        <w:rPr>
          <w:rFonts w:ascii="Times New Roman" w:hAnsi="Times New Roman" w:cs="Times New Roman"/>
          <w:i/>
          <w:sz w:val="20"/>
          <w:szCs w:val="20"/>
        </w:rPr>
        <w:t xml:space="preserve">International Journal of Food Science and Technology. 37(4):361-368. </w:t>
      </w:r>
      <w:r>
        <w:rPr>
          <w:rFonts w:ascii="Times New Roman" w:hAnsi="Times New Roman" w:cs="Times New Roman"/>
          <w:sz w:val="20"/>
          <w:szCs w:val="20"/>
        </w:rPr>
        <w:t>DOI:10.1046/</w:t>
      </w:r>
      <w:r>
        <w:rPr>
          <w:rFonts w:ascii="Times New Roman" w:hAnsi="Times New Roman" w:cs="Times New Roman"/>
          <w:sz w:val="20"/>
          <w:szCs w:val="20"/>
        </w:rPr>
        <w:t xml:space="preserve">j.1365-2621. 2002. 00574.x </w:t>
      </w:r>
    </w:p>
    <w:p w14:paraId="526401C9" w14:textId="77777777" w:rsidR="007628E0" w:rsidRDefault="00A56C92">
      <w:pPr>
        <w:spacing w:before="240" w:line="240" w:lineRule="auto"/>
        <w:ind w:left="720" w:hanging="720"/>
        <w:jc w:val="both"/>
        <w:rPr>
          <w:rFonts w:ascii="Times New Roman" w:hAnsi="Times New Roman" w:cs="Times New Roman"/>
          <w:sz w:val="20"/>
          <w:szCs w:val="20"/>
        </w:rPr>
      </w:pPr>
      <w:bookmarkStart w:id="10" w:name="_Hlk201687958"/>
      <w:r>
        <w:rPr>
          <w:rFonts w:ascii="Times New Roman" w:hAnsi="Times New Roman" w:cs="Times New Roman"/>
          <w:sz w:val="20"/>
          <w:szCs w:val="20"/>
        </w:rPr>
        <w:t>Soni, N., Kulkarni, A. S. and Patel, L. (2018): Studies on development of high protein cookies. </w:t>
      </w:r>
      <w:r>
        <w:rPr>
          <w:rFonts w:ascii="Times New Roman" w:hAnsi="Times New Roman" w:cs="Times New Roman"/>
          <w:i/>
          <w:iCs/>
          <w:sz w:val="20"/>
          <w:szCs w:val="20"/>
        </w:rPr>
        <w:t>Int J Chem Stud</w:t>
      </w:r>
      <w:r>
        <w:rPr>
          <w:rFonts w:ascii="Times New Roman" w:hAnsi="Times New Roman" w:cs="Times New Roman"/>
          <w:sz w:val="20"/>
          <w:szCs w:val="20"/>
        </w:rPr>
        <w:t>, </w:t>
      </w:r>
      <w:r>
        <w:rPr>
          <w:rFonts w:ascii="Times New Roman" w:hAnsi="Times New Roman" w:cs="Times New Roman"/>
          <w:i/>
          <w:iCs/>
          <w:sz w:val="20"/>
          <w:szCs w:val="20"/>
        </w:rPr>
        <w:t>6</w:t>
      </w:r>
      <w:r>
        <w:rPr>
          <w:rFonts w:ascii="Times New Roman" w:hAnsi="Times New Roman" w:cs="Times New Roman"/>
          <w:sz w:val="20"/>
          <w:szCs w:val="20"/>
        </w:rPr>
        <w:t>(6): 439-444.</w:t>
      </w:r>
    </w:p>
    <w:bookmarkEnd w:id="10"/>
    <w:p w14:paraId="61A54BAB"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Xiong, S., Li, J., Xu, J., Zhou, Y., &amp; Liao, L. (2023): Effect of </w:t>
      </w:r>
      <w:proofErr w:type="spellStart"/>
      <w:r>
        <w:rPr>
          <w:rFonts w:ascii="Times New Roman" w:hAnsi="Times New Roman" w:cs="Times New Roman"/>
          <w:sz w:val="20"/>
          <w:szCs w:val="20"/>
        </w:rPr>
        <w:t>Huangjing</w:t>
      </w:r>
      <w:proofErr w:type="spellEnd"/>
      <w:r>
        <w:rPr>
          <w:rFonts w:ascii="Times New Roman" w:hAnsi="Times New Roman" w:cs="Times New Roman"/>
          <w:sz w:val="20"/>
          <w:szCs w:val="20"/>
        </w:rPr>
        <w:t xml:space="preserve"> flour substitution on the physicochemical, textural and sensory properties of cookies. </w:t>
      </w:r>
      <w:r>
        <w:rPr>
          <w:rFonts w:ascii="Times New Roman" w:hAnsi="Times New Roman" w:cs="Times New Roman"/>
          <w:i/>
          <w:iCs/>
          <w:sz w:val="20"/>
          <w:szCs w:val="20"/>
        </w:rPr>
        <w:t>LWT – Food Science and Technology, 187</w:t>
      </w:r>
      <w:r>
        <w:rPr>
          <w:rFonts w:ascii="Times New Roman" w:hAnsi="Times New Roman" w:cs="Times New Roman"/>
          <w:sz w:val="20"/>
          <w:szCs w:val="20"/>
        </w:rPr>
        <w:t>, 115061.</w:t>
      </w:r>
    </w:p>
    <w:p w14:paraId="1D54BC2F"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Yusuf, S. I., </w:t>
      </w:r>
      <w:proofErr w:type="spellStart"/>
      <w:r>
        <w:rPr>
          <w:rFonts w:ascii="Times New Roman" w:hAnsi="Times New Roman" w:cs="Times New Roman"/>
          <w:sz w:val="20"/>
          <w:szCs w:val="20"/>
        </w:rPr>
        <w:t>Akinoso</w:t>
      </w:r>
      <w:proofErr w:type="spellEnd"/>
      <w:r>
        <w:rPr>
          <w:rFonts w:ascii="Times New Roman" w:hAnsi="Times New Roman" w:cs="Times New Roman"/>
          <w:sz w:val="20"/>
          <w:szCs w:val="20"/>
        </w:rPr>
        <w:t>, R. and Adebowale, O. J. (2023): Development and quality evaluation of cookies produced from sorgh</w:t>
      </w:r>
      <w:r>
        <w:rPr>
          <w:rFonts w:ascii="Times New Roman" w:hAnsi="Times New Roman" w:cs="Times New Roman"/>
          <w:sz w:val="20"/>
          <w:szCs w:val="20"/>
        </w:rPr>
        <w:t xml:space="preserve">um–unripe banana–defatted sesame seed composite flour blends. </w:t>
      </w:r>
      <w:r>
        <w:rPr>
          <w:rFonts w:ascii="Times New Roman" w:hAnsi="Times New Roman" w:cs="Times New Roman"/>
          <w:i/>
          <w:iCs/>
          <w:sz w:val="20"/>
          <w:szCs w:val="20"/>
        </w:rPr>
        <w:t>Food Production, Processing and Nutrition, 5</w:t>
      </w:r>
      <w:r>
        <w:rPr>
          <w:rFonts w:ascii="Times New Roman" w:hAnsi="Times New Roman" w:cs="Times New Roman"/>
          <w:sz w:val="20"/>
          <w:szCs w:val="20"/>
        </w:rPr>
        <w:t xml:space="preserve">, 29. </w:t>
      </w:r>
    </w:p>
    <w:p w14:paraId="56C4217A" w14:textId="77777777" w:rsidR="007628E0" w:rsidRDefault="007628E0">
      <w:pPr>
        <w:ind w:left="720" w:hanging="720"/>
        <w:jc w:val="both"/>
        <w:rPr>
          <w:rFonts w:ascii="Times New Roman" w:hAnsi="Times New Roman" w:cs="Times New Roman"/>
        </w:rPr>
      </w:pPr>
    </w:p>
    <w:p w14:paraId="3D452D52" w14:textId="77777777" w:rsidR="007628E0" w:rsidRDefault="007628E0">
      <w:pPr>
        <w:spacing w:after="0" w:line="480" w:lineRule="auto"/>
        <w:jc w:val="both"/>
        <w:rPr>
          <w:rFonts w:ascii="Times New Roman" w:hAnsi="Times New Roman" w:cs="Times New Roman"/>
          <w:sz w:val="20"/>
          <w:szCs w:val="20"/>
        </w:rPr>
      </w:pPr>
    </w:p>
    <w:p w14:paraId="21E88120" w14:textId="77777777" w:rsidR="007628E0" w:rsidRDefault="007628E0">
      <w:pPr>
        <w:spacing w:line="240" w:lineRule="auto"/>
        <w:jc w:val="both"/>
        <w:rPr>
          <w:rFonts w:ascii="Times New Roman" w:hAnsi="Times New Roman" w:cs="Times New Roman"/>
          <w:b/>
          <w:color w:val="000000" w:themeColor="text1"/>
        </w:rPr>
      </w:pPr>
    </w:p>
    <w:sectPr w:rsidR="007628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B26E9" w14:textId="77777777" w:rsidR="00A56C92" w:rsidRDefault="00A56C92">
      <w:pPr>
        <w:spacing w:line="240" w:lineRule="auto"/>
      </w:pPr>
      <w:r>
        <w:separator/>
      </w:r>
    </w:p>
  </w:endnote>
  <w:endnote w:type="continuationSeparator" w:id="0">
    <w:p w14:paraId="4DE5CF09" w14:textId="77777777" w:rsidR="00A56C92" w:rsidRDefault="00A56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3B3BE" w14:textId="77777777" w:rsidR="00DA438C" w:rsidRDefault="00DA4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46593" w14:textId="77777777" w:rsidR="007628E0" w:rsidRDefault="00A56C92">
    <w:pPr>
      <w:pStyle w:val="Footer"/>
    </w:pPr>
    <w:r>
      <w:rPr>
        <w:noProof/>
      </w:rPr>
      <mc:AlternateContent>
        <mc:Choice Requires="wps">
          <w:drawing>
            <wp:anchor distT="0" distB="0" distL="114300" distR="114300" simplePos="0" relativeHeight="251659264" behindDoc="0" locked="0" layoutInCell="1" allowOverlap="1" wp14:anchorId="14D54AF8" wp14:editId="55A9B740">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80410" w14:textId="77777777" w:rsidR="007628E0" w:rsidRDefault="00A56C92">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D54AF8"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6AE80410" w14:textId="77777777" w:rsidR="007628E0" w:rsidRDefault="00A56C92">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81191" w14:textId="77777777" w:rsidR="00DA438C" w:rsidRDefault="00DA4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A1ABB" w14:textId="77777777" w:rsidR="00A56C92" w:rsidRDefault="00A56C92">
      <w:pPr>
        <w:spacing w:after="0"/>
      </w:pPr>
      <w:r>
        <w:separator/>
      </w:r>
    </w:p>
  </w:footnote>
  <w:footnote w:type="continuationSeparator" w:id="0">
    <w:p w14:paraId="0C83CFC8" w14:textId="77777777" w:rsidR="00A56C92" w:rsidRDefault="00A56C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763A" w14:textId="12B5CED7" w:rsidR="00DA438C" w:rsidRDefault="00DA438C">
    <w:pPr>
      <w:pStyle w:val="Header"/>
    </w:pPr>
    <w:r>
      <w:rPr>
        <w:noProof/>
      </w:rPr>
      <w:pict w14:anchorId="49170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C00A4" w14:textId="6F32B07D" w:rsidR="00DA438C" w:rsidRDefault="00DA438C">
    <w:pPr>
      <w:pStyle w:val="Header"/>
    </w:pPr>
    <w:r>
      <w:rPr>
        <w:noProof/>
      </w:rPr>
      <w:pict w14:anchorId="1C511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9D413" w14:textId="50B2D8E1" w:rsidR="00DA438C" w:rsidRDefault="00DA438C">
    <w:pPr>
      <w:pStyle w:val="Header"/>
    </w:pPr>
    <w:r>
      <w:rPr>
        <w:noProof/>
      </w:rPr>
      <w:pict w14:anchorId="4B748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A08"/>
    <w:rsid w:val="0001328E"/>
    <w:rsid w:val="00022659"/>
    <w:rsid w:val="00026F55"/>
    <w:rsid w:val="00035798"/>
    <w:rsid w:val="00061372"/>
    <w:rsid w:val="00066AEF"/>
    <w:rsid w:val="000676D8"/>
    <w:rsid w:val="00071DDD"/>
    <w:rsid w:val="000A04A6"/>
    <w:rsid w:val="000B62EC"/>
    <w:rsid w:val="000D23A7"/>
    <w:rsid w:val="000D7FCA"/>
    <w:rsid w:val="000E2D61"/>
    <w:rsid w:val="00166BA3"/>
    <w:rsid w:val="001B07A0"/>
    <w:rsid w:val="001E0A09"/>
    <w:rsid w:val="001E54AE"/>
    <w:rsid w:val="002000D6"/>
    <w:rsid w:val="0020336D"/>
    <w:rsid w:val="002176F5"/>
    <w:rsid w:val="00222EDC"/>
    <w:rsid w:val="00226108"/>
    <w:rsid w:val="00236167"/>
    <w:rsid w:val="0025522E"/>
    <w:rsid w:val="00266FB6"/>
    <w:rsid w:val="00293089"/>
    <w:rsid w:val="002A2178"/>
    <w:rsid w:val="002D6688"/>
    <w:rsid w:val="00302318"/>
    <w:rsid w:val="00364B1E"/>
    <w:rsid w:val="003651DD"/>
    <w:rsid w:val="003833C8"/>
    <w:rsid w:val="003939A3"/>
    <w:rsid w:val="003F4002"/>
    <w:rsid w:val="00421E06"/>
    <w:rsid w:val="00441CD2"/>
    <w:rsid w:val="00447CD5"/>
    <w:rsid w:val="00452753"/>
    <w:rsid w:val="00477660"/>
    <w:rsid w:val="004776A7"/>
    <w:rsid w:val="00477FD1"/>
    <w:rsid w:val="00490F06"/>
    <w:rsid w:val="004D4E94"/>
    <w:rsid w:val="004F6E75"/>
    <w:rsid w:val="00503233"/>
    <w:rsid w:val="005204E2"/>
    <w:rsid w:val="00520B35"/>
    <w:rsid w:val="00541CB9"/>
    <w:rsid w:val="00580382"/>
    <w:rsid w:val="00590D61"/>
    <w:rsid w:val="005A4214"/>
    <w:rsid w:val="005A5297"/>
    <w:rsid w:val="005C3728"/>
    <w:rsid w:val="005F19A6"/>
    <w:rsid w:val="00601026"/>
    <w:rsid w:val="00605BE5"/>
    <w:rsid w:val="00614E77"/>
    <w:rsid w:val="00616517"/>
    <w:rsid w:val="006404AE"/>
    <w:rsid w:val="00663F33"/>
    <w:rsid w:val="006752A1"/>
    <w:rsid w:val="00676FC0"/>
    <w:rsid w:val="0068142E"/>
    <w:rsid w:val="006B7C26"/>
    <w:rsid w:val="006F40DD"/>
    <w:rsid w:val="00701255"/>
    <w:rsid w:val="00707164"/>
    <w:rsid w:val="00742E50"/>
    <w:rsid w:val="007432CA"/>
    <w:rsid w:val="007628E0"/>
    <w:rsid w:val="0079459E"/>
    <w:rsid w:val="007A1252"/>
    <w:rsid w:val="007A5039"/>
    <w:rsid w:val="007C121E"/>
    <w:rsid w:val="007C2FE0"/>
    <w:rsid w:val="007D2C9D"/>
    <w:rsid w:val="007E332F"/>
    <w:rsid w:val="00802CBF"/>
    <w:rsid w:val="00804B18"/>
    <w:rsid w:val="008144FC"/>
    <w:rsid w:val="00825612"/>
    <w:rsid w:val="00825D26"/>
    <w:rsid w:val="0084006C"/>
    <w:rsid w:val="00840EC5"/>
    <w:rsid w:val="00872E73"/>
    <w:rsid w:val="00873D84"/>
    <w:rsid w:val="008773BD"/>
    <w:rsid w:val="00893F3C"/>
    <w:rsid w:val="008B2575"/>
    <w:rsid w:val="008B3437"/>
    <w:rsid w:val="008B772C"/>
    <w:rsid w:val="008D0E79"/>
    <w:rsid w:val="00973794"/>
    <w:rsid w:val="009752D9"/>
    <w:rsid w:val="00980567"/>
    <w:rsid w:val="009A53BD"/>
    <w:rsid w:val="009B6328"/>
    <w:rsid w:val="009D2BE2"/>
    <w:rsid w:val="00A0777A"/>
    <w:rsid w:val="00A347B8"/>
    <w:rsid w:val="00A56C92"/>
    <w:rsid w:val="00A56EAB"/>
    <w:rsid w:val="00A66F56"/>
    <w:rsid w:val="00A67C4B"/>
    <w:rsid w:val="00A8531C"/>
    <w:rsid w:val="00AA4F50"/>
    <w:rsid w:val="00B025DD"/>
    <w:rsid w:val="00B37FBA"/>
    <w:rsid w:val="00B64F00"/>
    <w:rsid w:val="00B714C6"/>
    <w:rsid w:val="00B71C03"/>
    <w:rsid w:val="00B7315D"/>
    <w:rsid w:val="00B752E9"/>
    <w:rsid w:val="00B96F10"/>
    <w:rsid w:val="00BA074E"/>
    <w:rsid w:val="00BA354A"/>
    <w:rsid w:val="00C14FA2"/>
    <w:rsid w:val="00C34155"/>
    <w:rsid w:val="00C3659A"/>
    <w:rsid w:val="00C57B84"/>
    <w:rsid w:val="00C81FDB"/>
    <w:rsid w:val="00CA2603"/>
    <w:rsid w:val="00CB176C"/>
    <w:rsid w:val="00CE17BE"/>
    <w:rsid w:val="00CF0BD6"/>
    <w:rsid w:val="00D2577A"/>
    <w:rsid w:val="00D61B24"/>
    <w:rsid w:val="00D634A3"/>
    <w:rsid w:val="00D64694"/>
    <w:rsid w:val="00D92D4E"/>
    <w:rsid w:val="00DA438C"/>
    <w:rsid w:val="00DE3078"/>
    <w:rsid w:val="00DE4530"/>
    <w:rsid w:val="00DE6862"/>
    <w:rsid w:val="00E10A08"/>
    <w:rsid w:val="00E4174C"/>
    <w:rsid w:val="00E6508A"/>
    <w:rsid w:val="00E67815"/>
    <w:rsid w:val="00E73135"/>
    <w:rsid w:val="00E8602B"/>
    <w:rsid w:val="00EA7316"/>
    <w:rsid w:val="00EB0EE3"/>
    <w:rsid w:val="00ED2BCF"/>
    <w:rsid w:val="00F01D10"/>
    <w:rsid w:val="00F04C0B"/>
    <w:rsid w:val="00F11AE6"/>
    <w:rsid w:val="00F234F4"/>
    <w:rsid w:val="00F35F93"/>
    <w:rsid w:val="00F37E08"/>
    <w:rsid w:val="00F43A6E"/>
    <w:rsid w:val="00F46843"/>
    <w:rsid w:val="00F622B5"/>
    <w:rsid w:val="00F9194C"/>
    <w:rsid w:val="00FA687F"/>
    <w:rsid w:val="00FB3FCA"/>
    <w:rsid w:val="00FC49FC"/>
    <w:rsid w:val="00FF539B"/>
    <w:rsid w:val="00FF6034"/>
    <w:rsid w:val="04A26E27"/>
    <w:rsid w:val="06BF391E"/>
    <w:rsid w:val="0D714A1C"/>
    <w:rsid w:val="0EBC11BB"/>
    <w:rsid w:val="0F950E9E"/>
    <w:rsid w:val="154E1A04"/>
    <w:rsid w:val="1D6567C6"/>
    <w:rsid w:val="1D886CD2"/>
    <w:rsid w:val="1DB765D0"/>
    <w:rsid w:val="214B19AF"/>
    <w:rsid w:val="28AB4A44"/>
    <w:rsid w:val="2DFC6E80"/>
    <w:rsid w:val="2F5716BB"/>
    <w:rsid w:val="30CC4A9F"/>
    <w:rsid w:val="33F870CD"/>
    <w:rsid w:val="35DF02EF"/>
    <w:rsid w:val="39741150"/>
    <w:rsid w:val="3DBC52D8"/>
    <w:rsid w:val="42465FED"/>
    <w:rsid w:val="4265497C"/>
    <w:rsid w:val="439D5CFD"/>
    <w:rsid w:val="4A1B4023"/>
    <w:rsid w:val="4B182C41"/>
    <w:rsid w:val="4B876778"/>
    <w:rsid w:val="5219153F"/>
    <w:rsid w:val="526428B8"/>
    <w:rsid w:val="53E21E30"/>
    <w:rsid w:val="5FC22099"/>
    <w:rsid w:val="66135703"/>
    <w:rsid w:val="696D3286"/>
    <w:rsid w:val="6C5E57D7"/>
    <w:rsid w:val="6E293B49"/>
    <w:rsid w:val="6E7603C5"/>
    <w:rsid w:val="6EE51CFE"/>
    <w:rsid w:val="6F2C4671"/>
    <w:rsid w:val="70A94E62"/>
    <w:rsid w:val="751D5331"/>
    <w:rsid w:val="7B646D7F"/>
    <w:rsid w:val="7ED3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A3587D"/>
  <w15:docId w15:val="{347CD720-9844-493A-A1CD-AA0AEC05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spacing w:line="480" w:lineRule="auto"/>
      <w:jc w:val="both"/>
      <w:outlineLvl w:val="0"/>
    </w:pPr>
    <w:rPr>
      <w:rFonts w:ascii="Times New Roman" w:hAnsi="Times New Roman" w:cs="Times New Roman"/>
      <w:b/>
      <w:bC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customStyle="1" w:styleId="Heading1Char">
    <w:name w:val="Heading 1 Char"/>
    <w:basedOn w:val="DefaultParagraphFont"/>
    <w:link w:val="Heading1"/>
    <w:uiPriority w:val="9"/>
    <w:qFormat/>
    <w:rPr>
      <w:rFonts w:ascii="Times New Roman" w:hAnsi="Times New Roman" w:cs="Times New Roman"/>
      <w:b/>
      <w:bCs/>
      <w:kern w:val="2"/>
      <w:sz w:val="24"/>
      <w:szCs w:val="24"/>
      <w14:ligatures w14:val="standardContextual"/>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kern w:val="2"/>
      <w:sz w:val="26"/>
      <w:szCs w:val="26"/>
      <w14:ligatures w14:val="standardContextual"/>
    </w:rPr>
  </w:style>
  <w:style w:type="paragraph" w:styleId="ListParagraph">
    <w:name w:val="List Paragraph"/>
    <w:basedOn w:val="Normal"/>
    <w:uiPriority w:val="34"/>
    <w:qFormat/>
    <w:pPr>
      <w:ind w:left="720"/>
      <w:contextualSpacing/>
    </w:pPr>
  </w:style>
  <w:style w:type="table" w:customStyle="1" w:styleId="PlainTable21">
    <w:name w:val="Plain Table 21"/>
    <w:basedOn w:val="TableNormal"/>
    <w:uiPriority w:val="42"/>
    <w:qFormat/>
    <w:pPr>
      <w:jc w:val="center"/>
    </w:pPr>
    <w:rPr>
      <w:rFonts w:ascii="Times New Roman" w:hAnsi="Times New Roman"/>
      <w:kern w:val="2"/>
      <w:sz w:val="24"/>
      <w:szCs w:val="24"/>
      <w14:ligatures w14:val="standardContextual"/>
    </w:rPr>
    <w:tblPr>
      <w:tblBorders>
        <w:top w:val="single" w:sz="4" w:space="0" w:color="auto"/>
        <w:bottom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ommentTextChar">
    <w:name w:val="Comment Text Char"/>
    <w:basedOn w:val="DefaultParagraphFont"/>
    <w:link w:val="CommentText"/>
    <w:uiPriority w:val="99"/>
    <w:semiHidden/>
    <w:qFormat/>
    <w:rPr>
      <w:kern w:val="2"/>
      <w:sz w:val="20"/>
      <w:szCs w:val="20"/>
      <w14:ligatures w14:val="standardContextual"/>
    </w:rPr>
  </w:style>
  <w:style w:type="character" w:customStyle="1" w:styleId="BalloonTextChar">
    <w:name w:val="Balloon Text Char"/>
    <w:basedOn w:val="DefaultParagraphFont"/>
    <w:link w:val="BalloonText"/>
    <w:uiPriority w:val="99"/>
    <w:semiHidden/>
    <w:qFormat/>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10</Pages>
  <Words>4969</Words>
  <Characters>28325</Characters>
  <Application>Microsoft Office Word</Application>
  <DocSecurity>0</DocSecurity>
  <Lines>236</Lines>
  <Paragraphs>66</Paragraphs>
  <ScaleCrop>false</ScaleCrop>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ADENIKE PC</dc:creator>
  <cp:lastModifiedBy>SDI 1084</cp:lastModifiedBy>
  <cp:revision>150</cp:revision>
  <dcterms:created xsi:type="dcterms:W3CDTF">2025-11-23T06:48:00Z</dcterms:created>
  <dcterms:modified xsi:type="dcterms:W3CDTF">2026-02-07T09:50:00Z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975F24176F85421F99BD258197E1FE17_12</vt:lpwstr>
  </property>
</Properties>
</file>