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2535" w14:textId="77777777" w:rsidR="00754C9A" w:rsidRDefault="00754C9A" w:rsidP="00441B6F">
      <w:pPr>
        <w:pStyle w:val="Title"/>
        <w:spacing w:after="0"/>
        <w:jc w:val="both"/>
        <w:rPr>
          <w:rFonts w:ascii="Arial" w:hAnsi="Arial" w:cs="Arial"/>
        </w:rPr>
      </w:pPr>
    </w:p>
    <w:p w14:paraId="29A72A3F" w14:textId="77777777" w:rsidR="00C206BB" w:rsidRPr="00C206BB" w:rsidRDefault="00C206BB" w:rsidP="00C206BB">
      <w:pPr>
        <w:pStyle w:val="Author"/>
        <w:rPr>
          <w:rFonts w:ascii="Arial" w:hAnsi="Arial" w:cs="Arial"/>
          <w:bCs/>
          <w:i/>
          <w:iCs/>
          <w:kern w:val="28"/>
          <w:sz w:val="18"/>
          <w:szCs w:val="18"/>
          <w:u w:val="single"/>
        </w:rPr>
      </w:pPr>
      <w:r w:rsidRPr="00C206BB">
        <w:rPr>
          <w:rFonts w:ascii="Arial" w:hAnsi="Arial" w:cs="Arial"/>
          <w:bCs/>
          <w:i/>
          <w:iCs/>
          <w:kern w:val="28"/>
          <w:sz w:val="18"/>
          <w:szCs w:val="18"/>
          <w:u w:val="single"/>
        </w:rPr>
        <w:t>Original Research Article</w:t>
      </w:r>
    </w:p>
    <w:p w14:paraId="58D82131" w14:textId="77777777" w:rsidR="005A2E3C" w:rsidRPr="005A2E3C" w:rsidRDefault="005A2E3C" w:rsidP="005A2E3C">
      <w:pPr>
        <w:pStyle w:val="Author"/>
        <w:spacing w:line="240" w:lineRule="auto"/>
        <w:rPr>
          <w:rFonts w:ascii="Arial" w:hAnsi="Arial" w:cs="Arial"/>
          <w:bCs/>
          <w:iCs/>
          <w:kern w:val="28"/>
          <w:sz w:val="36"/>
        </w:rPr>
      </w:pPr>
      <w:r w:rsidRPr="005A2E3C">
        <w:rPr>
          <w:rFonts w:ascii="Arial" w:hAnsi="Arial" w:cs="Arial"/>
          <w:bCs/>
          <w:iCs/>
          <w:kern w:val="28"/>
          <w:sz w:val="36"/>
        </w:rPr>
        <w:t xml:space="preserve">Elucidation of Anatomical, Phytochemical and Toxicological evaluation of </w:t>
      </w:r>
      <w:r w:rsidRPr="005A2E3C">
        <w:rPr>
          <w:rFonts w:ascii="Arial" w:hAnsi="Arial" w:cs="Arial"/>
          <w:bCs/>
          <w:iCs/>
          <w:kern w:val="28"/>
          <w:sz w:val="36"/>
        </w:rPr>
        <w:br/>
      </w:r>
      <w:proofErr w:type="spellStart"/>
      <w:r w:rsidRPr="005A2E3C">
        <w:rPr>
          <w:rFonts w:ascii="Arial" w:hAnsi="Arial" w:cs="Arial"/>
          <w:bCs/>
          <w:i/>
          <w:iCs/>
          <w:kern w:val="28"/>
          <w:sz w:val="36"/>
        </w:rPr>
        <w:t>Drynaria</w:t>
      </w:r>
      <w:proofErr w:type="spellEnd"/>
      <w:r w:rsidRPr="005A2E3C">
        <w:rPr>
          <w:rFonts w:ascii="Arial" w:hAnsi="Arial" w:cs="Arial"/>
          <w:bCs/>
          <w:i/>
          <w:iCs/>
          <w:kern w:val="28"/>
          <w:sz w:val="36"/>
        </w:rPr>
        <w:t xml:space="preserve"> </w:t>
      </w:r>
      <w:proofErr w:type="spellStart"/>
      <w:r w:rsidRPr="005A2E3C">
        <w:rPr>
          <w:rFonts w:ascii="Arial" w:hAnsi="Arial" w:cs="Arial"/>
          <w:bCs/>
          <w:i/>
          <w:iCs/>
          <w:kern w:val="28"/>
          <w:sz w:val="36"/>
        </w:rPr>
        <w:t>quercifolia</w:t>
      </w:r>
      <w:proofErr w:type="spellEnd"/>
      <w:r w:rsidRPr="005A2E3C">
        <w:rPr>
          <w:rFonts w:ascii="Arial" w:hAnsi="Arial" w:cs="Arial"/>
          <w:bCs/>
          <w:iCs/>
          <w:kern w:val="28"/>
          <w:sz w:val="36"/>
        </w:rPr>
        <w:t xml:space="preserve"> (L.) </w:t>
      </w:r>
      <w:proofErr w:type="spellStart"/>
      <w:proofErr w:type="gramStart"/>
      <w:r w:rsidRPr="005A2E3C">
        <w:rPr>
          <w:rFonts w:ascii="Arial" w:hAnsi="Arial" w:cs="Arial"/>
          <w:bCs/>
          <w:iCs/>
          <w:kern w:val="28"/>
          <w:sz w:val="36"/>
        </w:rPr>
        <w:t>J.Sm</w:t>
      </w:r>
      <w:proofErr w:type="spellEnd"/>
      <w:proofErr w:type="gramEnd"/>
      <w:r w:rsidRPr="005A2E3C">
        <w:rPr>
          <w:rFonts w:ascii="Arial" w:hAnsi="Arial" w:cs="Arial"/>
          <w:bCs/>
          <w:iCs/>
          <w:kern w:val="28"/>
          <w:sz w:val="36"/>
        </w:rPr>
        <w:t xml:space="preserve"> Rhizome Scales </w:t>
      </w:r>
    </w:p>
    <w:p w14:paraId="767E44D1" w14:textId="77777777" w:rsidR="00A258C3" w:rsidRPr="00790ADA" w:rsidRDefault="00A258C3" w:rsidP="00441B6F">
      <w:pPr>
        <w:pStyle w:val="Author"/>
        <w:spacing w:line="240" w:lineRule="auto"/>
        <w:jc w:val="both"/>
        <w:rPr>
          <w:rFonts w:ascii="Arial" w:hAnsi="Arial" w:cs="Arial"/>
          <w:sz w:val="36"/>
        </w:rPr>
      </w:pPr>
    </w:p>
    <w:p w14:paraId="2C92D39A" w14:textId="0B590BF9" w:rsidR="00D36F6A" w:rsidRDefault="00D36F6A" w:rsidP="00441B6F">
      <w:pPr>
        <w:pStyle w:val="Affiliation"/>
        <w:spacing w:after="0" w:line="240" w:lineRule="auto"/>
        <w:jc w:val="both"/>
        <w:rPr>
          <w:rFonts w:ascii="Arial" w:hAnsi="Arial" w:cs="Arial"/>
        </w:rPr>
      </w:pPr>
    </w:p>
    <w:p w14:paraId="722CFDD6" w14:textId="4312E54A" w:rsidR="000E23EA" w:rsidRDefault="000E23EA" w:rsidP="00441B6F">
      <w:pPr>
        <w:pStyle w:val="Affiliation"/>
        <w:spacing w:after="0" w:line="240" w:lineRule="auto"/>
        <w:jc w:val="both"/>
        <w:rPr>
          <w:rFonts w:ascii="Arial" w:hAnsi="Arial" w:cs="Arial"/>
        </w:rPr>
      </w:pPr>
    </w:p>
    <w:p w14:paraId="46F32D1C" w14:textId="77777777" w:rsidR="000E23EA" w:rsidRDefault="000E23EA" w:rsidP="00441B6F">
      <w:pPr>
        <w:pStyle w:val="Affiliation"/>
        <w:spacing w:after="0" w:line="240" w:lineRule="auto"/>
        <w:jc w:val="both"/>
        <w:rPr>
          <w:rFonts w:ascii="Arial" w:hAnsi="Arial" w:cs="Arial"/>
        </w:rPr>
      </w:pPr>
    </w:p>
    <w:p w14:paraId="0C7EB2B9" w14:textId="77777777" w:rsidR="002C57D2" w:rsidRPr="00FB3A86" w:rsidRDefault="002C57D2" w:rsidP="00441B6F">
      <w:pPr>
        <w:pStyle w:val="Affiliation"/>
        <w:spacing w:after="0" w:line="240" w:lineRule="auto"/>
        <w:jc w:val="both"/>
        <w:rPr>
          <w:rFonts w:ascii="Arial" w:hAnsi="Arial" w:cs="Arial"/>
        </w:rPr>
      </w:pPr>
    </w:p>
    <w:p w14:paraId="739B13E8" w14:textId="77777777" w:rsidR="00B01FCD" w:rsidRPr="00FB3A86" w:rsidRDefault="009A468D" w:rsidP="00441B6F">
      <w:pPr>
        <w:pStyle w:val="Copyright"/>
        <w:spacing w:after="0" w:line="240" w:lineRule="auto"/>
        <w:jc w:val="both"/>
        <w:rPr>
          <w:rFonts w:ascii="Arial" w:hAnsi="Arial" w:cs="Arial"/>
        </w:rPr>
        <w:sectPr w:rsidR="00B01FCD" w:rsidRPr="00FB3A86" w:rsidSect="00870F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ta-IN"/>
        </w:rPr>
        <mc:AlternateContent>
          <mc:Choice Requires="wps">
            <w:drawing>
              <wp:inline distT="0" distB="0" distL="0" distR="0" wp14:anchorId="6B6719CB" wp14:editId="6D5564EC">
                <wp:extent cx="5303520" cy="0"/>
                <wp:effectExtent l="9525" t="12700" r="11430" b="15875"/>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B007E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7HwIAADw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fihzOx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F57AE0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5A2E3C">
        <w:rPr>
          <w:rFonts w:ascii="Arial" w:hAnsi="Arial" w:cs="Arial"/>
        </w:rPr>
        <w:t xml:space="preserve"> </w:t>
      </w:r>
    </w:p>
    <w:p w14:paraId="01BC41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F5A5B5" w14:textId="77777777" w:rsidTr="001E44FE">
        <w:tc>
          <w:tcPr>
            <w:tcW w:w="9576" w:type="dxa"/>
            <w:shd w:val="clear" w:color="auto" w:fill="F2F2F2"/>
          </w:tcPr>
          <w:p w14:paraId="2E25AD63" w14:textId="77777777" w:rsidR="00E3114E" w:rsidRDefault="00E3114E" w:rsidP="00441B6F">
            <w:pPr>
              <w:pStyle w:val="Body"/>
              <w:spacing w:after="0"/>
              <w:rPr>
                <w:rFonts w:ascii="Arial" w:eastAsia="Calibri" w:hAnsi="Arial" w:cs="Arial"/>
                <w:szCs w:val="22"/>
              </w:rPr>
            </w:pPr>
          </w:p>
          <w:p w14:paraId="767985CE" w14:textId="77777777" w:rsidR="00BA1B01" w:rsidRPr="000D3746" w:rsidRDefault="00BA1B01" w:rsidP="00441B6F">
            <w:pPr>
              <w:pStyle w:val="Body"/>
              <w:spacing w:after="0"/>
              <w:rPr>
                <w:rFonts w:ascii="Arial" w:eastAsia="Calibri" w:hAnsi="Arial" w:cs="Arial"/>
                <w:bCs/>
                <w:szCs w:val="22"/>
              </w:rPr>
            </w:pPr>
            <w:r w:rsidRPr="00BA1B01">
              <w:rPr>
                <w:rFonts w:ascii="Arial" w:eastAsia="Calibri" w:hAnsi="Arial" w:cs="Arial"/>
                <w:b/>
                <w:szCs w:val="22"/>
              </w:rPr>
              <w:t xml:space="preserve">Aims: </w:t>
            </w:r>
            <w:r w:rsidR="000D3746" w:rsidRPr="000D3746">
              <w:rPr>
                <w:rFonts w:ascii="Arial" w:eastAsia="Calibri" w:hAnsi="Arial" w:cs="Arial"/>
                <w:bCs/>
                <w:szCs w:val="22"/>
              </w:rPr>
              <w:t xml:space="preserve">The rhizome of </w:t>
            </w:r>
            <w:proofErr w:type="spellStart"/>
            <w:r w:rsidR="000D3746" w:rsidRPr="000D3746">
              <w:rPr>
                <w:rFonts w:ascii="Arial" w:eastAsia="Calibri" w:hAnsi="Arial" w:cs="Arial"/>
                <w:bCs/>
                <w:i/>
                <w:iCs/>
                <w:szCs w:val="22"/>
              </w:rPr>
              <w:t>Drynaria</w:t>
            </w:r>
            <w:proofErr w:type="spellEnd"/>
            <w:r w:rsidR="000D3746" w:rsidRPr="000D3746">
              <w:rPr>
                <w:rFonts w:ascii="Arial" w:eastAsia="Calibri" w:hAnsi="Arial" w:cs="Arial"/>
                <w:bCs/>
                <w:i/>
                <w:iCs/>
                <w:szCs w:val="22"/>
              </w:rPr>
              <w:t xml:space="preserve"> </w:t>
            </w:r>
            <w:proofErr w:type="spellStart"/>
            <w:r w:rsidR="000D3746" w:rsidRPr="000D3746">
              <w:rPr>
                <w:rFonts w:ascii="Arial" w:eastAsia="Calibri" w:hAnsi="Arial" w:cs="Arial"/>
                <w:bCs/>
                <w:i/>
                <w:iCs/>
                <w:szCs w:val="22"/>
              </w:rPr>
              <w:t>quercifolia</w:t>
            </w:r>
            <w:proofErr w:type="spellEnd"/>
            <w:r w:rsidR="000D3746" w:rsidRPr="000D3746">
              <w:rPr>
                <w:rFonts w:ascii="Arial" w:eastAsia="Calibri" w:hAnsi="Arial" w:cs="Arial"/>
                <w:bCs/>
                <w:szCs w:val="22"/>
              </w:rPr>
              <w:t xml:space="preserve"> (L.) </w:t>
            </w:r>
            <w:proofErr w:type="spellStart"/>
            <w:r w:rsidR="000D3746" w:rsidRPr="000D3746">
              <w:rPr>
                <w:rFonts w:ascii="Arial" w:eastAsia="Calibri" w:hAnsi="Arial" w:cs="Arial"/>
                <w:bCs/>
                <w:szCs w:val="22"/>
              </w:rPr>
              <w:t>J.Sm</w:t>
            </w:r>
            <w:proofErr w:type="spellEnd"/>
            <w:r w:rsidR="000D3746" w:rsidRPr="000D3746">
              <w:rPr>
                <w:rFonts w:ascii="Arial" w:eastAsia="Calibri" w:hAnsi="Arial" w:cs="Arial"/>
                <w:bCs/>
                <w:szCs w:val="22"/>
              </w:rPr>
              <w:t>. is traditionally consumed after removal of the outer scale layer; however, the scientific basis of this practice remains unclear. The present study aimed to elucidate the anatomical, phytochemical and toxicological characteristics of the rhizome scales to understand their functional significance and justify their traditional exclusion prior to medicinal use.</w:t>
            </w:r>
          </w:p>
          <w:p w14:paraId="2F0F34AF" w14:textId="77777777" w:rsidR="000D3746"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0D3746" w:rsidRPr="000D3746">
              <w:rPr>
                <w:rFonts w:ascii="Arial" w:eastAsia="Calibri" w:hAnsi="Arial" w:cs="Arial"/>
                <w:szCs w:val="22"/>
              </w:rPr>
              <w:t>Experimental laboratory-based study integrating anatomical observation, phytochemical screening, spectroscopic characterization and bioassay-based toxicological evaluation.</w:t>
            </w:r>
            <w:r w:rsidRPr="00BA1B01">
              <w:rPr>
                <w:rFonts w:ascii="Arial" w:eastAsia="Calibri" w:hAnsi="Arial" w:cs="Arial"/>
                <w:szCs w:val="22"/>
              </w:rPr>
              <w:t xml:space="preserve"> </w:t>
            </w:r>
          </w:p>
          <w:p w14:paraId="7564F95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0D3746" w:rsidRPr="000D3746">
              <w:rPr>
                <w:rFonts w:ascii="Arial" w:eastAsia="Calibri" w:hAnsi="Arial" w:cs="Arial"/>
                <w:szCs w:val="22"/>
              </w:rPr>
              <w:t>PG and Research Department of Botany, Government Arts College, Coimbatore, Tamil Nadu, India, between September 2023 and March 2024.</w:t>
            </w:r>
          </w:p>
          <w:p w14:paraId="3DBF2BD1" w14:textId="77777777" w:rsidR="000D3746"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D3746" w:rsidRPr="000D3746">
              <w:rPr>
                <w:rFonts w:ascii="Arial" w:eastAsia="Calibri" w:hAnsi="Arial" w:cs="Arial"/>
                <w:szCs w:val="22"/>
              </w:rPr>
              <w:t xml:space="preserve">Rhizome scales of </w:t>
            </w:r>
            <w:r w:rsidR="000D3746" w:rsidRPr="000D3746">
              <w:rPr>
                <w:rFonts w:ascii="Arial" w:eastAsia="Calibri" w:hAnsi="Arial" w:cs="Arial"/>
                <w:i/>
                <w:iCs/>
                <w:szCs w:val="22"/>
              </w:rPr>
              <w:t xml:space="preserve">D. </w:t>
            </w:r>
            <w:proofErr w:type="spellStart"/>
            <w:r w:rsidR="000D3746" w:rsidRPr="000D3746">
              <w:rPr>
                <w:rFonts w:ascii="Arial" w:eastAsia="Calibri" w:hAnsi="Arial" w:cs="Arial"/>
                <w:i/>
                <w:iCs/>
                <w:szCs w:val="22"/>
              </w:rPr>
              <w:t>quercifolia</w:t>
            </w:r>
            <w:proofErr w:type="spellEnd"/>
            <w:r w:rsidR="000D3746" w:rsidRPr="000D3746">
              <w:rPr>
                <w:rFonts w:ascii="Arial" w:eastAsia="Calibri" w:hAnsi="Arial" w:cs="Arial"/>
                <w:szCs w:val="22"/>
              </w:rPr>
              <w:t xml:space="preserve"> were collected from Kolli Hills, Tamil Nadu and subjected to macroscopic and microscopic examination. Aqueous extracts were prepared following traditional infusion methods. Preliminary phytochemical screening was conducted using standard qualitative tests. Functional groups were identified through Fourier Transform Infrared (FT-IR) spectroscopy. Toxicological evaluation was performed using </w:t>
            </w:r>
            <w:r w:rsidR="000D3746" w:rsidRPr="000D3746">
              <w:rPr>
                <w:rFonts w:ascii="Arial" w:eastAsia="Calibri" w:hAnsi="Arial" w:cs="Arial"/>
                <w:i/>
                <w:iCs/>
                <w:szCs w:val="22"/>
              </w:rPr>
              <w:t>Artemia salina</w:t>
            </w:r>
            <w:r w:rsidR="000D3746" w:rsidRPr="000D3746">
              <w:rPr>
                <w:rFonts w:ascii="Arial" w:eastAsia="Calibri" w:hAnsi="Arial" w:cs="Arial"/>
                <w:szCs w:val="22"/>
              </w:rPr>
              <w:t xml:space="preserve"> lethality assay, </w:t>
            </w:r>
            <w:r w:rsidR="000D3746" w:rsidRPr="000D3746">
              <w:rPr>
                <w:rFonts w:ascii="Arial" w:eastAsia="Calibri" w:hAnsi="Arial" w:cs="Arial"/>
                <w:i/>
                <w:iCs/>
                <w:szCs w:val="22"/>
              </w:rPr>
              <w:t>Daphnia magna</w:t>
            </w:r>
            <w:r w:rsidR="000D3746" w:rsidRPr="000D3746">
              <w:rPr>
                <w:rFonts w:ascii="Arial" w:eastAsia="Calibri" w:hAnsi="Arial" w:cs="Arial"/>
                <w:szCs w:val="22"/>
              </w:rPr>
              <w:t xml:space="preserve"> acute toxicity assay and </w:t>
            </w:r>
            <w:r w:rsidR="000D3746" w:rsidRPr="000D3746">
              <w:rPr>
                <w:rFonts w:ascii="Arial" w:eastAsia="Calibri" w:hAnsi="Arial" w:cs="Arial"/>
                <w:i/>
                <w:iCs/>
                <w:szCs w:val="22"/>
              </w:rPr>
              <w:t>Allium cepa</w:t>
            </w:r>
            <w:r w:rsidR="000D3746" w:rsidRPr="000D3746">
              <w:rPr>
                <w:rFonts w:ascii="Arial" w:eastAsia="Calibri" w:hAnsi="Arial" w:cs="Arial"/>
                <w:szCs w:val="22"/>
              </w:rPr>
              <w:t xml:space="preserve"> root tip assay to assess cytotoxic and genotoxic effects</w:t>
            </w:r>
          </w:p>
          <w:p w14:paraId="6A00D241"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D3746" w:rsidRPr="000D3746">
              <w:rPr>
                <w:rFonts w:ascii="Arial" w:eastAsia="Calibri" w:hAnsi="Arial" w:cs="Arial"/>
                <w:szCs w:val="22"/>
              </w:rPr>
              <w:t>Microscopic analysis revealed a uniseriate epidermal layer with multicellular non-glandular trichomes and thick-walled marginal cells, indicating a structurally specialized protective tissue. Phytochemical screening confirmed the presence of alkaloids, sterols and carbohydrates. FT-IR analysis showed prominent O–H stretching (3317 cm</w:t>
            </w:r>
            <w:r w:rsidR="000D3746" w:rsidRPr="000D3746">
              <w:rPr>
                <w:rFonts w:ascii="Cambria Math" w:eastAsia="Calibri" w:hAnsi="Cambria Math" w:cs="Cambria Math"/>
                <w:szCs w:val="22"/>
              </w:rPr>
              <w:t>⁻</w:t>
            </w:r>
            <w:r w:rsidR="000D3746" w:rsidRPr="000D3746">
              <w:rPr>
                <w:rFonts w:ascii="Arial" w:eastAsia="Calibri" w:hAnsi="Arial" w:cs="Arial"/>
                <w:szCs w:val="22"/>
              </w:rPr>
              <w:t>¹), free hydroxyl groups (3657 cm</w:t>
            </w:r>
            <w:r w:rsidR="000D3746" w:rsidRPr="000D3746">
              <w:rPr>
                <w:rFonts w:ascii="Cambria Math" w:eastAsia="Calibri" w:hAnsi="Cambria Math" w:cs="Cambria Math"/>
                <w:szCs w:val="22"/>
              </w:rPr>
              <w:t>⁻</w:t>
            </w:r>
            <w:r w:rsidR="000D3746" w:rsidRPr="000D3746">
              <w:rPr>
                <w:rFonts w:ascii="Arial" w:eastAsia="Calibri" w:hAnsi="Arial" w:cs="Arial"/>
                <w:szCs w:val="22"/>
              </w:rPr>
              <w:t xml:space="preserve">¹) and C–O functional groups, indicating predominance of polar constituents. Toxicological assays demonstrated moderate cytotoxicity in </w:t>
            </w:r>
            <w:r w:rsidR="000D3746" w:rsidRPr="000D3746">
              <w:rPr>
                <w:rFonts w:ascii="Arial" w:eastAsia="Calibri" w:hAnsi="Arial" w:cs="Arial"/>
                <w:i/>
                <w:iCs/>
                <w:szCs w:val="22"/>
              </w:rPr>
              <w:t>Artemia salina</w:t>
            </w:r>
            <w:r w:rsidR="000D3746" w:rsidRPr="000D3746">
              <w:rPr>
                <w:rFonts w:ascii="Arial" w:eastAsia="Calibri" w:hAnsi="Arial" w:cs="Arial"/>
                <w:szCs w:val="22"/>
              </w:rPr>
              <w:t xml:space="preserve"> with LC</w:t>
            </w:r>
            <w:r w:rsidR="000D3746" w:rsidRPr="000D3746">
              <w:rPr>
                <w:rFonts w:ascii="Cambria Math" w:eastAsia="Calibri" w:hAnsi="Cambria Math" w:cs="Cambria Math"/>
                <w:szCs w:val="22"/>
              </w:rPr>
              <w:t>₅₀</w:t>
            </w:r>
            <w:r w:rsidR="000D3746" w:rsidRPr="000D3746">
              <w:rPr>
                <w:rFonts w:ascii="Arial" w:eastAsia="Calibri" w:hAnsi="Arial" w:cs="Arial"/>
                <w:szCs w:val="22"/>
              </w:rPr>
              <w:t xml:space="preserve"> of 175 µg/</w:t>
            </w:r>
            <w:proofErr w:type="spellStart"/>
            <w:r w:rsidR="000D3746" w:rsidRPr="000D3746">
              <w:rPr>
                <w:rFonts w:ascii="Arial" w:eastAsia="Calibri" w:hAnsi="Arial" w:cs="Arial"/>
                <w:szCs w:val="22"/>
              </w:rPr>
              <w:t>mL.</w:t>
            </w:r>
            <w:proofErr w:type="spellEnd"/>
            <w:r w:rsidR="000D3746" w:rsidRPr="000D3746">
              <w:rPr>
                <w:rFonts w:ascii="Arial" w:eastAsia="Calibri" w:hAnsi="Arial" w:cs="Arial"/>
                <w:szCs w:val="22"/>
              </w:rPr>
              <w:t xml:space="preserve"> The </w:t>
            </w:r>
            <w:r w:rsidR="000D3746" w:rsidRPr="000D3746">
              <w:rPr>
                <w:rFonts w:ascii="Arial" w:eastAsia="Calibri" w:hAnsi="Arial" w:cs="Arial"/>
                <w:i/>
                <w:iCs/>
                <w:szCs w:val="22"/>
              </w:rPr>
              <w:t>Daphnia magna</w:t>
            </w:r>
            <w:r w:rsidR="000D3746" w:rsidRPr="000D3746">
              <w:rPr>
                <w:rFonts w:ascii="Arial" w:eastAsia="Calibri" w:hAnsi="Arial" w:cs="Arial"/>
                <w:szCs w:val="22"/>
              </w:rPr>
              <w:t xml:space="preserve"> assay showed an EC</w:t>
            </w:r>
            <w:r w:rsidR="000D3746" w:rsidRPr="000D3746">
              <w:rPr>
                <w:rFonts w:ascii="Cambria Math" w:eastAsia="Calibri" w:hAnsi="Cambria Math" w:cs="Cambria Math"/>
                <w:szCs w:val="22"/>
              </w:rPr>
              <w:t>₅₀</w:t>
            </w:r>
            <w:r w:rsidR="000D3746" w:rsidRPr="000D3746">
              <w:rPr>
                <w:rFonts w:ascii="Arial" w:eastAsia="Calibri" w:hAnsi="Arial" w:cs="Arial"/>
                <w:szCs w:val="22"/>
              </w:rPr>
              <w:t xml:space="preserve"> of approximately 1350 µg/mL with concentration-dependent morphological abnormalities. In the </w:t>
            </w:r>
            <w:r w:rsidR="000D3746" w:rsidRPr="000D3746">
              <w:rPr>
                <w:rFonts w:ascii="Arial" w:eastAsia="Calibri" w:hAnsi="Arial" w:cs="Arial"/>
                <w:i/>
                <w:iCs/>
                <w:szCs w:val="22"/>
              </w:rPr>
              <w:t>Allium cepa</w:t>
            </w:r>
            <w:r w:rsidR="000D3746" w:rsidRPr="000D3746">
              <w:rPr>
                <w:rFonts w:ascii="Arial" w:eastAsia="Calibri" w:hAnsi="Arial" w:cs="Arial"/>
                <w:szCs w:val="22"/>
              </w:rPr>
              <w:t xml:space="preserve"> assay, mitotic activity decreased progressively, with mitotic index reduced to 12.82% at 1500 µg/mL and chromosomal stickiness observed at higher concentrations.</w:t>
            </w:r>
          </w:p>
          <w:p w14:paraId="3C8F05F1"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D3746" w:rsidRPr="000D3746">
              <w:rPr>
                <w:rFonts w:ascii="Arial" w:eastAsia="Calibri" w:hAnsi="Arial" w:cs="Arial"/>
                <w:szCs w:val="22"/>
              </w:rPr>
              <w:t xml:space="preserve">The rhizome scales of </w:t>
            </w:r>
            <w:proofErr w:type="spellStart"/>
            <w:r w:rsidR="000D3746" w:rsidRPr="000D3746">
              <w:rPr>
                <w:rFonts w:ascii="Arial" w:eastAsia="Calibri" w:hAnsi="Arial" w:cs="Arial"/>
                <w:i/>
                <w:iCs/>
                <w:szCs w:val="22"/>
              </w:rPr>
              <w:t>Drynaria</w:t>
            </w:r>
            <w:proofErr w:type="spellEnd"/>
            <w:r w:rsidR="000D3746" w:rsidRPr="000D3746">
              <w:rPr>
                <w:rFonts w:ascii="Arial" w:eastAsia="Calibri" w:hAnsi="Arial" w:cs="Arial"/>
                <w:i/>
                <w:iCs/>
                <w:szCs w:val="22"/>
              </w:rPr>
              <w:t xml:space="preserve"> </w:t>
            </w:r>
            <w:proofErr w:type="spellStart"/>
            <w:r w:rsidR="000D3746" w:rsidRPr="000D3746">
              <w:rPr>
                <w:rFonts w:ascii="Arial" w:eastAsia="Calibri" w:hAnsi="Arial" w:cs="Arial"/>
                <w:i/>
                <w:iCs/>
                <w:szCs w:val="22"/>
              </w:rPr>
              <w:t>quercifolia</w:t>
            </w:r>
            <w:proofErr w:type="spellEnd"/>
            <w:r w:rsidR="000D3746" w:rsidRPr="000D3746">
              <w:rPr>
                <w:rFonts w:ascii="Arial" w:eastAsia="Calibri" w:hAnsi="Arial" w:cs="Arial"/>
                <w:szCs w:val="22"/>
              </w:rPr>
              <w:t xml:space="preserve"> represent a structurally and chemically distinct outer tissue layer containing defense-associated metabolites with measurable biological reactivity. These findings provide scientific support for the traditional practice of removing the scales prior to consumption, as their removal may reduce exposure to cytotoxic defense compounds while preserving the medicinally valuable inner rhizome.</w:t>
            </w:r>
          </w:p>
          <w:p w14:paraId="55E3D1D4" w14:textId="77777777" w:rsidR="00505F06" w:rsidRPr="00BA1B01" w:rsidRDefault="00505F06" w:rsidP="00441B6F">
            <w:pPr>
              <w:pStyle w:val="Body"/>
              <w:spacing w:after="0"/>
              <w:rPr>
                <w:rFonts w:ascii="Arial" w:eastAsia="Calibri" w:hAnsi="Arial" w:cs="Arial"/>
                <w:szCs w:val="22"/>
              </w:rPr>
            </w:pPr>
          </w:p>
        </w:tc>
      </w:tr>
    </w:tbl>
    <w:p w14:paraId="2DE2D59D" w14:textId="77777777" w:rsidR="00636EB2" w:rsidRDefault="00636EB2" w:rsidP="00441B6F">
      <w:pPr>
        <w:pStyle w:val="Body"/>
        <w:spacing w:after="0"/>
        <w:rPr>
          <w:rFonts w:ascii="Arial" w:hAnsi="Arial" w:cs="Arial"/>
          <w:i/>
        </w:rPr>
      </w:pPr>
    </w:p>
    <w:p w14:paraId="7229BF19" w14:textId="77777777" w:rsidR="00A24E7E" w:rsidRDefault="000D3746" w:rsidP="00441B6F">
      <w:pPr>
        <w:pStyle w:val="Body"/>
        <w:spacing w:after="0"/>
        <w:rPr>
          <w:rFonts w:ascii="Arial" w:hAnsi="Arial" w:cs="Arial"/>
          <w:i/>
        </w:rPr>
      </w:pPr>
      <w:r>
        <w:rPr>
          <w:rFonts w:ascii="Arial" w:hAnsi="Arial" w:cs="Arial"/>
          <w:i/>
        </w:rPr>
        <w:lastRenderedPageBreak/>
        <w:t xml:space="preserve">Keywords: </w:t>
      </w:r>
      <w:proofErr w:type="spellStart"/>
      <w:r w:rsidRPr="000D3746">
        <w:rPr>
          <w:rFonts w:ascii="Arial" w:hAnsi="Arial" w:cs="Arial"/>
          <w:i/>
        </w:rPr>
        <w:t>Drynaria</w:t>
      </w:r>
      <w:proofErr w:type="spellEnd"/>
      <w:r w:rsidRPr="000D3746">
        <w:rPr>
          <w:rFonts w:ascii="Arial" w:hAnsi="Arial" w:cs="Arial"/>
          <w:i/>
        </w:rPr>
        <w:t xml:space="preserve"> </w:t>
      </w:r>
      <w:proofErr w:type="spellStart"/>
      <w:r w:rsidRPr="000D3746">
        <w:rPr>
          <w:rFonts w:ascii="Arial" w:hAnsi="Arial" w:cs="Arial"/>
          <w:i/>
        </w:rPr>
        <w:t>quercifolia</w:t>
      </w:r>
      <w:proofErr w:type="spellEnd"/>
      <w:r w:rsidRPr="000D3746">
        <w:rPr>
          <w:rFonts w:ascii="Arial" w:hAnsi="Arial" w:cs="Arial"/>
          <w:i/>
        </w:rPr>
        <w:t>, rhizome scales, phytochemical screening, toxicity bioassay, Artemia salina, Allium cepa</w:t>
      </w:r>
    </w:p>
    <w:p w14:paraId="469524D5" w14:textId="77777777" w:rsidR="00790ADA" w:rsidRDefault="00790ADA" w:rsidP="00441B6F">
      <w:pPr>
        <w:pStyle w:val="Body"/>
        <w:spacing w:after="0"/>
        <w:rPr>
          <w:rFonts w:ascii="Arial" w:hAnsi="Arial" w:cs="Arial"/>
          <w:i/>
        </w:rPr>
      </w:pPr>
    </w:p>
    <w:p w14:paraId="62B2D7DE" w14:textId="77777777" w:rsidR="00505F06" w:rsidRPr="00A24E7E" w:rsidRDefault="00505F06" w:rsidP="00441B6F">
      <w:pPr>
        <w:pStyle w:val="Body"/>
        <w:spacing w:after="0"/>
        <w:rPr>
          <w:rFonts w:ascii="Arial" w:hAnsi="Arial" w:cs="Arial"/>
          <w:i/>
        </w:rPr>
      </w:pPr>
    </w:p>
    <w:p w14:paraId="02104D5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73FFD0" w14:textId="77777777" w:rsidR="00790ADA" w:rsidRPr="00FB3A86" w:rsidRDefault="00790ADA" w:rsidP="00441B6F">
      <w:pPr>
        <w:pStyle w:val="AbstHead"/>
        <w:spacing w:after="0"/>
        <w:jc w:val="both"/>
        <w:rPr>
          <w:rFonts w:ascii="Arial" w:hAnsi="Arial" w:cs="Arial"/>
        </w:rPr>
      </w:pPr>
    </w:p>
    <w:p w14:paraId="6B29960B" w14:textId="77777777" w:rsidR="00464F18" w:rsidRPr="00464F18" w:rsidRDefault="00464F18" w:rsidP="00BB57BA">
      <w:pPr>
        <w:spacing w:after="160"/>
        <w:ind w:firstLine="720"/>
        <w:jc w:val="both"/>
        <w:rPr>
          <w:rFonts w:ascii="Arial" w:hAnsi="Arial" w:cs="Arial"/>
          <w:lang w:bidi="ta-IN"/>
        </w:rPr>
      </w:pPr>
      <w:proofErr w:type="spellStart"/>
      <w:r w:rsidRPr="00464F18">
        <w:rPr>
          <w:rFonts w:ascii="Arial" w:hAnsi="Arial" w:cs="Arial"/>
          <w:i/>
          <w:iCs/>
          <w:lang w:bidi="ta-IN"/>
        </w:rPr>
        <w:t>Drynaria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i/>
          <w:iCs/>
          <w:lang w:bidi="ta-IN"/>
        </w:rPr>
        <w:t xml:space="preserve"> </w:t>
      </w:r>
      <w:r w:rsidRPr="00464F18">
        <w:rPr>
          <w:rFonts w:ascii="Arial" w:hAnsi="Arial" w:cs="Arial"/>
          <w:lang w:bidi="ta-IN"/>
        </w:rPr>
        <w:t xml:space="preserve">(L.)J.sm (Syn. </w:t>
      </w:r>
      <w:proofErr w:type="spellStart"/>
      <w:r w:rsidRPr="00464F18">
        <w:rPr>
          <w:rFonts w:ascii="Arial" w:hAnsi="Arial" w:cs="Arial"/>
          <w:i/>
          <w:iCs/>
          <w:lang w:bidi="ta-IN"/>
        </w:rPr>
        <w:t>Agalomorpha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lang w:bidi="ta-IN"/>
        </w:rPr>
        <w:t>) is commonly known as “</w:t>
      </w:r>
      <w:proofErr w:type="spellStart"/>
      <w:r w:rsidRPr="00464F18">
        <w:rPr>
          <w:rFonts w:ascii="Arial" w:hAnsi="Arial" w:cs="Arial"/>
          <w:lang w:bidi="ta-IN"/>
        </w:rPr>
        <w:t>Mudavanattukal</w:t>
      </w:r>
      <w:proofErr w:type="spellEnd"/>
      <w:r w:rsidRPr="00464F18">
        <w:rPr>
          <w:rFonts w:ascii="Arial" w:hAnsi="Arial" w:cs="Arial"/>
          <w:lang w:bidi="ta-IN"/>
        </w:rPr>
        <w:t xml:space="preserve"> </w:t>
      </w:r>
      <w:proofErr w:type="spellStart"/>
      <w:r w:rsidRPr="00464F18">
        <w:rPr>
          <w:rFonts w:ascii="Arial" w:hAnsi="Arial" w:cs="Arial"/>
          <w:lang w:bidi="ta-IN"/>
        </w:rPr>
        <w:t>Kilangu</w:t>
      </w:r>
      <w:proofErr w:type="spellEnd"/>
      <w:r w:rsidRPr="00464F18">
        <w:rPr>
          <w:rFonts w:ascii="Arial" w:hAnsi="Arial" w:cs="Arial"/>
          <w:lang w:bidi="ta-IN"/>
        </w:rPr>
        <w:t>” or “</w:t>
      </w:r>
      <w:proofErr w:type="spellStart"/>
      <w:r w:rsidRPr="00464F18">
        <w:rPr>
          <w:rFonts w:ascii="Arial" w:hAnsi="Arial" w:cs="Arial"/>
          <w:lang w:bidi="ta-IN"/>
        </w:rPr>
        <w:t>Attukalkilangu</w:t>
      </w:r>
      <w:proofErr w:type="spellEnd"/>
      <w:r w:rsidRPr="00464F18">
        <w:rPr>
          <w:rFonts w:ascii="Arial" w:hAnsi="Arial" w:cs="Arial"/>
          <w:lang w:bidi="ta-IN"/>
        </w:rPr>
        <w:t xml:space="preserve">” in Western and Eastern Ghats of </w:t>
      </w:r>
      <w:proofErr w:type="spellStart"/>
      <w:r w:rsidRPr="00464F18">
        <w:rPr>
          <w:rFonts w:ascii="Arial" w:hAnsi="Arial" w:cs="Arial"/>
          <w:lang w:bidi="ta-IN"/>
        </w:rPr>
        <w:t>Tamilnadu</w:t>
      </w:r>
      <w:proofErr w:type="spellEnd"/>
      <w:r w:rsidRPr="00464F18">
        <w:rPr>
          <w:rFonts w:ascii="Arial" w:hAnsi="Arial" w:cs="Arial"/>
          <w:lang w:bidi="ta-IN"/>
        </w:rPr>
        <w:t xml:space="preserve">, India as the rhizome is traditionally consumed in the form of soup for rheumatic complaints. Beyond regional use, the Rhizome is widely used against inflammation, bone disorders and certain metabolic conditions. Previous phytochemical investigations of the rhizome are reported to have high phenolic and notable antioxidant activity which supports its therapeutic relevance in relation to oxidative stress-associated conditions (Narthanaa </w:t>
      </w:r>
      <w:r w:rsidRPr="00464F18">
        <w:rPr>
          <w:rFonts w:ascii="Arial" w:hAnsi="Arial" w:cs="Arial"/>
          <w:i/>
          <w:iCs/>
          <w:lang w:bidi="ta-IN"/>
        </w:rPr>
        <w:t>et al.,</w:t>
      </w:r>
      <w:r w:rsidRPr="00464F18">
        <w:rPr>
          <w:rFonts w:ascii="Arial" w:hAnsi="Arial" w:cs="Arial"/>
          <w:lang w:bidi="ta-IN"/>
        </w:rPr>
        <w:t xml:space="preserve"> 2025). Despite extensive documentation of rhizome pharmacology, minimal attention has been directed toward the outer woolly brown scales that are routinely removed prior to medicinal use. Ethnopharmacological processing often reflects empirical optimization to enhance efficacy and reduce irritant or toxic constituents (Heinrich </w:t>
      </w:r>
      <w:r w:rsidRPr="00464F18">
        <w:rPr>
          <w:rFonts w:ascii="Arial" w:hAnsi="Arial" w:cs="Arial"/>
          <w:i/>
          <w:iCs/>
          <w:lang w:bidi="ta-IN"/>
        </w:rPr>
        <w:t>et al.,</w:t>
      </w:r>
      <w:r w:rsidRPr="00464F18">
        <w:rPr>
          <w:rFonts w:ascii="Arial" w:hAnsi="Arial" w:cs="Arial"/>
          <w:lang w:bidi="ta-IN"/>
        </w:rPr>
        <w:t xml:space="preserve"> 2021). Although scale removal is consistently practiced, its biological and structural basis remains unexplored. Ethnobotanical records indicate that these dense scales are deliberately discarded before therapeutic utilization</w:t>
      </w:r>
      <w:r w:rsidRPr="00464F18">
        <w:rPr>
          <w:rFonts w:ascii="Arial" w:eastAsia="Calibri" w:hAnsi="Arial" w:cs="Arial"/>
        </w:rPr>
        <w:t xml:space="preserve"> (</w:t>
      </w:r>
      <w:r w:rsidRPr="00464F18">
        <w:rPr>
          <w:rFonts w:ascii="Arial" w:hAnsi="Arial" w:cs="Arial"/>
          <w:lang w:bidi="ta-IN"/>
        </w:rPr>
        <w:t>Modak</w:t>
      </w:r>
      <w:r w:rsidRPr="00464F18">
        <w:rPr>
          <w:rFonts w:ascii="Arial" w:hAnsi="Arial" w:cs="Arial"/>
          <w:i/>
          <w:iCs/>
          <w:lang w:bidi="ta-IN"/>
        </w:rPr>
        <w:t xml:space="preserve"> et al.,</w:t>
      </w:r>
      <w:r w:rsidRPr="00464F18">
        <w:rPr>
          <w:rFonts w:ascii="Arial" w:hAnsi="Arial" w:cs="Arial"/>
          <w:lang w:bidi="ta-IN"/>
        </w:rPr>
        <w:t xml:space="preserve"> 2021). In ferns, such scales may function as protective integuments covering meristematic tissues, contributing to mechanical protection, moisture regulation, and microbial defense</w:t>
      </w:r>
      <w:r w:rsidRPr="00464F18">
        <w:rPr>
          <w:rFonts w:ascii="Arial" w:eastAsia="Calibri" w:hAnsi="Arial" w:cs="Arial"/>
        </w:rPr>
        <w:t xml:space="preserve"> (</w:t>
      </w:r>
      <w:proofErr w:type="spellStart"/>
      <w:r w:rsidRPr="00464F18">
        <w:rPr>
          <w:rFonts w:ascii="Arial" w:hAnsi="Arial" w:cs="Arial"/>
          <w:lang w:bidi="ta-IN"/>
        </w:rPr>
        <w:t>Mehltreter</w:t>
      </w:r>
      <w:proofErr w:type="spellEnd"/>
      <w:r w:rsidRPr="00464F18">
        <w:rPr>
          <w:rFonts w:ascii="Arial" w:hAnsi="Arial" w:cs="Arial"/>
          <w:i/>
          <w:iCs/>
          <w:lang w:bidi="ta-IN"/>
        </w:rPr>
        <w:t xml:space="preserve"> et al.,</w:t>
      </w:r>
      <w:r w:rsidRPr="00464F18">
        <w:rPr>
          <w:rFonts w:ascii="Arial" w:hAnsi="Arial" w:cs="Arial"/>
          <w:lang w:bidi="ta-IN"/>
        </w:rPr>
        <w:t xml:space="preserve"> 2010; Watkins &amp;, </w:t>
      </w:r>
      <w:proofErr w:type="spellStart"/>
      <w:r w:rsidRPr="00464F18">
        <w:rPr>
          <w:rFonts w:ascii="Arial" w:hAnsi="Arial" w:cs="Arial"/>
          <w:lang w:bidi="ta-IN"/>
        </w:rPr>
        <w:t>Cardelús</w:t>
      </w:r>
      <w:proofErr w:type="spellEnd"/>
      <w:r w:rsidRPr="00464F18">
        <w:rPr>
          <w:rFonts w:ascii="Arial" w:hAnsi="Arial" w:cs="Arial"/>
          <w:lang w:bidi="ta-IN"/>
        </w:rPr>
        <w:t xml:space="preserve">, 2012).Tissue-specific metabolic specialization is recognized as an adaptive strategy balancing defense and physiological functions. Therefore, comprehensive phytochemical profiling of </w:t>
      </w:r>
      <w:r w:rsidRPr="00464F18">
        <w:rPr>
          <w:rFonts w:ascii="Arial" w:hAnsi="Arial" w:cs="Arial"/>
          <w:i/>
          <w:iCs/>
          <w:lang w:bidi="ta-IN"/>
        </w:rPr>
        <w:t xml:space="preserve">D. </w:t>
      </w:r>
      <w:proofErr w:type="spellStart"/>
      <w:r w:rsidRPr="00464F18">
        <w:rPr>
          <w:rFonts w:ascii="Arial" w:hAnsi="Arial" w:cs="Arial"/>
          <w:i/>
          <w:iCs/>
          <w:lang w:bidi="ta-IN"/>
        </w:rPr>
        <w:t>quercifolia</w:t>
      </w:r>
      <w:proofErr w:type="spellEnd"/>
      <w:r w:rsidRPr="00464F18">
        <w:rPr>
          <w:rFonts w:ascii="Arial" w:hAnsi="Arial" w:cs="Arial"/>
          <w:lang w:bidi="ta-IN"/>
        </w:rPr>
        <w:t xml:space="preserve"> scales is essential to clarify their chemical composition and correlate it with biological activity. Secondary metabolites such as alkaloids and sterols are associated with plant defense and potential cytotoxicity (Heinrich</w:t>
      </w:r>
      <w:r w:rsidRPr="00464F18">
        <w:rPr>
          <w:rFonts w:ascii="Arial" w:hAnsi="Arial" w:cs="Arial"/>
          <w:i/>
          <w:iCs/>
          <w:lang w:bidi="ta-IN"/>
        </w:rPr>
        <w:t xml:space="preserve"> et al., </w:t>
      </w:r>
      <w:r w:rsidRPr="00464F18">
        <w:rPr>
          <w:rFonts w:ascii="Arial" w:hAnsi="Arial" w:cs="Arial"/>
          <w:lang w:bidi="ta-IN"/>
        </w:rPr>
        <w:t xml:space="preserve">2021). FT-IR spectroscopy complements phytochemical screening by identifying dominant functional groups. Although the phenolic-rich rhizome extracts were commonly associated with antioxidant effects, the chemical composition of the outer scales layer may differ substantially. Fourier-transform infrared (FT-IR) spectroscopy further supports this phytochemical screening by identifying the dominant chemical nature of the extracts. The preliminary toxicological evaluations using various bioindicator systems provides efficient reliable approach to evaluate the biological activity. The </w:t>
      </w:r>
      <w:r w:rsidRPr="00464F18">
        <w:rPr>
          <w:rFonts w:ascii="Arial" w:hAnsi="Arial" w:cs="Arial"/>
          <w:i/>
          <w:iCs/>
          <w:lang w:bidi="ta-IN"/>
        </w:rPr>
        <w:t>Artemia salina</w:t>
      </w:r>
      <w:r w:rsidRPr="00464F18">
        <w:rPr>
          <w:rFonts w:ascii="Arial" w:hAnsi="Arial" w:cs="Arial"/>
          <w:lang w:bidi="ta-IN"/>
        </w:rPr>
        <w:t xml:space="preserve"> (Brine shrimp) lethality assay serves as a general cytotoxicity screening bioassay for screening cytotoxic potential of natural products (Hamidi</w:t>
      </w:r>
      <w:r w:rsidRPr="00464F18">
        <w:rPr>
          <w:rFonts w:ascii="Arial" w:hAnsi="Arial" w:cs="Arial"/>
          <w:vertAlign w:val="superscript"/>
          <w:lang w:bidi="ta-IN"/>
        </w:rPr>
        <w:t xml:space="preserve"> </w:t>
      </w:r>
      <w:r w:rsidRPr="00464F18">
        <w:rPr>
          <w:rFonts w:ascii="Arial" w:hAnsi="Arial" w:cs="Arial"/>
          <w:i/>
          <w:iCs/>
          <w:lang w:bidi="ta-IN"/>
        </w:rPr>
        <w:t>et al.,</w:t>
      </w:r>
      <w:r w:rsidRPr="00464F18">
        <w:rPr>
          <w:rFonts w:ascii="Arial" w:hAnsi="Arial" w:cs="Arial"/>
          <w:lang w:bidi="ta-IN"/>
        </w:rPr>
        <w:t xml:space="preserve"> 2014;</w:t>
      </w:r>
      <w:r w:rsidRPr="00464F18">
        <w:rPr>
          <w:rFonts w:ascii="Arial" w:eastAsia="Calibri" w:hAnsi="Arial" w:cs="Arial"/>
        </w:rPr>
        <w:t xml:space="preserve"> </w:t>
      </w:r>
      <w:r w:rsidRPr="00464F18">
        <w:rPr>
          <w:rFonts w:ascii="Arial" w:hAnsi="Arial" w:cs="Arial"/>
          <w:lang w:bidi="ta-IN"/>
        </w:rPr>
        <w:t>Meyer</w:t>
      </w:r>
      <w:r w:rsidRPr="00464F18">
        <w:rPr>
          <w:rFonts w:ascii="Arial" w:hAnsi="Arial" w:cs="Arial"/>
          <w:i/>
          <w:iCs/>
          <w:lang w:bidi="ta-IN"/>
        </w:rPr>
        <w:t xml:space="preserve"> et al.,</w:t>
      </w:r>
      <w:r w:rsidRPr="00464F18">
        <w:rPr>
          <w:rFonts w:ascii="Arial" w:hAnsi="Arial" w:cs="Arial"/>
          <w:lang w:bidi="ta-IN"/>
        </w:rPr>
        <w:t xml:space="preserve"> 1982). Furthermore, </w:t>
      </w:r>
      <w:r w:rsidRPr="00464F18">
        <w:rPr>
          <w:rFonts w:ascii="Arial" w:hAnsi="Arial" w:cs="Arial"/>
          <w:i/>
          <w:iCs/>
          <w:lang w:bidi="ta-IN"/>
        </w:rPr>
        <w:t xml:space="preserve">Daphnia magna </w:t>
      </w:r>
      <w:r w:rsidRPr="00464F18">
        <w:rPr>
          <w:rFonts w:ascii="Arial" w:hAnsi="Arial" w:cs="Arial"/>
          <w:lang w:bidi="ta-IN"/>
        </w:rPr>
        <w:t xml:space="preserve">immobilization assay were standard models in ecotoxicological evaluation for assessing concentration- dependent toxicity (OECD, 2004). The </w:t>
      </w:r>
      <w:r w:rsidRPr="00464F18">
        <w:rPr>
          <w:rFonts w:ascii="Arial" w:hAnsi="Arial" w:cs="Arial"/>
          <w:i/>
          <w:iCs/>
          <w:lang w:bidi="ta-IN"/>
        </w:rPr>
        <w:t>Allium cepa</w:t>
      </w:r>
      <w:r w:rsidRPr="00464F18">
        <w:rPr>
          <w:rFonts w:ascii="Arial" w:hAnsi="Arial" w:cs="Arial"/>
          <w:lang w:bidi="ta-IN"/>
        </w:rPr>
        <w:t xml:space="preserve"> assay detects cytotoxic and genotoxic potential through mitotic index suppression and chromosomal aberrations (Leme &amp; Marin-Morales, 2009; </w:t>
      </w:r>
      <w:proofErr w:type="spellStart"/>
      <w:r w:rsidRPr="00464F18">
        <w:rPr>
          <w:rFonts w:ascii="Arial" w:hAnsi="Arial" w:cs="Arial"/>
          <w:lang w:bidi="ta-IN"/>
        </w:rPr>
        <w:t>Bonciu</w:t>
      </w:r>
      <w:proofErr w:type="spellEnd"/>
      <w:r w:rsidRPr="00464F18">
        <w:rPr>
          <w:rFonts w:ascii="Arial" w:hAnsi="Arial" w:cs="Arial"/>
          <w:lang w:bidi="ta-IN"/>
        </w:rPr>
        <w:t xml:space="preserve"> </w:t>
      </w:r>
      <w:r w:rsidRPr="00464F18">
        <w:rPr>
          <w:rFonts w:ascii="Arial" w:hAnsi="Arial" w:cs="Arial"/>
          <w:i/>
          <w:iCs/>
          <w:lang w:bidi="ta-IN"/>
        </w:rPr>
        <w:t>et al.,</w:t>
      </w:r>
      <w:r w:rsidRPr="00464F18">
        <w:rPr>
          <w:rFonts w:ascii="Arial" w:hAnsi="Arial" w:cs="Arial"/>
          <w:lang w:bidi="ta-IN"/>
        </w:rPr>
        <w:t xml:space="preserve"> 2018). This integrated approach enables comprehensive evaluation of biological reactivity. Despite their distinct morphology and routine exclusion in traditional preparations, the outer rhizome scales remain inadequately characterized, representing a clear empirical knowledge gap. Therefore, the present study systematically investigates the anatomical, phytochemical, and toxicological properties of </w:t>
      </w:r>
      <w:proofErr w:type="spellStart"/>
      <w:r w:rsidRPr="00464F18">
        <w:rPr>
          <w:rFonts w:ascii="Arial" w:hAnsi="Arial" w:cs="Arial"/>
          <w:i/>
          <w:iCs/>
          <w:lang w:bidi="ta-IN"/>
        </w:rPr>
        <w:t>Drynaria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lang w:bidi="ta-IN"/>
        </w:rPr>
        <w:t xml:space="preserve"> outer scales to define their biological significance and functional role within the rhizome system.</w:t>
      </w:r>
    </w:p>
    <w:p w14:paraId="356E1FC7" w14:textId="77777777" w:rsidR="00790ADA" w:rsidRPr="00FB3A86" w:rsidRDefault="00790ADA" w:rsidP="00441B6F">
      <w:pPr>
        <w:pStyle w:val="Body"/>
        <w:spacing w:after="0"/>
        <w:rPr>
          <w:rFonts w:ascii="Arial" w:hAnsi="Arial" w:cs="Arial"/>
        </w:rPr>
      </w:pPr>
    </w:p>
    <w:p w14:paraId="5CC5F1D4" w14:textId="77777777" w:rsidR="00BB57BA" w:rsidRDefault="00BB57BA" w:rsidP="00441B6F">
      <w:pPr>
        <w:pStyle w:val="AbstHead"/>
        <w:spacing w:after="0"/>
        <w:jc w:val="both"/>
        <w:rPr>
          <w:rFonts w:ascii="Arial" w:hAnsi="Arial" w:cs="Arial"/>
        </w:rPr>
      </w:pPr>
    </w:p>
    <w:p w14:paraId="30DB385E" w14:textId="77777777" w:rsidR="00BB57BA" w:rsidRDefault="00BB57BA" w:rsidP="00441B6F">
      <w:pPr>
        <w:pStyle w:val="AbstHead"/>
        <w:spacing w:after="0"/>
        <w:jc w:val="both"/>
        <w:rPr>
          <w:rFonts w:ascii="Arial" w:hAnsi="Arial" w:cs="Arial"/>
        </w:rPr>
      </w:pPr>
    </w:p>
    <w:p w14:paraId="650E4CA2"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09EBE90" w14:textId="77777777" w:rsidR="00464F18" w:rsidRPr="00FB3A86" w:rsidRDefault="00464F18" w:rsidP="00441B6F">
      <w:pPr>
        <w:pStyle w:val="AbstHead"/>
        <w:spacing w:after="0"/>
        <w:jc w:val="both"/>
        <w:rPr>
          <w:rFonts w:ascii="Arial" w:hAnsi="Arial" w:cs="Arial"/>
        </w:rPr>
      </w:pPr>
    </w:p>
    <w:p w14:paraId="150180BE" w14:textId="77777777" w:rsidR="00464F18" w:rsidRPr="00464F18" w:rsidRDefault="00464F18" w:rsidP="00464F18">
      <w:pPr>
        <w:pStyle w:val="Body"/>
        <w:spacing w:after="0"/>
        <w:rPr>
          <w:rFonts w:ascii="Arial" w:hAnsi="Arial" w:cs="Arial"/>
          <w:sz w:val="22"/>
          <w:szCs w:val="22"/>
        </w:rPr>
      </w:pPr>
      <w:r w:rsidRPr="00464F18">
        <w:rPr>
          <w:rFonts w:ascii="Arial" w:hAnsi="Arial" w:cs="Arial"/>
          <w:b/>
          <w:bCs/>
          <w:sz w:val="22"/>
          <w:szCs w:val="22"/>
        </w:rPr>
        <w:t xml:space="preserve">2.1 Collection and Authentication of Plant Material </w:t>
      </w:r>
    </w:p>
    <w:p w14:paraId="75B4B82F" w14:textId="77777777" w:rsidR="00464F18" w:rsidRDefault="00464F18" w:rsidP="00464F18">
      <w:pPr>
        <w:pStyle w:val="Body"/>
        <w:spacing w:after="0"/>
        <w:rPr>
          <w:rFonts w:ascii="Arial" w:hAnsi="Arial" w:cs="Arial"/>
        </w:rPr>
      </w:pPr>
    </w:p>
    <w:p w14:paraId="310AE800" w14:textId="77777777" w:rsidR="00464F18" w:rsidRDefault="00464F18" w:rsidP="00464F18">
      <w:pPr>
        <w:pStyle w:val="Body"/>
        <w:spacing w:after="0"/>
        <w:rPr>
          <w:rFonts w:ascii="Arial" w:hAnsi="Arial" w:cs="Arial"/>
        </w:rPr>
      </w:pPr>
      <w:r w:rsidRPr="00464F18">
        <w:rPr>
          <w:rFonts w:ascii="Arial" w:hAnsi="Arial" w:cs="Arial"/>
        </w:rPr>
        <w:lastRenderedPageBreak/>
        <w:t xml:space="preserve">Fresh rhizomes of </w:t>
      </w:r>
      <w:proofErr w:type="spellStart"/>
      <w:r w:rsidRPr="00464F18">
        <w:rPr>
          <w:rFonts w:ascii="Arial" w:hAnsi="Arial" w:cs="Arial"/>
          <w:i/>
          <w:iCs/>
        </w:rPr>
        <w:t>Drynaria</w:t>
      </w:r>
      <w:proofErr w:type="spellEnd"/>
      <w:r w:rsidRPr="00464F18">
        <w:rPr>
          <w:rFonts w:ascii="Arial" w:hAnsi="Arial" w:cs="Arial"/>
          <w:i/>
          <w:iCs/>
        </w:rPr>
        <w:t xml:space="preserve"> </w:t>
      </w:r>
      <w:proofErr w:type="spellStart"/>
      <w:r w:rsidRPr="00464F18">
        <w:rPr>
          <w:rFonts w:ascii="Arial" w:hAnsi="Arial" w:cs="Arial"/>
          <w:i/>
          <w:iCs/>
        </w:rPr>
        <w:t>quercifolia</w:t>
      </w:r>
      <w:proofErr w:type="spellEnd"/>
      <w:r w:rsidRPr="00464F18">
        <w:rPr>
          <w:rFonts w:ascii="Arial" w:hAnsi="Arial" w:cs="Arial"/>
          <w:i/>
          <w:iCs/>
        </w:rPr>
        <w:t xml:space="preserve"> (L.) J. Sm. </w:t>
      </w:r>
      <w:r w:rsidRPr="00464F18">
        <w:rPr>
          <w:rFonts w:ascii="Arial" w:hAnsi="Arial" w:cs="Arial"/>
        </w:rPr>
        <w:t>were collected from the Kolli hills, Tamil Nadu, India, during the September–October 2023. The plant material was authenticated by a Botanical survey of India, Southern Circle, Coimbatore and a voucher specimen was deposited in a college herbarium for future reference.</w:t>
      </w:r>
    </w:p>
    <w:p w14:paraId="0A730479" w14:textId="77777777" w:rsidR="00464F18" w:rsidRPr="00464F18" w:rsidRDefault="00464F18" w:rsidP="00464F18">
      <w:pPr>
        <w:pStyle w:val="Body"/>
        <w:spacing w:after="0"/>
        <w:rPr>
          <w:rFonts w:ascii="Arial" w:hAnsi="Arial" w:cs="Arial"/>
        </w:rPr>
      </w:pPr>
    </w:p>
    <w:p w14:paraId="797F3978"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 xml:space="preserve">2.2 Preparation of Aqueous Extract of Rhizome Scales </w:t>
      </w:r>
    </w:p>
    <w:p w14:paraId="20CCB48B" w14:textId="77777777" w:rsidR="00464F18" w:rsidRDefault="00464F18" w:rsidP="00464F18">
      <w:pPr>
        <w:pStyle w:val="Body"/>
        <w:spacing w:after="0"/>
        <w:rPr>
          <w:rFonts w:ascii="Arial" w:hAnsi="Arial" w:cs="Arial"/>
        </w:rPr>
      </w:pPr>
    </w:p>
    <w:p w14:paraId="68370D63" w14:textId="77777777" w:rsidR="00464F18" w:rsidRDefault="00464F18" w:rsidP="00464F18">
      <w:pPr>
        <w:pStyle w:val="Body"/>
        <w:spacing w:after="0"/>
        <w:rPr>
          <w:rFonts w:ascii="Arial" w:hAnsi="Arial" w:cs="Arial"/>
        </w:rPr>
      </w:pPr>
      <w:r w:rsidRPr="00464F18">
        <w:rPr>
          <w:rFonts w:ascii="Arial" w:hAnsi="Arial" w:cs="Arial"/>
        </w:rPr>
        <w:t xml:space="preserve">Separated rhizome scales were shade-dried at room temperature (28 ± 2 °C) for 7–10 days until constant weight was achieved. While, a portion of fresh scales were set aside for immediate macroscopic examination in their fresh state. The dried scales were pulverized using a mechanical grinder and sieved to obtain a uniform powder. Aqueous extraction was performed to reflect traditional preparation practices. Briefly, 100 g of powdered material was extracted with 500 mL of distilled water by infusion at 60–70 °C for 30 minutes with intermittent stirring. The extract was cooled, filtered through muslin cloth followed by Whatman No. 1 filter paper and concentrated under reduced pressure. The dried extract was stored at 4 °C until further analysis </w:t>
      </w:r>
      <w:r w:rsidRPr="00464F18">
        <w:rPr>
          <w:rFonts w:ascii="Arial" w:hAnsi="Arial" w:cs="Arial"/>
        </w:rPr>
        <w:br/>
        <w:t>(Harborne, 1998).</w:t>
      </w:r>
    </w:p>
    <w:p w14:paraId="23098774" w14:textId="77777777" w:rsidR="00464F18" w:rsidRPr="00464F18" w:rsidRDefault="00464F18" w:rsidP="00464F18">
      <w:pPr>
        <w:pStyle w:val="Body"/>
        <w:spacing w:after="0"/>
        <w:rPr>
          <w:rFonts w:ascii="Arial" w:hAnsi="Arial" w:cs="Arial"/>
        </w:rPr>
      </w:pPr>
    </w:p>
    <w:p w14:paraId="3F9E239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2.3 Macroscopic and Microscopic analysis</w:t>
      </w:r>
    </w:p>
    <w:p w14:paraId="30C919E6" w14:textId="77777777" w:rsidR="00464F18" w:rsidRDefault="00464F18" w:rsidP="00464F18">
      <w:pPr>
        <w:pStyle w:val="Body"/>
        <w:spacing w:after="0"/>
        <w:rPr>
          <w:rFonts w:ascii="Arial" w:hAnsi="Arial" w:cs="Arial"/>
          <w:b/>
          <w:bCs/>
        </w:rPr>
      </w:pPr>
    </w:p>
    <w:p w14:paraId="2DF35A8E"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2.3.1. Macroscopic and Organoleptic Analysis</w:t>
      </w:r>
    </w:p>
    <w:p w14:paraId="6BE5D6CB" w14:textId="77777777" w:rsidR="00464F18" w:rsidRDefault="00464F18" w:rsidP="00464F18">
      <w:pPr>
        <w:pStyle w:val="Body"/>
        <w:spacing w:after="0"/>
        <w:rPr>
          <w:rFonts w:ascii="Arial" w:hAnsi="Arial" w:cs="Arial"/>
        </w:rPr>
      </w:pPr>
    </w:p>
    <w:p w14:paraId="6B6E2873" w14:textId="77777777" w:rsidR="00464F18" w:rsidRPr="00464F18" w:rsidRDefault="00464F18" w:rsidP="00464F18">
      <w:pPr>
        <w:pStyle w:val="Body"/>
        <w:spacing w:after="0"/>
        <w:rPr>
          <w:rFonts w:ascii="Arial" w:hAnsi="Arial" w:cs="Arial"/>
        </w:rPr>
      </w:pPr>
      <w:r w:rsidRPr="00464F18">
        <w:rPr>
          <w:rFonts w:ascii="Arial" w:hAnsi="Arial" w:cs="Arial"/>
        </w:rPr>
        <w:t xml:space="preserve">The macroscopic features of the rhizome scales were documented in both fresh and dried forms. An organoleptic evaluation was performed to record sensory characteristics of scales dried powder, including </w:t>
      </w:r>
      <w:proofErr w:type="spellStart"/>
      <w:r w:rsidRPr="00464F18">
        <w:rPr>
          <w:rFonts w:ascii="Arial" w:hAnsi="Arial" w:cs="Arial"/>
        </w:rPr>
        <w:t>colour</w:t>
      </w:r>
      <w:proofErr w:type="spellEnd"/>
      <w:r w:rsidRPr="00464F18">
        <w:rPr>
          <w:rFonts w:ascii="Arial" w:hAnsi="Arial" w:cs="Arial"/>
        </w:rPr>
        <w:t xml:space="preserve">, </w:t>
      </w:r>
      <w:proofErr w:type="spellStart"/>
      <w:r w:rsidRPr="00464F18">
        <w:rPr>
          <w:rFonts w:ascii="Arial" w:hAnsi="Arial" w:cs="Arial"/>
        </w:rPr>
        <w:t>odour</w:t>
      </w:r>
      <w:proofErr w:type="spellEnd"/>
      <w:r w:rsidRPr="00464F18">
        <w:rPr>
          <w:rFonts w:ascii="Arial" w:hAnsi="Arial" w:cs="Arial"/>
        </w:rPr>
        <w:t>, taste and texture, following the standardized protocols</w:t>
      </w:r>
      <w:r w:rsidRPr="00464F18">
        <w:rPr>
          <w:rFonts w:ascii="Arial" w:hAnsi="Arial" w:cs="Arial"/>
        </w:rPr>
        <w:br/>
        <w:t xml:space="preserve"> (Evans, 2009). Surface morphological features, specifically the shape, base attachment and marginal characteristics, were examined using a handheld magnifying lens (10X) to confirm the diagnostic identity of the material.</w:t>
      </w:r>
    </w:p>
    <w:p w14:paraId="7C12A39B" w14:textId="77777777" w:rsidR="00464F18" w:rsidRDefault="00464F18" w:rsidP="00464F18">
      <w:pPr>
        <w:pStyle w:val="Body"/>
        <w:rPr>
          <w:rFonts w:ascii="Arial" w:hAnsi="Arial" w:cs="Arial"/>
          <w:b/>
          <w:bCs/>
        </w:rPr>
      </w:pPr>
    </w:p>
    <w:p w14:paraId="721B7DCC" w14:textId="77777777" w:rsidR="00464F18" w:rsidRPr="00464F18" w:rsidRDefault="00464F18" w:rsidP="00464F18">
      <w:pPr>
        <w:pStyle w:val="Body"/>
        <w:rPr>
          <w:rFonts w:ascii="Arial" w:hAnsi="Arial" w:cs="Arial"/>
          <w:b/>
          <w:bCs/>
          <w:u w:val="single"/>
        </w:rPr>
      </w:pPr>
      <w:r w:rsidRPr="00464F18">
        <w:rPr>
          <w:rFonts w:ascii="Arial" w:hAnsi="Arial" w:cs="Arial"/>
          <w:b/>
          <w:bCs/>
          <w:u w:val="single"/>
        </w:rPr>
        <w:t>2.3.2</w:t>
      </w:r>
      <w:r w:rsidRPr="00464F18">
        <w:rPr>
          <w:rFonts w:ascii="Arial" w:hAnsi="Arial" w:cs="Arial"/>
          <w:u w:val="single"/>
        </w:rPr>
        <w:t xml:space="preserve"> </w:t>
      </w:r>
      <w:r w:rsidRPr="00464F18">
        <w:rPr>
          <w:rFonts w:ascii="Arial" w:hAnsi="Arial" w:cs="Arial"/>
          <w:b/>
          <w:bCs/>
          <w:u w:val="single"/>
        </w:rPr>
        <w:t>Microscopic Evaluation</w:t>
      </w:r>
    </w:p>
    <w:p w14:paraId="23B5EB21" w14:textId="77777777" w:rsidR="00464F18" w:rsidRPr="00464F18" w:rsidRDefault="00464F18" w:rsidP="00464F18">
      <w:pPr>
        <w:pStyle w:val="Body"/>
        <w:spacing w:after="0"/>
        <w:rPr>
          <w:rFonts w:ascii="Arial" w:hAnsi="Arial" w:cs="Arial"/>
        </w:rPr>
      </w:pPr>
      <w:r w:rsidRPr="00464F18">
        <w:rPr>
          <w:rFonts w:ascii="Arial" w:hAnsi="Arial" w:cs="Arial"/>
        </w:rPr>
        <w:t>The surface morphology of the rhizome scales was examined using a whole-mount microscopic technique. Freshly separated scales were placed on a glass slide and treated with a 1% Safranin solution to differentiate lignified tissues. Excess stain was removed and the specimens were mounted in glycerin to prevent desiccation. The slides were observed under a light microscope at 10x and 40x magnifications to document the marginal cilia, trichomes and the cellular arrangement of the peltate base.</w:t>
      </w:r>
    </w:p>
    <w:p w14:paraId="150A19BF" w14:textId="77777777" w:rsidR="00464F18" w:rsidRDefault="00464F18" w:rsidP="00464F18">
      <w:pPr>
        <w:pStyle w:val="Body"/>
        <w:spacing w:after="0"/>
        <w:rPr>
          <w:rFonts w:ascii="Arial" w:hAnsi="Arial" w:cs="Arial"/>
          <w:b/>
          <w:bCs/>
        </w:rPr>
      </w:pPr>
    </w:p>
    <w:p w14:paraId="3F8A762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2.4 Preliminary Phytochemical Screening</w:t>
      </w:r>
    </w:p>
    <w:p w14:paraId="3DE46242" w14:textId="77777777" w:rsidR="00464F18" w:rsidRDefault="00464F18" w:rsidP="00464F18">
      <w:pPr>
        <w:pStyle w:val="Body"/>
        <w:spacing w:after="0"/>
        <w:rPr>
          <w:rFonts w:ascii="Arial" w:hAnsi="Arial" w:cs="Arial"/>
        </w:rPr>
      </w:pPr>
    </w:p>
    <w:p w14:paraId="7D9A4382" w14:textId="77777777" w:rsidR="00464F18" w:rsidRPr="00464F18" w:rsidRDefault="00464F18" w:rsidP="00464F18">
      <w:pPr>
        <w:pStyle w:val="Body"/>
        <w:spacing w:after="0"/>
        <w:rPr>
          <w:rFonts w:ascii="Arial" w:hAnsi="Arial" w:cs="Arial"/>
        </w:rPr>
      </w:pPr>
      <w:r w:rsidRPr="00464F18">
        <w:rPr>
          <w:rFonts w:ascii="Arial" w:hAnsi="Arial" w:cs="Arial"/>
        </w:rPr>
        <w:t xml:space="preserve">Qualitative phytochemical screening of the aqueous extract was performed to detect major classes of secondary metabolites including alkaloids, flavonoids, phenols, tannins, sterols, terpenoids, carbohydrates, and proteins using standard chemical tests. Observations were recorded based on </w:t>
      </w:r>
      <w:proofErr w:type="spellStart"/>
      <w:r w:rsidRPr="00464F18">
        <w:rPr>
          <w:rFonts w:ascii="Arial" w:hAnsi="Arial" w:cs="Arial"/>
        </w:rPr>
        <w:t>colour</w:t>
      </w:r>
      <w:proofErr w:type="spellEnd"/>
      <w:r w:rsidRPr="00464F18">
        <w:rPr>
          <w:rFonts w:ascii="Arial" w:hAnsi="Arial" w:cs="Arial"/>
        </w:rPr>
        <w:t xml:space="preserve"> development or precipitate formation (Harborne, 1998; Evans</w:t>
      </w:r>
      <w:r>
        <w:rPr>
          <w:rFonts w:ascii="Arial" w:hAnsi="Arial" w:cs="Arial"/>
        </w:rPr>
        <w:t xml:space="preserve">, 2009; </w:t>
      </w:r>
      <w:r w:rsidRPr="00464F18">
        <w:rPr>
          <w:rFonts w:ascii="Arial" w:hAnsi="Arial" w:cs="Arial"/>
        </w:rPr>
        <w:t>Raman, 2006</w:t>
      </w:r>
      <w:proofErr w:type="gramStart"/>
      <w:r w:rsidRPr="00464F18">
        <w:rPr>
          <w:rFonts w:ascii="Arial" w:hAnsi="Arial" w:cs="Arial"/>
        </w:rPr>
        <w:t>) .</w:t>
      </w:r>
      <w:proofErr w:type="gramEnd"/>
    </w:p>
    <w:p w14:paraId="221CC1A6" w14:textId="77777777" w:rsidR="00464F18" w:rsidRDefault="00464F18" w:rsidP="00464F18">
      <w:pPr>
        <w:pStyle w:val="Body"/>
        <w:spacing w:after="0"/>
        <w:rPr>
          <w:rFonts w:ascii="Arial" w:hAnsi="Arial" w:cs="Arial"/>
          <w:b/>
          <w:bCs/>
        </w:rPr>
      </w:pPr>
    </w:p>
    <w:p w14:paraId="443DB4A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2.5 Fourier Transform Infrared (FTIR) Spectroscopy</w:t>
      </w:r>
    </w:p>
    <w:p w14:paraId="0E49339B" w14:textId="77777777" w:rsidR="00464F18" w:rsidRDefault="00464F18" w:rsidP="00464F18">
      <w:pPr>
        <w:pStyle w:val="Body"/>
        <w:spacing w:after="0"/>
        <w:rPr>
          <w:rFonts w:ascii="Arial" w:hAnsi="Arial" w:cs="Arial"/>
        </w:rPr>
      </w:pPr>
    </w:p>
    <w:p w14:paraId="294D8439" w14:textId="77777777" w:rsidR="00464F18" w:rsidRPr="00464F18" w:rsidRDefault="00464F18" w:rsidP="00464F18">
      <w:pPr>
        <w:pStyle w:val="Body"/>
        <w:spacing w:after="0"/>
        <w:rPr>
          <w:rFonts w:ascii="Arial" w:hAnsi="Arial" w:cs="Arial"/>
        </w:rPr>
      </w:pPr>
      <w:r w:rsidRPr="00464F18">
        <w:rPr>
          <w:rFonts w:ascii="Arial" w:hAnsi="Arial" w:cs="Arial"/>
        </w:rPr>
        <w:t xml:space="preserve">FTIR analysis was conducted to identify functional groups present in the aqueous extract. Dried extract (10 mg) was mixed with spectroscopic-grade potassium bromide and compressed into pellets. Spectra were recorded using an FTIR spectrophotometer in the </w:t>
      </w:r>
      <w:r w:rsidRPr="00464F18">
        <w:rPr>
          <w:rFonts w:ascii="Arial" w:hAnsi="Arial" w:cs="Arial"/>
        </w:rPr>
        <w:lastRenderedPageBreak/>
        <w:t>range of 400–4000 cm</w:t>
      </w:r>
      <w:r w:rsidRPr="00464F18">
        <w:rPr>
          <w:rFonts w:ascii="Cambria Math" w:hAnsi="Cambria Math" w:cs="Cambria Math"/>
        </w:rPr>
        <w:t>⁻</w:t>
      </w:r>
      <w:r w:rsidRPr="00464F18">
        <w:rPr>
          <w:rFonts w:ascii="Arial" w:hAnsi="Arial" w:cs="Arial"/>
        </w:rPr>
        <w:t>¹ at a resolution of 4 cm</w:t>
      </w:r>
      <w:r w:rsidRPr="00464F18">
        <w:rPr>
          <w:rFonts w:ascii="Cambria Math" w:hAnsi="Cambria Math" w:cs="Cambria Math"/>
        </w:rPr>
        <w:t>⁻</w:t>
      </w:r>
      <w:r w:rsidRPr="00464F18">
        <w:rPr>
          <w:rFonts w:ascii="Arial" w:hAnsi="Arial" w:cs="Arial"/>
        </w:rPr>
        <w:t>¹. Functional groups were assigned based on characteristic absorption peaks (Stuart, 2004).</w:t>
      </w:r>
    </w:p>
    <w:p w14:paraId="1DD63A0D" w14:textId="77777777" w:rsidR="00464F18" w:rsidRDefault="00464F18" w:rsidP="00464F18">
      <w:pPr>
        <w:pStyle w:val="Body"/>
        <w:spacing w:after="0"/>
        <w:rPr>
          <w:rFonts w:ascii="Arial" w:hAnsi="Arial" w:cs="Arial"/>
          <w:b/>
          <w:bCs/>
        </w:rPr>
      </w:pPr>
    </w:p>
    <w:p w14:paraId="3E7DD92B"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2.6 Toxicological Evaluation</w:t>
      </w:r>
    </w:p>
    <w:p w14:paraId="7D01154B" w14:textId="77777777" w:rsidR="00464F18" w:rsidRDefault="00464F18" w:rsidP="00464F18">
      <w:pPr>
        <w:pStyle w:val="Body"/>
        <w:spacing w:after="0"/>
        <w:rPr>
          <w:rFonts w:ascii="Arial" w:hAnsi="Arial" w:cs="Arial"/>
          <w:b/>
          <w:bCs/>
        </w:rPr>
      </w:pPr>
    </w:p>
    <w:p w14:paraId="2D9AD3CF"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2.6.1 Brine Shrimp (</w:t>
      </w:r>
      <w:r w:rsidRPr="00464F18">
        <w:rPr>
          <w:rFonts w:ascii="Arial" w:hAnsi="Arial" w:cs="Arial"/>
          <w:b/>
          <w:bCs/>
          <w:i/>
          <w:iCs/>
          <w:u w:val="single"/>
        </w:rPr>
        <w:t>Artemia salina</w:t>
      </w:r>
      <w:r w:rsidRPr="00464F18">
        <w:rPr>
          <w:rFonts w:ascii="Arial" w:hAnsi="Arial" w:cs="Arial"/>
          <w:b/>
          <w:bCs/>
          <w:u w:val="single"/>
        </w:rPr>
        <w:t>) Lethality Assay</w:t>
      </w:r>
    </w:p>
    <w:p w14:paraId="27BC85E4" w14:textId="77777777" w:rsidR="00464F18" w:rsidRDefault="00464F18" w:rsidP="00464F18">
      <w:pPr>
        <w:pStyle w:val="Body"/>
        <w:spacing w:after="0"/>
        <w:rPr>
          <w:rFonts w:ascii="Arial" w:hAnsi="Arial" w:cs="Arial"/>
        </w:rPr>
      </w:pPr>
    </w:p>
    <w:p w14:paraId="06693F91" w14:textId="77777777" w:rsidR="00464F18" w:rsidRDefault="00464F18" w:rsidP="00464F18">
      <w:pPr>
        <w:pStyle w:val="Body"/>
        <w:spacing w:after="0"/>
        <w:rPr>
          <w:rFonts w:ascii="Arial" w:hAnsi="Arial" w:cs="Arial"/>
        </w:rPr>
      </w:pPr>
      <w:r w:rsidRPr="00464F18">
        <w:rPr>
          <w:rFonts w:ascii="Arial" w:hAnsi="Arial" w:cs="Arial"/>
        </w:rPr>
        <w:t xml:space="preserve">The brine shrimp lethality assay was used as a preliminary cytotoxicity screening model. </w:t>
      </w:r>
      <w:r w:rsidRPr="00464F18">
        <w:rPr>
          <w:rFonts w:ascii="Arial" w:hAnsi="Arial" w:cs="Arial"/>
        </w:rPr>
        <w:br/>
      </w:r>
      <w:r w:rsidRPr="00464F18">
        <w:rPr>
          <w:rFonts w:ascii="Arial" w:hAnsi="Arial" w:cs="Arial"/>
          <w:i/>
          <w:iCs/>
        </w:rPr>
        <w:t>Artemia salina</w:t>
      </w:r>
      <w:r w:rsidRPr="00464F18">
        <w:rPr>
          <w:rFonts w:ascii="Arial" w:hAnsi="Arial" w:cs="Arial"/>
        </w:rPr>
        <w:t xml:space="preserve"> eggs were hatched in artificial seawater under continuous aeration and illumination. After 48 hours, active nauplii were </w:t>
      </w:r>
      <w:proofErr w:type="spellStart"/>
      <w:r w:rsidRPr="00464F18">
        <w:rPr>
          <w:rFonts w:ascii="Arial" w:hAnsi="Arial" w:cs="Arial"/>
        </w:rPr>
        <w:t>collected.Test</w:t>
      </w:r>
      <w:proofErr w:type="spellEnd"/>
      <w:r w:rsidRPr="00464F18">
        <w:rPr>
          <w:rFonts w:ascii="Arial" w:hAnsi="Arial" w:cs="Arial"/>
        </w:rPr>
        <w:t xml:space="preserve"> concentrations (100, 250, 500, 1000 and 1500 µg/mL) were prepared in artificial seawater. Each concentration was tested in triplicate using 30 nauplii per group. Mortality was recorded after 24 hours and percentage mortality was calculated. </w:t>
      </w:r>
    </w:p>
    <w:p w14:paraId="0EB858F3" w14:textId="77777777" w:rsidR="00464F18" w:rsidRPr="00464F18" w:rsidRDefault="00464F18" w:rsidP="00464F18">
      <w:pPr>
        <w:pStyle w:val="Body"/>
        <w:spacing w:after="0"/>
        <w:rPr>
          <w:rFonts w:ascii="Arial" w:hAnsi="Arial" w:cs="Arial"/>
        </w:rPr>
      </w:pPr>
    </w:p>
    <w:p w14:paraId="51390964" w14:textId="77777777" w:rsidR="00464F18" w:rsidRDefault="00464F18" w:rsidP="00464F18">
      <w:pPr>
        <w:pStyle w:val="Body"/>
        <w:spacing w:after="0"/>
        <w:jc w:val="center"/>
        <w:rPr>
          <w:rFonts w:ascii="Arial" w:hAnsi="Arial" w:cs="Arial"/>
          <w:iCs/>
        </w:rPr>
      </w:pPr>
      <w:r w:rsidRPr="00464F18">
        <w:rPr>
          <w:rFonts w:ascii="Arial" w:hAnsi="Arial" w:cs="Arial"/>
        </w:rPr>
        <w:t xml:space="preserve">Percentage of Mortality%=  </w:t>
      </w:r>
      <m:oMath>
        <m:f>
          <m:fPr>
            <m:ctrlPr>
              <w:rPr>
                <w:rFonts w:ascii="Cambria Math" w:hAnsi="Cambria Math" w:cs="Arial"/>
                <w:iCs/>
              </w:rPr>
            </m:ctrlPr>
          </m:fPr>
          <m:num>
            <m:r>
              <m:rPr>
                <m:sty m:val="p"/>
              </m:rPr>
              <w:rPr>
                <w:rFonts w:ascii="Cambria Math" w:hAnsi="Cambria Math" w:cs="Arial"/>
              </w:rPr>
              <m:t>No. of Brine shrimp dead</m:t>
            </m:r>
          </m:num>
          <m:den>
            <m:r>
              <m:rPr>
                <m:sty m:val="p"/>
              </m:rPr>
              <w:rPr>
                <w:rFonts w:ascii="Cambria Math" w:hAnsi="Cambria Math" w:cs="Arial"/>
              </w:rPr>
              <m:t>Total number of brine shrimp present</m:t>
            </m:r>
          </m:den>
        </m:f>
      </m:oMath>
      <w:r w:rsidRPr="00464F18">
        <w:rPr>
          <w:rFonts w:ascii="Arial" w:hAnsi="Arial" w:cs="Arial"/>
          <w:iCs/>
        </w:rPr>
        <w:t xml:space="preserve"> x 100</w:t>
      </w:r>
    </w:p>
    <w:p w14:paraId="142A1420" w14:textId="77777777" w:rsidR="00464F18" w:rsidRPr="00464F18" w:rsidRDefault="00464F18" w:rsidP="00464F18">
      <w:pPr>
        <w:pStyle w:val="Body"/>
        <w:spacing w:after="0"/>
        <w:jc w:val="center"/>
        <w:rPr>
          <w:rFonts w:ascii="Arial" w:hAnsi="Arial" w:cs="Arial"/>
        </w:rPr>
      </w:pPr>
    </w:p>
    <w:p w14:paraId="2D52DE73" w14:textId="77777777" w:rsidR="00464F18" w:rsidRDefault="00464F18" w:rsidP="00464F18">
      <w:pPr>
        <w:pStyle w:val="Body"/>
        <w:spacing w:after="0"/>
        <w:rPr>
          <w:rFonts w:ascii="Arial" w:hAnsi="Arial" w:cs="Arial"/>
        </w:rPr>
      </w:pPr>
      <w:r w:rsidRPr="00464F18">
        <w:rPr>
          <w:rFonts w:ascii="Arial" w:hAnsi="Arial" w:cs="Arial"/>
        </w:rPr>
        <w:t>LC</w:t>
      </w:r>
      <w:r w:rsidRPr="00464F18">
        <w:rPr>
          <w:rFonts w:ascii="Cambria Math" w:hAnsi="Cambria Math" w:cs="Cambria Math"/>
        </w:rPr>
        <w:t>₅₀</w:t>
      </w:r>
      <w:r w:rsidRPr="00464F18">
        <w:rPr>
          <w:rFonts w:ascii="Arial" w:hAnsi="Arial" w:cs="Arial"/>
        </w:rPr>
        <w:t xml:space="preserve"> (Lethality concentration) values were estimated using linear interpolation between adjacent concentrations bracketing 50% mortality (Meyer</w:t>
      </w:r>
      <w:r w:rsidRPr="00464F18">
        <w:rPr>
          <w:rFonts w:ascii="Arial" w:hAnsi="Arial" w:cs="Arial"/>
          <w:i/>
          <w:iCs/>
        </w:rPr>
        <w:t xml:space="preserve"> et al.,</w:t>
      </w:r>
      <w:r w:rsidRPr="00464F18">
        <w:rPr>
          <w:rFonts w:ascii="Arial" w:hAnsi="Arial" w:cs="Arial"/>
        </w:rPr>
        <w:t xml:space="preserve"> 1982).</w:t>
      </w:r>
    </w:p>
    <w:p w14:paraId="5F2CBEE9" w14:textId="77777777" w:rsidR="00464F18" w:rsidRPr="00464F18" w:rsidRDefault="00464F18" w:rsidP="00464F18">
      <w:pPr>
        <w:pStyle w:val="Body"/>
        <w:spacing w:after="0"/>
        <w:rPr>
          <w:rFonts w:ascii="Arial" w:hAnsi="Arial" w:cs="Arial"/>
        </w:rPr>
      </w:pPr>
    </w:p>
    <w:p w14:paraId="52A4E861" w14:textId="77777777" w:rsidR="00464F18" w:rsidRDefault="00464F18" w:rsidP="00464F18">
      <w:pPr>
        <w:pStyle w:val="Body"/>
        <w:spacing w:after="0"/>
        <w:jc w:val="center"/>
        <w:rPr>
          <w:rFonts w:ascii="Arial" w:hAnsi="Arial" w:cs="Arial"/>
        </w:rPr>
      </w:pPr>
      <w:r w:rsidRPr="00464F18">
        <w:rPr>
          <w:rFonts w:ascii="Arial" w:hAnsi="Arial" w:cs="Arial"/>
        </w:rPr>
        <w:t>LC</w:t>
      </w:r>
      <w:r w:rsidRPr="00464F18">
        <w:rPr>
          <w:rFonts w:ascii="Arial" w:hAnsi="Arial" w:cs="Arial"/>
          <w:vertAlign w:val="subscript"/>
        </w:rPr>
        <w:t>50</w:t>
      </w:r>
      <w:r w:rsidRPr="00464F18">
        <w:rPr>
          <w:rFonts w:ascii="Arial" w:hAnsi="Arial" w:cs="Arial"/>
        </w:rPr>
        <w:t>​=C</w:t>
      </w:r>
      <w:r w:rsidRPr="00464F18">
        <w:rPr>
          <w:rFonts w:ascii="Arial" w:hAnsi="Arial" w:cs="Arial"/>
          <w:vertAlign w:val="subscript"/>
        </w:rPr>
        <w:t>L</w:t>
      </w:r>
      <w:r w:rsidRPr="00464F18">
        <w:rPr>
          <w:rFonts w:ascii="Arial" w:hAnsi="Arial" w:cs="Arial"/>
        </w:rPr>
        <w:t xml:space="preserve">​+ </w:t>
      </w:r>
      <m:oMath>
        <m:f>
          <m:fPr>
            <m:ctrlPr>
              <w:rPr>
                <w:rFonts w:ascii="Cambria Math" w:hAnsi="Cambria Math" w:cs="Arial"/>
                <w:i/>
              </w:rPr>
            </m:ctrlPr>
          </m:fPr>
          <m:num>
            <m:r>
              <m:rPr>
                <m:sty m:val="p"/>
              </m:rPr>
              <w:rPr>
                <w:rFonts w:ascii="Cambria Math" w:hAnsi="Cambria Math" w:cs="Arial"/>
              </w:rPr>
              <m:t>50-</m:t>
            </m:r>
            <m:sSub>
              <m:sSubPr>
                <m:ctrlPr>
                  <w:rPr>
                    <w:rFonts w:ascii="Cambria Math" w:hAnsi="Cambria Math" w:cs="Arial"/>
                    <w:vertAlign w:val="subscript"/>
                  </w:rPr>
                </m:ctrlPr>
              </m:sSubPr>
              <m:e>
                <m:r>
                  <m:rPr>
                    <m:sty m:val="p"/>
                  </m:rPr>
                  <w:rPr>
                    <w:rFonts w:ascii="Cambria Math" w:hAnsi="Cambria Math" w:cs="Arial"/>
                  </w:rPr>
                  <m:t>M</m:t>
                </m:r>
              </m:e>
              <m:sub>
                <m:r>
                  <m:rPr>
                    <m:sty m:val="p"/>
                  </m:rPr>
                  <w:rPr>
                    <w:rFonts w:ascii="Cambria Math" w:hAnsi="Cambria Math" w:cs="Arial"/>
                    <w:vertAlign w:val="subscript"/>
                  </w:rPr>
                  <m:t>L</m:t>
                </m:r>
              </m:sub>
            </m:sSub>
            <m:r>
              <m:rPr>
                <m:sty m:val="p"/>
              </m:rPr>
              <w:rPr>
                <w:rFonts w:ascii="Cambria Math" w:hAnsi="Cambria Math" w:cs="Arial"/>
              </w:rPr>
              <m:t xml:space="preserve"> </m:t>
            </m:r>
          </m:num>
          <m:den>
            <m:sSub>
              <m:sSubPr>
                <m:ctrlPr>
                  <w:rPr>
                    <w:rFonts w:ascii="Cambria Math" w:hAnsi="Cambria Math" w:cs="Arial"/>
                    <w:i/>
                  </w:rPr>
                </m:ctrlPr>
              </m:sSubPr>
              <m:e>
                <m:r>
                  <m:rPr>
                    <m:sty m:val="p"/>
                  </m:rPr>
                  <w:rPr>
                    <w:rFonts w:ascii="Cambria Math" w:hAnsi="Cambria Math" w:cs="Arial"/>
                  </w:rPr>
                  <m:t>M</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L</m:t>
                </m:r>
              </m:sub>
            </m:sSub>
          </m:den>
        </m:f>
      </m:oMath>
      <w:r w:rsidRPr="00464F18">
        <w:rPr>
          <w:rFonts w:ascii="Arial" w:hAnsi="Arial" w:cs="Arial"/>
        </w:rPr>
        <w:t>× (C</w:t>
      </w:r>
      <w:r w:rsidRPr="00464F18">
        <w:rPr>
          <w:rFonts w:ascii="Arial" w:hAnsi="Arial" w:cs="Arial"/>
          <w:vertAlign w:val="subscript"/>
        </w:rPr>
        <w:t>H</w:t>
      </w:r>
      <w:r w:rsidRPr="00464F18">
        <w:rPr>
          <w:rFonts w:ascii="Arial" w:hAnsi="Arial" w:cs="Arial"/>
        </w:rPr>
        <w:t>​−C</w:t>
      </w:r>
      <w:r w:rsidRPr="00464F18">
        <w:rPr>
          <w:rFonts w:ascii="Arial" w:hAnsi="Arial" w:cs="Arial"/>
          <w:vertAlign w:val="subscript"/>
        </w:rPr>
        <w:t>L</w:t>
      </w:r>
      <w:r w:rsidRPr="00464F18">
        <w:rPr>
          <w:rFonts w:ascii="Arial" w:hAnsi="Arial" w:cs="Arial"/>
        </w:rPr>
        <w:t>)</w:t>
      </w:r>
    </w:p>
    <w:p w14:paraId="1B73B51F" w14:textId="77777777" w:rsidR="00464F18" w:rsidRPr="00464F18" w:rsidRDefault="00464F18" w:rsidP="00464F18">
      <w:pPr>
        <w:pStyle w:val="Body"/>
        <w:spacing w:after="0"/>
        <w:jc w:val="center"/>
        <w:rPr>
          <w:rFonts w:ascii="Arial" w:hAnsi="Arial" w:cs="Arial"/>
        </w:rPr>
      </w:pPr>
    </w:p>
    <w:p w14:paraId="40F81E9C" w14:textId="77777777" w:rsidR="00464F18" w:rsidRDefault="00464F18" w:rsidP="00464F18">
      <w:pPr>
        <w:pStyle w:val="Body"/>
        <w:spacing w:after="0"/>
        <w:rPr>
          <w:rFonts w:ascii="Arial" w:hAnsi="Arial" w:cs="Arial"/>
        </w:rPr>
      </w:pPr>
      <w:proofErr w:type="spellStart"/>
      <w:r w:rsidRPr="00464F18">
        <w:rPr>
          <w:rFonts w:ascii="Arial" w:hAnsi="Arial" w:cs="Arial"/>
        </w:rPr>
        <w:t>Where,C</w:t>
      </w:r>
      <w:r w:rsidRPr="00464F18">
        <w:rPr>
          <w:rFonts w:ascii="Arial" w:hAnsi="Arial" w:cs="Arial"/>
          <w:vertAlign w:val="subscript"/>
        </w:rPr>
        <w:t>L</w:t>
      </w:r>
      <w:proofErr w:type="spellEnd"/>
      <w:r w:rsidRPr="00464F18">
        <w:rPr>
          <w:rFonts w:ascii="Arial" w:hAnsi="Arial" w:cs="Arial"/>
        </w:rPr>
        <w:t>​ = lower concentration producing mortality below 50%,C</w:t>
      </w:r>
      <w:r w:rsidRPr="00464F18">
        <w:rPr>
          <w:rFonts w:ascii="Arial" w:hAnsi="Arial" w:cs="Arial"/>
          <w:vertAlign w:val="subscript"/>
        </w:rPr>
        <w:t xml:space="preserve">H </w:t>
      </w:r>
      <w:r w:rsidRPr="00464F18">
        <w:rPr>
          <w:rFonts w:ascii="Arial" w:hAnsi="Arial" w:cs="Arial"/>
        </w:rPr>
        <w:t>= higher concentration producing mortality above 50%, M</w:t>
      </w:r>
      <w:r w:rsidRPr="00464F18">
        <w:rPr>
          <w:rFonts w:ascii="Arial" w:hAnsi="Arial" w:cs="Arial"/>
          <w:vertAlign w:val="subscript"/>
        </w:rPr>
        <w:t>L</w:t>
      </w:r>
      <w:r w:rsidRPr="00464F18">
        <w:rPr>
          <w:rFonts w:ascii="Arial" w:hAnsi="Arial" w:cs="Arial"/>
        </w:rPr>
        <w:t>​ = percentage mortality at C</w:t>
      </w:r>
      <w:r w:rsidRPr="00464F18">
        <w:rPr>
          <w:rFonts w:ascii="Arial" w:hAnsi="Arial" w:cs="Arial"/>
          <w:vertAlign w:val="subscript"/>
        </w:rPr>
        <w:t>L,</w:t>
      </w:r>
      <w:r w:rsidRPr="00464F18">
        <w:rPr>
          <w:rFonts w:ascii="Arial" w:hAnsi="Arial" w:cs="Arial"/>
        </w:rPr>
        <w:t xml:space="preserve"> M</w:t>
      </w:r>
      <w:r w:rsidRPr="00464F18">
        <w:rPr>
          <w:rFonts w:ascii="Arial" w:hAnsi="Arial" w:cs="Arial"/>
          <w:vertAlign w:val="subscript"/>
        </w:rPr>
        <w:t>H</w:t>
      </w:r>
      <w:r w:rsidRPr="00464F18">
        <w:rPr>
          <w:rFonts w:ascii="Arial" w:hAnsi="Arial" w:cs="Arial"/>
        </w:rPr>
        <w:t xml:space="preserve"> = percentage mortality at C</w:t>
      </w:r>
      <w:r w:rsidRPr="00464F18">
        <w:rPr>
          <w:rFonts w:ascii="Arial" w:hAnsi="Arial" w:cs="Arial"/>
          <w:vertAlign w:val="subscript"/>
        </w:rPr>
        <w:t>H.</w:t>
      </w:r>
      <w:r w:rsidRPr="00464F18">
        <w:rPr>
          <w:rFonts w:ascii="Arial" w:hAnsi="Arial" w:cs="Arial"/>
        </w:rPr>
        <w:t xml:space="preserve"> Confidence limits (95%) were estimated based on the concentration interval surrounding the 50% response, consistent with standard acute toxicity estimation procedures.</w:t>
      </w:r>
    </w:p>
    <w:p w14:paraId="09BB10EE" w14:textId="77777777" w:rsidR="00464F18" w:rsidRPr="00464F18" w:rsidRDefault="00464F18" w:rsidP="00464F18">
      <w:pPr>
        <w:pStyle w:val="Body"/>
        <w:spacing w:after="0"/>
        <w:rPr>
          <w:rFonts w:ascii="Arial" w:hAnsi="Arial" w:cs="Arial"/>
        </w:rPr>
      </w:pPr>
    </w:p>
    <w:p w14:paraId="68852E29"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 xml:space="preserve">2.6.2 </w:t>
      </w:r>
      <w:r w:rsidRPr="00464F18">
        <w:rPr>
          <w:rFonts w:ascii="Arial" w:hAnsi="Arial" w:cs="Arial"/>
          <w:b/>
          <w:bCs/>
          <w:i/>
          <w:iCs/>
          <w:u w:val="single"/>
        </w:rPr>
        <w:t>Daphnia magna</w:t>
      </w:r>
      <w:r w:rsidRPr="00464F18">
        <w:rPr>
          <w:rFonts w:ascii="Arial" w:hAnsi="Arial" w:cs="Arial"/>
          <w:b/>
          <w:bCs/>
          <w:u w:val="single"/>
        </w:rPr>
        <w:t xml:space="preserve"> Acute Toxicity Assay</w:t>
      </w:r>
    </w:p>
    <w:p w14:paraId="5848C178" w14:textId="77777777" w:rsidR="00464F18" w:rsidRPr="00464F18" w:rsidRDefault="00464F18" w:rsidP="00464F18">
      <w:pPr>
        <w:pStyle w:val="Body"/>
        <w:spacing w:after="0"/>
        <w:rPr>
          <w:rFonts w:ascii="Arial" w:hAnsi="Arial" w:cs="Arial"/>
          <w:b/>
          <w:bCs/>
          <w:u w:val="single"/>
        </w:rPr>
      </w:pPr>
    </w:p>
    <w:p w14:paraId="7A330BFB" w14:textId="77777777" w:rsidR="00464F18" w:rsidRPr="00464F18" w:rsidRDefault="00464F18" w:rsidP="00464F18">
      <w:pPr>
        <w:pStyle w:val="Body"/>
        <w:spacing w:after="0"/>
        <w:rPr>
          <w:rFonts w:ascii="Arial" w:hAnsi="Arial" w:cs="Arial"/>
          <w:lang w:val="en-IN"/>
        </w:rPr>
      </w:pPr>
      <w:r w:rsidRPr="00464F18">
        <w:rPr>
          <w:rFonts w:ascii="Arial" w:hAnsi="Arial" w:cs="Arial"/>
          <w:lang w:val="en-IN"/>
        </w:rPr>
        <w:t xml:space="preserve">Copepods were collected from </w:t>
      </w:r>
      <w:proofErr w:type="spellStart"/>
      <w:r w:rsidRPr="00464F18">
        <w:rPr>
          <w:rFonts w:ascii="Arial" w:hAnsi="Arial" w:cs="Arial"/>
          <w:lang w:val="en-IN"/>
        </w:rPr>
        <w:t>Singanalur</w:t>
      </w:r>
      <w:proofErr w:type="spellEnd"/>
      <w:r w:rsidRPr="00464F18">
        <w:rPr>
          <w:rFonts w:ascii="Arial" w:hAnsi="Arial" w:cs="Arial"/>
          <w:lang w:val="en-IN"/>
        </w:rPr>
        <w:t xml:space="preserve"> Lake, Coimbatore (November 2023) using </w:t>
      </w:r>
      <w:r w:rsidRPr="00464F18">
        <w:rPr>
          <w:rFonts w:ascii="Arial" w:hAnsi="Arial" w:cs="Arial"/>
          <w:lang w:val="en-IN"/>
        </w:rPr>
        <w:br/>
        <w:t xml:space="preserve">200 µm and 160 µm mesh nets. Samples were sorted microscopically, fixed in 5% formalin for identification, and species were confirmed using standard taxonomic keys. Toxicity of </w:t>
      </w:r>
      <w:r w:rsidRPr="00464F18">
        <w:rPr>
          <w:rFonts w:ascii="Arial" w:hAnsi="Arial" w:cs="Arial"/>
          <w:lang w:val="en-IN"/>
        </w:rPr>
        <w:br/>
      </w:r>
      <w:r w:rsidRPr="00464F18">
        <w:rPr>
          <w:rFonts w:ascii="Arial" w:hAnsi="Arial" w:cs="Arial"/>
          <w:i/>
          <w:iCs/>
          <w:lang w:val="en-IN"/>
        </w:rPr>
        <w:t xml:space="preserve">D. </w:t>
      </w:r>
      <w:proofErr w:type="spellStart"/>
      <w:r w:rsidRPr="00464F18">
        <w:rPr>
          <w:rFonts w:ascii="Arial" w:hAnsi="Arial" w:cs="Arial"/>
          <w:i/>
          <w:iCs/>
          <w:lang w:val="en-IN"/>
        </w:rPr>
        <w:t>quercifolia</w:t>
      </w:r>
      <w:proofErr w:type="spellEnd"/>
      <w:r w:rsidRPr="00464F18">
        <w:rPr>
          <w:rFonts w:ascii="Arial" w:hAnsi="Arial" w:cs="Arial"/>
          <w:lang w:val="en-IN"/>
        </w:rPr>
        <w:t xml:space="preserve"> scales was assessed in 24-well plates containing 3 mL freshwater with 30 (24 h old) </w:t>
      </w:r>
      <w:r w:rsidRPr="00464F18">
        <w:rPr>
          <w:rFonts w:ascii="Arial" w:hAnsi="Arial" w:cs="Arial"/>
          <w:i/>
          <w:iCs/>
          <w:lang w:val="en-IN"/>
        </w:rPr>
        <w:t>Daphnia magna</w:t>
      </w:r>
      <w:r w:rsidRPr="00464F18">
        <w:rPr>
          <w:rFonts w:ascii="Arial" w:hAnsi="Arial" w:cs="Arial"/>
          <w:lang w:val="en-IN"/>
        </w:rPr>
        <w:t xml:space="preserve"> per well. Test concentrations (100–1500 µg/mL) were evaluated in triplicate, with untreated controls. Survival was recorded at 24 and 48 h. Yeast served as the feeding control. </w:t>
      </w:r>
      <w:r w:rsidRPr="00464F18">
        <w:rPr>
          <w:rFonts w:ascii="Arial" w:hAnsi="Arial" w:cs="Arial"/>
        </w:rPr>
        <w:t>Survival rate and morphological abnormalities were documented using a stereomicroscope. The survival rate percentage was calculated using the formula:</w:t>
      </w:r>
    </w:p>
    <w:p w14:paraId="135F91E6" w14:textId="77777777" w:rsidR="00464F18" w:rsidRDefault="00464F18" w:rsidP="00464F18">
      <w:pPr>
        <w:pStyle w:val="Body"/>
        <w:spacing w:after="0"/>
        <w:rPr>
          <w:rFonts w:ascii="Arial" w:hAnsi="Arial" w:cs="Arial"/>
        </w:rPr>
      </w:pPr>
    </w:p>
    <w:p w14:paraId="546CE5D1" w14:textId="77777777" w:rsidR="00464F18" w:rsidRPr="00464F18" w:rsidRDefault="00464F18" w:rsidP="00464F18">
      <w:pPr>
        <w:pStyle w:val="Body"/>
        <w:spacing w:after="0"/>
        <w:rPr>
          <w:rFonts w:ascii="Arial" w:hAnsi="Arial" w:cs="Arial"/>
          <w:iCs/>
        </w:rPr>
      </w:pPr>
      <m:oMathPara>
        <m:oMath>
          <m:r>
            <m:rPr>
              <m:sty m:val="p"/>
            </m:rPr>
            <w:rPr>
              <w:rFonts w:ascii="Cambria Math" w:hAnsi="Cambria Math" w:cs="Arial"/>
            </w:rPr>
            <m:t>Survival rate  percentage=</m:t>
          </m:r>
          <m:f>
            <m:fPr>
              <m:ctrlPr>
                <w:rPr>
                  <w:rFonts w:ascii="Cambria Math" w:hAnsi="Cambria Math" w:cs="Arial"/>
                  <w:iCs/>
                </w:rPr>
              </m:ctrlPr>
            </m:fPr>
            <m:num>
              <m:r>
                <m:rPr>
                  <m:sty m:val="p"/>
                </m:rPr>
                <w:rPr>
                  <w:rFonts w:ascii="Cambria Math" w:hAnsi="Cambria Math" w:cs="Arial"/>
                </w:rPr>
                <m:t xml:space="preserve">Number of live </m:t>
              </m:r>
              <m:r>
                <w:rPr>
                  <w:rFonts w:ascii="Cambria Math" w:hAnsi="Cambria Math" w:cs="Arial"/>
                </w:rPr>
                <m:t>Daphnia magna</m:t>
              </m:r>
            </m:num>
            <m:den>
              <m:r>
                <m:rPr>
                  <m:sty m:val="p"/>
                </m:rPr>
                <w:rPr>
                  <w:rFonts w:ascii="Cambria Math" w:hAnsi="Cambria Math" w:cs="Arial"/>
                </w:rPr>
                <m:t xml:space="preserve">Number of Animals treated </m:t>
              </m:r>
            </m:den>
          </m:f>
          <m:r>
            <m:rPr>
              <m:sty m:val="p"/>
            </m:rPr>
            <w:rPr>
              <w:rFonts w:ascii="Cambria Math" w:hAnsi="Cambria Math" w:cs="Arial"/>
            </w:rPr>
            <m:t>×100</m:t>
          </m:r>
        </m:oMath>
      </m:oMathPara>
    </w:p>
    <w:p w14:paraId="70B964C8" w14:textId="77777777" w:rsidR="00464F18" w:rsidRDefault="00464F18" w:rsidP="00464F18">
      <w:pPr>
        <w:pStyle w:val="Body"/>
        <w:spacing w:after="0"/>
        <w:rPr>
          <w:rFonts w:ascii="Arial" w:hAnsi="Arial" w:cs="Arial"/>
        </w:rPr>
      </w:pPr>
    </w:p>
    <w:p w14:paraId="135C2F0A" w14:textId="77777777" w:rsidR="00464F18" w:rsidRPr="00464F18" w:rsidRDefault="00464F18" w:rsidP="00464F18">
      <w:pPr>
        <w:pStyle w:val="Body"/>
        <w:spacing w:after="0"/>
        <w:rPr>
          <w:rFonts w:ascii="Arial" w:hAnsi="Arial" w:cs="Arial"/>
        </w:rPr>
      </w:pPr>
      <w:r w:rsidRPr="00464F18">
        <w:rPr>
          <w:rFonts w:ascii="Arial" w:hAnsi="Arial" w:cs="Arial"/>
        </w:rPr>
        <w:t>The EC</w:t>
      </w:r>
      <w:r w:rsidRPr="00464F18">
        <w:rPr>
          <w:rFonts w:ascii="Cambria Math" w:hAnsi="Cambria Math" w:cs="Cambria Math"/>
        </w:rPr>
        <w:t>₅₀</w:t>
      </w:r>
      <w:r w:rsidRPr="00464F18">
        <w:rPr>
          <w:rFonts w:ascii="Arial" w:hAnsi="Arial" w:cs="Arial"/>
        </w:rPr>
        <w:t xml:space="preserve"> (Effective concentration) value was calculated by linear interpolation between adjacent concentrations bracketing the 50% immobilization level using,</w:t>
      </w:r>
    </w:p>
    <w:p w14:paraId="52855924" w14:textId="77777777" w:rsidR="00464F18" w:rsidRDefault="00464F18" w:rsidP="00464F18">
      <w:pPr>
        <w:pStyle w:val="Body"/>
        <w:spacing w:after="0"/>
        <w:rPr>
          <w:rFonts w:ascii="Arial" w:hAnsi="Arial" w:cs="Arial"/>
        </w:rPr>
      </w:pPr>
    </w:p>
    <w:p w14:paraId="60B990FE" w14:textId="77777777" w:rsidR="00464F18" w:rsidRDefault="00464F18" w:rsidP="00464F18">
      <w:pPr>
        <w:pStyle w:val="Body"/>
        <w:spacing w:after="0"/>
        <w:jc w:val="center"/>
        <w:rPr>
          <w:rFonts w:ascii="Arial" w:hAnsi="Arial" w:cs="Arial"/>
        </w:rPr>
      </w:pPr>
      <w:r w:rsidRPr="00464F18">
        <w:rPr>
          <w:rFonts w:ascii="Arial" w:hAnsi="Arial" w:cs="Arial"/>
        </w:rPr>
        <w:t>EC</w:t>
      </w:r>
      <w:r w:rsidRPr="00464F18">
        <w:rPr>
          <w:rFonts w:ascii="Arial" w:hAnsi="Arial" w:cs="Arial"/>
          <w:vertAlign w:val="subscript"/>
        </w:rPr>
        <w:t>50</w:t>
      </w:r>
      <w:r w:rsidRPr="00464F18">
        <w:rPr>
          <w:rFonts w:ascii="Arial" w:hAnsi="Arial" w:cs="Arial"/>
        </w:rPr>
        <w:t>​=C</w:t>
      </w:r>
      <w:r w:rsidRPr="00464F18">
        <w:rPr>
          <w:rFonts w:ascii="Arial" w:hAnsi="Arial" w:cs="Arial"/>
          <w:vertAlign w:val="subscript"/>
        </w:rPr>
        <w:t>1</w:t>
      </w:r>
      <w:r w:rsidRPr="00464F18">
        <w:rPr>
          <w:rFonts w:ascii="Arial" w:hAnsi="Arial" w:cs="Arial"/>
        </w:rPr>
        <w:t xml:space="preserve">​+ </w:t>
      </w:r>
      <m:oMath>
        <m:f>
          <m:fPr>
            <m:ctrlPr>
              <w:rPr>
                <w:rFonts w:ascii="Cambria Math" w:hAnsi="Cambria Math" w:cs="Arial"/>
                <w:i/>
              </w:rPr>
            </m:ctrlPr>
          </m:fPr>
          <m:num>
            <m:r>
              <m:rPr>
                <m:sty m:val="p"/>
              </m:rPr>
              <w:rPr>
                <w:rFonts w:ascii="Cambria Math" w:hAnsi="Cambria Math" w:cs="Arial"/>
              </w:rPr>
              <m:t>50-</m:t>
            </m:r>
            <m:sSub>
              <m:sSubPr>
                <m:ctrlPr>
                  <w:rPr>
                    <w:rFonts w:ascii="Cambria Math" w:hAnsi="Cambria Math" w:cs="Arial"/>
                    <w:vertAlign w:val="subscript"/>
                  </w:rPr>
                </m:ctrlPr>
              </m:sSubPr>
              <m:e>
                <m:r>
                  <m:rPr>
                    <m:sty m:val="p"/>
                  </m:rPr>
                  <w:rPr>
                    <w:rFonts w:ascii="Cambria Math" w:hAnsi="Cambria Math" w:cs="Arial"/>
                  </w:rPr>
                  <m:t>E</m:t>
                </m:r>
              </m:e>
              <m:sub>
                <m:r>
                  <m:rPr>
                    <m:sty m:val="p"/>
                  </m:rPr>
                  <w:rPr>
                    <w:rFonts w:ascii="Cambria Math" w:hAnsi="Cambria Math" w:cs="Arial"/>
                    <w:vertAlign w:val="subscript"/>
                  </w:rPr>
                  <m:t>1</m:t>
                </m:r>
              </m:sub>
            </m:sSub>
            <m:r>
              <m:rPr>
                <m:sty m:val="p"/>
              </m:rPr>
              <w:rPr>
                <w:rFonts w:ascii="Cambria Math" w:hAnsi="Cambria Math" w:cs="Arial"/>
              </w:rPr>
              <m:t xml:space="preserve"> </m:t>
            </m:r>
          </m:num>
          <m:den>
            <m:sSub>
              <m:sSubPr>
                <m:ctrlPr>
                  <w:rPr>
                    <w:rFonts w:ascii="Cambria Math" w:hAnsi="Cambria Math" w:cs="Arial"/>
                    <w:i/>
                  </w:rPr>
                </m:ctrlPr>
              </m:sSubPr>
              <m:e>
                <m:r>
                  <m:rPr>
                    <m:sty m:val="p"/>
                  </m:rPr>
                  <w:rPr>
                    <w:rFonts w:ascii="Cambria Math" w:hAnsi="Cambria Math" w:cs="Arial"/>
                  </w:rPr>
                  <m:t>E</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1</m:t>
                </m:r>
              </m:sub>
            </m:sSub>
          </m:den>
        </m:f>
      </m:oMath>
      <w:r w:rsidRPr="00464F18">
        <w:rPr>
          <w:rFonts w:ascii="Arial" w:hAnsi="Arial" w:cs="Arial"/>
        </w:rPr>
        <w:t>× (C</w:t>
      </w:r>
      <w:r w:rsidRPr="00464F18">
        <w:rPr>
          <w:rFonts w:ascii="Arial" w:hAnsi="Arial" w:cs="Arial"/>
          <w:vertAlign w:val="subscript"/>
        </w:rPr>
        <w:t>2</w:t>
      </w:r>
      <w:r w:rsidRPr="00464F18">
        <w:rPr>
          <w:rFonts w:ascii="Arial" w:hAnsi="Arial" w:cs="Arial"/>
        </w:rPr>
        <w:t>−C</w:t>
      </w:r>
      <w:r w:rsidRPr="00464F18">
        <w:rPr>
          <w:rFonts w:ascii="Arial" w:hAnsi="Arial" w:cs="Arial"/>
          <w:vertAlign w:val="subscript"/>
        </w:rPr>
        <w:t>1</w:t>
      </w:r>
      <w:r w:rsidRPr="00464F18">
        <w:rPr>
          <w:rFonts w:ascii="Arial" w:hAnsi="Arial" w:cs="Arial"/>
        </w:rPr>
        <w:t>)</w:t>
      </w:r>
    </w:p>
    <w:p w14:paraId="49FC5516" w14:textId="77777777" w:rsidR="00464F18" w:rsidRPr="00464F18" w:rsidRDefault="00464F18" w:rsidP="00464F18">
      <w:pPr>
        <w:pStyle w:val="Body"/>
        <w:spacing w:after="0"/>
        <w:jc w:val="center"/>
        <w:rPr>
          <w:rFonts w:ascii="Arial" w:hAnsi="Arial" w:cs="Arial"/>
        </w:rPr>
      </w:pPr>
    </w:p>
    <w:p w14:paraId="70590DA6" w14:textId="77777777" w:rsidR="00464F18" w:rsidRDefault="00464F18" w:rsidP="00464F18">
      <w:pPr>
        <w:pStyle w:val="Body"/>
        <w:spacing w:after="0"/>
        <w:rPr>
          <w:rFonts w:ascii="Arial" w:hAnsi="Arial" w:cs="Arial"/>
        </w:rPr>
      </w:pPr>
      <w:r w:rsidRPr="00464F18">
        <w:rPr>
          <w:rFonts w:ascii="Arial" w:hAnsi="Arial" w:cs="Arial"/>
        </w:rPr>
        <w:t>Where, C</w:t>
      </w:r>
      <w:r w:rsidRPr="00464F18">
        <w:rPr>
          <w:rFonts w:ascii="Cambria Math" w:hAnsi="Cambria Math" w:cs="Cambria Math"/>
        </w:rPr>
        <w:t>₁</w:t>
      </w:r>
      <w:r w:rsidRPr="00464F18">
        <w:rPr>
          <w:rFonts w:ascii="Arial" w:hAnsi="Arial" w:cs="Arial"/>
        </w:rPr>
        <w:t xml:space="preserve"> = lower concentration, C</w:t>
      </w:r>
      <w:r w:rsidRPr="00464F18">
        <w:rPr>
          <w:rFonts w:ascii="Cambria Math" w:hAnsi="Cambria Math" w:cs="Cambria Math"/>
        </w:rPr>
        <w:t>₂</w:t>
      </w:r>
      <w:r w:rsidRPr="00464F18">
        <w:rPr>
          <w:rFonts w:ascii="Arial" w:hAnsi="Arial" w:cs="Arial"/>
        </w:rPr>
        <w:t xml:space="preserve"> = higher concentration, E</w:t>
      </w:r>
      <w:r w:rsidRPr="00464F18">
        <w:rPr>
          <w:rFonts w:ascii="Cambria Math" w:hAnsi="Cambria Math" w:cs="Cambria Math"/>
        </w:rPr>
        <w:t>₁</w:t>
      </w:r>
      <w:r w:rsidRPr="00464F18">
        <w:rPr>
          <w:rFonts w:ascii="Arial" w:hAnsi="Arial" w:cs="Arial"/>
        </w:rPr>
        <w:t xml:space="preserve"> = % effect at C</w:t>
      </w:r>
      <w:r w:rsidRPr="00464F18">
        <w:rPr>
          <w:rFonts w:ascii="Cambria Math" w:hAnsi="Cambria Math" w:cs="Cambria Math"/>
        </w:rPr>
        <w:t>₁</w:t>
      </w:r>
      <w:r w:rsidRPr="00464F18">
        <w:rPr>
          <w:rFonts w:ascii="Arial" w:hAnsi="Arial" w:cs="Arial"/>
        </w:rPr>
        <w:t>, E</w:t>
      </w:r>
      <w:r w:rsidRPr="00464F18">
        <w:rPr>
          <w:rFonts w:ascii="Cambria Math" w:hAnsi="Cambria Math" w:cs="Cambria Math"/>
        </w:rPr>
        <w:t>₂</w:t>
      </w:r>
      <w:r w:rsidRPr="00464F18">
        <w:rPr>
          <w:rFonts w:ascii="Arial" w:hAnsi="Arial" w:cs="Arial"/>
        </w:rPr>
        <w:t xml:space="preserve"> = % effect at C</w:t>
      </w:r>
      <w:proofErr w:type="gramStart"/>
      <w:r w:rsidRPr="00464F18">
        <w:rPr>
          <w:rFonts w:ascii="Cambria Math" w:hAnsi="Cambria Math" w:cs="Cambria Math"/>
        </w:rPr>
        <w:t>₂</w:t>
      </w:r>
      <w:r w:rsidRPr="00464F18">
        <w:rPr>
          <w:rFonts w:ascii="Arial" w:hAnsi="Arial" w:cs="Arial"/>
        </w:rPr>
        <w:t xml:space="preserve"> .</w:t>
      </w:r>
      <w:proofErr w:type="gramEnd"/>
      <w:r w:rsidRPr="00464F18">
        <w:rPr>
          <w:rFonts w:ascii="Arial" w:hAnsi="Arial" w:cs="Arial"/>
        </w:rPr>
        <w:t xml:space="preserve"> Approximate 95% confidence intervals were derived from the effective concentration range surrounding the 50% response threshold (Hamilton </w:t>
      </w:r>
      <w:r w:rsidRPr="00464F18">
        <w:rPr>
          <w:rFonts w:ascii="Arial" w:hAnsi="Arial" w:cs="Arial"/>
          <w:i/>
          <w:iCs/>
        </w:rPr>
        <w:t>et al.,</w:t>
      </w:r>
      <w:r w:rsidRPr="00464F18">
        <w:rPr>
          <w:rFonts w:ascii="Arial" w:hAnsi="Arial" w:cs="Arial"/>
        </w:rPr>
        <w:t xml:space="preserve"> 1978). </w:t>
      </w:r>
      <w:r w:rsidRPr="00464F18">
        <w:rPr>
          <w:rFonts w:ascii="Arial" w:hAnsi="Arial" w:cs="Arial"/>
          <w:vertAlign w:val="superscript"/>
        </w:rPr>
        <w:t xml:space="preserve"> </w:t>
      </w:r>
      <w:r w:rsidRPr="00464F18">
        <w:rPr>
          <w:rFonts w:ascii="Arial" w:hAnsi="Arial" w:cs="Arial"/>
        </w:rPr>
        <w:t>This assay was conducted following established ecotoxicological protocols (OECD, 2004).</w:t>
      </w:r>
    </w:p>
    <w:p w14:paraId="236D7F49" w14:textId="77777777" w:rsidR="00464F18" w:rsidRPr="00464F18" w:rsidRDefault="00464F18" w:rsidP="00464F18">
      <w:pPr>
        <w:pStyle w:val="Body"/>
        <w:spacing w:after="0"/>
        <w:rPr>
          <w:rFonts w:ascii="Arial" w:hAnsi="Arial" w:cs="Arial"/>
        </w:rPr>
      </w:pPr>
    </w:p>
    <w:p w14:paraId="3AB8CF3D"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 xml:space="preserve">2.6.3 </w:t>
      </w:r>
      <w:r w:rsidRPr="00464F18">
        <w:rPr>
          <w:rFonts w:ascii="Arial" w:hAnsi="Arial" w:cs="Arial"/>
          <w:b/>
          <w:bCs/>
          <w:i/>
          <w:iCs/>
          <w:u w:val="single"/>
        </w:rPr>
        <w:t>Allium cepa</w:t>
      </w:r>
      <w:r w:rsidRPr="00464F18">
        <w:rPr>
          <w:rFonts w:ascii="Arial" w:hAnsi="Arial" w:cs="Arial"/>
          <w:b/>
          <w:bCs/>
          <w:u w:val="single"/>
        </w:rPr>
        <w:t xml:space="preserve"> Root Tip Assay</w:t>
      </w:r>
    </w:p>
    <w:p w14:paraId="5EF32815" w14:textId="77777777" w:rsidR="00464F18" w:rsidRPr="00464F18" w:rsidRDefault="00464F18" w:rsidP="00464F18">
      <w:pPr>
        <w:pStyle w:val="Body"/>
        <w:spacing w:after="0"/>
        <w:rPr>
          <w:rFonts w:ascii="Arial" w:hAnsi="Arial" w:cs="Arial"/>
          <w:u w:val="single"/>
        </w:rPr>
      </w:pPr>
    </w:p>
    <w:p w14:paraId="31558E10" w14:textId="77777777" w:rsidR="00464F18" w:rsidRPr="00464F18" w:rsidRDefault="00464F18" w:rsidP="00464F18">
      <w:pPr>
        <w:pStyle w:val="Body"/>
        <w:spacing w:after="0"/>
        <w:rPr>
          <w:rFonts w:ascii="Arial" w:hAnsi="Arial" w:cs="Arial"/>
        </w:rPr>
      </w:pPr>
      <w:r w:rsidRPr="00464F18">
        <w:rPr>
          <w:rFonts w:ascii="Arial" w:hAnsi="Arial" w:cs="Arial"/>
        </w:rPr>
        <w:t xml:space="preserve">The </w:t>
      </w:r>
      <w:r w:rsidRPr="00464F18">
        <w:rPr>
          <w:rFonts w:ascii="Arial" w:hAnsi="Arial" w:cs="Arial"/>
          <w:i/>
          <w:iCs/>
        </w:rPr>
        <w:t>Allium cepa</w:t>
      </w:r>
      <w:r w:rsidRPr="00464F18">
        <w:rPr>
          <w:rFonts w:ascii="Arial" w:hAnsi="Arial" w:cs="Arial"/>
        </w:rPr>
        <w:t xml:space="preserve"> assay was performed to assess cytotoxic and genotoxic effects. Healthy onion bulbs were allowed to develop roots in distilled water and then exposed to extract concentrations of 100–1500 µg/mL for 48 hours. Root tips were fixed in Carnoy’s fixative, hydrolyzed in 1 N HCl, stained with acetocarmine and squashed on microscope slides.</w:t>
      </w:r>
    </w:p>
    <w:p w14:paraId="3A37CCE3" w14:textId="77777777" w:rsidR="00464F18" w:rsidRDefault="00464F18" w:rsidP="00464F18">
      <w:pPr>
        <w:pStyle w:val="Body"/>
        <w:spacing w:after="0"/>
        <w:rPr>
          <w:rFonts w:ascii="Arial" w:hAnsi="Arial" w:cs="Arial"/>
          <w:lang w:val="en-IN"/>
        </w:rPr>
      </w:pPr>
      <w:r w:rsidRPr="00464F18">
        <w:rPr>
          <w:rFonts w:ascii="Arial" w:hAnsi="Arial" w:cs="Arial"/>
        </w:rPr>
        <w:t>A minimum of 30-50 cells per slide were examined. Mitotic index was calculated as the percentage of dividing cells relative to total cells counted. Chromosomal aberrations were recorded following established criteria (Leme &amp; Marin-Morales, 2009; Rank &amp; Nielsen, 1993)</w:t>
      </w:r>
      <w:r w:rsidRPr="00464F18">
        <w:rPr>
          <w:rFonts w:ascii="Arial" w:hAnsi="Arial" w:cs="Arial"/>
          <w:vertAlign w:val="superscript"/>
        </w:rPr>
        <w:t xml:space="preserve"> </w:t>
      </w:r>
      <w:r w:rsidRPr="00464F18">
        <w:rPr>
          <w:rFonts w:ascii="Arial" w:hAnsi="Arial" w:cs="Arial"/>
        </w:rPr>
        <w:t>.</w:t>
      </w:r>
      <w:r w:rsidRPr="00464F18">
        <w:rPr>
          <w:rFonts w:ascii="Arial" w:hAnsi="Arial" w:cs="Arial"/>
          <w:lang w:val="en-IN"/>
        </w:rPr>
        <w:t>The formula for Mitotic index calculations is as follows,</w:t>
      </w:r>
    </w:p>
    <w:p w14:paraId="09BBE879" w14:textId="77777777" w:rsidR="00464F18" w:rsidRPr="00464F18" w:rsidRDefault="00464F18" w:rsidP="00464F18">
      <w:pPr>
        <w:pStyle w:val="Body"/>
        <w:spacing w:after="0"/>
        <w:rPr>
          <w:rFonts w:ascii="Arial" w:hAnsi="Arial" w:cs="Arial"/>
        </w:rPr>
      </w:pPr>
    </w:p>
    <w:p w14:paraId="08D232CB" w14:textId="77777777" w:rsidR="00464F18" w:rsidRPr="00464F18" w:rsidRDefault="00464F18" w:rsidP="00464F18">
      <w:pPr>
        <w:pStyle w:val="Body"/>
        <w:spacing w:after="0"/>
        <w:rPr>
          <w:rFonts w:ascii="Arial" w:hAnsi="Arial" w:cs="Arial"/>
        </w:rPr>
      </w:pPr>
      <m:oMathPara>
        <m:oMath>
          <m:r>
            <m:rPr>
              <m:sty m:val="p"/>
            </m:rPr>
            <w:rPr>
              <w:rFonts w:ascii="Cambria Math" w:hAnsi="Cambria Math" w:cs="Arial"/>
            </w:rPr>
            <m:t>Mitotic index=</m:t>
          </m:r>
          <m:f>
            <m:fPr>
              <m:ctrlPr>
                <w:rPr>
                  <w:rFonts w:ascii="Cambria Math" w:hAnsi="Cambria Math" w:cs="Arial"/>
                  <w:iCs/>
                </w:rPr>
              </m:ctrlPr>
            </m:fPr>
            <m:num>
              <m:r>
                <m:rPr>
                  <m:sty m:val="p"/>
                </m:rPr>
                <w:rPr>
                  <w:rFonts w:ascii="Cambria Math" w:hAnsi="Cambria Math" w:cs="Arial"/>
                </w:rPr>
                <m:t>Number of Dividing mersitamatic cells</m:t>
              </m:r>
            </m:num>
            <m:den>
              <m:r>
                <m:rPr>
                  <m:sty m:val="p"/>
                </m:rPr>
                <w:rPr>
                  <w:rFonts w:ascii="Cambria Math" w:hAnsi="Cambria Math" w:cs="Arial"/>
                </w:rPr>
                <m:t>Number ofmersitamatic cells</m:t>
              </m:r>
            </m:den>
          </m:f>
          <m:r>
            <m:rPr>
              <m:sty m:val="p"/>
            </m:rPr>
            <w:rPr>
              <w:rFonts w:ascii="Cambria Math" w:hAnsi="Cambria Math" w:cs="Arial"/>
            </w:rPr>
            <m:t>×100</m:t>
          </m:r>
        </m:oMath>
      </m:oMathPara>
    </w:p>
    <w:p w14:paraId="02F33824" w14:textId="77777777" w:rsidR="00464F18" w:rsidRPr="00464F18" w:rsidRDefault="00464F18" w:rsidP="00464F18">
      <w:pPr>
        <w:pStyle w:val="Body"/>
        <w:spacing w:after="0"/>
        <w:rPr>
          <w:rFonts w:ascii="Arial" w:hAnsi="Arial" w:cs="Arial"/>
          <w:b/>
          <w:bCs/>
          <w:iCs/>
        </w:rPr>
      </w:pPr>
    </w:p>
    <w:p w14:paraId="47BD7ED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2.7 Statistical analysis</w:t>
      </w:r>
    </w:p>
    <w:p w14:paraId="4BB8D08F" w14:textId="77777777" w:rsidR="00464F18" w:rsidRDefault="00464F18" w:rsidP="00464F18">
      <w:pPr>
        <w:pStyle w:val="Body"/>
        <w:spacing w:after="0"/>
        <w:rPr>
          <w:rFonts w:ascii="Arial" w:hAnsi="Arial" w:cs="Arial"/>
        </w:rPr>
      </w:pPr>
    </w:p>
    <w:p w14:paraId="0C25DA7D" w14:textId="77777777" w:rsidR="00464F18" w:rsidRPr="00464F18" w:rsidRDefault="00464F18" w:rsidP="00464F18">
      <w:pPr>
        <w:pStyle w:val="Body"/>
        <w:spacing w:after="0"/>
        <w:rPr>
          <w:rFonts w:ascii="Arial" w:hAnsi="Arial" w:cs="Arial"/>
        </w:rPr>
      </w:pPr>
      <w:r w:rsidRPr="00464F18">
        <w:rPr>
          <w:rFonts w:ascii="Arial" w:hAnsi="Arial" w:cs="Arial"/>
        </w:rPr>
        <w:t>All experiments were performed in triplicate (n = 3), and results are expressed as mean ± standard deviation (SD). Statistical analyses were carried out using SPSS software (Version 16.0) and Microsoft Excel 2013.</w:t>
      </w:r>
    </w:p>
    <w:p w14:paraId="233BAD67" w14:textId="77777777" w:rsidR="00790ADA" w:rsidRPr="00FB3A86" w:rsidRDefault="00790ADA" w:rsidP="00441B6F">
      <w:pPr>
        <w:pStyle w:val="Body"/>
        <w:spacing w:after="0"/>
        <w:rPr>
          <w:rFonts w:ascii="Arial" w:hAnsi="Arial" w:cs="Arial"/>
        </w:rPr>
      </w:pPr>
    </w:p>
    <w:p w14:paraId="4378008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B989D8" w14:textId="77777777" w:rsidR="00464F18" w:rsidRPr="00464F18" w:rsidRDefault="00464F18" w:rsidP="00464F18">
      <w:pPr>
        <w:pStyle w:val="Heading3"/>
        <w:rPr>
          <w:rFonts w:ascii="Arial" w:eastAsia="Times New Roman" w:hAnsi="Arial" w:cs="Arial"/>
          <w:b/>
          <w:bCs/>
          <w:color w:val="auto"/>
          <w:sz w:val="22"/>
          <w:szCs w:val="22"/>
          <w:lang w:bidi="ta-IN"/>
        </w:rPr>
      </w:pPr>
      <w:r w:rsidRPr="00464F18">
        <w:rPr>
          <w:rFonts w:ascii="Arial" w:eastAsia="Times New Roman" w:hAnsi="Arial" w:cs="Arial"/>
          <w:b/>
          <w:bCs/>
          <w:color w:val="auto"/>
          <w:sz w:val="22"/>
          <w:szCs w:val="22"/>
          <w:lang w:bidi="ta-IN"/>
        </w:rPr>
        <w:t>3.1</w:t>
      </w:r>
      <w:r w:rsidRPr="00464F18">
        <w:rPr>
          <w:rFonts w:ascii="Arial" w:eastAsia="Times New Roman" w:hAnsi="Arial" w:cs="Arial"/>
          <w:color w:val="auto"/>
          <w:sz w:val="22"/>
          <w:szCs w:val="22"/>
          <w:lang w:bidi="ta-IN"/>
        </w:rPr>
        <w:t xml:space="preserve"> </w:t>
      </w:r>
      <w:r w:rsidRPr="00464F18">
        <w:rPr>
          <w:rFonts w:ascii="Arial" w:eastAsia="Times New Roman" w:hAnsi="Arial" w:cs="Arial"/>
          <w:b/>
          <w:bCs/>
          <w:color w:val="auto"/>
          <w:sz w:val="22"/>
          <w:szCs w:val="22"/>
          <w:lang w:bidi="ta-IN"/>
        </w:rPr>
        <w:t>Macroscopic and organoleptic Characteristics.</w:t>
      </w:r>
    </w:p>
    <w:p w14:paraId="01EA09E6"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 xml:space="preserve">Macroscopic examination showed that the rhizome scales formed a dense, imbricated, and continuous outer covering. Fresh scales displayed a reddish-copper to dark brown </w:t>
      </w:r>
      <w:proofErr w:type="spellStart"/>
      <w:r w:rsidRPr="00464F18">
        <w:rPr>
          <w:rFonts w:ascii="Arial" w:hAnsi="Arial" w:cs="Arial"/>
          <w:lang w:val="en-IN" w:bidi="ta-IN"/>
        </w:rPr>
        <w:t>color</w:t>
      </w:r>
      <w:proofErr w:type="spellEnd"/>
      <w:r w:rsidRPr="00464F18">
        <w:rPr>
          <w:rFonts w:ascii="Arial" w:hAnsi="Arial" w:cs="Arial"/>
          <w:lang w:val="en-IN" w:bidi="ta-IN"/>
        </w:rPr>
        <w:t xml:space="preserve">, turning uniformly ferruginous brown upon drying without inter-sample variation. They were soft and membranous when fresh but became curled, rigid, brittle, and </w:t>
      </w:r>
      <w:proofErr w:type="spellStart"/>
      <w:r w:rsidRPr="00464F18">
        <w:rPr>
          <w:rFonts w:ascii="Arial" w:hAnsi="Arial" w:cs="Arial"/>
          <w:lang w:val="en-IN" w:bidi="ta-IN"/>
        </w:rPr>
        <w:t>scariose</w:t>
      </w:r>
      <w:proofErr w:type="spellEnd"/>
      <w:r w:rsidRPr="00464F18">
        <w:rPr>
          <w:rFonts w:ascii="Arial" w:hAnsi="Arial" w:cs="Arial"/>
          <w:lang w:val="en-IN" w:bidi="ta-IN"/>
        </w:rPr>
        <w:t xml:space="preserve"> after drying. Organoleptically, both fresh and dried scales exhibited a consistent bitter taste; the fresh material had a faint earthy odour that intensified to a woody-earthy aroma upon drying.</w:t>
      </w:r>
    </w:p>
    <w:p w14:paraId="0A8A7BB9"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Morphologically, the scales were linear-lanceolate with central attachment and could be detached intact using forceps. The surface remained smooth and free from cracks or abnormalities, and scales were removed along with the brown epidermal layer. Detailed macroscopic and organoleptic features are presented in Table 1A and Figure 1A–1C.</w:t>
      </w:r>
    </w:p>
    <w:p w14:paraId="7DB92067"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Pulverization of dried scales produced a uniform rusty-brown, fine, fibrous, and fluffy powder with a woody-earthy odour and bitter-astringent taste. No extraneous matter was observed, confirming sample purity (Table 1B).</w:t>
      </w:r>
    </w:p>
    <w:p w14:paraId="421D0918" w14:textId="77777777" w:rsidR="00464F18" w:rsidRDefault="00464F18" w:rsidP="00464F18">
      <w:pPr>
        <w:jc w:val="both"/>
        <w:rPr>
          <w:rFonts w:ascii="Times New Roman" w:hAnsi="Times New Roman"/>
          <w:b/>
          <w:bCs/>
          <w:sz w:val="24"/>
          <w:szCs w:val="24"/>
          <w:lang w:bidi="ta-IN"/>
        </w:rPr>
      </w:pPr>
    </w:p>
    <w:p w14:paraId="6EF2A7D2" w14:textId="77777777" w:rsidR="00464F18" w:rsidRPr="00F327FB" w:rsidRDefault="00F327FB" w:rsidP="00464F18">
      <w:pPr>
        <w:jc w:val="both"/>
        <w:rPr>
          <w:rFonts w:ascii="Arial" w:hAnsi="Arial" w:cs="Arial"/>
          <w:b/>
          <w:bCs/>
          <w:lang w:bidi="ta-IN"/>
        </w:rPr>
      </w:pPr>
      <w:r w:rsidRPr="00F327FB">
        <w:rPr>
          <w:rFonts w:ascii="Arial" w:hAnsi="Arial" w:cs="Arial"/>
          <w:b/>
          <w:bCs/>
          <w:lang w:bidi="ta-IN"/>
        </w:rPr>
        <w:t>Table. 1A</w:t>
      </w:r>
      <w:r w:rsidR="00464F18" w:rsidRPr="00F327FB">
        <w:rPr>
          <w:rFonts w:ascii="Arial" w:hAnsi="Arial" w:cs="Arial"/>
          <w:b/>
          <w:bCs/>
          <w:lang w:bidi="ta-IN"/>
        </w:rPr>
        <w:t xml:space="preserve"> Macroscopic and Organoleptic Characteristics of </w:t>
      </w:r>
      <w:r w:rsidR="00464F18" w:rsidRPr="00F327FB">
        <w:rPr>
          <w:rFonts w:ascii="Arial" w:hAnsi="Arial" w:cs="Arial"/>
          <w:b/>
          <w:bCs/>
          <w:i/>
          <w:iCs/>
          <w:lang w:bidi="ta-IN"/>
        </w:rPr>
        <w:t xml:space="preserve">D. </w:t>
      </w:r>
      <w:proofErr w:type="spellStart"/>
      <w:r w:rsidR="00464F18" w:rsidRPr="00F327FB">
        <w:rPr>
          <w:rFonts w:ascii="Arial" w:hAnsi="Arial" w:cs="Arial"/>
          <w:b/>
          <w:bCs/>
          <w:i/>
          <w:iCs/>
          <w:lang w:bidi="ta-IN"/>
        </w:rPr>
        <w:t>quercifolia</w:t>
      </w:r>
      <w:proofErr w:type="spellEnd"/>
      <w:r w:rsidR="00464F18" w:rsidRPr="00F327FB">
        <w:rPr>
          <w:rFonts w:ascii="Arial" w:hAnsi="Arial" w:cs="Arial"/>
          <w:b/>
          <w:bCs/>
          <w:lang w:bidi="ta-IN"/>
        </w:rPr>
        <w:t xml:space="preserve"> Scales</w:t>
      </w:r>
    </w:p>
    <w:tbl>
      <w:tblPr>
        <w:tblStyle w:val="TableGrid"/>
        <w:tblW w:w="8671" w:type="dxa"/>
        <w:tblLook w:val="04A0" w:firstRow="1" w:lastRow="0" w:firstColumn="1" w:lastColumn="0" w:noHBand="0" w:noVBand="1"/>
      </w:tblPr>
      <w:tblGrid>
        <w:gridCol w:w="1317"/>
        <w:gridCol w:w="4013"/>
        <w:gridCol w:w="3341"/>
      </w:tblGrid>
      <w:tr w:rsidR="00464F18" w:rsidRPr="00F327FB" w14:paraId="0DC8E7E7" w14:textId="77777777" w:rsidTr="00F327FB">
        <w:trPr>
          <w:trHeight w:val="277"/>
        </w:trPr>
        <w:tc>
          <w:tcPr>
            <w:tcW w:w="0" w:type="auto"/>
            <w:hideMark/>
          </w:tcPr>
          <w:p w14:paraId="6E1D15C7"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Parameter</w:t>
            </w:r>
          </w:p>
        </w:tc>
        <w:tc>
          <w:tcPr>
            <w:tcW w:w="0" w:type="auto"/>
            <w:hideMark/>
          </w:tcPr>
          <w:p w14:paraId="6CD9621C"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Fresh Scales</w:t>
            </w:r>
          </w:p>
        </w:tc>
        <w:tc>
          <w:tcPr>
            <w:tcW w:w="0" w:type="auto"/>
            <w:hideMark/>
          </w:tcPr>
          <w:p w14:paraId="6A95BEE3"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Dried Scales</w:t>
            </w:r>
          </w:p>
        </w:tc>
      </w:tr>
      <w:tr w:rsidR="00464F18" w:rsidRPr="00F327FB" w14:paraId="741D55F6" w14:textId="77777777" w:rsidTr="00F327FB">
        <w:trPr>
          <w:trHeight w:val="277"/>
        </w:trPr>
        <w:tc>
          <w:tcPr>
            <w:tcW w:w="0" w:type="auto"/>
            <w:hideMark/>
          </w:tcPr>
          <w:p w14:paraId="6F754FCC"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Colour</w:t>
            </w:r>
            <w:proofErr w:type="spellEnd"/>
          </w:p>
        </w:tc>
        <w:tc>
          <w:tcPr>
            <w:tcW w:w="0" w:type="auto"/>
            <w:hideMark/>
          </w:tcPr>
          <w:p w14:paraId="02833ED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Reddish-copper brown</w:t>
            </w:r>
          </w:p>
        </w:tc>
        <w:tc>
          <w:tcPr>
            <w:tcW w:w="0" w:type="auto"/>
            <w:hideMark/>
          </w:tcPr>
          <w:p w14:paraId="000FAAE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Dark ferruginous brown</w:t>
            </w:r>
          </w:p>
        </w:tc>
      </w:tr>
      <w:tr w:rsidR="00464F18" w:rsidRPr="00F327FB" w14:paraId="527A6D9F" w14:textId="77777777" w:rsidTr="00F327FB">
        <w:trPr>
          <w:trHeight w:val="277"/>
        </w:trPr>
        <w:tc>
          <w:tcPr>
            <w:tcW w:w="0" w:type="auto"/>
            <w:hideMark/>
          </w:tcPr>
          <w:p w14:paraId="2477A59D"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Odour</w:t>
            </w:r>
            <w:proofErr w:type="spellEnd"/>
          </w:p>
        </w:tc>
        <w:tc>
          <w:tcPr>
            <w:tcW w:w="0" w:type="auto"/>
            <w:hideMark/>
          </w:tcPr>
          <w:p w14:paraId="1D194C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Faint, earthy</w:t>
            </w:r>
          </w:p>
        </w:tc>
        <w:tc>
          <w:tcPr>
            <w:tcW w:w="0" w:type="auto"/>
            <w:hideMark/>
          </w:tcPr>
          <w:p w14:paraId="6E97D95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Woody–earthy</w:t>
            </w:r>
          </w:p>
        </w:tc>
      </w:tr>
      <w:tr w:rsidR="00464F18" w:rsidRPr="00F327FB" w14:paraId="04A84C35" w14:textId="77777777" w:rsidTr="00F327FB">
        <w:trPr>
          <w:trHeight w:val="277"/>
        </w:trPr>
        <w:tc>
          <w:tcPr>
            <w:tcW w:w="0" w:type="auto"/>
            <w:hideMark/>
          </w:tcPr>
          <w:p w14:paraId="3DCC4674"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Taste</w:t>
            </w:r>
          </w:p>
        </w:tc>
        <w:tc>
          <w:tcPr>
            <w:tcW w:w="0" w:type="auto"/>
            <w:hideMark/>
          </w:tcPr>
          <w:p w14:paraId="60B793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w:t>
            </w:r>
          </w:p>
        </w:tc>
        <w:tc>
          <w:tcPr>
            <w:tcW w:w="0" w:type="auto"/>
            <w:hideMark/>
          </w:tcPr>
          <w:p w14:paraId="7DB0DA0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w:t>
            </w:r>
          </w:p>
        </w:tc>
      </w:tr>
      <w:tr w:rsidR="00464F18" w:rsidRPr="00F327FB" w14:paraId="5CF4C499" w14:textId="77777777" w:rsidTr="00F327FB">
        <w:trPr>
          <w:trHeight w:val="277"/>
        </w:trPr>
        <w:tc>
          <w:tcPr>
            <w:tcW w:w="0" w:type="auto"/>
            <w:hideMark/>
          </w:tcPr>
          <w:p w14:paraId="478039D6"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Texture</w:t>
            </w:r>
          </w:p>
        </w:tc>
        <w:tc>
          <w:tcPr>
            <w:tcW w:w="0" w:type="auto"/>
            <w:hideMark/>
          </w:tcPr>
          <w:p w14:paraId="1D37A38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Soft, pliable, membranous</w:t>
            </w:r>
          </w:p>
        </w:tc>
        <w:tc>
          <w:tcPr>
            <w:tcW w:w="0" w:type="auto"/>
            <w:hideMark/>
          </w:tcPr>
          <w:p w14:paraId="7A8860C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 xml:space="preserve">Brittle, </w:t>
            </w:r>
            <w:proofErr w:type="spellStart"/>
            <w:r w:rsidRPr="00F327FB">
              <w:rPr>
                <w:rFonts w:ascii="Arial" w:eastAsia="Times New Roman" w:hAnsi="Arial" w:cs="Arial"/>
                <w:sz w:val="20"/>
                <w:szCs w:val="20"/>
                <w:lang w:bidi="ta-IN"/>
              </w:rPr>
              <w:t>scariose</w:t>
            </w:r>
            <w:proofErr w:type="spellEnd"/>
          </w:p>
        </w:tc>
      </w:tr>
      <w:tr w:rsidR="00464F18" w:rsidRPr="00F327FB" w14:paraId="224D0CD3" w14:textId="77777777" w:rsidTr="00F327FB">
        <w:trPr>
          <w:trHeight w:val="277"/>
        </w:trPr>
        <w:tc>
          <w:tcPr>
            <w:tcW w:w="0" w:type="auto"/>
            <w:hideMark/>
          </w:tcPr>
          <w:p w14:paraId="3526FE6B"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Shape</w:t>
            </w:r>
          </w:p>
        </w:tc>
        <w:tc>
          <w:tcPr>
            <w:tcW w:w="0" w:type="auto"/>
            <w:hideMark/>
          </w:tcPr>
          <w:p w14:paraId="33FB2ABC"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Linear–lanceolate</w:t>
            </w:r>
          </w:p>
        </w:tc>
        <w:tc>
          <w:tcPr>
            <w:tcW w:w="0" w:type="auto"/>
            <w:hideMark/>
          </w:tcPr>
          <w:p w14:paraId="45A33C4C"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Linear–lanceolate (curled)</w:t>
            </w:r>
          </w:p>
        </w:tc>
      </w:tr>
      <w:tr w:rsidR="00464F18" w:rsidRPr="00F327FB" w14:paraId="7A2C31A6" w14:textId="77777777" w:rsidTr="00F327FB">
        <w:trPr>
          <w:trHeight w:val="277"/>
        </w:trPr>
        <w:tc>
          <w:tcPr>
            <w:tcW w:w="0" w:type="auto"/>
            <w:hideMark/>
          </w:tcPr>
          <w:p w14:paraId="00F1ACA2"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Surface</w:t>
            </w:r>
          </w:p>
        </w:tc>
        <w:tc>
          <w:tcPr>
            <w:tcW w:w="0" w:type="auto"/>
            <w:hideMark/>
          </w:tcPr>
          <w:p w14:paraId="52787C3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Smooth, intact</w:t>
            </w:r>
          </w:p>
        </w:tc>
        <w:tc>
          <w:tcPr>
            <w:tcW w:w="0" w:type="auto"/>
            <w:hideMark/>
          </w:tcPr>
          <w:p w14:paraId="73435BF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Smooth, intact</w:t>
            </w:r>
          </w:p>
        </w:tc>
      </w:tr>
      <w:tr w:rsidR="00464F18" w:rsidRPr="00F327FB" w14:paraId="66799433" w14:textId="77777777" w:rsidTr="00F327FB">
        <w:trPr>
          <w:trHeight w:val="571"/>
        </w:trPr>
        <w:tc>
          <w:tcPr>
            <w:tcW w:w="0" w:type="auto"/>
            <w:hideMark/>
          </w:tcPr>
          <w:p w14:paraId="0C79B78D"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Attachment</w:t>
            </w:r>
          </w:p>
        </w:tc>
        <w:tc>
          <w:tcPr>
            <w:tcW w:w="0" w:type="auto"/>
            <w:hideMark/>
          </w:tcPr>
          <w:p w14:paraId="348354A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Peltate, centrally anchored; detachable with forceps</w:t>
            </w:r>
          </w:p>
        </w:tc>
        <w:tc>
          <w:tcPr>
            <w:tcW w:w="0" w:type="auto"/>
            <w:hideMark/>
          </w:tcPr>
          <w:p w14:paraId="2D530F2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Centrally anchored; brittle at point of union</w:t>
            </w:r>
          </w:p>
        </w:tc>
      </w:tr>
    </w:tbl>
    <w:p w14:paraId="61374F7A" w14:textId="77777777" w:rsidR="00464F18" w:rsidRDefault="00464F18" w:rsidP="00464F18">
      <w:pPr>
        <w:rPr>
          <w:rFonts w:ascii="Times New Roman" w:hAnsi="Times New Roman"/>
          <w:sz w:val="24"/>
          <w:szCs w:val="24"/>
          <w:lang w:bidi="ta-IN"/>
        </w:rPr>
      </w:pPr>
    </w:p>
    <w:p w14:paraId="21F0EB31" w14:textId="77777777" w:rsidR="00464F18" w:rsidRPr="00F327FB" w:rsidRDefault="00F327FB" w:rsidP="00F327FB">
      <w:pPr>
        <w:jc w:val="both"/>
        <w:rPr>
          <w:rFonts w:ascii="Arial" w:hAnsi="Arial" w:cs="Arial"/>
          <w:b/>
          <w:bCs/>
        </w:rPr>
      </w:pPr>
      <w:r w:rsidRPr="00F327FB">
        <w:rPr>
          <w:rFonts w:ascii="Arial" w:hAnsi="Arial" w:cs="Arial"/>
          <w:b/>
          <w:bCs/>
          <w:lang w:bidi="ta-IN"/>
        </w:rPr>
        <w:t>Table. 1B</w:t>
      </w:r>
      <w:r w:rsidR="00464F18" w:rsidRPr="00F327FB">
        <w:rPr>
          <w:rFonts w:ascii="Arial" w:hAnsi="Arial" w:cs="Arial"/>
          <w:b/>
          <w:bCs/>
          <w:lang w:bidi="ta-IN"/>
        </w:rPr>
        <w:t xml:space="preserve"> </w:t>
      </w:r>
      <w:r w:rsidR="00464F18" w:rsidRPr="00F327FB">
        <w:rPr>
          <w:rFonts w:ascii="Arial" w:hAnsi="Arial" w:cs="Arial"/>
          <w:b/>
          <w:bCs/>
        </w:rPr>
        <w:t xml:space="preserve">Macroscopic and organoleptic Characteristics of </w:t>
      </w:r>
      <w:r>
        <w:rPr>
          <w:rFonts w:ascii="Arial" w:hAnsi="Arial" w:cs="Arial"/>
          <w:b/>
          <w:bCs/>
          <w:i/>
          <w:iCs/>
        </w:rPr>
        <w:t>D.</w:t>
      </w:r>
      <w:r w:rsidR="00464F18" w:rsidRPr="00F327FB">
        <w:rPr>
          <w:rFonts w:ascii="Arial" w:hAnsi="Arial" w:cs="Arial"/>
          <w:b/>
          <w:bCs/>
          <w:i/>
          <w:iCs/>
        </w:rPr>
        <w:t xml:space="preserve">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Scales powder</w:t>
      </w:r>
    </w:p>
    <w:tbl>
      <w:tblPr>
        <w:tblStyle w:val="TableGrid"/>
        <w:tblW w:w="8712" w:type="dxa"/>
        <w:tblLook w:val="04A0" w:firstRow="1" w:lastRow="0" w:firstColumn="1" w:lastColumn="0" w:noHBand="0" w:noVBand="1"/>
      </w:tblPr>
      <w:tblGrid>
        <w:gridCol w:w="3362"/>
        <w:gridCol w:w="5350"/>
      </w:tblGrid>
      <w:tr w:rsidR="00464F18" w:rsidRPr="00F327FB" w14:paraId="0CD88905" w14:textId="77777777" w:rsidTr="00F327FB">
        <w:trPr>
          <w:trHeight w:val="290"/>
        </w:trPr>
        <w:tc>
          <w:tcPr>
            <w:tcW w:w="0" w:type="auto"/>
            <w:hideMark/>
          </w:tcPr>
          <w:p w14:paraId="327B718C"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Parameter</w:t>
            </w:r>
          </w:p>
        </w:tc>
        <w:tc>
          <w:tcPr>
            <w:tcW w:w="0" w:type="auto"/>
            <w:hideMark/>
          </w:tcPr>
          <w:p w14:paraId="44BFCAEC"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Observation</w:t>
            </w:r>
          </w:p>
        </w:tc>
      </w:tr>
      <w:tr w:rsidR="00464F18" w:rsidRPr="00F327FB" w14:paraId="6DAAD6A8" w14:textId="77777777" w:rsidTr="00F327FB">
        <w:trPr>
          <w:trHeight w:val="279"/>
        </w:trPr>
        <w:tc>
          <w:tcPr>
            <w:tcW w:w="0" w:type="auto"/>
            <w:hideMark/>
          </w:tcPr>
          <w:p w14:paraId="6A0D2AA7"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lastRenderedPageBreak/>
              <w:t>Colour</w:t>
            </w:r>
            <w:proofErr w:type="spellEnd"/>
          </w:p>
        </w:tc>
        <w:tc>
          <w:tcPr>
            <w:tcW w:w="0" w:type="auto"/>
            <w:hideMark/>
          </w:tcPr>
          <w:p w14:paraId="162A3E7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Rusty ferruginous brown</w:t>
            </w:r>
          </w:p>
        </w:tc>
      </w:tr>
      <w:tr w:rsidR="00464F18" w:rsidRPr="00F327FB" w14:paraId="163C5536" w14:textId="77777777" w:rsidTr="00F327FB">
        <w:trPr>
          <w:trHeight w:val="290"/>
        </w:trPr>
        <w:tc>
          <w:tcPr>
            <w:tcW w:w="0" w:type="auto"/>
            <w:hideMark/>
          </w:tcPr>
          <w:p w14:paraId="4DF9E829"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Odour</w:t>
            </w:r>
            <w:proofErr w:type="spellEnd"/>
          </w:p>
        </w:tc>
        <w:tc>
          <w:tcPr>
            <w:tcW w:w="0" w:type="auto"/>
            <w:hideMark/>
          </w:tcPr>
          <w:p w14:paraId="074C53E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Woody and earthy</w:t>
            </w:r>
          </w:p>
        </w:tc>
      </w:tr>
      <w:tr w:rsidR="00464F18" w:rsidRPr="00F327FB" w14:paraId="2A23C321" w14:textId="77777777" w:rsidTr="00F327FB">
        <w:trPr>
          <w:trHeight w:val="290"/>
        </w:trPr>
        <w:tc>
          <w:tcPr>
            <w:tcW w:w="0" w:type="auto"/>
            <w:hideMark/>
          </w:tcPr>
          <w:p w14:paraId="239DAF3E"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Taste</w:t>
            </w:r>
          </w:p>
        </w:tc>
        <w:tc>
          <w:tcPr>
            <w:tcW w:w="0" w:type="auto"/>
            <w:hideMark/>
          </w:tcPr>
          <w:p w14:paraId="7358A0F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 and mildly astringent</w:t>
            </w:r>
          </w:p>
        </w:tc>
      </w:tr>
      <w:tr w:rsidR="00464F18" w:rsidRPr="00F327FB" w14:paraId="00134B30" w14:textId="77777777" w:rsidTr="00F327FB">
        <w:trPr>
          <w:trHeight w:val="290"/>
        </w:trPr>
        <w:tc>
          <w:tcPr>
            <w:tcW w:w="0" w:type="auto"/>
            <w:hideMark/>
          </w:tcPr>
          <w:p w14:paraId="390180A9"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Texture</w:t>
            </w:r>
          </w:p>
        </w:tc>
        <w:tc>
          <w:tcPr>
            <w:tcW w:w="0" w:type="auto"/>
            <w:hideMark/>
          </w:tcPr>
          <w:p w14:paraId="09B1ABA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Fine, fibrous, fluffy</w:t>
            </w:r>
          </w:p>
        </w:tc>
      </w:tr>
      <w:tr w:rsidR="00464F18" w:rsidRPr="00F327FB" w14:paraId="616443A5" w14:textId="77777777" w:rsidTr="00F327FB">
        <w:trPr>
          <w:trHeight w:val="92"/>
        </w:trPr>
        <w:tc>
          <w:tcPr>
            <w:tcW w:w="0" w:type="auto"/>
            <w:hideMark/>
          </w:tcPr>
          <w:p w14:paraId="7F382D47"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Foreign matter</w:t>
            </w:r>
          </w:p>
        </w:tc>
        <w:tc>
          <w:tcPr>
            <w:tcW w:w="0" w:type="auto"/>
            <w:hideMark/>
          </w:tcPr>
          <w:p w14:paraId="292DE98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Not observed</w:t>
            </w:r>
          </w:p>
        </w:tc>
      </w:tr>
    </w:tbl>
    <w:p w14:paraId="5E83F0D9" w14:textId="77777777" w:rsidR="00464F18" w:rsidRDefault="00464F18" w:rsidP="00464F18">
      <w:pPr>
        <w:rPr>
          <w:rFonts w:ascii="Times New Roman" w:hAnsi="Times New Roman"/>
          <w:sz w:val="24"/>
          <w:szCs w:val="24"/>
          <w:lang w:bidi="ta-IN"/>
        </w:rPr>
      </w:pPr>
    </w:p>
    <w:p w14:paraId="06BBA1DB" w14:textId="77777777" w:rsidR="00464F18" w:rsidRDefault="00464F18" w:rsidP="00464F18">
      <w:pPr>
        <w:rPr>
          <w:rFonts w:ascii="Arial" w:hAnsi="Arial" w:cs="Arial"/>
          <w:b/>
          <w:bCs/>
          <w:lang w:bidi="ta-IN"/>
        </w:rPr>
      </w:pPr>
      <w:r w:rsidRPr="00F327FB">
        <w:rPr>
          <w:rFonts w:ascii="Arial" w:hAnsi="Arial" w:cs="Arial"/>
          <w:b/>
          <w:bCs/>
          <w:lang w:bidi="ta-IN"/>
        </w:rPr>
        <w:t xml:space="preserve">Figure 1. Macroscopic documentation of rhizome scales of </w:t>
      </w:r>
      <w:proofErr w:type="spellStart"/>
      <w:r w:rsidRPr="00F327FB">
        <w:rPr>
          <w:rFonts w:ascii="Arial" w:hAnsi="Arial" w:cs="Arial"/>
          <w:b/>
          <w:bCs/>
          <w:i/>
          <w:iCs/>
          <w:lang w:bidi="ta-IN"/>
        </w:rPr>
        <w:t>Drynaria</w:t>
      </w:r>
      <w:proofErr w:type="spellEnd"/>
      <w:r w:rsidRPr="00F327FB">
        <w:rPr>
          <w:rFonts w:ascii="Arial" w:hAnsi="Arial" w:cs="Arial"/>
          <w:b/>
          <w:bCs/>
          <w:i/>
          <w:iCs/>
          <w:lang w:bidi="ta-IN"/>
        </w:rPr>
        <w:t xml:space="preserve"> </w:t>
      </w:r>
      <w:proofErr w:type="spellStart"/>
      <w:r w:rsidRPr="00F327FB">
        <w:rPr>
          <w:rFonts w:ascii="Arial" w:hAnsi="Arial" w:cs="Arial"/>
          <w:b/>
          <w:bCs/>
          <w:i/>
          <w:iCs/>
          <w:lang w:bidi="ta-IN"/>
        </w:rPr>
        <w:t>quercifolia</w:t>
      </w:r>
      <w:proofErr w:type="spellEnd"/>
      <w:r w:rsidRPr="00F327FB">
        <w:rPr>
          <w:rFonts w:ascii="Arial" w:hAnsi="Arial" w:cs="Arial"/>
          <w:b/>
          <w:bCs/>
          <w:lang w:bidi="ta-IN"/>
        </w:rPr>
        <w:t>.</w:t>
      </w:r>
    </w:p>
    <w:p w14:paraId="673D0D0C" w14:textId="77777777" w:rsidR="00F327FB" w:rsidRPr="00F327FB" w:rsidRDefault="00F327FB" w:rsidP="00464F18">
      <w:pPr>
        <w:rPr>
          <w:rFonts w:ascii="Arial" w:hAnsi="Arial" w:cs="Arial"/>
          <w:b/>
          <w:bCs/>
          <w:lang w:bidi="ta-IN"/>
        </w:rPr>
      </w:pPr>
    </w:p>
    <w:p w14:paraId="2C2A71EF" w14:textId="77777777" w:rsidR="00464F18" w:rsidRDefault="00464F18" w:rsidP="00464F18">
      <w:pPr>
        <w:rPr>
          <w:rFonts w:ascii="Times New Roman" w:hAnsi="Times New Roman"/>
          <w:sz w:val="24"/>
          <w:szCs w:val="24"/>
          <w:lang w:bidi="ta-IN"/>
        </w:rPr>
      </w:pPr>
      <w:r>
        <w:rPr>
          <w:rFonts w:ascii="Times New Roman" w:hAnsi="Times New Roman"/>
          <w:noProof/>
          <w:sz w:val="24"/>
          <w:szCs w:val="24"/>
          <w:lang w:bidi="ta-IN"/>
        </w:rPr>
        <w:drawing>
          <wp:inline distT="0" distB="0" distL="0" distR="0" wp14:anchorId="44DFA639" wp14:editId="52F8A9A1">
            <wp:extent cx="5463490" cy="1514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909" cy="1518749"/>
                    </a:xfrm>
                    <a:prstGeom prst="rect">
                      <a:avLst/>
                    </a:prstGeom>
                    <a:noFill/>
                  </pic:spPr>
                </pic:pic>
              </a:graphicData>
            </a:graphic>
          </wp:inline>
        </w:drawing>
      </w:r>
    </w:p>
    <w:p w14:paraId="736198DD" w14:textId="77777777" w:rsidR="00F327FB" w:rsidRDefault="00F327FB" w:rsidP="00464F18">
      <w:pPr>
        <w:rPr>
          <w:rFonts w:ascii="Arial" w:hAnsi="Arial" w:cs="Arial"/>
          <w:lang w:bidi="ta-IN"/>
        </w:rPr>
      </w:pPr>
    </w:p>
    <w:p w14:paraId="02325B96" w14:textId="77777777" w:rsidR="00464F18" w:rsidRPr="00F327FB" w:rsidRDefault="00464F18" w:rsidP="00464F18">
      <w:pPr>
        <w:rPr>
          <w:rFonts w:ascii="Arial" w:hAnsi="Arial" w:cs="Arial"/>
          <w:i/>
          <w:iCs/>
          <w:lang w:bidi="ta-IN"/>
        </w:rPr>
      </w:pPr>
      <w:r w:rsidRPr="00F327FB">
        <w:rPr>
          <w:rFonts w:ascii="Arial" w:hAnsi="Arial" w:cs="Arial"/>
          <w:lang w:bidi="ta-IN"/>
        </w:rPr>
        <w:t>(</w:t>
      </w:r>
      <w:r w:rsidRPr="00F327FB">
        <w:rPr>
          <w:rFonts w:ascii="Arial" w:hAnsi="Arial" w:cs="Arial"/>
          <w:i/>
          <w:iCs/>
          <w:lang w:bidi="ta-IN"/>
        </w:rPr>
        <w:t>A) Fresh rhizome showing dense, imbricated scale covering; (B) Exposed rhizome surface after scale removal; (C) Separated dried rhizome scales with skin</w:t>
      </w:r>
    </w:p>
    <w:p w14:paraId="60F0425C" w14:textId="77777777" w:rsidR="00F327FB" w:rsidRDefault="00F327FB" w:rsidP="00F327FB">
      <w:pPr>
        <w:jc w:val="both"/>
        <w:rPr>
          <w:rFonts w:ascii="Times New Roman" w:hAnsi="Times New Roman"/>
          <w:sz w:val="24"/>
          <w:szCs w:val="24"/>
          <w:lang w:bidi="ta-IN"/>
        </w:rPr>
      </w:pPr>
    </w:p>
    <w:p w14:paraId="7C2EBE74" w14:textId="77777777" w:rsidR="00464F18" w:rsidRPr="00F327FB" w:rsidRDefault="00464F18" w:rsidP="00F327FB">
      <w:pPr>
        <w:jc w:val="both"/>
        <w:rPr>
          <w:rFonts w:ascii="Arial" w:hAnsi="Arial" w:cs="Arial"/>
          <w:lang w:bidi="ta-IN"/>
        </w:rPr>
      </w:pPr>
      <w:r w:rsidRPr="00F327FB">
        <w:rPr>
          <w:rFonts w:ascii="Arial" w:hAnsi="Arial" w:cs="Arial"/>
          <w:lang w:bidi="ta-IN"/>
        </w:rPr>
        <w:t>The dense overlapping arrangement of scales indicates a structural adaptation for protecting internal rhizome tissues. Similar protective scale layers in ferns function as barriers against desiccation, microbial invasion and herbivory, thereby safeguarding the developing meristematic regions of the rhizome (</w:t>
      </w:r>
      <w:proofErr w:type="spellStart"/>
      <w:r w:rsidRPr="00F327FB">
        <w:rPr>
          <w:rFonts w:ascii="Arial" w:hAnsi="Arial" w:cs="Arial"/>
          <w:lang w:bidi="ta-IN"/>
        </w:rPr>
        <w:t>Mehltreter</w:t>
      </w:r>
      <w:proofErr w:type="spellEnd"/>
      <w:r w:rsidRPr="00F327FB">
        <w:rPr>
          <w:rFonts w:ascii="Arial" w:hAnsi="Arial" w:cs="Arial"/>
          <w:lang w:bidi="ta-IN"/>
        </w:rPr>
        <w:t xml:space="preserve">, 2008; </w:t>
      </w:r>
      <w:proofErr w:type="spellStart"/>
      <w:r w:rsidRPr="00F327FB">
        <w:rPr>
          <w:rFonts w:ascii="Arial" w:hAnsi="Arial" w:cs="Arial"/>
          <w:lang w:bidi="ta-IN"/>
        </w:rPr>
        <w:t>Barón</w:t>
      </w:r>
      <w:proofErr w:type="spellEnd"/>
      <w:r w:rsidRPr="00F327FB">
        <w:rPr>
          <w:rFonts w:ascii="Arial" w:hAnsi="Arial" w:cs="Arial"/>
          <w:lang w:bidi="ta-IN"/>
        </w:rPr>
        <w:t xml:space="preserve"> </w:t>
      </w:r>
      <w:r w:rsidRPr="00F327FB">
        <w:rPr>
          <w:rFonts w:ascii="Arial" w:hAnsi="Arial" w:cs="Arial"/>
          <w:i/>
          <w:iCs/>
          <w:lang w:bidi="ta-IN"/>
        </w:rPr>
        <w:t>et al.,</w:t>
      </w:r>
      <w:r w:rsidRPr="00F327FB">
        <w:rPr>
          <w:rFonts w:ascii="Arial" w:hAnsi="Arial" w:cs="Arial"/>
          <w:lang w:bidi="ta-IN"/>
        </w:rPr>
        <w:t xml:space="preserve"> 2019; Wang </w:t>
      </w:r>
      <w:r w:rsidRPr="00F327FB">
        <w:rPr>
          <w:rFonts w:ascii="Arial" w:hAnsi="Arial" w:cs="Arial"/>
          <w:i/>
          <w:iCs/>
          <w:lang w:bidi="ta-IN"/>
        </w:rPr>
        <w:t>et al.,</w:t>
      </w:r>
      <w:r w:rsidRPr="00F327FB">
        <w:rPr>
          <w:rFonts w:ascii="Arial" w:hAnsi="Arial" w:cs="Arial"/>
          <w:lang w:bidi="ta-IN"/>
        </w:rPr>
        <w:t xml:space="preserve"> 2021). Such structural specialization suggests that the scales represent a defensive outer layer rather than a metabolically active storage tissue.</w:t>
      </w:r>
    </w:p>
    <w:p w14:paraId="284D62BA" w14:textId="77777777" w:rsidR="00464F18" w:rsidRPr="00F327FB" w:rsidRDefault="00464F18" w:rsidP="00F327FB">
      <w:pPr>
        <w:ind w:firstLine="720"/>
        <w:jc w:val="both"/>
        <w:rPr>
          <w:rFonts w:ascii="Arial" w:hAnsi="Arial" w:cs="Arial"/>
          <w:lang w:bidi="ta-IN"/>
        </w:rPr>
      </w:pPr>
    </w:p>
    <w:p w14:paraId="3BD13357" w14:textId="77777777" w:rsidR="00F327FB" w:rsidRDefault="00F327FB" w:rsidP="00F327FB">
      <w:pPr>
        <w:rPr>
          <w:rFonts w:ascii="Arial" w:hAnsi="Arial" w:cs="Arial"/>
          <w:b/>
          <w:bCs/>
        </w:rPr>
      </w:pPr>
    </w:p>
    <w:p w14:paraId="63AB6C2A" w14:textId="77777777" w:rsidR="00464F18" w:rsidRPr="00F327FB" w:rsidRDefault="00464F18" w:rsidP="00F327FB">
      <w:pPr>
        <w:rPr>
          <w:rFonts w:ascii="Arial" w:hAnsi="Arial" w:cs="Arial"/>
          <w:b/>
          <w:bCs/>
          <w:sz w:val="22"/>
          <w:szCs w:val="22"/>
        </w:rPr>
      </w:pPr>
      <w:r w:rsidRPr="00F327FB">
        <w:rPr>
          <w:rFonts w:ascii="Arial" w:hAnsi="Arial" w:cs="Arial"/>
          <w:b/>
          <w:bCs/>
          <w:sz w:val="22"/>
          <w:szCs w:val="22"/>
        </w:rPr>
        <w:t>3.2 Microscopic characteristics</w:t>
      </w:r>
    </w:p>
    <w:p w14:paraId="4261861D" w14:textId="77777777" w:rsidR="00464F18" w:rsidRPr="00F327FB" w:rsidRDefault="00464F18" w:rsidP="00F327FB">
      <w:pPr>
        <w:ind w:firstLine="720"/>
        <w:jc w:val="both"/>
        <w:rPr>
          <w:rFonts w:ascii="Arial" w:hAnsi="Arial" w:cs="Arial"/>
        </w:rPr>
      </w:pPr>
      <w:r w:rsidRPr="00F327FB">
        <w:rPr>
          <w:rFonts w:ascii="Arial" w:hAnsi="Arial" w:cs="Arial"/>
        </w:rPr>
        <w:t>The scales revealed distinct epidermal structures which were organized distinctly. The epidermal layer composed of prominent ridges and furrows throughout the section of field view. It has winged extensions with multicellular non –glandular trichomes which were consistently found within the furrow regions. The marginal region has rectangular epidermal cells are thick-walled which were distributed uniformly. No vascular elements were observed within the scale tissue. The anatomical features of the examined section were presented in the figure 2.</w:t>
      </w:r>
    </w:p>
    <w:p w14:paraId="3262CDDE" w14:textId="77777777" w:rsidR="00464F18" w:rsidRPr="00F327FB" w:rsidRDefault="00464F18" w:rsidP="00F327FB">
      <w:pPr>
        <w:rPr>
          <w:rFonts w:ascii="Arial" w:hAnsi="Arial" w:cs="Arial"/>
          <w:b/>
          <w:bCs/>
        </w:rPr>
      </w:pPr>
    </w:p>
    <w:p w14:paraId="1380947E" w14:textId="77777777" w:rsidR="00464F18" w:rsidRPr="00F327FB" w:rsidRDefault="00464F18" w:rsidP="00F327FB">
      <w:pPr>
        <w:rPr>
          <w:rFonts w:ascii="Arial" w:hAnsi="Arial" w:cs="Arial"/>
          <w:b/>
          <w:bCs/>
        </w:rPr>
      </w:pPr>
      <w:r w:rsidRPr="00F327FB">
        <w:rPr>
          <w:rFonts w:ascii="Arial" w:hAnsi="Arial" w:cs="Arial"/>
          <w:b/>
          <w:bCs/>
        </w:rPr>
        <w:t xml:space="preserve">Figure 2. Microscopic characteristics of rhizome scales of </w:t>
      </w:r>
      <w:proofErr w:type="spellStart"/>
      <w:r w:rsidRPr="00F327FB">
        <w:rPr>
          <w:rStyle w:val="Emphasis"/>
          <w:rFonts w:ascii="Arial" w:hAnsi="Arial" w:cs="Arial"/>
          <w:b/>
          <w:bCs/>
        </w:rPr>
        <w:t>Drynaria</w:t>
      </w:r>
      <w:proofErr w:type="spellEnd"/>
      <w:r w:rsidRPr="00F327FB">
        <w:rPr>
          <w:rStyle w:val="Emphasis"/>
          <w:rFonts w:ascii="Arial" w:hAnsi="Arial" w:cs="Arial"/>
          <w:b/>
          <w:bCs/>
        </w:rPr>
        <w:t xml:space="preserve"> </w:t>
      </w:r>
      <w:proofErr w:type="spellStart"/>
      <w:r w:rsidRPr="00F327FB">
        <w:rPr>
          <w:rStyle w:val="Emphasis"/>
          <w:rFonts w:ascii="Arial" w:hAnsi="Arial" w:cs="Arial"/>
          <w:b/>
          <w:bCs/>
        </w:rPr>
        <w:t>quercifolia</w:t>
      </w:r>
      <w:proofErr w:type="spellEnd"/>
      <w:r w:rsidRPr="00F327FB">
        <w:rPr>
          <w:rFonts w:ascii="Arial" w:hAnsi="Arial" w:cs="Arial"/>
          <w:b/>
          <w:bCs/>
        </w:rPr>
        <w:t>.</w:t>
      </w:r>
    </w:p>
    <w:p w14:paraId="46CD6D41" w14:textId="77777777" w:rsidR="00464F18" w:rsidRPr="00F327FB" w:rsidRDefault="00464F18" w:rsidP="00F327FB">
      <w:pPr>
        <w:jc w:val="center"/>
        <w:rPr>
          <w:rFonts w:ascii="Arial" w:hAnsi="Arial" w:cs="Arial"/>
        </w:rPr>
      </w:pPr>
      <w:r w:rsidRPr="00F327FB">
        <w:rPr>
          <w:rFonts w:ascii="Arial" w:hAnsi="Arial" w:cs="Arial"/>
          <w:noProof/>
          <w:lang w:bidi="ta-IN"/>
        </w:rPr>
        <w:drawing>
          <wp:inline distT="0" distB="0" distL="0" distR="0" wp14:anchorId="289065EC" wp14:editId="46A2DFCF">
            <wp:extent cx="2030095" cy="16648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837" cy="1665506"/>
                    </a:xfrm>
                    <a:prstGeom prst="rect">
                      <a:avLst/>
                    </a:prstGeom>
                    <a:noFill/>
                  </pic:spPr>
                </pic:pic>
              </a:graphicData>
            </a:graphic>
          </wp:inline>
        </w:drawing>
      </w:r>
    </w:p>
    <w:p w14:paraId="51E53B64" w14:textId="77777777" w:rsidR="00464F18" w:rsidRPr="00F327FB" w:rsidRDefault="00464F18" w:rsidP="00F327FB">
      <w:pPr>
        <w:ind w:firstLine="720"/>
        <w:jc w:val="both"/>
        <w:rPr>
          <w:rFonts w:ascii="Arial" w:hAnsi="Arial" w:cs="Arial"/>
        </w:rPr>
      </w:pPr>
    </w:p>
    <w:p w14:paraId="622450EE" w14:textId="77777777" w:rsidR="00464F18" w:rsidRPr="00F327FB" w:rsidRDefault="00464F18" w:rsidP="00F327FB">
      <w:pPr>
        <w:ind w:firstLine="720"/>
        <w:jc w:val="both"/>
        <w:rPr>
          <w:rFonts w:ascii="Arial" w:hAnsi="Arial" w:cs="Arial"/>
        </w:rPr>
      </w:pPr>
      <w:r w:rsidRPr="00F327FB">
        <w:rPr>
          <w:rFonts w:ascii="Arial" w:hAnsi="Arial" w:cs="Arial"/>
        </w:rPr>
        <w:t>The absence of vascular tissues indicates that the scales function primarily as protective integuments rather than transport tissues. Similar anatomical structures in fern scales have been reported to reduce water loss, buffer microclimatic variations and protect young tissues from environmental stress (</w:t>
      </w:r>
      <w:proofErr w:type="spellStart"/>
      <w:r w:rsidRPr="00F327FB">
        <w:rPr>
          <w:rFonts w:ascii="Arial" w:hAnsi="Arial" w:cs="Arial"/>
        </w:rPr>
        <w:t>Mehltreter</w:t>
      </w:r>
      <w:proofErr w:type="spellEnd"/>
      <w:r w:rsidRPr="00F327FB">
        <w:rPr>
          <w:rFonts w:ascii="Arial" w:hAnsi="Arial" w:cs="Arial"/>
        </w:rPr>
        <w:t>, 2008; Watkins and Cardelús, 2012). The presence of trichomes further enhances the defensive capability of the tissue by providing mechanical protection and limiting herbivore access.</w:t>
      </w:r>
    </w:p>
    <w:p w14:paraId="26419FFE" w14:textId="77777777" w:rsidR="00F327FB" w:rsidRDefault="00F327FB" w:rsidP="00464F18">
      <w:pPr>
        <w:rPr>
          <w:rFonts w:ascii="Times New Roman" w:hAnsi="Times New Roman"/>
          <w:b/>
          <w:bCs/>
          <w:sz w:val="24"/>
          <w:szCs w:val="24"/>
        </w:rPr>
      </w:pPr>
    </w:p>
    <w:p w14:paraId="3EA38B78" w14:textId="77777777" w:rsidR="00464F18" w:rsidRPr="00F327FB" w:rsidRDefault="00464F18" w:rsidP="00464F18">
      <w:pPr>
        <w:rPr>
          <w:rFonts w:ascii="Arial" w:hAnsi="Arial" w:cs="Arial"/>
          <w:b/>
          <w:bCs/>
          <w:sz w:val="22"/>
          <w:szCs w:val="22"/>
        </w:rPr>
      </w:pPr>
      <w:r w:rsidRPr="00F327FB">
        <w:rPr>
          <w:rFonts w:ascii="Arial" w:hAnsi="Arial" w:cs="Arial"/>
          <w:b/>
          <w:bCs/>
          <w:sz w:val="22"/>
          <w:szCs w:val="22"/>
        </w:rPr>
        <w:t>3.3 Preliminary Phytochemical Screening</w:t>
      </w:r>
    </w:p>
    <w:p w14:paraId="232A5D47" w14:textId="77777777" w:rsidR="00464F18" w:rsidRDefault="00464F18" w:rsidP="00F327FB">
      <w:pPr>
        <w:ind w:firstLine="720"/>
        <w:jc w:val="both"/>
        <w:rPr>
          <w:rFonts w:ascii="Arial" w:hAnsi="Arial" w:cs="Arial"/>
        </w:rPr>
      </w:pPr>
      <w:r w:rsidRPr="00F327FB">
        <w:rPr>
          <w:rFonts w:ascii="Arial" w:hAnsi="Arial" w:cs="Arial"/>
        </w:rPr>
        <w:t xml:space="preserve">Qualitative phytochemical analysis of the aqueous extract of rhizome scales revealed the presence of alkaloids, sterols and carbohydrates. Alkaloids were confirmed by Mayer’s and </w:t>
      </w:r>
      <w:proofErr w:type="spellStart"/>
      <w:r w:rsidRPr="00F327FB">
        <w:rPr>
          <w:rFonts w:ascii="Arial" w:hAnsi="Arial" w:cs="Arial"/>
        </w:rPr>
        <w:t>Dragendorff’s</w:t>
      </w:r>
      <w:proofErr w:type="spellEnd"/>
      <w:r w:rsidRPr="00F327FB">
        <w:rPr>
          <w:rFonts w:ascii="Arial" w:hAnsi="Arial" w:cs="Arial"/>
        </w:rPr>
        <w:t xml:space="preserve"> tests. Sterols were detected through the Liebermann–Burchard reaction and Carbohydrates were confirmed by Molisch’s and Fehling’s tests. The detailed screening results are presented in Table 2.</w:t>
      </w:r>
    </w:p>
    <w:p w14:paraId="2B4928BD" w14:textId="77777777" w:rsidR="00F327FB" w:rsidRPr="00F327FB" w:rsidRDefault="00F327FB" w:rsidP="00F327FB">
      <w:pPr>
        <w:ind w:firstLine="720"/>
        <w:jc w:val="both"/>
        <w:rPr>
          <w:rFonts w:ascii="Arial" w:hAnsi="Arial" w:cs="Arial"/>
        </w:rPr>
      </w:pPr>
    </w:p>
    <w:p w14:paraId="30AC9A20" w14:textId="77777777" w:rsidR="00464F18" w:rsidRDefault="00464F18" w:rsidP="00F327FB">
      <w:pPr>
        <w:rPr>
          <w:rFonts w:ascii="Arial" w:hAnsi="Arial" w:cs="Arial"/>
          <w:b/>
        </w:rPr>
      </w:pPr>
      <w:r w:rsidRPr="00F327FB">
        <w:rPr>
          <w:rFonts w:ascii="Arial" w:hAnsi="Arial" w:cs="Arial"/>
          <w:b/>
        </w:rPr>
        <w:t xml:space="preserve">Table -2 Preliminary phytochemical screening of </w:t>
      </w:r>
      <w:proofErr w:type="spellStart"/>
      <w:r w:rsidRPr="00F327FB">
        <w:rPr>
          <w:rFonts w:ascii="Arial" w:hAnsi="Arial" w:cs="Arial"/>
          <w:b/>
          <w:i/>
        </w:rPr>
        <w:t>Drynaria</w:t>
      </w:r>
      <w:proofErr w:type="spellEnd"/>
      <w:r w:rsidRPr="00F327FB">
        <w:rPr>
          <w:rFonts w:ascii="Arial" w:hAnsi="Arial" w:cs="Arial"/>
          <w:b/>
          <w:i/>
        </w:rPr>
        <w:t xml:space="preserve"> </w:t>
      </w:r>
      <w:proofErr w:type="spellStart"/>
      <w:r w:rsidRPr="00F327FB">
        <w:rPr>
          <w:rFonts w:ascii="Arial" w:hAnsi="Arial" w:cs="Arial"/>
          <w:b/>
          <w:i/>
        </w:rPr>
        <w:t>quercifolia</w:t>
      </w:r>
      <w:proofErr w:type="spellEnd"/>
      <w:r w:rsidRPr="00F327FB">
        <w:rPr>
          <w:rFonts w:ascii="Arial" w:hAnsi="Arial" w:cs="Arial"/>
          <w:b/>
        </w:rPr>
        <w:t xml:space="preserve"> scales aqueous extract</w:t>
      </w:r>
    </w:p>
    <w:p w14:paraId="68A191B1" w14:textId="77777777" w:rsidR="00F327FB" w:rsidRPr="00F327FB" w:rsidRDefault="00F327FB" w:rsidP="00F327FB">
      <w:pPr>
        <w:rPr>
          <w:rFonts w:ascii="Arial" w:hAnsi="Arial" w:cs="Arial"/>
          <w:b/>
        </w:rPr>
      </w:pPr>
    </w:p>
    <w:tbl>
      <w:tblPr>
        <w:tblStyle w:val="TableGrid"/>
        <w:tblW w:w="0" w:type="auto"/>
        <w:tblLook w:val="04A0" w:firstRow="1" w:lastRow="0" w:firstColumn="1" w:lastColumn="0" w:noHBand="0" w:noVBand="1"/>
      </w:tblPr>
      <w:tblGrid>
        <w:gridCol w:w="749"/>
        <w:gridCol w:w="1774"/>
        <w:gridCol w:w="2393"/>
        <w:gridCol w:w="2454"/>
        <w:gridCol w:w="828"/>
      </w:tblGrid>
      <w:tr w:rsidR="00464F18" w:rsidRPr="00F327FB" w14:paraId="1C8720DE" w14:textId="77777777" w:rsidTr="00F327FB">
        <w:tc>
          <w:tcPr>
            <w:tcW w:w="846" w:type="dxa"/>
            <w:hideMark/>
          </w:tcPr>
          <w:p w14:paraId="195F2BDD"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S. No.</w:t>
            </w:r>
          </w:p>
        </w:tc>
        <w:tc>
          <w:tcPr>
            <w:tcW w:w="1843" w:type="dxa"/>
            <w:hideMark/>
          </w:tcPr>
          <w:p w14:paraId="73227AB9"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Phytochemical group</w:t>
            </w:r>
          </w:p>
        </w:tc>
        <w:tc>
          <w:tcPr>
            <w:tcW w:w="2835" w:type="dxa"/>
            <w:hideMark/>
          </w:tcPr>
          <w:p w14:paraId="0CCB0951"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Test performed</w:t>
            </w:r>
          </w:p>
        </w:tc>
        <w:tc>
          <w:tcPr>
            <w:tcW w:w="2956" w:type="dxa"/>
            <w:hideMark/>
          </w:tcPr>
          <w:p w14:paraId="64311083"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Observation</w:t>
            </w:r>
          </w:p>
        </w:tc>
        <w:tc>
          <w:tcPr>
            <w:tcW w:w="0" w:type="auto"/>
            <w:hideMark/>
          </w:tcPr>
          <w:p w14:paraId="4953523F"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Result</w:t>
            </w:r>
          </w:p>
        </w:tc>
      </w:tr>
      <w:tr w:rsidR="00464F18" w:rsidRPr="00F327FB" w14:paraId="159EC76F" w14:textId="77777777" w:rsidTr="00F327FB">
        <w:tc>
          <w:tcPr>
            <w:tcW w:w="846" w:type="dxa"/>
            <w:hideMark/>
          </w:tcPr>
          <w:p w14:paraId="0704A04C" w14:textId="77777777" w:rsidR="00464F18" w:rsidRPr="00F327FB" w:rsidRDefault="00464F18" w:rsidP="00F327FB">
            <w:pPr>
              <w:rPr>
                <w:rFonts w:ascii="Arial" w:hAnsi="Arial" w:cs="Arial"/>
                <w:sz w:val="20"/>
                <w:szCs w:val="20"/>
              </w:rPr>
            </w:pPr>
            <w:r w:rsidRPr="00F327FB">
              <w:rPr>
                <w:rFonts w:ascii="Arial" w:hAnsi="Arial" w:cs="Arial"/>
                <w:sz w:val="20"/>
                <w:szCs w:val="20"/>
              </w:rPr>
              <w:t>1</w:t>
            </w:r>
          </w:p>
        </w:tc>
        <w:tc>
          <w:tcPr>
            <w:tcW w:w="1843" w:type="dxa"/>
            <w:hideMark/>
          </w:tcPr>
          <w:p w14:paraId="57862733" w14:textId="77777777" w:rsidR="00464F18" w:rsidRPr="00F327FB" w:rsidRDefault="00464F18" w:rsidP="00F327FB">
            <w:pPr>
              <w:rPr>
                <w:rFonts w:ascii="Arial" w:hAnsi="Arial" w:cs="Arial"/>
                <w:sz w:val="20"/>
                <w:szCs w:val="20"/>
              </w:rPr>
            </w:pPr>
            <w:r w:rsidRPr="00F327FB">
              <w:rPr>
                <w:rFonts w:ascii="Arial" w:hAnsi="Arial" w:cs="Arial"/>
                <w:sz w:val="20"/>
                <w:szCs w:val="20"/>
              </w:rPr>
              <w:t>Alkaloids</w:t>
            </w:r>
          </w:p>
        </w:tc>
        <w:tc>
          <w:tcPr>
            <w:tcW w:w="2835" w:type="dxa"/>
            <w:hideMark/>
          </w:tcPr>
          <w:p w14:paraId="509AB415" w14:textId="77777777" w:rsidR="00464F18" w:rsidRPr="00F327FB" w:rsidRDefault="00464F18" w:rsidP="00F327FB">
            <w:pPr>
              <w:rPr>
                <w:rFonts w:ascii="Arial" w:hAnsi="Arial" w:cs="Arial"/>
                <w:sz w:val="20"/>
                <w:szCs w:val="20"/>
              </w:rPr>
            </w:pPr>
            <w:r w:rsidRPr="00F327FB">
              <w:rPr>
                <w:rFonts w:ascii="Arial" w:hAnsi="Arial" w:cs="Arial"/>
                <w:sz w:val="20"/>
                <w:szCs w:val="20"/>
              </w:rPr>
              <w:t>Mayer’s test</w:t>
            </w:r>
          </w:p>
        </w:tc>
        <w:tc>
          <w:tcPr>
            <w:tcW w:w="2956" w:type="dxa"/>
            <w:hideMark/>
          </w:tcPr>
          <w:p w14:paraId="59FB5A53" w14:textId="77777777" w:rsidR="00464F18" w:rsidRPr="00F327FB" w:rsidRDefault="00464F18" w:rsidP="00F327FB">
            <w:pPr>
              <w:rPr>
                <w:rFonts w:ascii="Arial" w:hAnsi="Arial" w:cs="Arial"/>
                <w:sz w:val="20"/>
                <w:szCs w:val="20"/>
              </w:rPr>
            </w:pPr>
            <w:r w:rsidRPr="00F327FB">
              <w:rPr>
                <w:rFonts w:ascii="Arial" w:hAnsi="Arial" w:cs="Arial"/>
                <w:sz w:val="20"/>
                <w:szCs w:val="20"/>
              </w:rPr>
              <w:t>Cream-</w:t>
            </w:r>
            <w:proofErr w:type="spellStart"/>
            <w:r w:rsidRPr="00F327FB">
              <w:rPr>
                <w:rFonts w:ascii="Arial" w:hAnsi="Arial" w:cs="Arial"/>
                <w:sz w:val="20"/>
                <w:szCs w:val="20"/>
              </w:rPr>
              <w:t>coloured</w:t>
            </w:r>
            <w:proofErr w:type="spellEnd"/>
            <w:r w:rsidRPr="00F327FB">
              <w:rPr>
                <w:rFonts w:ascii="Arial" w:hAnsi="Arial" w:cs="Arial"/>
                <w:sz w:val="20"/>
                <w:szCs w:val="20"/>
              </w:rPr>
              <w:t xml:space="preserve"> precipitate</w:t>
            </w:r>
          </w:p>
        </w:tc>
        <w:tc>
          <w:tcPr>
            <w:tcW w:w="0" w:type="auto"/>
            <w:hideMark/>
          </w:tcPr>
          <w:p w14:paraId="1AC5140C"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1840F8F" w14:textId="77777777" w:rsidTr="00F327FB">
        <w:tc>
          <w:tcPr>
            <w:tcW w:w="846" w:type="dxa"/>
            <w:hideMark/>
          </w:tcPr>
          <w:p w14:paraId="0755B436" w14:textId="77777777" w:rsidR="00464F18" w:rsidRPr="00F327FB" w:rsidRDefault="00464F18" w:rsidP="00F327FB">
            <w:pPr>
              <w:rPr>
                <w:rFonts w:ascii="Arial" w:hAnsi="Arial" w:cs="Arial"/>
                <w:sz w:val="20"/>
                <w:szCs w:val="20"/>
              </w:rPr>
            </w:pPr>
          </w:p>
        </w:tc>
        <w:tc>
          <w:tcPr>
            <w:tcW w:w="1843" w:type="dxa"/>
            <w:hideMark/>
          </w:tcPr>
          <w:p w14:paraId="7DEF28A5" w14:textId="77777777" w:rsidR="00464F18" w:rsidRPr="00F327FB" w:rsidRDefault="00464F18" w:rsidP="00F327FB">
            <w:pPr>
              <w:rPr>
                <w:rFonts w:ascii="Arial" w:hAnsi="Arial" w:cs="Arial"/>
                <w:sz w:val="20"/>
                <w:szCs w:val="20"/>
              </w:rPr>
            </w:pPr>
          </w:p>
        </w:tc>
        <w:tc>
          <w:tcPr>
            <w:tcW w:w="2835" w:type="dxa"/>
            <w:hideMark/>
          </w:tcPr>
          <w:p w14:paraId="5AF74883" w14:textId="77777777" w:rsidR="00464F18" w:rsidRPr="00F327FB" w:rsidRDefault="00464F18" w:rsidP="00F327FB">
            <w:pPr>
              <w:rPr>
                <w:rFonts w:ascii="Arial" w:hAnsi="Arial" w:cs="Arial"/>
                <w:sz w:val="20"/>
                <w:szCs w:val="20"/>
              </w:rPr>
            </w:pPr>
            <w:proofErr w:type="spellStart"/>
            <w:r w:rsidRPr="00F327FB">
              <w:rPr>
                <w:rFonts w:ascii="Arial" w:hAnsi="Arial" w:cs="Arial"/>
                <w:sz w:val="20"/>
                <w:szCs w:val="20"/>
              </w:rPr>
              <w:t>Dragendorff’s</w:t>
            </w:r>
            <w:proofErr w:type="spellEnd"/>
            <w:r w:rsidRPr="00F327FB">
              <w:rPr>
                <w:rFonts w:ascii="Arial" w:hAnsi="Arial" w:cs="Arial"/>
                <w:sz w:val="20"/>
                <w:szCs w:val="20"/>
              </w:rPr>
              <w:t xml:space="preserve"> test</w:t>
            </w:r>
          </w:p>
        </w:tc>
        <w:tc>
          <w:tcPr>
            <w:tcW w:w="2956" w:type="dxa"/>
            <w:hideMark/>
          </w:tcPr>
          <w:p w14:paraId="5BA5AC1F" w14:textId="77777777" w:rsidR="00464F18" w:rsidRPr="00F327FB" w:rsidRDefault="00464F18" w:rsidP="00F327FB">
            <w:pPr>
              <w:rPr>
                <w:rFonts w:ascii="Arial" w:hAnsi="Arial" w:cs="Arial"/>
                <w:sz w:val="20"/>
                <w:szCs w:val="20"/>
              </w:rPr>
            </w:pPr>
            <w:r w:rsidRPr="00F327FB">
              <w:rPr>
                <w:rFonts w:ascii="Arial" w:hAnsi="Arial" w:cs="Arial"/>
                <w:sz w:val="20"/>
                <w:szCs w:val="20"/>
              </w:rPr>
              <w:t>Reddish-brown precipitate</w:t>
            </w:r>
          </w:p>
        </w:tc>
        <w:tc>
          <w:tcPr>
            <w:tcW w:w="0" w:type="auto"/>
            <w:hideMark/>
          </w:tcPr>
          <w:p w14:paraId="7DC8F5A1"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8D7C00F" w14:textId="77777777" w:rsidTr="00F327FB">
        <w:tc>
          <w:tcPr>
            <w:tcW w:w="846" w:type="dxa"/>
            <w:hideMark/>
          </w:tcPr>
          <w:p w14:paraId="6255B458" w14:textId="77777777" w:rsidR="00464F18" w:rsidRPr="00F327FB" w:rsidRDefault="00464F18" w:rsidP="00F327FB">
            <w:pPr>
              <w:rPr>
                <w:rFonts w:ascii="Arial" w:hAnsi="Arial" w:cs="Arial"/>
                <w:sz w:val="20"/>
                <w:szCs w:val="20"/>
              </w:rPr>
            </w:pPr>
            <w:r w:rsidRPr="00F327FB">
              <w:rPr>
                <w:rFonts w:ascii="Arial" w:hAnsi="Arial" w:cs="Arial"/>
                <w:sz w:val="20"/>
                <w:szCs w:val="20"/>
              </w:rPr>
              <w:t>2</w:t>
            </w:r>
          </w:p>
        </w:tc>
        <w:tc>
          <w:tcPr>
            <w:tcW w:w="1843" w:type="dxa"/>
            <w:hideMark/>
          </w:tcPr>
          <w:p w14:paraId="0CF4742E" w14:textId="77777777" w:rsidR="00464F18" w:rsidRPr="00F327FB" w:rsidRDefault="00464F18" w:rsidP="00F327FB">
            <w:pPr>
              <w:rPr>
                <w:rFonts w:ascii="Arial" w:hAnsi="Arial" w:cs="Arial"/>
                <w:sz w:val="20"/>
                <w:szCs w:val="20"/>
              </w:rPr>
            </w:pPr>
            <w:r w:rsidRPr="00F327FB">
              <w:rPr>
                <w:rFonts w:ascii="Arial" w:hAnsi="Arial" w:cs="Arial"/>
                <w:sz w:val="20"/>
                <w:szCs w:val="20"/>
              </w:rPr>
              <w:t>Flavonoids</w:t>
            </w:r>
          </w:p>
        </w:tc>
        <w:tc>
          <w:tcPr>
            <w:tcW w:w="2835" w:type="dxa"/>
            <w:hideMark/>
          </w:tcPr>
          <w:p w14:paraId="1919C4E2" w14:textId="77777777" w:rsidR="00464F18" w:rsidRPr="00F327FB" w:rsidRDefault="00464F18" w:rsidP="00F327FB">
            <w:pPr>
              <w:rPr>
                <w:rFonts w:ascii="Arial" w:hAnsi="Arial" w:cs="Arial"/>
                <w:sz w:val="20"/>
                <w:szCs w:val="20"/>
              </w:rPr>
            </w:pPr>
            <w:r w:rsidRPr="00F327FB">
              <w:rPr>
                <w:rFonts w:ascii="Arial" w:hAnsi="Arial" w:cs="Arial"/>
                <w:sz w:val="20"/>
                <w:szCs w:val="20"/>
              </w:rPr>
              <w:t>Alkaline reagent test</w:t>
            </w:r>
          </w:p>
        </w:tc>
        <w:tc>
          <w:tcPr>
            <w:tcW w:w="2956" w:type="dxa"/>
            <w:hideMark/>
          </w:tcPr>
          <w:p w14:paraId="0CA2C01C"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w:t>
            </w:r>
            <w:proofErr w:type="spellStart"/>
            <w:r w:rsidRPr="00F327FB">
              <w:rPr>
                <w:rFonts w:ascii="Arial" w:hAnsi="Arial" w:cs="Arial"/>
                <w:sz w:val="20"/>
                <w:szCs w:val="20"/>
              </w:rPr>
              <w:t>colour</w:t>
            </w:r>
            <w:proofErr w:type="spellEnd"/>
            <w:r w:rsidRPr="00F327FB">
              <w:rPr>
                <w:rFonts w:ascii="Arial" w:hAnsi="Arial" w:cs="Arial"/>
                <w:sz w:val="20"/>
                <w:szCs w:val="20"/>
              </w:rPr>
              <w:t xml:space="preserve"> change</w:t>
            </w:r>
          </w:p>
        </w:tc>
        <w:tc>
          <w:tcPr>
            <w:tcW w:w="0" w:type="auto"/>
            <w:hideMark/>
          </w:tcPr>
          <w:p w14:paraId="5AB0B9E0"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61145F42" w14:textId="77777777" w:rsidTr="00F327FB">
        <w:tc>
          <w:tcPr>
            <w:tcW w:w="846" w:type="dxa"/>
            <w:hideMark/>
          </w:tcPr>
          <w:p w14:paraId="17EFD8B1" w14:textId="77777777" w:rsidR="00464F18" w:rsidRPr="00F327FB" w:rsidRDefault="00464F18" w:rsidP="00F327FB">
            <w:pPr>
              <w:rPr>
                <w:rFonts w:ascii="Arial" w:hAnsi="Arial" w:cs="Arial"/>
                <w:sz w:val="20"/>
                <w:szCs w:val="20"/>
              </w:rPr>
            </w:pPr>
          </w:p>
        </w:tc>
        <w:tc>
          <w:tcPr>
            <w:tcW w:w="1843" w:type="dxa"/>
            <w:hideMark/>
          </w:tcPr>
          <w:p w14:paraId="6758BE96" w14:textId="77777777" w:rsidR="00464F18" w:rsidRPr="00F327FB" w:rsidRDefault="00464F18" w:rsidP="00F327FB">
            <w:pPr>
              <w:rPr>
                <w:rFonts w:ascii="Arial" w:hAnsi="Arial" w:cs="Arial"/>
                <w:sz w:val="20"/>
                <w:szCs w:val="20"/>
              </w:rPr>
            </w:pPr>
          </w:p>
        </w:tc>
        <w:tc>
          <w:tcPr>
            <w:tcW w:w="2835" w:type="dxa"/>
            <w:hideMark/>
          </w:tcPr>
          <w:p w14:paraId="52947AD9" w14:textId="77777777" w:rsidR="00464F18" w:rsidRPr="00F327FB" w:rsidRDefault="00464F18" w:rsidP="00F327FB">
            <w:pPr>
              <w:rPr>
                <w:rFonts w:ascii="Arial" w:hAnsi="Arial" w:cs="Arial"/>
                <w:sz w:val="20"/>
                <w:szCs w:val="20"/>
              </w:rPr>
            </w:pPr>
            <w:r w:rsidRPr="00F327FB">
              <w:rPr>
                <w:rFonts w:ascii="Arial" w:hAnsi="Arial" w:cs="Arial"/>
                <w:sz w:val="20"/>
                <w:szCs w:val="20"/>
              </w:rPr>
              <w:t>Concentrated H</w:t>
            </w:r>
            <w:r w:rsidRPr="00F327FB">
              <w:rPr>
                <w:rFonts w:ascii="Cambria Math" w:hAnsi="Cambria Math" w:cs="Cambria Math"/>
                <w:sz w:val="20"/>
                <w:szCs w:val="20"/>
              </w:rPr>
              <w:t>₂</w:t>
            </w:r>
            <w:r w:rsidRPr="00F327FB">
              <w:rPr>
                <w:rFonts w:ascii="Arial" w:hAnsi="Arial" w:cs="Arial"/>
                <w:sz w:val="20"/>
                <w:szCs w:val="20"/>
              </w:rPr>
              <w:t>SO</w:t>
            </w:r>
            <w:r w:rsidRPr="00F327FB">
              <w:rPr>
                <w:rFonts w:ascii="Cambria Math" w:hAnsi="Cambria Math" w:cs="Cambria Math"/>
                <w:sz w:val="20"/>
                <w:szCs w:val="20"/>
              </w:rPr>
              <w:t>₄</w:t>
            </w:r>
            <w:r w:rsidRPr="00F327FB">
              <w:rPr>
                <w:rFonts w:ascii="Arial" w:hAnsi="Arial" w:cs="Arial"/>
                <w:sz w:val="20"/>
                <w:szCs w:val="20"/>
              </w:rPr>
              <w:t xml:space="preserve"> test</w:t>
            </w:r>
          </w:p>
        </w:tc>
        <w:tc>
          <w:tcPr>
            <w:tcW w:w="2956" w:type="dxa"/>
            <w:hideMark/>
          </w:tcPr>
          <w:p w14:paraId="2539C86D"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Reddish-orange </w:t>
            </w:r>
            <w:proofErr w:type="spellStart"/>
            <w:r w:rsidRPr="00F327FB">
              <w:rPr>
                <w:rFonts w:ascii="Arial" w:hAnsi="Arial" w:cs="Arial"/>
                <w:sz w:val="20"/>
                <w:szCs w:val="20"/>
              </w:rPr>
              <w:t>colour</w:t>
            </w:r>
            <w:proofErr w:type="spellEnd"/>
          </w:p>
        </w:tc>
        <w:tc>
          <w:tcPr>
            <w:tcW w:w="0" w:type="auto"/>
            <w:hideMark/>
          </w:tcPr>
          <w:p w14:paraId="34CABF29"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D7EF88C" w14:textId="77777777" w:rsidTr="00F327FB">
        <w:tc>
          <w:tcPr>
            <w:tcW w:w="846" w:type="dxa"/>
            <w:hideMark/>
          </w:tcPr>
          <w:p w14:paraId="65975F3C" w14:textId="77777777" w:rsidR="00464F18" w:rsidRPr="00F327FB" w:rsidRDefault="00464F18" w:rsidP="00F327FB">
            <w:pPr>
              <w:rPr>
                <w:rFonts w:ascii="Arial" w:hAnsi="Arial" w:cs="Arial"/>
                <w:sz w:val="20"/>
                <w:szCs w:val="20"/>
              </w:rPr>
            </w:pPr>
          </w:p>
        </w:tc>
        <w:tc>
          <w:tcPr>
            <w:tcW w:w="1843" w:type="dxa"/>
            <w:hideMark/>
          </w:tcPr>
          <w:p w14:paraId="7B2D6F17" w14:textId="77777777" w:rsidR="00464F18" w:rsidRPr="00F327FB" w:rsidRDefault="00464F18" w:rsidP="00F327FB">
            <w:pPr>
              <w:rPr>
                <w:rFonts w:ascii="Arial" w:hAnsi="Arial" w:cs="Arial"/>
                <w:sz w:val="20"/>
                <w:szCs w:val="20"/>
              </w:rPr>
            </w:pPr>
          </w:p>
        </w:tc>
        <w:tc>
          <w:tcPr>
            <w:tcW w:w="2835" w:type="dxa"/>
            <w:hideMark/>
          </w:tcPr>
          <w:p w14:paraId="190BAD95" w14:textId="77777777" w:rsidR="00464F18" w:rsidRPr="00F327FB" w:rsidRDefault="00464F18" w:rsidP="00F327FB">
            <w:pPr>
              <w:rPr>
                <w:rFonts w:ascii="Arial" w:hAnsi="Arial" w:cs="Arial"/>
                <w:sz w:val="20"/>
                <w:szCs w:val="20"/>
              </w:rPr>
            </w:pPr>
            <w:r w:rsidRPr="00F327FB">
              <w:rPr>
                <w:rFonts w:ascii="Arial" w:hAnsi="Arial" w:cs="Arial"/>
                <w:sz w:val="20"/>
                <w:szCs w:val="20"/>
              </w:rPr>
              <w:t>Lead acetate test</w:t>
            </w:r>
          </w:p>
        </w:tc>
        <w:tc>
          <w:tcPr>
            <w:tcW w:w="2956" w:type="dxa"/>
            <w:hideMark/>
          </w:tcPr>
          <w:p w14:paraId="700EFA14"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099CC00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4A2D1C1" w14:textId="77777777" w:rsidTr="00F327FB">
        <w:tc>
          <w:tcPr>
            <w:tcW w:w="846" w:type="dxa"/>
            <w:hideMark/>
          </w:tcPr>
          <w:p w14:paraId="6B11FB4F" w14:textId="77777777" w:rsidR="00464F18" w:rsidRPr="00F327FB" w:rsidRDefault="00464F18" w:rsidP="00F327FB">
            <w:pPr>
              <w:rPr>
                <w:rFonts w:ascii="Arial" w:hAnsi="Arial" w:cs="Arial"/>
                <w:sz w:val="20"/>
                <w:szCs w:val="20"/>
              </w:rPr>
            </w:pPr>
          </w:p>
        </w:tc>
        <w:tc>
          <w:tcPr>
            <w:tcW w:w="1843" w:type="dxa"/>
            <w:hideMark/>
          </w:tcPr>
          <w:p w14:paraId="2BE2E77B" w14:textId="77777777" w:rsidR="00464F18" w:rsidRPr="00F327FB" w:rsidRDefault="00464F18" w:rsidP="00F327FB">
            <w:pPr>
              <w:rPr>
                <w:rFonts w:ascii="Arial" w:hAnsi="Arial" w:cs="Arial"/>
                <w:sz w:val="20"/>
                <w:szCs w:val="20"/>
              </w:rPr>
            </w:pPr>
          </w:p>
        </w:tc>
        <w:tc>
          <w:tcPr>
            <w:tcW w:w="2835" w:type="dxa"/>
            <w:hideMark/>
          </w:tcPr>
          <w:p w14:paraId="3AD7352C" w14:textId="77777777" w:rsidR="00464F18" w:rsidRPr="00F327FB" w:rsidRDefault="00464F18" w:rsidP="00F327FB">
            <w:pPr>
              <w:rPr>
                <w:rFonts w:ascii="Arial" w:hAnsi="Arial" w:cs="Arial"/>
                <w:sz w:val="20"/>
                <w:szCs w:val="20"/>
              </w:rPr>
            </w:pPr>
            <w:r w:rsidRPr="00F327FB">
              <w:rPr>
                <w:rFonts w:ascii="Arial" w:hAnsi="Arial" w:cs="Arial"/>
                <w:sz w:val="20"/>
                <w:szCs w:val="20"/>
              </w:rPr>
              <w:t>Shinoda test</w:t>
            </w:r>
          </w:p>
        </w:tc>
        <w:tc>
          <w:tcPr>
            <w:tcW w:w="2956" w:type="dxa"/>
            <w:hideMark/>
          </w:tcPr>
          <w:p w14:paraId="6D1FAA8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crimson-pink </w:t>
            </w:r>
            <w:proofErr w:type="spellStart"/>
            <w:r w:rsidRPr="00F327FB">
              <w:rPr>
                <w:rFonts w:ascii="Arial" w:hAnsi="Arial" w:cs="Arial"/>
                <w:sz w:val="20"/>
                <w:szCs w:val="20"/>
              </w:rPr>
              <w:t>colour</w:t>
            </w:r>
            <w:proofErr w:type="spellEnd"/>
          </w:p>
        </w:tc>
        <w:tc>
          <w:tcPr>
            <w:tcW w:w="0" w:type="auto"/>
            <w:hideMark/>
          </w:tcPr>
          <w:p w14:paraId="72DD08AD"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396AA2A0" w14:textId="77777777" w:rsidTr="00F327FB">
        <w:tc>
          <w:tcPr>
            <w:tcW w:w="846" w:type="dxa"/>
            <w:hideMark/>
          </w:tcPr>
          <w:p w14:paraId="1555AB2A" w14:textId="77777777" w:rsidR="00464F18" w:rsidRPr="00F327FB" w:rsidRDefault="00464F18" w:rsidP="00F327FB">
            <w:pPr>
              <w:rPr>
                <w:rFonts w:ascii="Arial" w:hAnsi="Arial" w:cs="Arial"/>
                <w:sz w:val="20"/>
                <w:szCs w:val="20"/>
              </w:rPr>
            </w:pPr>
            <w:r w:rsidRPr="00F327FB">
              <w:rPr>
                <w:rFonts w:ascii="Arial" w:hAnsi="Arial" w:cs="Arial"/>
                <w:sz w:val="20"/>
                <w:szCs w:val="20"/>
              </w:rPr>
              <w:t>3</w:t>
            </w:r>
          </w:p>
        </w:tc>
        <w:tc>
          <w:tcPr>
            <w:tcW w:w="1843" w:type="dxa"/>
            <w:hideMark/>
          </w:tcPr>
          <w:p w14:paraId="129419C4" w14:textId="77777777" w:rsidR="00464F18" w:rsidRPr="00F327FB" w:rsidRDefault="00464F18" w:rsidP="00F327FB">
            <w:pPr>
              <w:rPr>
                <w:rFonts w:ascii="Arial" w:hAnsi="Arial" w:cs="Arial"/>
                <w:sz w:val="20"/>
                <w:szCs w:val="20"/>
              </w:rPr>
            </w:pPr>
            <w:r w:rsidRPr="00F327FB">
              <w:rPr>
                <w:rFonts w:ascii="Arial" w:hAnsi="Arial" w:cs="Arial"/>
                <w:sz w:val="20"/>
                <w:szCs w:val="20"/>
              </w:rPr>
              <w:t>Sterols</w:t>
            </w:r>
          </w:p>
        </w:tc>
        <w:tc>
          <w:tcPr>
            <w:tcW w:w="2835" w:type="dxa"/>
            <w:hideMark/>
          </w:tcPr>
          <w:p w14:paraId="56AD2DD2" w14:textId="77777777" w:rsidR="00464F18" w:rsidRPr="00F327FB" w:rsidRDefault="00464F18" w:rsidP="00F327FB">
            <w:pPr>
              <w:rPr>
                <w:rFonts w:ascii="Arial" w:hAnsi="Arial" w:cs="Arial"/>
                <w:sz w:val="20"/>
                <w:szCs w:val="20"/>
              </w:rPr>
            </w:pPr>
            <w:r w:rsidRPr="00F327FB">
              <w:rPr>
                <w:rFonts w:ascii="Arial" w:hAnsi="Arial" w:cs="Arial"/>
                <w:sz w:val="20"/>
                <w:szCs w:val="20"/>
              </w:rPr>
              <w:t>Liebermann–Burchard test</w:t>
            </w:r>
          </w:p>
        </w:tc>
        <w:tc>
          <w:tcPr>
            <w:tcW w:w="2956" w:type="dxa"/>
            <w:hideMark/>
          </w:tcPr>
          <w:p w14:paraId="4CC3C547" w14:textId="77777777" w:rsidR="00464F18" w:rsidRPr="00F327FB" w:rsidRDefault="00464F18" w:rsidP="00F327FB">
            <w:pPr>
              <w:rPr>
                <w:rFonts w:ascii="Arial" w:hAnsi="Arial" w:cs="Arial"/>
                <w:sz w:val="20"/>
                <w:szCs w:val="20"/>
              </w:rPr>
            </w:pPr>
            <w:r w:rsidRPr="00F327FB">
              <w:rPr>
                <w:rFonts w:ascii="Arial" w:hAnsi="Arial" w:cs="Arial"/>
                <w:sz w:val="20"/>
                <w:szCs w:val="20"/>
              </w:rPr>
              <w:t>Reddish-brown ring formation</w:t>
            </w:r>
          </w:p>
        </w:tc>
        <w:tc>
          <w:tcPr>
            <w:tcW w:w="0" w:type="auto"/>
            <w:hideMark/>
          </w:tcPr>
          <w:p w14:paraId="0D74158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19B83A0" w14:textId="77777777" w:rsidTr="00F327FB">
        <w:tc>
          <w:tcPr>
            <w:tcW w:w="846" w:type="dxa"/>
            <w:hideMark/>
          </w:tcPr>
          <w:p w14:paraId="4AEDB203" w14:textId="77777777" w:rsidR="00464F18" w:rsidRPr="00F327FB" w:rsidRDefault="00464F18" w:rsidP="00F327FB">
            <w:pPr>
              <w:rPr>
                <w:rFonts w:ascii="Arial" w:hAnsi="Arial" w:cs="Arial"/>
                <w:sz w:val="20"/>
                <w:szCs w:val="20"/>
              </w:rPr>
            </w:pPr>
            <w:r w:rsidRPr="00F327FB">
              <w:rPr>
                <w:rFonts w:ascii="Arial" w:hAnsi="Arial" w:cs="Arial"/>
                <w:sz w:val="20"/>
                <w:szCs w:val="20"/>
              </w:rPr>
              <w:t>4</w:t>
            </w:r>
          </w:p>
        </w:tc>
        <w:tc>
          <w:tcPr>
            <w:tcW w:w="1843" w:type="dxa"/>
            <w:hideMark/>
          </w:tcPr>
          <w:p w14:paraId="1BD2E76C" w14:textId="77777777" w:rsidR="00464F18" w:rsidRPr="00F327FB" w:rsidRDefault="00464F18" w:rsidP="00F327FB">
            <w:pPr>
              <w:rPr>
                <w:rFonts w:ascii="Arial" w:hAnsi="Arial" w:cs="Arial"/>
                <w:sz w:val="20"/>
                <w:szCs w:val="20"/>
              </w:rPr>
            </w:pPr>
            <w:r w:rsidRPr="00F327FB">
              <w:rPr>
                <w:rFonts w:ascii="Arial" w:hAnsi="Arial" w:cs="Arial"/>
                <w:sz w:val="20"/>
                <w:szCs w:val="20"/>
              </w:rPr>
              <w:t>Terpenoids</w:t>
            </w:r>
          </w:p>
        </w:tc>
        <w:tc>
          <w:tcPr>
            <w:tcW w:w="2835" w:type="dxa"/>
            <w:hideMark/>
          </w:tcPr>
          <w:p w14:paraId="0504D4E8" w14:textId="77777777" w:rsidR="00464F18" w:rsidRPr="00F327FB" w:rsidRDefault="00464F18" w:rsidP="00F327FB">
            <w:pPr>
              <w:rPr>
                <w:rFonts w:ascii="Arial" w:hAnsi="Arial" w:cs="Arial"/>
                <w:sz w:val="20"/>
                <w:szCs w:val="20"/>
              </w:rPr>
            </w:pPr>
            <w:r w:rsidRPr="00F327FB">
              <w:rPr>
                <w:rFonts w:ascii="Arial" w:hAnsi="Arial" w:cs="Arial"/>
                <w:sz w:val="20"/>
                <w:szCs w:val="20"/>
              </w:rPr>
              <w:t>Liebermann–Burchard test</w:t>
            </w:r>
          </w:p>
        </w:tc>
        <w:tc>
          <w:tcPr>
            <w:tcW w:w="2956" w:type="dxa"/>
            <w:hideMark/>
          </w:tcPr>
          <w:p w14:paraId="25688460"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green </w:t>
            </w:r>
            <w:proofErr w:type="spellStart"/>
            <w:r w:rsidRPr="00F327FB">
              <w:rPr>
                <w:rFonts w:ascii="Arial" w:hAnsi="Arial" w:cs="Arial"/>
                <w:sz w:val="20"/>
                <w:szCs w:val="20"/>
              </w:rPr>
              <w:t>colour</w:t>
            </w:r>
            <w:proofErr w:type="spellEnd"/>
          </w:p>
        </w:tc>
        <w:tc>
          <w:tcPr>
            <w:tcW w:w="0" w:type="auto"/>
            <w:hideMark/>
          </w:tcPr>
          <w:p w14:paraId="35AB244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BF57336" w14:textId="77777777" w:rsidTr="00F327FB">
        <w:tc>
          <w:tcPr>
            <w:tcW w:w="846" w:type="dxa"/>
            <w:hideMark/>
          </w:tcPr>
          <w:p w14:paraId="46153DB5" w14:textId="77777777" w:rsidR="00464F18" w:rsidRPr="00F327FB" w:rsidRDefault="00464F18" w:rsidP="00F327FB">
            <w:pPr>
              <w:rPr>
                <w:rFonts w:ascii="Arial" w:hAnsi="Arial" w:cs="Arial"/>
                <w:sz w:val="20"/>
                <w:szCs w:val="20"/>
              </w:rPr>
            </w:pPr>
            <w:r w:rsidRPr="00F327FB">
              <w:rPr>
                <w:rFonts w:ascii="Arial" w:hAnsi="Arial" w:cs="Arial"/>
                <w:sz w:val="20"/>
                <w:szCs w:val="20"/>
              </w:rPr>
              <w:t>5</w:t>
            </w:r>
          </w:p>
        </w:tc>
        <w:tc>
          <w:tcPr>
            <w:tcW w:w="1843" w:type="dxa"/>
            <w:hideMark/>
          </w:tcPr>
          <w:p w14:paraId="37ED2584" w14:textId="77777777" w:rsidR="00464F18" w:rsidRPr="00F327FB" w:rsidRDefault="00464F18" w:rsidP="00F327FB">
            <w:pPr>
              <w:rPr>
                <w:rFonts w:ascii="Arial" w:hAnsi="Arial" w:cs="Arial"/>
                <w:sz w:val="20"/>
                <w:szCs w:val="20"/>
              </w:rPr>
            </w:pPr>
            <w:r w:rsidRPr="00F327FB">
              <w:rPr>
                <w:rFonts w:ascii="Arial" w:hAnsi="Arial" w:cs="Arial"/>
                <w:sz w:val="20"/>
                <w:szCs w:val="20"/>
              </w:rPr>
              <w:t>Anthraquinones</w:t>
            </w:r>
          </w:p>
        </w:tc>
        <w:tc>
          <w:tcPr>
            <w:tcW w:w="2835" w:type="dxa"/>
            <w:hideMark/>
          </w:tcPr>
          <w:p w14:paraId="1FC51950" w14:textId="77777777" w:rsidR="00464F18" w:rsidRPr="00F327FB" w:rsidRDefault="00464F18" w:rsidP="00F327FB">
            <w:pPr>
              <w:rPr>
                <w:rFonts w:ascii="Arial" w:hAnsi="Arial" w:cs="Arial"/>
                <w:sz w:val="20"/>
                <w:szCs w:val="20"/>
              </w:rPr>
            </w:pPr>
            <w:r w:rsidRPr="00F327FB">
              <w:rPr>
                <w:rFonts w:ascii="Arial" w:hAnsi="Arial" w:cs="Arial"/>
                <w:sz w:val="20"/>
                <w:szCs w:val="20"/>
              </w:rPr>
              <w:t>Borntrager’s test</w:t>
            </w:r>
          </w:p>
        </w:tc>
        <w:tc>
          <w:tcPr>
            <w:tcW w:w="2956" w:type="dxa"/>
            <w:hideMark/>
          </w:tcPr>
          <w:p w14:paraId="6768DC2A"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reddish-orange </w:t>
            </w:r>
            <w:proofErr w:type="spellStart"/>
            <w:r w:rsidRPr="00F327FB">
              <w:rPr>
                <w:rFonts w:ascii="Arial" w:hAnsi="Arial" w:cs="Arial"/>
                <w:sz w:val="20"/>
                <w:szCs w:val="20"/>
              </w:rPr>
              <w:t>colour</w:t>
            </w:r>
            <w:proofErr w:type="spellEnd"/>
          </w:p>
        </w:tc>
        <w:tc>
          <w:tcPr>
            <w:tcW w:w="0" w:type="auto"/>
            <w:hideMark/>
          </w:tcPr>
          <w:p w14:paraId="3CD329C0"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E2C8727" w14:textId="77777777" w:rsidTr="00F327FB">
        <w:tc>
          <w:tcPr>
            <w:tcW w:w="846" w:type="dxa"/>
            <w:hideMark/>
          </w:tcPr>
          <w:p w14:paraId="62518487" w14:textId="77777777" w:rsidR="00464F18" w:rsidRPr="00F327FB" w:rsidRDefault="00464F18" w:rsidP="00F327FB">
            <w:pPr>
              <w:rPr>
                <w:rFonts w:ascii="Arial" w:hAnsi="Arial" w:cs="Arial"/>
                <w:sz w:val="20"/>
                <w:szCs w:val="20"/>
              </w:rPr>
            </w:pPr>
            <w:r w:rsidRPr="00F327FB">
              <w:rPr>
                <w:rFonts w:ascii="Arial" w:hAnsi="Arial" w:cs="Arial"/>
                <w:sz w:val="20"/>
                <w:szCs w:val="20"/>
              </w:rPr>
              <w:t>6</w:t>
            </w:r>
          </w:p>
        </w:tc>
        <w:tc>
          <w:tcPr>
            <w:tcW w:w="1843" w:type="dxa"/>
            <w:hideMark/>
          </w:tcPr>
          <w:p w14:paraId="6C562BCC" w14:textId="77777777" w:rsidR="00464F18" w:rsidRPr="00F327FB" w:rsidRDefault="00464F18" w:rsidP="00F327FB">
            <w:pPr>
              <w:rPr>
                <w:rFonts w:ascii="Arial" w:hAnsi="Arial" w:cs="Arial"/>
                <w:sz w:val="20"/>
                <w:szCs w:val="20"/>
              </w:rPr>
            </w:pPr>
            <w:r w:rsidRPr="00F327FB">
              <w:rPr>
                <w:rFonts w:ascii="Arial" w:hAnsi="Arial" w:cs="Arial"/>
                <w:sz w:val="20"/>
                <w:szCs w:val="20"/>
              </w:rPr>
              <w:t>Anthocyanins</w:t>
            </w:r>
          </w:p>
        </w:tc>
        <w:tc>
          <w:tcPr>
            <w:tcW w:w="2835" w:type="dxa"/>
            <w:hideMark/>
          </w:tcPr>
          <w:p w14:paraId="40DB1B82" w14:textId="77777777" w:rsidR="00464F18" w:rsidRPr="00F327FB" w:rsidRDefault="00464F18" w:rsidP="00F327FB">
            <w:pPr>
              <w:rPr>
                <w:rFonts w:ascii="Arial" w:hAnsi="Arial" w:cs="Arial"/>
                <w:sz w:val="20"/>
                <w:szCs w:val="20"/>
              </w:rPr>
            </w:pPr>
            <w:r w:rsidRPr="00F327FB">
              <w:rPr>
                <w:rFonts w:ascii="Arial" w:hAnsi="Arial" w:cs="Arial"/>
                <w:sz w:val="20"/>
                <w:szCs w:val="20"/>
              </w:rPr>
              <w:t>HCl test</w:t>
            </w:r>
          </w:p>
        </w:tc>
        <w:tc>
          <w:tcPr>
            <w:tcW w:w="2956" w:type="dxa"/>
            <w:hideMark/>
          </w:tcPr>
          <w:p w14:paraId="30BB215F"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w:t>
            </w:r>
            <w:proofErr w:type="spellStart"/>
            <w:r w:rsidRPr="00F327FB">
              <w:rPr>
                <w:rFonts w:ascii="Arial" w:hAnsi="Arial" w:cs="Arial"/>
                <w:sz w:val="20"/>
                <w:szCs w:val="20"/>
              </w:rPr>
              <w:t>colour</w:t>
            </w:r>
            <w:proofErr w:type="spellEnd"/>
            <w:r w:rsidRPr="00F327FB">
              <w:rPr>
                <w:rFonts w:ascii="Arial" w:hAnsi="Arial" w:cs="Arial"/>
                <w:sz w:val="20"/>
                <w:szCs w:val="20"/>
              </w:rPr>
              <w:t xml:space="preserve"> change</w:t>
            </w:r>
          </w:p>
        </w:tc>
        <w:tc>
          <w:tcPr>
            <w:tcW w:w="0" w:type="auto"/>
            <w:hideMark/>
          </w:tcPr>
          <w:p w14:paraId="15FBF68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6037A65" w14:textId="77777777" w:rsidTr="00F327FB">
        <w:tc>
          <w:tcPr>
            <w:tcW w:w="846" w:type="dxa"/>
            <w:hideMark/>
          </w:tcPr>
          <w:p w14:paraId="0D49F0A3" w14:textId="77777777" w:rsidR="00464F18" w:rsidRPr="00F327FB" w:rsidRDefault="00464F18" w:rsidP="00F327FB">
            <w:pPr>
              <w:rPr>
                <w:rFonts w:ascii="Arial" w:hAnsi="Arial" w:cs="Arial"/>
                <w:sz w:val="20"/>
                <w:szCs w:val="20"/>
              </w:rPr>
            </w:pPr>
            <w:r w:rsidRPr="00F327FB">
              <w:rPr>
                <w:rFonts w:ascii="Arial" w:hAnsi="Arial" w:cs="Arial"/>
                <w:sz w:val="20"/>
                <w:szCs w:val="20"/>
              </w:rPr>
              <w:t>7</w:t>
            </w:r>
          </w:p>
        </w:tc>
        <w:tc>
          <w:tcPr>
            <w:tcW w:w="1843" w:type="dxa"/>
            <w:hideMark/>
          </w:tcPr>
          <w:p w14:paraId="68A14E4A" w14:textId="77777777" w:rsidR="00464F18" w:rsidRPr="00F327FB" w:rsidRDefault="00464F18" w:rsidP="00F327FB">
            <w:pPr>
              <w:rPr>
                <w:rFonts w:ascii="Arial" w:hAnsi="Arial" w:cs="Arial"/>
                <w:sz w:val="20"/>
                <w:szCs w:val="20"/>
              </w:rPr>
            </w:pPr>
            <w:r w:rsidRPr="00F327FB">
              <w:rPr>
                <w:rFonts w:ascii="Arial" w:hAnsi="Arial" w:cs="Arial"/>
                <w:sz w:val="20"/>
                <w:szCs w:val="20"/>
              </w:rPr>
              <w:t>Proteins</w:t>
            </w:r>
          </w:p>
        </w:tc>
        <w:tc>
          <w:tcPr>
            <w:tcW w:w="2835" w:type="dxa"/>
            <w:hideMark/>
          </w:tcPr>
          <w:p w14:paraId="0F456C1D" w14:textId="77777777" w:rsidR="00464F18" w:rsidRPr="00F327FB" w:rsidRDefault="00464F18" w:rsidP="00F327FB">
            <w:pPr>
              <w:rPr>
                <w:rFonts w:ascii="Arial" w:hAnsi="Arial" w:cs="Arial"/>
                <w:sz w:val="20"/>
                <w:szCs w:val="20"/>
              </w:rPr>
            </w:pPr>
            <w:r w:rsidRPr="00F327FB">
              <w:rPr>
                <w:rFonts w:ascii="Arial" w:hAnsi="Arial" w:cs="Arial"/>
                <w:sz w:val="20"/>
                <w:szCs w:val="20"/>
              </w:rPr>
              <w:t>Ninhydrin test</w:t>
            </w:r>
          </w:p>
        </w:tc>
        <w:tc>
          <w:tcPr>
            <w:tcW w:w="2956" w:type="dxa"/>
            <w:hideMark/>
          </w:tcPr>
          <w:p w14:paraId="75515858"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purple </w:t>
            </w:r>
            <w:proofErr w:type="spellStart"/>
            <w:r w:rsidRPr="00F327FB">
              <w:rPr>
                <w:rFonts w:ascii="Arial" w:hAnsi="Arial" w:cs="Arial"/>
                <w:sz w:val="20"/>
                <w:szCs w:val="20"/>
              </w:rPr>
              <w:t>colour</w:t>
            </w:r>
            <w:proofErr w:type="spellEnd"/>
          </w:p>
        </w:tc>
        <w:tc>
          <w:tcPr>
            <w:tcW w:w="0" w:type="auto"/>
            <w:hideMark/>
          </w:tcPr>
          <w:p w14:paraId="4CB71091"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35E9670" w14:textId="77777777" w:rsidTr="00F327FB">
        <w:tc>
          <w:tcPr>
            <w:tcW w:w="846" w:type="dxa"/>
            <w:hideMark/>
          </w:tcPr>
          <w:p w14:paraId="6E7B47DC" w14:textId="77777777" w:rsidR="00464F18" w:rsidRPr="00F327FB" w:rsidRDefault="00464F18" w:rsidP="00F327FB">
            <w:pPr>
              <w:rPr>
                <w:rFonts w:ascii="Arial" w:hAnsi="Arial" w:cs="Arial"/>
                <w:sz w:val="20"/>
                <w:szCs w:val="20"/>
              </w:rPr>
            </w:pPr>
          </w:p>
        </w:tc>
        <w:tc>
          <w:tcPr>
            <w:tcW w:w="1843" w:type="dxa"/>
            <w:hideMark/>
          </w:tcPr>
          <w:p w14:paraId="0A80B497" w14:textId="77777777" w:rsidR="00464F18" w:rsidRPr="00F327FB" w:rsidRDefault="00464F18" w:rsidP="00F327FB">
            <w:pPr>
              <w:rPr>
                <w:rFonts w:ascii="Arial" w:hAnsi="Arial" w:cs="Arial"/>
                <w:sz w:val="20"/>
                <w:szCs w:val="20"/>
              </w:rPr>
            </w:pPr>
          </w:p>
        </w:tc>
        <w:tc>
          <w:tcPr>
            <w:tcW w:w="2835" w:type="dxa"/>
            <w:hideMark/>
          </w:tcPr>
          <w:p w14:paraId="069CCD77" w14:textId="77777777" w:rsidR="00464F18" w:rsidRPr="00F327FB" w:rsidRDefault="00464F18" w:rsidP="00F327FB">
            <w:pPr>
              <w:rPr>
                <w:rFonts w:ascii="Arial" w:hAnsi="Arial" w:cs="Arial"/>
                <w:sz w:val="20"/>
                <w:szCs w:val="20"/>
              </w:rPr>
            </w:pPr>
            <w:r w:rsidRPr="00F327FB">
              <w:rPr>
                <w:rFonts w:ascii="Arial" w:hAnsi="Arial" w:cs="Arial"/>
                <w:sz w:val="20"/>
                <w:szCs w:val="20"/>
              </w:rPr>
              <w:t>Biuret test</w:t>
            </w:r>
          </w:p>
        </w:tc>
        <w:tc>
          <w:tcPr>
            <w:tcW w:w="2956" w:type="dxa"/>
            <w:hideMark/>
          </w:tcPr>
          <w:p w14:paraId="48830215"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blue </w:t>
            </w:r>
            <w:proofErr w:type="spellStart"/>
            <w:r w:rsidRPr="00F327FB">
              <w:rPr>
                <w:rFonts w:ascii="Arial" w:hAnsi="Arial" w:cs="Arial"/>
                <w:sz w:val="20"/>
                <w:szCs w:val="20"/>
              </w:rPr>
              <w:t>colour</w:t>
            </w:r>
            <w:proofErr w:type="spellEnd"/>
          </w:p>
        </w:tc>
        <w:tc>
          <w:tcPr>
            <w:tcW w:w="0" w:type="auto"/>
            <w:hideMark/>
          </w:tcPr>
          <w:p w14:paraId="64F3ADC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153DE39E" w14:textId="77777777" w:rsidTr="00F327FB">
        <w:tc>
          <w:tcPr>
            <w:tcW w:w="846" w:type="dxa"/>
            <w:hideMark/>
          </w:tcPr>
          <w:p w14:paraId="0EBE3D27" w14:textId="77777777" w:rsidR="00464F18" w:rsidRPr="00F327FB" w:rsidRDefault="00464F18" w:rsidP="00F327FB">
            <w:pPr>
              <w:rPr>
                <w:rFonts w:ascii="Arial" w:hAnsi="Arial" w:cs="Arial"/>
                <w:sz w:val="20"/>
                <w:szCs w:val="20"/>
              </w:rPr>
            </w:pPr>
          </w:p>
        </w:tc>
        <w:tc>
          <w:tcPr>
            <w:tcW w:w="1843" w:type="dxa"/>
            <w:hideMark/>
          </w:tcPr>
          <w:p w14:paraId="333CBB63" w14:textId="77777777" w:rsidR="00464F18" w:rsidRPr="00F327FB" w:rsidRDefault="00464F18" w:rsidP="00F327FB">
            <w:pPr>
              <w:rPr>
                <w:rFonts w:ascii="Arial" w:hAnsi="Arial" w:cs="Arial"/>
                <w:sz w:val="20"/>
                <w:szCs w:val="20"/>
              </w:rPr>
            </w:pPr>
          </w:p>
        </w:tc>
        <w:tc>
          <w:tcPr>
            <w:tcW w:w="2835" w:type="dxa"/>
            <w:hideMark/>
          </w:tcPr>
          <w:p w14:paraId="3BEDA3F9" w14:textId="77777777" w:rsidR="00464F18" w:rsidRPr="00F327FB" w:rsidRDefault="00464F18" w:rsidP="00F327FB">
            <w:pPr>
              <w:rPr>
                <w:rFonts w:ascii="Arial" w:hAnsi="Arial" w:cs="Arial"/>
                <w:sz w:val="20"/>
                <w:szCs w:val="20"/>
              </w:rPr>
            </w:pPr>
            <w:r w:rsidRPr="00F327FB">
              <w:rPr>
                <w:rFonts w:ascii="Arial" w:hAnsi="Arial" w:cs="Arial"/>
                <w:sz w:val="20"/>
                <w:szCs w:val="20"/>
              </w:rPr>
              <w:t>Xanthoproteic test</w:t>
            </w:r>
          </w:p>
        </w:tc>
        <w:tc>
          <w:tcPr>
            <w:tcW w:w="2956" w:type="dxa"/>
            <w:hideMark/>
          </w:tcPr>
          <w:p w14:paraId="26B86D96"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Yellow </w:t>
            </w:r>
            <w:proofErr w:type="spellStart"/>
            <w:r w:rsidRPr="00F327FB">
              <w:rPr>
                <w:rFonts w:ascii="Arial" w:hAnsi="Arial" w:cs="Arial"/>
                <w:sz w:val="20"/>
                <w:szCs w:val="20"/>
              </w:rPr>
              <w:t>colouration</w:t>
            </w:r>
            <w:proofErr w:type="spellEnd"/>
          </w:p>
        </w:tc>
        <w:tc>
          <w:tcPr>
            <w:tcW w:w="0" w:type="auto"/>
            <w:hideMark/>
          </w:tcPr>
          <w:p w14:paraId="0C50DD1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3B784880" w14:textId="77777777" w:rsidTr="00F327FB">
        <w:tc>
          <w:tcPr>
            <w:tcW w:w="846" w:type="dxa"/>
            <w:hideMark/>
          </w:tcPr>
          <w:p w14:paraId="0251E358" w14:textId="77777777" w:rsidR="00464F18" w:rsidRPr="00F327FB" w:rsidRDefault="00464F18" w:rsidP="00F327FB">
            <w:pPr>
              <w:rPr>
                <w:rFonts w:ascii="Arial" w:hAnsi="Arial" w:cs="Arial"/>
                <w:sz w:val="20"/>
                <w:szCs w:val="20"/>
              </w:rPr>
            </w:pPr>
            <w:r w:rsidRPr="00F327FB">
              <w:rPr>
                <w:rFonts w:ascii="Arial" w:hAnsi="Arial" w:cs="Arial"/>
                <w:sz w:val="20"/>
                <w:szCs w:val="20"/>
              </w:rPr>
              <w:t>8</w:t>
            </w:r>
          </w:p>
        </w:tc>
        <w:tc>
          <w:tcPr>
            <w:tcW w:w="1843" w:type="dxa"/>
            <w:hideMark/>
          </w:tcPr>
          <w:p w14:paraId="1A8B4A43" w14:textId="77777777" w:rsidR="00464F18" w:rsidRPr="00F327FB" w:rsidRDefault="00464F18" w:rsidP="00F327FB">
            <w:pPr>
              <w:rPr>
                <w:rFonts w:ascii="Arial" w:hAnsi="Arial" w:cs="Arial"/>
                <w:sz w:val="20"/>
                <w:szCs w:val="20"/>
              </w:rPr>
            </w:pPr>
            <w:r w:rsidRPr="00F327FB">
              <w:rPr>
                <w:rFonts w:ascii="Arial" w:hAnsi="Arial" w:cs="Arial"/>
                <w:sz w:val="20"/>
                <w:szCs w:val="20"/>
              </w:rPr>
              <w:t>Phenolic compounds</w:t>
            </w:r>
          </w:p>
        </w:tc>
        <w:tc>
          <w:tcPr>
            <w:tcW w:w="2835" w:type="dxa"/>
            <w:hideMark/>
          </w:tcPr>
          <w:p w14:paraId="6CACB505" w14:textId="77777777" w:rsidR="00464F18" w:rsidRPr="00F327FB" w:rsidRDefault="00464F18" w:rsidP="00F327FB">
            <w:pPr>
              <w:rPr>
                <w:rFonts w:ascii="Arial" w:hAnsi="Arial" w:cs="Arial"/>
                <w:sz w:val="20"/>
                <w:szCs w:val="20"/>
              </w:rPr>
            </w:pPr>
            <w:r w:rsidRPr="00F327FB">
              <w:rPr>
                <w:rFonts w:ascii="Arial" w:hAnsi="Arial" w:cs="Arial"/>
                <w:sz w:val="20"/>
                <w:szCs w:val="20"/>
              </w:rPr>
              <w:t>Ferric chloride test</w:t>
            </w:r>
          </w:p>
        </w:tc>
        <w:tc>
          <w:tcPr>
            <w:tcW w:w="2956" w:type="dxa"/>
            <w:hideMark/>
          </w:tcPr>
          <w:p w14:paraId="38A9790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bluish-green </w:t>
            </w:r>
            <w:proofErr w:type="spellStart"/>
            <w:r w:rsidRPr="00F327FB">
              <w:rPr>
                <w:rFonts w:ascii="Arial" w:hAnsi="Arial" w:cs="Arial"/>
                <w:sz w:val="20"/>
                <w:szCs w:val="20"/>
              </w:rPr>
              <w:t>colour</w:t>
            </w:r>
            <w:proofErr w:type="spellEnd"/>
          </w:p>
        </w:tc>
        <w:tc>
          <w:tcPr>
            <w:tcW w:w="0" w:type="auto"/>
            <w:hideMark/>
          </w:tcPr>
          <w:p w14:paraId="5893DC5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AB089A1" w14:textId="77777777" w:rsidTr="00F327FB">
        <w:tc>
          <w:tcPr>
            <w:tcW w:w="846" w:type="dxa"/>
            <w:hideMark/>
          </w:tcPr>
          <w:p w14:paraId="10822301" w14:textId="77777777" w:rsidR="00464F18" w:rsidRPr="00F327FB" w:rsidRDefault="00464F18" w:rsidP="00F327FB">
            <w:pPr>
              <w:rPr>
                <w:rFonts w:ascii="Arial" w:hAnsi="Arial" w:cs="Arial"/>
                <w:sz w:val="20"/>
                <w:szCs w:val="20"/>
              </w:rPr>
            </w:pPr>
          </w:p>
        </w:tc>
        <w:tc>
          <w:tcPr>
            <w:tcW w:w="1843" w:type="dxa"/>
            <w:hideMark/>
          </w:tcPr>
          <w:p w14:paraId="6B85A24C" w14:textId="77777777" w:rsidR="00464F18" w:rsidRPr="00F327FB" w:rsidRDefault="00464F18" w:rsidP="00F327FB">
            <w:pPr>
              <w:rPr>
                <w:rFonts w:ascii="Arial" w:hAnsi="Arial" w:cs="Arial"/>
                <w:sz w:val="20"/>
                <w:szCs w:val="20"/>
              </w:rPr>
            </w:pPr>
          </w:p>
        </w:tc>
        <w:tc>
          <w:tcPr>
            <w:tcW w:w="2835" w:type="dxa"/>
            <w:hideMark/>
          </w:tcPr>
          <w:p w14:paraId="00B01BA6" w14:textId="77777777" w:rsidR="00464F18" w:rsidRPr="00F327FB" w:rsidRDefault="00464F18" w:rsidP="00F327FB">
            <w:pPr>
              <w:rPr>
                <w:rFonts w:ascii="Arial" w:hAnsi="Arial" w:cs="Arial"/>
                <w:sz w:val="20"/>
                <w:szCs w:val="20"/>
              </w:rPr>
            </w:pPr>
            <w:r w:rsidRPr="00F327FB">
              <w:rPr>
                <w:rFonts w:ascii="Arial" w:hAnsi="Arial" w:cs="Arial"/>
                <w:sz w:val="20"/>
                <w:szCs w:val="20"/>
              </w:rPr>
              <w:t>Gelatin test</w:t>
            </w:r>
          </w:p>
        </w:tc>
        <w:tc>
          <w:tcPr>
            <w:tcW w:w="2956" w:type="dxa"/>
            <w:hideMark/>
          </w:tcPr>
          <w:p w14:paraId="7F216147"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3E9DE6E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370983D" w14:textId="77777777" w:rsidTr="00F327FB">
        <w:tc>
          <w:tcPr>
            <w:tcW w:w="846" w:type="dxa"/>
            <w:hideMark/>
          </w:tcPr>
          <w:p w14:paraId="719CD188" w14:textId="77777777" w:rsidR="00464F18" w:rsidRPr="00F327FB" w:rsidRDefault="00464F18" w:rsidP="00F327FB">
            <w:pPr>
              <w:rPr>
                <w:rFonts w:ascii="Arial" w:hAnsi="Arial" w:cs="Arial"/>
                <w:sz w:val="20"/>
                <w:szCs w:val="20"/>
              </w:rPr>
            </w:pPr>
          </w:p>
        </w:tc>
        <w:tc>
          <w:tcPr>
            <w:tcW w:w="1843" w:type="dxa"/>
            <w:hideMark/>
          </w:tcPr>
          <w:p w14:paraId="281F4BC3" w14:textId="77777777" w:rsidR="00464F18" w:rsidRPr="00F327FB" w:rsidRDefault="00464F18" w:rsidP="00F327FB">
            <w:pPr>
              <w:rPr>
                <w:rFonts w:ascii="Arial" w:hAnsi="Arial" w:cs="Arial"/>
                <w:sz w:val="20"/>
                <w:szCs w:val="20"/>
              </w:rPr>
            </w:pPr>
          </w:p>
        </w:tc>
        <w:tc>
          <w:tcPr>
            <w:tcW w:w="2835" w:type="dxa"/>
            <w:hideMark/>
          </w:tcPr>
          <w:p w14:paraId="53AA4D55" w14:textId="77777777" w:rsidR="00464F18" w:rsidRPr="00F327FB" w:rsidRDefault="00464F18" w:rsidP="00F327FB">
            <w:pPr>
              <w:rPr>
                <w:rFonts w:ascii="Arial" w:hAnsi="Arial" w:cs="Arial"/>
                <w:sz w:val="20"/>
                <w:szCs w:val="20"/>
              </w:rPr>
            </w:pPr>
            <w:r w:rsidRPr="00F327FB">
              <w:rPr>
                <w:rFonts w:ascii="Arial" w:hAnsi="Arial" w:cs="Arial"/>
                <w:sz w:val="20"/>
                <w:szCs w:val="20"/>
              </w:rPr>
              <w:t>Ellagic acid test</w:t>
            </w:r>
          </w:p>
        </w:tc>
        <w:tc>
          <w:tcPr>
            <w:tcW w:w="2956" w:type="dxa"/>
            <w:hideMark/>
          </w:tcPr>
          <w:p w14:paraId="47659962" w14:textId="77777777" w:rsidR="00464F18" w:rsidRPr="00F327FB" w:rsidRDefault="00464F18" w:rsidP="00F327FB">
            <w:pPr>
              <w:rPr>
                <w:rFonts w:ascii="Arial" w:hAnsi="Arial" w:cs="Arial"/>
                <w:sz w:val="20"/>
                <w:szCs w:val="20"/>
              </w:rPr>
            </w:pPr>
            <w:r w:rsidRPr="00F327FB">
              <w:rPr>
                <w:rFonts w:ascii="Arial" w:hAnsi="Arial" w:cs="Arial"/>
                <w:sz w:val="20"/>
                <w:szCs w:val="20"/>
              </w:rPr>
              <w:t>No brown precipitate</w:t>
            </w:r>
          </w:p>
        </w:tc>
        <w:tc>
          <w:tcPr>
            <w:tcW w:w="0" w:type="auto"/>
            <w:hideMark/>
          </w:tcPr>
          <w:p w14:paraId="1FBA26D6"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BFAF2E2" w14:textId="77777777" w:rsidTr="00F327FB">
        <w:tc>
          <w:tcPr>
            <w:tcW w:w="846" w:type="dxa"/>
            <w:hideMark/>
          </w:tcPr>
          <w:p w14:paraId="518D345A" w14:textId="77777777" w:rsidR="00464F18" w:rsidRPr="00F327FB" w:rsidRDefault="00464F18" w:rsidP="00F327FB">
            <w:pPr>
              <w:rPr>
                <w:rFonts w:ascii="Arial" w:hAnsi="Arial" w:cs="Arial"/>
                <w:sz w:val="20"/>
                <w:szCs w:val="20"/>
              </w:rPr>
            </w:pPr>
            <w:r w:rsidRPr="00F327FB">
              <w:rPr>
                <w:rFonts w:ascii="Arial" w:hAnsi="Arial" w:cs="Arial"/>
                <w:sz w:val="20"/>
                <w:szCs w:val="20"/>
              </w:rPr>
              <w:t>9</w:t>
            </w:r>
          </w:p>
        </w:tc>
        <w:tc>
          <w:tcPr>
            <w:tcW w:w="1843" w:type="dxa"/>
            <w:hideMark/>
          </w:tcPr>
          <w:p w14:paraId="311E3285" w14:textId="77777777" w:rsidR="00464F18" w:rsidRPr="00F327FB" w:rsidRDefault="00464F18" w:rsidP="00F327FB">
            <w:pPr>
              <w:rPr>
                <w:rFonts w:ascii="Arial" w:hAnsi="Arial" w:cs="Arial"/>
                <w:sz w:val="20"/>
                <w:szCs w:val="20"/>
              </w:rPr>
            </w:pPr>
            <w:r w:rsidRPr="00F327FB">
              <w:rPr>
                <w:rFonts w:ascii="Arial" w:hAnsi="Arial" w:cs="Arial"/>
                <w:sz w:val="20"/>
                <w:szCs w:val="20"/>
              </w:rPr>
              <w:t>Quinones</w:t>
            </w:r>
          </w:p>
        </w:tc>
        <w:tc>
          <w:tcPr>
            <w:tcW w:w="2835" w:type="dxa"/>
            <w:hideMark/>
          </w:tcPr>
          <w:p w14:paraId="6E84D947" w14:textId="77777777" w:rsidR="00464F18" w:rsidRPr="00F327FB" w:rsidRDefault="00464F18" w:rsidP="00F327FB">
            <w:pPr>
              <w:rPr>
                <w:rFonts w:ascii="Arial" w:hAnsi="Arial" w:cs="Arial"/>
                <w:sz w:val="20"/>
                <w:szCs w:val="20"/>
              </w:rPr>
            </w:pPr>
            <w:r w:rsidRPr="00F327FB">
              <w:rPr>
                <w:rFonts w:ascii="Arial" w:hAnsi="Arial" w:cs="Arial"/>
                <w:sz w:val="20"/>
                <w:szCs w:val="20"/>
              </w:rPr>
              <w:t>Concentrated HCl test</w:t>
            </w:r>
          </w:p>
        </w:tc>
        <w:tc>
          <w:tcPr>
            <w:tcW w:w="2956" w:type="dxa"/>
            <w:hideMark/>
          </w:tcPr>
          <w:p w14:paraId="79906523"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precipitate</w:t>
            </w:r>
          </w:p>
        </w:tc>
        <w:tc>
          <w:tcPr>
            <w:tcW w:w="0" w:type="auto"/>
            <w:hideMark/>
          </w:tcPr>
          <w:p w14:paraId="3384E2B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12AF3E60" w14:textId="77777777" w:rsidTr="00F327FB">
        <w:tc>
          <w:tcPr>
            <w:tcW w:w="846" w:type="dxa"/>
            <w:hideMark/>
          </w:tcPr>
          <w:p w14:paraId="35447E80" w14:textId="77777777" w:rsidR="00464F18" w:rsidRPr="00F327FB" w:rsidRDefault="00464F18" w:rsidP="00F327FB">
            <w:pPr>
              <w:rPr>
                <w:rFonts w:ascii="Arial" w:hAnsi="Arial" w:cs="Arial"/>
                <w:sz w:val="20"/>
                <w:szCs w:val="20"/>
              </w:rPr>
            </w:pPr>
          </w:p>
        </w:tc>
        <w:tc>
          <w:tcPr>
            <w:tcW w:w="1843" w:type="dxa"/>
            <w:hideMark/>
          </w:tcPr>
          <w:p w14:paraId="1FB5C965" w14:textId="77777777" w:rsidR="00464F18" w:rsidRPr="00F327FB" w:rsidRDefault="00464F18" w:rsidP="00F327FB">
            <w:pPr>
              <w:rPr>
                <w:rFonts w:ascii="Arial" w:hAnsi="Arial" w:cs="Arial"/>
                <w:sz w:val="20"/>
                <w:szCs w:val="20"/>
              </w:rPr>
            </w:pPr>
          </w:p>
        </w:tc>
        <w:tc>
          <w:tcPr>
            <w:tcW w:w="2835" w:type="dxa"/>
            <w:hideMark/>
          </w:tcPr>
          <w:p w14:paraId="1BFBF9D1" w14:textId="77777777" w:rsidR="00464F18" w:rsidRPr="00F327FB" w:rsidRDefault="00464F18" w:rsidP="00F327FB">
            <w:pPr>
              <w:rPr>
                <w:rFonts w:ascii="Arial" w:hAnsi="Arial" w:cs="Arial"/>
                <w:sz w:val="20"/>
                <w:szCs w:val="20"/>
              </w:rPr>
            </w:pPr>
            <w:r w:rsidRPr="00F327FB">
              <w:rPr>
                <w:rFonts w:ascii="Arial" w:hAnsi="Arial" w:cs="Arial"/>
                <w:sz w:val="20"/>
                <w:szCs w:val="20"/>
              </w:rPr>
              <w:t>Alcoholic KOH test</w:t>
            </w:r>
          </w:p>
        </w:tc>
        <w:tc>
          <w:tcPr>
            <w:tcW w:w="2956" w:type="dxa"/>
            <w:hideMark/>
          </w:tcPr>
          <w:p w14:paraId="2CAB7D66"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reddish </w:t>
            </w:r>
            <w:proofErr w:type="spellStart"/>
            <w:r w:rsidRPr="00F327FB">
              <w:rPr>
                <w:rFonts w:ascii="Arial" w:hAnsi="Arial" w:cs="Arial"/>
                <w:sz w:val="20"/>
                <w:szCs w:val="20"/>
              </w:rPr>
              <w:t>colour</w:t>
            </w:r>
            <w:proofErr w:type="spellEnd"/>
          </w:p>
        </w:tc>
        <w:tc>
          <w:tcPr>
            <w:tcW w:w="0" w:type="auto"/>
            <w:hideMark/>
          </w:tcPr>
          <w:p w14:paraId="49F68DE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A7C8F1E" w14:textId="77777777" w:rsidTr="00F327FB">
        <w:tc>
          <w:tcPr>
            <w:tcW w:w="846" w:type="dxa"/>
            <w:hideMark/>
          </w:tcPr>
          <w:p w14:paraId="67F89FB8" w14:textId="77777777" w:rsidR="00464F18" w:rsidRPr="00F327FB" w:rsidRDefault="00464F18" w:rsidP="00F327FB">
            <w:pPr>
              <w:rPr>
                <w:rFonts w:ascii="Arial" w:hAnsi="Arial" w:cs="Arial"/>
                <w:sz w:val="20"/>
                <w:szCs w:val="20"/>
              </w:rPr>
            </w:pPr>
            <w:r w:rsidRPr="00F327FB">
              <w:rPr>
                <w:rFonts w:ascii="Arial" w:hAnsi="Arial" w:cs="Arial"/>
                <w:sz w:val="20"/>
                <w:szCs w:val="20"/>
              </w:rPr>
              <w:t>10</w:t>
            </w:r>
          </w:p>
        </w:tc>
        <w:tc>
          <w:tcPr>
            <w:tcW w:w="1843" w:type="dxa"/>
            <w:hideMark/>
          </w:tcPr>
          <w:p w14:paraId="4814548C" w14:textId="77777777" w:rsidR="00464F18" w:rsidRPr="00F327FB" w:rsidRDefault="00464F18" w:rsidP="00F327FB">
            <w:pPr>
              <w:rPr>
                <w:rFonts w:ascii="Arial" w:hAnsi="Arial" w:cs="Arial"/>
                <w:sz w:val="20"/>
                <w:szCs w:val="20"/>
              </w:rPr>
            </w:pPr>
            <w:r w:rsidRPr="00F327FB">
              <w:rPr>
                <w:rFonts w:ascii="Arial" w:hAnsi="Arial" w:cs="Arial"/>
                <w:sz w:val="20"/>
                <w:szCs w:val="20"/>
              </w:rPr>
              <w:t>Carbohydrates</w:t>
            </w:r>
          </w:p>
        </w:tc>
        <w:tc>
          <w:tcPr>
            <w:tcW w:w="2835" w:type="dxa"/>
            <w:hideMark/>
          </w:tcPr>
          <w:p w14:paraId="4EFC5E9E" w14:textId="77777777" w:rsidR="00464F18" w:rsidRPr="00F327FB" w:rsidRDefault="00464F18" w:rsidP="00F327FB">
            <w:pPr>
              <w:rPr>
                <w:rFonts w:ascii="Arial" w:hAnsi="Arial" w:cs="Arial"/>
                <w:sz w:val="20"/>
                <w:szCs w:val="20"/>
              </w:rPr>
            </w:pPr>
            <w:r w:rsidRPr="00F327FB">
              <w:rPr>
                <w:rFonts w:ascii="Arial" w:hAnsi="Arial" w:cs="Arial"/>
                <w:sz w:val="20"/>
                <w:szCs w:val="20"/>
              </w:rPr>
              <w:t>Molisch’s test</w:t>
            </w:r>
          </w:p>
        </w:tc>
        <w:tc>
          <w:tcPr>
            <w:tcW w:w="2956" w:type="dxa"/>
            <w:hideMark/>
          </w:tcPr>
          <w:p w14:paraId="42C6B27C" w14:textId="77777777" w:rsidR="00464F18" w:rsidRPr="00F327FB" w:rsidRDefault="00464F18" w:rsidP="00F327FB">
            <w:pPr>
              <w:rPr>
                <w:rFonts w:ascii="Arial" w:hAnsi="Arial" w:cs="Arial"/>
                <w:sz w:val="20"/>
                <w:szCs w:val="20"/>
              </w:rPr>
            </w:pPr>
            <w:r w:rsidRPr="00F327FB">
              <w:rPr>
                <w:rFonts w:ascii="Arial" w:hAnsi="Arial" w:cs="Arial"/>
                <w:sz w:val="20"/>
                <w:szCs w:val="20"/>
              </w:rPr>
              <w:t>Violet ring formation</w:t>
            </w:r>
          </w:p>
        </w:tc>
        <w:tc>
          <w:tcPr>
            <w:tcW w:w="0" w:type="auto"/>
            <w:hideMark/>
          </w:tcPr>
          <w:p w14:paraId="5BBA05C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5C505A2" w14:textId="77777777" w:rsidTr="00F327FB">
        <w:tc>
          <w:tcPr>
            <w:tcW w:w="846" w:type="dxa"/>
            <w:hideMark/>
          </w:tcPr>
          <w:p w14:paraId="678B33FC" w14:textId="77777777" w:rsidR="00464F18" w:rsidRPr="00F327FB" w:rsidRDefault="00464F18" w:rsidP="00F327FB">
            <w:pPr>
              <w:rPr>
                <w:rFonts w:ascii="Arial" w:hAnsi="Arial" w:cs="Arial"/>
                <w:sz w:val="20"/>
                <w:szCs w:val="20"/>
              </w:rPr>
            </w:pPr>
          </w:p>
        </w:tc>
        <w:tc>
          <w:tcPr>
            <w:tcW w:w="1843" w:type="dxa"/>
            <w:hideMark/>
          </w:tcPr>
          <w:p w14:paraId="62562C54" w14:textId="77777777" w:rsidR="00464F18" w:rsidRPr="00F327FB" w:rsidRDefault="00464F18" w:rsidP="00F327FB">
            <w:pPr>
              <w:rPr>
                <w:rFonts w:ascii="Arial" w:hAnsi="Arial" w:cs="Arial"/>
                <w:sz w:val="20"/>
                <w:szCs w:val="20"/>
              </w:rPr>
            </w:pPr>
          </w:p>
        </w:tc>
        <w:tc>
          <w:tcPr>
            <w:tcW w:w="2835" w:type="dxa"/>
            <w:hideMark/>
          </w:tcPr>
          <w:p w14:paraId="1EEF6DEE" w14:textId="77777777" w:rsidR="00464F18" w:rsidRPr="00F327FB" w:rsidRDefault="00464F18" w:rsidP="00F327FB">
            <w:pPr>
              <w:rPr>
                <w:rFonts w:ascii="Arial" w:hAnsi="Arial" w:cs="Arial"/>
                <w:sz w:val="20"/>
                <w:szCs w:val="20"/>
              </w:rPr>
            </w:pPr>
            <w:r w:rsidRPr="00F327FB">
              <w:rPr>
                <w:rFonts w:ascii="Arial" w:hAnsi="Arial" w:cs="Arial"/>
                <w:sz w:val="20"/>
                <w:szCs w:val="20"/>
              </w:rPr>
              <w:t>Fehling’s test</w:t>
            </w:r>
          </w:p>
        </w:tc>
        <w:tc>
          <w:tcPr>
            <w:tcW w:w="2956" w:type="dxa"/>
            <w:hideMark/>
          </w:tcPr>
          <w:p w14:paraId="62590E03" w14:textId="77777777" w:rsidR="00464F18" w:rsidRPr="00F327FB" w:rsidRDefault="00464F18" w:rsidP="00F327FB">
            <w:pPr>
              <w:rPr>
                <w:rFonts w:ascii="Arial" w:hAnsi="Arial" w:cs="Arial"/>
                <w:sz w:val="20"/>
                <w:szCs w:val="20"/>
              </w:rPr>
            </w:pPr>
            <w:r w:rsidRPr="00F327FB">
              <w:rPr>
                <w:rFonts w:ascii="Arial" w:hAnsi="Arial" w:cs="Arial"/>
                <w:sz w:val="20"/>
                <w:szCs w:val="20"/>
              </w:rPr>
              <w:t>Brick-red precipitate</w:t>
            </w:r>
          </w:p>
        </w:tc>
        <w:tc>
          <w:tcPr>
            <w:tcW w:w="0" w:type="auto"/>
            <w:hideMark/>
          </w:tcPr>
          <w:p w14:paraId="0D7B7F08"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2359646" w14:textId="77777777" w:rsidTr="00F327FB">
        <w:tc>
          <w:tcPr>
            <w:tcW w:w="846" w:type="dxa"/>
            <w:hideMark/>
          </w:tcPr>
          <w:p w14:paraId="02760CBE" w14:textId="77777777" w:rsidR="00464F18" w:rsidRPr="00F327FB" w:rsidRDefault="00464F18" w:rsidP="00F327FB">
            <w:pPr>
              <w:rPr>
                <w:rFonts w:ascii="Arial" w:hAnsi="Arial" w:cs="Arial"/>
                <w:sz w:val="20"/>
                <w:szCs w:val="20"/>
              </w:rPr>
            </w:pPr>
            <w:r w:rsidRPr="00F327FB">
              <w:rPr>
                <w:rFonts w:ascii="Arial" w:hAnsi="Arial" w:cs="Arial"/>
                <w:sz w:val="20"/>
                <w:szCs w:val="20"/>
              </w:rPr>
              <w:t>11</w:t>
            </w:r>
          </w:p>
        </w:tc>
        <w:tc>
          <w:tcPr>
            <w:tcW w:w="1843" w:type="dxa"/>
            <w:hideMark/>
          </w:tcPr>
          <w:p w14:paraId="05D3964A" w14:textId="77777777" w:rsidR="00464F18" w:rsidRPr="00F327FB" w:rsidRDefault="00464F18" w:rsidP="00F327FB">
            <w:pPr>
              <w:rPr>
                <w:rFonts w:ascii="Arial" w:hAnsi="Arial" w:cs="Arial"/>
                <w:sz w:val="20"/>
                <w:szCs w:val="20"/>
              </w:rPr>
            </w:pPr>
            <w:r w:rsidRPr="00F327FB">
              <w:rPr>
                <w:rFonts w:ascii="Arial" w:hAnsi="Arial" w:cs="Arial"/>
                <w:sz w:val="20"/>
                <w:szCs w:val="20"/>
              </w:rPr>
              <w:t>Tannins</w:t>
            </w:r>
          </w:p>
        </w:tc>
        <w:tc>
          <w:tcPr>
            <w:tcW w:w="2835" w:type="dxa"/>
            <w:hideMark/>
          </w:tcPr>
          <w:p w14:paraId="21395061" w14:textId="77777777" w:rsidR="00464F18" w:rsidRPr="00F327FB" w:rsidRDefault="00464F18" w:rsidP="00F327FB">
            <w:pPr>
              <w:rPr>
                <w:rFonts w:ascii="Arial" w:hAnsi="Arial" w:cs="Arial"/>
                <w:sz w:val="20"/>
                <w:szCs w:val="20"/>
              </w:rPr>
            </w:pPr>
            <w:r w:rsidRPr="00F327FB">
              <w:rPr>
                <w:rFonts w:ascii="Arial" w:hAnsi="Arial" w:cs="Arial"/>
                <w:sz w:val="20"/>
                <w:szCs w:val="20"/>
              </w:rPr>
              <w:t>Braymer’s test</w:t>
            </w:r>
          </w:p>
        </w:tc>
        <w:tc>
          <w:tcPr>
            <w:tcW w:w="2956" w:type="dxa"/>
            <w:hideMark/>
          </w:tcPr>
          <w:p w14:paraId="2ECD6C40"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bluish-green </w:t>
            </w:r>
            <w:proofErr w:type="spellStart"/>
            <w:r w:rsidRPr="00F327FB">
              <w:rPr>
                <w:rFonts w:ascii="Arial" w:hAnsi="Arial" w:cs="Arial"/>
                <w:sz w:val="20"/>
                <w:szCs w:val="20"/>
              </w:rPr>
              <w:t>colour</w:t>
            </w:r>
            <w:proofErr w:type="spellEnd"/>
          </w:p>
        </w:tc>
        <w:tc>
          <w:tcPr>
            <w:tcW w:w="0" w:type="auto"/>
            <w:hideMark/>
          </w:tcPr>
          <w:p w14:paraId="19BEA7BC"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E4D419B" w14:textId="77777777" w:rsidTr="00F327FB">
        <w:tc>
          <w:tcPr>
            <w:tcW w:w="846" w:type="dxa"/>
            <w:hideMark/>
          </w:tcPr>
          <w:p w14:paraId="1CD2DBC1" w14:textId="77777777" w:rsidR="00464F18" w:rsidRPr="00F327FB" w:rsidRDefault="00464F18" w:rsidP="00F327FB">
            <w:pPr>
              <w:rPr>
                <w:rFonts w:ascii="Arial" w:hAnsi="Arial" w:cs="Arial"/>
                <w:sz w:val="20"/>
                <w:szCs w:val="20"/>
              </w:rPr>
            </w:pPr>
          </w:p>
        </w:tc>
        <w:tc>
          <w:tcPr>
            <w:tcW w:w="1843" w:type="dxa"/>
            <w:hideMark/>
          </w:tcPr>
          <w:p w14:paraId="60452E83" w14:textId="77777777" w:rsidR="00464F18" w:rsidRPr="00F327FB" w:rsidRDefault="00464F18" w:rsidP="00F327FB">
            <w:pPr>
              <w:rPr>
                <w:rFonts w:ascii="Arial" w:hAnsi="Arial" w:cs="Arial"/>
                <w:sz w:val="20"/>
                <w:szCs w:val="20"/>
              </w:rPr>
            </w:pPr>
          </w:p>
        </w:tc>
        <w:tc>
          <w:tcPr>
            <w:tcW w:w="2835" w:type="dxa"/>
            <w:hideMark/>
          </w:tcPr>
          <w:p w14:paraId="591648A8" w14:textId="77777777" w:rsidR="00464F18" w:rsidRPr="00F327FB" w:rsidRDefault="00464F18" w:rsidP="00F327FB">
            <w:pPr>
              <w:rPr>
                <w:rFonts w:ascii="Arial" w:hAnsi="Arial" w:cs="Arial"/>
                <w:sz w:val="20"/>
                <w:szCs w:val="20"/>
              </w:rPr>
            </w:pPr>
            <w:r w:rsidRPr="00F327FB">
              <w:rPr>
                <w:rFonts w:ascii="Arial" w:hAnsi="Arial" w:cs="Arial"/>
                <w:sz w:val="20"/>
                <w:szCs w:val="20"/>
              </w:rPr>
              <w:t>Gelatin test</w:t>
            </w:r>
          </w:p>
        </w:tc>
        <w:tc>
          <w:tcPr>
            <w:tcW w:w="2956" w:type="dxa"/>
            <w:hideMark/>
          </w:tcPr>
          <w:p w14:paraId="46EE328B"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3B15CC59"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7B162C3" w14:textId="77777777" w:rsidTr="00F327FB">
        <w:tc>
          <w:tcPr>
            <w:tcW w:w="846" w:type="dxa"/>
            <w:hideMark/>
          </w:tcPr>
          <w:p w14:paraId="04DAB7E5" w14:textId="77777777" w:rsidR="00464F18" w:rsidRPr="00F327FB" w:rsidRDefault="00464F18" w:rsidP="00F327FB">
            <w:pPr>
              <w:rPr>
                <w:rFonts w:ascii="Arial" w:hAnsi="Arial" w:cs="Arial"/>
                <w:sz w:val="20"/>
                <w:szCs w:val="20"/>
              </w:rPr>
            </w:pPr>
          </w:p>
        </w:tc>
        <w:tc>
          <w:tcPr>
            <w:tcW w:w="1843" w:type="dxa"/>
            <w:hideMark/>
          </w:tcPr>
          <w:p w14:paraId="55CD84D6" w14:textId="77777777" w:rsidR="00464F18" w:rsidRPr="00F327FB" w:rsidRDefault="00464F18" w:rsidP="00F327FB">
            <w:pPr>
              <w:rPr>
                <w:rFonts w:ascii="Arial" w:hAnsi="Arial" w:cs="Arial"/>
                <w:sz w:val="20"/>
                <w:szCs w:val="20"/>
              </w:rPr>
            </w:pPr>
          </w:p>
        </w:tc>
        <w:tc>
          <w:tcPr>
            <w:tcW w:w="2835" w:type="dxa"/>
            <w:hideMark/>
          </w:tcPr>
          <w:p w14:paraId="486DEBDF" w14:textId="77777777" w:rsidR="00464F18" w:rsidRPr="00F327FB" w:rsidRDefault="00464F18" w:rsidP="00F327FB">
            <w:pPr>
              <w:rPr>
                <w:rFonts w:ascii="Arial" w:hAnsi="Arial" w:cs="Arial"/>
                <w:sz w:val="20"/>
                <w:szCs w:val="20"/>
              </w:rPr>
            </w:pPr>
            <w:r w:rsidRPr="00F327FB">
              <w:rPr>
                <w:rFonts w:ascii="Arial" w:hAnsi="Arial" w:cs="Arial"/>
                <w:sz w:val="20"/>
                <w:szCs w:val="20"/>
              </w:rPr>
              <w:t>10% NaOH test</w:t>
            </w:r>
          </w:p>
        </w:tc>
        <w:tc>
          <w:tcPr>
            <w:tcW w:w="2956" w:type="dxa"/>
            <w:hideMark/>
          </w:tcPr>
          <w:p w14:paraId="3BFE9398" w14:textId="77777777" w:rsidR="00464F18" w:rsidRPr="00F327FB" w:rsidRDefault="00464F18" w:rsidP="00F327FB">
            <w:pPr>
              <w:rPr>
                <w:rFonts w:ascii="Arial" w:hAnsi="Arial" w:cs="Arial"/>
                <w:sz w:val="20"/>
                <w:szCs w:val="20"/>
              </w:rPr>
            </w:pPr>
            <w:r w:rsidRPr="00F327FB">
              <w:rPr>
                <w:rFonts w:ascii="Arial" w:hAnsi="Arial" w:cs="Arial"/>
                <w:sz w:val="20"/>
                <w:szCs w:val="20"/>
              </w:rPr>
              <w:t>No emulsion</w:t>
            </w:r>
          </w:p>
        </w:tc>
        <w:tc>
          <w:tcPr>
            <w:tcW w:w="0" w:type="auto"/>
            <w:hideMark/>
          </w:tcPr>
          <w:p w14:paraId="3070EFEF"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3681DF8" w14:textId="77777777" w:rsidTr="00F327FB">
        <w:tc>
          <w:tcPr>
            <w:tcW w:w="846" w:type="dxa"/>
            <w:hideMark/>
          </w:tcPr>
          <w:p w14:paraId="6B26C2DB" w14:textId="77777777" w:rsidR="00464F18" w:rsidRPr="00F327FB" w:rsidRDefault="00464F18" w:rsidP="00F327FB">
            <w:pPr>
              <w:rPr>
                <w:rFonts w:ascii="Arial" w:hAnsi="Arial" w:cs="Arial"/>
                <w:sz w:val="20"/>
                <w:szCs w:val="20"/>
              </w:rPr>
            </w:pPr>
            <w:r w:rsidRPr="00F327FB">
              <w:rPr>
                <w:rFonts w:ascii="Arial" w:hAnsi="Arial" w:cs="Arial"/>
                <w:sz w:val="20"/>
                <w:szCs w:val="20"/>
              </w:rPr>
              <w:t>12</w:t>
            </w:r>
          </w:p>
        </w:tc>
        <w:tc>
          <w:tcPr>
            <w:tcW w:w="1843" w:type="dxa"/>
            <w:hideMark/>
          </w:tcPr>
          <w:p w14:paraId="490E3AAD" w14:textId="77777777" w:rsidR="00464F18" w:rsidRPr="00F327FB" w:rsidRDefault="00464F18" w:rsidP="00F327FB">
            <w:pPr>
              <w:rPr>
                <w:rFonts w:ascii="Arial" w:hAnsi="Arial" w:cs="Arial"/>
                <w:sz w:val="20"/>
                <w:szCs w:val="20"/>
              </w:rPr>
            </w:pPr>
            <w:r w:rsidRPr="00F327FB">
              <w:rPr>
                <w:rFonts w:ascii="Arial" w:hAnsi="Arial" w:cs="Arial"/>
                <w:sz w:val="20"/>
                <w:szCs w:val="20"/>
              </w:rPr>
              <w:t>Saponins</w:t>
            </w:r>
          </w:p>
        </w:tc>
        <w:tc>
          <w:tcPr>
            <w:tcW w:w="2835" w:type="dxa"/>
            <w:hideMark/>
          </w:tcPr>
          <w:p w14:paraId="41EDE713" w14:textId="77777777" w:rsidR="00464F18" w:rsidRPr="00F327FB" w:rsidRDefault="00464F18" w:rsidP="00F327FB">
            <w:pPr>
              <w:rPr>
                <w:rFonts w:ascii="Arial" w:hAnsi="Arial" w:cs="Arial"/>
                <w:sz w:val="20"/>
                <w:szCs w:val="20"/>
              </w:rPr>
            </w:pPr>
            <w:r w:rsidRPr="00F327FB">
              <w:rPr>
                <w:rFonts w:ascii="Arial" w:hAnsi="Arial" w:cs="Arial"/>
                <w:sz w:val="20"/>
                <w:szCs w:val="20"/>
              </w:rPr>
              <w:t>Foam test</w:t>
            </w:r>
          </w:p>
        </w:tc>
        <w:tc>
          <w:tcPr>
            <w:tcW w:w="2956" w:type="dxa"/>
            <w:hideMark/>
          </w:tcPr>
          <w:p w14:paraId="5EC690C7" w14:textId="77777777" w:rsidR="00464F18" w:rsidRPr="00F327FB" w:rsidRDefault="00464F18" w:rsidP="00F327FB">
            <w:pPr>
              <w:rPr>
                <w:rFonts w:ascii="Arial" w:hAnsi="Arial" w:cs="Arial"/>
                <w:sz w:val="20"/>
                <w:szCs w:val="20"/>
              </w:rPr>
            </w:pPr>
            <w:r w:rsidRPr="00F327FB">
              <w:rPr>
                <w:rFonts w:ascii="Arial" w:hAnsi="Arial" w:cs="Arial"/>
                <w:sz w:val="20"/>
                <w:szCs w:val="20"/>
              </w:rPr>
              <w:t>No persistent foam</w:t>
            </w:r>
          </w:p>
        </w:tc>
        <w:tc>
          <w:tcPr>
            <w:tcW w:w="0" w:type="auto"/>
            <w:hideMark/>
          </w:tcPr>
          <w:p w14:paraId="02AD0A1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3355B2D" w14:textId="77777777" w:rsidTr="00F327FB">
        <w:tc>
          <w:tcPr>
            <w:tcW w:w="846" w:type="dxa"/>
            <w:hideMark/>
          </w:tcPr>
          <w:p w14:paraId="0C528D3D" w14:textId="77777777" w:rsidR="00464F18" w:rsidRPr="00F327FB" w:rsidRDefault="00464F18" w:rsidP="00F327FB">
            <w:pPr>
              <w:rPr>
                <w:rFonts w:ascii="Arial" w:hAnsi="Arial" w:cs="Arial"/>
                <w:sz w:val="20"/>
                <w:szCs w:val="20"/>
              </w:rPr>
            </w:pPr>
            <w:r w:rsidRPr="00F327FB">
              <w:rPr>
                <w:rFonts w:ascii="Arial" w:hAnsi="Arial" w:cs="Arial"/>
                <w:sz w:val="20"/>
                <w:szCs w:val="20"/>
              </w:rPr>
              <w:lastRenderedPageBreak/>
              <w:t>13</w:t>
            </w:r>
          </w:p>
        </w:tc>
        <w:tc>
          <w:tcPr>
            <w:tcW w:w="1843" w:type="dxa"/>
            <w:hideMark/>
          </w:tcPr>
          <w:p w14:paraId="560114FB" w14:textId="77777777" w:rsidR="00464F18" w:rsidRPr="00F327FB" w:rsidRDefault="00464F18" w:rsidP="00F327FB">
            <w:pPr>
              <w:rPr>
                <w:rFonts w:ascii="Arial" w:hAnsi="Arial" w:cs="Arial"/>
                <w:sz w:val="20"/>
                <w:szCs w:val="20"/>
              </w:rPr>
            </w:pPr>
            <w:r w:rsidRPr="00F327FB">
              <w:rPr>
                <w:rFonts w:ascii="Arial" w:hAnsi="Arial" w:cs="Arial"/>
                <w:sz w:val="20"/>
                <w:szCs w:val="20"/>
              </w:rPr>
              <w:t>Cardiac glycosides</w:t>
            </w:r>
          </w:p>
        </w:tc>
        <w:tc>
          <w:tcPr>
            <w:tcW w:w="2835" w:type="dxa"/>
            <w:hideMark/>
          </w:tcPr>
          <w:p w14:paraId="028EC764" w14:textId="77777777" w:rsidR="00464F18" w:rsidRPr="00F327FB" w:rsidRDefault="00464F18" w:rsidP="00F327FB">
            <w:pPr>
              <w:rPr>
                <w:rFonts w:ascii="Arial" w:hAnsi="Arial" w:cs="Arial"/>
                <w:sz w:val="20"/>
                <w:szCs w:val="20"/>
              </w:rPr>
            </w:pPr>
            <w:proofErr w:type="spellStart"/>
            <w:r w:rsidRPr="00F327FB">
              <w:rPr>
                <w:rFonts w:ascii="Arial" w:hAnsi="Arial" w:cs="Arial"/>
                <w:sz w:val="20"/>
                <w:szCs w:val="20"/>
              </w:rPr>
              <w:t>Baljet</w:t>
            </w:r>
            <w:proofErr w:type="spellEnd"/>
            <w:r w:rsidRPr="00F327FB">
              <w:rPr>
                <w:rFonts w:ascii="Arial" w:hAnsi="Arial" w:cs="Arial"/>
                <w:sz w:val="20"/>
                <w:szCs w:val="20"/>
              </w:rPr>
              <w:t xml:space="preserve"> test</w:t>
            </w:r>
          </w:p>
        </w:tc>
        <w:tc>
          <w:tcPr>
            <w:tcW w:w="2956" w:type="dxa"/>
            <w:hideMark/>
          </w:tcPr>
          <w:p w14:paraId="3A83F183"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yellow-orange </w:t>
            </w:r>
            <w:proofErr w:type="spellStart"/>
            <w:r w:rsidRPr="00F327FB">
              <w:rPr>
                <w:rFonts w:ascii="Arial" w:hAnsi="Arial" w:cs="Arial"/>
                <w:sz w:val="20"/>
                <w:szCs w:val="20"/>
              </w:rPr>
              <w:t>colour</w:t>
            </w:r>
            <w:proofErr w:type="spellEnd"/>
          </w:p>
        </w:tc>
        <w:tc>
          <w:tcPr>
            <w:tcW w:w="0" w:type="auto"/>
            <w:hideMark/>
          </w:tcPr>
          <w:p w14:paraId="72D5128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DCB47D7" w14:textId="77777777" w:rsidTr="00F327FB">
        <w:tc>
          <w:tcPr>
            <w:tcW w:w="846" w:type="dxa"/>
            <w:hideMark/>
          </w:tcPr>
          <w:p w14:paraId="60F7B0C7" w14:textId="77777777" w:rsidR="00464F18" w:rsidRPr="00F327FB" w:rsidRDefault="00464F18" w:rsidP="00F327FB">
            <w:pPr>
              <w:rPr>
                <w:rFonts w:ascii="Arial" w:hAnsi="Arial" w:cs="Arial"/>
                <w:sz w:val="20"/>
                <w:szCs w:val="20"/>
              </w:rPr>
            </w:pPr>
          </w:p>
        </w:tc>
        <w:tc>
          <w:tcPr>
            <w:tcW w:w="1843" w:type="dxa"/>
            <w:hideMark/>
          </w:tcPr>
          <w:p w14:paraId="19459DA2" w14:textId="77777777" w:rsidR="00464F18" w:rsidRPr="00F327FB" w:rsidRDefault="00464F18" w:rsidP="00F327FB">
            <w:pPr>
              <w:rPr>
                <w:rFonts w:ascii="Arial" w:hAnsi="Arial" w:cs="Arial"/>
                <w:sz w:val="20"/>
                <w:szCs w:val="20"/>
              </w:rPr>
            </w:pPr>
          </w:p>
        </w:tc>
        <w:tc>
          <w:tcPr>
            <w:tcW w:w="2835" w:type="dxa"/>
            <w:hideMark/>
          </w:tcPr>
          <w:p w14:paraId="1EBD1370" w14:textId="77777777" w:rsidR="00464F18" w:rsidRPr="00F327FB" w:rsidRDefault="00464F18" w:rsidP="00F327FB">
            <w:pPr>
              <w:rPr>
                <w:rFonts w:ascii="Arial" w:hAnsi="Arial" w:cs="Arial"/>
                <w:sz w:val="20"/>
                <w:szCs w:val="20"/>
              </w:rPr>
            </w:pPr>
            <w:r w:rsidRPr="00F327FB">
              <w:rPr>
                <w:rFonts w:ascii="Arial" w:hAnsi="Arial" w:cs="Arial"/>
                <w:sz w:val="20"/>
                <w:szCs w:val="20"/>
              </w:rPr>
              <w:t>Bromine water test</w:t>
            </w:r>
          </w:p>
        </w:tc>
        <w:tc>
          <w:tcPr>
            <w:tcW w:w="2956" w:type="dxa"/>
            <w:hideMark/>
          </w:tcPr>
          <w:p w14:paraId="569F8362"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precipitate</w:t>
            </w:r>
          </w:p>
        </w:tc>
        <w:tc>
          <w:tcPr>
            <w:tcW w:w="0" w:type="auto"/>
            <w:hideMark/>
          </w:tcPr>
          <w:p w14:paraId="40801C5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F978EE7" w14:textId="77777777" w:rsidTr="00F327FB">
        <w:tc>
          <w:tcPr>
            <w:tcW w:w="846" w:type="dxa"/>
            <w:hideMark/>
          </w:tcPr>
          <w:p w14:paraId="4A8FB29C" w14:textId="77777777" w:rsidR="00464F18" w:rsidRPr="00F327FB" w:rsidRDefault="00464F18" w:rsidP="00F327FB">
            <w:pPr>
              <w:rPr>
                <w:rFonts w:ascii="Arial" w:hAnsi="Arial" w:cs="Arial"/>
                <w:sz w:val="20"/>
                <w:szCs w:val="20"/>
              </w:rPr>
            </w:pPr>
          </w:p>
        </w:tc>
        <w:tc>
          <w:tcPr>
            <w:tcW w:w="1843" w:type="dxa"/>
            <w:hideMark/>
          </w:tcPr>
          <w:p w14:paraId="05C3EAA9" w14:textId="77777777" w:rsidR="00464F18" w:rsidRPr="00F327FB" w:rsidRDefault="00464F18" w:rsidP="00F327FB">
            <w:pPr>
              <w:rPr>
                <w:rFonts w:ascii="Arial" w:hAnsi="Arial" w:cs="Arial"/>
                <w:sz w:val="20"/>
                <w:szCs w:val="20"/>
              </w:rPr>
            </w:pPr>
          </w:p>
        </w:tc>
        <w:tc>
          <w:tcPr>
            <w:tcW w:w="2835" w:type="dxa"/>
            <w:hideMark/>
          </w:tcPr>
          <w:p w14:paraId="480DFCA8" w14:textId="77777777" w:rsidR="00464F18" w:rsidRPr="00F327FB" w:rsidRDefault="00464F18" w:rsidP="00F327FB">
            <w:pPr>
              <w:rPr>
                <w:rFonts w:ascii="Arial" w:hAnsi="Arial" w:cs="Arial"/>
                <w:sz w:val="20"/>
                <w:szCs w:val="20"/>
              </w:rPr>
            </w:pPr>
            <w:r w:rsidRPr="00F327FB">
              <w:rPr>
                <w:rFonts w:ascii="Arial" w:hAnsi="Arial" w:cs="Arial"/>
                <w:sz w:val="20"/>
                <w:szCs w:val="20"/>
              </w:rPr>
              <w:t>Keller–</w:t>
            </w:r>
            <w:proofErr w:type="spellStart"/>
            <w:r w:rsidRPr="00F327FB">
              <w:rPr>
                <w:rFonts w:ascii="Arial" w:hAnsi="Arial" w:cs="Arial"/>
                <w:sz w:val="20"/>
                <w:szCs w:val="20"/>
              </w:rPr>
              <w:t>Killiani</w:t>
            </w:r>
            <w:proofErr w:type="spellEnd"/>
            <w:r w:rsidRPr="00F327FB">
              <w:rPr>
                <w:rFonts w:ascii="Arial" w:hAnsi="Arial" w:cs="Arial"/>
                <w:sz w:val="20"/>
                <w:szCs w:val="20"/>
              </w:rPr>
              <w:t xml:space="preserve"> test</w:t>
            </w:r>
          </w:p>
        </w:tc>
        <w:tc>
          <w:tcPr>
            <w:tcW w:w="2956" w:type="dxa"/>
            <w:hideMark/>
          </w:tcPr>
          <w:p w14:paraId="5BA299C3" w14:textId="77777777" w:rsidR="00464F18" w:rsidRPr="00F327FB" w:rsidRDefault="00464F18" w:rsidP="00F327FB">
            <w:pPr>
              <w:rPr>
                <w:rFonts w:ascii="Arial" w:hAnsi="Arial" w:cs="Arial"/>
                <w:sz w:val="20"/>
                <w:szCs w:val="20"/>
              </w:rPr>
            </w:pPr>
            <w:r w:rsidRPr="00F327FB">
              <w:rPr>
                <w:rFonts w:ascii="Arial" w:hAnsi="Arial" w:cs="Arial"/>
                <w:sz w:val="20"/>
                <w:szCs w:val="20"/>
              </w:rPr>
              <w:t>No brown ring</w:t>
            </w:r>
          </w:p>
        </w:tc>
        <w:tc>
          <w:tcPr>
            <w:tcW w:w="0" w:type="auto"/>
            <w:hideMark/>
          </w:tcPr>
          <w:p w14:paraId="07F1BACA"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69ABB400" w14:textId="77777777" w:rsidTr="00F327FB">
        <w:tc>
          <w:tcPr>
            <w:tcW w:w="846" w:type="dxa"/>
            <w:hideMark/>
          </w:tcPr>
          <w:p w14:paraId="5452249C" w14:textId="77777777" w:rsidR="00464F18" w:rsidRPr="00F327FB" w:rsidRDefault="00464F18" w:rsidP="00F327FB">
            <w:pPr>
              <w:rPr>
                <w:rFonts w:ascii="Arial" w:hAnsi="Arial" w:cs="Arial"/>
                <w:sz w:val="20"/>
                <w:szCs w:val="20"/>
              </w:rPr>
            </w:pPr>
            <w:r w:rsidRPr="00F327FB">
              <w:rPr>
                <w:rFonts w:ascii="Arial" w:hAnsi="Arial" w:cs="Arial"/>
                <w:sz w:val="20"/>
                <w:szCs w:val="20"/>
              </w:rPr>
              <w:t>14</w:t>
            </w:r>
          </w:p>
        </w:tc>
        <w:tc>
          <w:tcPr>
            <w:tcW w:w="1843" w:type="dxa"/>
            <w:hideMark/>
          </w:tcPr>
          <w:p w14:paraId="6E5355B4" w14:textId="77777777" w:rsidR="00464F18" w:rsidRPr="00F327FB" w:rsidRDefault="00464F18" w:rsidP="00F327FB">
            <w:pPr>
              <w:rPr>
                <w:rFonts w:ascii="Arial" w:hAnsi="Arial" w:cs="Arial"/>
                <w:sz w:val="20"/>
                <w:szCs w:val="20"/>
              </w:rPr>
            </w:pPr>
            <w:r w:rsidRPr="00F327FB">
              <w:rPr>
                <w:rFonts w:ascii="Arial" w:hAnsi="Arial" w:cs="Arial"/>
                <w:sz w:val="20"/>
                <w:szCs w:val="20"/>
              </w:rPr>
              <w:t>Glycosides</w:t>
            </w:r>
          </w:p>
        </w:tc>
        <w:tc>
          <w:tcPr>
            <w:tcW w:w="2835" w:type="dxa"/>
            <w:hideMark/>
          </w:tcPr>
          <w:p w14:paraId="0E0BBCDA" w14:textId="77777777" w:rsidR="00464F18" w:rsidRPr="00F327FB" w:rsidRDefault="00464F18" w:rsidP="00F327FB">
            <w:pPr>
              <w:rPr>
                <w:rFonts w:ascii="Arial" w:hAnsi="Arial" w:cs="Arial"/>
                <w:sz w:val="20"/>
                <w:szCs w:val="20"/>
              </w:rPr>
            </w:pPr>
            <w:r w:rsidRPr="00F327FB">
              <w:rPr>
                <w:rFonts w:ascii="Arial" w:hAnsi="Arial" w:cs="Arial"/>
                <w:sz w:val="20"/>
                <w:szCs w:val="20"/>
              </w:rPr>
              <w:t>Borntrager’s test</w:t>
            </w:r>
          </w:p>
        </w:tc>
        <w:tc>
          <w:tcPr>
            <w:tcW w:w="2956" w:type="dxa"/>
            <w:hideMark/>
          </w:tcPr>
          <w:p w14:paraId="73589E6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pink </w:t>
            </w:r>
            <w:proofErr w:type="spellStart"/>
            <w:r w:rsidRPr="00F327FB">
              <w:rPr>
                <w:rFonts w:ascii="Arial" w:hAnsi="Arial" w:cs="Arial"/>
                <w:sz w:val="20"/>
                <w:szCs w:val="20"/>
              </w:rPr>
              <w:t>colour</w:t>
            </w:r>
            <w:proofErr w:type="spellEnd"/>
          </w:p>
        </w:tc>
        <w:tc>
          <w:tcPr>
            <w:tcW w:w="0" w:type="auto"/>
            <w:hideMark/>
          </w:tcPr>
          <w:p w14:paraId="29C0EF5E"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08DD443" w14:textId="77777777" w:rsidTr="00F327FB">
        <w:tc>
          <w:tcPr>
            <w:tcW w:w="846" w:type="dxa"/>
            <w:hideMark/>
          </w:tcPr>
          <w:p w14:paraId="7B254F72" w14:textId="77777777" w:rsidR="00464F18" w:rsidRPr="00F327FB" w:rsidRDefault="00464F18" w:rsidP="00F327FB">
            <w:pPr>
              <w:rPr>
                <w:rFonts w:ascii="Arial" w:hAnsi="Arial" w:cs="Arial"/>
                <w:sz w:val="20"/>
                <w:szCs w:val="20"/>
              </w:rPr>
            </w:pPr>
          </w:p>
        </w:tc>
        <w:tc>
          <w:tcPr>
            <w:tcW w:w="1843" w:type="dxa"/>
            <w:hideMark/>
          </w:tcPr>
          <w:p w14:paraId="6165B462" w14:textId="77777777" w:rsidR="00464F18" w:rsidRPr="00F327FB" w:rsidRDefault="00464F18" w:rsidP="00F327FB">
            <w:pPr>
              <w:rPr>
                <w:rFonts w:ascii="Arial" w:hAnsi="Arial" w:cs="Arial"/>
                <w:sz w:val="20"/>
                <w:szCs w:val="20"/>
              </w:rPr>
            </w:pPr>
          </w:p>
        </w:tc>
        <w:tc>
          <w:tcPr>
            <w:tcW w:w="2835" w:type="dxa"/>
            <w:hideMark/>
          </w:tcPr>
          <w:p w14:paraId="15C60A11" w14:textId="77777777" w:rsidR="00464F18" w:rsidRPr="00F327FB" w:rsidRDefault="00464F18" w:rsidP="00F327FB">
            <w:pPr>
              <w:rPr>
                <w:rFonts w:ascii="Arial" w:hAnsi="Arial" w:cs="Arial"/>
                <w:sz w:val="20"/>
                <w:szCs w:val="20"/>
              </w:rPr>
            </w:pPr>
            <w:r w:rsidRPr="00F327FB">
              <w:rPr>
                <w:rFonts w:ascii="Arial" w:hAnsi="Arial" w:cs="Arial"/>
                <w:sz w:val="20"/>
                <w:szCs w:val="20"/>
              </w:rPr>
              <w:t>Aqueous NaOH test</w:t>
            </w:r>
          </w:p>
        </w:tc>
        <w:tc>
          <w:tcPr>
            <w:tcW w:w="2956" w:type="dxa"/>
            <w:hideMark/>
          </w:tcPr>
          <w:p w14:paraId="697CE85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 </w:t>
            </w:r>
            <w:proofErr w:type="spellStart"/>
            <w:r w:rsidRPr="00F327FB">
              <w:rPr>
                <w:rFonts w:ascii="Arial" w:hAnsi="Arial" w:cs="Arial"/>
                <w:sz w:val="20"/>
                <w:szCs w:val="20"/>
              </w:rPr>
              <w:t>colour</w:t>
            </w:r>
            <w:proofErr w:type="spellEnd"/>
          </w:p>
        </w:tc>
        <w:tc>
          <w:tcPr>
            <w:tcW w:w="0" w:type="auto"/>
            <w:hideMark/>
          </w:tcPr>
          <w:p w14:paraId="77E969D4"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E000A91" w14:textId="77777777" w:rsidTr="00F327FB">
        <w:tc>
          <w:tcPr>
            <w:tcW w:w="846" w:type="dxa"/>
            <w:hideMark/>
          </w:tcPr>
          <w:p w14:paraId="6C14FE0E" w14:textId="77777777" w:rsidR="00464F18" w:rsidRPr="00F327FB" w:rsidRDefault="00464F18" w:rsidP="00F327FB">
            <w:pPr>
              <w:rPr>
                <w:rFonts w:ascii="Arial" w:hAnsi="Arial" w:cs="Arial"/>
                <w:sz w:val="20"/>
                <w:szCs w:val="20"/>
              </w:rPr>
            </w:pPr>
            <w:r w:rsidRPr="00F327FB">
              <w:rPr>
                <w:rFonts w:ascii="Arial" w:hAnsi="Arial" w:cs="Arial"/>
                <w:sz w:val="20"/>
                <w:szCs w:val="20"/>
              </w:rPr>
              <w:t>15</w:t>
            </w:r>
          </w:p>
        </w:tc>
        <w:tc>
          <w:tcPr>
            <w:tcW w:w="1843" w:type="dxa"/>
            <w:hideMark/>
          </w:tcPr>
          <w:p w14:paraId="7C63589E" w14:textId="77777777" w:rsidR="00464F18" w:rsidRPr="00F327FB" w:rsidRDefault="00464F18" w:rsidP="00F327FB">
            <w:pPr>
              <w:rPr>
                <w:rFonts w:ascii="Arial" w:hAnsi="Arial" w:cs="Arial"/>
                <w:sz w:val="20"/>
                <w:szCs w:val="20"/>
              </w:rPr>
            </w:pPr>
            <w:r w:rsidRPr="00F327FB">
              <w:rPr>
                <w:rFonts w:ascii="Arial" w:hAnsi="Arial" w:cs="Arial"/>
                <w:sz w:val="20"/>
                <w:szCs w:val="20"/>
              </w:rPr>
              <w:t>Lignin</w:t>
            </w:r>
          </w:p>
        </w:tc>
        <w:tc>
          <w:tcPr>
            <w:tcW w:w="2835" w:type="dxa"/>
            <w:hideMark/>
          </w:tcPr>
          <w:p w14:paraId="0A4B9738" w14:textId="77777777" w:rsidR="00464F18" w:rsidRPr="00F327FB" w:rsidRDefault="00464F18" w:rsidP="00F327FB">
            <w:pPr>
              <w:rPr>
                <w:rFonts w:ascii="Arial" w:hAnsi="Arial" w:cs="Arial"/>
                <w:sz w:val="20"/>
                <w:szCs w:val="20"/>
              </w:rPr>
            </w:pPr>
            <w:r w:rsidRPr="00F327FB">
              <w:rPr>
                <w:rFonts w:ascii="Arial" w:hAnsi="Arial" w:cs="Arial"/>
                <w:sz w:val="20"/>
                <w:szCs w:val="20"/>
              </w:rPr>
              <w:t>Gallic acid test</w:t>
            </w:r>
          </w:p>
        </w:tc>
        <w:tc>
          <w:tcPr>
            <w:tcW w:w="2956" w:type="dxa"/>
            <w:hideMark/>
          </w:tcPr>
          <w:p w14:paraId="10F4EF87"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olive-green </w:t>
            </w:r>
            <w:proofErr w:type="spellStart"/>
            <w:r w:rsidRPr="00F327FB">
              <w:rPr>
                <w:rFonts w:ascii="Arial" w:hAnsi="Arial" w:cs="Arial"/>
                <w:sz w:val="20"/>
                <w:szCs w:val="20"/>
              </w:rPr>
              <w:t>colour</w:t>
            </w:r>
            <w:proofErr w:type="spellEnd"/>
          </w:p>
        </w:tc>
        <w:tc>
          <w:tcPr>
            <w:tcW w:w="0" w:type="auto"/>
            <w:hideMark/>
          </w:tcPr>
          <w:p w14:paraId="1F95B9A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14F7B97" w14:textId="77777777" w:rsidTr="00F327FB">
        <w:tc>
          <w:tcPr>
            <w:tcW w:w="846" w:type="dxa"/>
            <w:hideMark/>
          </w:tcPr>
          <w:p w14:paraId="72A240C7" w14:textId="77777777" w:rsidR="00464F18" w:rsidRPr="00F327FB" w:rsidRDefault="00464F18" w:rsidP="00F327FB">
            <w:pPr>
              <w:rPr>
                <w:rFonts w:ascii="Arial" w:hAnsi="Arial" w:cs="Arial"/>
                <w:sz w:val="20"/>
                <w:szCs w:val="20"/>
              </w:rPr>
            </w:pPr>
            <w:r w:rsidRPr="00F327FB">
              <w:rPr>
                <w:rFonts w:ascii="Arial" w:hAnsi="Arial" w:cs="Arial"/>
                <w:sz w:val="20"/>
                <w:szCs w:val="20"/>
              </w:rPr>
              <w:t>16</w:t>
            </w:r>
          </w:p>
        </w:tc>
        <w:tc>
          <w:tcPr>
            <w:tcW w:w="1843" w:type="dxa"/>
            <w:hideMark/>
          </w:tcPr>
          <w:p w14:paraId="559C05E8" w14:textId="77777777" w:rsidR="00464F18" w:rsidRPr="00F327FB" w:rsidRDefault="00464F18" w:rsidP="00F327FB">
            <w:pPr>
              <w:rPr>
                <w:rFonts w:ascii="Arial" w:hAnsi="Arial" w:cs="Arial"/>
                <w:sz w:val="20"/>
                <w:szCs w:val="20"/>
              </w:rPr>
            </w:pPr>
            <w:r w:rsidRPr="00F327FB">
              <w:rPr>
                <w:rFonts w:ascii="Arial" w:hAnsi="Arial" w:cs="Arial"/>
                <w:sz w:val="20"/>
                <w:szCs w:val="20"/>
              </w:rPr>
              <w:t>Coumarins</w:t>
            </w:r>
          </w:p>
        </w:tc>
        <w:tc>
          <w:tcPr>
            <w:tcW w:w="2835" w:type="dxa"/>
            <w:hideMark/>
          </w:tcPr>
          <w:p w14:paraId="5D9B799C" w14:textId="77777777" w:rsidR="00464F18" w:rsidRPr="00F327FB" w:rsidRDefault="00464F18" w:rsidP="00F327FB">
            <w:pPr>
              <w:rPr>
                <w:rFonts w:ascii="Arial" w:hAnsi="Arial" w:cs="Arial"/>
                <w:sz w:val="20"/>
                <w:szCs w:val="20"/>
              </w:rPr>
            </w:pPr>
            <w:r w:rsidRPr="00F327FB">
              <w:rPr>
                <w:rFonts w:ascii="Arial" w:hAnsi="Arial" w:cs="Arial"/>
                <w:sz w:val="20"/>
                <w:szCs w:val="20"/>
              </w:rPr>
              <w:t>Fluorescence test</w:t>
            </w:r>
          </w:p>
        </w:tc>
        <w:tc>
          <w:tcPr>
            <w:tcW w:w="2956" w:type="dxa"/>
            <w:hideMark/>
          </w:tcPr>
          <w:p w14:paraId="309537D4"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fluorescence</w:t>
            </w:r>
          </w:p>
        </w:tc>
        <w:tc>
          <w:tcPr>
            <w:tcW w:w="0" w:type="auto"/>
            <w:hideMark/>
          </w:tcPr>
          <w:p w14:paraId="678B97E8"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467A8BD" w14:textId="77777777" w:rsidTr="00F327FB">
        <w:tc>
          <w:tcPr>
            <w:tcW w:w="846" w:type="dxa"/>
            <w:hideMark/>
          </w:tcPr>
          <w:p w14:paraId="114547AB" w14:textId="77777777" w:rsidR="00464F18" w:rsidRPr="00F327FB" w:rsidRDefault="00464F18" w:rsidP="00F327FB">
            <w:pPr>
              <w:rPr>
                <w:rFonts w:ascii="Arial" w:hAnsi="Arial" w:cs="Arial"/>
                <w:sz w:val="20"/>
                <w:szCs w:val="20"/>
              </w:rPr>
            </w:pPr>
          </w:p>
        </w:tc>
        <w:tc>
          <w:tcPr>
            <w:tcW w:w="1843" w:type="dxa"/>
            <w:hideMark/>
          </w:tcPr>
          <w:p w14:paraId="29DB2FAF" w14:textId="77777777" w:rsidR="00464F18" w:rsidRPr="00F327FB" w:rsidRDefault="00464F18" w:rsidP="00F327FB">
            <w:pPr>
              <w:rPr>
                <w:rFonts w:ascii="Arial" w:hAnsi="Arial" w:cs="Arial"/>
                <w:sz w:val="20"/>
                <w:szCs w:val="20"/>
              </w:rPr>
            </w:pPr>
          </w:p>
        </w:tc>
        <w:tc>
          <w:tcPr>
            <w:tcW w:w="2835" w:type="dxa"/>
            <w:hideMark/>
          </w:tcPr>
          <w:p w14:paraId="58C107C4" w14:textId="77777777" w:rsidR="00464F18" w:rsidRPr="00F327FB" w:rsidRDefault="00464F18" w:rsidP="00F327FB">
            <w:pPr>
              <w:rPr>
                <w:rFonts w:ascii="Arial" w:hAnsi="Arial" w:cs="Arial"/>
                <w:sz w:val="20"/>
                <w:szCs w:val="20"/>
              </w:rPr>
            </w:pPr>
            <w:r w:rsidRPr="00F327FB">
              <w:rPr>
                <w:rFonts w:ascii="Arial" w:hAnsi="Arial" w:cs="Arial"/>
                <w:sz w:val="20"/>
                <w:szCs w:val="20"/>
              </w:rPr>
              <w:t>NaOH–</w:t>
            </w:r>
            <w:proofErr w:type="spellStart"/>
            <w:r w:rsidRPr="00F327FB">
              <w:rPr>
                <w:rFonts w:ascii="Arial" w:hAnsi="Arial" w:cs="Arial"/>
                <w:sz w:val="20"/>
                <w:szCs w:val="20"/>
              </w:rPr>
              <w:t>CHCl</w:t>
            </w:r>
            <w:proofErr w:type="spellEnd"/>
            <w:r w:rsidRPr="00F327FB">
              <w:rPr>
                <w:rFonts w:ascii="Cambria Math" w:hAnsi="Cambria Math" w:cs="Cambria Math"/>
                <w:sz w:val="20"/>
                <w:szCs w:val="20"/>
              </w:rPr>
              <w:t>₃</w:t>
            </w:r>
            <w:r w:rsidRPr="00F327FB">
              <w:rPr>
                <w:rFonts w:ascii="Arial" w:hAnsi="Arial" w:cs="Arial"/>
                <w:sz w:val="20"/>
                <w:szCs w:val="20"/>
              </w:rPr>
              <w:t xml:space="preserve"> test</w:t>
            </w:r>
          </w:p>
        </w:tc>
        <w:tc>
          <w:tcPr>
            <w:tcW w:w="2956" w:type="dxa"/>
            <w:hideMark/>
          </w:tcPr>
          <w:p w14:paraId="0053D714"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 </w:t>
            </w:r>
            <w:proofErr w:type="spellStart"/>
            <w:r w:rsidRPr="00F327FB">
              <w:rPr>
                <w:rFonts w:ascii="Arial" w:hAnsi="Arial" w:cs="Arial"/>
                <w:sz w:val="20"/>
                <w:szCs w:val="20"/>
              </w:rPr>
              <w:t>colour</w:t>
            </w:r>
            <w:proofErr w:type="spellEnd"/>
          </w:p>
        </w:tc>
        <w:tc>
          <w:tcPr>
            <w:tcW w:w="0" w:type="auto"/>
            <w:hideMark/>
          </w:tcPr>
          <w:p w14:paraId="2B6ECAD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5D3862D" w14:textId="77777777" w:rsidTr="00F327FB">
        <w:trPr>
          <w:trHeight w:val="70"/>
        </w:trPr>
        <w:tc>
          <w:tcPr>
            <w:tcW w:w="846" w:type="dxa"/>
            <w:hideMark/>
          </w:tcPr>
          <w:p w14:paraId="27C149B5" w14:textId="77777777" w:rsidR="00464F18" w:rsidRPr="00F327FB" w:rsidRDefault="00464F18" w:rsidP="00F327FB">
            <w:pPr>
              <w:rPr>
                <w:rFonts w:ascii="Arial" w:hAnsi="Arial" w:cs="Arial"/>
                <w:sz w:val="20"/>
                <w:szCs w:val="20"/>
              </w:rPr>
            </w:pPr>
            <w:r w:rsidRPr="00F327FB">
              <w:rPr>
                <w:rFonts w:ascii="Arial" w:hAnsi="Arial" w:cs="Arial"/>
                <w:sz w:val="20"/>
                <w:szCs w:val="20"/>
              </w:rPr>
              <w:t>17</w:t>
            </w:r>
          </w:p>
        </w:tc>
        <w:tc>
          <w:tcPr>
            <w:tcW w:w="1843" w:type="dxa"/>
            <w:hideMark/>
          </w:tcPr>
          <w:p w14:paraId="3D355F93" w14:textId="77777777" w:rsidR="00464F18" w:rsidRPr="00F327FB" w:rsidRDefault="00464F18" w:rsidP="00F327FB">
            <w:pPr>
              <w:rPr>
                <w:rFonts w:ascii="Arial" w:hAnsi="Arial" w:cs="Arial"/>
                <w:sz w:val="20"/>
                <w:szCs w:val="20"/>
              </w:rPr>
            </w:pPr>
            <w:r w:rsidRPr="00F327FB">
              <w:rPr>
                <w:rFonts w:ascii="Arial" w:hAnsi="Arial" w:cs="Arial"/>
                <w:sz w:val="20"/>
                <w:szCs w:val="20"/>
              </w:rPr>
              <w:t>Volatile oils</w:t>
            </w:r>
          </w:p>
        </w:tc>
        <w:tc>
          <w:tcPr>
            <w:tcW w:w="2835" w:type="dxa"/>
            <w:hideMark/>
          </w:tcPr>
          <w:p w14:paraId="43A0546E" w14:textId="77777777" w:rsidR="00464F18" w:rsidRPr="00F327FB" w:rsidRDefault="00464F18" w:rsidP="00F327FB">
            <w:pPr>
              <w:rPr>
                <w:rFonts w:ascii="Arial" w:hAnsi="Arial" w:cs="Arial"/>
                <w:sz w:val="20"/>
                <w:szCs w:val="20"/>
              </w:rPr>
            </w:pPr>
            <w:r w:rsidRPr="00F327FB">
              <w:rPr>
                <w:rFonts w:ascii="Arial" w:hAnsi="Arial" w:cs="Arial"/>
                <w:sz w:val="20"/>
                <w:szCs w:val="20"/>
              </w:rPr>
              <w:t>Fluorescence test</w:t>
            </w:r>
          </w:p>
        </w:tc>
        <w:tc>
          <w:tcPr>
            <w:tcW w:w="2956" w:type="dxa"/>
            <w:hideMark/>
          </w:tcPr>
          <w:p w14:paraId="78D3EB7B" w14:textId="77777777" w:rsidR="00464F18" w:rsidRPr="00F327FB" w:rsidRDefault="00464F18" w:rsidP="00F327FB">
            <w:pPr>
              <w:rPr>
                <w:rFonts w:ascii="Arial" w:hAnsi="Arial" w:cs="Arial"/>
                <w:sz w:val="20"/>
                <w:szCs w:val="20"/>
              </w:rPr>
            </w:pPr>
            <w:r w:rsidRPr="00F327FB">
              <w:rPr>
                <w:rFonts w:ascii="Arial" w:hAnsi="Arial" w:cs="Arial"/>
                <w:sz w:val="20"/>
                <w:szCs w:val="20"/>
              </w:rPr>
              <w:t>No pinkish fluorescence</w:t>
            </w:r>
          </w:p>
        </w:tc>
        <w:tc>
          <w:tcPr>
            <w:tcW w:w="0" w:type="auto"/>
            <w:hideMark/>
          </w:tcPr>
          <w:p w14:paraId="74FDC09F"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bl>
    <w:p w14:paraId="5ECF5446" w14:textId="77777777" w:rsidR="00464F18" w:rsidRPr="00F327FB" w:rsidRDefault="00464F18" w:rsidP="00464F18">
      <w:pPr>
        <w:rPr>
          <w:rFonts w:ascii="Arial" w:hAnsi="Arial" w:cs="Arial"/>
          <w:i/>
          <w:iCs/>
          <w:lang w:val="en-IN"/>
        </w:rPr>
      </w:pPr>
      <w:r w:rsidRPr="00F327FB">
        <w:rPr>
          <w:rFonts w:ascii="Arial" w:hAnsi="Arial" w:cs="Arial"/>
          <w:i/>
          <w:iCs/>
          <w:lang w:val="en-IN"/>
        </w:rPr>
        <w:t>Results based on Presence/Absence (+/-).</w:t>
      </w:r>
    </w:p>
    <w:p w14:paraId="52E0D8CC" w14:textId="77777777" w:rsidR="00F327FB" w:rsidRDefault="00F327FB" w:rsidP="00F327FB">
      <w:pPr>
        <w:spacing w:line="360" w:lineRule="auto"/>
        <w:jc w:val="both"/>
        <w:rPr>
          <w:rFonts w:ascii="Arial" w:hAnsi="Arial" w:cs="Arial"/>
          <w:lang w:val="en-IN"/>
        </w:rPr>
      </w:pPr>
    </w:p>
    <w:p w14:paraId="16E9DC02" w14:textId="77777777" w:rsidR="00464F18" w:rsidRPr="00F327FB" w:rsidRDefault="00464F18" w:rsidP="00F327FB">
      <w:pPr>
        <w:spacing w:line="360" w:lineRule="auto"/>
        <w:jc w:val="both"/>
        <w:rPr>
          <w:rFonts w:ascii="Arial" w:hAnsi="Arial" w:cs="Arial"/>
          <w:lang w:val="en-IN"/>
        </w:rPr>
      </w:pPr>
      <w:r w:rsidRPr="00F327FB">
        <w:rPr>
          <w:rFonts w:ascii="Arial" w:hAnsi="Arial" w:cs="Arial"/>
          <w:lang w:val="en-IN"/>
        </w:rPr>
        <w:t xml:space="preserve">Secondary metabolites such as alkaloids and sterols are widely associated with plant </w:t>
      </w:r>
      <w:proofErr w:type="spellStart"/>
      <w:r w:rsidRPr="00F327FB">
        <w:rPr>
          <w:rFonts w:ascii="Arial" w:hAnsi="Arial" w:cs="Arial"/>
          <w:lang w:val="en-IN"/>
        </w:rPr>
        <w:t>defense</w:t>
      </w:r>
      <w:proofErr w:type="spellEnd"/>
      <w:r w:rsidRPr="00F327FB">
        <w:rPr>
          <w:rFonts w:ascii="Arial" w:hAnsi="Arial" w:cs="Arial"/>
          <w:lang w:val="en-IN"/>
        </w:rPr>
        <w:t xml:space="preserve"> mechanisms and may exhibit cytotoxic or deterrent effects against herbivores and pathogens (Heinrich </w:t>
      </w:r>
      <w:r w:rsidRPr="00F327FB">
        <w:rPr>
          <w:rFonts w:ascii="Arial" w:hAnsi="Arial" w:cs="Arial"/>
          <w:i/>
          <w:iCs/>
          <w:lang w:val="en-IN"/>
        </w:rPr>
        <w:t>et al.,</w:t>
      </w:r>
      <w:r w:rsidRPr="00F327FB">
        <w:rPr>
          <w:rFonts w:ascii="Arial" w:hAnsi="Arial" w:cs="Arial"/>
          <w:lang w:val="en-IN"/>
        </w:rPr>
        <w:t xml:space="preserve"> 2021). The absence of phenolic compounds and tannins, which are reported to occur abundantly in the inner rhizome tissues of D. quercifolia¹, suggests tissue-specific metabolite compartmentalization within the rhizome system. Such spatial differentiation of metabolites is a well-recognized adaptive strategy that balances </w:t>
      </w:r>
      <w:proofErr w:type="spellStart"/>
      <w:r w:rsidRPr="00F327FB">
        <w:rPr>
          <w:rFonts w:ascii="Arial" w:hAnsi="Arial" w:cs="Arial"/>
          <w:lang w:val="en-IN"/>
        </w:rPr>
        <w:t>defense</w:t>
      </w:r>
      <w:proofErr w:type="spellEnd"/>
      <w:r w:rsidRPr="00F327FB">
        <w:rPr>
          <w:rFonts w:ascii="Arial" w:hAnsi="Arial" w:cs="Arial"/>
          <w:lang w:val="en-IN"/>
        </w:rPr>
        <w:t xml:space="preserve"> and physiological functions in plants (</w:t>
      </w:r>
      <w:proofErr w:type="spellStart"/>
      <w:r w:rsidRPr="00F327FB">
        <w:rPr>
          <w:rFonts w:ascii="Arial" w:hAnsi="Arial" w:cs="Arial"/>
          <w:lang w:val="en-IN"/>
        </w:rPr>
        <w:t>Saoi</w:t>
      </w:r>
      <w:proofErr w:type="spellEnd"/>
      <w:r w:rsidRPr="00F327FB">
        <w:rPr>
          <w:rFonts w:ascii="Arial" w:hAnsi="Arial" w:cs="Arial"/>
          <w:lang w:val="en-IN"/>
        </w:rPr>
        <w:t xml:space="preserve"> and </w:t>
      </w:r>
      <w:proofErr w:type="spellStart"/>
      <w:r w:rsidRPr="00F327FB">
        <w:rPr>
          <w:rFonts w:ascii="Arial" w:hAnsi="Arial" w:cs="Arial"/>
          <w:lang w:val="en-IN"/>
        </w:rPr>
        <w:t>Britz-McKibbin</w:t>
      </w:r>
      <w:proofErr w:type="spellEnd"/>
      <w:r w:rsidRPr="00F327FB">
        <w:rPr>
          <w:rFonts w:ascii="Arial" w:hAnsi="Arial" w:cs="Arial"/>
          <w:lang w:val="en-IN"/>
        </w:rPr>
        <w:t xml:space="preserve">, 2021; Lino </w:t>
      </w:r>
      <w:r w:rsidRPr="00F327FB">
        <w:rPr>
          <w:rFonts w:ascii="Arial" w:hAnsi="Arial" w:cs="Arial"/>
          <w:i/>
          <w:iCs/>
          <w:lang w:val="en-IN"/>
        </w:rPr>
        <w:t>et al.,</w:t>
      </w:r>
      <w:r w:rsidRPr="00F327FB">
        <w:rPr>
          <w:rFonts w:ascii="Arial" w:hAnsi="Arial" w:cs="Arial"/>
          <w:lang w:val="en-IN"/>
        </w:rPr>
        <w:t xml:space="preserve"> 2023)</w:t>
      </w:r>
    </w:p>
    <w:p w14:paraId="24AA00A9" w14:textId="77777777" w:rsidR="00F327FB" w:rsidRDefault="00F327FB" w:rsidP="00464F18">
      <w:pPr>
        <w:rPr>
          <w:rFonts w:ascii="Times New Roman" w:hAnsi="Times New Roman"/>
          <w:b/>
          <w:bCs/>
          <w:sz w:val="24"/>
          <w:szCs w:val="24"/>
          <w:lang w:val="en-IN"/>
        </w:rPr>
      </w:pPr>
    </w:p>
    <w:p w14:paraId="28E81542" w14:textId="77777777" w:rsidR="00464F18" w:rsidRPr="00F327FB" w:rsidRDefault="00464F18" w:rsidP="00464F18">
      <w:pPr>
        <w:rPr>
          <w:rFonts w:ascii="Arial" w:hAnsi="Arial" w:cs="Arial"/>
          <w:b/>
          <w:bCs/>
          <w:sz w:val="22"/>
          <w:szCs w:val="22"/>
        </w:rPr>
      </w:pPr>
      <w:r w:rsidRPr="00F327FB">
        <w:rPr>
          <w:rFonts w:ascii="Arial" w:hAnsi="Arial" w:cs="Arial"/>
          <w:b/>
          <w:bCs/>
          <w:sz w:val="22"/>
          <w:szCs w:val="22"/>
          <w:lang w:val="en-IN"/>
        </w:rPr>
        <w:t>3.4</w:t>
      </w:r>
      <w:r w:rsidRPr="00F327FB">
        <w:rPr>
          <w:rFonts w:ascii="Arial" w:hAnsi="Arial" w:cs="Arial"/>
          <w:sz w:val="22"/>
          <w:szCs w:val="22"/>
          <w:lang w:val="en-IN"/>
        </w:rPr>
        <w:t xml:space="preserve"> </w:t>
      </w:r>
      <w:r w:rsidRPr="00F327FB">
        <w:rPr>
          <w:rFonts w:ascii="Arial" w:hAnsi="Arial" w:cs="Arial"/>
          <w:b/>
          <w:bCs/>
          <w:sz w:val="22"/>
          <w:szCs w:val="22"/>
        </w:rPr>
        <w:t xml:space="preserve">Fourier Transform Infrared (FTIR) spectroscopy </w:t>
      </w:r>
    </w:p>
    <w:p w14:paraId="6A8451DA" w14:textId="77777777" w:rsidR="00F327FB" w:rsidRDefault="00F327FB" w:rsidP="00F327FB">
      <w:pPr>
        <w:jc w:val="both"/>
        <w:rPr>
          <w:rFonts w:ascii="Arial" w:hAnsi="Arial" w:cs="Arial"/>
        </w:rPr>
      </w:pPr>
    </w:p>
    <w:p w14:paraId="7144FFF8" w14:textId="77777777" w:rsidR="00464F18" w:rsidRPr="00F327FB" w:rsidRDefault="00464F18" w:rsidP="00F327FB">
      <w:pPr>
        <w:jc w:val="both"/>
        <w:rPr>
          <w:rFonts w:ascii="Arial" w:hAnsi="Arial" w:cs="Arial"/>
        </w:rPr>
      </w:pPr>
      <w:r w:rsidRPr="00F327FB">
        <w:rPr>
          <w:rFonts w:ascii="Arial" w:hAnsi="Arial" w:cs="Arial"/>
        </w:rPr>
        <w:t>FT-IR analysis (4000–400 cm</w:t>
      </w:r>
      <w:r w:rsidRPr="00F327FB">
        <w:rPr>
          <w:rFonts w:ascii="Cambria Math" w:hAnsi="Cambria Math" w:cs="Cambria Math"/>
        </w:rPr>
        <w:t>⁻</w:t>
      </w:r>
      <w:r w:rsidRPr="00F327FB">
        <w:rPr>
          <w:rFonts w:ascii="Arial" w:hAnsi="Arial" w:cs="Arial"/>
        </w:rPr>
        <w:t xml:space="preserve">¹) of the aqueous extract of </w:t>
      </w:r>
      <w:r w:rsidRPr="00F327FB">
        <w:rPr>
          <w:rFonts w:ascii="Arial" w:hAnsi="Arial" w:cs="Arial"/>
          <w:i/>
          <w:iCs/>
        </w:rPr>
        <w:t xml:space="preserve">D. </w:t>
      </w:r>
      <w:proofErr w:type="spellStart"/>
      <w:r w:rsidRPr="00F327FB">
        <w:rPr>
          <w:rFonts w:ascii="Arial" w:hAnsi="Arial" w:cs="Arial"/>
          <w:i/>
          <w:iCs/>
        </w:rPr>
        <w:t>quercifolia</w:t>
      </w:r>
      <w:proofErr w:type="spellEnd"/>
      <w:r w:rsidRPr="00F327FB">
        <w:rPr>
          <w:rFonts w:ascii="Arial" w:hAnsi="Arial" w:cs="Arial"/>
        </w:rPr>
        <w:t xml:space="preserve"> rhizome scales showed a broad intense band at 3317 cm</w:t>
      </w:r>
      <w:r w:rsidRPr="00F327FB">
        <w:rPr>
          <w:rFonts w:ascii="Cambria Math" w:hAnsi="Cambria Math" w:cs="Cambria Math"/>
        </w:rPr>
        <w:t>⁻</w:t>
      </w:r>
      <w:r w:rsidRPr="00F327FB">
        <w:rPr>
          <w:rFonts w:ascii="Arial" w:hAnsi="Arial" w:cs="Arial"/>
        </w:rPr>
        <w:t>¹ (hydrogen-bonded O–H stretching) and a weak band at 3657 cm</w:t>
      </w:r>
      <w:r w:rsidRPr="00F327FB">
        <w:rPr>
          <w:rFonts w:ascii="Cambria Math" w:hAnsi="Cambria Math" w:cs="Cambria Math"/>
        </w:rPr>
        <w:t>⁻</w:t>
      </w:r>
      <w:r w:rsidRPr="00F327FB">
        <w:rPr>
          <w:rFonts w:ascii="Arial" w:hAnsi="Arial" w:cs="Arial"/>
        </w:rPr>
        <w:t>¹ (free O–H groups). A peak at 1643 cm</w:t>
      </w:r>
      <w:r w:rsidRPr="00F327FB">
        <w:rPr>
          <w:rFonts w:ascii="Cambria Math" w:hAnsi="Cambria Math" w:cs="Cambria Math"/>
        </w:rPr>
        <w:t>⁻</w:t>
      </w:r>
      <w:r w:rsidRPr="00F327FB">
        <w:rPr>
          <w:rFonts w:ascii="Arial" w:hAnsi="Arial" w:cs="Arial"/>
        </w:rPr>
        <w:t>¹ corresponded to C=O stretching or H–O–H bending. Prominent absorptions in the 1400–1200 cm</w:t>
      </w:r>
      <w:r w:rsidRPr="00F327FB">
        <w:rPr>
          <w:rFonts w:ascii="Cambria Math" w:hAnsi="Cambria Math" w:cs="Cambria Math"/>
        </w:rPr>
        <w:t>⁻</w:t>
      </w:r>
      <w:r w:rsidRPr="00F327FB">
        <w:rPr>
          <w:rFonts w:ascii="Arial" w:hAnsi="Arial" w:cs="Arial"/>
        </w:rPr>
        <w:t>¹ region indicated C–O stretching of alcohols and carbohydrate-associated groups. Additional bands at 678, 601, and 556 cm</w:t>
      </w:r>
      <w:r w:rsidRPr="00F327FB">
        <w:rPr>
          <w:rFonts w:ascii="Cambria Math" w:hAnsi="Cambria Math" w:cs="Cambria Math"/>
        </w:rPr>
        <w:t>⁻</w:t>
      </w:r>
      <w:r w:rsidRPr="00F327FB">
        <w:rPr>
          <w:rFonts w:ascii="Arial" w:hAnsi="Arial" w:cs="Arial"/>
        </w:rPr>
        <w:t>¹ were assigned to out-of-plane C–H bending and skeletal vibrations. Overall, the spectrum confirms predominance of polar functional groups (Figure 3; Table 3).</w:t>
      </w:r>
    </w:p>
    <w:p w14:paraId="7F1CBCE2" w14:textId="77777777" w:rsidR="00464F18" w:rsidRDefault="00464F18" w:rsidP="00464F18">
      <w:pPr>
        <w:jc w:val="both"/>
        <w:rPr>
          <w:rFonts w:ascii="Times New Roman" w:hAnsi="Times New Roman"/>
          <w:b/>
          <w:bCs/>
          <w:sz w:val="24"/>
          <w:szCs w:val="24"/>
        </w:rPr>
      </w:pPr>
    </w:p>
    <w:p w14:paraId="0C872A9B" w14:textId="77777777" w:rsidR="00464F18" w:rsidRPr="00F327FB" w:rsidRDefault="00464F18" w:rsidP="00F327FB">
      <w:pPr>
        <w:jc w:val="both"/>
        <w:rPr>
          <w:rFonts w:ascii="Arial" w:hAnsi="Arial" w:cs="Arial"/>
          <w:b/>
          <w:bCs/>
        </w:rPr>
      </w:pPr>
      <w:r w:rsidRPr="00F327FB">
        <w:rPr>
          <w:rFonts w:ascii="Arial" w:hAnsi="Arial" w:cs="Arial"/>
          <w:b/>
          <w:bCs/>
        </w:rPr>
        <w:t xml:space="preserve">Figure 3. Fourier Transform Infrared (FT-IR) spectrum of the aqueous extract of </w:t>
      </w:r>
      <w:r w:rsidRPr="00F327FB">
        <w:rPr>
          <w:rFonts w:ascii="Arial" w:hAnsi="Arial" w:cs="Arial"/>
          <w:b/>
          <w:bCs/>
        </w:rPr>
        <w:br/>
      </w:r>
      <w:r w:rsidRPr="00F327FB">
        <w:rPr>
          <w:rFonts w:ascii="Arial" w:hAnsi="Arial" w:cs="Arial"/>
          <w:b/>
          <w:bCs/>
          <w:i/>
          <w:iCs/>
        </w:rPr>
        <w:t xml:space="preserve">D. </w:t>
      </w:r>
      <w:proofErr w:type="spellStart"/>
      <w:r w:rsidRPr="00F327FB">
        <w:rPr>
          <w:rFonts w:ascii="Arial" w:hAnsi="Arial" w:cs="Arial"/>
          <w:b/>
          <w:bCs/>
          <w:i/>
          <w:iCs/>
        </w:rPr>
        <w:t>quercifolia</w:t>
      </w:r>
      <w:proofErr w:type="spellEnd"/>
      <w:r w:rsidRPr="00F327FB">
        <w:rPr>
          <w:rFonts w:ascii="Arial" w:hAnsi="Arial" w:cs="Arial"/>
          <w:b/>
          <w:bCs/>
        </w:rPr>
        <w:t xml:space="preserve"> rhizome scales recorded in the range of 4000–400 cm</w:t>
      </w:r>
      <w:r w:rsidRPr="00F327FB">
        <w:rPr>
          <w:rFonts w:ascii="Cambria Math" w:hAnsi="Cambria Math" w:cs="Cambria Math"/>
          <w:b/>
          <w:bCs/>
        </w:rPr>
        <w:t>⁻</w:t>
      </w:r>
      <w:r w:rsidRPr="00F327FB">
        <w:rPr>
          <w:rFonts w:ascii="Arial" w:hAnsi="Arial" w:cs="Arial"/>
          <w:b/>
          <w:bCs/>
        </w:rPr>
        <w:t>¹.</w:t>
      </w:r>
    </w:p>
    <w:p w14:paraId="387A4391" w14:textId="77777777" w:rsidR="00464F18" w:rsidRDefault="00464F18" w:rsidP="00464F18">
      <w:pPr>
        <w:jc w:val="both"/>
        <w:rPr>
          <w:rFonts w:ascii="Times New Roman" w:hAnsi="Times New Roman"/>
          <w:b/>
          <w:bCs/>
          <w:sz w:val="24"/>
          <w:szCs w:val="24"/>
        </w:rPr>
      </w:pPr>
      <w:r>
        <w:rPr>
          <w:rFonts w:ascii="Times New Roman" w:hAnsi="Times New Roman"/>
          <w:b/>
          <w:bCs/>
          <w:noProof/>
          <w:sz w:val="24"/>
          <w:szCs w:val="24"/>
          <w:lang w:bidi="ta-IN"/>
        </w:rPr>
        <w:drawing>
          <wp:inline distT="0" distB="0" distL="0" distR="0" wp14:anchorId="7170D034" wp14:editId="0FF04A16">
            <wp:extent cx="5248275" cy="2152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352" cy="2166234"/>
                    </a:xfrm>
                    <a:prstGeom prst="rect">
                      <a:avLst/>
                    </a:prstGeom>
                    <a:noFill/>
                  </pic:spPr>
                </pic:pic>
              </a:graphicData>
            </a:graphic>
          </wp:inline>
        </w:drawing>
      </w:r>
    </w:p>
    <w:p w14:paraId="457EE18D" w14:textId="77777777" w:rsidR="00F327FB" w:rsidRDefault="00F327FB" w:rsidP="00464F18">
      <w:pPr>
        <w:jc w:val="both"/>
        <w:rPr>
          <w:rFonts w:ascii="Times New Roman" w:hAnsi="Times New Roman"/>
          <w:b/>
          <w:bCs/>
          <w:sz w:val="24"/>
          <w:szCs w:val="24"/>
        </w:rPr>
      </w:pPr>
    </w:p>
    <w:p w14:paraId="2F9FA9D4" w14:textId="77777777" w:rsidR="00464F18" w:rsidRDefault="00F327FB" w:rsidP="00F327FB">
      <w:pPr>
        <w:tabs>
          <w:tab w:val="left" w:pos="7513"/>
        </w:tabs>
        <w:jc w:val="both"/>
        <w:rPr>
          <w:rFonts w:ascii="Arial" w:hAnsi="Arial" w:cs="Arial"/>
          <w:b/>
          <w:bCs/>
        </w:rPr>
      </w:pPr>
      <w:r>
        <w:rPr>
          <w:rFonts w:ascii="Arial" w:hAnsi="Arial" w:cs="Arial"/>
          <w:b/>
          <w:bCs/>
        </w:rPr>
        <w:lastRenderedPageBreak/>
        <w:t xml:space="preserve">Table </w:t>
      </w:r>
      <w:r w:rsidR="00464F18" w:rsidRPr="00F327FB">
        <w:rPr>
          <w:rFonts w:ascii="Arial" w:hAnsi="Arial" w:cs="Arial"/>
          <w:b/>
          <w:bCs/>
        </w:rPr>
        <w:t xml:space="preserve">3. FT-IR absorption bands and corresponding functional group assignments of the aqueous extract of </w:t>
      </w:r>
      <w:r w:rsidR="00464F18" w:rsidRPr="00F327FB">
        <w:rPr>
          <w:rFonts w:ascii="Arial" w:hAnsi="Arial" w:cs="Arial"/>
          <w:b/>
          <w:bCs/>
          <w:i/>
          <w:iCs/>
        </w:rPr>
        <w:t xml:space="preserve">D.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rhizome scales.</w:t>
      </w:r>
    </w:p>
    <w:p w14:paraId="1B42E80F" w14:textId="77777777" w:rsidR="00F327FB" w:rsidRPr="00F327FB" w:rsidRDefault="00F327FB" w:rsidP="00F327FB">
      <w:pPr>
        <w:tabs>
          <w:tab w:val="left" w:pos="7513"/>
        </w:tabs>
        <w:jc w:val="both"/>
        <w:rPr>
          <w:rFonts w:ascii="Arial" w:hAnsi="Arial" w:cs="Arial"/>
          <w:b/>
          <w:bCs/>
        </w:rPr>
      </w:pPr>
    </w:p>
    <w:tbl>
      <w:tblPr>
        <w:tblStyle w:val="TableGrid"/>
        <w:tblW w:w="0" w:type="auto"/>
        <w:tblLook w:val="04A0" w:firstRow="1" w:lastRow="0" w:firstColumn="1" w:lastColumn="0" w:noHBand="0" w:noVBand="1"/>
      </w:tblPr>
      <w:tblGrid>
        <w:gridCol w:w="2320"/>
        <w:gridCol w:w="1789"/>
        <w:gridCol w:w="4089"/>
      </w:tblGrid>
      <w:tr w:rsidR="00464F18" w:rsidRPr="00F327FB" w14:paraId="2E653356" w14:textId="77777777" w:rsidTr="00F327FB">
        <w:tc>
          <w:tcPr>
            <w:tcW w:w="2547" w:type="dxa"/>
            <w:hideMark/>
          </w:tcPr>
          <w:p w14:paraId="70CD4A35"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Observed Wavenumber (cm</w:t>
            </w:r>
            <w:r w:rsidRPr="00F327FB">
              <w:rPr>
                <w:rFonts w:ascii="Cambria Math" w:eastAsia="Times New Roman" w:hAnsi="Cambria Math" w:cs="Cambria Math"/>
                <w:b/>
                <w:bCs/>
                <w:sz w:val="20"/>
                <w:szCs w:val="20"/>
                <w:lang w:bidi="ta-IN"/>
              </w:rPr>
              <w:t>⁻</w:t>
            </w:r>
            <w:r w:rsidRPr="00F327FB">
              <w:rPr>
                <w:rFonts w:ascii="Arial" w:eastAsia="Times New Roman" w:hAnsi="Arial" w:cs="Arial"/>
                <w:b/>
                <w:bCs/>
                <w:sz w:val="20"/>
                <w:szCs w:val="20"/>
                <w:lang w:bidi="ta-IN"/>
              </w:rPr>
              <w:t>¹)</w:t>
            </w:r>
          </w:p>
        </w:tc>
        <w:tc>
          <w:tcPr>
            <w:tcW w:w="1984" w:type="dxa"/>
            <w:hideMark/>
          </w:tcPr>
          <w:p w14:paraId="0EA4CD6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Relative Intensity</w:t>
            </w:r>
          </w:p>
        </w:tc>
        <w:tc>
          <w:tcPr>
            <w:tcW w:w="4819" w:type="dxa"/>
            <w:hideMark/>
          </w:tcPr>
          <w:p w14:paraId="63682BCD"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Functional Group Assignment</w:t>
            </w:r>
          </w:p>
        </w:tc>
      </w:tr>
      <w:tr w:rsidR="00464F18" w:rsidRPr="00F327FB" w14:paraId="3CBF780C" w14:textId="77777777" w:rsidTr="00F327FB">
        <w:tc>
          <w:tcPr>
            <w:tcW w:w="2547" w:type="dxa"/>
            <w:hideMark/>
          </w:tcPr>
          <w:p w14:paraId="7B6F383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3657</w:t>
            </w:r>
          </w:p>
        </w:tc>
        <w:tc>
          <w:tcPr>
            <w:tcW w:w="1984" w:type="dxa"/>
            <w:hideMark/>
          </w:tcPr>
          <w:p w14:paraId="74CD7FB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w:t>
            </w:r>
          </w:p>
        </w:tc>
        <w:tc>
          <w:tcPr>
            <w:tcW w:w="4819" w:type="dxa"/>
            <w:hideMark/>
          </w:tcPr>
          <w:p w14:paraId="0AAA27A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Free O–H stretching vibration</w:t>
            </w:r>
          </w:p>
        </w:tc>
      </w:tr>
      <w:tr w:rsidR="00464F18" w:rsidRPr="00F327FB" w14:paraId="6A875BA5" w14:textId="77777777" w:rsidTr="00F327FB">
        <w:tc>
          <w:tcPr>
            <w:tcW w:w="2547" w:type="dxa"/>
            <w:hideMark/>
          </w:tcPr>
          <w:p w14:paraId="186D4A6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3317</w:t>
            </w:r>
          </w:p>
        </w:tc>
        <w:tc>
          <w:tcPr>
            <w:tcW w:w="1984" w:type="dxa"/>
            <w:hideMark/>
          </w:tcPr>
          <w:p w14:paraId="33CC871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Strong (broad)</w:t>
            </w:r>
          </w:p>
        </w:tc>
        <w:tc>
          <w:tcPr>
            <w:tcW w:w="4819" w:type="dxa"/>
            <w:hideMark/>
          </w:tcPr>
          <w:p w14:paraId="4868761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Hydrogen-bonded O–H stretching</w:t>
            </w:r>
          </w:p>
        </w:tc>
      </w:tr>
      <w:tr w:rsidR="00464F18" w:rsidRPr="00F327FB" w14:paraId="20931F0F" w14:textId="77777777" w:rsidTr="00F327FB">
        <w:tc>
          <w:tcPr>
            <w:tcW w:w="2547" w:type="dxa"/>
            <w:hideMark/>
          </w:tcPr>
          <w:p w14:paraId="65D3BC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1643</w:t>
            </w:r>
          </w:p>
        </w:tc>
        <w:tc>
          <w:tcPr>
            <w:tcW w:w="1984" w:type="dxa"/>
            <w:hideMark/>
          </w:tcPr>
          <w:p w14:paraId="06F297F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Moderate</w:t>
            </w:r>
          </w:p>
        </w:tc>
        <w:tc>
          <w:tcPr>
            <w:tcW w:w="4819" w:type="dxa"/>
            <w:hideMark/>
          </w:tcPr>
          <w:p w14:paraId="23BCE46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C=O stretching / H–O–H bending vibration</w:t>
            </w:r>
          </w:p>
        </w:tc>
      </w:tr>
      <w:tr w:rsidR="00464F18" w:rsidRPr="00F327FB" w14:paraId="0188F071" w14:textId="77777777" w:rsidTr="00F327FB">
        <w:tc>
          <w:tcPr>
            <w:tcW w:w="2547" w:type="dxa"/>
            <w:hideMark/>
          </w:tcPr>
          <w:p w14:paraId="471B3B8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678</w:t>
            </w:r>
          </w:p>
        </w:tc>
        <w:tc>
          <w:tcPr>
            <w:tcW w:w="1984" w:type="dxa"/>
            <w:hideMark/>
          </w:tcPr>
          <w:p w14:paraId="7AC82D1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Strong</w:t>
            </w:r>
          </w:p>
        </w:tc>
        <w:tc>
          <w:tcPr>
            <w:tcW w:w="4819" w:type="dxa"/>
            <w:hideMark/>
          </w:tcPr>
          <w:p w14:paraId="6C75E2C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C–H out-of-plane bending vibration</w:t>
            </w:r>
          </w:p>
        </w:tc>
      </w:tr>
      <w:tr w:rsidR="00464F18" w:rsidRPr="00F327FB" w14:paraId="02EE625F" w14:textId="77777777" w:rsidTr="00F327FB">
        <w:tc>
          <w:tcPr>
            <w:tcW w:w="2547" w:type="dxa"/>
            <w:hideMark/>
          </w:tcPr>
          <w:p w14:paraId="7D7CC8E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601</w:t>
            </w:r>
          </w:p>
        </w:tc>
        <w:tc>
          <w:tcPr>
            <w:tcW w:w="1984" w:type="dxa"/>
            <w:hideMark/>
          </w:tcPr>
          <w:p w14:paraId="3735674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Weak–Moderate</w:t>
            </w:r>
          </w:p>
        </w:tc>
        <w:tc>
          <w:tcPr>
            <w:tcW w:w="4819" w:type="dxa"/>
            <w:hideMark/>
          </w:tcPr>
          <w:p w14:paraId="16C79D6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Skeletal vibration of aliphatic structures</w:t>
            </w:r>
          </w:p>
        </w:tc>
      </w:tr>
      <w:tr w:rsidR="00464F18" w:rsidRPr="00F327FB" w14:paraId="15C55D37" w14:textId="77777777" w:rsidTr="00F327FB">
        <w:tc>
          <w:tcPr>
            <w:tcW w:w="2547" w:type="dxa"/>
            <w:hideMark/>
          </w:tcPr>
          <w:p w14:paraId="0E4083D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556</w:t>
            </w:r>
          </w:p>
        </w:tc>
        <w:tc>
          <w:tcPr>
            <w:tcW w:w="1984" w:type="dxa"/>
            <w:hideMark/>
          </w:tcPr>
          <w:p w14:paraId="5C0ECB3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w:t>
            </w:r>
          </w:p>
        </w:tc>
        <w:tc>
          <w:tcPr>
            <w:tcW w:w="4819" w:type="dxa"/>
            <w:hideMark/>
          </w:tcPr>
          <w:p w14:paraId="3E95D97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Ring deformation / skeletal vibration</w:t>
            </w:r>
          </w:p>
        </w:tc>
      </w:tr>
    </w:tbl>
    <w:p w14:paraId="4F95C16D" w14:textId="77777777" w:rsidR="00464F18" w:rsidRPr="00F327FB" w:rsidRDefault="00464F18" w:rsidP="00464F18">
      <w:pPr>
        <w:jc w:val="both"/>
        <w:rPr>
          <w:rFonts w:ascii="Arial" w:hAnsi="Arial" w:cs="Arial"/>
          <w:b/>
          <w:bCs/>
        </w:rPr>
      </w:pPr>
    </w:p>
    <w:p w14:paraId="3F2A4026" w14:textId="77777777" w:rsidR="00464F18" w:rsidRPr="00F327FB" w:rsidRDefault="00464F18" w:rsidP="00F327FB">
      <w:pPr>
        <w:jc w:val="both"/>
        <w:rPr>
          <w:rFonts w:ascii="Arial" w:hAnsi="Arial" w:cs="Arial"/>
        </w:rPr>
      </w:pPr>
      <w:r w:rsidRPr="00F327FB">
        <w:rPr>
          <w:rFonts w:ascii="Arial" w:hAnsi="Arial" w:cs="Arial"/>
        </w:rPr>
        <w:t xml:space="preserve">These spectral features confirm the predominance of polar functional groups within the scale extract. The presence of hydroxyl and carbonyl groups is commonly associated with alkaloid and sterol derivatives, supporting the results of phytochemical screening. FT-IR spectroscopy has been widely used to identify major functional groups in plant extracts and provide rapid confirmation of their chemical composition (Stuart, 2004; Silverstein </w:t>
      </w:r>
      <w:r w:rsidRPr="00F327FB">
        <w:rPr>
          <w:rFonts w:ascii="Arial" w:hAnsi="Arial" w:cs="Arial"/>
          <w:i/>
          <w:iCs/>
        </w:rPr>
        <w:t>et al.,</w:t>
      </w:r>
      <w:r w:rsidRPr="00F327FB">
        <w:rPr>
          <w:rFonts w:ascii="Arial" w:hAnsi="Arial" w:cs="Arial"/>
        </w:rPr>
        <w:t xml:space="preserve"> 2014)</w:t>
      </w:r>
    </w:p>
    <w:p w14:paraId="52EBCB91" w14:textId="77777777" w:rsidR="00F327FB" w:rsidRDefault="00F327FB" w:rsidP="00464F18">
      <w:pPr>
        <w:jc w:val="both"/>
        <w:rPr>
          <w:rFonts w:ascii="Times New Roman" w:hAnsi="Times New Roman"/>
          <w:b/>
          <w:bCs/>
          <w:sz w:val="24"/>
          <w:szCs w:val="24"/>
        </w:rPr>
      </w:pPr>
    </w:p>
    <w:p w14:paraId="3AED6ABE" w14:textId="77777777" w:rsidR="00464F18" w:rsidRPr="00F327FB" w:rsidRDefault="00464F18" w:rsidP="00464F18">
      <w:pPr>
        <w:jc w:val="both"/>
        <w:rPr>
          <w:rFonts w:ascii="Arial" w:hAnsi="Arial" w:cs="Arial"/>
          <w:b/>
          <w:bCs/>
          <w:sz w:val="22"/>
          <w:szCs w:val="22"/>
        </w:rPr>
      </w:pPr>
      <w:r w:rsidRPr="00F327FB">
        <w:rPr>
          <w:rFonts w:ascii="Arial" w:hAnsi="Arial" w:cs="Arial"/>
          <w:b/>
          <w:bCs/>
          <w:sz w:val="22"/>
          <w:szCs w:val="22"/>
        </w:rPr>
        <w:t>3.5 Brine Shrimp Lethality Assay Results</w:t>
      </w:r>
    </w:p>
    <w:p w14:paraId="4124D889" w14:textId="77777777" w:rsidR="00F327FB" w:rsidRDefault="00F327FB" w:rsidP="00F327FB">
      <w:pPr>
        <w:spacing w:line="360" w:lineRule="auto"/>
        <w:jc w:val="both"/>
        <w:rPr>
          <w:rFonts w:ascii="Times New Roman" w:hAnsi="Times New Roman"/>
          <w:sz w:val="24"/>
          <w:szCs w:val="24"/>
        </w:rPr>
      </w:pPr>
    </w:p>
    <w:p w14:paraId="3D93CD9F" w14:textId="77777777" w:rsidR="00464F18" w:rsidRDefault="00464F18" w:rsidP="00F327FB">
      <w:pPr>
        <w:jc w:val="both"/>
        <w:rPr>
          <w:rFonts w:ascii="Arial" w:hAnsi="Arial" w:cs="Arial"/>
        </w:rPr>
      </w:pPr>
      <w:r w:rsidRPr="00F327FB">
        <w:rPr>
          <w:rFonts w:ascii="Arial" w:hAnsi="Arial" w:cs="Arial"/>
        </w:rPr>
        <w:t xml:space="preserve">Exposure of </w:t>
      </w:r>
      <w:r w:rsidRPr="00F327FB">
        <w:rPr>
          <w:rFonts w:ascii="Arial" w:hAnsi="Arial" w:cs="Arial"/>
          <w:i/>
          <w:iCs/>
        </w:rPr>
        <w:t>Artemia salina</w:t>
      </w:r>
      <w:r w:rsidRPr="00F327FB">
        <w:rPr>
          <w:rFonts w:ascii="Arial" w:hAnsi="Arial" w:cs="Arial"/>
        </w:rPr>
        <w:t xml:space="preserve"> nauplii to the aqueous extract of </w:t>
      </w:r>
      <w:proofErr w:type="spellStart"/>
      <w:r w:rsidRPr="00F327FB">
        <w:rPr>
          <w:rFonts w:ascii="Arial" w:hAnsi="Arial" w:cs="Arial"/>
          <w:i/>
          <w:iCs/>
        </w:rPr>
        <w:t>Drynaria</w:t>
      </w:r>
      <w:proofErr w:type="spellEnd"/>
      <w:r w:rsidRPr="00F327FB">
        <w:rPr>
          <w:rFonts w:ascii="Arial" w:hAnsi="Arial" w:cs="Arial"/>
          <w:i/>
          <w:iCs/>
        </w:rPr>
        <w:t xml:space="preserve"> </w:t>
      </w:r>
      <w:proofErr w:type="spellStart"/>
      <w:r w:rsidRPr="00F327FB">
        <w:rPr>
          <w:rFonts w:ascii="Arial" w:hAnsi="Arial" w:cs="Arial"/>
          <w:i/>
          <w:iCs/>
        </w:rPr>
        <w:t>quercifolia</w:t>
      </w:r>
      <w:proofErr w:type="spellEnd"/>
      <w:r w:rsidRPr="00F327FB">
        <w:rPr>
          <w:rFonts w:ascii="Arial" w:hAnsi="Arial" w:cs="Arial"/>
        </w:rPr>
        <w:t xml:space="preserve"> rhizome scales resulted in a clear concentration-dependent increase in mortality after 24 h(Table-4). Mortality increased from 40.0% at 100 µg/mL to 99.0% at 1500 µg/</w:t>
      </w:r>
      <w:proofErr w:type="spellStart"/>
      <w:r w:rsidRPr="00F327FB">
        <w:rPr>
          <w:rFonts w:ascii="Arial" w:hAnsi="Arial" w:cs="Arial"/>
        </w:rPr>
        <w:t>mL.</w:t>
      </w:r>
      <w:proofErr w:type="spellEnd"/>
      <w:r w:rsidRPr="00F327FB">
        <w:rPr>
          <w:rFonts w:ascii="Arial" w:hAnsi="Arial" w:cs="Arial"/>
        </w:rPr>
        <w:t xml:space="preserve"> Intermediate concentrations showed progressive increases in lethality, with 60.0% mortality at 250 µg/mL, 76.7% at 500 µg/mL, and 87.7% at 1000 µg/</w:t>
      </w:r>
      <w:proofErr w:type="spellStart"/>
      <w:r w:rsidRPr="00F327FB">
        <w:rPr>
          <w:rFonts w:ascii="Arial" w:hAnsi="Arial" w:cs="Arial"/>
        </w:rPr>
        <w:t>mL.</w:t>
      </w:r>
      <w:proofErr w:type="spellEnd"/>
      <w:r w:rsidRPr="00F327FB">
        <w:rPr>
          <w:rFonts w:ascii="Arial" w:hAnsi="Arial" w:cs="Arial"/>
        </w:rPr>
        <w:t xml:space="preserve"> The mean number of dead nauplii increased proportionally with concentration, indicating a strong dose–response relationship. The median lethal concentration (LC</w:t>
      </w:r>
      <w:r w:rsidRPr="00F327FB">
        <w:rPr>
          <w:rFonts w:ascii="Cambria Math" w:hAnsi="Cambria Math" w:cs="Cambria Math"/>
        </w:rPr>
        <w:t>₅₀</w:t>
      </w:r>
      <w:r w:rsidRPr="00F327FB">
        <w:rPr>
          <w:rFonts w:ascii="Arial" w:hAnsi="Arial" w:cs="Arial"/>
        </w:rPr>
        <w:t>), calculated by linear interpolation between 100 µg/mL (40% mortality) and 250 µg/mL (60% mortality), was determined to be 175 µg/</w:t>
      </w:r>
      <w:proofErr w:type="spellStart"/>
      <w:r w:rsidRPr="00F327FB">
        <w:rPr>
          <w:rFonts w:ascii="Arial" w:hAnsi="Arial" w:cs="Arial"/>
        </w:rPr>
        <w:t>mL.</w:t>
      </w:r>
      <w:proofErr w:type="spellEnd"/>
      <w:r w:rsidRPr="00F327FB">
        <w:rPr>
          <w:rFonts w:ascii="Arial" w:hAnsi="Arial" w:cs="Arial"/>
        </w:rPr>
        <w:t xml:space="preserve"> The 95% confidence interval ranged from 160 to 190 µg/</w:t>
      </w:r>
      <w:proofErr w:type="spellStart"/>
      <w:r w:rsidRPr="00F327FB">
        <w:rPr>
          <w:rFonts w:ascii="Arial" w:hAnsi="Arial" w:cs="Arial"/>
        </w:rPr>
        <w:t>mL.</w:t>
      </w:r>
      <w:proofErr w:type="spellEnd"/>
      <w:r w:rsidRPr="00F327FB">
        <w:rPr>
          <w:rFonts w:ascii="Arial" w:hAnsi="Arial" w:cs="Arial"/>
        </w:rPr>
        <w:t xml:space="preserve"> This value indicates moderate cytotoxic activity of the rhizome scale extract against </w:t>
      </w:r>
      <w:r w:rsidRPr="00F327FB">
        <w:rPr>
          <w:rFonts w:ascii="Arial" w:hAnsi="Arial" w:cs="Arial"/>
          <w:i/>
          <w:iCs/>
        </w:rPr>
        <w:t>Artemia salina</w:t>
      </w:r>
      <w:r w:rsidRPr="00F327FB">
        <w:rPr>
          <w:rFonts w:ascii="Arial" w:hAnsi="Arial" w:cs="Arial"/>
        </w:rPr>
        <w:t xml:space="preserve">. </w:t>
      </w:r>
    </w:p>
    <w:p w14:paraId="6A441C09" w14:textId="77777777" w:rsidR="00F327FB" w:rsidRDefault="00F327FB" w:rsidP="00F327FB">
      <w:pPr>
        <w:jc w:val="both"/>
        <w:rPr>
          <w:rFonts w:ascii="Arial" w:hAnsi="Arial" w:cs="Arial"/>
        </w:rPr>
      </w:pPr>
    </w:p>
    <w:p w14:paraId="51F465DA" w14:textId="77777777" w:rsidR="00F327FB" w:rsidRPr="00F327FB" w:rsidRDefault="00F327FB" w:rsidP="00F327FB">
      <w:pPr>
        <w:jc w:val="both"/>
        <w:rPr>
          <w:rFonts w:ascii="Arial" w:hAnsi="Arial" w:cs="Arial"/>
        </w:rPr>
      </w:pPr>
    </w:p>
    <w:p w14:paraId="27F43B35" w14:textId="77777777" w:rsidR="00464F18" w:rsidRPr="00F327FB" w:rsidRDefault="00464F18" w:rsidP="00F327FB">
      <w:pPr>
        <w:jc w:val="both"/>
        <w:rPr>
          <w:rFonts w:ascii="Arial" w:hAnsi="Arial" w:cs="Arial"/>
          <w:b/>
          <w:bCs/>
        </w:rPr>
      </w:pPr>
      <w:r w:rsidRPr="00F327FB">
        <w:rPr>
          <w:rFonts w:ascii="Arial" w:hAnsi="Arial" w:cs="Arial"/>
          <w:b/>
          <w:bCs/>
        </w:rPr>
        <w:t xml:space="preserve">Table -4. Concentration-dependent mortality of </w:t>
      </w:r>
      <w:r w:rsidRPr="00F327FB">
        <w:rPr>
          <w:rFonts w:ascii="Arial" w:hAnsi="Arial" w:cs="Arial"/>
          <w:b/>
          <w:bCs/>
          <w:i/>
          <w:iCs/>
        </w:rPr>
        <w:t>Artemia salina</w:t>
      </w:r>
      <w:r w:rsidRPr="00F327FB">
        <w:rPr>
          <w:rFonts w:ascii="Arial" w:hAnsi="Arial" w:cs="Arial"/>
          <w:b/>
          <w:bCs/>
        </w:rPr>
        <w:t xml:space="preserve"> exposed to the aqueous extract of </w:t>
      </w:r>
      <w:proofErr w:type="spellStart"/>
      <w:r w:rsidRPr="00F327FB">
        <w:rPr>
          <w:rFonts w:ascii="Arial" w:hAnsi="Arial" w:cs="Arial"/>
          <w:b/>
          <w:bCs/>
          <w:i/>
          <w:iCs/>
        </w:rPr>
        <w:t>Drynaria</w:t>
      </w:r>
      <w:proofErr w:type="spellEnd"/>
      <w:r w:rsidRPr="00F327FB">
        <w:rPr>
          <w:rFonts w:ascii="Arial" w:hAnsi="Arial" w:cs="Arial"/>
          <w:b/>
          <w:bCs/>
          <w:i/>
          <w:iCs/>
        </w:rPr>
        <w:t xml:space="preserve"> </w:t>
      </w:r>
      <w:proofErr w:type="spellStart"/>
      <w:r w:rsidRPr="00F327FB">
        <w:rPr>
          <w:rFonts w:ascii="Arial" w:hAnsi="Arial" w:cs="Arial"/>
          <w:b/>
          <w:bCs/>
          <w:i/>
          <w:iCs/>
        </w:rPr>
        <w:t>quercifolia</w:t>
      </w:r>
      <w:proofErr w:type="spellEnd"/>
      <w:r w:rsidRPr="00F327FB">
        <w:rPr>
          <w:rFonts w:ascii="Arial" w:hAnsi="Arial" w:cs="Arial"/>
          <w:b/>
          <w:bCs/>
        </w:rPr>
        <w:t xml:space="preserve"> rhizome scales.</w:t>
      </w:r>
    </w:p>
    <w:tbl>
      <w:tblPr>
        <w:tblStyle w:val="TableGrid"/>
        <w:tblW w:w="8366" w:type="dxa"/>
        <w:tblLook w:val="04A0" w:firstRow="1" w:lastRow="0" w:firstColumn="1" w:lastColumn="0" w:noHBand="0" w:noVBand="1"/>
      </w:tblPr>
      <w:tblGrid>
        <w:gridCol w:w="2706"/>
        <w:gridCol w:w="2710"/>
        <w:gridCol w:w="2950"/>
      </w:tblGrid>
      <w:tr w:rsidR="00464F18" w:rsidRPr="00F327FB" w14:paraId="676C1781" w14:textId="77777777" w:rsidTr="00F327FB">
        <w:trPr>
          <w:trHeight w:val="262"/>
        </w:trPr>
        <w:tc>
          <w:tcPr>
            <w:tcW w:w="2706" w:type="dxa"/>
            <w:hideMark/>
          </w:tcPr>
          <w:p w14:paraId="5F90200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Concentration (µg/mL)</w:t>
            </w:r>
          </w:p>
        </w:tc>
        <w:tc>
          <w:tcPr>
            <w:tcW w:w="2710" w:type="dxa"/>
            <w:hideMark/>
          </w:tcPr>
          <w:p w14:paraId="37292966"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Mean Dead ± SD</w:t>
            </w:r>
          </w:p>
        </w:tc>
        <w:tc>
          <w:tcPr>
            <w:tcW w:w="2950" w:type="dxa"/>
            <w:hideMark/>
          </w:tcPr>
          <w:p w14:paraId="4125EFC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 Mortality</w:t>
            </w:r>
          </w:p>
        </w:tc>
      </w:tr>
      <w:tr w:rsidR="00464F18" w:rsidRPr="00F327FB" w14:paraId="0D634823" w14:textId="77777777" w:rsidTr="00F327FB">
        <w:trPr>
          <w:trHeight w:val="262"/>
        </w:trPr>
        <w:tc>
          <w:tcPr>
            <w:tcW w:w="2706" w:type="dxa"/>
            <w:hideMark/>
          </w:tcPr>
          <w:p w14:paraId="38CE9FE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w:t>
            </w:r>
          </w:p>
        </w:tc>
        <w:tc>
          <w:tcPr>
            <w:tcW w:w="2710" w:type="dxa"/>
            <w:hideMark/>
          </w:tcPr>
          <w:p w14:paraId="69D869C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12.0 ± 2.65</w:t>
            </w:r>
          </w:p>
        </w:tc>
        <w:tc>
          <w:tcPr>
            <w:tcW w:w="2950" w:type="dxa"/>
            <w:hideMark/>
          </w:tcPr>
          <w:p w14:paraId="2E5EFED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40.0</w:t>
            </w:r>
          </w:p>
        </w:tc>
      </w:tr>
      <w:tr w:rsidR="00464F18" w:rsidRPr="00F327FB" w14:paraId="377FF669" w14:textId="77777777" w:rsidTr="00F327FB">
        <w:trPr>
          <w:trHeight w:val="262"/>
        </w:trPr>
        <w:tc>
          <w:tcPr>
            <w:tcW w:w="2706" w:type="dxa"/>
            <w:hideMark/>
          </w:tcPr>
          <w:p w14:paraId="34D32B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250</w:t>
            </w:r>
          </w:p>
        </w:tc>
        <w:tc>
          <w:tcPr>
            <w:tcW w:w="2710" w:type="dxa"/>
            <w:hideMark/>
          </w:tcPr>
          <w:p w14:paraId="2446FCF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18.0 ± 2.00</w:t>
            </w:r>
          </w:p>
        </w:tc>
        <w:tc>
          <w:tcPr>
            <w:tcW w:w="2950" w:type="dxa"/>
            <w:hideMark/>
          </w:tcPr>
          <w:p w14:paraId="5262E88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60.0</w:t>
            </w:r>
          </w:p>
        </w:tc>
      </w:tr>
      <w:tr w:rsidR="00464F18" w:rsidRPr="00F327FB" w14:paraId="7849DC46" w14:textId="77777777" w:rsidTr="00F327FB">
        <w:trPr>
          <w:trHeight w:val="262"/>
        </w:trPr>
        <w:tc>
          <w:tcPr>
            <w:tcW w:w="2706" w:type="dxa"/>
            <w:hideMark/>
          </w:tcPr>
          <w:p w14:paraId="431CF2C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500</w:t>
            </w:r>
          </w:p>
        </w:tc>
        <w:tc>
          <w:tcPr>
            <w:tcW w:w="2710" w:type="dxa"/>
            <w:hideMark/>
          </w:tcPr>
          <w:p w14:paraId="489ADE4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23.0 ± 2.00</w:t>
            </w:r>
          </w:p>
        </w:tc>
        <w:tc>
          <w:tcPr>
            <w:tcW w:w="2950" w:type="dxa"/>
            <w:hideMark/>
          </w:tcPr>
          <w:p w14:paraId="784E8B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76.7</w:t>
            </w:r>
          </w:p>
        </w:tc>
      </w:tr>
      <w:tr w:rsidR="00464F18" w:rsidRPr="00F327FB" w14:paraId="61E69032" w14:textId="77777777" w:rsidTr="00F327FB">
        <w:trPr>
          <w:trHeight w:val="262"/>
        </w:trPr>
        <w:tc>
          <w:tcPr>
            <w:tcW w:w="2706" w:type="dxa"/>
            <w:hideMark/>
          </w:tcPr>
          <w:p w14:paraId="44946D8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1000</w:t>
            </w:r>
          </w:p>
        </w:tc>
        <w:tc>
          <w:tcPr>
            <w:tcW w:w="2710" w:type="dxa"/>
            <w:hideMark/>
          </w:tcPr>
          <w:p w14:paraId="0D3AB6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26.3 ± 1.15</w:t>
            </w:r>
          </w:p>
        </w:tc>
        <w:tc>
          <w:tcPr>
            <w:tcW w:w="2950" w:type="dxa"/>
            <w:hideMark/>
          </w:tcPr>
          <w:p w14:paraId="2086794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87.7</w:t>
            </w:r>
          </w:p>
        </w:tc>
      </w:tr>
      <w:tr w:rsidR="00464F18" w:rsidRPr="00F327FB" w14:paraId="43F9B5DA" w14:textId="77777777" w:rsidTr="00F327FB">
        <w:trPr>
          <w:trHeight w:val="262"/>
        </w:trPr>
        <w:tc>
          <w:tcPr>
            <w:tcW w:w="2706" w:type="dxa"/>
            <w:hideMark/>
          </w:tcPr>
          <w:p w14:paraId="6536C95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1500</w:t>
            </w:r>
          </w:p>
        </w:tc>
        <w:tc>
          <w:tcPr>
            <w:tcW w:w="2710" w:type="dxa"/>
            <w:hideMark/>
          </w:tcPr>
          <w:p w14:paraId="01D7267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29.7 ± 0.58</w:t>
            </w:r>
          </w:p>
        </w:tc>
        <w:tc>
          <w:tcPr>
            <w:tcW w:w="2950" w:type="dxa"/>
            <w:hideMark/>
          </w:tcPr>
          <w:p w14:paraId="35EC440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99.0</w:t>
            </w:r>
          </w:p>
        </w:tc>
      </w:tr>
    </w:tbl>
    <w:p w14:paraId="5DC254B8" w14:textId="77777777" w:rsidR="00464F18" w:rsidRPr="00F327FB" w:rsidRDefault="00464F18" w:rsidP="00F327FB">
      <w:pPr>
        <w:jc w:val="both"/>
        <w:rPr>
          <w:rFonts w:ascii="Arial" w:hAnsi="Arial" w:cs="Arial"/>
          <w:i/>
          <w:iCs/>
        </w:rPr>
      </w:pPr>
      <w:r w:rsidRPr="00F327FB">
        <w:rPr>
          <w:rFonts w:ascii="Arial" w:hAnsi="Arial" w:cs="Arial"/>
          <w:i/>
          <w:iCs/>
        </w:rPr>
        <w:t>LC</w:t>
      </w:r>
      <w:r w:rsidRPr="00F327FB">
        <w:rPr>
          <w:rFonts w:ascii="Cambria Math" w:hAnsi="Cambria Math" w:cs="Cambria Math"/>
          <w:i/>
          <w:iCs/>
        </w:rPr>
        <w:t>₅₀</w:t>
      </w:r>
      <w:r w:rsidRPr="00F327FB">
        <w:rPr>
          <w:rFonts w:ascii="Arial" w:hAnsi="Arial" w:cs="Arial"/>
          <w:i/>
          <w:iCs/>
        </w:rPr>
        <w:t xml:space="preserve"> (by interpolation between 100 and 250 µg/mL) = 175 µg/mL</w:t>
      </w:r>
    </w:p>
    <w:p w14:paraId="0338FF99" w14:textId="77777777" w:rsidR="00464F18" w:rsidRDefault="00464F18" w:rsidP="00F327FB">
      <w:pPr>
        <w:jc w:val="both"/>
        <w:rPr>
          <w:rFonts w:ascii="Arial" w:hAnsi="Arial" w:cs="Arial"/>
          <w:i/>
          <w:iCs/>
        </w:rPr>
      </w:pPr>
      <w:r w:rsidRPr="00F327FB">
        <w:rPr>
          <w:rFonts w:ascii="Arial" w:hAnsi="Arial" w:cs="Arial"/>
          <w:i/>
          <w:iCs/>
        </w:rPr>
        <w:t>Values are expressed as Mean± SD(n=3).</w:t>
      </w:r>
    </w:p>
    <w:p w14:paraId="3CB24183" w14:textId="77777777" w:rsidR="00F327FB" w:rsidRDefault="00F327FB" w:rsidP="00F327FB">
      <w:pPr>
        <w:jc w:val="both"/>
        <w:rPr>
          <w:rFonts w:ascii="Arial" w:hAnsi="Arial" w:cs="Arial"/>
          <w:i/>
          <w:iCs/>
        </w:rPr>
      </w:pPr>
    </w:p>
    <w:p w14:paraId="1D880986" w14:textId="77777777" w:rsidR="00464F18" w:rsidRDefault="00464F18" w:rsidP="00F327FB">
      <w:pPr>
        <w:jc w:val="both"/>
        <w:rPr>
          <w:rFonts w:ascii="Arial" w:hAnsi="Arial" w:cs="Arial"/>
        </w:rPr>
      </w:pPr>
      <w:r w:rsidRPr="00F327FB">
        <w:rPr>
          <w:rFonts w:ascii="Arial" w:hAnsi="Arial" w:cs="Arial"/>
        </w:rPr>
        <w:t xml:space="preserve">The brine shrimp lethality assay is widely recognized as a rapid screening method for detecting cytotoxic compounds in plant extracts (Meyer </w:t>
      </w:r>
      <w:r w:rsidRPr="00F327FB">
        <w:rPr>
          <w:rFonts w:ascii="Arial" w:hAnsi="Arial" w:cs="Arial"/>
          <w:i/>
          <w:iCs/>
        </w:rPr>
        <w:t>et al.,</w:t>
      </w:r>
      <w:r w:rsidRPr="00F327FB">
        <w:rPr>
          <w:rFonts w:ascii="Arial" w:hAnsi="Arial" w:cs="Arial"/>
        </w:rPr>
        <w:t xml:space="preserve"> 1982; Hamidi </w:t>
      </w:r>
      <w:r w:rsidRPr="00F327FB">
        <w:rPr>
          <w:rFonts w:ascii="Arial" w:hAnsi="Arial" w:cs="Arial"/>
          <w:i/>
          <w:iCs/>
        </w:rPr>
        <w:t>et al.,</w:t>
      </w:r>
      <w:r w:rsidRPr="00F327FB">
        <w:rPr>
          <w:rFonts w:ascii="Arial" w:hAnsi="Arial" w:cs="Arial"/>
        </w:rPr>
        <w:t xml:space="preserve"> 2014). The moderate LC</w:t>
      </w:r>
      <w:r w:rsidRPr="00F327FB">
        <w:rPr>
          <w:rFonts w:ascii="Cambria Math" w:hAnsi="Cambria Math" w:cs="Cambria Math"/>
        </w:rPr>
        <w:t>₅₀</w:t>
      </w:r>
      <w:r w:rsidRPr="00F327FB">
        <w:rPr>
          <w:rFonts w:ascii="Arial" w:hAnsi="Arial" w:cs="Arial"/>
        </w:rPr>
        <w:t xml:space="preserve"> value observed in the present study indicates the presence of biologically active compounds within the rhizome scale extract. Such activity may reflect the defensive chemical nature of outer plant tissues.</w:t>
      </w:r>
    </w:p>
    <w:p w14:paraId="06E21660" w14:textId="77777777" w:rsidR="00F327FB" w:rsidRPr="00F327FB" w:rsidRDefault="00F327FB" w:rsidP="00F327FB">
      <w:pPr>
        <w:jc w:val="both"/>
        <w:rPr>
          <w:rFonts w:ascii="Arial" w:hAnsi="Arial" w:cs="Arial"/>
        </w:rPr>
      </w:pPr>
    </w:p>
    <w:p w14:paraId="2A81194C" w14:textId="77777777" w:rsidR="00464F18" w:rsidRDefault="00464F18" w:rsidP="00F327FB">
      <w:pPr>
        <w:jc w:val="both"/>
        <w:rPr>
          <w:rFonts w:ascii="Arial" w:hAnsi="Arial" w:cs="Arial"/>
          <w:b/>
          <w:bCs/>
          <w:sz w:val="22"/>
          <w:szCs w:val="22"/>
        </w:rPr>
      </w:pPr>
      <w:r w:rsidRPr="00F327FB">
        <w:rPr>
          <w:rFonts w:ascii="Arial" w:hAnsi="Arial" w:cs="Arial"/>
          <w:b/>
          <w:bCs/>
          <w:sz w:val="22"/>
          <w:szCs w:val="22"/>
        </w:rPr>
        <w:t>3.6 Daphnia magna Acute Toxicity Results</w:t>
      </w:r>
    </w:p>
    <w:p w14:paraId="35B449D5" w14:textId="77777777" w:rsidR="00F327FB" w:rsidRDefault="00F327FB" w:rsidP="00F327FB">
      <w:pPr>
        <w:jc w:val="both"/>
        <w:rPr>
          <w:rFonts w:ascii="Arial" w:hAnsi="Arial" w:cs="Arial"/>
          <w:b/>
          <w:bCs/>
          <w:sz w:val="22"/>
          <w:szCs w:val="22"/>
        </w:rPr>
      </w:pPr>
    </w:p>
    <w:p w14:paraId="60814652" w14:textId="77777777" w:rsidR="00464F18" w:rsidRDefault="00464F18" w:rsidP="00F327FB">
      <w:pPr>
        <w:jc w:val="both"/>
        <w:rPr>
          <w:rFonts w:ascii="Arial" w:hAnsi="Arial" w:cs="Arial"/>
        </w:rPr>
      </w:pPr>
      <w:r w:rsidRPr="00F327FB">
        <w:rPr>
          <w:rFonts w:ascii="Arial" w:hAnsi="Arial" w:cs="Arial"/>
        </w:rPr>
        <w:t xml:space="preserve">Exposure of </w:t>
      </w:r>
      <w:r w:rsidRPr="00F327FB">
        <w:rPr>
          <w:rFonts w:ascii="Arial" w:hAnsi="Arial" w:cs="Arial"/>
          <w:i/>
          <w:iCs/>
        </w:rPr>
        <w:t>Daphnia magna</w:t>
      </w:r>
      <w:r w:rsidRPr="00F327FB">
        <w:rPr>
          <w:rFonts w:ascii="Arial" w:hAnsi="Arial" w:cs="Arial"/>
        </w:rPr>
        <w:t xml:space="preserve"> to the aqueous extract of </w:t>
      </w:r>
      <w:proofErr w:type="spellStart"/>
      <w:r w:rsidRPr="00F327FB">
        <w:rPr>
          <w:rFonts w:ascii="Arial" w:hAnsi="Arial" w:cs="Arial"/>
          <w:i/>
          <w:iCs/>
        </w:rPr>
        <w:t>Drynaria</w:t>
      </w:r>
      <w:proofErr w:type="spellEnd"/>
      <w:r w:rsidRPr="00F327FB">
        <w:rPr>
          <w:rFonts w:ascii="Arial" w:hAnsi="Arial" w:cs="Arial"/>
          <w:i/>
          <w:iCs/>
        </w:rPr>
        <w:t xml:space="preserve"> </w:t>
      </w:r>
      <w:proofErr w:type="spellStart"/>
      <w:r w:rsidRPr="00F327FB">
        <w:rPr>
          <w:rFonts w:ascii="Arial" w:hAnsi="Arial" w:cs="Arial"/>
          <w:i/>
          <w:iCs/>
        </w:rPr>
        <w:t>quercifolia</w:t>
      </w:r>
      <w:proofErr w:type="spellEnd"/>
      <w:r w:rsidRPr="00F327FB">
        <w:rPr>
          <w:rFonts w:ascii="Arial" w:hAnsi="Arial" w:cs="Arial"/>
        </w:rPr>
        <w:t xml:space="preserve"> rhizome scales resulted in a concentration-dependent decrease in survival over 72 h(Table-5). Survival decreased progressively from 96.6% at 100 µg/mL to 40.5% at 1500 µg/</w:t>
      </w:r>
      <w:proofErr w:type="spellStart"/>
      <w:r w:rsidRPr="00F327FB">
        <w:rPr>
          <w:rFonts w:ascii="Arial" w:hAnsi="Arial" w:cs="Arial"/>
        </w:rPr>
        <w:t>mL.</w:t>
      </w:r>
      <w:proofErr w:type="spellEnd"/>
      <w:r w:rsidRPr="00F327FB">
        <w:rPr>
          <w:rFonts w:ascii="Arial" w:hAnsi="Arial" w:cs="Arial"/>
        </w:rPr>
        <w:t xml:space="preserve"> Intermediate concentrations exhibited survival rates of 91.1% at 250 µg/mL, 83.3% at 500 µg/mL, and 72.2% at 1000 µg/</w:t>
      </w:r>
      <w:proofErr w:type="spellStart"/>
      <w:r w:rsidRPr="00F327FB">
        <w:rPr>
          <w:rFonts w:ascii="Arial" w:hAnsi="Arial" w:cs="Arial"/>
        </w:rPr>
        <w:t>mL.</w:t>
      </w:r>
      <w:proofErr w:type="spellEnd"/>
      <w:r w:rsidRPr="00F327FB">
        <w:rPr>
          <w:rFonts w:ascii="Arial" w:hAnsi="Arial" w:cs="Arial"/>
        </w:rPr>
        <w:t xml:space="preserve"> The percentage inhibition of survival increased correspondingly, reaching 59.5% at the highest tested concentration. The median effective concentration (EC</w:t>
      </w:r>
      <w:r w:rsidRPr="00F327FB">
        <w:rPr>
          <w:rFonts w:ascii="Cambria Math" w:hAnsi="Cambria Math" w:cs="Cambria Math"/>
        </w:rPr>
        <w:t>₅₀</w:t>
      </w:r>
      <w:r w:rsidRPr="00F327FB">
        <w:rPr>
          <w:rFonts w:ascii="Arial" w:hAnsi="Arial" w:cs="Arial"/>
        </w:rPr>
        <w:t>), calculated by linear interpolation between 1000 µg/mL (27.8% inhibition) and 1500 µg/mL (59.5% inhibition), was estimated to be approximately 1350 µg/</w:t>
      </w:r>
      <w:proofErr w:type="spellStart"/>
      <w:r w:rsidRPr="00F327FB">
        <w:rPr>
          <w:rFonts w:ascii="Arial" w:hAnsi="Arial" w:cs="Arial"/>
        </w:rPr>
        <w:t>mL.</w:t>
      </w:r>
      <w:proofErr w:type="spellEnd"/>
      <w:r w:rsidRPr="00F327FB">
        <w:rPr>
          <w:rFonts w:ascii="Arial" w:hAnsi="Arial" w:cs="Arial"/>
        </w:rPr>
        <w:t xml:space="preserve"> 95% of confidence limits were observed between 1200–1550 µg/mL</w:t>
      </w:r>
    </w:p>
    <w:p w14:paraId="5A739EBD" w14:textId="77777777" w:rsidR="00F327FB" w:rsidRPr="00F327FB" w:rsidRDefault="00F327FB" w:rsidP="00F327FB">
      <w:pPr>
        <w:jc w:val="both"/>
        <w:rPr>
          <w:rFonts w:ascii="Arial" w:hAnsi="Arial" w:cs="Arial"/>
        </w:rPr>
      </w:pPr>
    </w:p>
    <w:p w14:paraId="209DA888" w14:textId="77777777" w:rsidR="00464F18" w:rsidRDefault="00464F18" w:rsidP="00F327FB">
      <w:pPr>
        <w:jc w:val="both"/>
        <w:rPr>
          <w:rFonts w:ascii="Arial" w:hAnsi="Arial" w:cs="Arial"/>
        </w:rPr>
      </w:pPr>
      <w:r w:rsidRPr="00F327FB">
        <w:rPr>
          <w:rFonts w:ascii="Arial" w:hAnsi="Arial" w:cs="Arial"/>
        </w:rPr>
        <w:t xml:space="preserve">Microscopic examination (Figure-4) revealed concentration-dependent morphological alterations in </w:t>
      </w:r>
      <w:r w:rsidRPr="00F327FB">
        <w:rPr>
          <w:rFonts w:ascii="Arial" w:hAnsi="Arial" w:cs="Arial"/>
          <w:i/>
          <w:iCs/>
        </w:rPr>
        <w:t>Daphnia magna</w:t>
      </w:r>
      <w:r w:rsidRPr="00F327FB">
        <w:rPr>
          <w:rFonts w:ascii="Arial" w:hAnsi="Arial" w:cs="Arial"/>
        </w:rPr>
        <w:t xml:space="preserve">. While control and lower concentrations (100–250 µg/mL) maintained normal structural integrity, higher concentrations (1000–1500 µg/mL) exhibited internal opacity, body deformation, and carapace distortion, with partial rupture observed at </w:t>
      </w:r>
      <w:r w:rsidRPr="00F327FB">
        <w:rPr>
          <w:rFonts w:ascii="Arial" w:hAnsi="Arial" w:cs="Arial"/>
        </w:rPr>
        <w:br/>
        <w:t>1500 µg/</w:t>
      </w:r>
      <w:proofErr w:type="spellStart"/>
      <w:r w:rsidRPr="00F327FB">
        <w:rPr>
          <w:rFonts w:ascii="Arial" w:hAnsi="Arial" w:cs="Arial"/>
        </w:rPr>
        <w:t>mL.</w:t>
      </w:r>
      <w:proofErr w:type="spellEnd"/>
    </w:p>
    <w:p w14:paraId="5B572426" w14:textId="77777777" w:rsidR="00F327FB" w:rsidRDefault="00F327FB" w:rsidP="00F327FB">
      <w:pPr>
        <w:jc w:val="both"/>
        <w:rPr>
          <w:rFonts w:ascii="Arial" w:hAnsi="Arial" w:cs="Arial"/>
        </w:rPr>
      </w:pPr>
    </w:p>
    <w:p w14:paraId="3912AF3B" w14:textId="77777777" w:rsidR="00464F18" w:rsidRPr="00F327FB" w:rsidRDefault="00F327FB" w:rsidP="00F327FB">
      <w:pPr>
        <w:jc w:val="both"/>
        <w:rPr>
          <w:rFonts w:ascii="Arial" w:hAnsi="Arial" w:cs="Arial"/>
        </w:rPr>
      </w:pPr>
      <w:r>
        <w:rPr>
          <w:rFonts w:ascii="Arial" w:hAnsi="Arial" w:cs="Arial"/>
          <w:b/>
          <w:bCs/>
        </w:rPr>
        <w:t xml:space="preserve">Table </w:t>
      </w:r>
      <w:r w:rsidR="00464F18" w:rsidRPr="00F327FB">
        <w:rPr>
          <w:rFonts w:ascii="Arial" w:hAnsi="Arial" w:cs="Arial"/>
          <w:b/>
          <w:bCs/>
        </w:rPr>
        <w:t xml:space="preserve">5. Survival percentage of </w:t>
      </w:r>
      <w:r w:rsidR="00464F18" w:rsidRPr="00F327FB">
        <w:rPr>
          <w:rFonts w:ascii="Arial" w:hAnsi="Arial" w:cs="Arial"/>
          <w:b/>
          <w:bCs/>
          <w:i/>
          <w:iCs/>
        </w:rPr>
        <w:t>Daphnia magna</w:t>
      </w:r>
      <w:r w:rsidR="00464F18" w:rsidRPr="00F327FB">
        <w:rPr>
          <w:rFonts w:ascii="Arial" w:hAnsi="Arial" w:cs="Arial"/>
          <w:b/>
          <w:bCs/>
        </w:rPr>
        <w:t xml:space="preserve"> following 72 h exposure to the aqueous extract of </w:t>
      </w:r>
      <w:proofErr w:type="spellStart"/>
      <w:r w:rsidR="00464F18" w:rsidRPr="00F327FB">
        <w:rPr>
          <w:rFonts w:ascii="Arial" w:hAnsi="Arial" w:cs="Arial"/>
          <w:b/>
          <w:bCs/>
          <w:i/>
          <w:iCs/>
        </w:rPr>
        <w:t>Drynaria</w:t>
      </w:r>
      <w:proofErr w:type="spellEnd"/>
      <w:r w:rsidR="00464F18" w:rsidRPr="00F327FB">
        <w:rPr>
          <w:rFonts w:ascii="Arial" w:hAnsi="Arial" w:cs="Arial"/>
          <w:b/>
          <w:bCs/>
          <w:i/>
          <w:iCs/>
        </w:rPr>
        <w:t xml:space="preserve">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rhizome scales.</w:t>
      </w:r>
    </w:p>
    <w:tbl>
      <w:tblPr>
        <w:tblStyle w:val="TableGrid"/>
        <w:tblW w:w="8291" w:type="dxa"/>
        <w:tblLook w:val="04A0" w:firstRow="1" w:lastRow="0" w:firstColumn="1" w:lastColumn="0" w:noHBand="0" w:noVBand="1"/>
      </w:tblPr>
      <w:tblGrid>
        <w:gridCol w:w="3072"/>
        <w:gridCol w:w="2707"/>
        <w:gridCol w:w="2512"/>
      </w:tblGrid>
      <w:tr w:rsidR="00464F18" w:rsidRPr="00F327FB" w14:paraId="58930428" w14:textId="77777777" w:rsidTr="00F327FB">
        <w:trPr>
          <w:trHeight w:val="261"/>
        </w:trPr>
        <w:tc>
          <w:tcPr>
            <w:tcW w:w="3072" w:type="dxa"/>
            <w:hideMark/>
          </w:tcPr>
          <w:p w14:paraId="1CD933B7"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Concentration (µg/mL)</w:t>
            </w:r>
          </w:p>
        </w:tc>
        <w:tc>
          <w:tcPr>
            <w:tcW w:w="2707" w:type="dxa"/>
            <w:hideMark/>
          </w:tcPr>
          <w:p w14:paraId="53A1BFAF"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Survival (%)</w:t>
            </w:r>
          </w:p>
        </w:tc>
        <w:tc>
          <w:tcPr>
            <w:tcW w:w="2511" w:type="dxa"/>
            <w:hideMark/>
          </w:tcPr>
          <w:p w14:paraId="7F436BFF"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Inhibition (%)</w:t>
            </w:r>
          </w:p>
        </w:tc>
      </w:tr>
      <w:tr w:rsidR="00464F18" w:rsidRPr="00F327FB" w14:paraId="53986958" w14:textId="77777777" w:rsidTr="00F327FB">
        <w:trPr>
          <w:trHeight w:val="261"/>
        </w:trPr>
        <w:tc>
          <w:tcPr>
            <w:tcW w:w="3072" w:type="dxa"/>
            <w:hideMark/>
          </w:tcPr>
          <w:p w14:paraId="1B13496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w:t>
            </w:r>
          </w:p>
        </w:tc>
        <w:tc>
          <w:tcPr>
            <w:tcW w:w="2707" w:type="dxa"/>
            <w:hideMark/>
          </w:tcPr>
          <w:p w14:paraId="4DF2AF5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96.6</w:t>
            </w:r>
            <w:r w:rsidRPr="00F327FB">
              <w:rPr>
                <w:rFonts w:ascii="Arial" w:eastAsia="Times New Roman" w:hAnsi="Arial" w:cs="Arial"/>
                <w:b/>
                <w:bCs/>
                <w:sz w:val="20"/>
                <w:szCs w:val="20"/>
                <w:lang w:bidi="ta-IN"/>
              </w:rPr>
              <w:t xml:space="preserve">± </w:t>
            </w:r>
            <w:r w:rsidRPr="00F327FB">
              <w:rPr>
                <w:rFonts w:ascii="Arial" w:eastAsia="Times New Roman" w:hAnsi="Arial" w:cs="Arial"/>
                <w:sz w:val="20"/>
                <w:szCs w:val="20"/>
                <w:lang w:bidi="ta-IN"/>
              </w:rPr>
              <w:t>3.35</w:t>
            </w:r>
          </w:p>
        </w:tc>
        <w:tc>
          <w:tcPr>
            <w:tcW w:w="2511" w:type="dxa"/>
            <w:hideMark/>
          </w:tcPr>
          <w:p w14:paraId="723E1AD6"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3.4</w:t>
            </w:r>
          </w:p>
        </w:tc>
      </w:tr>
      <w:tr w:rsidR="00464F18" w:rsidRPr="00F327FB" w14:paraId="3323BD47" w14:textId="77777777" w:rsidTr="00F327FB">
        <w:trPr>
          <w:trHeight w:val="261"/>
        </w:trPr>
        <w:tc>
          <w:tcPr>
            <w:tcW w:w="3072" w:type="dxa"/>
            <w:hideMark/>
          </w:tcPr>
          <w:p w14:paraId="190E3A8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250</w:t>
            </w:r>
          </w:p>
        </w:tc>
        <w:tc>
          <w:tcPr>
            <w:tcW w:w="2707" w:type="dxa"/>
            <w:hideMark/>
          </w:tcPr>
          <w:p w14:paraId="51E6F8B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91.1</w:t>
            </w:r>
            <w:r w:rsidRPr="00F327FB">
              <w:rPr>
                <w:rFonts w:ascii="Arial" w:hAnsi="Arial" w:cs="Arial"/>
                <w:b/>
                <w:bCs/>
                <w:sz w:val="20"/>
                <w:szCs w:val="20"/>
              </w:rPr>
              <w:t xml:space="preserve">± </w:t>
            </w:r>
            <w:r w:rsidRPr="00F327FB">
              <w:rPr>
                <w:rFonts w:ascii="Arial" w:hAnsi="Arial" w:cs="Arial"/>
                <w:sz w:val="20"/>
                <w:szCs w:val="20"/>
              </w:rPr>
              <w:t>1.91</w:t>
            </w:r>
          </w:p>
        </w:tc>
        <w:tc>
          <w:tcPr>
            <w:tcW w:w="2511" w:type="dxa"/>
            <w:hideMark/>
          </w:tcPr>
          <w:p w14:paraId="24DFA75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8.9</w:t>
            </w:r>
          </w:p>
        </w:tc>
      </w:tr>
      <w:tr w:rsidR="00464F18" w:rsidRPr="00F327FB" w14:paraId="149F0536" w14:textId="77777777" w:rsidTr="00F327FB">
        <w:trPr>
          <w:trHeight w:val="261"/>
        </w:trPr>
        <w:tc>
          <w:tcPr>
            <w:tcW w:w="3072" w:type="dxa"/>
            <w:hideMark/>
          </w:tcPr>
          <w:p w14:paraId="7D210C4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500</w:t>
            </w:r>
          </w:p>
        </w:tc>
        <w:tc>
          <w:tcPr>
            <w:tcW w:w="2707" w:type="dxa"/>
            <w:hideMark/>
          </w:tcPr>
          <w:p w14:paraId="77E0140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83.3</w:t>
            </w:r>
            <w:r w:rsidRPr="00F327FB">
              <w:rPr>
                <w:rFonts w:ascii="Arial" w:eastAsia="Times New Roman" w:hAnsi="Arial" w:cs="Arial"/>
                <w:b/>
                <w:bCs/>
                <w:sz w:val="20"/>
                <w:szCs w:val="20"/>
                <w:lang w:bidi="ta-IN"/>
              </w:rPr>
              <w:t xml:space="preserve">± </w:t>
            </w:r>
            <w:r w:rsidRPr="00F327FB">
              <w:rPr>
                <w:rFonts w:ascii="Arial" w:eastAsia="Times New Roman" w:hAnsi="Arial" w:cs="Arial"/>
                <w:sz w:val="20"/>
                <w:szCs w:val="20"/>
                <w:lang w:bidi="ta-IN"/>
              </w:rPr>
              <w:t>3.33</w:t>
            </w:r>
          </w:p>
        </w:tc>
        <w:tc>
          <w:tcPr>
            <w:tcW w:w="2511" w:type="dxa"/>
            <w:hideMark/>
          </w:tcPr>
          <w:p w14:paraId="6A6DE2B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16.7</w:t>
            </w:r>
          </w:p>
        </w:tc>
      </w:tr>
      <w:tr w:rsidR="00464F18" w:rsidRPr="00F327FB" w14:paraId="7D73EEF1" w14:textId="77777777" w:rsidTr="00F327FB">
        <w:trPr>
          <w:trHeight w:val="261"/>
        </w:trPr>
        <w:tc>
          <w:tcPr>
            <w:tcW w:w="3072" w:type="dxa"/>
            <w:hideMark/>
          </w:tcPr>
          <w:p w14:paraId="339798B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1000</w:t>
            </w:r>
          </w:p>
        </w:tc>
        <w:tc>
          <w:tcPr>
            <w:tcW w:w="2707" w:type="dxa"/>
            <w:hideMark/>
          </w:tcPr>
          <w:p w14:paraId="59CABC36"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72.2</w:t>
            </w:r>
            <w:r w:rsidRPr="00F327FB">
              <w:rPr>
                <w:rFonts w:ascii="Arial" w:hAnsi="Arial" w:cs="Arial"/>
                <w:b/>
                <w:bCs/>
                <w:sz w:val="20"/>
                <w:szCs w:val="20"/>
              </w:rPr>
              <w:t xml:space="preserve">± </w:t>
            </w:r>
            <w:r w:rsidRPr="00F327FB">
              <w:rPr>
                <w:rFonts w:ascii="Arial" w:hAnsi="Arial" w:cs="Arial"/>
                <w:sz w:val="20"/>
                <w:szCs w:val="20"/>
              </w:rPr>
              <w:t>5.05</w:t>
            </w:r>
          </w:p>
        </w:tc>
        <w:tc>
          <w:tcPr>
            <w:tcW w:w="2511" w:type="dxa"/>
            <w:hideMark/>
          </w:tcPr>
          <w:p w14:paraId="51A336A3"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27.8</w:t>
            </w:r>
          </w:p>
        </w:tc>
      </w:tr>
      <w:tr w:rsidR="00464F18" w:rsidRPr="00F327FB" w14:paraId="6D56D1C4" w14:textId="77777777" w:rsidTr="00F327FB">
        <w:trPr>
          <w:trHeight w:val="261"/>
        </w:trPr>
        <w:tc>
          <w:tcPr>
            <w:tcW w:w="3072" w:type="dxa"/>
            <w:hideMark/>
          </w:tcPr>
          <w:p w14:paraId="63A28AA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1500</w:t>
            </w:r>
          </w:p>
        </w:tc>
        <w:tc>
          <w:tcPr>
            <w:tcW w:w="2707" w:type="dxa"/>
            <w:hideMark/>
          </w:tcPr>
          <w:p w14:paraId="6DAF549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40.5</w:t>
            </w:r>
            <w:r w:rsidRPr="00F327FB">
              <w:rPr>
                <w:rFonts w:ascii="Arial" w:hAnsi="Arial" w:cs="Arial"/>
                <w:b/>
                <w:bCs/>
                <w:sz w:val="20"/>
                <w:szCs w:val="20"/>
              </w:rPr>
              <w:t xml:space="preserve">± </w:t>
            </w:r>
            <w:r w:rsidRPr="00F327FB">
              <w:rPr>
                <w:rFonts w:ascii="Arial" w:hAnsi="Arial" w:cs="Arial"/>
                <w:sz w:val="20"/>
                <w:szCs w:val="20"/>
              </w:rPr>
              <w:t>5.05</w:t>
            </w:r>
          </w:p>
        </w:tc>
        <w:tc>
          <w:tcPr>
            <w:tcW w:w="2511" w:type="dxa"/>
            <w:hideMark/>
          </w:tcPr>
          <w:p w14:paraId="7A4CBF6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59.5</w:t>
            </w:r>
          </w:p>
        </w:tc>
      </w:tr>
      <w:tr w:rsidR="00464F18" w:rsidRPr="00F327FB" w14:paraId="1F0A3D78" w14:textId="77777777" w:rsidTr="00F327FB">
        <w:trPr>
          <w:trHeight w:val="261"/>
        </w:trPr>
        <w:tc>
          <w:tcPr>
            <w:tcW w:w="8291" w:type="dxa"/>
            <w:gridSpan w:val="3"/>
          </w:tcPr>
          <w:p w14:paraId="36BA2AD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EC</w:t>
            </w:r>
            <w:r w:rsidRPr="00F327FB">
              <w:rPr>
                <w:rFonts w:ascii="Cambria Math" w:eastAsia="Times New Roman" w:hAnsi="Cambria Math" w:cs="Cambria Math"/>
                <w:sz w:val="20"/>
                <w:szCs w:val="20"/>
                <w:lang w:bidi="ta-IN"/>
              </w:rPr>
              <w:t>₅₀</w:t>
            </w:r>
            <w:r w:rsidRPr="00F327FB">
              <w:rPr>
                <w:rFonts w:ascii="Arial" w:eastAsia="Times New Roman" w:hAnsi="Arial" w:cs="Arial"/>
                <w:sz w:val="20"/>
                <w:szCs w:val="20"/>
                <w:lang w:bidi="ta-IN"/>
              </w:rPr>
              <w:t xml:space="preserve"> ≈ 1350 µg/mL</w:t>
            </w:r>
          </w:p>
        </w:tc>
      </w:tr>
    </w:tbl>
    <w:p w14:paraId="66E4E362" w14:textId="77777777" w:rsidR="00464F18" w:rsidRPr="00F327FB" w:rsidRDefault="00464F18" w:rsidP="00F327FB">
      <w:pPr>
        <w:jc w:val="both"/>
        <w:rPr>
          <w:rFonts w:ascii="Arial" w:hAnsi="Arial" w:cs="Arial"/>
          <w:i/>
          <w:iCs/>
        </w:rPr>
      </w:pPr>
      <w:r w:rsidRPr="00F327FB">
        <w:rPr>
          <w:rFonts w:ascii="Arial" w:hAnsi="Arial" w:cs="Arial"/>
          <w:i/>
          <w:iCs/>
        </w:rPr>
        <w:t>Values are expressed as Mean± SD where survival percentages recorded at 24,48 and 72 h (n=3)</w:t>
      </w:r>
    </w:p>
    <w:p w14:paraId="75F408AE" w14:textId="77777777" w:rsidR="00F327FB" w:rsidRDefault="00F327FB" w:rsidP="00F327FB">
      <w:pPr>
        <w:jc w:val="both"/>
        <w:rPr>
          <w:rFonts w:ascii="Arial" w:hAnsi="Arial" w:cs="Arial"/>
          <w:i/>
          <w:iCs/>
        </w:rPr>
      </w:pPr>
    </w:p>
    <w:p w14:paraId="2DFDF280" w14:textId="77777777" w:rsidR="00464F18" w:rsidRDefault="00464F18" w:rsidP="00F327FB">
      <w:pPr>
        <w:jc w:val="both"/>
        <w:rPr>
          <w:rFonts w:ascii="Arial" w:hAnsi="Arial" w:cs="Arial"/>
        </w:rPr>
      </w:pPr>
      <w:r w:rsidRPr="00F327FB">
        <w:rPr>
          <w:rFonts w:ascii="Arial" w:hAnsi="Arial" w:cs="Arial"/>
          <w:i/>
          <w:iCs/>
        </w:rPr>
        <w:t>Daphnia magna</w:t>
      </w:r>
      <w:r w:rsidRPr="00F327FB">
        <w:rPr>
          <w:rFonts w:ascii="Arial" w:hAnsi="Arial" w:cs="Arial"/>
        </w:rPr>
        <w:t xml:space="preserve"> is widely recognized as a sensitive freshwater bioindicator species for evaluating aquatic toxicity and environmental hazards of natural or synthetic compounds (OECD, 2004; Morrow </w:t>
      </w:r>
      <w:r w:rsidRPr="00F327FB">
        <w:rPr>
          <w:rFonts w:ascii="Arial" w:hAnsi="Arial" w:cs="Arial"/>
          <w:i/>
          <w:iCs/>
        </w:rPr>
        <w:t>et al.,</w:t>
      </w:r>
      <w:r w:rsidRPr="00F327FB">
        <w:rPr>
          <w:rFonts w:ascii="Arial" w:hAnsi="Arial" w:cs="Arial"/>
        </w:rPr>
        <w:t xml:space="preserve"> 2001). Comparative studies have demonstrated that </w:t>
      </w:r>
      <w:r w:rsidRPr="00F327FB">
        <w:rPr>
          <w:rFonts w:ascii="Arial" w:hAnsi="Arial" w:cs="Arial"/>
          <w:i/>
          <w:iCs/>
        </w:rPr>
        <w:t>Daphnia</w:t>
      </w:r>
      <w:r w:rsidRPr="00F327FB">
        <w:rPr>
          <w:rFonts w:ascii="Arial" w:hAnsi="Arial" w:cs="Arial"/>
        </w:rPr>
        <w:t xml:space="preserve"> species exhibit variable sensitivity depending on the chemical nature of the tested compounds. For example, Buhl </w:t>
      </w:r>
      <w:r w:rsidRPr="00F327FB">
        <w:rPr>
          <w:rFonts w:ascii="Arial" w:hAnsi="Arial" w:cs="Arial"/>
          <w:i/>
          <w:iCs/>
        </w:rPr>
        <w:t>et al.</w:t>
      </w:r>
      <w:r w:rsidRPr="00F327FB">
        <w:rPr>
          <w:rFonts w:ascii="Arial" w:hAnsi="Arial" w:cs="Arial"/>
        </w:rPr>
        <w:t xml:space="preserve">, (1993) reported acute toxicity of the herbicide bromoxynil to </w:t>
      </w:r>
      <w:r w:rsidRPr="00F327FB">
        <w:rPr>
          <w:rFonts w:ascii="Arial" w:hAnsi="Arial" w:cs="Arial"/>
          <w:i/>
          <w:iCs/>
        </w:rPr>
        <w:t>Daphnia magna</w:t>
      </w:r>
      <w:r w:rsidRPr="00F327FB">
        <w:rPr>
          <w:rFonts w:ascii="Arial" w:hAnsi="Arial" w:cs="Arial"/>
        </w:rPr>
        <w:t>, highlighting the high sensitivity of this organism to toxic substances in aquatic environments. In the present study, the comparatively higher EC</w:t>
      </w:r>
      <w:r w:rsidRPr="00F327FB">
        <w:rPr>
          <w:rFonts w:ascii="Cambria Math" w:hAnsi="Cambria Math" w:cs="Cambria Math"/>
        </w:rPr>
        <w:t>₅₀</w:t>
      </w:r>
      <w:r w:rsidRPr="00F327FB">
        <w:rPr>
          <w:rFonts w:ascii="Arial" w:hAnsi="Arial" w:cs="Arial"/>
        </w:rPr>
        <w:t xml:space="preserve"> value observed relative to the </w:t>
      </w:r>
      <w:r w:rsidRPr="00F327FB">
        <w:rPr>
          <w:rFonts w:ascii="Arial" w:hAnsi="Arial" w:cs="Arial"/>
          <w:i/>
          <w:iCs/>
        </w:rPr>
        <w:t>Artemia salina</w:t>
      </w:r>
      <w:r w:rsidRPr="00F327FB">
        <w:rPr>
          <w:rFonts w:ascii="Arial" w:hAnsi="Arial" w:cs="Arial"/>
        </w:rPr>
        <w:t xml:space="preserve"> assay suggests lower sensitivity of </w:t>
      </w:r>
      <w:r w:rsidRPr="00F327FB">
        <w:rPr>
          <w:rFonts w:ascii="Arial" w:hAnsi="Arial" w:cs="Arial"/>
          <w:i/>
          <w:iCs/>
        </w:rPr>
        <w:t>Daphnia</w:t>
      </w:r>
      <w:r w:rsidRPr="00F327FB">
        <w:rPr>
          <w:rFonts w:ascii="Arial" w:hAnsi="Arial" w:cs="Arial"/>
        </w:rPr>
        <w:t xml:space="preserve"> to the rhizome scale extract, although the observed morphological abnormalities confirm measurable biological reactivity. These findings indicate that metabolites present in the outer rhizome scales possess moderate ecotoxicological activity.</w:t>
      </w:r>
    </w:p>
    <w:p w14:paraId="024CD293" w14:textId="77777777" w:rsidR="00F327FB" w:rsidRPr="00F327FB" w:rsidRDefault="00F327FB" w:rsidP="00F327FB">
      <w:pPr>
        <w:jc w:val="both"/>
        <w:rPr>
          <w:rFonts w:ascii="Arial" w:hAnsi="Arial" w:cs="Arial"/>
        </w:rPr>
      </w:pPr>
    </w:p>
    <w:p w14:paraId="5836FC1C" w14:textId="77777777" w:rsidR="00464F18" w:rsidRDefault="00464F18" w:rsidP="00464F18">
      <w:pPr>
        <w:jc w:val="both"/>
        <w:rPr>
          <w:rFonts w:ascii="Times New Roman" w:hAnsi="Times New Roman"/>
          <w:b/>
          <w:bCs/>
          <w:sz w:val="24"/>
          <w:szCs w:val="24"/>
        </w:rPr>
      </w:pPr>
      <w:r w:rsidRPr="00F327FB">
        <w:rPr>
          <w:rFonts w:ascii="Arial" w:hAnsi="Arial" w:cs="Arial"/>
          <w:b/>
          <w:bCs/>
        </w:rPr>
        <w:lastRenderedPageBreak/>
        <w:t xml:space="preserve">Figure-4. Morphological alterations in </w:t>
      </w:r>
      <w:r w:rsidRPr="00F327FB">
        <w:rPr>
          <w:rFonts w:ascii="Arial" w:hAnsi="Arial" w:cs="Arial"/>
          <w:b/>
          <w:bCs/>
          <w:i/>
          <w:iCs/>
        </w:rPr>
        <w:t>Daphnia magna</w:t>
      </w:r>
      <w:r w:rsidRPr="00F327FB">
        <w:rPr>
          <w:rFonts w:ascii="Arial" w:hAnsi="Arial" w:cs="Arial"/>
          <w:b/>
          <w:bCs/>
        </w:rPr>
        <w:t xml:space="preserve"> following 72 h exposure to different concentrations of the aqueous extract of </w:t>
      </w:r>
      <w:proofErr w:type="spellStart"/>
      <w:r w:rsidRPr="00F327FB">
        <w:rPr>
          <w:rFonts w:ascii="Arial" w:hAnsi="Arial" w:cs="Arial"/>
          <w:b/>
          <w:bCs/>
          <w:i/>
          <w:iCs/>
        </w:rPr>
        <w:t>Drynaria</w:t>
      </w:r>
      <w:proofErr w:type="spellEnd"/>
      <w:r w:rsidRPr="00F327FB">
        <w:rPr>
          <w:rFonts w:ascii="Arial" w:hAnsi="Arial" w:cs="Arial"/>
          <w:b/>
          <w:bCs/>
          <w:i/>
          <w:iCs/>
        </w:rPr>
        <w:t xml:space="preserve"> </w:t>
      </w:r>
      <w:proofErr w:type="spellStart"/>
      <w:r w:rsidRPr="00F327FB">
        <w:rPr>
          <w:rFonts w:ascii="Arial" w:hAnsi="Arial" w:cs="Arial"/>
          <w:b/>
          <w:bCs/>
          <w:i/>
          <w:iCs/>
        </w:rPr>
        <w:t>quercifolia</w:t>
      </w:r>
      <w:proofErr w:type="spellEnd"/>
      <w:r w:rsidRPr="00F327FB">
        <w:rPr>
          <w:rFonts w:ascii="Arial" w:hAnsi="Arial" w:cs="Arial"/>
          <w:b/>
          <w:bCs/>
        </w:rPr>
        <w:t xml:space="preserve"> rhizome</w:t>
      </w:r>
      <w:r w:rsidRPr="00190843">
        <w:rPr>
          <w:rFonts w:ascii="Times New Roman" w:hAnsi="Times New Roman"/>
          <w:b/>
          <w:bCs/>
          <w:sz w:val="24"/>
          <w:szCs w:val="24"/>
        </w:rPr>
        <w:t xml:space="preserve"> </w:t>
      </w:r>
      <w:r w:rsidRPr="00F327FB">
        <w:rPr>
          <w:rFonts w:ascii="Arial" w:hAnsi="Arial" w:cs="Arial"/>
          <w:b/>
          <w:bCs/>
        </w:rPr>
        <w:t xml:space="preserve">scales </w:t>
      </w:r>
      <w:r>
        <w:rPr>
          <w:rFonts w:ascii="Times New Roman" w:hAnsi="Times New Roman"/>
          <w:b/>
          <w:bCs/>
          <w:noProof/>
          <w:sz w:val="24"/>
          <w:szCs w:val="24"/>
          <w:lang w:bidi="ta-IN"/>
        </w:rPr>
        <w:drawing>
          <wp:inline distT="0" distB="0" distL="0" distR="0" wp14:anchorId="1056F6C0" wp14:editId="7344E589">
            <wp:extent cx="5210175" cy="2230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021" cy="2239365"/>
                    </a:xfrm>
                    <a:prstGeom prst="rect">
                      <a:avLst/>
                    </a:prstGeom>
                    <a:noFill/>
                  </pic:spPr>
                </pic:pic>
              </a:graphicData>
            </a:graphic>
          </wp:inline>
        </w:drawing>
      </w:r>
    </w:p>
    <w:p w14:paraId="5072AC8B" w14:textId="77777777" w:rsidR="00464F18" w:rsidRPr="00F327FB" w:rsidRDefault="00464F18" w:rsidP="00464F18">
      <w:pPr>
        <w:jc w:val="both"/>
        <w:rPr>
          <w:rFonts w:ascii="Arial" w:hAnsi="Arial" w:cs="Arial"/>
          <w:i/>
          <w:iCs/>
        </w:rPr>
      </w:pPr>
      <w:r w:rsidRPr="00F327FB">
        <w:rPr>
          <w:rFonts w:ascii="Arial" w:hAnsi="Arial" w:cs="Arial"/>
          <w:i/>
          <w:iCs/>
        </w:rPr>
        <w:t>(C: Control; 100, 250, 500, 1000 and 1500 µg/mL).</w:t>
      </w:r>
    </w:p>
    <w:p w14:paraId="5A523054" w14:textId="77777777" w:rsidR="00464F18" w:rsidRPr="005E02D6" w:rsidRDefault="00464F18" w:rsidP="00464F18">
      <w:pPr>
        <w:jc w:val="both"/>
        <w:rPr>
          <w:rFonts w:ascii="Times New Roman" w:hAnsi="Times New Roman"/>
          <w:sz w:val="24"/>
          <w:szCs w:val="24"/>
        </w:rPr>
      </w:pPr>
    </w:p>
    <w:p w14:paraId="1E14EC92" w14:textId="77777777" w:rsidR="00464F18" w:rsidRDefault="00464F18" w:rsidP="00464F18">
      <w:pPr>
        <w:jc w:val="both"/>
        <w:rPr>
          <w:rFonts w:ascii="Arial" w:hAnsi="Arial" w:cs="Arial"/>
          <w:b/>
          <w:bCs/>
          <w:sz w:val="22"/>
          <w:szCs w:val="22"/>
        </w:rPr>
      </w:pPr>
      <w:r w:rsidRPr="00F327FB">
        <w:rPr>
          <w:rFonts w:ascii="Arial" w:hAnsi="Arial" w:cs="Arial"/>
          <w:b/>
          <w:bCs/>
          <w:sz w:val="22"/>
          <w:szCs w:val="22"/>
        </w:rPr>
        <w:t xml:space="preserve">3.7 </w:t>
      </w:r>
      <w:r w:rsidRPr="00F327FB">
        <w:rPr>
          <w:rFonts w:ascii="Arial" w:hAnsi="Arial" w:cs="Arial"/>
          <w:b/>
          <w:bCs/>
          <w:i/>
          <w:iCs/>
          <w:sz w:val="22"/>
          <w:szCs w:val="22"/>
        </w:rPr>
        <w:t>Allium cepa</w:t>
      </w:r>
      <w:r w:rsidRPr="00F327FB">
        <w:rPr>
          <w:rFonts w:ascii="Arial" w:hAnsi="Arial" w:cs="Arial"/>
          <w:b/>
          <w:bCs/>
          <w:sz w:val="22"/>
          <w:szCs w:val="22"/>
        </w:rPr>
        <w:t xml:space="preserve"> Root Tip Assay Results</w:t>
      </w:r>
    </w:p>
    <w:p w14:paraId="23C45FA7" w14:textId="77777777" w:rsidR="00F327FB" w:rsidRPr="00F327FB" w:rsidRDefault="00F327FB" w:rsidP="00464F18">
      <w:pPr>
        <w:jc w:val="both"/>
        <w:rPr>
          <w:rFonts w:ascii="Arial" w:hAnsi="Arial" w:cs="Arial"/>
          <w:b/>
          <w:bCs/>
          <w:sz w:val="22"/>
          <w:szCs w:val="22"/>
        </w:rPr>
      </w:pPr>
    </w:p>
    <w:p w14:paraId="3F964F80" w14:textId="77777777" w:rsidR="00464F18" w:rsidRDefault="00464F18" w:rsidP="00464F18">
      <w:pPr>
        <w:jc w:val="both"/>
        <w:rPr>
          <w:rFonts w:ascii="Arial" w:hAnsi="Arial" w:cs="Arial"/>
          <w:b/>
          <w:bCs/>
          <w:u w:val="single"/>
        </w:rPr>
      </w:pPr>
      <w:r w:rsidRPr="00F327FB">
        <w:rPr>
          <w:rFonts w:ascii="Arial" w:hAnsi="Arial" w:cs="Arial"/>
          <w:b/>
          <w:bCs/>
          <w:u w:val="single"/>
        </w:rPr>
        <w:t>3.7.1 Effect of Aqueous Extract on Mitotic Activity</w:t>
      </w:r>
    </w:p>
    <w:p w14:paraId="0474C66F" w14:textId="77777777" w:rsidR="00CA2B71" w:rsidRDefault="00CA2B71" w:rsidP="00CA2B71">
      <w:pPr>
        <w:jc w:val="both"/>
        <w:rPr>
          <w:rFonts w:ascii="Arial" w:hAnsi="Arial" w:cs="Arial"/>
          <w:b/>
          <w:bCs/>
          <w:u w:val="single"/>
        </w:rPr>
      </w:pPr>
    </w:p>
    <w:p w14:paraId="0EED3724" w14:textId="77777777" w:rsidR="00464F18" w:rsidRDefault="00464F18" w:rsidP="00CA2B71">
      <w:pPr>
        <w:jc w:val="both"/>
        <w:rPr>
          <w:rFonts w:ascii="Arial" w:hAnsi="Arial" w:cs="Arial"/>
        </w:rPr>
      </w:pPr>
      <w:r w:rsidRPr="00F327FB">
        <w:rPr>
          <w:rFonts w:ascii="Arial" w:hAnsi="Arial" w:cs="Arial"/>
        </w:rPr>
        <w:t xml:space="preserve">The cytotoxic effect of the aqueous extract of </w:t>
      </w:r>
      <w:r w:rsidRPr="00F327FB">
        <w:rPr>
          <w:rFonts w:ascii="Arial" w:hAnsi="Arial" w:cs="Arial"/>
          <w:i/>
          <w:iCs/>
        </w:rPr>
        <w:t xml:space="preserve">D. </w:t>
      </w:r>
      <w:proofErr w:type="spellStart"/>
      <w:r w:rsidRPr="00F327FB">
        <w:rPr>
          <w:rFonts w:ascii="Arial" w:hAnsi="Arial" w:cs="Arial"/>
          <w:i/>
          <w:iCs/>
        </w:rPr>
        <w:t>quercifolia</w:t>
      </w:r>
      <w:proofErr w:type="spellEnd"/>
      <w:r w:rsidRPr="00F327FB">
        <w:rPr>
          <w:rFonts w:ascii="Arial" w:hAnsi="Arial" w:cs="Arial"/>
        </w:rPr>
        <w:t xml:space="preserve"> rhizome scales was evaluated using the mitotic index (MI) in </w:t>
      </w:r>
      <w:r w:rsidRPr="00F327FB">
        <w:rPr>
          <w:rFonts w:ascii="Arial" w:hAnsi="Arial" w:cs="Arial"/>
          <w:i/>
          <w:iCs/>
        </w:rPr>
        <w:t>Allium cepa</w:t>
      </w:r>
      <w:r w:rsidRPr="00F327FB">
        <w:rPr>
          <w:rFonts w:ascii="Arial" w:hAnsi="Arial" w:cs="Arial"/>
        </w:rPr>
        <w:t xml:space="preserve"> root tip meristematic cells. A total of 35–45 cells were examined per treatment group (Table-6; Figure- 5). The control group (distilled water) exhibited a mitotic index of 55.56%, with 25 dividing cells out of 45 total cells counted. The positive control showed a mitotic index of 48.57% (17 dividing cells out of 35). Treatment with the aqueous extract resulted in a concentration-dependent reduction in mitotic activity. At 100 µg/mL, the mitotic index decreased to 34.21% (13/38). Further reductions were observed at 250 µg/mL (27.50%; 11/40) and 500 µg/mL (27.78%; 10/36). At higher concentrations, the mitotic index declined to 21.43% at 1000 µg/mL (9/42) and reached 12.82% at 1500 µg/mL (5/39). Mitotic figures corresponding to interphase (I), prophase (P), and metaphase (M) were observed across all treatment groups. However, the proportion of dividing cells progressively decreased with increasing extract concentration.</w:t>
      </w:r>
    </w:p>
    <w:p w14:paraId="3D691700" w14:textId="77777777" w:rsidR="00CA2B71" w:rsidRDefault="00CA2B71" w:rsidP="00CA2B71">
      <w:pPr>
        <w:jc w:val="both"/>
        <w:rPr>
          <w:rFonts w:ascii="Arial" w:hAnsi="Arial" w:cs="Arial"/>
        </w:rPr>
      </w:pPr>
    </w:p>
    <w:p w14:paraId="03A43A50" w14:textId="77777777" w:rsidR="00CA2B71" w:rsidRDefault="00CA2B71" w:rsidP="00CA2B71">
      <w:pPr>
        <w:jc w:val="both"/>
        <w:rPr>
          <w:rFonts w:ascii="Arial" w:hAnsi="Arial" w:cs="Arial"/>
        </w:rPr>
      </w:pPr>
    </w:p>
    <w:p w14:paraId="4E5DC456" w14:textId="77777777" w:rsidR="00CA2B71" w:rsidRDefault="00CA2B71" w:rsidP="00CA2B71">
      <w:pPr>
        <w:jc w:val="both"/>
        <w:rPr>
          <w:rFonts w:ascii="Arial" w:hAnsi="Arial" w:cs="Arial"/>
        </w:rPr>
      </w:pPr>
    </w:p>
    <w:p w14:paraId="7E41F6B3" w14:textId="77777777" w:rsidR="00CA2B71" w:rsidRDefault="00CA2B71" w:rsidP="00CA2B71">
      <w:pPr>
        <w:jc w:val="both"/>
        <w:rPr>
          <w:rFonts w:ascii="Arial" w:hAnsi="Arial" w:cs="Arial"/>
        </w:rPr>
      </w:pPr>
    </w:p>
    <w:p w14:paraId="43A21A9A" w14:textId="77777777" w:rsidR="00CA2B71" w:rsidRDefault="00CA2B71" w:rsidP="00CA2B71">
      <w:pPr>
        <w:jc w:val="both"/>
        <w:rPr>
          <w:rFonts w:ascii="Arial" w:hAnsi="Arial" w:cs="Arial"/>
        </w:rPr>
      </w:pPr>
    </w:p>
    <w:p w14:paraId="3CE35D3D" w14:textId="77777777" w:rsidR="00CA2B71" w:rsidRDefault="00CA2B71" w:rsidP="00CA2B71">
      <w:pPr>
        <w:jc w:val="both"/>
        <w:rPr>
          <w:rFonts w:ascii="Arial" w:hAnsi="Arial" w:cs="Arial"/>
        </w:rPr>
      </w:pPr>
    </w:p>
    <w:p w14:paraId="797CB816" w14:textId="77777777" w:rsidR="00CA2B71" w:rsidRPr="00CA2B71" w:rsidRDefault="00CA2B71" w:rsidP="00CA2B71">
      <w:pPr>
        <w:jc w:val="both"/>
        <w:rPr>
          <w:rFonts w:ascii="Arial" w:hAnsi="Arial" w:cs="Arial"/>
        </w:rPr>
      </w:pPr>
    </w:p>
    <w:p w14:paraId="40AF1668" w14:textId="77777777" w:rsidR="00464F18" w:rsidRPr="00CA2B71" w:rsidRDefault="00464F18" w:rsidP="00464F18">
      <w:pPr>
        <w:spacing w:before="100" w:beforeAutospacing="1" w:after="100" w:afterAutospacing="1"/>
        <w:outlineLvl w:val="2"/>
        <w:rPr>
          <w:rFonts w:ascii="Arial" w:hAnsi="Arial" w:cs="Arial"/>
          <w:b/>
          <w:bCs/>
          <w:lang w:bidi="ta-IN"/>
        </w:rPr>
      </w:pPr>
      <w:r w:rsidRPr="00CA2B71">
        <w:rPr>
          <w:rFonts w:ascii="Arial" w:hAnsi="Arial" w:cs="Arial"/>
          <w:b/>
          <w:bCs/>
          <w:lang w:bidi="ta-IN"/>
        </w:rPr>
        <w:t xml:space="preserve">Table-6. Effect of aqueous extract of </w:t>
      </w:r>
      <w:r w:rsidRPr="00CA2B71">
        <w:rPr>
          <w:rFonts w:ascii="Arial" w:hAnsi="Arial" w:cs="Arial"/>
          <w:b/>
          <w:bCs/>
          <w:i/>
          <w:iCs/>
          <w:lang w:bidi="ta-IN"/>
        </w:rPr>
        <w:t xml:space="preserve">D. </w:t>
      </w:r>
      <w:proofErr w:type="spellStart"/>
      <w:r w:rsidRPr="00CA2B71">
        <w:rPr>
          <w:rFonts w:ascii="Arial" w:hAnsi="Arial" w:cs="Arial"/>
          <w:b/>
          <w:bCs/>
          <w:i/>
          <w:iCs/>
          <w:lang w:bidi="ta-IN"/>
        </w:rPr>
        <w:t>quercifolia</w:t>
      </w:r>
      <w:proofErr w:type="spellEnd"/>
      <w:r w:rsidRPr="00CA2B71">
        <w:rPr>
          <w:rFonts w:ascii="Arial" w:hAnsi="Arial" w:cs="Arial"/>
          <w:b/>
          <w:bCs/>
          <w:lang w:bidi="ta-IN"/>
        </w:rPr>
        <w:t xml:space="preserve"> rhizome scales on mitotic index in </w:t>
      </w:r>
      <w:r w:rsidRPr="00CA2B71">
        <w:rPr>
          <w:rFonts w:ascii="Arial" w:hAnsi="Arial" w:cs="Arial"/>
          <w:b/>
          <w:bCs/>
          <w:i/>
          <w:iCs/>
          <w:lang w:bidi="ta-IN"/>
        </w:rPr>
        <w:t>Allium cepa</w:t>
      </w:r>
      <w:r w:rsidRPr="00CA2B71">
        <w:rPr>
          <w:rFonts w:ascii="Arial" w:hAnsi="Arial" w:cs="Arial"/>
          <w:b/>
          <w:bCs/>
          <w:lang w:bidi="ta-IN"/>
        </w:rPr>
        <w:t xml:space="preserve"> root tip cells</w:t>
      </w:r>
    </w:p>
    <w:tbl>
      <w:tblPr>
        <w:tblStyle w:val="TableGrid"/>
        <w:tblW w:w="8267" w:type="dxa"/>
        <w:tblLook w:val="04A0" w:firstRow="1" w:lastRow="0" w:firstColumn="1" w:lastColumn="0" w:noHBand="0" w:noVBand="1"/>
      </w:tblPr>
      <w:tblGrid>
        <w:gridCol w:w="2228"/>
        <w:gridCol w:w="2078"/>
        <w:gridCol w:w="1676"/>
        <w:gridCol w:w="2285"/>
      </w:tblGrid>
      <w:tr w:rsidR="00464F18" w:rsidRPr="00CA2B71" w14:paraId="2731EFE1" w14:textId="77777777" w:rsidTr="00CA2B71">
        <w:trPr>
          <w:trHeight w:val="416"/>
        </w:trPr>
        <w:tc>
          <w:tcPr>
            <w:tcW w:w="0" w:type="auto"/>
            <w:hideMark/>
          </w:tcPr>
          <w:p w14:paraId="17FB7BB6"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Treatment (µg/mL)</w:t>
            </w:r>
          </w:p>
        </w:tc>
        <w:tc>
          <w:tcPr>
            <w:tcW w:w="2078" w:type="dxa"/>
            <w:hideMark/>
          </w:tcPr>
          <w:p w14:paraId="25C5A61F"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Total Cells Counted</w:t>
            </w:r>
          </w:p>
        </w:tc>
        <w:tc>
          <w:tcPr>
            <w:tcW w:w="1676" w:type="dxa"/>
            <w:hideMark/>
          </w:tcPr>
          <w:p w14:paraId="2A82C529"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Dividing Cells</w:t>
            </w:r>
          </w:p>
        </w:tc>
        <w:tc>
          <w:tcPr>
            <w:tcW w:w="2285" w:type="dxa"/>
            <w:hideMark/>
          </w:tcPr>
          <w:p w14:paraId="75D27DD3"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Mitotic Index (%)</w:t>
            </w:r>
          </w:p>
        </w:tc>
      </w:tr>
      <w:tr w:rsidR="00464F18" w:rsidRPr="00CA2B71" w14:paraId="5D19440F" w14:textId="77777777" w:rsidTr="00CA2B71">
        <w:trPr>
          <w:trHeight w:val="416"/>
        </w:trPr>
        <w:tc>
          <w:tcPr>
            <w:tcW w:w="0" w:type="auto"/>
            <w:hideMark/>
          </w:tcPr>
          <w:p w14:paraId="41CC57B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Control (Water)</w:t>
            </w:r>
          </w:p>
        </w:tc>
        <w:tc>
          <w:tcPr>
            <w:tcW w:w="2078" w:type="dxa"/>
            <w:hideMark/>
          </w:tcPr>
          <w:p w14:paraId="574CE9A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45</w:t>
            </w:r>
          </w:p>
        </w:tc>
        <w:tc>
          <w:tcPr>
            <w:tcW w:w="1676" w:type="dxa"/>
            <w:hideMark/>
          </w:tcPr>
          <w:p w14:paraId="3CADA3E2"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25</w:t>
            </w:r>
          </w:p>
        </w:tc>
        <w:tc>
          <w:tcPr>
            <w:tcW w:w="2285" w:type="dxa"/>
            <w:hideMark/>
          </w:tcPr>
          <w:p w14:paraId="6C74EF9D"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55.56±1.20</w:t>
            </w:r>
          </w:p>
        </w:tc>
      </w:tr>
      <w:tr w:rsidR="00464F18" w:rsidRPr="00CA2B71" w14:paraId="4EF2C68A" w14:textId="77777777" w:rsidTr="00CA2B71">
        <w:trPr>
          <w:trHeight w:val="416"/>
        </w:trPr>
        <w:tc>
          <w:tcPr>
            <w:tcW w:w="0" w:type="auto"/>
            <w:hideMark/>
          </w:tcPr>
          <w:p w14:paraId="2D54CE30"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Positive Control</w:t>
            </w:r>
          </w:p>
        </w:tc>
        <w:tc>
          <w:tcPr>
            <w:tcW w:w="2078" w:type="dxa"/>
            <w:hideMark/>
          </w:tcPr>
          <w:p w14:paraId="2976E00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35</w:t>
            </w:r>
          </w:p>
        </w:tc>
        <w:tc>
          <w:tcPr>
            <w:tcW w:w="1676" w:type="dxa"/>
            <w:hideMark/>
          </w:tcPr>
          <w:p w14:paraId="507C54A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17</w:t>
            </w:r>
          </w:p>
        </w:tc>
        <w:tc>
          <w:tcPr>
            <w:tcW w:w="2285" w:type="dxa"/>
            <w:hideMark/>
          </w:tcPr>
          <w:p w14:paraId="4CC8D07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48.57±1.12</w:t>
            </w:r>
          </w:p>
        </w:tc>
      </w:tr>
      <w:tr w:rsidR="00464F18" w:rsidRPr="00CA2B71" w14:paraId="1C661784" w14:textId="77777777" w:rsidTr="00CA2B71">
        <w:trPr>
          <w:trHeight w:val="416"/>
        </w:trPr>
        <w:tc>
          <w:tcPr>
            <w:tcW w:w="0" w:type="auto"/>
            <w:hideMark/>
          </w:tcPr>
          <w:p w14:paraId="52B77D64"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lastRenderedPageBreak/>
              <w:t>100</w:t>
            </w:r>
          </w:p>
        </w:tc>
        <w:tc>
          <w:tcPr>
            <w:tcW w:w="2078" w:type="dxa"/>
            <w:hideMark/>
          </w:tcPr>
          <w:p w14:paraId="64523653"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38</w:t>
            </w:r>
          </w:p>
        </w:tc>
        <w:tc>
          <w:tcPr>
            <w:tcW w:w="1676" w:type="dxa"/>
            <w:hideMark/>
          </w:tcPr>
          <w:p w14:paraId="40FAF58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13</w:t>
            </w:r>
          </w:p>
        </w:tc>
        <w:tc>
          <w:tcPr>
            <w:tcW w:w="2285" w:type="dxa"/>
            <w:hideMark/>
          </w:tcPr>
          <w:p w14:paraId="76AB158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34.21±1.35</w:t>
            </w:r>
          </w:p>
        </w:tc>
      </w:tr>
      <w:tr w:rsidR="00464F18" w:rsidRPr="00CA2B71" w14:paraId="6873890F" w14:textId="77777777" w:rsidTr="00CA2B71">
        <w:trPr>
          <w:trHeight w:val="416"/>
        </w:trPr>
        <w:tc>
          <w:tcPr>
            <w:tcW w:w="0" w:type="auto"/>
            <w:hideMark/>
          </w:tcPr>
          <w:p w14:paraId="13A0E86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250</w:t>
            </w:r>
          </w:p>
        </w:tc>
        <w:tc>
          <w:tcPr>
            <w:tcW w:w="2078" w:type="dxa"/>
            <w:hideMark/>
          </w:tcPr>
          <w:p w14:paraId="1F00EC9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40</w:t>
            </w:r>
          </w:p>
        </w:tc>
        <w:tc>
          <w:tcPr>
            <w:tcW w:w="1676" w:type="dxa"/>
            <w:hideMark/>
          </w:tcPr>
          <w:p w14:paraId="0181650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11</w:t>
            </w:r>
          </w:p>
        </w:tc>
        <w:tc>
          <w:tcPr>
            <w:tcW w:w="2285" w:type="dxa"/>
            <w:hideMark/>
          </w:tcPr>
          <w:p w14:paraId="5C0C8C6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27.50±1.45*</w:t>
            </w:r>
          </w:p>
        </w:tc>
      </w:tr>
      <w:tr w:rsidR="00464F18" w:rsidRPr="00CA2B71" w14:paraId="5E62C1F1" w14:textId="77777777" w:rsidTr="00CA2B71">
        <w:trPr>
          <w:trHeight w:val="416"/>
        </w:trPr>
        <w:tc>
          <w:tcPr>
            <w:tcW w:w="0" w:type="auto"/>
            <w:hideMark/>
          </w:tcPr>
          <w:p w14:paraId="335E05D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500</w:t>
            </w:r>
          </w:p>
        </w:tc>
        <w:tc>
          <w:tcPr>
            <w:tcW w:w="2078" w:type="dxa"/>
            <w:hideMark/>
          </w:tcPr>
          <w:p w14:paraId="39134A45"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36</w:t>
            </w:r>
          </w:p>
        </w:tc>
        <w:tc>
          <w:tcPr>
            <w:tcW w:w="1676" w:type="dxa"/>
            <w:hideMark/>
          </w:tcPr>
          <w:p w14:paraId="34151D3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10</w:t>
            </w:r>
          </w:p>
        </w:tc>
        <w:tc>
          <w:tcPr>
            <w:tcW w:w="2285" w:type="dxa"/>
            <w:hideMark/>
          </w:tcPr>
          <w:p w14:paraId="290FCE1C"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27.78±1.30**</w:t>
            </w:r>
          </w:p>
        </w:tc>
      </w:tr>
      <w:tr w:rsidR="00464F18" w:rsidRPr="00CA2B71" w14:paraId="32F389D4" w14:textId="77777777" w:rsidTr="00CA2B71">
        <w:trPr>
          <w:trHeight w:val="416"/>
        </w:trPr>
        <w:tc>
          <w:tcPr>
            <w:tcW w:w="0" w:type="auto"/>
            <w:hideMark/>
          </w:tcPr>
          <w:p w14:paraId="0DB7161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1000</w:t>
            </w:r>
          </w:p>
        </w:tc>
        <w:tc>
          <w:tcPr>
            <w:tcW w:w="2078" w:type="dxa"/>
            <w:hideMark/>
          </w:tcPr>
          <w:p w14:paraId="43D82F07"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42</w:t>
            </w:r>
          </w:p>
        </w:tc>
        <w:tc>
          <w:tcPr>
            <w:tcW w:w="1676" w:type="dxa"/>
            <w:hideMark/>
          </w:tcPr>
          <w:p w14:paraId="5790E6E0"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9</w:t>
            </w:r>
          </w:p>
        </w:tc>
        <w:tc>
          <w:tcPr>
            <w:tcW w:w="2285" w:type="dxa"/>
            <w:hideMark/>
          </w:tcPr>
          <w:p w14:paraId="6CF5F637"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21.43±1.15***</w:t>
            </w:r>
          </w:p>
        </w:tc>
      </w:tr>
      <w:tr w:rsidR="00464F18" w:rsidRPr="00CA2B71" w14:paraId="49EBB72D" w14:textId="77777777" w:rsidTr="00CA2B71">
        <w:trPr>
          <w:trHeight w:val="416"/>
        </w:trPr>
        <w:tc>
          <w:tcPr>
            <w:tcW w:w="0" w:type="auto"/>
            <w:hideMark/>
          </w:tcPr>
          <w:p w14:paraId="43FB4895"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1500</w:t>
            </w:r>
          </w:p>
        </w:tc>
        <w:tc>
          <w:tcPr>
            <w:tcW w:w="2078" w:type="dxa"/>
            <w:hideMark/>
          </w:tcPr>
          <w:p w14:paraId="1A1C494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39</w:t>
            </w:r>
          </w:p>
        </w:tc>
        <w:tc>
          <w:tcPr>
            <w:tcW w:w="1676" w:type="dxa"/>
            <w:hideMark/>
          </w:tcPr>
          <w:p w14:paraId="4A35129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w:t>
            </w:r>
          </w:p>
        </w:tc>
        <w:tc>
          <w:tcPr>
            <w:tcW w:w="2285" w:type="dxa"/>
            <w:hideMark/>
          </w:tcPr>
          <w:p w14:paraId="71183D1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12.82±0.90****</w:t>
            </w:r>
          </w:p>
        </w:tc>
      </w:tr>
    </w:tbl>
    <w:p w14:paraId="72DF18E1" w14:textId="77777777" w:rsidR="00464F18" w:rsidRDefault="00464F18" w:rsidP="00464F18">
      <w:pPr>
        <w:jc w:val="both"/>
        <w:rPr>
          <w:rFonts w:ascii="Arial" w:hAnsi="Arial" w:cs="Arial"/>
          <w:i/>
          <w:iCs/>
        </w:rPr>
      </w:pPr>
      <w:r w:rsidRPr="00CA2B71">
        <w:rPr>
          <w:rFonts w:ascii="Arial" w:hAnsi="Arial" w:cs="Arial"/>
          <w:i/>
          <w:iCs/>
        </w:rPr>
        <w:t>Values represent mean ± SD (n = 3). *p &lt; 0.05; **p &lt; 0.01; ***p &lt; 0.001; ****p &lt; 0.0001 versus control.</w:t>
      </w:r>
    </w:p>
    <w:p w14:paraId="73CA6047" w14:textId="77777777" w:rsidR="00CA2B71" w:rsidRPr="00CA2B71" w:rsidRDefault="00CA2B71" w:rsidP="00464F18">
      <w:pPr>
        <w:jc w:val="both"/>
        <w:rPr>
          <w:rFonts w:ascii="Arial" w:hAnsi="Arial" w:cs="Arial"/>
          <w:i/>
          <w:iCs/>
        </w:rPr>
      </w:pPr>
    </w:p>
    <w:p w14:paraId="35DC7D67" w14:textId="77777777" w:rsidR="00464F18" w:rsidRDefault="00464F18" w:rsidP="00464F18">
      <w:pPr>
        <w:jc w:val="both"/>
        <w:rPr>
          <w:rFonts w:ascii="Arial" w:hAnsi="Arial" w:cs="Arial"/>
          <w:b/>
          <w:bCs/>
          <w:u w:val="single"/>
        </w:rPr>
      </w:pPr>
      <w:r w:rsidRPr="00CA2B71">
        <w:rPr>
          <w:rFonts w:ascii="Arial" w:hAnsi="Arial" w:cs="Arial"/>
          <w:b/>
          <w:bCs/>
          <w:u w:val="single"/>
        </w:rPr>
        <w:t>3.7.2 Chromosomal Aberrations</w:t>
      </w:r>
    </w:p>
    <w:p w14:paraId="66C3AAC3" w14:textId="77777777" w:rsidR="00CA2B71" w:rsidRPr="00CA2B71" w:rsidRDefault="00CA2B71" w:rsidP="00CA2B71">
      <w:pPr>
        <w:jc w:val="both"/>
        <w:rPr>
          <w:rFonts w:ascii="Arial" w:hAnsi="Arial" w:cs="Arial"/>
          <w:b/>
          <w:bCs/>
          <w:u w:val="single"/>
        </w:rPr>
      </w:pPr>
    </w:p>
    <w:p w14:paraId="7B7AEC94" w14:textId="77777777" w:rsidR="00464F18" w:rsidRPr="00CA2B71" w:rsidRDefault="00464F18" w:rsidP="00BB57BA">
      <w:pPr>
        <w:jc w:val="both"/>
        <w:rPr>
          <w:rFonts w:ascii="Arial" w:hAnsi="Arial" w:cs="Arial"/>
        </w:rPr>
      </w:pPr>
      <w:r w:rsidRPr="00CA2B71">
        <w:rPr>
          <w:rFonts w:ascii="Arial" w:hAnsi="Arial" w:cs="Arial"/>
        </w:rPr>
        <w:t xml:space="preserve">Microscopic evaluation (Table-7&amp;Figure-5) of chromosomal morphology revealed normal mitotic stages in the control and lower concentration groups (100–1000 µg/mL). No chromosomal abnormalities were observed in these groups. At 1500 µg/mL, chromosomal stickiness was observed predominantly during prophase. The abnormality was characterized by clumped chromatin and loss of distinct chromosome boundaries. </w:t>
      </w:r>
    </w:p>
    <w:p w14:paraId="35D2DFA1" w14:textId="77777777" w:rsidR="00464F18" w:rsidRDefault="00464F18" w:rsidP="00464F18">
      <w:pPr>
        <w:jc w:val="both"/>
        <w:rPr>
          <w:rFonts w:ascii="Times New Roman" w:hAnsi="Times New Roman"/>
          <w:b/>
          <w:bCs/>
          <w:sz w:val="24"/>
          <w:szCs w:val="24"/>
        </w:rPr>
      </w:pPr>
    </w:p>
    <w:p w14:paraId="75D9F2AF" w14:textId="77777777" w:rsidR="00464F18" w:rsidRDefault="00464F18" w:rsidP="00CA2B71">
      <w:pPr>
        <w:jc w:val="both"/>
        <w:rPr>
          <w:rFonts w:ascii="Arial" w:hAnsi="Arial" w:cs="Arial"/>
          <w:b/>
          <w:bCs/>
        </w:rPr>
      </w:pPr>
      <w:r w:rsidRPr="00CA2B71">
        <w:rPr>
          <w:rFonts w:ascii="Arial" w:hAnsi="Arial" w:cs="Arial"/>
          <w:b/>
          <w:bCs/>
        </w:rPr>
        <w:t xml:space="preserve">Table 7. Chromosomal aberrations observed in </w:t>
      </w:r>
      <w:r w:rsidRPr="00CA2B71">
        <w:rPr>
          <w:rFonts w:ascii="Arial" w:hAnsi="Arial" w:cs="Arial"/>
          <w:b/>
          <w:bCs/>
          <w:i/>
          <w:iCs/>
        </w:rPr>
        <w:t>Allium cepa</w:t>
      </w:r>
      <w:r w:rsidRPr="00CA2B71">
        <w:rPr>
          <w:rFonts w:ascii="Arial" w:hAnsi="Arial" w:cs="Arial"/>
          <w:b/>
          <w:bCs/>
        </w:rPr>
        <w:t xml:space="preserve"> root tip cells following treatment with aqueous extract of </w:t>
      </w:r>
      <w:r w:rsidRPr="00CA2B71">
        <w:rPr>
          <w:rFonts w:ascii="Arial" w:hAnsi="Arial" w:cs="Arial"/>
          <w:b/>
          <w:bCs/>
          <w:i/>
          <w:iCs/>
        </w:rPr>
        <w:t xml:space="preserve">D. </w:t>
      </w:r>
      <w:proofErr w:type="spellStart"/>
      <w:r w:rsidRPr="00CA2B71">
        <w:rPr>
          <w:rFonts w:ascii="Arial" w:hAnsi="Arial" w:cs="Arial"/>
          <w:b/>
          <w:bCs/>
          <w:i/>
          <w:iCs/>
        </w:rPr>
        <w:t>quercifolia</w:t>
      </w:r>
      <w:proofErr w:type="spellEnd"/>
      <w:r w:rsidRPr="00CA2B71">
        <w:rPr>
          <w:rFonts w:ascii="Arial" w:hAnsi="Arial" w:cs="Arial"/>
          <w:b/>
          <w:bCs/>
        </w:rPr>
        <w:t xml:space="preserve"> rhizome scales</w:t>
      </w:r>
    </w:p>
    <w:p w14:paraId="4540238D" w14:textId="77777777" w:rsidR="00CA2B71" w:rsidRPr="00CA2B71" w:rsidRDefault="00CA2B71" w:rsidP="00CA2B71">
      <w:pPr>
        <w:jc w:val="both"/>
        <w:rPr>
          <w:rFonts w:ascii="Arial" w:hAnsi="Arial" w:cs="Arial"/>
          <w:b/>
          <w:bCs/>
        </w:rPr>
      </w:pPr>
    </w:p>
    <w:tbl>
      <w:tblPr>
        <w:tblStyle w:val="TableGrid"/>
        <w:tblW w:w="0" w:type="auto"/>
        <w:tblLook w:val="04A0" w:firstRow="1" w:lastRow="0" w:firstColumn="1" w:lastColumn="0" w:noHBand="0" w:noVBand="1"/>
      </w:tblPr>
      <w:tblGrid>
        <w:gridCol w:w="1793"/>
        <w:gridCol w:w="1227"/>
        <w:gridCol w:w="2481"/>
        <w:gridCol w:w="1481"/>
        <w:gridCol w:w="1216"/>
      </w:tblGrid>
      <w:tr w:rsidR="00464F18" w:rsidRPr="00CA2B71" w14:paraId="454CF637" w14:textId="77777777" w:rsidTr="00F327FB">
        <w:tc>
          <w:tcPr>
            <w:tcW w:w="2122" w:type="dxa"/>
            <w:hideMark/>
          </w:tcPr>
          <w:p w14:paraId="48A0BB5A"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Treatment (µg/mL)</w:t>
            </w:r>
          </w:p>
        </w:tc>
        <w:tc>
          <w:tcPr>
            <w:tcW w:w="1275" w:type="dxa"/>
            <w:hideMark/>
          </w:tcPr>
          <w:p w14:paraId="59405172"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Mitotic Stages Observed</w:t>
            </w:r>
          </w:p>
        </w:tc>
        <w:tc>
          <w:tcPr>
            <w:tcW w:w="2977" w:type="dxa"/>
            <w:hideMark/>
          </w:tcPr>
          <w:p w14:paraId="138175E2"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Chromosomal Aberration</w:t>
            </w:r>
          </w:p>
        </w:tc>
        <w:tc>
          <w:tcPr>
            <w:tcW w:w="1701" w:type="dxa"/>
            <w:hideMark/>
          </w:tcPr>
          <w:p w14:paraId="68940F0E"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Stage Involved</w:t>
            </w:r>
          </w:p>
        </w:tc>
        <w:tc>
          <w:tcPr>
            <w:tcW w:w="1275" w:type="dxa"/>
            <w:hideMark/>
          </w:tcPr>
          <w:p w14:paraId="13126F85"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Presence</w:t>
            </w:r>
          </w:p>
        </w:tc>
      </w:tr>
      <w:tr w:rsidR="00464F18" w:rsidRPr="00CA2B71" w14:paraId="0B3D2302" w14:textId="77777777" w:rsidTr="00F327FB">
        <w:tc>
          <w:tcPr>
            <w:tcW w:w="2122" w:type="dxa"/>
            <w:hideMark/>
          </w:tcPr>
          <w:p w14:paraId="348E7EF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Control (Water)</w:t>
            </w:r>
          </w:p>
        </w:tc>
        <w:tc>
          <w:tcPr>
            <w:tcW w:w="1275" w:type="dxa"/>
            <w:hideMark/>
          </w:tcPr>
          <w:p w14:paraId="59A97B2F"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55E78F6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2F75D17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55F0A02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0B54FB4E" w14:textId="77777777" w:rsidTr="00F327FB">
        <w:tc>
          <w:tcPr>
            <w:tcW w:w="2122" w:type="dxa"/>
            <w:hideMark/>
          </w:tcPr>
          <w:p w14:paraId="4374BC9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100</w:t>
            </w:r>
          </w:p>
        </w:tc>
        <w:tc>
          <w:tcPr>
            <w:tcW w:w="1275" w:type="dxa"/>
            <w:hideMark/>
          </w:tcPr>
          <w:p w14:paraId="70740E4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2F5390D5"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33E7FE4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66133E9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6E578E60" w14:textId="77777777" w:rsidTr="00F327FB">
        <w:tc>
          <w:tcPr>
            <w:tcW w:w="2122" w:type="dxa"/>
            <w:hideMark/>
          </w:tcPr>
          <w:p w14:paraId="563987A5"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250</w:t>
            </w:r>
          </w:p>
        </w:tc>
        <w:tc>
          <w:tcPr>
            <w:tcW w:w="1275" w:type="dxa"/>
            <w:hideMark/>
          </w:tcPr>
          <w:p w14:paraId="7815BA8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74A0C07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5604EB73"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15C9809C"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5BE06B6E" w14:textId="77777777" w:rsidTr="00F327FB">
        <w:tc>
          <w:tcPr>
            <w:tcW w:w="2122" w:type="dxa"/>
            <w:hideMark/>
          </w:tcPr>
          <w:p w14:paraId="2FFDF17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500</w:t>
            </w:r>
          </w:p>
        </w:tc>
        <w:tc>
          <w:tcPr>
            <w:tcW w:w="1275" w:type="dxa"/>
            <w:hideMark/>
          </w:tcPr>
          <w:p w14:paraId="3C24133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4F01909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0A152E3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699A3497"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147B612C" w14:textId="77777777" w:rsidTr="00F327FB">
        <w:tc>
          <w:tcPr>
            <w:tcW w:w="2122" w:type="dxa"/>
            <w:hideMark/>
          </w:tcPr>
          <w:p w14:paraId="4B864E5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1000</w:t>
            </w:r>
          </w:p>
        </w:tc>
        <w:tc>
          <w:tcPr>
            <w:tcW w:w="1275" w:type="dxa"/>
            <w:hideMark/>
          </w:tcPr>
          <w:p w14:paraId="7A78A20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00ED678D"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2EAA40E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548885A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360991ED" w14:textId="77777777" w:rsidTr="00F327FB">
        <w:tc>
          <w:tcPr>
            <w:tcW w:w="2122" w:type="dxa"/>
            <w:hideMark/>
          </w:tcPr>
          <w:p w14:paraId="5C4B918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1500</w:t>
            </w:r>
          </w:p>
        </w:tc>
        <w:tc>
          <w:tcPr>
            <w:tcW w:w="1275" w:type="dxa"/>
            <w:hideMark/>
          </w:tcPr>
          <w:p w14:paraId="5A1AB8E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4E33DC4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Chromosomal stickiness</w:t>
            </w:r>
          </w:p>
        </w:tc>
        <w:tc>
          <w:tcPr>
            <w:tcW w:w="1701" w:type="dxa"/>
            <w:hideMark/>
          </w:tcPr>
          <w:p w14:paraId="3696FE7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Prophase</w:t>
            </w:r>
          </w:p>
        </w:tc>
        <w:tc>
          <w:tcPr>
            <w:tcW w:w="1275" w:type="dxa"/>
            <w:hideMark/>
          </w:tcPr>
          <w:p w14:paraId="59ABFCAE"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bl>
    <w:p w14:paraId="28300E76" w14:textId="77777777" w:rsidR="00464F18" w:rsidRDefault="00464F18" w:rsidP="00CA2B71">
      <w:pPr>
        <w:jc w:val="both"/>
        <w:rPr>
          <w:rFonts w:ascii="Arial" w:hAnsi="Arial" w:cs="Arial"/>
          <w:i/>
          <w:iCs/>
        </w:rPr>
      </w:pPr>
      <w:r w:rsidRPr="00CA2B71">
        <w:rPr>
          <w:rFonts w:ascii="Arial" w:hAnsi="Arial" w:cs="Arial"/>
          <w:i/>
          <w:iCs/>
        </w:rPr>
        <w:t>I – Interphase; P – Prophase; M – Metaphase</w:t>
      </w:r>
    </w:p>
    <w:p w14:paraId="56A784C8" w14:textId="77777777" w:rsidR="00CA2B71" w:rsidRDefault="00CA2B71" w:rsidP="00CA2B71">
      <w:pPr>
        <w:jc w:val="both"/>
        <w:rPr>
          <w:rFonts w:ascii="Arial" w:hAnsi="Arial" w:cs="Arial"/>
          <w:i/>
          <w:iCs/>
        </w:rPr>
      </w:pPr>
    </w:p>
    <w:p w14:paraId="739DC42B" w14:textId="77777777" w:rsidR="00CA2B71" w:rsidRDefault="00CA2B71" w:rsidP="00CA2B71">
      <w:pPr>
        <w:jc w:val="both"/>
        <w:rPr>
          <w:rFonts w:ascii="Arial" w:hAnsi="Arial" w:cs="Arial"/>
          <w:i/>
          <w:iCs/>
        </w:rPr>
      </w:pPr>
    </w:p>
    <w:p w14:paraId="067BABD2" w14:textId="77777777" w:rsidR="00CA2B71" w:rsidRDefault="00CA2B71" w:rsidP="00CA2B71">
      <w:pPr>
        <w:jc w:val="both"/>
        <w:rPr>
          <w:rFonts w:ascii="Arial" w:hAnsi="Arial" w:cs="Arial"/>
          <w:i/>
          <w:iCs/>
        </w:rPr>
      </w:pPr>
    </w:p>
    <w:p w14:paraId="517B570D" w14:textId="77777777" w:rsidR="00CA2B71" w:rsidRDefault="00CA2B71" w:rsidP="00CA2B71">
      <w:pPr>
        <w:jc w:val="both"/>
        <w:rPr>
          <w:rFonts w:ascii="Arial" w:hAnsi="Arial" w:cs="Arial"/>
          <w:i/>
          <w:iCs/>
        </w:rPr>
      </w:pPr>
    </w:p>
    <w:p w14:paraId="03C77DAB" w14:textId="77777777" w:rsidR="00CA2B71" w:rsidRDefault="00CA2B71" w:rsidP="00CA2B71">
      <w:pPr>
        <w:jc w:val="both"/>
        <w:rPr>
          <w:rFonts w:ascii="Arial" w:hAnsi="Arial" w:cs="Arial"/>
          <w:i/>
          <w:iCs/>
        </w:rPr>
      </w:pPr>
    </w:p>
    <w:p w14:paraId="172CCAD6" w14:textId="77777777" w:rsidR="00CA2B71" w:rsidRDefault="00CA2B71" w:rsidP="00CA2B71">
      <w:pPr>
        <w:jc w:val="both"/>
        <w:rPr>
          <w:rFonts w:ascii="Arial" w:hAnsi="Arial" w:cs="Arial"/>
          <w:i/>
          <w:iCs/>
        </w:rPr>
      </w:pPr>
    </w:p>
    <w:p w14:paraId="2C6E32AF" w14:textId="77777777" w:rsidR="00CA2B71" w:rsidRDefault="00CA2B71" w:rsidP="00CA2B71">
      <w:pPr>
        <w:jc w:val="both"/>
        <w:rPr>
          <w:rFonts w:ascii="Arial" w:hAnsi="Arial" w:cs="Arial"/>
          <w:i/>
          <w:iCs/>
        </w:rPr>
      </w:pPr>
    </w:p>
    <w:p w14:paraId="1A9B2D3B" w14:textId="77777777" w:rsidR="00CA2B71" w:rsidRDefault="00CA2B71" w:rsidP="00CA2B71">
      <w:pPr>
        <w:jc w:val="both"/>
        <w:rPr>
          <w:rFonts w:ascii="Arial" w:hAnsi="Arial" w:cs="Arial"/>
          <w:i/>
          <w:iCs/>
        </w:rPr>
      </w:pPr>
    </w:p>
    <w:p w14:paraId="4E22F91D" w14:textId="77777777" w:rsidR="00CA2B71" w:rsidRPr="00CA2B71" w:rsidRDefault="00CA2B71" w:rsidP="00CA2B71">
      <w:pPr>
        <w:jc w:val="both"/>
        <w:rPr>
          <w:rFonts w:ascii="Arial" w:hAnsi="Arial" w:cs="Arial"/>
          <w:i/>
          <w:iCs/>
        </w:rPr>
      </w:pPr>
    </w:p>
    <w:p w14:paraId="2EBBAEB8" w14:textId="77777777" w:rsidR="00CA2B71" w:rsidRDefault="00CA2B71" w:rsidP="00464F18">
      <w:pPr>
        <w:jc w:val="both"/>
        <w:rPr>
          <w:rFonts w:ascii="Arial" w:hAnsi="Arial" w:cs="Arial"/>
          <w:b/>
          <w:bCs/>
        </w:rPr>
      </w:pPr>
    </w:p>
    <w:p w14:paraId="712A92DF" w14:textId="77777777" w:rsidR="00464F18" w:rsidRPr="00CA2B71" w:rsidRDefault="00464F18" w:rsidP="00464F18">
      <w:pPr>
        <w:jc w:val="both"/>
        <w:rPr>
          <w:rFonts w:ascii="Arial" w:hAnsi="Arial" w:cs="Arial"/>
          <w:b/>
          <w:bCs/>
        </w:rPr>
      </w:pPr>
      <w:r w:rsidRPr="00CA2B71">
        <w:rPr>
          <w:rFonts w:ascii="Arial" w:hAnsi="Arial" w:cs="Arial"/>
          <w:b/>
          <w:bCs/>
        </w:rPr>
        <w:t xml:space="preserve">Figure 6. Effect of aqueous extract of </w:t>
      </w:r>
      <w:r w:rsidRPr="00CA2B71">
        <w:rPr>
          <w:rFonts w:ascii="Arial" w:hAnsi="Arial" w:cs="Arial"/>
          <w:b/>
          <w:bCs/>
          <w:i/>
          <w:iCs/>
        </w:rPr>
        <w:t xml:space="preserve">D. </w:t>
      </w:r>
      <w:proofErr w:type="spellStart"/>
      <w:r w:rsidRPr="00CA2B71">
        <w:rPr>
          <w:rFonts w:ascii="Arial" w:hAnsi="Arial" w:cs="Arial"/>
          <w:b/>
          <w:bCs/>
          <w:i/>
          <w:iCs/>
        </w:rPr>
        <w:t>quercifolia</w:t>
      </w:r>
      <w:proofErr w:type="spellEnd"/>
      <w:r w:rsidRPr="00CA2B71">
        <w:rPr>
          <w:rFonts w:ascii="Arial" w:hAnsi="Arial" w:cs="Arial"/>
          <w:b/>
          <w:bCs/>
        </w:rPr>
        <w:t xml:space="preserve"> rhizome scales on mitotic stages and chromosomal morphology in </w:t>
      </w:r>
      <w:r w:rsidRPr="00CA2B71">
        <w:rPr>
          <w:rFonts w:ascii="Arial" w:hAnsi="Arial" w:cs="Arial"/>
          <w:b/>
          <w:bCs/>
          <w:i/>
          <w:iCs/>
        </w:rPr>
        <w:t>Allium cepa</w:t>
      </w:r>
      <w:r w:rsidRPr="00CA2B71">
        <w:rPr>
          <w:rFonts w:ascii="Arial" w:hAnsi="Arial" w:cs="Arial"/>
          <w:b/>
          <w:bCs/>
        </w:rPr>
        <w:t xml:space="preserve"> root tip cells.</w:t>
      </w:r>
    </w:p>
    <w:p w14:paraId="0951608A" w14:textId="77777777" w:rsidR="00464F18" w:rsidRDefault="00464F18" w:rsidP="00464F18">
      <w:pPr>
        <w:jc w:val="both"/>
        <w:rPr>
          <w:rFonts w:ascii="Times New Roman" w:hAnsi="Times New Roman"/>
          <w:sz w:val="24"/>
          <w:szCs w:val="24"/>
        </w:rPr>
      </w:pPr>
      <w:r>
        <w:rPr>
          <w:rFonts w:ascii="Times New Roman" w:hAnsi="Times New Roman"/>
          <w:noProof/>
          <w:sz w:val="24"/>
          <w:szCs w:val="24"/>
          <w:lang w:bidi="ta-IN"/>
        </w:rPr>
        <w:lastRenderedPageBreak/>
        <w:drawing>
          <wp:inline distT="0" distB="0" distL="0" distR="0" wp14:anchorId="3526A50B" wp14:editId="26965C9B">
            <wp:extent cx="5197648"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915" cy="1840895"/>
                    </a:xfrm>
                    <a:prstGeom prst="rect">
                      <a:avLst/>
                    </a:prstGeom>
                    <a:noFill/>
                  </pic:spPr>
                </pic:pic>
              </a:graphicData>
            </a:graphic>
          </wp:inline>
        </w:drawing>
      </w:r>
    </w:p>
    <w:p w14:paraId="11F1346D" w14:textId="77777777" w:rsidR="00464F18" w:rsidRDefault="00464F18" w:rsidP="00464F18">
      <w:pPr>
        <w:jc w:val="both"/>
        <w:rPr>
          <w:rFonts w:ascii="Arial" w:hAnsi="Arial" w:cs="Arial"/>
          <w:i/>
          <w:iCs/>
        </w:rPr>
      </w:pPr>
      <w:r w:rsidRPr="00CA2B71">
        <w:rPr>
          <w:rFonts w:ascii="Arial" w:hAnsi="Arial" w:cs="Arial"/>
          <w:i/>
          <w:iCs/>
        </w:rPr>
        <w:t xml:space="preserve">(I – Interphase, P – Prophase, M – Metaphase, A – Anaphase) and chromosomal stickiness observed during prophase (P*) at 1500 µg/mL following treatment with aqueous extract of </w:t>
      </w:r>
      <w:proofErr w:type="spellStart"/>
      <w:r w:rsidRPr="00CA2B71">
        <w:rPr>
          <w:rFonts w:ascii="Arial" w:hAnsi="Arial" w:cs="Arial"/>
          <w:i/>
          <w:iCs/>
        </w:rPr>
        <w:t>Drynaria</w:t>
      </w:r>
      <w:proofErr w:type="spellEnd"/>
      <w:r w:rsidRPr="00CA2B71">
        <w:rPr>
          <w:rFonts w:ascii="Arial" w:hAnsi="Arial" w:cs="Arial"/>
          <w:i/>
          <w:iCs/>
        </w:rPr>
        <w:t xml:space="preserve"> </w:t>
      </w:r>
      <w:proofErr w:type="spellStart"/>
      <w:r w:rsidRPr="00CA2B71">
        <w:rPr>
          <w:rFonts w:ascii="Arial" w:hAnsi="Arial" w:cs="Arial"/>
          <w:i/>
          <w:iCs/>
        </w:rPr>
        <w:t>quercifolia</w:t>
      </w:r>
      <w:proofErr w:type="spellEnd"/>
      <w:r w:rsidRPr="00CA2B71">
        <w:rPr>
          <w:rFonts w:ascii="Arial" w:hAnsi="Arial" w:cs="Arial"/>
          <w:i/>
          <w:iCs/>
        </w:rPr>
        <w:t xml:space="preserve"> rhizome scales.</w:t>
      </w:r>
    </w:p>
    <w:p w14:paraId="6D74E61A" w14:textId="77777777" w:rsidR="00CA2B71" w:rsidRPr="00CA2B71" w:rsidRDefault="00CA2B71" w:rsidP="00464F18">
      <w:pPr>
        <w:jc w:val="both"/>
        <w:rPr>
          <w:rFonts w:ascii="Arial" w:hAnsi="Arial" w:cs="Arial"/>
          <w:i/>
          <w:iCs/>
        </w:rPr>
      </w:pPr>
    </w:p>
    <w:p w14:paraId="38AC6F9A" w14:textId="77777777" w:rsidR="00CA2B71" w:rsidRDefault="00464F18" w:rsidP="00CA2B71">
      <w:pPr>
        <w:jc w:val="both"/>
        <w:rPr>
          <w:rFonts w:ascii="Arial" w:hAnsi="Arial" w:cs="Arial"/>
        </w:rPr>
      </w:pPr>
      <w:r w:rsidRPr="00CA2B71">
        <w:rPr>
          <w:rFonts w:ascii="Arial" w:hAnsi="Arial" w:cs="Arial"/>
        </w:rPr>
        <w:t xml:space="preserve">Treatment with the aqueous extract of </w:t>
      </w:r>
      <w:proofErr w:type="spellStart"/>
      <w:r w:rsidRPr="00CA2B71">
        <w:rPr>
          <w:rFonts w:ascii="Arial" w:hAnsi="Arial" w:cs="Arial"/>
          <w:i/>
          <w:iCs/>
        </w:rPr>
        <w:t>Drynaria</w:t>
      </w:r>
      <w:proofErr w:type="spellEnd"/>
      <w:r w:rsidRPr="00CA2B71">
        <w:rPr>
          <w:rFonts w:ascii="Arial" w:hAnsi="Arial" w:cs="Arial"/>
          <w:i/>
          <w:iCs/>
        </w:rPr>
        <w:t xml:space="preserve"> </w:t>
      </w:r>
      <w:proofErr w:type="spellStart"/>
      <w:r w:rsidRPr="00CA2B71">
        <w:rPr>
          <w:rFonts w:ascii="Arial" w:hAnsi="Arial" w:cs="Arial"/>
          <w:i/>
          <w:iCs/>
        </w:rPr>
        <w:t>quercifolia</w:t>
      </w:r>
      <w:proofErr w:type="spellEnd"/>
      <w:r w:rsidRPr="00CA2B71">
        <w:rPr>
          <w:rFonts w:ascii="Arial" w:hAnsi="Arial" w:cs="Arial"/>
        </w:rPr>
        <w:t xml:space="preserve"> rhizome scales resulted in a concentration-dependent decrease in mitotic index in </w:t>
      </w:r>
      <w:r w:rsidRPr="00CA2B71">
        <w:rPr>
          <w:rFonts w:ascii="Arial" w:hAnsi="Arial" w:cs="Arial"/>
          <w:i/>
          <w:iCs/>
        </w:rPr>
        <w:t>Allium cepa</w:t>
      </w:r>
      <w:r w:rsidRPr="00CA2B71">
        <w:rPr>
          <w:rFonts w:ascii="Arial" w:hAnsi="Arial" w:cs="Arial"/>
        </w:rPr>
        <w:t xml:space="preserve"> root tip cells, indicating inhibition of cell division and </w:t>
      </w:r>
      <w:proofErr w:type="spellStart"/>
      <w:r w:rsidRPr="00CA2B71">
        <w:rPr>
          <w:rFonts w:ascii="Arial" w:hAnsi="Arial" w:cs="Arial"/>
        </w:rPr>
        <w:t>mitodepressive</w:t>
      </w:r>
      <w:proofErr w:type="spellEnd"/>
      <w:r w:rsidRPr="00CA2B71">
        <w:rPr>
          <w:rFonts w:ascii="Arial" w:hAnsi="Arial" w:cs="Arial"/>
        </w:rPr>
        <w:t xml:space="preserve"> effects on meristematic tissues. Similar cytogenetic responses have been reported in </w:t>
      </w:r>
      <w:r w:rsidRPr="00CA2B71">
        <w:rPr>
          <w:rFonts w:ascii="Arial" w:hAnsi="Arial" w:cs="Arial"/>
          <w:i/>
          <w:iCs/>
        </w:rPr>
        <w:t>Allium cepa</w:t>
      </w:r>
      <w:r w:rsidRPr="00CA2B71">
        <w:rPr>
          <w:rFonts w:ascii="Arial" w:hAnsi="Arial" w:cs="Arial"/>
        </w:rPr>
        <w:t xml:space="preserve"> following exposure to toxic agents. For instance, Babu </w:t>
      </w:r>
      <w:r w:rsidRPr="00CA2B71">
        <w:rPr>
          <w:rFonts w:ascii="Arial" w:hAnsi="Arial" w:cs="Arial"/>
          <w:i/>
          <w:iCs/>
        </w:rPr>
        <w:t>et al.,</w:t>
      </w:r>
      <w:r w:rsidRPr="00CA2B71">
        <w:rPr>
          <w:rFonts w:ascii="Arial" w:hAnsi="Arial" w:cs="Arial"/>
        </w:rPr>
        <w:t xml:space="preserve"> (2008) demonstrated that nano-silver significantly reduced mitotic activity and induced chromosomal abnormalities such as stickiness, disturbed metaphase and anaphase bridges in onion root cells. </w:t>
      </w:r>
    </w:p>
    <w:p w14:paraId="4A424009" w14:textId="77777777" w:rsidR="00CA2B71" w:rsidRDefault="00CA2B71" w:rsidP="00CA2B71">
      <w:pPr>
        <w:jc w:val="both"/>
        <w:rPr>
          <w:rFonts w:ascii="Arial" w:hAnsi="Arial" w:cs="Arial"/>
        </w:rPr>
      </w:pPr>
    </w:p>
    <w:p w14:paraId="6A9F71FB" w14:textId="77777777" w:rsidR="00464F18" w:rsidRDefault="00464F18" w:rsidP="00CA2B71">
      <w:pPr>
        <w:jc w:val="both"/>
        <w:rPr>
          <w:rFonts w:ascii="Arial" w:hAnsi="Arial" w:cs="Arial"/>
        </w:rPr>
      </w:pPr>
      <w:r w:rsidRPr="00CA2B71">
        <w:rPr>
          <w:rFonts w:ascii="Arial" w:hAnsi="Arial" w:cs="Arial"/>
        </w:rPr>
        <w:t xml:space="preserve">In the present study, chromosomal stickiness observed at higher concentrations suggests disturbances in chromatin organization and spindle activity during mitosis. </w:t>
      </w:r>
      <w:r w:rsidRPr="00CA2B71">
        <w:rPr>
          <w:rFonts w:ascii="Arial" w:hAnsi="Arial" w:cs="Arial"/>
        </w:rPr>
        <w:br/>
        <w:t xml:space="preserve">The </w:t>
      </w:r>
      <w:r w:rsidRPr="00CA2B71">
        <w:rPr>
          <w:rFonts w:ascii="Arial" w:hAnsi="Arial" w:cs="Arial"/>
          <w:i/>
          <w:iCs/>
        </w:rPr>
        <w:t>Allium cepa</w:t>
      </w:r>
      <w:r w:rsidRPr="00CA2B71">
        <w:rPr>
          <w:rFonts w:ascii="Arial" w:hAnsi="Arial" w:cs="Arial"/>
        </w:rPr>
        <w:t xml:space="preserve"> assay is widely recognized as a sensitive cytogenetic model for evaluating cytotoxic and genotoxic effects of plant extracts (Leme and Marin-Morales, 2009; </w:t>
      </w:r>
      <w:proofErr w:type="spellStart"/>
      <w:r w:rsidRPr="00CA2B71">
        <w:rPr>
          <w:rFonts w:ascii="Arial" w:hAnsi="Arial" w:cs="Arial"/>
        </w:rPr>
        <w:t>Bonciu</w:t>
      </w:r>
      <w:proofErr w:type="spellEnd"/>
      <w:r w:rsidRPr="00CA2B71">
        <w:rPr>
          <w:rFonts w:ascii="Arial" w:hAnsi="Arial" w:cs="Arial"/>
        </w:rPr>
        <w:t xml:space="preserve"> </w:t>
      </w:r>
      <w:r w:rsidRPr="00CA2B71">
        <w:rPr>
          <w:rFonts w:ascii="Arial" w:hAnsi="Arial" w:cs="Arial"/>
          <w:i/>
          <w:iCs/>
        </w:rPr>
        <w:t>et al.,</w:t>
      </w:r>
      <w:r w:rsidRPr="00CA2B71">
        <w:rPr>
          <w:rFonts w:ascii="Arial" w:hAnsi="Arial" w:cs="Arial"/>
        </w:rPr>
        <w:t xml:space="preserve"> 2018) and such reductions in mitotic index with chromosomal abnormalities indicate the presence of biologically active metabolites in the rhizome scales (</w:t>
      </w:r>
      <w:proofErr w:type="spellStart"/>
      <w:r w:rsidRPr="00CA2B71">
        <w:rPr>
          <w:rFonts w:ascii="Arial" w:hAnsi="Arial" w:cs="Arial"/>
        </w:rPr>
        <w:t>Nicuță</w:t>
      </w:r>
      <w:proofErr w:type="spellEnd"/>
      <w:r w:rsidRPr="00CA2B71">
        <w:rPr>
          <w:rFonts w:ascii="Arial" w:hAnsi="Arial" w:cs="Arial"/>
        </w:rPr>
        <w:t xml:space="preserve"> </w:t>
      </w:r>
      <w:r w:rsidRPr="00BB57BA">
        <w:rPr>
          <w:rFonts w:ascii="Arial" w:hAnsi="Arial" w:cs="Arial"/>
          <w:i/>
          <w:iCs/>
        </w:rPr>
        <w:t>et al.,</w:t>
      </w:r>
      <w:r w:rsidRPr="00CA2B71">
        <w:rPr>
          <w:rFonts w:ascii="Arial" w:hAnsi="Arial" w:cs="Arial"/>
        </w:rPr>
        <w:t xml:space="preserve"> 2025).</w:t>
      </w:r>
    </w:p>
    <w:p w14:paraId="01E4ACCA" w14:textId="77777777" w:rsidR="00CA2B71" w:rsidRPr="00CA2B71" w:rsidRDefault="00CA2B71" w:rsidP="00CA2B71">
      <w:pPr>
        <w:jc w:val="both"/>
        <w:rPr>
          <w:rFonts w:ascii="Arial" w:hAnsi="Arial" w:cs="Arial"/>
        </w:rPr>
      </w:pPr>
    </w:p>
    <w:p w14:paraId="3CC56580" w14:textId="77777777" w:rsidR="00464F18" w:rsidRPr="00CA2B71" w:rsidRDefault="00464F18" w:rsidP="00CA2B71">
      <w:pPr>
        <w:jc w:val="both"/>
        <w:rPr>
          <w:rFonts w:ascii="Arial" w:hAnsi="Arial" w:cs="Arial"/>
        </w:rPr>
      </w:pPr>
      <w:r w:rsidRPr="00CA2B71">
        <w:rPr>
          <w:rFonts w:ascii="Arial" w:hAnsi="Arial" w:cs="Arial"/>
        </w:rPr>
        <w:t xml:space="preserve">The structural, phytochemical and toxicological findings collectively indicate that the rhizome scales represent a biologically active outer tissue layer. In rhizomatous plants, metabolic specialization often results in enrichment of defense compounds in peripheral tissues. Moreover, polyphenol oxidase (PPO) activity is typically higher in outer plant layers, leading to oxidative transformation of bioactive compounds when such tissues are not removed (Queiroz </w:t>
      </w:r>
      <w:r w:rsidRPr="00CA2B71">
        <w:rPr>
          <w:rFonts w:ascii="Arial" w:hAnsi="Arial" w:cs="Arial"/>
          <w:i/>
          <w:iCs/>
        </w:rPr>
        <w:t>et al.,</w:t>
      </w:r>
      <w:r w:rsidRPr="00CA2B71">
        <w:rPr>
          <w:rFonts w:ascii="Arial" w:hAnsi="Arial" w:cs="Arial"/>
        </w:rPr>
        <w:t xml:space="preserve"> 2008). Therefore, the traditional removal of rhizome scales prior to medicinal use may represent an empirical strategy to reduce exposure to defensive metabolites while preserving the therapeutically beneficial inner rhizome.</w:t>
      </w:r>
    </w:p>
    <w:p w14:paraId="7BD3A81B" w14:textId="77777777" w:rsidR="00790ADA" w:rsidRPr="00CA2B71" w:rsidRDefault="00790ADA" w:rsidP="00CA2B71">
      <w:pPr>
        <w:pStyle w:val="Head1"/>
        <w:spacing w:after="0"/>
        <w:jc w:val="both"/>
        <w:rPr>
          <w:rFonts w:ascii="Arial" w:hAnsi="Arial" w:cs="Arial"/>
          <w:sz w:val="20"/>
        </w:rPr>
      </w:pPr>
    </w:p>
    <w:p w14:paraId="01E50508" w14:textId="77777777" w:rsidR="00790ADA" w:rsidRPr="00FB3A86" w:rsidRDefault="00790ADA" w:rsidP="00441B6F">
      <w:pPr>
        <w:pStyle w:val="Body"/>
        <w:spacing w:after="0"/>
        <w:rPr>
          <w:rFonts w:ascii="Arial" w:hAnsi="Arial" w:cs="Arial"/>
        </w:rPr>
      </w:pPr>
    </w:p>
    <w:p w14:paraId="49FEA2B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8B49FF8" w14:textId="77777777" w:rsidR="00CA2B71" w:rsidRDefault="00CA2B71" w:rsidP="00CA2B71">
      <w:pPr>
        <w:spacing w:line="360" w:lineRule="auto"/>
        <w:ind w:firstLine="720"/>
        <w:jc w:val="both"/>
        <w:rPr>
          <w:rFonts w:ascii="Times New Roman" w:hAnsi="Times New Roman"/>
          <w:sz w:val="24"/>
          <w:szCs w:val="24"/>
        </w:rPr>
      </w:pPr>
    </w:p>
    <w:p w14:paraId="5469D000" w14:textId="77777777" w:rsidR="00CA2B71" w:rsidRPr="00CA2B71" w:rsidRDefault="00CA2B71" w:rsidP="00CA2B71">
      <w:pPr>
        <w:jc w:val="both"/>
        <w:rPr>
          <w:rFonts w:ascii="Arial" w:hAnsi="Arial" w:cs="Arial"/>
        </w:rPr>
      </w:pPr>
      <w:r w:rsidRPr="00CA2B71">
        <w:rPr>
          <w:rFonts w:ascii="Arial" w:hAnsi="Arial" w:cs="Arial"/>
        </w:rPr>
        <w:t xml:space="preserve">The </w:t>
      </w:r>
      <w:proofErr w:type="spellStart"/>
      <w:r w:rsidRPr="00CA2B71">
        <w:rPr>
          <w:rFonts w:ascii="Arial" w:hAnsi="Arial" w:cs="Arial"/>
          <w:i/>
          <w:iCs/>
        </w:rPr>
        <w:t>Drynaria</w:t>
      </w:r>
      <w:proofErr w:type="spellEnd"/>
      <w:r w:rsidRPr="00CA2B71">
        <w:rPr>
          <w:rFonts w:ascii="Arial" w:hAnsi="Arial" w:cs="Arial"/>
          <w:i/>
          <w:iCs/>
        </w:rPr>
        <w:t xml:space="preserve"> </w:t>
      </w:r>
      <w:proofErr w:type="spellStart"/>
      <w:r w:rsidRPr="00CA2B71">
        <w:rPr>
          <w:rFonts w:ascii="Arial" w:hAnsi="Arial" w:cs="Arial"/>
          <w:i/>
          <w:iCs/>
        </w:rPr>
        <w:t>quercifolia</w:t>
      </w:r>
      <w:proofErr w:type="spellEnd"/>
      <w:r w:rsidRPr="00CA2B71">
        <w:rPr>
          <w:rFonts w:ascii="Arial" w:hAnsi="Arial" w:cs="Arial"/>
        </w:rPr>
        <w:t xml:space="preserve"> rhizome scales represents a structurally specialized outer tissue layer with a phytochemical composition and biological activity distinct from the inner rhizome. The presence of defense-associated constituents and the concentration-dependent cytotoxic and antimitotic effects observed in multiple bioassays indicate that the scale layer possesses measurable biological reactivity. Based on these findings, removal of the outer scale layer prior to consumption appears to be a prudent preparatory step to minimize potential exposure to bioactive defensive compounds. While further compound-level and mechanistic toxicological studies are required to establish definitive safety parameters, the present results </w:t>
      </w:r>
      <w:r w:rsidRPr="00CA2B71">
        <w:rPr>
          <w:rFonts w:ascii="Arial" w:hAnsi="Arial" w:cs="Arial"/>
        </w:rPr>
        <w:lastRenderedPageBreak/>
        <w:t>suggest that prior separation of the scales should be considered before medicinal use of the rhizome.</w:t>
      </w:r>
    </w:p>
    <w:p w14:paraId="7A5D60D8" w14:textId="77777777" w:rsidR="00CA2B71" w:rsidRDefault="00CA2B71" w:rsidP="00441B6F">
      <w:pPr>
        <w:pStyle w:val="ConcHead"/>
        <w:spacing w:after="0"/>
        <w:jc w:val="both"/>
        <w:rPr>
          <w:rFonts w:ascii="Arial" w:hAnsi="Arial" w:cs="Arial"/>
        </w:rPr>
      </w:pPr>
    </w:p>
    <w:p w14:paraId="6B593E4B" w14:textId="77777777" w:rsidR="00790ADA" w:rsidRPr="00FB3A86" w:rsidRDefault="00790ADA" w:rsidP="00441B6F">
      <w:pPr>
        <w:pStyle w:val="ConcHead"/>
        <w:spacing w:after="0"/>
        <w:jc w:val="both"/>
        <w:rPr>
          <w:rFonts w:ascii="Arial" w:hAnsi="Arial" w:cs="Arial"/>
        </w:rPr>
      </w:pPr>
    </w:p>
    <w:p w14:paraId="3C1F368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7BB9DA" w14:textId="77777777" w:rsidR="00790ADA" w:rsidRPr="00FB3A86" w:rsidRDefault="00790ADA" w:rsidP="00441B6F">
      <w:pPr>
        <w:pStyle w:val="ReferHead"/>
        <w:spacing w:after="0"/>
        <w:jc w:val="both"/>
        <w:rPr>
          <w:rFonts w:ascii="Arial" w:hAnsi="Arial" w:cs="Arial"/>
        </w:rPr>
      </w:pPr>
    </w:p>
    <w:p w14:paraId="6995ADBE" w14:textId="77777777" w:rsidR="00615F89" w:rsidRPr="00F51532" w:rsidRDefault="00615F89" w:rsidP="00615F89">
      <w:pPr>
        <w:pStyle w:val="Reference"/>
        <w:rPr>
          <w:rFonts w:ascii="Arial" w:hAnsi="Arial" w:cs="Arial"/>
        </w:rPr>
      </w:pPr>
      <w:proofErr w:type="spellStart"/>
      <w:r w:rsidRPr="00F51532">
        <w:rPr>
          <w:rFonts w:ascii="Arial" w:hAnsi="Arial" w:cs="Arial"/>
        </w:rPr>
        <w:t>Arulvasu</w:t>
      </w:r>
      <w:proofErr w:type="spellEnd"/>
      <w:r w:rsidRPr="00F51532">
        <w:rPr>
          <w:rFonts w:ascii="Arial" w:hAnsi="Arial" w:cs="Arial"/>
        </w:rPr>
        <w:t xml:space="preserve">, C., Jennifer, S. M., Prabhu, D., &amp; </w:t>
      </w:r>
      <w:proofErr w:type="spellStart"/>
      <w:r w:rsidRPr="00F51532">
        <w:rPr>
          <w:rFonts w:ascii="Arial" w:hAnsi="Arial" w:cs="Arial"/>
        </w:rPr>
        <w:t>Chandhirasekar</w:t>
      </w:r>
      <w:proofErr w:type="spellEnd"/>
      <w:r w:rsidRPr="00F51532">
        <w:rPr>
          <w:rFonts w:ascii="Arial" w:hAnsi="Arial" w:cs="Arial"/>
        </w:rPr>
        <w:t xml:space="preserve">, D. (2014). Toxicity effect of silver nanoparticles in brine shrimp Artemia. </w:t>
      </w:r>
      <w:r w:rsidRPr="00F51532">
        <w:rPr>
          <w:rFonts w:ascii="Arial" w:hAnsi="Arial" w:cs="Arial"/>
          <w:i/>
          <w:iCs/>
        </w:rPr>
        <w:t>The Scientific World Journal</w:t>
      </w:r>
      <w:r w:rsidRPr="00F51532">
        <w:rPr>
          <w:rFonts w:ascii="Arial" w:hAnsi="Arial" w:cs="Arial"/>
        </w:rPr>
        <w:t xml:space="preserve">, 2014, 706919. </w:t>
      </w:r>
      <w:hyperlink r:id="rId19" w:tgtFrame="_new" w:history="1">
        <w:r w:rsidRPr="00F51532">
          <w:rPr>
            <w:rStyle w:val="Hyperlink"/>
            <w:rFonts w:ascii="Arial" w:hAnsi="Arial" w:cs="Arial"/>
            <w:color w:val="auto"/>
            <w:u w:val="none"/>
          </w:rPr>
          <w:t>https://doi.org/10.1155/2014/706919</w:t>
        </w:r>
      </w:hyperlink>
    </w:p>
    <w:p w14:paraId="2E375227" w14:textId="77777777" w:rsidR="00615F89" w:rsidRPr="00F51532" w:rsidRDefault="00615F89" w:rsidP="00615F89">
      <w:pPr>
        <w:pStyle w:val="Reference"/>
        <w:rPr>
          <w:rFonts w:ascii="Arial" w:hAnsi="Arial" w:cs="Arial"/>
        </w:rPr>
      </w:pPr>
      <w:r w:rsidRPr="00F51532">
        <w:rPr>
          <w:rFonts w:ascii="Arial" w:hAnsi="Arial" w:cs="Arial"/>
        </w:rPr>
        <w:t xml:space="preserve">Aziz, M. M., Raza, M. A., Saleem, H., Wajid, M., Bashir, K., &amp; Ikram, M. (2018). Medicinal values of herbs and plants, in vivo phytochemical evaluation and ethnopharmacological screening: An illustrated review essay. </w:t>
      </w:r>
      <w:r w:rsidRPr="00F51532">
        <w:rPr>
          <w:rFonts w:ascii="Arial" w:hAnsi="Arial" w:cs="Arial"/>
          <w:i/>
          <w:iCs/>
        </w:rPr>
        <w:t>Journal of Pharmacognosy and Phytochemistry</w:t>
      </w:r>
      <w:r w:rsidRPr="00F51532">
        <w:rPr>
          <w:rFonts w:ascii="Arial" w:hAnsi="Arial" w:cs="Arial"/>
        </w:rPr>
        <w:t>, 6(1), 1–10.</w:t>
      </w:r>
    </w:p>
    <w:p w14:paraId="1B576CE0" w14:textId="77777777" w:rsidR="00615F89" w:rsidRPr="00F51532" w:rsidRDefault="00615F89" w:rsidP="00615F89">
      <w:pPr>
        <w:pStyle w:val="Reference"/>
        <w:rPr>
          <w:rFonts w:ascii="Arial" w:hAnsi="Arial" w:cs="Arial"/>
        </w:rPr>
      </w:pPr>
      <w:r w:rsidRPr="00F51532">
        <w:rPr>
          <w:rFonts w:ascii="Arial" w:hAnsi="Arial" w:cs="Arial"/>
        </w:rPr>
        <w:t xml:space="preserve">Babu, K., Deepa, M. A., Shankar, S. G., &amp; Rai, S. (2008). Effect of nano-silver on cell division and mitotic chromosomes: A prefatory siren. </w:t>
      </w:r>
      <w:r w:rsidRPr="00F51532">
        <w:rPr>
          <w:rFonts w:ascii="Arial" w:hAnsi="Arial" w:cs="Arial"/>
          <w:i/>
          <w:iCs/>
        </w:rPr>
        <w:t>The Internet Journal of Nanotechnology</w:t>
      </w:r>
      <w:r w:rsidRPr="00F51532">
        <w:rPr>
          <w:rFonts w:ascii="Arial" w:hAnsi="Arial" w:cs="Arial"/>
        </w:rPr>
        <w:t>, 2(2).</w:t>
      </w:r>
    </w:p>
    <w:p w14:paraId="03F88487" w14:textId="77777777" w:rsidR="00615F89" w:rsidRPr="00F51532" w:rsidRDefault="00615F89" w:rsidP="00615F89">
      <w:pPr>
        <w:pStyle w:val="Reference"/>
        <w:rPr>
          <w:rFonts w:ascii="Arial" w:hAnsi="Arial" w:cs="Arial"/>
        </w:rPr>
      </w:pPr>
      <w:proofErr w:type="spellStart"/>
      <w:r w:rsidRPr="00F51532">
        <w:rPr>
          <w:rFonts w:ascii="Arial" w:hAnsi="Arial" w:cs="Arial"/>
        </w:rPr>
        <w:t>Barón</w:t>
      </w:r>
      <w:proofErr w:type="spellEnd"/>
      <w:r w:rsidRPr="00F51532">
        <w:rPr>
          <w:rFonts w:ascii="Arial" w:hAnsi="Arial" w:cs="Arial"/>
        </w:rPr>
        <w:t xml:space="preserve">, A., </w:t>
      </w:r>
      <w:proofErr w:type="spellStart"/>
      <w:r w:rsidRPr="00F51532">
        <w:rPr>
          <w:rFonts w:ascii="Arial" w:hAnsi="Arial" w:cs="Arial"/>
        </w:rPr>
        <w:t>Mehltreter</w:t>
      </w:r>
      <w:proofErr w:type="spellEnd"/>
      <w:r w:rsidRPr="00F51532">
        <w:rPr>
          <w:rFonts w:ascii="Arial" w:hAnsi="Arial" w:cs="Arial"/>
        </w:rPr>
        <w:t xml:space="preserve">, K., &amp; Kessler, M. (2019). Functional roles of indument in fern fronds: Protection against desiccation and herbivory. </w:t>
      </w:r>
      <w:r w:rsidRPr="00F51532">
        <w:rPr>
          <w:rFonts w:ascii="Arial" w:hAnsi="Arial" w:cs="Arial"/>
          <w:i/>
          <w:iCs/>
        </w:rPr>
        <w:t>Annals of Botany</w:t>
      </w:r>
      <w:r w:rsidRPr="00F51532">
        <w:rPr>
          <w:rFonts w:ascii="Arial" w:hAnsi="Arial" w:cs="Arial"/>
        </w:rPr>
        <w:t xml:space="preserve">, 123(5), 843–854. </w:t>
      </w:r>
      <w:hyperlink r:id="rId20" w:tgtFrame="_new" w:history="1">
        <w:r w:rsidRPr="00F51532">
          <w:rPr>
            <w:rStyle w:val="Hyperlink"/>
            <w:rFonts w:ascii="Arial" w:hAnsi="Arial" w:cs="Arial"/>
            <w:color w:val="auto"/>
            <w:u w:val="none"/>
          </w:rPr>
          <w:t>https://doi.org/10.1093/aob/mcy214</w:t>
        </w:r>
      </w:hyperlink>
    </w:p>
    <w:p w14:paraId="7000D687" w14:textId="77777777" w:rsidR="00615F89" w:rsidRPr="00F51532" w:rsidRDefault="00615F89" w:rsidP="00615F89">
      <w:pPr>
        <w:pStyle w:val="Reference"/>
        <w:rPr>
          <w:rFonts w:ascii="Arial" w:hAnsi="Arial" w:cs="Arial"/>
        </w:rPr>
      </w:pPr>
      <w:proofErr w:type="spellStart"/>
      <w:r w:rsidRPr="00F51532">
        <w:rPr>
          <w:rFonts w:ascii="Arial" w:hAnsi="Arial" w:cs="Arial"/>
        </w:rPr>
        <w:t>Bonciu</w:t>
      </w:r>
      <w:proofErr w:type="spellEnd"/>
      <w:r w:rsidRPr="00F51532">
        <w:rPr>
          <w:rFonts w:ascii="Arial" w:hAnsi="Arial" w:cs="Arial"/>
        </w:rPr>
        <w:t xml:space="preserve">, E., </w:t>
      </w:r>
      <w:proofErr w:type="spellStart"/>
      <w:r w:rsidRPr="00F51532">
        <w:rPr>
          <w:rFonts w:ascii="Arial" w:hAnsi="Arial" w:cs="Arial"/>
        </w:rPr>
        <w:t>Firbas</w:t>
      </w:r>
      <w:proofErr w:type="spellEnd"/>
      <w:r w:rsidRPr="00F51532">
        <w:rPr>
          <w:rFonts w:ascii="Arial" w:hAnsi="Arial" w:cs="Arial"/>
        </w:rPr>
        <w:t xml:space="preserve">, P., Fontanetti, C. S., </w:t>
      </w:r>
      <w:proofErr w:type="spellStart"/>
      <w:r w:rsidRPr="00F51532">
        <w:rPr>
          <w:rFonts w:ascii="Arial" w:hAnsi="Arial" w:cs="Arial"/>
        </w:rPr>
        <w:t>Waisi</w:t>
      </w:r>
      <w:proofErr w:type="spellEnd"/>
      <w:r w:rsidRPr="00F51532">
        <w:rPr>
          <w:rFonts w:ascii="Arial" w:hAnsi="Arial" w:cs="Arial"/>
        </w:rPr>
        <w:t xml:space="preserve">, K., Al-Khamis, H. H., Postolache, A. N., et al. (2018). An evaluation of the Allium test as a cytogenetic tool. </w:t>
      </w:r>
      <w:r w:rsidRPr="00F51532">
        <w:rPr>
          <w:rFonts w:ascii="Arial" w:hAnsi="Arial" w:cs="Arial"/>
          <w:i/>
          <w:iCs/>
        </w:rPr>
        <w:t xml:space="preserve">Mutation </w:t>
      </w:r>
      <w:bookmarkStart w:id="0" w:name="_GoBack"/>
      <w:r w:rsidRPr="00F51532">
        <w:rPr>
          <w:rFonts w:ascii="Arial" w:hAnsi="Arial" w:cs="Arial"/>
          <w:i/>
          <w:iCs/>
        </w:rPr>
        <w:t>Research/Reviews in Mutation Research</w:t>
      </w:r>
      <w:r w:rsidRPr="00F51532">
        <w:rPr>
          <w:rFonts w:ascii="Arial" w:hAnsi="Arial" w:cs="Arial"/>
        </w:rPr>
        <w:t xml:space="preserve">, 780, 9–21. </w:t>
      </w:r>
      <w:bookmarkEnd w:id="0"/>
      <w:r w:rsidR="00846529">
        <w:fldChar w:fldCharType="begin"/>
      </w:r>
      <w:r w:rsidR="00846529">
        <w:instrText xml:space="preserve"> HYPERLINK "https://doi.org/10.1016/j.mrrev.2018.05.002" \t "_new" </w:instrText>
      </w:r>
      <w:r w:rsidR="00846529">
        <w:fldChar w:fldCharType="separate"/>
      </w:r>
      <w:r w:rsidRPr="00F51532">
        <w:rPr>
          <w:rStyle w:val="Hyperlink"/>
          <w:rFonts w:ascii="Arial" w:hAnsi="Arial" w:cs="Arial"/>
          <w:color w:val="auto"/>
          <w:u w:val="none"/>
        </w:rPr>
        <w:t>https://doi.org/10.1016/j.mrrev.2018.05.002</w:t>
      </w:r>
      <w:r w:rsidR="00846529">
        <w:rPr>
          <w:rStyle w:val="Hyperlink"/>
          <w:rFonts w:ascii="Arial" w:hAnsi="Arial" w:cs="Arial"/>
          <w:color w:val="auto"/>
          <w:u w:val="none"/>
        </w:rPr>
        <w:fldChar w:fldCharType="end"/>
      </w:r>
    </w:p>
    <w:p w14:paraId="6B32EEAE" w14:textId="77777777" w:rsidR="00615F89" w:rsidRPr="00F51532" w:rsidRDefault="00615F89" w:rsidP="00615F89">
      <w:pPr>
        <w:pStyle w:val="Reference"/>
        <w:rPr>
          <w:rFonts w:ascii="Arial" w:hAnsi="Arial" w:cs="Arial"/>
        </w:rPr>
      </w:pPr>
      <w:r w:rsidRPr="00F51532">
        <w:rPr>
          <w:rFonts w:ascii="Arial" w:hAnsi="Arial" w:cs="Arial"/>
        </w:rPr>
        <w:t xml:space="preserve">Buhl, K. J., Hamilton, S. J., &amp; </w:t>
      </w:r>
      <w:proofErr w:type="spellStart"/>
      <w:r w:rsidRPr="00F51532">
        <w:rPr>
          <w:rFonts w:ascii="Arial" w:hAnsi="Arial" w:cs="Arial"/>
        </w:rPr>
        <w:t>Schmulbach</w:t>
      </w:r>
      <w:proofErr w:type="spellEnd"/>
      <w:r w:rsidRPr="00F51532">
        <w:rPr>
          <w:rFonts w:ascii="Arial" w:hAnsi="Arial" w:cs="Arial"/>
        </w:rPr>
        <w:t xml:space="preserve">, J. C. (1993). Acute toxicity of the herbicide bromoxynil to </w:t>
      </w:r>
      <w:r w:rsidRPr="00F51532">
        <w:rPr>
          <w:rFonts w:ascii="Arial" w:hAnsi="Arial" w:cs="Arial"/>
          <w:i/>
          <w:iCs/>
        </w:rPr>
        <w:t>Daphnia magna</w:t>
      </w:r>
      <w:r w:rsidRPr="00F51532">
        <w:rPr>
          <w:rFonts w:ascii="Arial" w:hAnsi="Arial" w:cs="Arial"/>
        </w:rPr>
        <w:t xml:space="preserve">. </w:t>
      </w:r>
      <w:r w:rsidRPr="00F51532">
        <w:rPr>
          <w:rFonts w:ascii="Arial" w:hAnsi="Arial" w:cs="Arial"/>
          <w:i/>
          <w:iCs/>
        </w:rPr>
        <w:t>Environmental Toxicology and Chemistry</w:t>
      </w:r>
      <w:r w:rsidRPr="00F51532">
        <w:rPr>
          <w:rFonts w:ascii="Arial" w:hAnsi="Arial" w:cs="Arial"/>
        </w:rPr>
        <w:t>, 12, 1455–1468.</w:t>
      </w:r>
    </w:p>
    <w:p w14:paraId="1BFB69F2" w14:textId="77777777" w:rsidR="00615F89" w:rsidRPr="00F51532" w:rsidRDefault="00615F89" w:rsidP="00615F89">
      <w:pPr>
        <w:pStyle w:val="Reference"/>
        <w:rPr>
          <w:rFonts w:ascii="Arial" w:hAnsi="Arial" w:cs="Arial"/>
        </w:rPr>
      </w:pPr>
      <w:r w:rsidRPr="00F51532">
        <w:rPr>
          <w:rFonts w:ascii="Arial" w:hAnsi="Arial" w:cs="Arial"/>
        </w:rPr>
        <w:t xml:space="preserve">Chidananda, C., Thakur, G., Datta, D., &amp; Popat, K. (2025). A comprehensive review of alkaloids in cancer therapy: Focusing on molecular mechanisms and synergistic potential of piperine in colorectal cancer. </w:t>
      </w:r>
      <w:r w:rsidRPr="00F51532">
        <w:rPr>
          <w:rFonts w:ascii="Arial" w:hAnsi="Arial" w:cs="Arial"/>
          <w:i/>
          <w:iCs/>
        </w:rPr>
        <w:t>3 Biotech</w:t>
      </w:r>
      <w:r w:rsidRPr="00F51532">
        <w:rPr>
          <w:rFonts w:ascii="Arial" w:hAnsi="Arial" w:cs="Arial"/>
        </w:rPr>
        <w:t xml:space="preserve">, 15(11), 403. </w:t>
      </w:r>
      <w:hyperlink r:id="rId21" w:tgtFrame="_new" w:history="1">
        <w:r w:rsidRPr="00F51532">
          <w:rPr>
            <w:rStyle w:val="Hyperlink"/>
            <w:rFonts w:ascii="Arial" w:hAnsi="Arial" w:cs="Arial"/>
            <w:color w:val="auto"/>
            <w:u w:val="none"/>
          </w:rPr>
          <w:t>https://doi.org/10.1007/s13205-025-04535-8</w:t>
        </w:r>
      </w:hyperlink>
    </w:p>
    <w:p w14:paraId="171C2F93" w14:textId="77777777" w:rsidR="00615F89" w:rsidRPr="00F51532" w:rsidRDefault="00615F89" w:rsidP="00615F89">
      <w:pPr>
        <w:pStyle w:val="Reference"/>
        <w:rPr>
          <w:rFonts w:ascii="Arial" w:hAnsi="Arial" w:cs="Arial"/>
        </w:rPr>
      </w:pPr>
      <w:r w:rsidRPr="00F51532">
        <w:rPr>
          <w:rFonts w:ascii="Arial" w:hAnsi="Arial" w:cs="Arial"/>
        </w:rPr>
        <w:t xml:space="preserve">Evans, W. C. (2009). </w:t>
      </w:r>
      <w:r w:rsidRPr="00F51532">
        <w:rPr>
          <w:rFonts w:ascii="Arial" w:hAnsi="Arial" w:cs="Arial"/>
          <w:i/>
          <w:iCs/>
        </w:rPr>
        <w:t>Trease and Evans’ pharmacognosy</w:t>
      </w:r>
      <w:r w:rsidRPr="00F51532">
        <w:rPr>
          <w:rFonts w:ascii="Arial" w:hAnsi="Arial" w:cs="Arial"/>
        </w:rPr>
        <w:t xml:space="preserve"> (16th ed.). Edinburgh: Saunders Elsevier.</w:t>
      </w:r>
    </w:p>
    <w:p w14:paraId="2F59D8E5" w14:textId="77777777" w:rsidR="00615F89" w:rsidRPr="00F51532" w:rsidRDefault="00615F89" w:rsidP="00615F89">
      <w:pPr>
        <w:pStyle w:val="Reference"/>
        <w:rPr>
          <w:rFonts w:ascii="Arial" w:hAnsi="Arial" w:cs="Arial"/>
        </w:rPr>
      </w:pPr>
      <w:r w:rsidRPr="00F51532">
        <w:rPr>
          <w:rFonts w:ascii="Arial" w:hAnsi="Arial" w:cs="Arial"/>
        </w:rPr>
        <w:t xml:space="preserve">Hamidi, M. R., Jovanova, B., &amp; </w:t>
      </w:r>
      <w:proofErr w:type="spellStart"/>
      <w:r w:rsidRPr="00F51532">
        <w:rPr>
          <w:rFonts w:ascii="Arial" w:hAnsi="Arial" w:cs="Arial"/>
        </w:rPr>
        <w:t>Panovska</w:t>
      </w:r>
      <w:proofErr w:type="spellEnd"/>
      <w:r w:rsidRPr="00F51532">
        <w:rPr>
          <w:rFonts w:ascii="Arial" w:hAnsi="Arial" w:cs="Arial"/>
        </w:rPr>
        <w:t xml:space="preserve">, T. K. (2014). Brine shrimp lethality test for screening cytotoxic activity of plant extracts. </w:t>
      </w:r>
      <w:r w:rsidRPr="00F51532">
        <w:rPr>
          <w:rFonts w:ascii="Arial" w:hAnsi="Arial" w:cs="Arial"/>
          <w:i/>
          <w:iCs/>
        </w:rPr>
        <w:t>Journal of Coastal Life Medicine</w:t>
      </w:r>
      <w:r w:rsidRPr="00F51532">
        <w:rPr>
          <w:rFonts w:ascii="Arial" w:hAnsi="Arial" w:cs="Arial"/>
        </w:rPr>
        <w:t>, 2(12), 971–975.</w:t>
      </w:r>
    </w:p>
    <w:p w14:paraId="24E28F67" w14:textId="77777777" w:rsidR="00615F89" w:rsidRPr="00F51532" w:rsidRDefault="00615F89" w:rsidP="00615F89">
      <w:pPr>
        <w:pStyle w:val="Reference"/>
        <w:rPr>
          <w:rFonts w:ascii="Arial" w:hAnsi="Arial" w:cs="Arial"/>
        </w:rPr>
      </w:pPr>
      <w:r w:rsidRPr="00F51532">
        <w:rPr>
          <w:rFonts w:ascii="Arial" w:hAnsi="Arial" w:cs="Arial"/>
        </w:rPr>
        <w:t xml:space="preserve">Hamilton, M. A., Russo, R. C., &amp; Thurston, R. V. (1978). Trimmed Spearman-Karber method for estimating median lethal concentrations in bioassays. </w:t>
      </w:r>
      <w:r w:rsidRPr="00F51532">
        <w:rPr>
          <w:rFonts w:ascii="Arial" w:hAnsi="Arial" w:cs="Arial"/>
          <w:i/>
          <w:iCs/>
        </w:rPr>
        <w:t>Environmental Science &amp; Technology</w:t>
      </w:r>
      <w:r w:rsidRPr="00F51532">
        <w:rPr>
          <w:rFonts w:ascii="Arial" w:hAnsi="Arial" w:cs="Arial"/>
        </w:rPr>
        <w:t xml:space="preserve">, 12(4), 417–417. </w:t>
      </w:r>
      <w:hyperlink r:id="rId22" w:tgtFrame="_new" w:history="1">
        <w:r w:rsidRPr="00F51532">
          <w:rPr>
            <w:rStyle w:val="Hyperlink"/>
            <w:rFonts w:ascii="Arial" w:hAnsi="Arial" w:cs="Arial"/>
            <w:color w:val="auto"/>
            <w:u w:val="none"/>
          </w:rPr>
          <w:t>https://doi.org/10.1021/es60140a017</w:t>
        </w:r>
      </w:hyperlink>
    </w:p>
    <w:p w14:paraId="22A41D77" w14:textId="77777777" w:rsidR="00615F89" w:rsidRPr="00F51532" w:rsidRDefault="00615F89" w:rsidP="00615F89">
      <w:pPr>
        <w:pStyle w:val="Reference"/>
        <w:rPr>
          <w:rFonts w:ascii="Arial" w:hAnsi="Arial" w:cs="Arial"/>
        </w:rPr>
      </w:pPr>
      <w:r w:rsidRPr="00F51532">
        <w:rPr>
          <w:rFonts w:ascii="Arial" w:hAnsi="Arial" w:cs="Arial"/>
        </w:rPr>
        <w:t xml:space="preserve">Harborne, J. B. (1998). </w:t>
      </w:r>
      <w:r w:rsidRPr="00F51532">
        <w:rPr>
          <w:rFonts w:ascii="Arial" w:hAnsi="Arial" w:cs="Arial"/>
          <w:i/>
          <w:iCs/>
        </w:rPr>
        <w:t>Phytochemical methods: A guide to modern techniques of plant analysis</w:t>
      </w:r>
      <w:r w:rsidRPr="00F51532">
        <w:rPr>
          <w:rFonts w:ascii="Arial" w:hAnsi="Arial" w:cs="Arial"/>
        </w:rPr>
        <w:t xml:space="preserve"> (3rd ed.). London: Chapman &amp; Hall.</w:t>
      </w:r>
    </w:p>
    <w:p w14:paraId="0D0B16CE" w14:textId="77777777" w:rsidR="00615F89" w:rsidRPr="00F51532" w:rsidRDefault="00615F89" w:rsidP="00615F89">
      <w:pPr>
        <w:pStyle w:val="Reference"/>
        <w:rPr>
          <w:rFonts w:ascii="Arial" w:hAnsi="Arial" w:cs="Arial"/>
        </w:rPr>
      </w:pPr>
      <w:r w:rsidRPr="00F51532">
        <w:rPr>
          <w:rFonts w:ascii="Arial" w:hAnsi="Arial" w:cs="Arial"/>
        </w:rPr>
        <w:t xml:space="preserve">Heinrich, M., Mah, J. L., &amp; </w:t>
      </w:r>
      <w:proofErr w:type="spellStart"/>
      <w:r w:rsidRPr="00F51532">
        <w:rPr>
          <w:rFonts w:ascii="Arial" w:hAnsi="Arial" w:cs="Arial"/>
        </w:rPr>
        <w:t>Amirkia</w:t>
      </w:r>
      <w:proofErr w:type="spellEnd"/>
      <w:r w:rsidRPr="00F51532">
        <w:rPr>
          <w:rFonts w:ascii="Arial" w:hAnsi="Arial" w:cs="Arial"/>
        </w:rPr>
        <w:t xml:space="preserve">, V. (2021). Alkaloids as pharmacologically active plant metabolites. </w:t>
      </w:r>
      <w:r w:rsidRPr="00F51532">
        <w:rPr>
          <w:rFonts w:ascii="Arial" w:hAnsi="Arial" w:cs="Arial"/>
          <w:i/>
          <w:iCs/>
        </w:rPr>
        <w:t>Phytochemistry Reviews</w:t>
      </w:r>
      <w:r w:rsidRPr="00F51532">
        <w:rPr>
          <w:rFonts w:ascii="Arial" w:hAnsi="Arial" w:cs="Arial"/>
        </w:rPr>
        <w:t xml:space="preserve">, 20(1), 123–145. </w:t>
      </w:r>
      <w:hyperlink r:id="rId23" w:tgtFrame="_new" w:history="1">
        <w:r w:rsidRPr="00F51532">
          <w:rPr>
            <w:rStyle w:val="Hyperlink"/>
            <w:rFonts w:ascii="Arial" w:hAnsi="Arial" w:cs="Arial"/>
            <w:color w:val="auto"/>
            <w:u w:val="none"/>
          </w:rPr>
          <w:t>https://doi.org/10.1007/s11101-020-09692-9</w:t>
        </w:r>
      </w:hyperlink>
    </w:p>
    <w:p w14:paraId="7D7695A1" w14:textId="77777777" w:rsidR="00615F89" w:rsidRPr="00F51532" w:rsidRDefault="00615F89" w:rsidP="00615F89">
      <w:pPr>
        <w:pStyle w:val="Reference"/>
        <w:rPr>
          <w:rFonts w:ascii="Arial" w:hAnsi="Arial" w:cs="Arial"/>
        </w:rPr>
      </w:pPr>
      <w:r w:rsidRPr="00F51532">
        <w:rPr>
          <w:rFonts w:ascii="Arial" w:hAnsi="Arial" w:cs="Arial"/>
        </w:rPr>
        <w:t xml:space="preserve">Leme, D. M., &amp; Marin-Morales, M. A. (2009). Allium cepa test in environmental monitoring: A review on its application. </w:t>
      </w:r>
      <w:r w:rsidRPr="00F51532">
        <w:rPr>
          <w:rFonts w:ascii="Arial" w:hAnsi="Arial" w:cs="Arial"/>
          <w:i/>
          <w:iCs/>
        </w:rPr>
        <w:t>Mutation Research/Reviews in Mutation Research</w:t>
      </w:r>
      <w:r w:rsidRPr="00F51532">
        <w:rPr>
          <w:rFonts w:ascii="Arial" w:hAnsi="Arial" w:cs="Arial"/>
        </w:rPr>
        <w:t xml:space="preserve">, 682(1), 71–81. </w:t>
      </w:r>
      <w:hyperlink r:id="rId24" w:tgtFrame="_new" w:history="1">
        <w:r w:rsidRPr="00F51532">
          <w:rPr>
            <w:rStyle w:val="Hyperlink"/>
            <w:rFonts w:ascii="Arial" w:hAnsi="Arial" w:cs="Arial"/>
            <w:color w:val="auto"/>
            <w:u w:val="none"/>
          </w:rPr>
          <w:t>https://doi.org/10.1016/j.mrrev.2009.06.002</w:t>
        </w:r>
      </w:hyperlink>
    </w:p>
    <w:p w14:paraId="4957358D" w14:textId="77777777" w:rsidR="00615F89" w:rsidRPr="00F51532" w:rsidRDefault="00615F89" w:rsidP="00615F89">
      <w:pPr>
        <w:pStyle w:val="Reference"/>
        <w:rPr>
          <w:rFonts w:ascii="Arial" w:hAnsi="Arial" w:cs="Arial"/>
        </w:rPr>
      </w:pPr>
      <w:r w:rsidRPr="00F51532">
        <w:rPr>
          <w:rFonts w:ascii="Arial" w:hAnsi="Arial" w:cs="Arial"/>
        </w:rPr>
        <w:t xml:space="preserve">Lino, V., Reis, A., </w:t>
      </w:r>
      <w:proofErr w:type="spellStart"/>
      <w:r w:rsidRPr="00F51532">
        <w:rPr>
          <w:rFonts w:ascii="Arial" w:hAnsi="Arial" w:cs="Arial"/>
        </w:rPr>
        <w:t>Canaveze</w:t>
      </w:r>
      <w:proofErr w:type="spellEnd"/>
      <w:r w:rsidRPr="00F51532">
        <w:rPr>
          <w:rFonts w:ascii="Arial" w:hAnsi="Arial" w:cs="Arial"/>
        </w:rPr>
        <w:t xml:space="preserve">, Y., Farah, M. S., Sylvestre, L. S., &amp; Ferreira, B. G. (2023). Beyond the physical protection: What can </w:t>
      </w:r>
      <w:r w:rsidRPr="00F51532">
        <w:rPr>
          <w:rFonts w:ascii="Arial" w:hAnsi="Arial" w:cs="Arial"/>
          <w:i/>
          <w:iCs/>
        </w:rPr>
        <w:t>Asplenium glandular</w:t>
      </w:r>
      <w:r w:rsidRPr="00F51532">
        <w:rPr>
          <w:rFonts w:ascii="Arial" w:hAnsi="Arial" w:cs="Arial"/>
        </w:rPr>
        <w:t xml:space="preserve"> scales secrete? </w:t>
      </w:r>
      <w:r w:rsidRPr="00F51532">
        <w:rPr>
          <w:rFonts w:ascii="Arial" w:hAnsi="Arial" w:cs="Arial"/>
          <w:i/>
          <w:iCs/>
        </w:rPr>
        <w:t>Flora</w:t>
      </w:r>
      <w:r w:rsidRPr="00F51532">
        <w:rPr>
          <w:rFonts w:ascii="Arial" w:hAnsi="Arial" w:cs="Arial"/>
        </w:rPr>
        <w:t xml:space="preserve">, 305, 152338. </w:t>
      </w:r>
      <w:hyperlink r:id="rId25" w:tgtFrame="_new" w:history="1">
        <w:r w:rsidRPr="00F51532">
          <w:rPr>
            <w:rStyle w:val="Hyperlink"/>
            <w:rFonts w:ascii="Arial" w:hAnsi="Arial" w:cs="Arial"/>
            <w:color w:val="auto"/>
            <w:u w:val="none"/>
          </w:rPr>
          <w:t>https://doi.org/10.1016/j.flora.2023.152338</w:t>
        </w:r>
      </w:hyperlink>
    </w:p>
    <w:p w14:paraId="31AE4A00" w14:textId="77777777" w:rsidR="00615F89" w:rsidRPr="00F51532" w:rsidRDefault="00615F89" w:rsidP="00615F89">
      <w:pPr>
        <w:pStyle w:val="Reference"/>
        <w:rPr>
          <w:rFonts w:ascii="Arial" w:hAnsi="Arial" w:cs="Arial"/>
        </w:rPr>
      </w:pPr>
      <w:proofErr w:type="spellStart"/>
      <w:r w:rsidRPr="00F51532">
        <w:rPr>
          <w:rFonts w:ascii="Arial" w:hAnsi="Arial" w:cs="Arial"/>
        </w:rPr>
        <w:t>Mehltreter</w:t>
      </w:r>
      <w:proofErr w:type="spellEnd"/>
      <w:r w:rsidRPr="00F51532">
        <w:rPr>
          <w:rFonts w:ascii="Arial" w:hAnsi="Arial" w:cs="Arial"/>
        </w:rPr>
        <w:t xml:space="preserve">, K. (2008). Hairs and scales in ferns: Morphology, distribution and functional significance. </w:t>
      </w:r>
      <w:r w:rsidRPr="00F51532">
        <w:rPr>
          <w:rFonts w:ascii="Arial" w:hAnsi="Arial" w:cs="Arial"/>
          <w:i/>
          <w:iCs/>
        </w:rPr>
        <w:t>The Fern Gazette</w:t>
      </w:r>
      <w:r w:rsidRPr="00F51532">
        <w:rPr>
          <w:rFonts w:ascii="Arial" w:hAnsi="Arial" w:cs="Arial"/>
        </w:rPr>
        <w:t>, 18(3), 87–102.</w:t>
      </w:r>
    </w:p>
    <w:p w14:paraId="0659AB6F" w14:textId="77777777" w:rsidR="00615F89" w:rsidRPr="00F51532" w:rsidRDefault="00615F89" w:rsidP="00615F89">
      <w:pPr>
        <w:pStyle w:val="Reference"/>
        <w:rPr>
          <w:rFonts w:ascii="Arial" w:hAnsi="Arial" w:cs="Arial"/>
        </w:rPr>
      </w:pPr>
      <w:proofErr w:type="spellStart"/>
      <w:r w:rsidRPr="00F51532">
        <w:rPr>
          <w:rFonts w:ascii="Arial" w:hAnsi="Arial" w:cs="Arial"/>
        </w:rPr>
        <w:lastRenderedPageBreak/>
        <w:t>Mehltreter</w:t>
      </w:r>
      <w:proofErr w:type="spellEnd"/>
      <w:r w:rsidRPr="00F51532">
        <w:rPr>
          <w:rFonts w:ascii="Arial" w:hAnsi="Arial" w:cs="Arial"/>
        </w:rPr>
        <w:t xml:space="preserve">, K., Walker, L. R., &amp; Sharpe, J. M. (Eds.). (2010). </w:t>
      </w:r>
      <w:r w:rsidRPr="00F51532">
        <w:rPr>
          <w:rFonts w:ascii="Arial" w:hAnsi="Arial" w:cs="Arial"/>
          <w:i/>
          <w:iCs/>
        </w:rPr>
        <w:t>Fern ecology</w:t>
      </w:r>
      <w:r w:rsidRPr="00F51532">
        <w:rPr>
          <w:rFonts w:ascii="Arial" w:hAnsi="Arial" w:cs="Arial"/>
        </w:rPr>
        <w:t>. Cambridge: Cambridge University Press.</w:t>
      </w:r>
    </w:p>
    <w:p w14:paraId="3912751A" w14:textId="77777777" w:rsidR="00615F89" w:rsidRPr="00F51532" w:rsidRDefault="00615F89" w:rsidP="00615F89">
      <w:pPr>
        <w:pStyle w:val="Reference"/>
        <w:rPr>
          <w:rFonts w:ascii="Arial" w:hAnsi="Arial" w:cs="Arial"/>
        </w:rPr>
      </w:pPr>
      <w:r w:rsidRPr="00F51532">
        <w:rPr>
          <w:rFonts w:ascii="Arial" w:hAnsi="Arial" w:cs="Arial"/>
        </w:rPr>
        <w:t xml:space="preserve">Meyer, B. N., </w:t>
      </w:r>
      <w:proofErr w:type="spellStart"/>
      <w:r w:rsidRPr="00F51532">
        <w:rPr>
          <w:rFonts w:ascii="Arial" w:hAnsi="Arial" w:cs="Arial"/>
        </w:rPr>
        <w:t>Ferrigni</w:t>
      </w:r>
      <w:proofErr w:type="spellEnd"/>
      <w:r w:rsidRPr="00F51532">
        <w:rPr>
          <w:rFonts w:ascii="Arial" w:hAnsi="Arial" w:cs="Arial"/>
        </w:rPr>
        <w:t xml:space="preserve">, N. R., Putnam, J. E., Jacobsen, L. B., Nichols, D. E., &amp; McLaughlin, J. L. (1982). Brine shrimp: A convenient general bioassay for active plant constituents. </w:t>
      </w:r>
      <w:r w:rsidRPr="00F51532">
        <w:rPr>
          <w:rFonts w:ascii="Arial" w:hAnsi="Arial" w:cs="Arial"/>
          <w:i/>
          <w:iCs/>
        </w:rPr>
        <w:t>Planta Medica</w:t>
      </w:r>
      <w:r w:rsidRPr="00F51532">
        <w:rPr>
          <w:rFonts w:ascii="Arial" w:hAnsi="Arial" w:cs="Arial"/>
        </w:rPr>
        <w:t xml:space="preserve">, 45(5), 31–34. </w:t>
      </w:r>
      <w:hyperlink r:id="rId26" w:tgtFrame="_new" w:history="1">
        <w:r w:rsidRPr="00F51532">
          <w:rPr>
            <w:rStyle w:val="Hyperlink"/>
            <w:rFonts w:ascii="Arial" w:hAnsi="Arial" w:cs="Arial"/>
            <w:color w:val="auto"/>
            <w:u w:val="none"/>
          </w:rPr>
          <w:t>https://doi.org/10.1055/s-2007-971236</w:t>
        </w:r>
      </w:hyperlink>
    </w:p>
    <w:p w14:paraId="14232DA1" w14:textId="77777777" w:rsidR="00615F89" w:rsidRPr="00F51532" w:rsidRDefault="00615F89" w:rsidP="00615F89">
      <w:pPr>
        <w:pStyle w:val="Reference"/>
        <w:rPr>
          <w:rFonts w:ascii="Arial" w:hAnsi="Arial" w:cs="Arial"/>
        </w:rPr>
      </w:pPr>
      <w:r w:rsidRPr="00F51532">
        <w:rPr>
          <w:rFonts w:ascii="Arial" w:hAnsi="Arial" w:cs="Arial"/>
        </w:rPr>
        <w:t xml:space="preserve">Modak, D., Ghosh, S., Sarkar, S., Roy, S. K., Chakraborty, A., Ray, R., et al. (2021). Ameliorative effect of </w:t>
      </w:r>
      <w:proofErr w:type="spellStart"/>
      <w:r w:rsidRPr="00F51532">
        <w:rPr>
          <w:rFonts w:ascii="Arial" w:hAnsi="Arial" w:cs="Arial"/>
          <w:i/>
          <w:iCs/>
        </w:rPr>
        <w:t>Drynaria</w:t>
      </w:r>
      <w:proofErr w:type="spellEnd"/>
      <w:r w:rsidRPr="00F51532">
        <w:rPr>
          <w:rFonts w:ascii="Arial" w:hAnsi="Arial" w:cs="Arial"/>
          <w:i/>
          <w:iCs/>
        </w:rPr>
        <w:t xml:space="preserve"> </w:t>
      </w:r>
      <w:proofErr w:type="spellStart"/>
      <w:r w:rsidRPr="00F51532">
        <w:rPr>
          <w:rFonts w:ascii="Arial" w:hAnsi="Arial" w:cs="Arial"/>
          <w:i/>
          <w:iCs/>
        </w:rPr>
        <w:t>quercifolia</w:t>
      </w:r>
      <w:proofErr w:type="spellEnd"/>
      <w:r w:rsidRPr="00F51532">
        <w:rPr>
          <w:rFonts w:ascii="Arial" w:hAnsi="Arial" w:cs="Arial"/>
        </w:rPr>
        <w:t xml:space="preserve"> (L.) J. Sm., an ethnomedicinal plant, in arthritic animals. </w:t>
      </w:r>
      <w:r w:rsidRPr="00F51532">
        <w:rPr>
          <w:rFonts w:ascii="Arial" w:hAnsi="Arial" w:cs="Arial"/>
          <w:i/>
          <w:iCs/>
        </w:rPr>
        <w:t>Food and Chemical Toxicology</w:t>
      </w:r>
      <w:r w:rsidRPr="00F51532">
        <w:rPr>
          <w:rFonts w:ascii="Arial" w:hAnsi="Arial" w:cs="Arial"/>
        </w:rPr>
        <w:t xml:space="preserve">, 151, 112124. </w:t>
      </w:r>
      <w:hyperlink r:id="rId27" w:tgtFrame="_new" w:history="1">
        <w:r w:rsidRPr="00F51532">
          <w:rPr>
            <w:rStyle w:val="Hyperlink"/>
            <w:rFonts w:ascii="Arial" w:hAnsi="Arial" w:cs="Arial"/>
            <w:color w:val="auto"/>
            <w:u w:val="none"/>
          </w:rPr>
          <w:t>https://doi.org/10.1016/j.fct.2021.112124</w:t>
        </w:r>
      </w:hyperlink>
    </w:p>
    <w:p w14:paraId="249A4265" w14:textId="77777777" w:rsidR="00615F89" w:rsidRPr="00F51532" w:rsidRDefault="00615F89" w:rsidP="00615F89">
      <w:pPr>
        <w:pStyle w:val="Reference"/>
        <w:rPr>
          <w:rFonts w:ascii="Arial" w:hAnsi="Arial" w:cs="Arial"/>
        </w:rPr>
      </w:pPr>
      <w:r w:rsidRPr="00F51532">
        <w:rPr>
          <w:rFonts w:ascii="Arial" w:hAnsi="Arial" w:cs="Arial"/>
        </w:rPr>
        <w:t xml:space="preserve">Morrow, D., Corrigan, D., &amp; Waldren, S. (2001). Development of a bioassay for phytochemicals using </w:t>
      </w:r>
      <w:r w:rsidRPr="00F51532">
        <w:rPr>
          <w:rFonts w:ascii="Arial" w:hAnsi="Arial" w:cs="Arial"/>
          <w:i/>
          <w:iCs/>
        </w:rPr>
        <w:t xml:space="preserve">Daphnia </w:t>
      </w:r>
      <w:proofErr w:type="spellStart"/>
      <w:r w:rsidRPr="00F51532">
        <w:rPr>
          <w:rFonts w:ascii="Arial" w:hAnsi="Arial" w:cs="Arial"/>
          <w:i/>
          <w:iCs/>
        </w:rPr>
        <w:t>pulex</w:t>
      </w:r>
      <w:proofErr w:type="spellEnd"/>
      <w:r w:rsidRPr="00F51532">
        <w:rPr>
          <w:rFonts w:ascii="Arial" w:hAnsi="Arial" w:cs="Arial"/>
        </w:rPr>
        <w:t xml:space="preserve">. </w:t>
      </w:r>
      <w:r w:rsidRPr="00F51532">
        <w:rPr>
          <w:rFonts w:ascii="Arial" w:hAnsi="Arial" w:cs="Arial"/>
          <w:i/>
          <w:iCs/>
        </w:rPr>
        <w:t>Planta Medica</w:t>
      </w:r>
      <w:r w:rsidRPr="00F51532">
        <w:rPr>
          <w:rFonts w:ascii="Arial" w:hAnsi="Arial" w:cs="Arial"/>
        </w:rPr>
        <w:t xml:space="preserve">, 67(9), 843–846. </w:t>
      </w:r>
      <w:hyperlink r:id="rId28" w:tgtFrame="_new" w:history="1">
        <w:r w:rsidRPr="00F51532">
          <w:rPr>
            <w:rStyle w:val="Hyperlink"/>
            <w:rFonts w:ascii="Arial" w:hAnsi="Arial" w:cs="Arial"/>
            <w:color w:val="auto"/>
            <w:u w:val="none"/>
          </w:rPr>
          <w:t>https://doi.org/10.1055/s-2001-18859</w:t>
        </w:r>
      </w:hyperlink>
    </w:p>
    <w:p w14:paraId="4CF1EC6A" w14:textId="77777777" w:rsidR="00615F89" w:rsidRPr="00F51532" w:rsidRDefault="00615F89" w:rsidP="00615F89">
      <w:pPr>
        <w:pStyle w:val="Reference"/>
        <w:rPr>
          <w:rFonts w:ascii="Arial" w:hAnsi="Arial" w:cs="Arial"/>
        </w:rPr>
      </w:pPr>
      <w:r w:rsidRPr="00F51532">
        <w:rPr>
          <w:rFonts w:ascii="Arial" w:hAnsi="Arial" w:cs="Arial"/>
        </w:rPr>
        <w:t xml:space="preserve">Narthanaa, S., </w:t>
      </w:r>
      <w:proofErr w:type="spellStart"/>
      <w:r w:rsidRPr="00F51532">
        <w:rPr>
          <w:rFonts w:ascii="Arial" w:hAnsi="Arial" w:cs="Arial"/>
        </w:rPr>
        <w:t>Pradheeba</w:t>
      </w:r>
      <w:proofErr w:type="spellEnd"/>
      <w:r w:rsidRPr="00F51532">
        <w:rPr>
          <w:rFonts w:ascii="Arial" w:hAnsi="Arial" w:cs="Arial"/>
        </w:rPr>
        <w:t xml:space="preserve">, M., Vasuki Priyadharshini, G., Narmatha Sri, J., Pugalenthi, M., &amp; Deepa, M. A. (2025). Comparative phytochemical profiling and mechanistic antioxidant evaluation of </w:t>
      </w:r>
      <w:proofErr w:type="spellStart"/>
      <w:r w:rsidRPr="00F51532">
        <w:rPr>
          <w:rFonts w:ascii="Arial" w:hAnsi="Arial" w:cs="Arial"/>
          <w:i/>
          <w:iCs/>
        </w:rPr>
        <w:t>Drynaria</w:t>
      </w:r>
      <w:proofErr w:type="spellEnd"/>
      <w:r w:rsidRPr="00F51532">
        <w:rPr>
          <w:rFonts w:ascii="Arial" w:hAnsi="Arial" w:cs="Arial"/>
          <w:i/>
          <w:iCs/>
        </w:rPr>
        <w:t xml:space="preserve"> </w:t>
      </w:r>
      <w:proofErr w:type="spellStart"/>
      <w:r w:rsidRPr="00F51532">
        <w:rPr>
          <w:rFonts w:ascii="Arial" w:hAnsi="Arial" w:cs="Arial"/>
          <w:i/>
          <w:iCs/>
        </w:rPr>
        <w:t>quercifolia</w:t>
      </w:r>
      <w:proofErr w:type="spellEnd"/>
      <w:r w:rsidRPr="00F51532">
        <w:rPr>
          <w:rFonts w:ascii="Arial" w:hAnsi="Arial" w:cs="Arial"/>
        </w:rPr>
        <w:t xml:space="preserve"> (L.) </w:t>
      </w:r>
      <w:proofErr w:type="spellStart"/>
      <w:r w:rsidRPr="00F51532">
        <w:rPr>
          <w:rFonts w:ascii="Arial" w:hAnsi="Arial" w:cs="Arial"/>
        </w:rPr>
        <w:t>J.Sm</w:t>
      </w:r>
      <w:proofErr w:type="spellEnd"/>
      <w:r w:rsidRPr="00F51532">
        <w:rPr>
          <w:rFonts w:ascii="Arial" w:hAnsi="Arial" w:cs="Arial"/>
        </w:rPr>
        <w:t xml:space="preserve">. and </w:t>
      </w:r>
      <w:r w:rsidRPr="00F51532">
        <w:rPr>
          <w:rFonts w:ascii="Arial" w:hAnsi="Arial" w:cs="Arial"/>
          <w:i/>
          <w:iCs/>
        </w:rPr>
        <w:t>Curcuma aeruginosa</w:t>
      </w:r>
      <w:r w:rsidRPr="00F51532">
        <w:rPr>
          <w:rFonts w:ascii="Arial" w:hAnsi="Arial" w:cs="Arial"/>
        </w:rPr>
        <w:t xml:space="preserve"> </w:t>
      </w:r>
      <w:proofErr w:type="spellStart"/>
      <w:r w:rsidRPr="00F51532">
        <w:rPr>
          <w:rFonts w:ascii="Arial" w:hAnsi="Arial" w:cs="Arial"/>
        </w:rPr>
        <w:t>Roxb</w:t>
      </w:r>
      <w:proofErr w:type="spellEnd"/>
      <w:r w:rsidRPr="00F51532">
        <w:rPr>
          <w:rFonts w:ascii="Arial" w:hAnsi="Arial" w:cs="Arial"/>
        </w:rPr>
        <w:t xml:space="preserve">. rhizomes in relation to gouty arthritis. </w:t>
      </w:r>
      <w:r w:rsidRPr="00F51532">
        <w:rPr>
          <w:rFonts w:ascii="Arial" w:hAnsi="Arial" w:cs="Arial"/>
          <w:i/>
          <w:iCs/>
        </w:rPr>
        <w:t>International Journal of Biology Sciences</w:t>
      </w:r>
      <w:r w:rsidRPr="00F51532">
        <w:rPr>
          <w:rFonts w:ascii="Arial" w:hAnsi="Arial" w:cs="Arial"/>
        </w:rPr>
        <w:t>, 7(10), 126–134.</w:t>
      </w:r>
    </w:p>
    <w:p w14:paraId="78078289" w14:textId="77777777" w:rsidR="00615F89" w:rsidRPr="00F51532" w:rsidRDefault="00615F89" w:rsidP="00615F89">
      <w:pPr>
        <w:pStyle w:val="Reference"/>
        <w:rPr>
          <w:rFonts w:ascii="Arial" w:hAnsi="Arial" w:cs="Arial"/>
        </w:rPr>
      </w:pPr>
      <w:r w:rsidRPr="00F51532">
        <w:rPr>
          <w:rFonts w:ascii="Arial" w:hAnsi="Arial" w:cs="Arial"/>
        </w:rPr>
        <w:t xml:space="preserve">Nerdy, N., Lestari, P., Sinaga, J. P., Ginting, S., </w:t>
      </w:r>
      <w:proofErr w:type="spellStart"/>
      <w:r w:rsidRPr="00F51532">
        <w:rPr>
          <w:rFonts w:ascii="Arial" w:hAnsi="Arial" w:cs="Arial"/>
        </w:rPr>
        <w:t>Zebua</w:t>
      </w:r>
      <w:proofErr w:type="spellEnd"/>
      <w:r w:rsidRPr="00F51532">
        <w:rPr>
          <w:rFonts w:ascii="Arial" w:hAnsi="Arial" w:cs="Arial"/>
        </w:rPr>
        <w:t xml:space="preserve">, N. F., </w:t>
      </w:r>
      <w:proofErr w:type="spellStart"/>
      <w:r w:rsidRPr="00F51532">
        <w:rPr>
          <w:rFonts w:ascii="Arial" w:hAnsi="Arial" w:cs="Arial"/>
        </w:rPr>
        <w:t>Mierza</w:t>
      </w:r>
      <w:proofErr w:type="spellEnd"/>
      <w:r w:rsidRPr="00F51532">
        <w:rPr>
          <w:rFonts w:ascii="Arial" w:hAnsi="Arial" w:cs="Arial"/>
        </w:rPr>
        <w:t>, V., et al. (2021). Brine shrimp (</w:t>
      </w:r>
      <w:r w:rsidRPr="00F51532">
        <w:rPr>
          <w:rFonts w:ascii="Arial" w:hAnsi="Arial" w:cs="Arial"/>
          <w:i/>
          <w:iCs/>
        </w:rPr>
        <w:t>Artemia salina</w:t>
      </w:r>
      <w:r w:rsidRPr="00F51532">
        <w:rPr>
          <w:rFonts w:ascii="Arial" w:hAnsi="Arial" w:cs="Arial"/>
        </w:rPr>
        <w:t xml:space="preserve"> Leach.) lethality test of ethanolic extract from green betel (</w:t>
      </w:r>
      <w:r w:rsidRPr="00F51532">
        <w:rPr>
          <w:rFonts w:ascii="Arial" w:hAnsi="Arial" w:cs="Arial"/>
          <w:i/>
          <w:iCs/>
        </w:rPr>
        <w:t xml:space="preserve">Piper </w:t>
      </w:r>
      <w:proofErr w:type="spellStart"/>
      <w:r w:rsidRPr="00F51532">
        <w:rPr>
          <w:rFonts w:ascii="Arial" w:hAnsi="Arial" w:cs="Arial"/>
          <w:i/>
          <w:iCs/>
        </w:rPr>
        <w:t>betle</w:t>
      </w:r>
      <w:proofErr w:type="spellEnd"/>
      <w:r w:rsidRPr="00F51532">
        <w:rPr>
          <w:rFonts w:ascii="Arial" w:hAnsi="Arial" w:cs="Arial"/>
        </w:rPr>
        <w:t xml:space="preserve"> Linn.) and red betel (</w:t>
      </w:r>
      <w:r w:rsidRPr="00F51532">
        <w:rPr>
          <w:rFonts w:ascii="Arial" w:hAnsi="Arial" w:cs="Arial"/>
          <w:i/>
          <w:iCs/>
        </w:rPr>
        <w:t xml:space="preserve">Piper </w:t>
      </w:r>
      <w:proofErr w:type="spellStart"/>
      <w:r w:rsidRPr="00F51532">
        <w:rPr>
          <w:rFonts w:ascii="Arial" w:hAnsi="Arial" w:cs="Arial"/>
          <w:i/>
          <w:iCs/>
        </w:rPr>
        <w:t>crocatum</w:t>
      </w:r>
      <w:proofErr w:type="spellEnd"/>
      <w:r w:rsidRPr="00F51532">
        <w:rPr>
          <w:rFonts w:ascii="Arial" w:hAnsi="Arial" w:cs="Arial"/>
        </w:rPr>
        <w:t xml:space="preserve"> Ruiz and Pav.) through the </w:t>
      </w:r>
      <w:proofErr w:type="spellStart"/>
      <w:r w:rsidRPr="00F51532">
        <w:rPr>
          <w:rFonts w:ascii="Arial" w:hAnsi="Arial" w:cs="Arial"/>
        </w:rPr>
        <w:t>soxhletation</w:t>
      </w:r>
      <w:proofErr w:type="spellEnd"/>
      <w:r w:rsidRPr="00F51532">
        <w:rPr>
          <w:rFonts w:ascii="Arial" w:hAnsi="Arial" w:cs="Arial"/>
        </w:rPr>
        <w:t xml:space="preserve"> method for cytotoxicity test. </w:t>
      </w:r>
      <w:r w:rsidRPr="00F51532">
        <w:rPr>
          <w:rFonts w:ascii="Arial" w:hAnsi="Arial" w:cs="Arial"/>
          <w:i/>
          <w:iCs/>
        </w:rPr>
        <w:t>Open Access Macedonian Journal of Medical Sciences</w:t>
      </w:r>
      <w:r w:rsidRPr="00F51532">
        <w:rPr>
          <w:rFonts w:ascii="Arial" w:hAnsi="Arial" w:cs="Arial"/>
        </w:rPr>
        <w:t>, 9(A), 407–412.</w:t>
      </w:r>
    </w:p>
    <w:p w14:paraId="5327AE6A" w14:textId="77777777" w:rsidR="00615F89" w:rsidRPr="00F51532" w:rsidRDefault="00615F89" w:rsidP="00615F89">
      <w:pPr>
        <w:pStyle w:val="Reference"/>
        <w:rPr>
          <w:rFonts w:ascii="Arial" w:hAnsi="Arial" w:cs="Arial"/>
        </w:rPr>
      </w:pPr>
      <w:proofErr w:type="spellStart"/>
      <w:r w:rsidRPr="00F51532">
        <w:rPr>
          <w:rFonts w:ascii="Arial" w:hAnsi="Arial" w:cs="Arial"/>
        </w:rPr>
        <w:t>Nicuță</w:t>
      </w:r>
      <w:proofErr w:type="spellEnd"/>
      <w:r w:rsidRPr="00F51532">
        <w:rPr>
          <w:rFonts w:ascii="Arial" w:hAnsi="Arial" w:cs="Arial"/>
        </w:rPr>
        <w:t xml:space="preserve">, D., Grosu, L., Patriciu, O. I., Voicu, R. E., &amp; Alexa, I. C. (2025). The </w:t>
      </w:r>
      <w:r w:rsidRPr="00F51532">
        <w:rPr>
          <w:rFonts w:ascii="Arial" w:hAnsi="Arial" w:cs="Arial"/>
          <w:i/>
          <w:iCs/>
        </w:rPr>
        <w:t>Allium cepa</w:t>
      </w:r>
      <w:r w:rsidRPr="00F51532">
        <w:rPr>
          <w:rFonts w:ascii="Arial" w:hAnsi="Arial" w:cs="Arial"/>
        </w:rPr>
        <w:t xml:space="preserve"> model: A review of its application as a cytogenetic tool for evaluating the biosafety potential of plant extracts. </w:t>
      </w:r>
      <w:r w:rsidRPr="00F51532">
        <w:rPr>
          <w:rFonts w:ascii="Arial" w:hAnsi="Arial" w:cs="Arial"/>
          <w:i/>
          <w:iCs/>
        </w:rPr>
        <w:t>Methods and Protocols</w:t>
      </w:r>
      <w:r w:rsidRPr="00F51532">
        <w:rPr>
          <w:rFonts w:ascii="Arial" w:hAnsi="Arial" w:cs="Arial"/>
        </w:rPr>
        <w:t xml:space="preserve">, 8(4), 88. </w:t>
      </w:r>
      <w:hyperlink r:id="rId29" w:tgtFrame="_new" w:history="1">
        <w:r w:rsidRPr="00F51532">
          <w:rPr>
            <w:rStyle w:val="Hyperlink"/>
            <w:rFonts w:ascii="Arial" w:hAnsi="Arial" w:cs="Arial"/>
            <w:color w:val="auto"/>
            <w:u w:val="none"/>
          </w:rPr>
          <w:t>https://doi.org/10.3390/mps8040088</w:t>
        </w:r>
      </w:hyperlink>
    </w:p>
    <w:p w14:paraId="345B0109" w14:textId="77777777" w:rsidR="00615F89" w:rsidRPr="00F51532" w:rsidRDefault="00615F89" w:rsidP="00615F89">
      <w:pPr>
        <w:pStyle w:val="Reference"/>
        <w:rPr>
          <w:rFonts w:ascii="Arial" w:hAnsi="Arial" w:cs="Arial"/>
        </w:rPr>
      </w:pPr>
      <w:proofErr w:type="spellStart"/>
      <w:r w:rsidRPr="00F51532">
        <w:rPr>
          <w:rFonts w:ascii="Arial" w:hAnsi="Arial" w:cs="Arial"/>
        </w:rPr>
        <w:t>Organisation</w:t>
      </w:r>
      <w:proofErr w:type="spellEnd"/>
      <w:r w:rsidRPr="00F51532">
        <w:rPr>
          <w:rFonts w:ascii="Arial" w:hAnsi="Arial" w:cs="Arial"/>
        </w:rPr>
        <w:t xml:space="preserve"> for Economic Co-operation and Development. (2004). </w:t>
      </w:r>
      <w:r w:rsidRPr="00F51532">
        <w:rPr>
          <w:rFonts w:ascii="Arial" w:hAnsi="Arial" w:cs="Arial"/>
          <w:i/>
          <w:iCs/>
        </w:rPr>
        <w:t xml:space="preserve">Test No. 202: Daphnia sp. acute </w:t>
      </w:r>
      <w:proofErr w:type="spellStart"/>
      <w:r w:rsidRPr="00F51532">
        <w:rPr>
          <w:rFonts w:ascii="Arial" w:hAnsi="Arial" w:cs="Arial"/>
          <w:i/>
          <w:iCs/>
        </w:rPr>
        <w:t>immobilisation</w:t>
      </w:r>
      <w:proofErr w:type="spellEnd"/>
      <w:r w:rsidRPr="00F51532">
        <w:rPr>
          <w:rFonts w:ascii="Arial" w:hAnsi="Arial" w:cs="Arial"/>
          <w:i/>
          <w:iCs/>
        </w:rPr>
        <w:t xml:space="preserve"> test</w:t>
      </w:r>
      <w:r w:rsidRPr="00F51532">
        <w:rPr>
          <w:rFonts w:ascii="Arial" w:hAnsi="Arial" w:cs="Arial"/>
        </w:rPr>
        <w:t xml:space="preserve">. Paris: OECD Publishing. </w:t>
      </w:r>
      <w:hyperlink r:id="rId30" w:tgtFrame="_new" w:history="1">
        <w:r w:rsidRPr="00F51532">
          <w:rPr>
            <w:rStyle w:val="Hyperlink"/>
            <w:rFonts w:ascii="Arial" w:hAnsi="Arial" w:cs="Arial"/>
            <w:color w:val="auto"/>
            <w:u w:val="none"/>
          </w:rPr>
          <w:t>https://doi.org/10.1787/9789264069947-en</w:t>
        </w:r>
      </w:hyperlink>
    </w:p>
    <w:p w14:paraId="224378A8" w14:textId="77777777" w:rsidR="00615F89" w:rsidRPr="00F51532" w:rsidRDefault="00615F89" w:rsidP="00615F89">
      <w:pPr>
        <w:pStyle w:val="Reference"/>
        <w:rPr>
          <w:rFonts w:ascii="Arial" w:hAnsi="Arial" w:cs="Arial"/>
        </w:rPr>
      </w:pPr>
      <w:r w:rsidRPr="00F51532">
        <w:rPr>
          <w:rFonts w:ascii="Arial" w:hAnsi="Arial" w:cs="Arial"/>
        </w:rPr>
        <w:t xml:space="preserve">Queiroz, C., Mendes Lopes, M. L., Fialho, E., &amp; Valente-Mesquita, V. L. (2008). Polyphenol oxidase: Characteristics and mechanisms of browning control. </w:t>
      </w:r>
      <w:r w:rsidRPr="00F51532">
        <w:rPr>
          <w:rFonts w:ascii="Arial" w:hAnsi="Arial" w:cs="Arial"/>
          <w:i/>
          <w:iCs/>
        </w:rPr>
        <w:t>Food Reviews International</w:t>
      </w:r>
      <w:r w:rsidRPr="00F51532">
        <w:rPr>
          <w:rFonts w:ascii="Arial" w:hAnsi="Arial" w:cs="Arial"/>
        </w:rPr>
        <w:t>, 24(4), 361–375.</w:t>
      </w:r>
    </w:p>
    <w:p w14:paraId="11789C53" w14:textId="77777777" w:rsidR="00615F89" w:rsidRPr="00F51532" w:rsidRDefault="00615F89" w:rsidP="00615F89">
      <w:pPr>
        <w:pStyle w:val="Reference"/>
        <w:rPr>
          <w:rFonts w:ascii="Arial" w:hAnsi="Arial" w:cs="Arial"/>
        </w:rPr>
      </w:pPr>
      <w:r w:rsidRPr="00F51532">
        <w:rPr>
          <w:rFonts w:ascii="Arial" w:hAnsi="Arial" w:cs="Arial"/>
        </w:rPr>
        <w:t xml:space="preserve">Raman, N. (2006). </w:t>
      </w:r>
      <w:r w:rsidRPr="00F51532">
        <w:rPr>
          <w:rFonts w:ascii="Arial" w:hAnsi="Arial" w:cs="Arial"/>
          <w:i/>
          <w:iCs/>
        </w:rPr>
        <w:t>Phytochemical techniques</w:t>
      </w:r>
      <w:r w:rsidRPr="00F51532">
        <w:rPr>
          <w:rFonts w:ascii="Arial" w:hAnsi="Arial" w:cs="Arial"/>
        </w:rPr>
        <w:t>. New Delhi: New India Publishing Agency.</w:t>
      </w:r>
    </w:p>
    <w:p w14:paraId="5B11E714" w14:textId="77777777" w:rsidR="00615F89" w:rsidRPr="00F51532" w:rsidRDefault="00615F89" w:rsidP="00615F89">
      <w:pPr>
        <w:pStyle w:val="Reference"/>
        <w:rPr>
          <w:rFonts w:ascii="Arial" w:hAnsi="Arial" w:cs="Arial"/>
        </w:rPr>
      </w:pPr>
      <w:r w:rsidRPr="00F51532">
        <w:rPr>
          <w:rFonts w:ascii="Arial" w:hAnsi="Arial" w:cs="Arial"/>
        </w:rPr>
        <w:t xml:space="preserve">Rank, J., &amp; Nielsen, M. H. (1993). A modified Allium test as a tool in the screening of the genotoxicity of complex mixtures. </w:t>
      </w:r>
      <w:proofErr w:type="spellStart"/>
      <w:r w:rsidRPr="00F51532">
        <w:rPr>
          <w:rFonts w:ascii="Arial" w:hAnsi="Arial" w:cs="Arial"/>
          <w:i/>
          <w:iCs/>
        </w:rPr>
        <w:t>Hereditas</w:t>
      </w:r>
      <w:proofErr w:type="spellEnd"/>
      <w:r w:rsidRPr="00F51532">
        <w:rPr>
          <w:rFonts w:ascii="Arial" w:hAnsi="Arial" w:cs="Arial"/>
        </w:rPr>
        <w:t xml:space="preserve">, 118(1), 49–53. </w:t>
      </w:r>
      <w:hyperlink r:id="rId31" w:tgtFrame="_new" w:history="1">
        <w:r w:rsidRPr="00F51532">
          <w:rPr>
            <w:rStyle w:val="Hyperlink"/>
            <w:rFonts w:ascii="Arial" w:hAnsi="Arial" w:cs="Arial"/>
            <w:color w:val="auto"/>
            <w:u w:val="none"/>
          </w:rPr>
          <w:t>https://doi.org/10.1111/j.1601-5223.1993.tb00063.x</w:t>
        </w:r>
      </w:hyperlink>
    </w:p>
    <w:p w14:paraId="58DADCAE" w14:textId="77777777" w:rsidR="00615F89" w:rsidRPr="00F51532" w:rsidRDefault="00615F89" w:rsidP="00615F89">
      <w:pPr>
        <w:pStyle w:val="Reference"/>
        <w:rPr>
          <w:rFonts w:ascii="Arial" w:hAnsi="Arial" w:cs="Arial"/>
        </w:rPr>
      </w:pPr>
      <w:proofErr w:type="spellStart"/>
      <w:r w:rsidRPr="00F51532">
        <w:rPr>
          <w:rFonts w:ascii="Arial" w:hAnsi="Arial" w:cs="Arial"/>
        </w:rPr>
        <w:t>Saoi</w:t>
      </w:r>
      <w:proofErr w:type="spellEnd"/>
      <w:r w:rsidRPr="00F51532">
        <w:rPr>
          <w:rFonts w:ascii="Arial" w:hAnsi="Arial" w:cs="Arial"/>
        </w:rPr>
        <w:t xml:space="preserve">, M., &amp; Britz-McKibbin, P. (2021). New advances in tissue metabolomics: A review. </w:t>
      </w:r>
      <w:r w:rsidRPr="00F51532">
        <w:rPr>
          <w:rFonts w:ascii="Arial" w:hAnsi="Arial" w:cs="Arial"/>
          <w:i/>
          <w:iCs/>
        </w:rPr>
        <w:t>Metabolites</w:t>
      </w:r>
      <w:r w:rsidRPr="00F51532">
        <w:rPr>
          <w:rFonts w:ascii="Arial" w:hAnsi="Arial" w:cs="Arial"/>
        </w:rPr>
        <w:t xml:space="preserve">, 11(10), 672. </w:t>
      </w:r>
      <w:hyperlink r:id="rId32" w:tgtFrame="_new" w:history="1">
        <w:r w:rsidRPr="00F51532">
          <w:rPr>
            <w:rStyle w:val="Hyperlink"/>
            <w:rFonts w:ascii="Arial" w:hAnsi="Arial" w:cs="Arial"/>
            <w:color w:val="auto"/>
            <w:u w:val="none"/>
          </w:rPr>
          <w:t>https://doi.org/10.3390/metabo11100672</w:t>
        </w:r>
      </w:hyperlink>
    </w:p>
    <w:p w14:paraId="5F50E70F" w14:textId="77777777" w:rsidR="00615F89" w:rsidRPr="00F51532" w:rsidRDefault="00615F89" w:rsidP="00615F89">
      <w:pPr>
        <w:pStyle w:val="Reference"/>
        <w:rPr>
          <w:rFonts w:ascii="Arial" w:hAnsi="Arial" w:cs="Arial"/>
        </w:rPr>
      </w:pPr>
      <w:r w:rsidRPr="00F51532">
        <w:rPr>
          <w:rFonts w:ascii="Arial" w:hAnsi="Arial" w:cs="Arial"/>
        </w:rPr>
        <w:t xml:space="preserve">Shaikh, J. R., &amp; Patil, M. (2020). Qualitative tests for preliminary phytochemical screening: An overview. </w:t>
      </w:r>
      <w:r w:rsidRPr="00F51532">
        <w:rPr>
          <w:rFonts w:ascii="Arial" w:hAnsi="Arial" w:cs="Arial"/>
          <w:i/>
          <w:iCs/>
        </w:rPr>
        <w:t>International Journal of Chemical Studies</w:t>
      </w:r>
      <w:r w:rsidRPr="00F51532">
        <w:rPr>
          <w:rFonts w:ascii="Arial" w:hAnsi="Arial" w:cs="Arial"/>
        </w:rPr>
        <w:t>, 8(2), 603–608.</w:t>
      </w:r>
    </w:p>
    <w:p w14:paraId="3DBD2136" w14:textId="77777777" w:rsidR="00615F89" w:rsidRPr="00F51532" w:rsidRDefault="00615F89" w:rsidP="00615F89">
      <w:pPr>
        <w:pStyle w:val="Reference"/>
        <w:rPr>
          <w:rFonts w:ascii="Arial" w:hAnsi="Arial" w:cs="Arial"/>
        </w:rPr>
      </w:pPr>
      <w:r w:rsidRPr="00F51532">
        <w:rPr>
          <w:rFonts w:ascii="Arial" w:hAnsi="Arial" w:cs="Arial"/>
        </w:rPr>
        <w:t xml:space="preserve">Silverstein, R. M., Webster, F. X., Kiemle, D. J., &amp; Bryce, D. L. (2014). </w:t>
      </w:r>
      <w:r w:rsidRPr="00F51532">
        <w:rPr>
          <w:rFonts w:ascii="Arial" w:hAnsi="Arial" w:cs="Arial"/>
          <w:i/>
          <w:iCs/>
        </w:rPr>
        <w:t>Spectrometric identification of organic compounds</w:t>
      </w:r>
      <w:r w:rsidRPr="00F51532">
        <w:rPr>
          <w:rFonts w:ascii="Arial" w:hAnsi="Arial" w:cs="Arial"/>
        </w:rPr>
        <w:t xml:space="preserve"> (8th ed.). Hoboken: John Wiley &amp; Sons.</w:t>
      </w:r>
    </w:p>
    <w:p w14:paraId="1BAFEAA3" w14:textId="77777777" w:rsidR="00615F89" w:rsidRPr="00F51532" w:rsidRDefault="00615F89" w:rsidP="00615F89">
      <w:pPr>
        <w:pStyle w:val="Reference"/>
        <w:rPr>
          <w:rFonts w:ascii="Arial" w:hAnsi="Arial" w:cs="Arial"/>
        </w:rPr>
      </w:pPr>
      <w:r w:rsidRPr="00F51532">
        <w:rPr>
          <w:rFonts w:ascii="Arial" w:hAnsi="Arial" w:cs="Arial"/>
        </w:rPr>
        <w:t xml:space="preserve">Stuart, B. H. (2004). </w:t>
      </w:r>
      <w:r w:rsidRPr="00F51532">
        <w:rPr>
          <w:rFonts w:ascii="Arial" w:hAnsi="Arial" w:cs="Arial"/>
          <w:i/>
          <w:iCs/>
        </w:rPr>
        <w:t>Infrared spectroscopy: Fundamentals and applications</w:t>
      </w:r>
      <w:r w:rsidRPr="00F51532">
        <w:rPr>
          <w:rFonts w:ascii="Arial" w:hAnsi="Arial" w:cs="Arial"/>
        </w:rPr>
        <w:t>. Hoboken: John Wiley &amp; Sons.</w:t>
      </w:r>
    </w:p>
    <w:p w14:paraId="46C936C5" w14:textId="77777777" w:rsidR="00615F89" w:rsidRPr="00F51532" w:rsidRDefault="00615F89" w:rsidP="00615F89">
      <w:pPr>
        <w:pStyle w:val="Reference"/>
        <w:rPr>
          <w:rFonts w:ascii="Arial" w:hAnsi="Arial" w:cs="Arial"/>
        </w:rPr>
      </w:pPr>
      <w:r w:rsidRPr="00F51532">
        <w:rPr>
          <w:rFonts w:ascii="Arial" w:hAnsi="Arial" w:cs="Arial"/>
        </w:rPr>
        <w:t xml:space="preserve">Wang, F., Liu, H., &amp; Schneider, H. (2021). Adaptive significance of trichome diversity in ferns under varying environmental conditions. </w:t>
      </w:r>
      <w:r w:rsidRPr="00F51532">
        <w:rPr>
          <w:rFonts w:ascii="Arial" w:hAnsi="Arial" w:cs="Arial"/>
          <w:i/>
          <w:iCs/>
        </w:rPr>
        <w:t>Frontiers in Plant Science</w:t>
      </w:r>
      <w:r w:rsidRPr="00F51532">
        <w:rPr>
          <w:rFonts w:ascii="Arial" w:hAnsi="Arial" w:cs="Arial"/>
        </w:rPr>
        <w:t xml:space="preserve">, 12, 642398. </w:t>
      </w:r>
      <w:hyperlink r:id="rId33" w:tgtFrame="_new" w:history="1">
        <w:r w:rsidRPr="00F51532">
          <w:rPr>
            <w:rStyle w:val="Hyperlink"/>
            <w:rFonts w:ascii="Arial" w:hAnsi="Arial" w:cs="Arial"/>
            <w:color w:val="auto"/>
            <w:u w:val="none"/>
          </w:rPr>
          <w:t>https://doi.org/10.3389/fpls.2021.642398</w:t>
        </w:r>
      </w:hyperlink>
    </w:p>
    <w:p w14:paraId="30470F51" w14:textId="77777777" w:rsidR="00615F89" w:rsidRPr="00F51532" w:rsidRDefault="00615F89" w:rsidP="00615F89">
      <w:pPr>
        <w:pStyle w:val="Reference"/>
        <w:rPr>
          <w:rFonts w:ascii="Arial" w:hAnsi="Arial" w:cs="Arial"/>
        </w:rPr>
      </w:pPr>
      <w:r w:rsidRPr="00F51532">
        <w:rPr>
          <w:rFonts w:ascii="Arial" w:hAnsi="Arial" w:cs="Arial"/>
        </w:rPr>
        <w:t xml:space="preserve">Watkins, J. E., &amp; </w:t>
      </w:r>
      <w:proofErr w:type="spellStart"/>
      <w:r w:rsidRPr="00F51532">
        <w:rPr>
          <w:rFonts w:ascii="Arial" w:hAnsi="Arial" w:cs="Arial"/>
        </w:rPr>
        <w:t>Cardelús</w:t>
      </w:r>
      <w:proofErr w:type="spellEnd"/>
      <w:r w:rsidRPr="00F51532">
        <w:rPr>
          <w:rFonts w:ascii="Arial" w:hAnsi="Arial" w:cs="Arial"/>
        </w:rPr>
        <w:t xml:space="preserve">, C. L. (2012). Fern functional ecology: Interpreting the phenotypes of the forgotten plants. </w:t>
      </w:r>
      <w:r w:rsidRPr="00F51532">
        <w:rPr>
          <w:rFonts w:ascii="Arial" w:hAnsi="Arial" w:cs="Arial"/>
          <w:i/>
          <w:iCs/>
        </w:rPr>
        <w:t>New Phytologist</w:t>
      </w:r>
      <w:r w:rsidRPr="00F51532">
        <w:rPr>
          <w:rFonts w:ascii="Arial" w:hAnsi="Arial" w:cs="Arial"/>
        </w:rPr>
        <w:t xml:space="preserve">, 196(1), 12–36. </w:t>
      </w:r>
      <w:hyperlink r:id="rId34" w:tgtFrame="_new" w:history="1">
        <w:r w:rsidRPr="00F51532">
          <w:rPr>
            <w:rStyle w:val="Hyperlink"/>
            <w:rFonts w:ascii="Arial" w:hAnsi="Arial" w:cs="Arial"/>
            <w:color w:val="auto"/>
            <w:u w:val="none"/>
          </w:rPr>
          <w:t>https://doi.org/10.1111/j.1469-8137.2012.04194.x</w:t>
        </w:r>
      </w:hyperlink>
    </w:p>
    <w:p w14:paraId="3123518C" w14:textId="77777777" w:rsidR="00B01FCD" w:rsidRPr="00F51532" w:rsidRDefault="00B01FCD" w:rsidP="00441B6F">
      <w:pPr>
        <w:pStyle w:val="Reference"/>
        <w:numPr>
          <w:ilvl w:val="0"/>
          <w:numId w:val="0"/>
        </w:numPr>
        <w:spacing w:line="240" w:lineRule="auto"/>
        <w:rPr>
          <w:rFonts w:ascii="Arial" w:hAnsi="Arial" w:cs="Arial"/>
        </w:rPr>
      </w:pPr>
    </w:p>
    <w:p w14:paraId="32FC2766" w14:textId="77777777" w:rsidR="004D4277" w:rsidRPr="00F51532" w:rsidRDefault="004D4277" w:rsidP="00441B6F">
      <w:pPr>
        <w:pStyle w:val="Appendix"/>
        <w:spacing w:after="0"/>
        <w:jc w:val="both"/>
        <w:rPr>
          <w:rFonts w:ascii="Arial" w:hAnsi="Arial" w:cs="Arial"/>
          <w:b w:val="0"/>
        </w:rPr>
        <w:sectPr w:rsidR="004D4277" w:rsidRPr="00F51532" w:rsidSect="00870FCD">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0E804F19" w14:textId="77777777" w:rsidR="00B01FCD" w:rsidRPr="00FB3A86" w:rsidRDefault="00B01FCD" w:rsidP="00441B6F">
      <w:pPr>
        <w:pStyle w:val="Appendix"/>
        <w:spacing w:after="0"/>
        <w:jc w:val="both"/>
        <w:rPr>
          <w:rFonts w:ascii="Arial" w:hAnsi="Arial" w:cs="Arial"/>
          <w:b w:val="0"/>
        </w:rPr>
      </w:pPr>
    </w:p>
    <w:sectPr w:rsidR="00B01FCD" w:rsidRPr="00FB3A86" w:rsidSect="00870F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93A2F" w14:textId="77777777" w:rsidR="00846529" w:rsidRDefault="00846529" w:rsidP="00C37E61">
      <w:r>
        <w:separator/>
      </w:r>
    </w:p>
  </w:endnote>
  <w:endnote w:type="continuationSeparator" w:id="0">
    <w:p w14:paraId="361F715D" w14:textId="77777777" w:rsidR="00846529" w:rsidRDefault="0084652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2D76" w14:textId="77777777" w:rsidR="0006514F" w:rsidRDefault="00065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B5548" w14:textId="77777777" w:rsidR="0006514F" w:rsidRDefault="00065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8CF15" w14:textId="77777777" w:rsidR="00F327FB" w:rsidRDefault="00F327FB">
    <w:pPr>
      <w:pStyle w:val="Footer"/>
      <w:rPr>
        <w:rFonts w:ascii="Arial" w:hAnsi="Arial" w:cs="Arial"/>
        <w:sz w:val="16"/>
      </w:rPr>
    </w:pPr>
  </w:p>
  <w:p w14:paraId="32260392" w14:textId="6C0BA9D3" w:rsidR="00F327FB" w:rsidRDefault="00F327FB" w:rsidP="00F75D5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763B999" w14:textId="167EE3B7" w:rsidR="00F327FB" w:rsidRPr="009E048A" w:rsidRDefault="00F327FB">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6F1C" w14:textId="77777777" w:rsidR="00F327FB" w:rsidRPr="00C37E61" w:rsidRDefault="00F327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3AB9E" w14:textId="77777777" w:rsidR="00846529" w:rsidRDefault="00846529" w:rsidP="00C37E61">
      <w:r>
        <w:separator/>
      </w:r>
    </w:p>
  </w:footnote>
  <w:footnote w:type="continuationSeparator" w:id="0">
    <w:p w14:paraId="710D1C58" w14:textId="77777777" w:rsidR="00846529" w:rsidRDefault="0084652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3142" w14:textId="69170960" w:rsidR="0006514F" w:rsidRDefault="0006514F">
    <w:pPr>
      <w:pStyle w:val="Header"/>
    </w:pPr>
    <w:r>
      <w:rPr>
        <w:noProof/>
      </w:rPr>
      <w:pict w14:anchorId="2158D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8C02" w14:textId="37203933" w:rsidR="0006514F" w:rsidRDefault="0006514F">
    <w:pPr>
      <w:pStyle w:val="Header"/>
    </w:pPr>
    <w:r>
      <w:rPr>
        <w:noProof/>
      </w:rPr>
      <w:pict w14:anchorId="3FC9A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ADEB" w14:textId="1C09D8F0" w:rsidR="00F327FB" w:rsidRPr="00296529" w:rsidRDefault="0006514F" w:rsidP="00296529">
    <w:pPr>
      <w:ind w:left="2160"/>
      <w:jc w:val="center"/>
      <w:rPr>
        <w:rFonts w:ascii="Times New Roman" w:eastAsia="Calibri" w:hAnsi="Times New Roman"/>
        <w:i/>
        <w:sz w:val="18"/>
        <w:szCs w:val="22"/>
      </w:rPr>
    </w:pPr>
    <w:r>
      <w:rPr>
        <w:noProof/>
      </w:rPr>
      <w:pict w14:anchorId="1B22A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9860A21" w14:textId="77777777" w:rsidR="00F327FB" w:rsidRPr="00296529" w:rsidRDefault="00F327F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63F7432" w14:textId="77777777" w:rsidR="00F327FB" w:rsidRPr="00296529" w:rsidRDefault="00F327F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5984B2" w14:textId="77777777" w:rsidR="00F327FB" w:rsidRPr="00296529" w:rsidRDefault="00F327F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447509" w14:textId="77777777" w:rsidR="00F327FB" w:rsidRDefault="00F327F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AA1F9" w14:textId="77777777" w:rsidR="00F327FB" w:rsidRDefault="00F327F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34C724" w14:textId="77777777" w:rsidR="00F327FB" w:rsidRDefault="00F327F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E15AA" w14:textId="3E92576A" w:rsidR="0006514F" w:rsidRDefault="0006514F">
    <w:pPr>
      <w:pStyle w:val="Header"/>
    </w:pPr>
    <w:r>
      <w:rPr>
        <w:noProof/>
      </w:rPr>
      <w:pict w14:anchorId="13B9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E949" w14:textId="6B046669" w:rsidR="0006514F" w:rsidRDefault="0006514F">
    <w:pPr>
      <w:pStyle w:val="Header"/>
    </w:pPr>
    <w:r>
      <w:rPr>
        <w:noProof/>
      </w:rPr>
      <w:pict w14:anchorId="3EAC1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5F5C" w14:textId="59AF3C0F" w:rsidR="0006514F" w:rsidRDefault="0006514F">
    <w:pPr>
      <w:pStyle w:val="Header"/>
    </w:pPr>
    <w:r>
      <w:rPr>
        <w:noProof/>
      </w:rPr>
      <w:pict w14:anchorId="26710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22C2"/>
    <w:rsid w:val="0004579C"/>
    <w:rsid w:val="0006514F"/>
    <w:rsid w:val="000A47FA"/>
    <w:rsid w:val="000A65D3"/>
    <w:rsid w:val="000B1E33"/>
    <w:rsid w:val="000D3746"/>
    <w:rsid w:val="000D689F"/>
    <w:rsid w:val="000E23EA"/>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2841"/>
    <w:rsid w:val="00283105"/>
    <w:rsid w:val="00284C4C"/>
    <w:rsid w:val="00287E68"/>
    <w:rsid w:val="00296529"/>
    <w:rsid w:val="00296896"/>
    <w:rsid w:val="002B27FB"/>
    <w:rsid w:val="002B685A"/>
    <w:rsid w:val="002C57D2"/>
    <w:rsid w:val="002E0D56"/>
    <w:rsid w:val="0030267D"/>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2B3B"/>
    <w:rsid w:val="00446221"/>
    <w:rsid w:val="00450E62"/>
    <w:rsid w:val="004539DB"/>
    <w:rsid w:val="00464F18"/>
    <w:rsid w:val="00471A80"/>
    <w:rsid w:val="004D305E"/>
    <w:rsid w:val="004D4277"/>
    <w:rsid w:val="00502516"/>
    <w:rsid w:val="00505F06"/>
    <w:rsid w:val="00506828"/>
    <w:rsid w:val="0053056E"/>
    <w:rsid w:val="00554FDA"/>
    <w:rsid w:val="005A2E3C"/>
    <w:rsid w:val="005C784C"/>
    <w:rsid w:val="005D17F6"/>
    <w:rsid w:val="005E5539"/>
    <w:rsid w:val="00602BF5"/>
    <w:rsid w:val="00615F8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6529"/>
    <w:rsid w:val="00860000"/>
    <w:rsid w:val="00863BD3"/>
    <w:rsid w:val="008641ED"/>
    <w:rsid w:val="00866D66"/>
    <w:rsid w:val="008671C6"/>
    <w:rsid w:val="00870FCD"/>
    <w:rsid w:val="00875803"/>
    <w:rsid w:val="008B459E"/>
    <w:rsid w:val="008C0DFD"/>
    <w:rsid w:val="008E13AE"/>
    <w:rsid w:val="008E1506"/>
    <w:rsid w:val="008E710C"/>
    <w:rsid w:val="008F69D6"/>
    <w:rsid w:val="00902823"/>
    <w:rsid w:val="00915CA6"/>
    <w:rsid w:val="00927834"/>
    <w:rsid w:val="009500A6"/>
    <w:rsid w:val="00957C18"/>
    <w:rsid w:val="009659BA"/>
    <w:rsid w:val="00983040"/>
    <w:rsid w:val="009A468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57BA"/>
    <w:rsid w:val="00BC53A0"/>
    <w:rsid w:val="00BE62AD"/>
    <w:rsid w:val="00BF121F"/>
    <w:rsid w:val="00BF1F80"/>
    <w:rsid w:val="00C166EF"/>
    <w:rsid w:val="00C17EB0"/>
    <w:rsid w:val="00C206BB"/>
    <w:rsid w:val="00C27F5F"/>
    <w:rsid w:val="00C30A0F"/>
    <w:rsid w:val="00C37E61"/>
    <w:rsid w:val="00C70F1B"/>
    <w:rsid w:val="00C71A47"/>
    <w:rsid w:val="00C7464C"/>
    <w:rsid w:val="00C85588"/>
    <w:rsid w:val="00CA2B71"/>
    <w:rsid w:val="00CD6755"/>
    <w:rsid w:val="00CD6856"/>
    <w:rsid w:val="00CE0089"/>
    <w:rsid w:val="00CE793C"/>
    <w:rsid w:val="00CF193C"/>
    <w:rsid w:val="00D173F1"/>
    <w:rsid w:val="00D36F6A"/>
    <w:rsid w:val="00D53878"/>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7FB"/>
    <w:rsid w:val="00F3448F"/>
    <w:rsid w:val="00F469F0"/>
    <w:rsid w:val="00F51532"/>
    <w:rsid w:val="00F53273"/>
    <w:rsid w:val="00F755E4"/>
    <w:rsid w:val="00F75D59"/>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FCEAF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464F18"/>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64F1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CA2B71"/>
    <w:pPr>
      <w:spacing w:before="100" w:beforeAutospacing="1" w:after="100" w:afterAutospacing="1"/>
    </w:pPr>
    <w:rPr>
      <w:rFonts w:ascii="Times New Roman" w:hAnsi="Times New Roman"/>
      <w:sz w:val="24"/>
      <w:szCs w:val="24"/>
      <w:lang w:bidi="ta-IN"/>
    </w:rPr>
  </w:style>
  <w:style w:type="character" w:styleId="UnresolvedMention">
    <w:name w:val="Unresolved Mention"/>
    <w:basedOn w:val="DefaultParagraphFont"/>
    <w:uiPriority w:val="99"/>
    <w:semiHidden/>
    <w:unhideWhenUsed/>
    <w:rsid w:val="00D36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13984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18084901">
      <w:bodyDiv w:val="1"/>
      <w:marLeft w:val="0"/>
      <w:marRight w:val="0"/>
      <w:marTop w:val="0"/>
      <w:marBottom w:val="0"/>
      <w:divBdr>
        <w:top w:val="none" w:sz="0" w:space="0" w:color="auto"/>
        <w:left w:val="none" w:sz="0" w:space="0" w:color="auto"/>
        <w:bottom w:val="none" w:sz="0" w:space="0" w:color="auto"/>
        <w:right w:val="none" w:sz="0" w:space="0" w:color="auto"/>
      </w:divBdr>
    </w:div>
    <w:div w:id="16694781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617598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55/s-2007-971236" TargetMode="External"/><Relationship Id="rId39" Type="http://schemas.openxmlformats.org/officeDocument/2006/relationships/fontTable" Target="fontTable.xml"/><Relationship Id="rId21" Type="http://schemas.openxmlformats.org/officeDocument/2006/relationships/hyperlink" Target="https://doi.org/10.1007/s13205-025-04535-8" TargetMode="External"/><Relationship Id="rId34" Type="http://schemas.openxmlformats.org/officeDocument/2006/relationships/hyperlink" Target="https://doi.org/10.1111/j.1469-8137.2012.04194.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flora.2023.152338" TargetMode="External"/><Relationship Id="rId33" Type="http://schemas.openxmlformats.org/officeDocument/2006/relationships/hyperlink" Target="https://doi.org/10.3389/fpls.2021.642398"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93/aob/mcy214" TargetMode="External"/><Relationship Id="rId29" Type="http://schemas.openxmlformats.org/officeDocument/2006/relationships/hyperlink" Target="https://doi.org/10.3390/mps8040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mrrev.2009.06.002" TargetMode="External"/><Relationship Id="rId32" Type="http://schemas.openxmlformats.org/officeDocument/2006/relationships/hyperlink" Target="https://doi.org/10.3390/metabo11100672"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1101-020-09692-9" TargetMode="External"/><Relationship Id="rId28" Type="http://schemas.openxmlformats.org/officeDocument/2006/relationships/hyperlink" Target="https://doi.org/10.1055/s-2001-18859"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155/2014/706919" TargetMode="External"/><Relationship Id="rId31" Type="http://schemas.openxmlformats.org/officeDocument/2006/relationships/hyperlink" Target="https://doi.org/10.1111/j.1601-5223.1993.tb00063.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21/es60140a017" TargetMode="External"/><Relationship Id="rId27" Type="http://schemas.openxmlformats.org/officeDocument/2006/relationships/hyperlink" Target="https://doi.org/10.1016/j.fct.2021.112124" TargetMode="External"/><Relationship Id="rId30" Type="http://schemas.openxmlformats.org/officeDocument/2006/relationships/hyperlink" Target="https://doi.org/10.1787/9789264069947-en"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BB18-059E-4E99-8FDE-DE42216C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16</Pages>
  <Words>5898</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39439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21</cp:revision>
  <cp:lastPrinted>1999-07-06T11:00:00Z</cp:lastPrinted>
  <dcterms:created xsi:type="dcterms:W3CDTF">2026-03-14T00:22:00Z</dcterms:created>
  <dcterms:modified xsi:type="dcterms:W3CDTF">2026-03-14T11:02:00Z</dcterms:modified>
</cp:coreProperties>
</file>