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0F16D" w14:textId="77777777" w:rsidR="00095960" w:rsidRDefault="00095960">
      <w:pPr>
        <w:widowControl w:val="0"/>
        <w:pBdr>
          <w:top w:val="nil"/>
          <w:left w:val="nil"/>
          <w:bottom w:val="nil"/>
          <w:right w:val="nil"/>
          <w:between w:val="nil"/>
        </w:pBdr>
        <w:spacing w:line="276" w:lineRule="auto"/>
      </w:pPr>
    </w:p>
    <w:p w14:paraId="036AA284" w14:textId="77777777" w:rsidR="00095960" w:rsidRDefault="008A4894">
      <w:pPr>
        <w:pBdr>
          <w:top w:val="nil"/>
          <w:left w:val="nil"/>
          <w:bottom w:val="nil"/>
          <w:right w:val="nil"/>
          <w:between w:val="nil"/>
        </w:pBdr>
        <w:spacing w:before="240" w:after="240"/>
        <w:jc w:val="center"/>
        <w:rPr>
          <w:rFonts w:eastAsia="Calibri"/>
          <w:b/>
          <w:color w:val="000000"/>
          <w:lang w:val="en-US"/>
        </w:rPr>
      </w:pPr>
      <w:r w:rsidRPr="00D61ABA">
        <w:rPr>
          <w:rFonts w:eastAsia="Calibri"/>
          <w:b/>
          <w:color w:val="000000"/>
          <w:lang w:val="en-US"/>
        </w:rPr>
        <w:t xml:space="preserve">POTENTIAL OF USE OF </w:t>
      </w:r>
      <w:r w:rsidRPr="00D61ABA">
        <w:rPr>
          <w:rFonts w:eastAsia="Calibri"/>
          <w:b/>
          <w:i/>
          <w:color w:val="000000"/>
          <w:lang w:val="en-US"/>
        </w:rPr>
        <w:t>PFAFFIA GLOMERATA</w:t>
      </w:r>
      <w:r w:rsidRPr="00D61ABA">
        <w:rPr>
          <w:rFonts w:eastAsia="Calibri"/>
          <w:b/>
          <w:color w:val="000000"/>
          <w:lang w:val="en-US"/>
        </w:rPr>
        <w:t xml:space="preserve"> (BRAZILIAN GINSENG) IN THE GREEN SYNTHESIS OF METALLIC NANOPARTICLES: REVIEW STUDY</w:t>
      </w:r>
    </w:p>
    <w:p w14:paraId="46A87B33" w14:textId="1E4548C2" w:rsidR="00095960" w:rsidRDefault="00095960">
      <w:pPr>
        <w:pBdr>
          <w:top w:val="nil"/>
          <w:left w:val="nil"/>
          <w:bottom w:val="nil"/>
          <w:right w:val="nil"/>
          <w:between w:val="nil"/>
        </w:pBdr>
        <w:jc w:val="both"/>
        <w:rPr>
          <w:rFonts w:eastAsia="Calibri"/>
          <w:color w:val="000000"/>
          <w:lang w:val="en-US"/>
        </w:rPr>
      </w:pPr>
    </w:p>
    <w:p w14:paraId="6304F0A6" w14:textId="77777777" w:rsidR="00386E02" w:rsidRDefault="00386E02">
      <w:pPr>
        <w:pBdr>
          <w:top w:val="nil"/>
          <w:left w:val="nil"/>
          <w:bottom w:val="nil"/>
          <w:right w:val="nil"/>
          <w:between w:val="nil"/>
        </w:pBdr>
        <w:jc w:val="both"/>
        <w:rPr>
          <w:rFonts w:ascii="Calibri" w:eastAsia="Calibri" w:hAnsi="Calibri" w:cs="Calibri"/>
          <w:b/>
          <w:color w:val="000000"/>
          <w:sz w:val="6"/>
          <w:szCs w:val="6"/>
        </w:rPr>
      </w:pPr>
    </w:p>
    <w:p w14:paraId="6086F7C3" w14:textId="77777777" w:rsidR="00095960" w:rsidRPr="00D61ABA" w:rsidRDefault="00095960">
      <w:pPr>
        <w:rPr>
          <w:rFonts w:ascii="Calibri" w:eastAsia="Calibri" w:hAnsi="Calibri" w:cs="Calibri"/>
          <w:b/>
        </w:rPr>
      </w:pPr>
    </w:p>
    <w:p w14:paraId="34DBDD6A" w14:textId="4FEF4B74" w:rsidR="00095960" w:rsidRPr="00D61ABA" w:rsidRDefault="008A4894">
      <w:pPr>
        <w:rPr>
          <w:rFonts w:eastAsia="Calibri"/>
          <w:b/>
        </w:rPr>
      </w:pPr>
      <w:r w:rsidRPr="00D61ABA">
        <w:rPr>
          <w:rFonts w:eastAsia="Calibri"/>
          <w:b/>
        </w:rPr>
        <w:t>A</w:t>
      </w:r>
      <w:r w:rsidR="00D61ABA">
        <w:rPr>
          <w:rFonts w:eastAsia="Calibri"/>
          <w:b/>
        </w:rPr>
        <w:t>bstract</w:t>
      </w:r>
    </w:p>
    <w:p w14:paraId="68E614A5" w14:textId="77777777" w:rsidR="00D61ABA" w:rsidRPr="00D61ABA" w:rsidRDefault="00D61ABA">
      <w:pPr>
        <w:rPr>
          <w:rFonts w:eastAsia="Calibri"/>
          <w:b/>
        </w:rPr>
      </w:pPr>
    </w:p>
    <w:p w14:paraId="5DB2EC62" w14:textId="77777777" w:rsidR="00D61ABA" w:rsidRPr="00D61ABA" w:rsidRDefault="00D61ABA">
      <w:pPr>
        <w:rPr>
          <w:rFonts w:eastAsia="Calibri"/>
          <w:b/>
        </w:rPr>
        <w:sectPr w:rsidR="00D61ABA" w:rsidRPr="00D61ABA">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539" w:footer="539" w:gutter="0"/>
          <w:pgNumType w:start="1"/>
          <w:cols w:space="720"/>
        </w:sectPr>
      </w:pPr>
    </w:p>
    <w:p w14:paraId="71CA02B9" w14:textId="40A0839E" w:rsidR="00554395" w:rsidRPr="00D61ABA" w:rsidRDefault="00D61ABA" w:rsidP="00554395">
      <w:pPr>
        <w:pBdr>
          <w:top w:val="nil"/>
          <w:left w:val="nil"/>
          <w:bottom w:val="nil"/>
          <w:right w:val="nil"/>
          <w:between w:val="nil"/>
        </w:pBdr>
        <w:jc w:val="both"/>
        <w:rPr>
          <w:rFonts w:eastAsia="Calibri"/>
          <w:color w:val="000000"/>
          <w:sz w:val="20"/>
          <w:szCs w:val="20"/>
          <w:lang w:val="en-US"/>
        </w:rPr>
      </w:pPr>
      <w:r>
        <w:rPr>
          <w:rFonts w:eastAsia="Calibri"/>
          <w:color w:val="000000"/>
          <w:sz w:val="20"/>
          <w:szCs w:val="20"/>
          <w:lang w:val="en-US"/>
        </w:rPr>
        <w:tab/>
      </w:r>
      <w:r w:rsidR="008A4894" w:rsidRPr="00D61ABA">
        <w:rPr>
          <w:rFonts w:eastAsia="Calibri"/>
          <w:color w:val="000000"/>
          <w:sz w:val="20"/>
          <w:szCs w:val="20"/>
          <w:lang w:val="en-US"/>
        </w:rPr>
        <w:t xml:space="preserve">The synthesis of metallic nanoparticles using plant extracts has shown great interest in the scientific community, due to the special properties that can be applied to various fields of science such as health, agronomy, and food. The </w:t>
      </w:r>
      <w:proofErr w:type="spellStart"/>
      <w:r w:rsidR="008A4894" w:rsidRPr="00D61ABA">
        <w:rPr>
          <w:rFonts w:eastAsia="Calibri"/>
          <w:color w:val="000000"/>
          <w:sz w:val="20"/>
          <w:szCs w:val="20"/>
          <w:lang w:val="en-US"/>
        </w:rPr>
        <w:t>bioreduction</w:t>
      </w:r>
      <w:proofErr w:type="spellEnd"/>
      <w:r w:rsidR="008A4894" w:rsidRPr="00D61ABA">
        <w:rPr>
          <w:rFonts w:eastAsia="Calibri"/>
          <w:color w:val="000000"/>
          <w:sz w:val="20"/>
          <w:szCs w:val="20"/>
          <w:lang w:val="en-US"/>
        </w:rPr>
        <w:t xml:space="preserve"> or green synthesis can be performed using plant extracts that have alkaloids, phenolic compounds, terpenoids, enzymes, proteins, amino acids, polysaccharides, and functional groups, that are responsible for reducing metal ions. However, the antimicrobial effect of silver and gold nanoparticles synthesized using plant extracts has not been fully elucidated. This study aimed to conduct a literature review on "nanoparticles," "green synthesis," "plants ginseng," and "antimicrobial" in major scientific databases from 2013 to 2023. The results of the reviewed studies demonstrated the use of </w:t>
      </w:r>
      <w:r w:rsidR="0099192A" w:rsidRPr="00D61ABA">
        <w:rPr>
          <w:rFonts w:eastAsia="Calibri"/>
          <w:color w:val="000000"/>
          <w:sz w:val="20"/>
          <w:szCs w:val="20"/>
          <w:lang w:val="en-US"/>
        </w:rPr>
        <w:t>Panax ginseng, Siberian ginseng</w:t>
      </w:r>
      <w:r w:rsidR="008A4894" w:rsidRPr="00D61ABA">
        <w:rPr>
          <w:rFonts w:eastAsia="Calibri"/>
          <w:color w:val="000000"/>
          <w:sz w:val="20"/>
          <w:szCs w:val="20"/>
          <w:lang w:val="en-US"/>
        </w:rPr>
        <w:t xml:space="preserve">, and red and black ginseng in the synthesis of silver and gold nanoparticles, with potential applications as antimicrobials and anticancer agents. In conclusion, it is essential to conduct further research on the studied plant species, particularly those belonging to the </w:t>
      </w:r>
      <w:proofErr w:type="spellStart"/>
      <w:r w:rsidR="008A4894" w:rsidRPr="00D61ABA">
        <w:rPr>
          <w:rFonts w:eastAsia="Calibri"/>
          <w:color w:val="000000"/>
          <w:sz w:val="20"/>
          <w:szCs w:val="20"/>
          <w:lang w:val="en-US"/>
        </w:rPr>
        <w:t>Amaranthaceae</w:t>
      </w:r>
      <w:proofErr w:type="spellEnd"/>
      <w:r w:rsidR="008A4894" w:rsidRPr="00D61ABA">
        <w:rPr>
          <w:rFonts w:eastAsia="Calibri"/>
          <w:color w:val="000000"/>
          <w:sz w:val="20"/>
          <w:szCs w:val="20"/>
          <w:lang w:val="en-US"/>
        </w:rPr>
        <w:t xml:space="preserve"> family, to deepen our understanding of the mechanisms and reducing agents involved in the green synthesis of silver and gold nanoparticles.</w:t>
      </w:r>
    </w:p>
    <w:p w14:paraId="6DD75D87" w14:textId="77777777" w:rsidR="00095960" w:rsidRPr="00D61ABA" w:rsidRDefault="00095960">
      <w:pPr>
        <w:pBdr>
          <w:top w:val="nil"/>
          <w:left w:val="nil"/>
          <w:bottom w:val="nil"/>
          <w:right w:val="nil"/>
          <w:between w:val="nil"/>
        </w:pBdr>
        <w:jc w:val="both"/>
        <w:rPr>
          <w:rFonts w:eastAsia="Calibri"/>
          <w:color w:val="000000"/>
          <w:sz w:val="20"/>
          <w:szCs w:val="20"/>
          <w:lang w:val="en-US"/>
        </w:rPr>
        <w:sectPr w:rsidR="00095960" w:rsidRPr="00D61ABA" w:rsidSect="00D61ABA">
          <w:type w:val="continuous"/>
          <w:pgSz w:w="11906" w:h="16838"/>
          <w:pgMar w:top="1418" w:right="1191" w:bottom="1418" w:left="1191" w:header="426" w:footer="709" w:gutter="0"/>
          <w:cols w:space="282"/>
        </w:sectPr>
      </w:pPr>
    </w:p>
    <w:p w14:paraId="7A2BFAA7" w14:textId="77777777" w:rsidR="00095960" w:rsidRPr="00DD3E84" w:rsidRDefault="00095960">
      <w:pPr>
        <w:pBdr>
          <w:top w:val="nil"/>
          <w:left w:val="nil"/>
          <w:bottom w:val="nil"/>
          <w:right w:val="nil"/>
          <w:between w:val="nil"/>
        </w:pBdr>
        <w:jc w:val="both"/>
        <w:rPr>
          <w:rFonts w:ascii="Calibri" w:eastAsia="Calibri" w:hAnsi="Calibri" w:cs="Calibri"/>
          <w:b/>
          <w:color w:val="000000"/>
          <w:sz w:val="10"/>
          <w:szCs w:val="10"/>
          <w:lang w:val="en-US"/>
        </w:rPr>
      </w:pPr>
    </w:p>
    <w:p w14:paraId="043BC731" w14:textId="77777777" w:rsidR="00095960" w:rsidRPr="00DD3E84" w:rsidRDefault="00095960">
      <w:pPr>
        <w:pBdr>
          <w:top w:val="nil"/>
          <w:left w:val="nil"/>
          <w:bottom w:val="nil"/>
          <w:right w:val="nil"/>
          <w:between w:val="nil"/>
        </w:pBdr>
        <w:jc w:val="both"/>
        <w:rPr>
          <w:rFonts w:ascii="Calibri" w:eastAsia="Calibri" w:hAnsi="Calibri" w:cs="Calibri"/>
          <w:b/>
          <w:color w:val="000000"/>
          <w:sz w:val="10"/>
          <w:szCs w:val="10"/>
          <w:lang w:val="en-US"/>
        </w:rPr>
      </w:pPr>
    </w:p>
    <w:tbl>
      <w:tblPr>
        <w:tblStyle w:val="28"/>
        <w:tblW w:w="9498"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9498"/>
      </w:tblGrid>
      <w:tr w:rsidR="006474C7" w:rsidRPr="00DD3E84" w14:paraId="5868B8A3" w14:textId="77777777" w:rsidTr="006474C7">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il"/>
              <w:left w:val="nil"/>
              <w:bottom w:val="nil"/>
              <w:right w:val="nil"/>
            </w:tcBorders>
            <w:shd w:val="clear" w:color="auto" w:fill="FFFFFF"/>
            <w:vAlign w:val="center"/>
          </w:tcPr>
          <w:p w14:paraId="04555349" w14:textId="3DAC21E2" w:rsidR="00095960" w:rsidRPr="00B8577A" w:rsidRDefault="008A4894" w:rsidP="00EF009C">
            <w:pPr>
              <w:pBdr>
                <w:top w:val="nil"/>
                <w:left w:val="nil"/>
                <w:bottom w:val="nil"/>
                <w:right w:val="nil"/>
                <w:between w:val="nil"/>
              </w:pBdr>
              <w:spacing w:before="120" w:after="120"/>
              <w:jc w:val="both"/>
              <w:rPr>
                <w:rFonts w:ascii="Times New Roman" w:hAnsi="Times New Roman" w:cs="Times New Roman"/>
                <w:color w:val="000000"/>
                <w:sz w:val="20"/>
                <w:szCs w:val="20"/>
                <w:lang w:val="en-US"/>
              </w:rPr>
            </w:pPr>
            <w:r w:rsidRPr="00B8577A">
              <w:rPr>
                <w:rFonts w:ascii="Times New Roman" w:hAnsi="Times New Roman" w:cs="Times New Roman"/>
                <w:b w:val="0"/>
                <w:color w:val="000000"/>
                <w:sz w:val="20"/>
                <w:szCs w:val="20"/>
                <w:lang w:val="en-US"/>
              </w:rPr>
              <w:t>K</w:t>
            </w:r>
            <w:r w:rsidR="00B8577A">
              <w:rPr>
                <w:rFonts w:ascii="Times New Roman" w:hAnsi="Times New Roman" w:cs="Times New Roman"/>
                <w:b w:val="0"/>
                <w:color w:val="000000"/>
                <w:sz w:val="20"/>
                <w:szCs w:val="20"/>
                <w:lang w:val="en-US"/>
              </w:rPr>
              <w:t>eywords</w:t>
            </w:r>
            <w:r w:rsidRPr="00B8577A">
              <w:rPr>
                <w:rFonts w:ascii="Times New Roman" w:hAnsi="Times New Roman" w:cs="Times New Roman"/>
                <w:b w:val="0"/>
                <w:color w:val="000000"/>
                <w:sz w:val="20"/>
                <w:szCs w:val="20"/>
                <w:lang w:val="en-US"/>
              </w:rPr>
              <w:t xml:space="preserve">: </w:t>
            </w:r>
            <w:r w:rsidR="00E274DC">
              <w:rPr>
                <w:rFonts w:ascii="Times New Roman" w:hAnsi="Times New Roman" w:cs="Times New Roman"/>
                <w:b w:val="0"/>
                <w:color w:val="000000"/>
                <w:sz w:val="20"/>
                <w:szCs w:val="20"/>
                <w:lang w:val="en-US"/>
              </w:rPr>
              <w:t>P</w:t>
            </w:r>
            <w:r w:rsidR="00EF009C" w:rsidRPr="00B8577A">
              <w:rPr>
                <w:rFonts w:ascii="Times New Roman" w:hAnsi="Times New Roman" w:cs="Times New Roman"/>
                <w:b w:val="0"/>
                <w:color w:val="000000"/>
                <w:sz w:val="20"/>
                <w:szCs w:val="20"/>
                <w:lang w:val="en-US"/>
              </w:rPr>
              <w:t xml:space="preserve">lant extracts, </w:t>
            </w:r>
            <w:r w:rsidR="00E274DC">
              <w:rPr>
                <w:rFonts w:ascii="Times New Roman" w:hAnsi="Times New Roman" w:cs="Times New Roman"/>
                <w:b w:val="0"/>
                <w:color w:val="000000"/>
                <w:sz w:val="20"/>
                <w:szCs w:val="20"/>
                <w:lang w:val="en-US"/>
              </w:rPr>
              <w:t>S</w:t>
            </w:r>
            <w:r w:rsidR="00EF009C" w:rsidRPr="00B8577A">
              <w:rPr>
                <w:rFonts w:ascii="Times New Roman" w:hAnsi="Times New Roman" w:cs="Times New Roman"/>
                <w:b w:val="0"/>
                <w:color w:val="000000"/>
                <w:sz w:val="20"/>
                <w:szCs w:val="20"/>
                <w:lang w:val="en-US"/>
              </w:rPr>
              <w:t xml:space="preserve">ustainability, </w:t>
            </w:r>
            <w:r w:rsidR="00E274DC">
              <w:rPr>
                <w:rFonts w:ascii="Times New Roman" w:hAnsi="Times New Roman" w:cs="Times New Roman"/>
                <w:b w:val="0"/>
                <w:color w:val="000000"/>
                <w:sz w:val="20"/>
                <w:szCs w:val="20"/>
                <w:lang w:val="en-US"/>
              </w:rPr>
              <w:t>B</w:t>
            </w:r>
            <w:r w:rsidR="00EF009C" w:rsidRPr="00B8577A">
              <w:rPr>
                <w:rFonts w:ascii="Times New Roman" w:hAnsi="Times New Roman" w:cs="Times New Roman"/>
                <w:b w:val="0"/>
                <w:color w:val="000000"/>
                <w:sz w:val="20"/>
                <w:szCs w:val="20"/>
                <w:lang w:val="en-US"/>
              </w:rPr>
              <w:t>act</w:t>
            </w:r>
            <w:r w:rsidR="00E274DC">
              <w:rPr>
                <w:rFonts w:ascii="Times New Roman" w:hAnsi="Times New Roman" w:cs="Times New Roman"/>
                <w:b w:val="0"/>
                <w:color w:val="000000"/>
                <w:sz w:val="20"/>
                <w:szCs w:val="20"/>
                <w:lang w:val="en-US"/>
              </w:rPr>
              <w:t>e</w:t>
            </w:r>
            <w:r w:rsidR="00EF009C" w:rsidRPr="00B8577A">
              <w:rPr>
                <w:rFonts w:ascii="Times New Roman" w:hAnsi="Times New Roman" w:cs="Times New Roman"/>
                <w:b w:val="0"/>
                <w:color w:val="000000"/>
                <w:sz w:val="20"/>
                <w:szCs w:val="20"/>
                <w:lang w:val="en-US"/>
              </w:rPr>
              <w:t xml:space="preserve">ria, </w:t>
            </w:r>
            <w:r w:rsidR="00E274DC">
              <w:rPr>
                <w:rFonts w:ascii="Times New Roman" w:hAnsi="Times New Roman" w:cs="Times New Roman"/>
                <w:b w:val="0"/>
                <w:color w:val="000000"/>
                <w:sz w:val="20"/>
                <w:szCs w:val="20"/>
                <w:lang w:val="en-US"/>
              </w:rPr>
              <w:t>G</w:t>
            </w:r>
            <w:r w:rsidR="00EF009C" w:rsidRPr="00B8577A">
              <w:rPr>
                <w:rFonts w:ascii="Times New Roman" w:hAnsi="Times New Roman" w:cs="Times New Roman"/>
                <w:b w:val="0"/>
                <w:color w:val="000000"/>
                <w:sz w:val="20"/>
                <w:szCs w:val="20"/>
                <w:lang w:val="en-US"/>
              </w:rPr>
              <w:t xml:space="preserve">reen chemistry, </w:t>
            </w:r>
            <w:r w:rsidR="00E274DC">
              <w:rPr>
                <w:rFonts w:ascii="Times New Roman" w:hAnsi="Times New Roman" w:cs="Times New Roman"/>
                <w:b w:val="0"/>
                <w:color w:val="000000"/>
                <w:sz w:val="20"/>
                <w:szCs w:val="20"/>
                <w:lang w:val="en-US"/>
              </w:rPr>
              <w:t>G</w:t>
            </w:r>
            <w:r w:rsidR="00EF009C" w:rsidRPr="00B8577A">
              <w:rPr>
                <w:rFonts w:ascii="Times New Roman" w:hAnsi="Times New Roman" w:cs="Times New Roman"/>
                <w:b w:val="0"/>
                <w:color w:val="000000"/>
                <w:sz w:val="20"/>
                <w:szCs w:val="20"/>
                <w:lang w:val="en-US"/>
              </w:rPr>
              <w:t xml:space="preserve">inseng </w:t>
            </w:r>
            <w:proofErr w:type="spellStart"/>
            <w:r w:rsidR="00EF009C" w:rsidRPr="00B8577A">
              <w:rPr>
                <w:rFonts w:ascii="Times New Roman" w:hAnsi="Times New Roman" w:cs="Times New Roman"/>
                <w:b w:val="0"/>
                <w:color w:val="000000"/>
                <w:sz w:val="20"/>
                <w:szCs w:val="20"/>
                <w:lang w:val="en-US"/>
              </w:rPr>
              <w:t>brasileiro</w:t>
            </w:r>
            <w:proofErr w:type="spellEnd"/>
            <w:r w:rsidR="00EF009C" w:rsidRPr="00B8577A">
              <w:rPr>
                <w:rFonts w:ascii="Times New Roman" w:hAnsi="Times New Roman" w:cs="Times New Roman"/>
                <w:b w:val="0"/>
                <w:color w:val="000000"/>
                <w:sz w:val="20"/>
                <w:szCs w:val="20"/>
                <w:lang w:val="en-US"/>
              </w:rPr>
              <w:t>.</w:t>
            </w:r>
          </w:p>
        </w:tc>
      </w:tr>
    </w:tbl>
    <w:p w14:paraId="19E71F01" w14:textId="77777777" w:rsidR="00095960" w:rsidRDefault="00095960">
      <w:pPr>
        <w:pBdr>
          <w:top w:val="nil"/>
          <w:left w:val="nil"/>
          <w:bottom w:val="nil"/>
          <w:right w:val="nil"/>
          <w:between w:val="nil"/>
        </w:pBdr>
        <w:jc w:val="both"/>
        <w:rPr>
          <w:rFonts w:ascii="Calibri" w:eastAsia="Calibri" w:hAnsi="Calibri" w:cs="Calibri"/>
          <w:b/>
          <w:color w:val="000000"/>
          <w:sz w:val="10"/>
          <w:szCs w:val="10"/>
        </w:rPr>
      </w:pPr>
    </w:p>
    <w:p w14:paraId="529D254E" w14:textId="77777777" w:rsidR="00095960" w:rsidRDefault="00095960">
      <w:pPr>
        <w:pBdr>
          <w:top w:val="nil"/>
          <w:left w:val="nil"/>
          <w:bottom w:val="nil"/>
          <w:right w:val="nil"/>
          <w:between w:val="nil"/>
        </w:pBdr>
        <w:jc w:val="both"/>
        <w:rPr>
          <w:rFonts w:ascii="Calibri" w:eastAsia="Calibri" w:hAnsi="Calibri" w:cs="Calibri"/>
          <w:b/>
          <w:color w:val="000000"/>
          <w:sz w:val="10"/>
          <w:szCs w:val="10"/>
        </w:rPr>
      </w:pPr>
    </w:p>
    <w:p w14:paraId="7FAB2ADC" w14:textId="77777777" w:rsidR="00095960" w:rsidRDefault="00095960">
      <w:pPr>
        <w:pBdr>
          <w:top w:val="nil"/>
          <w:left w:val="nil"/>
          <w:bottom w:val="nil"/>
          <w:right w:val="nil"/>
          <w:between w:val="nil"/>
        </w:pBdr>
        <w:jc w:val="both"/>
        <w:rPr>
          <w:rFonts w:ascii="Calibri" w:eastAsia="Calibri" w:hAnsi="Calibri" w:cs="Calibri"/>
          <w:color w:val="000000"/>
          <w:sz w:val="20"/>
          <w:szCs w:val="20"/>
        </w:rPr>
      </w:pPr>
    </w:p>
    <w:p w14:paraId="64982BA9" w14:textId="53CF0540" w:rsidR="00706862" w:rsidRPr="00B8577A" w:rsidRDefault="00D61ABA" w:rsidP="00706862">
      <w:pPr>
        <w:spacing w:before="240" w:after="240" w:line="360" w:lineRule="auto"/>
        <w:jc w:val="both"/>
        <w:rPr>
          <w:sz w:val="20"/>
          <w:szCs w:val="20"/>
          <w:lang w:val="en-US"/>
        </w:rPr>
      </w:pPr>
      <w:r w:rsidRPr="00B8577A">
        <w:rPr>
          <w:b/>
          <w:sz w:val="20"/>
          <w:szCs w:val="20"/>
          <w:lang w:val="en-US"/>
        </w:rPr>
        <w:t>1 Introduction</w:t>
      </w:r>
    </w:p>
    <w:p w14:paraId="3CCFE868" w14:textId="77777777" w:rsidR="00706862" w:rsidRPr="00B8577A" w:rsidRDefault="008A4894" w:rsidP="009A48EA">
      <w:pPr>
        <w:spacing w:before="240" w:after="240" w:line="276" w:lineRule="auto"/>
        <w:ind w:firstLine="700"/>
        <w:jc w:val="both"/>
        <w:rPr>
          <w:sz w:val="20"/>
          <w:szCs w:val="20"/>
          <w:lang w:val="en-US"/>
        </w:rPr>
      </w:pPr>
      <w:r w:rsidRPr="00B8577A">
        <w:rPr>
          <w:sz w:val="20"/>
          <w:szCs w:val="20"/>
          <w:lang w:val="en-US"/>
        </w:rPr>
        <w:t>The excessive and incorrect use of antibiotics over an extended period induces microbial resistance, being the cause of infections in the community, encompassing a wide range of pathogens in humans. This has contributed to the emergence of drug-resistant bacteria, sometimes resulting in the ineffectiveness of commercial antibiotics. An alternative would be the use of natural products such as medicinal plants, plant extracts, and essential oils that contain bioactive compounds. These substances have been studied for their ability to inhibit the growth or cause the death of microbial agents. This scenario highlights the need for continuous exploration of discoveries and scientific studies in the chemical and medicinal fields. The field of nanotechnology has been gaining prominence in various areas of knowledge due to its unique physicochemical properties (distinct from those presented by their counterparts on a macroscopic scale) and surface interaction mechanisms. In this context, metallic nanoparticles, which are small aggregates of metals on a nanoscale, hold significant potential for applications in environmental, agricultural, health, and food-related fields (</w:t>
      </w:r>
      <w:r w:rsidR="00437E4F" w:rsidRPr="00B8577A">
        <w:rPr>
          <w:sz w:val="20"/>
          <w:szCs w:val="20"/>
          <w:lang w:val="en-US"/>
        </w:rPr>
        <w:t>Saravanan</w:t>
      </w:r>
      <w:r w:rsidRPr="00B8577A">
        <w:rPr>
          <w:sz w:val="20"/>
          <w:szCs w:val="20"/>
          <w:lang w:val="en-US"/>
        </w:rPr>
        <w:t xml:space="preserve"> </w:t>
      </w:r>
      <w:r w:rsidRPr="00B8577A">
        <w:rPr>
          <w:i/>
          <w:sz w:val="20"/>
          <w:szCs w:val="20"/>
          <w:lang w:val="en-US"/>
        </w:rPr>
        <w:t>et al</w:t>
      </w:r>
      <w:r w:rsidRPr="00B8577A">
        <w:rPr>
          <w:sz w:val="20"/>
          <w:szCs w:val="20"/>
          <w:lang w:val="en-US"/>
        </w:rPr>
        <w:t xml:space="preserve">., 2021; </w:t>
      </w:r>
      <w:proofErr w:type="spellStart"/>
      <w:r w:rsidR="00437E4F" w:rsidRPr="00B8577A">
        <w:rPr>
          <w:sz w:val="20"/>
          <w:szCs w:val="20"/>
          <w:lang w:val="en-US"/>
        </w:rPr>
        <w:t>Abisharani</w:t>
      </w:r>
      <w:proofErr w:type="spellEnd"/>
      <w:r w:rsidRPr="00B8577A">
        <w:rPr>
          <w:sz w:val="20"/>
          <w:szCs w:val="20"/>
          <w:lang w:val="en-US"/>
        </w:rPr>
        <w:t xml:space="preserve"> </w:t>
      </w:r>
      <w:r w:rsidRPr="00B8577A">
        <w:rPr>
          <w:i/>
          <w:sz w:val="20"/>
          <w:szCs w:val="20"/>
          <w:lang w:val="en-US"/>
        </w:rPr>
        <w:t>et al</w:t>
      </w:r>
      <w:r w:rsidRPr="00B8577A">
        <w:rPr>
          <w:sz w:val="20"/>
          <w:szCs w:val="20"/>
          <w:lang w:val="en-US"/>
        </w:rPr>
        <w:t xml:space="preserve">., 2019; </w:t>
      </w:r>
      <w:r w:rsidR="00437E4F" w:rsidRPr="00B8577A">
        <w:rPr>
          <w:sz w:val="20"/>
          <w:szCs w:val="20"/>
          <w:lang w:val="en-US"/>
        </w:rPr>
        <w:t>Wongyai</w:t>
      </w:r>
      <w:r w:rsidRPr="00B8577A">
        <w:rPr>
          <w:sz w:val="20"/>
          <w:szCs w:val="20"/>
          <w:lang w:val="en-US"/>
        </w:rPr>
        <w:t xml:space="preserve"> </w:t>
      </w:r>
      <w:r w:rsidRPr="00B8577A">
        <w:rPr>
          <w:i/>
          <w:sz w:val="20"/>
          <w:szCs w:val="20"/>
          <w:lang w:val="en-US"/>
        </w:rPr>
        <w:t>et al</w:t>
      </w:r>
      <w:r w:rsidRPr="00B8577A">
        <w:rPr>
          <w:sz w:val="20"/>
          <w:szCs w:val="20"/>
          <w:lang w:val="en-US"/>
        </w:rPr>
        <w:t xml:space="preserve">., 2020; </w:t>
      </w:r>
      <w:r w:rsidR="00437E4F" w:rsidRPr="00B8577A">
        <w:rPr>
          <w:sz w:val="20"/>
          <w:szCs w:val="20"/>
          <w:lang w:val="en-US"/>
        </w:rPr>
        <w:t>Kalita</w:t>
      </w:r>
      <w:r w:rsidRPr="00B8577A">
        <w:rPr>
          <w:sz w:val="20"/>
          <w:szCs w:val="20"/>
          <w:lang w:val="en-US"/>
        </w:rPr>
        <w:t xml:space="preserve">; </w:t>
      </w:r>
      <w:r w:rsidR="00437E4F" w:rsidRPr="00B8577A">
        <w:rPr>
          <w:sz w:val="20"/>
          <w:szCs w:val="20"/>
          <w:lang w:val="en-US"/>
        </w:rPr>
        <w:t>Baruah</w:t>
      </w:r>
      <w:r w:rsidRPr="00B8577A">
        <w:rPr>
          <w:sz w:val="20"/>
          <w:szCs w:val="20"/>
          <w:lang w:val="en-US"/>
        </w:rPr>
        <w:t xml:space="preserve">, 2019). </w:t>
      </w:r>
    </w:p>
    <w:p w14:paraId="0F13BAD8" w14:textId="77777777" w:rsidR="00706862" w:rsidRPr="00B8577A" w:rsidRDefault="008A4894" w:rsidP="009A48EA">
      <w:pPr>
        <w:spacing w:before="240" w:after="240" w:line="276" w:lineRule="auto"/>
        <w:ind w:firstLine="700"/>
        <w:jc w:val="both"/>
        <w:rPr>
          <w:sz w:val="20"/>
          <w:szCs w:val="20"/>
        </w:rPr>
      </w:pPr>
      <w:r w:rsidRPr="00B8577A">
        <w:rPr>
          <w:sz w:val="20"/>
          <w:szCs w:val="20"/>
          <w:lang w:val="en-US"/>
        </w:rPr>
        <w:t>Over the years, various synthetic methods have been studied for obtaining metallic nanoparticles through physical, chemical, and photochemical means (</w:t>
      </w:r>
      <w:proofErr w:type="spellStart"/>
      <w:r w:rsidR="00D35DF1" w:rsidRPr="00B8577A">
        <w:rPr>
          <w:sz w:val="20"/>
          <w:szCs w:val="20"/>
          <w:lang w:val="en-US"/>
        </w:rPr>
        <w:t>Yagoob</w:t>
      </w:r>
      <w:proofErr w:type="spellEnd"/>
      <w:r w:rsidRPr="00B8577A">
        <w:rPr>
          <w:sz w:val="20"/>
          <w:szCs w:val="20"/>
          <w:lang w:val="en-US"/>
        </w:rPr>
        <w:t xml:space="preserve"> </w:t>
      </w:r>
      <w:r w:rsidRPr="00B8577A">
        <w:rPr>
          <w:i/>
          <w:sz w:val="20"/>
          <w:szCs w:val="20"/>
          <w:lang w:val="en-US"/>
        </w:rPr>
        <w:t>et al</w:t>
      </w:r>
      <w:r w:rsidRPr="00B8577A">
        <w:rPr>
          <w:sz w:val="20"/>
          <w:szCs w:val="20"/>
          <w:lang w:val="en-US"/>
        </w:rPr>
        <w:t xml:space="preserve">., 2020). However, most available techniques are expensive and environmentally unfriendly, meaning they can be harmful to the environment. The green synthesis of metallic nanoparticles offers significant advantages in production compared to traditional methods (Baláž </w:t>
      </w:r>
      <w:r w:rsidRPr="00B8577A">
        <w:rPr>
          <w:i/>
          <w:sz w:val="20"/>
          <w:szCs w:val="20"/>
          <w:lang w:val="en-US"/>
        </w:rPr>
        <w:t>et al</w:t>
      </w:r>
      <w:r w:rsidRPr="00B8577A">
        <w:rPr>
          <w:sz w:val="20"/>
          <w:szCs w:val="20"/>
          <w:lang w:val="en-US"/>
        </w:rPr>
        <w:t>., 2021). This approach utilizes renewable materials such as plants, fungi, algae, and bacteria as reducing and/or stabilizing agents, avoiding the use of toxic substance</w:t>
      </w:r>
      <w:r w:rsidR="000651D2" w:rsidRPr="00B8577A">
        <w:rPr>
          <w:sz w:val="20"/>
          <w:szCs w:val="20"/>
          <w:lang w:val="en-US"/>
        </w:rPr>
        <w:t>s and reducing waste production</w:t>
      </w:r>
      <w:r w:rsidRPr="00B8577A">
        <w:rPr>
          <w:sz w:val="20"/>
          <w:szCs w:val="20"/>
          <w:lang w:val="en-US"/>
        </w:rPr>
        <w:t xml:space="preserve">. </w:t>
      </w:r>
      <w:r w:rsidRPr="00B8577A">
        <w:rPr>
          <w:sz w:val="20"/>
          <w:szCs w:val="20"/>
        </w:rPr>
        <w:t>Inserido neste contexto, destaca-se o ginseng (dentre as variadas 11 espécies conhecidas), que ajuda no sistema imunológico, é antioxidante e ainda possui outras finalidades funcionais (</w:t>
      </w:r>
      <w:r w:rsidR="00D35DF1" w:rsidRPr="00B8577A">
        <w:rPr>
          <w:sz w:val="20"/>
          <w:szCs w:val="20"/>
        </w:rPr>
        <w:t>Wang</w:t>
      </w:r>
      <w:r w:rsidRPr="00B8577A">
        <w:rPr>
          <w:sz w:val="20"/>
          <w:szCs w:val="20"/>
        </w:rPr>
        <w:t xml:space="preserve"> </w:t>
      </w:r>
      <w:r w:rsidRPr="00B8577A">
        <w:rPr>
          <w:i/>
          <w:sz w:val="20"/>
          <w:szCs w:val="20"/>
        </w:rPr>
        <w:t>et al</w:t>
      </w:r>
      <w:r w:rsidRPr="00B8577A">
        <w:rPr>
          <w:sz w:val="20"/>
          <w:szCs w:val="20"/>
        </w:rPr>
        <w:t>., 2020).</w:t>
      </w:r>
      <w:r w:rsidR="007A1644" w:rsidRPr="00B8577A">
        <w:rPr>
          <w:sz w:val="20"/>
          <w:szCs w:val="20"/>
        </w:rPr>
        <w:t xml:space="preserve"> </w:t>
      </w:r>
    </w:p>
    <w:p w14:paraId="02F3BAE0" w14:textId="77777777" w:rsidR="00706862" w:rsidRPr="00B8577A" w:rsidRDefault="008A4894" w:rsidP="005D13F3">
      <w:pPr>
        <w:pBdr>
          <w:top w:val="nil"/>
          <w:left w:val="nil"/>
          <w:bottom w:val="nil"/>
          <w:right w:val="nil"/>
          <w:between w:val="nil"/>
        </w:pBdr>
        <w:spacing w:line="276" w:lineRule="auto"/>
        <w:ind w:firstLine="708"/>
        <w:jc w:val="both"/>
        <w:rPr>
          <w:sz w:val="20"/>
          <w:szCs w:val="20"/>
          <w:lang w:val="en-US"/>
        </w:rPr>
      </w:pPr>
      <w:r w:rsidRPr="00B8577A">
        <w:rPr>
          <w:sz w:val="20"/>
          <w:szCs w:val="20"/>
          <w:lang w:val="en-US"/>
        </w:rPr>
        <w:t>Therefore, the objective of this work is to present a literature review on sustainable methods for the green synthesis of metallic nanoparticles, specifically gold and silver, using extracts from ginseng species.</w:t>
      </w:r>
    </w:p>
    <w:p w14:paraId="5B54E503" w14:textId="77777777" w:rsidR="00706862" w:rsidRPr="00B8577A" w:rsidRDefault="00706862" w:rsidP="00706862">
      <w:pPr>
        <w:pBdr>
          <w:top w:val="nil"/>
          <w:left w:val="nil"/>
          <w:bottom w:val="nil"/>
          <w:right w:val="nil"/>
          <w:between w:val="nil"/>
        </w:pBdr>
        <w:ind w:firstLine="708"/>
        <w:jc w:val="both"/>
        <w:rPr>
          <w:sz w:val="20"/>
          <w:szCs w:val="20"/>
          <w:lang w:val="en-US"/>
        </w:rPr>
      </w:pPr>
    </w:p>
    <w:p w14:paraId="62E2826D" w14:textId="77777777" w:rsidR="00706862" w:rsidRPr="00B8577A" w:rsidRDefault="00706862" w:rsidP="00706862">
      <w:pPr>
        <w:pBdr>
          <w:top w:val="nil"/>
          <w:left w:val="nil"/>
          <w:bottom w:val="nil"/>
          <w:right w:val="nil"/>
          <w:between w:val="nil"/>
        </w:pBdr>
        <w:ind w:firstLine="708"/>
        <w:jc w:val="both"/>
        <w:rPr>
          <w:rFonts w:eastAsia="Calibri"/>
          <w:color w:val="000000"/>
          <w:sz w:val="20"/>
          <w:szCs w:val="20"/>
          <w:lang w:val="en-US"/>
        </w:rPr>
      </w:pPr>
    </w:p>
    <w:p w14:paraId="26B27461" w14:textId="77777777" w:rsidR="00D14391" w:rsidRPr="00B8577A" w:rsidRDefault="008A4894" w:rsidP="00D14391">
      <w:pPr>
        <w:pBdr>
          <w:top w:val="nil"/>
          <w:left w:val="nil"/>
          <w:bottom w:val="nil"/>
          <w:right w:val="nil"/>
          <w:between w:val="nil"/>
        </w:pBdr>
        <w:ind w:firstLine="708"/>
        <w:jc w:val="both"/>
        <w:rPr>
          <w:rFonts w:eastAsia="Calibri"/>
          <w:b/>
          <w:color w:val="000000"/>
          <w:sz w:val="20"/>
          <w:szCs w:val="20"/>
          <w:lang w:val="en-US"/>
        </w:rPr>
      </w:pPr>
      <w:r w:rsidRPr="00B8577A">
        <w:rPr>
          <w:rFonts w:eastAsia="Calibri"/>
          <w:b/>
          <w:color w:val="000000"/>
          <w:sz w:val="20"/>
          <w:szCs w:val="20"/>
          <w:lang w:val="en-US"/>
        </w:rPr>
        <w:lastRenderedPageBreak/>
        <w:t xml:space="preserve">2. </w:t>
      </w:r>
      <w:r w:rsidR="004E41A3" w:rsidRPr="00B8577A">
        <w:rPr>
          <w:rFonts w:eastAsia="Calibri"/>
          <w:b/>
          <w:color w:val="000000"/>
          <w:sz w:val="20"/>
          <w:szCs w:val="20"/>
          <w:lang w:val="en-US"/>
        </w:rPr>
        <w:t>State of the art</w:t>
      </w:r>
    </w:p>
    <w:p w14:paraId="27276C7B" w14:textId="77777777" w:rsidR="00D14391" w:rsidRPr="00B8577A" w:rsidRDefault="008A4894" w:rsidP="00D14391">
      <w:pPr>
        <w:pBdr>
          <w:top w:val="nil"/>
          <w:left w:val="nil"/>
          <w:bottom w:val="nil"/>
          <w:right w:val="nil"/>
          <w:between w:val="nil"/>
        </w:pBdr>
        <w:ind w:firstLine="708"/>
        <w:jc w:val="both"/>
        <w:rPr>
          <w:rFonts w:eastAsia="Calibri"/>
          <w:b/>
          <w:color w:val="000000"/>
          <w:sz w:val="20"/>
          <w:szCs w:val="20"/>
          <w:lang w:val="en-US"/>
        </w:rPr>
      </w:pPr>
      <w:r w:rsidRPr="00B8577A">
        <w:rPr>
          <w:rFonts w:eastAsia="Calibri"/>
          <w:b/>
          <w:color w:val="000000"/>
          <w:sz w:val="20"/>
          <w:szCs w:val="20"/>
          <w:lang w:val="en-US"/>
        </w:rPr>
        <w:t>2.2 Ginseng</w:t>
      </w:r>
    </w:p>
    <w:p w14:paraId="2E7969D9" w14:textId="77777777" w:rsidR="004E41A3" w:rsidRPr="009664EE" w:rsidRDefault="008A4894" w:rsidP="004E41A3">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lang w:val="en-US"/>
        </w:rPr>
        <w:t xml:space="preserve">There are several species of ginseng found throughout the world. They are of medicinal interest, particularly in Asian countries such as China and Japan. Among the main species are: a) Panax ginseng, known as Korean ginseng, found in China and Korea; b) Panax japonicus (Mohsin </w:t>
      </w:r>
      <w:r w:rsidRPr="009664EE">
        <w:rPr>
          <w:rFonts w:eastAsia="Calibri"/>
          <w:i/>
          <w:color w:val="000000"/>
          <w:sz w:val="20"/>
          <w:szCs w:val="20"/>
          <w:lang w:val="en-US"/>
        </w:rPr>
        <w:t>et al</w:t>
      </w:r>
      <w:r w:rsidRPr="009664EE">
        <w:rPr>
          <w:rFonts w:eastAsia="Calibri"/>
          <w:color w:val="000000"/>
          <w:sz w:val="20"/>
          <w:szCs w:val="20"/>
          <w:lang w:val="en-US"/>
        </w:rPr>
        <w:t xml:space="preserve">., 2020), known as Japanese ginseng, found in Japan and China; c) Panax </w:t>
      </w:r>
      <w:proofErr w:type="spellStart"/>
      <w:r w:rsidRPr="009664EE">
        <w:rPr>
          <w:rFonts w:eastAsia="Calibri"/>
          <w:color w:val="000000"/>
          <w:sz w:val="20"/>
          <w:szCs w:val="20"/>
          <w:lang w:val="en-US"/>
        </w:rPr>
        <w:t>quinquefolius</w:t>
      </w:r>
      <w:proofErr w:type="spellEnd"/>
      <w:r w:rsidRPr="009664EE">
        <w:rPr>
          <w:rFonts w:eastAsia="Calibri"/>
          <w:color w:val="000000"/>
          <w:sz w:val="20"/>
          <w:szCs w:val="20"/>
          <w:lang w:val="en-US"/>
        </w:rPr>
        <w:t xml:space="preserve"> or American ginseng, found in the United States and Canada; d) </w:t>
      </w:r>
      <w:proofErr w:type="spellStart"/>
      <w:r w:rsidRPr="009664EE">
        <w:rPr>
          <w:rFonts w:eastAsia="Calibri"/>
          <w:color w:val="000000"/>
          <w:sz w:val="20"/>
          <w:szCs w:val="20"/>
          <w:lang w:val="en-US"/>
        </w:rPr>
        <w:t>Eleutherococcus</w:t>
      </w:r>
      <w:proofErr w:type="spellEnd"/>
      <w:r w:rsidRPr="009664EE">
        <w:rPr>
          <w:rFonts w:eastAsia="Calibri"/>
          <w:color w:val="000000"/>
          <w:sz w:val="20"/>
          <w:szCs w:val="20"/>
          <w:lang w:val="en-US"/>
        </w:rPr>
        <w:t xml:space="preserve"> </w:t>
      </w:r>
      <w:proofErr w:type="spellStart"/>
      <w:r w:rsidRPr="009664EE">
        <w:rPr>
          <w:rFonts w:eastAsia="Calibri"/>
          <w:color w:val="000000"/>
          <w:sz w:val="20"/>
          <w:szCs w:val="20"/>
          <w:lang w:val="en-US"/>
        </w:rPr>
        <w:t>senticosus</w:t>
      </w:r>
      <w:proofErr w:type="spellEnd"/>
      <w:r w:rsidRPr="009664EE">
        <w:rPr>
          <w:rFonts w:eastAsia="Calibri"/>
          <w:color w:val="000000"/>
          <w:sz w:val="20"/>
          <w:szCs w:val="20"/>
          <w:lang w:val="en-US"/>
        </w:rPr>
        <w:t xml:space="preserve"> (</w:t>
      </w:r>
      <w:proofErr w:type="spellStart"/>
      <w:r w:rsidRPr="009664EE">
        <w:rPr>
          <w:rFonts w:eastAsia="Calibri"/>
          <w:color w:val="000000"/>
          <w:sz w:val="20"/>
          <w:szCs w:val="20"/>
          <w:lang w:val="en-US"/>
        </w:rPr>
        <w:t>Gerontakos</w:t>
      </w:r>
      <w:proofErr w:type="spellEnd"/>
      <w:r w:rsidRPr="009664EE">
        <w:rPr>
          <w:rFonts w:eastAsia="Calibri"/>
          <w:color w:val="000000"/>
          <w:sz w:val="20"/>
          <w:szCs w:val="20"/>
          <w:lang w:val="en-US"/>
        </w:rPr>
        <w:t xml:space="preserve"> </w:t>
      </w:r>
      <w:r w:rsidRPr="009664EE">
        <w:rPr>
          <w:rFonts w:eastAsia="Calibri"/>
          <w:i/>
          <w:color w:val="000000"/>
          <w:sz w:val="20"/>
          <w:szCs w:val="20"/>
          <w:lang w:val="en-US"/>
        </w:rPr>
        <w:t>et al</w:t>
      </w:r>
      <w:r w:rsidRPr="009664EE">
        <w:rPr>
          <w:rFonts w:eastAsia="Calibri"/>
          <w:color w:val="000000"/>
          <w:sz w:val="20"/>
          <w:szCs w:val="20"/>
          <w:lang w:val="en-US"/>
        </w:rPr>
        <w:t xml:space="preserve">., 2021), popularly known as Siberian ginseng, found in Russia; e) </w:t>
      </w:r>
      <w:proofErr w:type="spellStart"/>
      <w:r w:rsidRPr="009664EE">
        <w:rPr>
          <w:rFonts w:eastAsia="Calibri"/>
          <w:i/>
          <w:color w:val="000000"/>
          <w:sz w:val="20"/>
          <w:szCs w:val="20"/>
          <w:lang w:val="en-US"/>
        </w:rPr>
        <w:t>Pfaffia</w:t>
      </w:r>
      <w:proofErr w:type="spellEnd"/>
      <w:r w:rsidRPr="009664EE">
        <w:rPr>
          <w:rFonts w:eastAsia="Calibri"/>
          <w:i/>
          <w:color w:val="000000"/>
          <w:sz w:val="20"/>
          <w:szCs w:val="20"/>
          <w:lang w:val="en-US"/>
        </w:rPr>
        <w:t xml:space="preserve"> </w:t>
      </w:r>
      <w:proofErr w:type="spellStart"/>
      <w:r w:rsidRPr="009664EE">
        <w:rPr>
          <w:rFonts w:eastAsia="Calibri"/>
          <w:i/>
          <w:color w:val="000000"/>
          <w:sz w:val="20"/>
          <w:szCs w:val="20"/>
          <w:lang w:val="en-US"/>
        </w:rPr>
        <w:t>glomerata</w:t>
      </w:r>
      <w:proofErr w:type="spellEnd"/>
      <w:r w:rsidRPr="009664EE">
        <w:rPr>
          <w:rFonts w:eastAsia="Calibri"/>
          <w:color w:val="000000"/>
          <w:sz w:val="20"/>
          <w:szCs w:val="20"/>
          <w:lang w:val="en-US"/>
        </w:rPr>
        <w:t xml:space="preserve"> or Brazilian ginseng, found in Brazil</w:t>
      </w:r>
      <w:r w:rsidR="00D14391" w:rsidRPr="009664EE">
        <w:rPr>
          <w:rFonts w:eastAsia="Calibri"/>
          <w:color w:val="000000"/>
          <w:sz w:val="20"/>
          <w:szCs w:val="20"/>
          <w:lang w:val="en-US"/>
        </w:rPr>
        <w:t xml:space="preserve">.  </w:t>
      </w:r>
      <w:r w:rsidRPr="009664EE">
        <w:rPr>
          <w:rFonts w:eastAsia="Calibri"/>
          <w:color w:val="000000"/>
          <w:sz w:val="20"/>
          <w:szCs w:val="20"/>
        </w:rPr>
        <w:t>In each of these species, various bioactive compounds with antioxidant, anti-inflammatory, anti-diabetic, antimicrobial, and other properties can be found.</w:t>
      </w:r>
    </w:p>
    <w:p w14:paraId="02DE8865" w14:textId="77777777" w:rsidR="00E30B0F" w:rsidRPr="009664EE" w:rsidRDefault="00E30B0F" w:rsidP="000A5A4A">
      <w:pPr>
        <w:pBdr>
          <w:top w:val="nil"/>
          <w:left w:val="nil"/>
          <w:bottom w:val="nil"/>
          <w:right w:val="nil"/>
          <w:between w:val="nil"/>
        </w:pBdr>
        <w:spacing w:line="276" w:lineRule="auto"/>
        <w:ind w:firstLine="708"/>
        <w:jc w:val="both"/>
        <w:rPr>
          <w:rFonts w:eastAsia="Calibri"/>
          <w:color w:val="000000"/>
          <w:sz w:val="20"/>
          <w:szCs w:val="20"/>
        </w:rPr>
      </w:pPr>
    </w:p>
    <w:p w14:paraId="2E234703" w14:textId="77777777" w:rsidR="00D14391" w:rsidRPr="009664EE" w:rsidRDefault="008A4894" w:rsidP="00D14391">
      <w:pPr>
        <w:pBdr>
          <w:top w:val="nil"/>
          <w:left w:val="nil"/>
          <w:bottom w:val="nil"/>
          <w:right w:val="nil"/>
          <w:between w:val="nil"/>
        </w:pBdr>
        <w:ind w:firstLine="708"/>
        <w:jc w:val="both"/>
        <w:rPr>
          <w:rFonts w:eastAsia="Calibri"/>
          <w:b/>
          <w:color w:val="000000"/>
          <w:sz w:val="20"/>
          <w:szCs w:val="20"/>
        </w:rPr>
      </w:pPr>
      <w:r w:rsidRPr="009664EE">
        <w:rPr>
          <w:rFonts w:eastAsia="Calibri"/>
          <w:b/>
          <w:color w:val="000000"/>
          <w:sz w:val="20"/>
          <w:szCs w:val="20"/>
        </w:rPr>
        <w:t>2.2.1 Ginseng brasileiro (</w:t>
      </w:r>
      <w:r w:rsidRPr="009664EE">
        <w:rPr>
          <w:rFonts w:eastAsia="Calibri"/>
          <w:b/>
          <w:i/>
          <w:color w:val="000000"/>
          <w:sz w:val="20"/>
          <w:szCs w:val="20"/>
        </w:rPr>
        <w:t>Pfaffia glomerata</w:t>
      </w:r>
      <w:r w:rsidRPr="009664EE">
        <w:rPr>
          <w:rFonts w:eastAsia="Calibri"/>
          <w:b/>
          <w:color w:val="000000"/>
          <w:sz w:val="20"/>
          <w:szCs w:val="20"/>
        </w:rPr>
        <w:t>)</w:t>
      </w:r>
    </w:p>
    <w:p w14:paraId="1A67FA0A" w14:textId="77777777" w:rsidR="00E30B0F" w:rsidRPr="009664EE" w:rsidRDefault="00E30B0F" w:rsidP="00D14391">
      <w:pPr>
        <w:pBdr>
          <w:top w:val="nil"/>
          <w:left w:val="nil"/>
          <w:bottom w:val="nil"/>
          <w:right w:val="nil"/>
          <w:between w:val="nil"/>
        </w:pBdr>
        <w:ind w:firstLine="708"/>
        <w:jc w:val="both"/>
        <w:rPr>
          <w:rFonts w:eastAsia="Calibri"/>
          <w:b/>
          <w:color w:val="000000"/>
          <w:sz w:val="20"/>
          <w:szCs w:val="20"/>
        </w:rPr>
      </w:pPr>
    </w:p>
    <w:p w14:paraId="21F001BD" w14:textId="77777777" w:rsidR="00D14391" w:rsidRPr="009664EE" w:rsidRDefault="008A4894" w:rsidP="004E41A3">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i/>
          <w:color w:val="000000"/>
          <w:sz w:val="20"/>
          <w:szCs w:val="20"/>
        </w:rPr>
        <w:t>Pfaffia glomerata</w:t>
      </w:r>
      <w:r w:rsidRPr="009664EE">
        <w:rPr>
          <w:rFonts w:eastAsia="Calibri"/>
          <w:color w:val="000000"/>
          <w:sz w:val="20"/>
          <w:szCs w:val="20"/>
        </w:rPr>
        <w:t xml:space="preserve"> (Spreng.) Pedersen is one of the three species in the Pfaffia genus, belonging to the Amaranthaceae family. Indigenous to South American countries, particularly in Brazil, in regions spanning Paraná, São Paulo, Goiás, and Mato Grosso, Pfaffia glomerata is commonly referred to as Brazilian ginseng. This nomenclature stems from both its morphological resemblance to Asian ginseng and its similar medicinal effects. (</w:t>
      </w:r>
      <w:r w:rsidR="00E30B0F" w:rsidRPr="009664EE">
        <w:rPr>
          <w:rFonts w:eastAsia="Calibri"/>
          <w:color w:val="000000"/>
          <w:sz w:val="20"/>
          <w:szCs w:val="20"/>
        </w:rPr>
        <w:t>Vardanega</w:t>
      </w:r>
      <w:r w:rsidRPr="009664EE">
        <w:rPr>
          <w:rFonts w:eastAsia="Calibri"/>
          <w:color w:val="000000"/>
          <w:sz w:val="20"/>
          <w:szCs w:val="20"/>
        </w:rPr>
        <w:t xml:space="preserve"> </w:t>
      </w:r>
      <w:r w:rsidRPr="009664EE">
        <w:rPr>
          <w:rFonts w:eastAsia="Calibri"/>
          <w:i/>
          <w:color w:val="000000"/>
          <w:sz w:val="20"/>
          <w:szCs w:val="20"/>
        </w:rPr>
        <w:t>et al.</w:t>
      </w:r>
      <w:r w:rsidRPr="009664EE">
        <w:rPr>
          <w:rFonts w:eastAsia="Calibri"/>
          <w:color w:val="000000"/>
          <w:sz w:val="20"/>
          <w:szCs w:val="20"/>
        </w:rPr>
        <w:t xml:space="preserve">, 2016, </w:t>
      </w:r>
      <w:r w:rsidR="00E30B0F" w:rsidRPr="009664EE">
        <w:rPr>
          <w:rFonts w:eastAsia="Calibri"/>
          <w:color w:val="000000"/>
          <w:sz w:val="20"/>
          <w:szCs w:val="20"/>
        </w:rPr>
        <w:t>Huang</w:t>
      </w:r>
      <w:r w:rsidRPr="009664EE">
        <w:rPr>
          <w:rFonts w:eastAsia="Calibri"/>
          <w:color w:val="000000"/>
          <w:sz w:val="20"/>
          <w:szCs w:val="20"/>
        </w:rPr>
        <w:t xml:space="preserve"> </w:t>
      </w:r>
      <w:r w:rsidRPr="009664EE">
        <w:rPr>
          <w:rFonts w:eastAsia="Calibri"/>
          <w:i/>
          <w:color w:val="000000"/>
          <w:sz w:val="20"/>
          <w:szCs w:val="20"/>
        </w:rPr>
        <w:t>et al</w:t>
      </w:r>
      <w:r w:rsidRPr="009664EE">
        <w:rPr>
          <w:rFonts w:eastAsia="Calibri"/>
          <w:color w:val="000000"/>
          <w:sz w:val="20"/>
          <w:szCs w:val="20"/>
        </w:rPr>
        <w:t>., 2021).</w:t>
      </w:r>
    </w:p>
    <w:p w14:paraId="0F7F7AAB" w14:textId="77777777" w:rsidR="00D14391" w:rsidRPr="009664EE" w:rsidRDefault="008A4894" w:rsidP="004E41A3">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 xml:space="preserve">In Brazil, </w:t>
      </w:r>
      <w:r w:rsidRPr="009664EE">
        <w:rPr>
          <w:rFonts w:eastAsia="Calibri"/>
          <w:i/>
          <w:color w:val="000000"/>
          <w:sz w:val="20"/>
          <w:szCs w:val="20"/>
        </w:rPr>
        <w:t>Pfaffia glomerata</w:t>
      </w:r>
      <w:r w:rsidRPr="009664EE">
        <w:rPr>
          <w:rFonts w:eastAsia="Calibri"/>
          <w:color w:val="000000"/>
          <w:sz w:val="20"/>
          <w:szCs w:val="20"/>
        </w:rPr>
        <w:t xml:space="preserve"> grows endemically near rivers due to the soil composition and the existing moisture. In the state of Paraná, the municipality of Querência do Norte is one of the major producers. The cultivation in this area is carried out sustainably by the inhabitants of the Ilha Grande National Park.</w:t>
      </w:r>
    </w:p>
    <w:p w14:paraId="28919EC8" w14:textId="77777777" w:rsidR="00D511B9" w:rsidRPr="009664EE" w:rsidRDefault="008A4894" w:rsidP="00D511B9">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Present in Pfaffia glomerata, the component β-ecdysone (20E) or 20-hydroxyecdysone is a phytoecdysteroid that is analogous to insect hormones</w:t>
      </w:r>
      <w:r w:rsidR="004F7FCC" w:rsidRPr="009664EE">
        <w:rPr>
          <w:rFonts w:eastAsia="Calibri"/>
          <w:color w:val="000000"/>
          <w:sz w:val="20"/>
          <w:szCs w:val="20"/>
        </w:rPr>
        <w:t xml:space="preserve">. </w:t>
      </w:r>
      <w:r w:rsidRPr="009664EE">
        <w:rPr>
          <w:rFonts w:eastAsia="Calibri"/>
          <w:color w:val="000000"/>
          <w:sz w:val="20"/>
          <w:szCs w:val="20"/>
        </w:rPr>
        <w:t>The extraction of secondary metabolites from Pfaffia glomerata is crucial in the discovery of new constituents.</w:t>
      </w:r>
      <w:r w:rsidR="004F7FCC" w:rsidRPr="009664EE">
        <w:rPr>
          <w:rFonts w:eastAsia="Calibri"/>
          <w:color w:val="000000"/>
          <w:sz w:val="20"/>
          <w:szCs w:val="20"/>
        </w:rPr>
        <w:t xml:space="preserve"> (</w:t>
      </w:r>
      <w:r w:rsidR="00E30B0F" w:rsidRPr="009664EE">
        <w:rPr>
          <w:rFonts w:eastAsia="Calibri"/>
          <w:color w:val="000000"/>
          <w:sz w:val="20"/>
          <w:szCs w:val="20"/>
        </w:rPr>
        <w:t>Balastreri</w:t>
      </w:r>
      <w:r w:rsidR="004F7FCC" w:rsidRPr="009664EE">
        <w:rPr>
          <w:rFonts w:eastAsia="Calibri"/>
          <w:color w:val="000000"/>
          <w:sz w:val="20"/>
          <w:szCs w:val="20"/>
        </w:rPr>
        <w:t xml:space="preserve"> </w:t>
      </w:r>
      <w:r w:rsidR="004F7FCC" w:rsidRPr="009664EE">
        <w:rPr>
          <w:rFonts w:eastAsia="Calibri"/>
          <w:i/>
          <w:color w:val="000000"/>
          <w:sz w:val="20"/>
          <w:szCs w:val="20"/>
        </w:rPr>
        <w:t>et al</w:t>
      </w:r>
      <w:r w:rsidR="004F7FCC" w:rsidRPr="009664EE">
        <w:rPr>
          <w:rFonts w:eastAsia="Calibri"/>
          <w:color w:val="000000"/>
          <w:sz w:val="20"/>
          <w:szCs w:val="20"/>
        </w:rPr>
        <w:t xml:space="preserve">., 2018). </w:t>
      </w:r>
      <w:r w:rsidRPr="009664EE">
        <w:rPr>
          <w:rFonts w:eastAsia="Calibri"/>
          <w:color w:val="000000"/>
          <w:sz w:val="20"/>
          <w:szCs w:val="20"/>
        </w:rPr>
        <w:t xml:space="preserve">Due to its significant presence in Pfaffia glomerata, β-ecdysone is considered the chemical marker of this plant. </w:t>
      </w:r>
      <w:r w:rsidR="004F7FCC" w:rsidRPr="009664EE">
        <w:rPr>
          <w:rFonts w:eastAsia="Calibri"/>
          <w:color w:val="000000"/>
          <w:sz w:val="20"/>
          <w:szCs w:val="20"/>
        </w:rPr>
        <w:t>(</w:t>
      </w:r>
      <w:r w:rsidR="00E30B0F" w:rsidRPr="009664EE">
        <w:rPr>
          <w:rFonts w:eastAsia="Calibri"/>
          <w:color w:val="000000"/>
          <w:sz w:val="20"/>
          <w:szCs w:val="20"/>
        </w:rPr>
        <w:t>Neves</w:t>
      </w:r>
      <w:r w:rsidR="004F7FCC" w:rsidRPr="009664EE">
        <w:rPr>
          <w:rFonts w:eastAsia="Calibri"/>
          <w:color w:val="000000"/>
          <w:sz w:val="20"/>
          <w:szCs w:val="20"/>
        </w:rPr>
        <w:t xml:space="preserve"> </w:t>
      </w:r>
      <w:r w:rsidR="004F7FCC" w:rsidRPr="009664EE">
        <w:rPr>
          <w:rFonts w:eastAsia="Calibri"/>
          <w:i/>
          <w:color w:val="000000"/>
          <w:sz w:val="20"/>
          <w:szCs w:val="20"/>
        </w:rPr>
        <w:t>et al</w:t>
      </w:r>
      <w:r w:rsidR="004F7FCC" w:rsidRPr="009664EE">
        <w:rPr>
          <w:rFonts w:eastAsia="Calibri"/>
          <w:color w:val="000000"/>
          <w:sz w:val="20"/>
          <w:szCs w:val="20"/>
        </w:rPr>
        <w:t xml:space="preserve">., 2016). </w:t>
      </w:r>
      <w:r w:rsidRPr="009664EE">
        <w:rPr>
          <w:rFonts w:eastAsia="Calibri"/>
          <w:color w:val="000000"/>
          <w:sz w:val="20"/>
          <w:szCs w:val="20"/>
        </w:rPr>
        <w:t>Martins et al. (2020) detected the presence of β-ecdysone in the roots, stem, flowers, and leaves (0.68 ± 0.05, 0.62 ± 0.06, 1.14 ± 0.10, and 1.65 ± 0.14, respectively) in Pfaffia glomerata harvested in the Paraná River basin</w:t>
      </w:r>
      <w:r w:rsidR="004F7FCC" w:rsidRPr="009664EE">
        <w:rPr>
          <w:rFonts w:eastAsia="Calibri"/>
          <w:color w:val="000000"/>
          <w:sz w:val="20"/>
          <w:szCs w:val="20"/>
        </w:rPr>
        <w:t xml:space="preserve">. </w:t>
      </w:r>
      <w:r w:rsidRPr="009664EE">
        <w:rPr>
          <w:rFonts w:eastAsia="Calibri"/>
          <w:color w:val="000000"/>
          <w:sz w:val="20"/>
          <w:szCs w:val="20"/>
        </w:rPr>
        <w:t>In addition to this compound, the authors reported increasing total phenolic content in the order: leaf &gt; flower &gt; stem &gt; root. In the leaf, chlorogenic, ferulic, and hydroxybenzoic acids are present (Martins, 2020).</w:t>
      </w:r>
    </w:p>
    <w:p w14:paraId="75851C05" w14:textId="77777777" w:rsidR="00D511B9" w:rsidRPr="009664EE" w:rsidRDefault="00D511B9" w:rsidP="00D511B9">
      <w:pPr>
        <w:pBdr>
          <w:top w:val="nil"/>
          <w:left w:val="nil"/>
          <w:bottom w:val="nil"/>
          <w:right w:val="nil"/>
          <w:between w:val="nil"/>
        </w:pBdr>
        <w:spacing w:line="276" w:lineRule="auto"/>
        <w:ind w:firstLine="708"/>
        <w:jc w:val="both"/>
        <w:rPr>
          <w:rFonts w:eastAsia="Calibri"/>
          <w:color w:val="000000"/>
          <w:sz w:val="20"/>
          <w:szCs w:val="20"/>
        </w:rPr>
      </w:pPr>
    </w:p>
    <w:p w14:paraId="0E90E2F5" w14:textId="77777777" w:rsidR="00E30B0F" w:rsidRPr="009664EE" w:rsidRDefault="008A4894" w:rsidP="000E7590">
      <w:pPr>
        <w:pBdr>
          <w:top w:val="nil"/>
          <w:left w:val="nil"/>
          <w:bottom w:val="nil"/>
          <w:right w:val="nil"/>
          <w:between w:val="nil"/>
        </w:pBdr>
        <w:spacing w:line="276" w:lineRule="auto"/>
        <w:ind w:firstLine="708"/>
        <w:jc w:val="both"/>
        <w:rPr>
          <w:rFonts w:eastAsia="Calibri"/>
          <w:b/>
          <w:color w:val="000000"/>
          <w:sz w:val="20"/>
          <w:szCs w:val="20"/>
        </w:rPr>
      </w:pPr>
      <w:r w:rsidRPr="009664EE">
        <w:rPr>
          <w:rFonts w:eastAsia="Calibri"/>
          <w:b/>
          <w:color w:val="000000"/>
          <w:sz w:val="20"/>
          <w:szCs w:val="20"/>
        </w:rPr>
        <w:t xml:space="preserve">2.3 </w:t>
      </w:r>
      <w:r w:rsidR="000E7590" w:rsidRPr="009664EE">
        <w:rPr>
          <w:rFonts w:eastAsia="Calibri"/>
          <w:b/>
          <w:color w:val="000000"/>
          <w:sz w:val="20"/>
          <w:szCs w:val="20"/>
        </w:rPr>
        <w:t>Green synthesis of metallic nanoparticles</w:t>
      </w:r>
    </w:p>
    <w:p w14:paraId="675F7D49" w14:textId="77777777" w:rsidR="000E7590" w:rsidRPr="009664EE" w:rsidRDefault="000E7590" w:rsidP="000E7590">
      <w:pPr>
        <w:pBdr>
          <w:top w:val="nil"/>
          <w:left w:val="nil"/>
          <w:bottom w:val="nil"/>
          <w:right w:val="nil"/>
          <w:between w:val="nil"/>
        </w:pBdr>
        <w:spacing w:line="276" w:lineRule="auto"/>
        <w:ind w:firstLine="708"/>
        <w:jc w:val="both"/>
        <w:rPr>
          <w:rFonts w:eastAsia="Calibri"/>
          <w:b/>
          <w:color w:val="000000"/>
          <w:sz w:val="20"/>
          <w:szCs w:val="20"/>
        </w:rPr>
      </w:pPr>
    </w:p>
    <w:p w14:paraId="555640C5" w14:textId="77777777" w:rsidR="00E30B0F" w:rsidRPr="009664EE" w:rsidRDefault="008A4894" w:rsidP="008B4333">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The concept of nanotechnology involves physics, medicine, chemistry, biology, and materials science. The prefix "nano" is derived from the Greek word "nanos," meaning dwarf. In engineering terms, it represents one billionth of size, that is (10-9m), with a nanometer considered in the order of &lt;100 nm</w:t>
      </w:r>
      <w:r w:rsidR="003C578B" w:rsidRPr="009664EE">
        <w:rPr>
          <w:rFonts w:eastAsia="Calibri"/>
          <w:color w:val="000000"/>
          <w:sz w:val="20"/>
          <w:szCs w:val="20"/>
        </w:rPr>
        <w:t xml:space="preserve">. </w:t>
      </w:r>
      <w:r w:rsidRPr="009664EE">
        <w:rPr>
          <w:rFonts w:eastAsia="Calibri"/>
          <w:color w:val="000000"/>
          <w:sz w:val="20"/>
          <w:szCs w:val="20"/>
        </w:rPr>
        <w:t xml:space="preserve">For instance, a protein has an approximate length of 50 nm. Nano-scale materials are of interest because they can be produced in different forms. However, it is crucial to be able to produce them in a reduced timeframe and at the desired size to enhance their stability </w:t>
      </w:r>
      <w:r w:rsidR="003C578B" w:rsidRPr="009664EE">
        <w:rPr>
          <w:rFonts w:eastAsia="Calibri"/>
          <w:color w:val="000000"/>
          <w:sz w:val="20"/>
          <w:szCs w:val="20"/>
        </w:rPr>
        <w:t>(</w:t>
      </w:r>
      <w:r w:rsidRPr="009664EE">
        <w:rPr>
          <w:rFonts w:eastAsia="Calibri"/>
          <w:color w:val="000000"/>
          <w:sz w:val="20"/>
          <w:szCs w:val="20"/>
        </w:rPr>
        <w:t>Hulkoti</w:t>
      </w:r>
      <w:r w:rsidR="003C578B" w:rsidRPr="009664EE">
        <w:rPr>
          <w:rFonts w:eastAsia="Calibri"/>
          <w:color w:val="000000"/>
          <w:sz w:val="20"/>
          <w:szCs w:val="20"/>
        </w:rPr>
        <w:t xml:space="preserve">; </w:t>
      </w:r>
      <w:r w:rsidRPr="009664EE">
        <w:rPr>
          <w:rFonts w:eastAsia="Calibri"/>
          <w:color w:val="000000"/>
          <w:sz w:val="20"/>
          <w:szCs w:val="20"/>
        </w:rPr>
        <w:t>Taranath</w:t>
      </w:r>
      <w:r w:rsidR="003C578B" w:rsidRPr="009664EE">
        <w:rPr>
          <w:rFonts w:eastAsia="Calibri"/>
          <w:color w:val="000000"/>
          <w:sz w:val="20"/>
          <w:szCs w:val="20"/>
        </w:rPr>
        <w:t xml:space="preserve">, 2014). </w:t>
      </w:r>
      <w:r w:rsidRPr="009664EE">
        <w:rPr>
          <w:rFonts w:eastAsia="Calibri"/>
          <w:color w:val="000000"/>
          <w:sz w:val="20"/>
          <w:szCs w:val="20"/>
        </w:rPr>
        <w:t>In general, nanoparticles have an approximate size of up to 100 nm and a large surface area about their volume</w:t>
      </w:r>
      <w:r w:rsidR="003C578B" w:rsidRPr="009664EE">
        <w:rPr>
          <w:rFonts w:eastAsia="Calibri"/>
          <w:color w:val="000000"/>
          <w:sz w:val="20"/>
          <w:szCs w:val="20"/>
        </w:rPr>
        <w:t xml:space="preserve">. </w:t>
      </w:r>
      <w:r w:rsidR="00CE4263" w:rsidRPr="009664EE">
        <w:rPr>
          <w:rFonts w:eastAsia="Calibri"/>
          <w:color w:val="000000"/>
          <w:sz w:val="20"/>
          <w:szCs w:val="20"/>
        </w:rPr>
        <w:t>Due to these characteristics, nanoparticles are of great scientific interest, as they can be used, for example, to traverse cell membranes or biological barriers</w:t>
      </w:r>
      <w:r w:rsidR="003C578B" w:rsidRPr="009664EE">
        <w:rPr>
          <w:rFonts w:eastAsia="Calibri"/>
          <w:color w:val="000000"/>
          <w:sz w:val="20"/>
          <w:szCs w:val="20"/>
        </w:rPr>
        <w:t xml:space="preserve">. </w:t>
      </w:r>
      <w:r w:rsidR="00223838" w:rsidRPr="009664EE">
        <w:rPr>
          <w:rFonts w:eastAsia="Calibri"/>
          <w:color w:val="000000"/>
          <w:sz w:val="20"/>
          <w:szCs w:val="20"/>
        </w:rPr>
        <w:t xml:space="preserve">Therefore, the size reduction of nanoparticles has offered significant possibilities for scientific advancements in modern technology, with enormous potential for the well-being of humans </w:t>
      </w:r>
      <w:r w:rsidR="003C578B" w:rsidRPr="009664EE">
        <w:rPr>
          <w:rFonts w:eastAsia="Calibri"/>
          <w:color w:val="000000"/>
          <w:sz w:val="20"/>
          <w:szCs w:val="20"/>
        </w:rPr>
        <w:t>(</w:t>
      </w:r>
      <w:r w:rsidRPr="009664EE">
        <w:rPr>
          <w:rFonts w:eastAsia="Calibri"/>
          <w:color w:val="000000"/>
          <w:sz w:val="20"/>
          <w:szCs w:val="20"/>
        </w:rPr>
        <w:t>Balakumaran</w:t>
      </w:r>
      <w:r w:rsidR="003C578B" w:rsidRPr="009664EE">
        <w:rPr>
          <w:rFonts w:eastAsia="Calibri"/>
          <w:color w:val="000000"/>
          <w:sz w:val="20"/>
          <w:szCs w:val="20"/>
        </w:rPr>
        <w:t xml:space="preserve"> </w:t>
      </w:r>
      <w:r w:rsidR="003C578B" w:rsidRPr="009664EE">
        <w:rPr>
          <w:rFonts w:eastAsia="Calibri"/>
          <w:i/>
          <w:color w:val="000000"/>
          <w:sz w:val="20"/>
          <w:szCs w:val="20"/>
        </w:rPr>
        <w:t>et al</w:t>
      </w:r>
      <w:r w:rsidR="003C578B" w:rsidRPr="009664EE">
        <w:rPr>
          <w:rFonts w:eastAsia="Calibri"/>
          <w:color w:val="000000"/>
          <w:sz w:val="20"/>
          <w:szCs w:val="20"/>
        </w:rPr>
        <w:t>., 2015).</w:t>
      </w:r>
    </w:p>
    <w:p w14:paraId="68FFAAF1" w14:textId="77777777" w:rsidR="003C578B" w:rsidRPr="009664EE" w:rsidRDefault="008A4894" w:rsidP="00E30B0F">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 xml:space="preserve">The chemical, physical, and photochemical methods are the most common for the synthesis of metallic nanoparticles (NPMs). (Yaqoob </w:t>
      </w:r>
      <w:r w:rsidRPr="009664EE">
        <w:rPr>
          <w:rFonts w:eastAsia="Calibri"/>
          <w:i/>
          <w:color w:val="000000"/>
          <w:sz w:val="20"/>
          <w:szCs w:val="20"/>
        </w:rPr>
        <w:t>et al</w:t>
      </w:r>
      <w:r w:rsidRPr="009664EE">
        <w:rPr>
          <w:rFonts w:eastAsia="Calibri"/>
          <w:color w:val="000000"/>
          <w:sz w:val="20"/>
          <w:szCs w:val="20"/>
        </w:rPr>
        <w:t xml:space="preserve">. 2020). </w:t>
      </w:r>
      <w:r w:rsidR="004A0EBA" w:rsidRPr="009664EE">
        <w:rPr>
          <w:rFonts w:eastAsia="Calibri"/>
          <w:color w:val="000000"/>
          <w:sz w:val="20"/>
          <w:szCs w:val="20"/>
        </w:rPr>
        <w:t>The chemical routes commonly used for the synthesis of metallic nanoparticles (NPs) often involve the use of toxic solvents and the subsequent generation of environmentally harmful waste</w:t>
      </w:r>
      <w:r w:rsidRPr="009664EE">
        <w:rPr>
          <w:rFonts w:eastAsia="Calibri"/>
          <w:color w:val="000000"/>
          <w:sz w:val="20"/>
          <w:szCs w:val="20"/>
        </w:rPr>
        <w:t xml:space="preserve"> (Silva </w:t>
      </w:r>
      <w:r w:rsidRPr="009664EE">
        <w:rPr>
          <w:rFonts w:eastAsia="Calibri"/>
          <w:i/>
          <w:color w:val="000000"/>
          <w:sz w:val="20"/>
          <w:szCs w:val="20"/>
        </w:rPr>
        <w:t>et al</w:t>
      </w:r>
      <w:r w:rsidRPr="009664EE">
        <w:rPr>
          <w:rFonts w:eastAsia="Calibri"/>
          <w:color w:val="000000"/>
          <w:sz w:val="20"/>
          <w:szCs w:val="20"/>
        </w:rPr>
        <w:t xml:space="preserve">. 2017). </w:t>
      </w:r>
    </w:p>
    <w:p w14:paraId="334DD68A" w14:textId="77777777" w:rsidR="003C578B" w:rsidRPr="009664EE" w:rsidRDefault="008A4894" w:rsidP="004A0EBA">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The metals commonly used to form metallic nanoparticles (NPs) include gold, silver, zinc, copper, iron, platinum, aluminum, titanium, and palladium. The mechanisms for these syntheses have not been completely elucidated due to the complexity of the reaction medium, as additional reducing agents (sodium borohydride, hydrazine) can be used, as well as other nanoparticle stabilizers. Their properties involve photoelectrochemical, magnetic, and electronic aspects. Infrared spectroscopy data have revealed that the bands corresponding to amino groups, present in proteins, are responsible for stabilizing the particles, preventing the growth of nanoparticles (NPs). (</w:t>
      </w:r>
      <w:r w:rsidR="000B7A9B" w:rsidRPr="009664EE">
        <w:rPr>
          <w:rFonts w:eastAsia="Calibri"/>
          <w:color w:val="000000"/>
          <w:sz w:val="20"/>
          <w:szCs w:val="20"/>
        </w:rPr>
        <w:t>Hulkoti</w:t>
      </w:r>
      <w:r w:rsidRPr="009664EE">
        <w:rPr>
          <w:rFonts w:eastAsia="Calibri"/>
          <w:color w:val="000000"/>
          <w:sz w:val="20"/>
          <w:szCs w:val="20"/>
        </w:rPr>
        <w:t xml:space="preserve">; </w:t>
      </w:r>
      <w:r w:rsidR="000B7A9B" w:rsidRPr="009664EE">
        <w:rPr>
          <w:rFonts w:eastAsia="Calibri"/>
          <w:color w:val="000000"/>
          <w:sz w:val="20"/>
          <w:szCs w:val="20"/>
        </w:rPr>
        <w:t>Taranath</w:t>
      </w:r>
      <w:r w:rsidRPr="009664EE">
        <w:rPr>
          <w:rFonts w:eastAsia="Calibri"/>
          <w:color w:val="000000"/>
          <w:sz w:val="20"/>
          <w:szCs w:val="20"/>
        </w:rPr>
        <w:t xml:space="preserve">, 2014). </w:t>
      </w:r>
    </w:p>
    <w:p w14:paraId="4C2C30B1" w14:textId="77777777" w:rsidR="003C578B" w:rsidRPr="009664EE" w:rsidRDefault="008A4894" w:rsidP="00E30B0F">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lastRenderedPageBreak/>
        <w:t xml:space="preserve">The change in solution color to brown indicates the formation of AgNPs (silver nanoparticles). In the research area, for proper characterization of nanoparticles, it is necessary to monitor their size, morphology, and shape through stabilization and various types of reducing agents. Green synthesis gains prominence due to its cost-effectiveness, flexibility, and ease of preparation (Deshmukh; Gupta; KIM, 2019). Barabadi </w:t>
      </w:r>
      <w:r w:rsidRPr="009664EE">
        <w:rPr>
          <w:rFonts w:eastAsia="Calibri"/>
          <w:i/>
          <w:color w:val="000000"/>
          <w:sz w:val="20"/>
          <w:szCs w:val="20"/>
        </w:rPr>
        <w:t>et al</w:t>
      </w:r>
      <w:r w:rsidRPr="009664EE">
        <w:rPr>
          <w:rFonts w:eastAsia="Calibri"/>
          <w:color w:val="000000"/>
          <w:sz w:val="20"/>
          <w:szCs w:val="20"/>
        </w:rPr>
        <w:t>. (2014) indicate that during the formation process of AuNPs (gold nanoparticles), a color change from pale yellow to dark purple occurs, attributed to the emergence of the surface plasmon band. This band occurs on small metallic surfaces due to the collective oscillation of surface electrons interacting with incident monochromatic radiation. Thus, an electronic transition in the visible spectrum region occurs, indicating the formation of the metallic nanoparticle. In Figure 1, a scheme of the NPs' role in intracellular synthesis is described.</w:t>
      </w:r>
    </w:p>
    <w:p w14:paraId="5654D7DB" w14:textId="77777777" w:rsidR="003C578B" w:rsidRDefault="008A4894" w:rsidP="003C578B">
      <w:pPr>
        <w:pBdr>
          <w:top w:val="nil"/>
          <w:left w:val="nil"/>
          <w:bottom w:val="nil"/>
          <w:right w:val="nil"/>
          <w:between w:val="nil"/>
        </w:pBdr>
        <w:ind w:firstLine="708"/>
        <w:jc w:val="both"/>
        <w:rPr>
          <w:rFonts w:ascii="Calibri" w:eastAsia="Calibri" w:hAnsi="Calibri" w:cs="Calibri"/>
          <w:color w:val="000000"/>
          <w:sz w:val="20"/>
          <w:szCs w:val="20"/>
        </w:rPr>
      </w:pPr>
      <w:r>
        <w:rPr>
          <w:b/>
          <w:noProof/>
          <w:sz w:val="20"/>
          <w:szCs w:val="20"/>
        </w:rPr>
        <w:drawing>
          <wp:inline distT="0" distB="0" distL="0" distR="0" wp14:anchorId="696A259A" wp14:editId="28317DE2">
            <wp:extent cx="4405025" cy="403623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a:srcRect l="5289" t="4697" r="15374" b="5703"/>
                    <a:stretch>
                      <a:fillRect/>
                    </a:stretch>
                  </pic:blipFill>
                  <pic:spPr>
                    <a:xfrm>
                      <a:off x="0" y="0"/>
                      <a:ext cx="4405025" cy="4036233"/>
                    </a:xfrm>
                    <a:prstGeom prst="rect">
                      <a:avLst/>
                    </a:prstGeom>
                  </pic:spPr>
                </pic:pic>
              </a:graphicData>
            </a:graphic>
          </wp:inline>
        </w:drawing>
      </w:r>
    </w:p>
    <w:p w14:paraId="0FE9D96F" w14:textId="77777777" w:rsidR="003C578B" w:rsidRPr="009664EE" w:rsidRDefault="003C578B" w:rsidP="003C578B">
      <w:pPr>
        <w:pBdr>
          <w:top w:val="nil"/>
          <w:left w:val="nil"/>
          <w:bottom w:val="nil"/>
          <w:right w:val="nil"/>
          <w:between w:val="nil"/>
        </w:pBdr>
        <w:ind w:firstLine="708"/>
        <w:jc w:val="both"/>
        <w:rPr>
          <w:rFonts w:ascii="Calibri" w:eastAsia="Calibri" w:hAnsi="Calibri" w:cs="Calibri"/>
          <w:color w:val="000000"/>
          <w:sz w:val="20"/>
          <w:szCs w:val="20"/>
        </w:rPr>
      </w:pPr>
    </w:p>
    <w:p w14:paraId="194727E1" w14:textId="77777777" w:rsidR="00DF27E3" w:rsidRPr="009664EE" w:rsidRDefault="008A4894" w:rsidP="00334CEB">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Figure 1. Representation of intracellular synthesis of a nanoparticle. N-nucleus, NP-nanoparticle, (+) ions, (-) charges on the cell wall. Source: Authors, 2023.</w:t>
      </w:r>
      <w:r w:rsidR="00DF6C49" w:rsidRPr="009664EE">
        <w:rPr>
          <w:rFonts w:eastAsia="Calibri"/>
          <w:color w:val="000000"/>
          <w:sz w:val="20"/>
          <w:szCs w:val="20"/>
        </w:rPr>
        <w:t xml:space="preserve"> (https://Biorender.com)</w:t>
      </w:r>
    </w:p>
    <w:p w14:paraId="59D1B130" w14:textId="77777777" w:rsidR="00DF27E3" w:rsidRDefault="00DF27E3" w:rsidP="00334CEB">
      <w:pPr>
        <w:pBdr>
          <w:top w:val="nil"/>
          <w:left w:val="nil"/>
          <w:bottom w:val="nil"/>
          <w:right w:val="nil"/>
          <w:between w:val="nil"/>
        </w:pBdr>
        <w:spacing w:line="276" w:lineRule="auto"/>
        <w:ind w:firstLine="708"/>
        <w:jc w:val="both"/>
        <w:rPr>
          <w:rFonts w:ascii="Calibri" w:eastAsia="Calibri" w:hAnsi="Calibri" w:cs="Calibri"/>
          <w:color w:val="000000"/>
          <w:sz w:val="20"/>
          <w:szCs w:val="20"/>
        </w:rPr>
      </w:pPr>
    </w:p>
    <w:p w14:paraId="5C875F18" w14:textId="77777777" w:rsidR="00AC1FA0" w:rsidRPr="009664EE" w:rsidRDefault="008A4894" w:rsidP="00334CEB">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 xml:space="preserve">Due to the growing concern for the development of cleaner and more sustainable technologies, efforts have been made to develop metallic nanoparticle (NPM) synthesis technologies using non-toxic or less toxic reagents and solvents, as well as renewable sources, with reduced waste generation, among other aspects. </w:t>
      </w:r>
      <w:r w:rsidR="004378A3" w:rsidRPr="009664EE">
        <w:rPr>
          <w:rFonts w:eastAsia="Calibri"/>
          <w:color w:val="000000"/>
          <w:sz w:val="20"/>
          <w:szCs w:val="20"/>
        </w:rPr>
        <w:t>Rai (2013) highlights that, in addition to these aspects, green synthesis should also be clean, cost-effective, and environmentally friendly. Green synthesis primarily employs fungi, bacteria, and plant extracts for the reduction and stabilization of nanoparticles (NPs). An advantage of using plant extracts is that they can act in the synthesis in three ways, primarily reducing silver or gold ions, metals more commonly employed in this type of synthesis. This is because these matrices contain aldehydes, ketones, and carboxylic acids in their composition, accelerating the generation of metallic nanoparticles more rapidly</w:t>
      </w:r>
      <w:r w:rsidRPr="009664EE">
        <w:rPr>
          <w:rFonts w:eastAsia="Calibri"/>
          <w:color w:val="000000"/>
          <w:sz w:val="20"/>
          <w:szCs w:val="20"/>
        </w:rPr>
        <w:t xml:space="preserve">. </w:t>
      </w:r>
      <w:r w:rsidR="004378A3" w:rsidRPr="009664EE">
        <w:rPr>
          <w:rFonts w:eastAsia="Calibri"/>
          <w:color w:val="000000"/>
          <w:sz w:val="20"/>
          <w:szCs w:val="20"/>
        </w:rPr>
        <w:t>Another contribution of the extracts lies in promoting the stability of the nanoparticles, eliminating the need for reagents that would bind to the surface to prevent agglomeration and precipitation of the material</w:t>
      </w:r>
      <w:r w:rsidRPr="009664EE">
        <w:rPr>
          <w:rFonts w:eastAsia="Calibri"/>
          <w:color w:val="000000"/>
          <w:sz w:val="20"/>
          <w:szCs w:val="20"/>
        </w:rPr>
        <w:t xml:space="preserve">. </w:t>
      </w:r>
      <w:r w:rsidR="004378A3" w:rsidRPr="009664EE">
        <w:rPr>
          <w:rFonts w:eastAsia="Calibri"/>
          <w:color w:val="000000"/>
          <w:sz w:val="20"/>
          <w:szCs w:val="20"/>
        </w:rPr>
        <w:t>The antimicrobial activity observed in metallic nanoparticles (NPMs) from plant extracts primarily arises from the quantity of silver or another metal released, which interacts with fluids and the sample's water (Behravan et al., 2018). However, depending on the plant species employed, there may be an enhancement or synergy in the antimicrobial action due to the combination with the metal of the nanoparticle.</w:t>
      </w:r>
    </w:p>
    <w:p w14:paraId="505801B2" w14:textId="643FA24C" w:rsidR="00824F95" w:rsidRPr="009664EE" w:rsidRDefault="008A4894" w:rsidP="008B4333">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lastRenderedPageBreak/>
        <w:t xml:space="preserve">The synthesis of these metallic nanoparticles (NPM) is of interest in biomedicine, optics, catalysis, and photonics. Gold NPMs, due to their stability under atmospheric conditions and oxidation resistance, find application in pharmaceuticals. Their average diameter is influenced by the pH of the medium, salt concentration, and incubation temperature. The condition for the green synthesis of AgNPs and AuNPs involves having a biological agent for reduction, which is abundantly found in biological systems. Initially, silver ions are acquired from water-soluble salts, with water being the most preferable solvent. </w:t>
      </w:r>
      <w:r w:rsidR="00AC1FA0" w:rsidRPr="009664EE">
        <w:rPr>
          <w:rFonts w:eastAsia="Calibri"/>
          <w:color w:val="000000"/>
          <w:sz w:val="20"/>
          <w:szCs w:val="20"/>
        </w:rPr>
        <w:t>(</w:t>
      </w:r>
      <w:r w:rsidR="00572002" w:rsidRPr="009664EE">
        <w:rPr>
          <w:rFonts w:eastAsia="Calibri"/>
          <w:color w:val="000000"/>
          <w:sz w:val="20"/>
          <w:szCs w:val="20"/>
        </w:rPr>
        <w:t xml:space="preserve">Srikar </w:t>
      </w:r>
      <w:r w:rsidR="00AC1FA0" w:rsidRPr="009664EE">
        <w:rPr>
          <w:rFonts w:eastAsia="Calibri"/>
          <w:color w:val="000000"/>
          <w:sz w:val="20"/>
          <w:szCs w:val="20"/>
        </w:rPr>
        <w:t xml:space="preserve">et al., 2016). </w:t>
      </w:r>
    </w:p>
    <w:p w14:paraId="5B45EBAB" w14:textId="77777777" w:rsidR="00824F95" w:rsidRPr="009664EE" w:rsidRDefault="008A4894" w:rsidP="008B4333">
      <w:pPr>
        <w:pBdr>
          <w:top w:val="nil"/>
          <w:left w:val="nil"/>
          <w:bottom w:val="nil"/>
          <w:right w:val="nil"/>
          <w:between w:val="nil"/>
        </w:pBdr>
        <w:spacing w:line="276" w:lineRule="auto"/>
        <w:ind w:left="6480" w:firstLine="720"/>
        <w:jc w:val="both"/>
        <w:rPr>
          <w:rFonts w:eastAsia="Calibri"/>
          <w:vanish/>
          <w:color w:val="000000"/>
          <w:sz w:val="20"/>
          <w:szCs w:val="20"/>
        </w:rPr>
      </w:pPr>
      <w:r w:rsidRPr="009664EE">
        <w:rPr>
          <w:rFonts w:eastAsia="Calibri"/>
          <w:vanish/>
          <w:color w:val="000000"/>
          <w:sz w:val="20"/>
          <w:szCs w:val="20"/>
        </w:rPr>
        <w:t>Parte superior do formulário</w:t>
      </w:r>
    </w:p>
    <w:p w14:paraId="246EEF71" w14:textId="77777777" w:rsidR="00AC1FA0" w:rsidRPr="009664EE" w:rsidRDefault="008A4894" w:rsidP="00824F95">
      <w:pPr>
        <w:pBdr>
          <w:top w:val="nil"/>
          <w:left w:val="nil"/>
          <w:bottom w:val="nil"/>
          <w:right w:val="nil"/>
          <w:between w:val="nil"/>
        </w:pBdr>
        <w:spacing w:line="276" w:lineRule="auto"/>
        <w:jc w:val="both"/>
        <w:rPr>
          <w:rFonts w:eastAsia="Calibri"/>
          <w:color w:val="000000"/>
          <w:sz w:val="20"/>
          <w:szCs w:val="20"/>
        </w:rPr>
      </w:pPr>
      <w:r w:rsidRPr="009664EE">
        <w:rPr>
          <w:rFonts w:eastAsia="Calibri"/>
          <w:color w:val="000000"/>
          <w:sz w:val="20"/>
          <w:szCs w:val="20"/>
        </w:rPr>
        <w:t>The mechanism of AgNPs synthesis occurs through the reduction of silver nitrate, where the substitution is carried out by bioorganic compounds, playing a significant role in their antifungal and antimicrobial performance. Nanoparticles tend to aggregate to reduce surface energy, which diminishes their antibacterial effectiveness. (</w:t>
      </w:r>
      <w:r w:rsidR="00572002" w:rsidRPr="009664EE">
        <w:rPr>
          <w:rFonts w:eastAsia="Calibri"/>
          <w:color w:val="000000"/>
          <w:sz w:val="20"/>
          <w:szCs w:val="20"/>
        </w:rPr>
        <w:t>Qasim</w:t>
      </w:r>
      <w:r w:rsidRPr="009664EE">
        <w:rPr>
          <w:rFonts w:eastAsia="Calibri"/>
          <w:color w:val="000000"/>
          <w:sz w:val="20"/>
          <w:szCs w:val="20"/>
        </w:rPr>
        <w:t xml:space="preserve"> et al., 2015).  </w:t>
      </w:r>
    </w:p>
    <w:p w14:paraId="4EE4803E" w14:textId="77777777" w:rsidR="00AC1FA0" w:rsidRPr="009664EE" w:rsidRDefault="008A4894" w:rsidP="00572002">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rPr>
        <w:t>In the synthesis of AgNPs, the silver ion (Ag+) is derived from the silver salt, such as nitrate, which, in an aqueous medium, becomes reactive and can form other compounds. Silver nitrate is a salt with antimicrobial activity. An NP, on the other hand, is an agglomeration of reduced silver atoms. Metallic nanoparticles (NPMs) with a precursor salt containing the metal stabilize the suspension. Their color intensities vary depending on the concentration of the salt combined with the plant extract in use. The size of the NP can also interfere with the antimicrobial effect. Silver nitrate acts internally within the cell, while NPs act on the cell membrane, causing its rupture (</w:t>
      </w:r>
      <w:r w:rsidR="00572002" w:rsidRPr="009664EE">
        <w:rPr>
          <w:rFonts w:eastAsia="Calibri"/>
          <w:color w:val="000000"/>
          <w:sz w:val="20"/>
          <w:szCs w:val="20"/>
        </w:rPr>
        <w:t>Porto</w:t>
      </w:r>
      <w:r w:rsidRPr="009664EE">
        <w:rPr>
          <w:rFonts w:eastAsia="Calibri"/>
          <w:color w:val="000000"/>
          <w:sz w:val="20"/>
          <w:szCs w:val="20"/>
        </w:rPr>
        <w:t>, 2012).</w:t>
      </w:r>
    </w:p>
    <w:p w14:paraId="2F189B39" w14:textId="77777777" w:rsidR="00AC1FA0" w:rsidRPr="009664EE" w:rsidRDefault="008A4894" w:rsidP="00516C18">
      <w:pPr>
        <w:pBdr>
          <w:top w:val="nil"/>
          <w:left w:val="nil"/>
          <w:bottom w:val="nil"/>
          <w:right w:val="nil"/>
          <w:between w:val="nil"/>
        </w:pBdr>
        <w:spacing w:line="276" w:lineRule="auto"/>
        <w:ind w:firstLine="708"/>
        <w:jc w:val="both"/>
        <w:rPr>
          <w:b/>
          <w:noProof/>
          <w:sz w:val="20"/>
          <w:szCs w:val="20"/>
        </w:rPr>
      </w:pPr>
      <w:r w:rsidRPr="009664EE">
        <w:rPr>
          <w:rFonts w:eastAsia="Calibri"/>
          <w:color w:val="000000"/>
          <w:sz w:val="20"/>
          <w:szCs w:val="20"/>
        </w:rPr>
        <w:t>According to Carmona et al. (2017), the green synthesis of silver nanoparticles involves the chemical reduction of silver from the AgNO</w:t>
      </w:r>
      <w:r w:rsidRPr="009664EE">
        <w:rPr>
          <w:rFonts w:eastAsia="Calibri"/>
          <w:color w:val="000000"/>
          <w:sz w:val="20"/>
          <w:szCs w:val="20"/>
          <w:vertAlign w:val="subscript"/>
        </w:rPr>
        <w:t>3</w:t>
      </w:r>
      <w:r w:rsidRPr="009664EE">
        <w:rPr>
          <w:rFonts w:eastAsia="Calibri"/>
          <w:color w:val="000000"/>
          <w:sz w:val="20"/>
          <w:szCs w:val="20"/>
        </w:rPr>
        <w:t xml:space="preserve"> solution and the use of a plant extract, where nucleation occurs, and silver atoms, along with high activation energy, form small nuclei. The phase in which these nuclei are grouped (giving rise to AgNPs) can be stable in their creation. The choice of the selected extract is ideal because the biomolecules present provide the reducing agents in the synthesis. Figure 2 illustrates the mechanism that occurs in green synthesis with plant extracts. The plant extract is added to the metallic salt under constant temperature and agitation. After a change in the color of the solution, the steps of solid formation, nucleation, and the growth of small particles take place, ultimately resulting in the formation of NPMs in different shapes.</w:t>
      </w:r>
    </w:p>
    <w:p w14:paraId="5E07A53C" w14:textId="77777777" w:rsidR="001A25F2" w:rsidRDefault="008A4894" w:rsidP="00516C18">
      <w:pPr>
        <w:pBdr>
          <w:top w:val="nil"/>
          <w:left w:val="nil"/>
          <w:bottom w:val="nil"/>
          <w:right w:val="nil"/>
          <w:between w:val="nil"/>
        </w:pBdr>
        <w:spacing w:line="276" w:lineRule="auto"/>
        <w:ind w:firstLine="708"/>
        <w:jc w:val="both"/>
        <w:rPr>
          <w:rFonts w:ascii="Calibri" w:eastAsia="Calibri" w:hAnsi="Calibri" w:cs="Calibri"/>
          <w:color w:val="000000"/>
          <w:sz w:val="20"/>
          <w:szCs w:val="20"/>
        </w:rPr>
      </w:pPr>
      <w:r>
        <w:rPr>
          <w:rFonts w:ascii="Calibri" w:eastAsia="Calibri" w:hAnsi="Calibri" w:cs="Calibri"/>
          <w:noProof/>
          <w:color w:val="000000"/>
          <w:sz w:val="20"/>
          <w:szCs w:val="20"/>
        </w:rPr>
        <w:drawing>
          <wp:inline distT="0" distB="0" distL="0" distR="0" wp14:anchorId="0DB70106" wp14:editId="40AF0651">
            <wp:extent cx="5760085" cy="4032250"/>
            <wp:effectExtent l="0" t="0" r="0" b="635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ntitled (3).png"/>
                    <pic:cNvPicPr/>
                  </pic:nvPicPr>
                  <pic:blipFill>
                    <a:blip r:embed="rId16">
                      <a:extLst>
                        <a:ext uri="{28A0092B-C50C-407E-A947-70E740481C1C}">
                          <a14:useLocalDpi xmlns:a14="http://schemas.microsoft.com/office/drawing/2010/main" val="0"/>
                        </a:ext>
                      </a:extLst>
                    </a:blip>
                    <a:stretch>
                      <a:fillRect/>
                    </a:stretch>
                  </pic:blipFill>
                  <pic:spPr>
                    <a:xfrm>
                      <a:off x="0" y="0"/>
                      <a:ext cx="5760085" cy="4032250"/>
                    </a:xfrm>
                    <a:prstGeom prst="rect">
                      <a:avLst/>
                    </a:prstGeom>
                  </pic:spPr>
                </pic:pic>
              </a:graphicData>
            </a:graphic>
          </wp:inline>
        </w:drawing>
      </w:r>
    </w:p>
    <w:p w14:paraId="665ACC3B" w14:textId="77777777" w:rsidR="00AC1FA0" w:rsidRDefault="00AC1FA0" w:rsidP="00AC1FA0">
      <w:pPr>
        <w:pBdr>
          <w:top w:val="nil"/>
          <w:left w:val="nil"/>
          <w:bottom w:val="nil"/>
          <w:right w:val="nil"/>
          <w:between w:val="nil"/>
        </w:pBdr>
        <w:ind w:firstLine="708"/>
        <w:jc w:val="both"/>
        <w:rPr>
          <w:rFonts w:ascii="Calibri" w:eastAsia="Calibri" w:hAnsi="Calibri" w:cs="Calibri"/>
          <w:color w:val="000000"/>
          <w:sz w:val="20"/>
          <w:szCs w:val="20"/>
        </w:rPr>
      </w:pPr>
    </w:p>
    <w:p w14:paraId="4459E0AE" w14:textId="42DAF628" w:rsidR="00EA03D5" w:rsidRDefault="008A4894" w:rsidP="00EF6811">
      <w:pPr>
        <w:pBdr>
          <w:top w:val="nil"/>
          <w:left w:val="nil"/>
          <w:bottom w:val="nil"/>
          <w:right w:val="nil"/>
          <w:between w:val="nil"/>
        </w:pBdr>
        <w:spacing w:line="276" w:lineRule="auto"/>
        <w:ind w:firstLine="708"/>
        <w:jc w:val="both"/>
        <w:rPr>
          <w:rFonts w:eastAsia="Calibri"/>
          <w:color w:val="000000"/>
          <w:sz w:val="20"/>
          <w:szCs w:val="20"/>
        </w:rPr>
      </w:pPr>
      <w:r w:rsidRPr="009664EE">
        <w:rPr>
          <w:rFonts w:eastAsia="Calibri"/>
          <w:color w:val="000000"/>
          <w:sz w:val="20"/>
          <w:szCs w:val="20"/>
          <w:lang w:val="en-US"/>
        </w:rPr>
        <w:t xml:space="preserve">Figure 2. Green synthesis procedure for the formation of metallic nanoparticles. </w:t>
      </w:r>
      <w:r w:rsidRPr="009664EE">
        <w:rPr>
          <w:rFonts w:eastAsia="Calibri"/>
          <w:color w:val="000000"/>
          <w:sz w:val="20"/>
          <w:szCs w:val="20"/>
        </w:rPr>
        <w:t>Source: Authors, 2023.</w:t>
      </w:r>
      <w:r w:rsidR="00DF6C49" w:rsidRPr="009664EE">
        <w:rPr>
          <w:rFonts w:eastAsia="Calibri"/>
          <w:color w:val="000000"/>
          <w:sz w:val="20"/>
          <w:szCs w:val="20"/>
        </w:rPr>
        <w:t xml:space="preserve"> (</w:t>
      </w:r>
      <w:hyperlink r:id="rId17" w:history="1">
        <w:r w:rsidR="009664EE" w:rsidRPr="00E06DB3">
          <w:rPr>
            <w:rStyle w:val="Hyperlink"/>
            <w:rFonts w:eastAsia="Calibri"/>
            <w:sz w:val="20"/>
            <w:szCs w:val="20"/>
          </w:rPr>
          <w:t>https://Biorender.com</w:t>
        </w:r>
      </w:hyperlink>
      <w:r w:rsidR="00DF6C49" w:rsidRPr="009664EE">
        <w:rPr>
          <w:rFonts w:eastAsia="Calibri"/>
          <w:color w:val="000000"/>
          <w:sz w:val="20"/>
          <w:szCs w:val="20"/>
        </w:rPr>
        <w:t>)</w:t>
      </w:r>
    </w:p>
    <w:p w14:paraId="56D4ECC9" w14:textId="77777777" w:rsidR="009664EE" w:rsidRPr="009664EE" w:rsidRDefault="009664EE" w:rsidP="00EF6811">
      <w:pPr>
        <w:pBdr>
          <w:top w:val="nil"/>
          <w:left w:val="nil"/>
          <w:bottom w:val="nil"/>
          <w:right w:val="nil"/>
          <w:between w:val="nil"/>
        </w:pBdr>
        <w:spacing w:line="276" w:lineRule="auto"/>
        <w:ind w:firstLine="708"/>
        <w:jc w:val="both"/>
        <w:rPr>
          <w:rFonts w:eastAsia="Calibri"/>
          <w:color w:val="000000"/>
          <w:sz w:val="20"/>
          <w:szCs w:val="20"/>
        </w:rPr>
      </w:pPr>
    </w:p>
    <w:p w14:paraId="470D469B" w14:textId="77777777" w:rsidR="00AC1FA0" w:rsidRPr="00323025" w:rsidRDefault="008A4894" w:rsidP="008D1CE4">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 xml:space="preserve">Several factors, such as the type of extract, concentration of the metallic salt, pH, and synthesis temperature, can influence the synthesis time and morphology of NPMs. Therefore, there is a greater consumption of reagents, energy, and working time. An advantage of green synthesis is that it usually does not require additional stabilizing additives, which is a positive aspect compared to chemical methods </w:t>
      </w:r>
      <w:r w:rsidR="008D1CE4" w:rsidRPr="00323025">
        <w:rPr>
          <w:rFonts w:eastAsia="Calibri"/>
          <w:color w:val="000000"/>
          <w:sz w:val="20"/>
          <w:szCs w:val="20"/>
        </w:rPr>
        <w:t>(Barabadi et al., 2014).</w:t>
      </w:r>
      <w:r w:rsidRPr="00323025">
        <w:rPr>
          <w:rFonts w:eastAsia="Calibri"/>
          <w:vanish/>
          <w:color w:val="000000"/>
          <w:sz w:val="20"/>
          <w:szCs w:val="20"/>
        </w:rPr>
        <w:t>Parte superior do formulário</w:t>
      </w:r>
    </w:p>
    <w:p w14:paraId="635A8884" w14:textId="77777777" w:rsidR="008B5944" w:rsidRPr="00323025" w:rsidRDefault="008A4894" w:rsidP="00EF6811">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Carmona et al. (2017) reported in their study the use of Buddleja globosa Hope, where they used 5% of the plant extract volume added to AgNO3 with a variation of 0.1 to 10 mmol/L to synthesize AgNPs. They mentioned that phenolic compounds, terpenoids, proteins, amino acids, enzymes, flavonoids, polysaccharides, and alkaloids are compounds that can contribute to green synthesis.</w:t>
      </w:r>
    </w:p>
    <w:p w14:paraId="2334127C" w14:textId="77777777" w:rsidR="001F7C1D" w:rsidRPr="00323025" w:rsidRDefault="008A4894" w:rsidP="00EF6811">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The study by Sathishkumar et al. (2016) demonstrates that flavonoids found in cut leaves of Alternanthera tenella stimulate the synthesis of AgNPs. For Chysanthemum indicum, glycosides, tannins, and flavonoids were responsible for the formation, according to the author. In the case of Potentilla fulgens, flavonoids were four times more responsible for nanoparticle formation than phenolics. For European black elderberry, carbonyl and hydroxyl groups derived from the extract showed the reduction of ions into metallic silver. Other flavonoids such as hesperidin, diosmin, and naringin resulted in NPs ranging between 5-80 nm in size.</w:t>
      </w:r>
    </w:p>
    <w:p w14:paraId="1FB5F36B" w14:textId="77777777" w:rsidR="008A2ED7" w:rsidRPr="00323025" w:rsidRDefault="008A4894" w:rsidP="008D1CE4">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To Siakavella et al. (2020), the biological basis of synthesis using plant extracts is considered the best method. Since 1900, the characteristic of these materials in reducing metal ions and also acting as stabilizing agents has been known. This prevents particles from aggregating in the plant extract. Different reports indicate the preparation conditions; thus, it is valid to observe the impact of each extract on the preparation of NPs. Finally, Rajan et al.'s study (2018) conducted synthesis using henna leaves (Lawsonia inermis) with cadmium chloride and selenium (done separately). After 1 minute, the light yellow color turned brown, indicating a reaction that remained stable for over 2 days without alteration. One possible explanation for the synthesis was provided through the secondary metabolites present in the green extract.</w:t>
      </w:r>
    </w:p>
    <w:p w14:paraId="22481794" w14:textId="77777777" w:rsidR="00F10800" w:rsidRPr="00323025" w:rsidRDefault="008A4894" w:rsidP="008D1CE4">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According to Barabadi et al. (2014), in a study conducted with species of the fungus Penicillium and bacteria from the Enterobacteriaceae family, the biological synthesis of nanoparticles was carried out using copper oxide, silver, and gold.</w:t>
      </w:r>
    </w:p>
    <w:p w14:paraId="42BD5C16" w14:textId="77777777" w:rsidR="00EF6811" w:rsidRPr="00EF6811" w:rsidRDefault="00EF6811" w:rsidP="00F10800">
      <w:pPr>
        <w:pBdr>
          <w:top w:val="nil"/>
          <w:left w:val="nil"/>
          <w:bottom w:val="nil"/>
          <w:right w:val="nil"/>
          <w:between w:val="nil"/>
        </w:pBdr>
        <w:jc w:val="both"/>
        <w:rPr>
          <w:rFonts w:ascii="Calibri" w:eastAsia="Calibri" w:hAnsi="Calibri" w:cs="Calibri"/>
          <w:color w:val="000000"/>
        </w:rPr>
      </w:pPr>
    </w:p>
    <w:p w14:paraId="7582913B" w14:textId="77777777" w:rsidR="008A2ED7" w:rsidRPr="00323025" w:rsidRDefault="008A4894" w:rsidP="008A2ED7">
      <w:pPr>
        <w:pBdr>
          <w:top w:val="nil"/>
          <w:left w:val="nil"/>
          <w:bottom w:val="nil"/>
          <w:right w:val="nil"/>
          <w:between w:val="nil"/>
        </w:pBdr>
        <w:ind w:firstLine="708"/>
        <w:jc w:val="both"/>
        <w:rPr>
          <w:rFonts w:eastAsia="Calibri"/>
          <w:b/>
          <w:color w:val="000000"/>
          <w:sz w:val="20"/>
          <w:szCs w:val="20"/>
        </w:rPr>
      </w:pPr>
      <w:r w:rsidRPr="00323025">
        <w:rPr>
          <w:rFonts w:eastAsia="Calibri"/>
          <w:b/>
          <w:color w:val="000000"/>
          <w:sz w:val="20"/>
          <w:szCs w:val="20"/>
        </w:rPr>
        <w:t xml:space="preserve">2.1 </w:t>
      </w:r>
      <w:r w:rsidR="00F10800" w:rsidRPr="00323025">
        <w:rPr>
          <w:rFonts w:eastAsia="Calibri"/>
          <w:b/>
          <w:color w:val="000000"/>
          <w:sz w:val="20"/>
          <w:szCs w:val="20"/>
        </w:rPr>
        <w:t>Microorganisms of interest</w:t>
      </w:r>
    </w:p>
    <w:p w14:paraId="2D0A6B16" w14:textId="77777777" w:rsidR="00FE0E85" w:rsidRPr="00FE0E85" w:rsidRDefault="00FE0E85" w:rsidP="008A2ED7">
      <w:pPr>
        <w:pBdr>
          <w:top w:val="nil"/>
          <w:left w:val="nil"/>
          <w:bottom w:val="nil"/>
          <w:right w:val="nil"/>
          <w:between w:val="nil"/>
        </w:pBdr>
        <w:ind w:firstLine="708"/>
        <w:jc w:val="both"/>
        <w:rPr>
          <w:rFonts w:ascii="Calibri" w:eastAsia="Calibri" w:hAnsi="Calibri" w:cs="Calibri"/>
          <w:b/>
          <w:color w:val="000000"/>
          <w:sz w:val="28"/>
          <w:szCs w:val="28"/>
        </w:rPr>
      </w:pPr>
    </w:p>
    <w:p w14:paraId="03BAFF24" w14:textId="77777777" w:rsidR="008A6460" w:rsidRPr="00323025" w:rsidRDefault="008A4894" w:rsidP="008D1CE4">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Bacteria and fungi are microorganisms that belong to the Monera and Fungi kingdoms, respectively. The former can be found in the environment, and the human body, and some can cause diseases. Fungi, on the other hand, are also commonly found in nature, and some fungi, such as the one causing candidiasis, can be harmful to humans</w:t>
      </w:r>
      <w:r w:rsidR="008A2ED7" w:rsidRPr="00323025">
        <w:rPr>
          <w:rFonts w:eastAsia="Calibri"/>
          <w:color w:val="000000"/>
          <w:sz w:val="20"/>
          <w:szCs w:val="20"/>
        </w:rPr>
        <w:t xml:space="preserve">. </w:t>
      </w:r>
      <w:r w:rsidRPr="00323025">
        <w:rPr>
          <w:rFonts w:eastAsia="Calibri"/>
          <w:color w:val="000000"/>
          <w:sz w:val="20"/>
          <w:szCs w:val="20"/>
        </w:rPr>
        <w:t xml:space="preserve">The treatment of certain bacteria, such as </w:t>
      </w:r>
      <w:r w:rsidRPr="00323025">
        <w:rPr>
          <w:rFonts w:eastAsia="Calibri"/>
          <w:i/>
          <w:color w:val="000000"/>
          <w:sz w:val="20"/>
          <w:szCs w:val="20"/>
        </w:rPr>
        <w:t>Staphylococcus aureus</w:t>
      </w:r>
      <w:r w:rsidRPr="00323025">
        <w:rPr>
          <w:rFonts w:eastAsia="Calibri"/>
          <w:color w:val="000000"/>
          <w:sz w:val="20"/>
          <w:szCs w:val="20"/>
        </w:rPr>
        <w:t>, results in a high cost to the healthcare system due to the potential need for prolonged antibiotic use. Currently, some microorganisms have developed resistance to most antimicrobials available on the market, including oxacillin, methicillin, cephalosporins, and others. This resistance poses a significant threat to global health</w:t>
      </w:r>
      <w:r w:rsidR="008A2ED7" w:rsidRPr="00323025">
        <w:rPr>
          <w:rFonts w:eastAsia="Calibri"/>
          <w:color w:val="000000"/>
          <w:sz w:val="20"/>
          <w:szCs w:val="20"/>
        </w:rPr>
        <w:t xml:space="preserve">. </w:t>
      </w:r>
      <w:r w:rsidRPr="00323025">
        <w:rPr>
          <w:rFonts w:eastAsia="Calibri"/>
          <w:color w:val="000000"/>
          <w:sz w:val="20"/>
          <w:szCs w:val="20"/>
        </w:rPr>
        <w:t>On the other hand, the exploration and study of nanoparticles, which exert toxicity to bacteria through mechanisms similar to conventional antibiotics, can be an alternative in treatment. Examples of this include silver nanoparticles (AgNPs): they disrupt cellular morphology, hinder ribosome interaction, deactivate proteins, and accumulate a lethal amount within the cell (Jankauskaite et al., 2016).</w:t>
      </w:r>
    </w:p>
    <w:p w14:paraId="37DABAE1" w14:textId="77777777" w:rsidR="008A2ED7" w:rsidRPr="00323025" w:rsidRDefault="008A4894" w:rsidP="008D1CE4">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 xml:space="preserve">According to Correa et al. (2020), one of the most significant microorganisms causing hospital, urinary, and intestinal infections is </w:t>
      </w:r>
      <w:r w:rsidRPr="00323025">
        <w:rPr>
          <w:rFonts w:eastAsia="Calibri"/>
          <w:i/>
          <w:color w:val="000000"/>
          <w:sz w:val="20"/>
          <w:szCs w:val="20"/>
        </w:rPr>
        <w:t>Escherichia coli</w:t>
      </w:r>
      <w:r w:rsidRPr="00323025">
        <w:rPr>
          <w:rFonts w:eastAsia="Calibri"/>
          <w:color w:val="000000"/>
          <w:sz w:val="20"/>
          <w:szCs w:val="20"/>
        </w:rPr>
        <w:t xml:space="preserve"> (E. coli). It is a Gram-negative, facultative anaerobic bacterium that is a natural part of the human intestinal microbiota. This bacterium affects a considerable number of individuals with urinary tract infections (UTIs). Another category of microorganisms,</w:t>
      </w:r>
      <w:r w:rsidRPr="00323025">
        <w:rPr>
          <w:rFonts w:eastAsia="Calibri"/>
          <w:i/>
          <w:color w:val="000000"/>
          <w:sz w:val="20"/>
          <w:szCs w:val="20"/>
        </w:rPr>
        <w:t xml:space="preserve"> staphylococci</w:t>
      </w:r>
      <w:r w:rsidRPr="00323025">
        <w:rPr>
          <w:rFonts w:eastAsia="Calibri"/>
          <w:color w:val="000000"/>
          <w:sz w:val="20"/>
          <w:szCs w:val="20"/>
        </w:rPr>
        <w:t xml:space="preserve">, is Gram-positive cocci detected in the human microbiota. Staphylococcus aureus is an opportunistic pathogen, capable of causing deep, superficial, and toxigenic infections (Correa et al., 2020). Methicillin-resistant </w:t>
      </w:r>
      <w:r w:rsidRPr="00323025">
        <w:rPr>
          <w:rFonts w:eastAsia="Calibri"/>
          <w:i/>
          <w:color w:val="000000"/>
          <w:sz w:val="20"/>
          <w:szCs w:val="20"/>
        </w:rPr>
        <w:t>Staphylococcus aureus</w:t>
      </w:r>
      <w:r w:rsidRPr="00323025">
        <w:rPr>
          <w:rFonts w:eastAsia="Calibri"/>
          <w:color w:val="000000"/>
          <w:sz w:val="20"/>
          <w:szCs w:val="20"/>
        </w:rPr>
        <w:t xml:space="preserve"> (MRSA) is resistant to all β-lactam antimicrobials. It infects and colonizes animals and humans, who are considered the main reservoirs of these microorganisms. MRSA-infected animal-origin foods also serve as a transmission vehicle, with prevalence in the production chain from ruminants to dairy products (Papadopoulos et al., 2018). Within the realm of significant microorganisms, there is the bacterium </w:t>
      </w:r>
      <w:r w:rsidRPr="00323025">
        <w:rPr>
          <w:rFonts w:eastAsia="Calibri"/>
          <w:i/>
          <w:color w:val="000000"/>
          <w:sz w:val="20"/>
          <w:szCs w:val="20"/>
        </w:rPr>
        <w:t>Klebsiella pneumoniae</w:t>
      </w:r>
      <w:r w:rsidRPr="00323025">
        <w:rPr>
          <w:rFonts w:eastAsia="Calibri"/>
          <w:color w:val="000000"/>
          <w:sz w:val="20"/>
          <w:szCs w:val="20"/>
        </w:rPr>
        <w:t xml:space="preserve"> carbapenemase-producing (KPC), discovered in the 2000s in the United States. It has become a microorganism resistant to antibiotics and is a public health problem due to its global spread. This issue leads to hospital costs, and mortality, and presents adverse </w:t>
      </w:r>
      <w:r w:rsidRPr="00323025">
        <w:rPr>
          <w:rFonts w:eastAsia="Calibri"/>
          <w:color w:val="000000"/>
          <w:sz w:val="20"/>
          <w:szCs w:val="20"/>
        </w:rPr>
        <w:lastRenderedPageBreak/>
        <w:t>effects in its treatment, such as hepatotoxicity and nephrotoxicity. This underscores the need for studies to discover effective methods to combat it (Castañeda et al., 2018).</w:t>
      </w:r>
    </w:p>
    <w:p w14:paraId="5D40296C" w14:textId="77777777" w:rsidR="005C20C0" w:rsidRPr="00323025" w:rsidRDefault="008A4894" w:rsidP="008D1CE4">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 xml:space="preserve">When it comes to fungi, the species </w:t>
      </w:r>
      <w:r w:rsidRPr="00323025">
        <w:rPr>
          <w:rFonts w:eastAsia="Calibri"/>
          <w:i/>
          <w:color w:val="000000"/>
          <w:sz w:val="20"/>
          <w:szCs w:val="20"/>
        </w:rPr>
        <w:t>Candida albicans</w:t>
      </w:r>
      <w:r w:rsidRPr="00323025">
        <w:rPr>
          <w:rFonts w:eastAsia="Calibri"/>
          <w:color w:val="000000"/>
          <w:sz w:val="20"/>
          <w:szCs w:val="20"/>
        </w:rPr>
        <w:t xml:space="preserve"> is the causative agent of candidiasis. It can affect the mouth, oropharynx, vagina, gastrointestinal tract, and skin. Its occurrence can occur in both healthy individuals and those weakened by chronic diseases, antibiotic use, catheter use, neoplasms, and, as a result of the illness, a decrease in immunity (Correa et al., 2020).</w:t>
      </w:r>
    </w:p>
    <w:p w14:paraId="0181EC5B" w14:textId="6C5F7F47" w:rsidR="0030120E" w:rsidRPr="00323025" w:rsidRDefault="008A4894" w:rsidP="0030120E">
      <w:pPr>
        <w:pBdr>
          <w:top w:val="nil"/>
          <w:left w:val="nil"/>
          <w:bottom w:val="nil"/>
          <w:right w:val="nil"/>
          <w:between w:val="nil"/>
        </w:pBdr>
        <w:ind w:firstLine="708"/>
        <w:jc w:val="both"/>
        <w:rPr>
          <w:rFonts w:eastAsia="Calibri"/>
          <w:b/>
          <w:color w:val="000000"/>
          <w:sz w:val="20"/>
          <w:szCs w:val="20"/>
        </w:rPr>
      </w:pPr>
      <w:r w:rsidRPr="00323025">
        <w:rPr>
          <w:rFonts w:eastAsia="Calibri"/>
          <w:b/>
          <w:color w:val="000000"/>
          <w:sz w:val="20"/>
          <w:szCs w:val="20"/>
        </w:rPr>
        <w:t>3 M</w:t>
      </w:r>
      <w:r w:rsidR="00323025" w:rsidRPr="00323025">
        <w:rPr>
          <w:rFonts w:eastAsia="Calibri"/>
          <w:b/>
          <w:color w:val="000000"/>
          <w:sz w:val="20"/>
          <w:szCs w:val="20"/>
        </w:rPr>
        <w:t xml:space="preserve">ethodology </w:t>
      </w:r>
    </w:p>
    <w:p w14:paraId="7055038C" w14:textId="77777777" w:rsidR="0030120E" w:rsidRPr="00323025" w:rsidRDefault="008A4894" w:rsidP="0002371F">
      <w:pPr>
        <w:pBdr>
          <w:top w:val="nil"/>
          <w:left w:val="nil"/>
          <w:bottom w:val="nil"/>
          <w:right w:val="nil"/>
          <w:between w:val="nil"/>
        </w:pBdr>
        <w:spacing w:line="276" w:lineRule="auto"/>
        <w:ind w:firstLine="708"/>
        <w:jc w:val="both"/>
        <w:rPr>
          <w:rFonts w:eastAsia="Calibri"/>
          <w:color w:val="000000"/>
          <w:sz w:val="20"/>
          <w:szCs w:val="20"/>
        </w:rPr>
      </w:pPr>
      <w:r w:rsidRPr="00323025">
        <w:rPr>
          <w:rFonts w:eastAsia="Calibri"/>
          <w:color w:val="000000"/>
          <w:sz w:val="20"/>
          <w:szCs w:val="20"/>
        </w:rPr>
        <w:t>For the development of this bibliographic research, the search covered studies from 2014 to 2023. In Figure 3, a flowchart illustrates how the research was conducted. In the identification process, various research sites were utilized, including Portal Capes, Scopus, Science Direct, and Google Scholar. English keywords were used for article selection. Exclusion criteria involved work unrelated to biological activities or where access to the complete work was not permitted.</w:t>
      </w:r>
    </w:p>
    <w:p w14:paraId="0875FD50" w14:textId="77777777" w:rsidR="0030120E" w:rsidRDefault="008A4894">
      <w:pPr>
        <w:pBdr>
          <w:top w:val="nil"/>
          <w:left w:val="nil"/>
          <w:bottom w:val="nil"/>
          <w:right w:val="nil"/>
          <w:between w:val="nil"/>
        </w:pBdr>
        <w:ind w:firstLine="708"/>
        <w:jc w:val="both"/>
        <w:rPr>
          <w:rFonts w:ascii="Calibri" w:eastAsia="Calibri" w:hAnsi="Calibri" w:cs="Calibri"/>
          <w:color w:val="000000"/>
          <w:sz w:val="20"/>
          <w:szCs w:val="20"/>
        </w:rPr>
      </w:pPr>
      <w:r>
        <w:rPr>
          <w:noProof/>
        </w:rPr>
        <mc:AlternateContent>
          <mc:Choice Requires="wpg">
            <w:drawing>
              <wp:inline distT="0" distB="0" distL="0" distR="0" wp14:anchorId="159221AD" wp14:editId="2222B1EE">
                <wp:extent cx="5400040" cy="3362325"/>
                <wp:effectExtent l="0" t="0" r="0" b="0"/>
                <wp:docPr id="1" name="Grupo 1"/>
                <wp:cNvGraphicFramePr/>
                <a:graphic xmlns:a="http://schemas.openxmlformats.org/drawingml/2006/main">
                  <a:graphicData uri="http://schemas.microsoft.com/office/word/2010/wordprocessingGroup">
                    <wpg:wgp>
                      <wpg:cNvGrpSpPr/>
                      <wpg:grpSpPr>
                        <a:xfrm>
                          <a:off x="0" y="0"/>
                          <a:ext cx="5400040" cy="3362325"/>
                          <a:chOff x="0" y="0"/>
                          <a:chExt cx="5400050" cy="3362325"/>
                        </a:xfrm>
                      </wpg:grpSpPr>
                      <wpg:grpSp>
                        <wpg:cNvPr id="4" name="Grupo 4"/>
                        <wpg:cNvGrpSpPr/>
                        <wpg:grpSpPr>
                          <a:xfrm>
                            <a:off x="0" y="0"/>
                            <a:ext cx="5400039" cy="3362325"/>
                            <a:chOff x="0" y="0"/>
                            <a:chExt cx="5400039" cy="3362325"/>
                          </a:xfrm>
                        </wpg:grpSpPr>
                        <wps:wsp>
                          <wps:cNvPr id="5" name="Retângulo 5"/>
                          <wps:cNvSpPr/>
                          <wps:spPr>
                            <a:xfrm>
                              <a:off x="0" y="0"/>
                              <a:ext cx="5400025" cy="3362325"/>
                            </a:xfrm>
                            <a:prstGeom prst="rect">
                              <a:avLst/>
                            </a:prstGeom>
                            <a:noFill/>
                            <a:ln>
                              <a:noFill/>
                            </a:ln>
                          </wps:spPr>
                          <wps:txbx>
                            <w:txbxContent>
                              <w:p w14:paraId="305583F7" w14:textId="77777777" w:rsidR="00D35DF1" w:rsidRDefault="00D35DF1" w:rsidP="00CA738D"/>
                            </w:txbxContent>
                          </wps:txbx>
                          <wps:bodyPr spcFirstLastPara="1" wrap="square" lIns="91425" tIns="91425" rIns="91425" bIns="91425" anchor="ctr" anchorCtr="0"/>
                        </wps:wsp>
                        <wps:wsp>
                          <wps:cNvPr id="6" name="Retângulo de cantos arredondados 6"/>
                          <wps:cNvSpPr/>
                          <wps:spPr>
                            <a:xfrm>
                              <a:off x="0" y="2260171"/>
                              <a:ext cx="5400039" cy="744136"/>
                            </a:xfrm>
                            <a:prstGeom prst="roundRect">
                              <a:avLst>
                                <a:gd name="adj" fmla="val 10000"/>
                              </a:avLst>
                            </a:prstGeom>
                            <a:solidFill>
                              <a:srgbClr val="A8D08C"/>
                            </a:solidFill>
                            <a:ln>
                              <a:noFill/>
                            </a:ln>
                          </wps:spPr>
                          <wps:txbx>
                            <w:txbxContent>
                              <w:p w14:paraId="352DD39C" w14:textId="77777777" w:rsidR="00D35DF1" w:rsidRDefault="00D35DF1" w:rsidP="00CA738D"/>
                            </w:txbxContent>
                          </wps:txbx>
                          <wps:bodyPr spcFirstLastPara="1" wrap="square" lIns="91425" tIns="91425" rIns="91425" bIns="91425" anchor="ctr" anchorCtr="0"/>
                        </wps:wsp>
                        <wps:wsp>
                          <wps:cNvPr id="7" name="Caixa de texto 7"/>
                          <wps:cNvSpPr txBox="1"/>
                          <wps:spPr>
                            <a:xfrm>
                              <a:off x="0" y="2260171"/>
                              <a:ext cx="1620012" cy="744136"/>
                            </a:xfrm>
                            <a:prstGeom prst="rect">
                              <a:avLst/>
                            </a:prstGeom>
                            <a:noFill/>
                            <a:ln>
                              <a:noFill/>
                            </a:ln>
                          </wps:spPr>
                          <wps:txbx>
                            <w:txbxContent>
                              <w:p w14:paraId="57431751" w14:textId="77777777" w:rsidR="00D35DF1" w:rsidRPr="009E1FFC" w:rsidRDefault="008A4894" w:rsidP="00CA738D">
                                <w:pPr>
                                  <w:spacing w:line="215" w:lineRule="auto"/>
                                  <w:jc w:val="center"/>
                                </w:pPr>
                                <w:r w:rsidRPr="00866DDC">
                                  <w:rPr>
                                    <w:color w:val="000000"/>
                                  </w:rPr>
                                  <w:t>Eligibility and Inclusion</w:t>
                                </w:r>
                              </w:p>
                            </w:txbxContent>
                          </wps:txbx>
                          <wps:bodyPr spcFirstLastPara="1" wrap="square" lIns="85325" tIns="85325" rIns="85325" bIns="85325" anchor="ctr" anchorCtr="0"/>
                        </wps:wsp>
                        <wps:wsp>
                          <wps:cNvPr id="8" name="Retângulo de cantos arredondados 8"/>
                          <wps:cNvSpPr/>
                          <wps:spPr>
                            <a:xfrm>
                              <a:off x="0" y="1032782"/>
                              <a:ext cx="5400039" cy="1214776"/>
                            </a:xfrm>
                            <a:prstGeom prst="roundRect">
                              <a:avLst>
                                <a:gd name="adj" fmla="val 10000"/>
                              </a:avLst>
                            </a:prstGeom>
                            <a:solidFill>
                              <a:srgbClr val="A8D08C"/>
                            </a:solidFill>
                            <a:ln>
                              <a:noFill/>
                            </a:ln>
                          </wps:spPr>
                          <wps:txbx>
                            <w:txbxContent>
                              <w:p w14:paraId="5FD95DEC" w14:textId="77777777" w:rsidR="00D35DF1" w:rsidRDefault="00D35DF1" w:rsidP="00CA738D"/>
                            </w:txbxContent>
                          </wps:txbx>
                          <wps:bodyPr spcFirstLastPara="1" wrap="square" lIns="91425" tIns="91425" rIns="91425" bIns="91425" anchor="ctr" anchorCtr="0"/>
                        </wps:wsp>
                        <wps:wsp>
                          <wps:cNvPr id="9" name="Caixa de texto 9"/>
                          <wps:cNvSpPr txBox="1"/>
                          <wps:spPr>
                            <a:xfrm>
                              <a:off x="0" y="1032782"/>
                              <a:ext cx="1620012" cy="1214776"/>
                            </a:xfrm>
                            <a:prstGeom prst="rect">
                              <a:avLst/>
                            </a:prstGeom>
                            <a:noFill/>
                            <a:ln>
                              <a:noFill/>
                            </a:ln>
                          </wps:spPr>
                          <wps:txbx>
                            <w:txbxContent>
                              <w:p w14:paraId="442F0189" w14:textId="77777777" w:rsidR="0030210D" w:rsidRDefault="008A4894" w:rsidP="00CA738D">
                                <w:pPr>
                                  <w:spacing w:before="83" w:line="215" w:lineRule="auto"/>
                                  <w:jc w:val="center"/>
                                </w:pPr>
                                <w:r w:rsidRPr="0030210D">
                                  <w:t xml:space="preserve">Article </w:t>
                                </w:r>
                              </w:p>
                              <w:p w14:paraId="5A5ACF64" w14:textId="77777777" w:rsidR="00D35DF1" w:rsidRDefault="008A4894" w:rsidP="00CA738D">
                                <w:pPr>
                                  <w:spacing w:before="83" w:line="215" w:lineRule="auto"/>
                                  <w:jc w:val="center"/>
                                </w:pPr>
                                <w:r w:rsidRPr="0030210D">
                                  <w:t>selection</w:t>
                                </w:r>
                              </w:p>
                            </w:txbxContent>
                          </wps:txbx>
                          <wps:bodyPr spcFirstLastPara="1" wrap="square" lIns="85325" tIns="85325" rIns="85325" bIns="85325" anchor="ctr" anchorCtr="0"/>
                        </wps:wsp>
                        <wps:wsp>
                          <wps:cNvPr id="10" name="Retângulo de cantos arredondados 10"/>
                          <wps:cNvSpPr/>
                          <wps:spPr>
                            <a:xfrm>
                              <a:off x="0" y="358016"/>
                              <a:ext cx="5400039" cy="662153"/>
                            </a:xfrm>
                            <a:prstGeom prst="roundRect">
                              <a:avLst>
                                <a:gd name="adj" fmla="val 10000"/>
                              </a:avLst>
                            </a:prstGeom>
                            <a:solidFill>
                              <a:srgbClr val="A8D08C"/>
                            </a:solidFill>
                            <a:ln>
                              <a:noFill/>
                            </a:ln>
                          </wps:spPr>
                          <wps:txbx>
                            <w:txbxContent>
                              <w:p w14:paraId="05CE08DF" w14:textId="77777777" w:rsidR="00D35DF1" w:rsidRDefault="00D35DF1" w:rsidP="00CA738D"/>
                            </w:txbxContent>
                          </wps:txbx>
                          <wps:bodyPr spcFirstLastPara="1" wrap="square" lIns="91425" tIns="91425" rIns="91425" bIns="91425" anchor="ctr" anchorCtr="0"/>
                        </wps:wsp>
                        <wps:wsp>
                          <wps:cNvPr id="11" name="Caixa de texto 11"/>
                          <wps:cNvSpPr txBox="1"/>
                          <wps:spPr>
                            <a:xfrm>
                              <a:off x="0" y="358016"/>
                              <a:ext cx="1620012" cy="662153"/>
                            </a:xfrm>
                            <a:prstGeom prst="rect">
                              <a:avLst/>
                            </a:prstGeom>
                            <a:noFill/>
                            <a:ln>
                              <a:noFill/>
                            </a:ln>
                          </wps:spPr>
                          <wps:txbx>
                            <w:txbxContent>
                              <w:p w14:paraId="755722B6" w14:textId="77777777" w:rsidR="00D35DF1" w:rsidRPr="009E1FFC" w:rsidRDefault="008A4894" w:rsidP="00CA738D">
                                <w:pPr>
                                  <w:spacing w:line="215" w:lineRule="auto"/>
                                  <w:jc w:val="center"/>
                                </w:pPr>
                                <w:r w:rsidRPr="009E1FFC">
                                  <w:rPr>
                                    <w:color w:val="000000"/>
                                  </w:rPr>
                                  <w:t>Identification Process</w:t>
                                </w:r>
                              </w:p>
                            </w:txbxContent>
                          </wps:txbx>
                          <wps:bodyPr spcFirstLastPara="1" wrap="square" lIns="85325" tIns="85325" rIns="85325" bIns="85325" anchor="ctr" anchorCtr="0"/>
                        </wps:wsp>
                        <wps:wsp>
                          <wps:cNvPr id="12" name="Retângulo de cantos arredondados 12"/>
                          <wps:cNvSpPr/>
                          <wps:spPr>
                            <a:xfrm>
                              <a:off x="2282732" y="438436"/>
                              <a:ext cx="1891859" cy="492183"/>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42C2883A" w14:textId="77777777" w:rsidR="00D35DF1" w:rsidRDefault="00D35DF1" w:rsidP="00CA738D"/>
                            </w:txbxContent>
                          </wps:txbx>
                          <wps:bodyPr spcFirstLastPara="1" wrap="square" lIns="91425" tIns="91425" rIns="91425" bIns="91425" anchor="ctr" anchorCtr="0"/>
                        </wps:wsp>
                        <wps:wsp>
                          <wps:cNvPr id="13" name="Caixa de texto 13"/>
                          <wps:cNvSpPr txBox="1"/>
                          <wps:spPr>
                            <a:xfrm>
                              <a:off x="2297148" y="452852"/>
                              <a:ext cx="1863027" cy="463351"/>
                            </a:xfrm>
                            <a:prstGeom prst="rect">
                              <a:avLst/>
                            </a:prstGeom>
                            <a:noFill/>
                            <a:ln>
                              <a:noFill/>
                            </a:ln>
                          </wps:spPr>
                          <wps:txbx>
                            <w:txbxContent>
                              <w:p w14:paraId="28022B08" w14:textId="77777777" w:rsidR="00D35DF1" w:rsidRPr="00CA738D" w:rsidRDefault="008A4894" w:rsidP="00CA738D">
                                <w:pPr>
                                  <w:spacing w:line="215" w:lineRule="auto"/>
                                  <w:jc w:val="center"/>
                                  <w:rPr>
                                    <w:sz w:val="20"/>
                                    <w:szCs w:val="20"/>
                                  </w:rPr>
                                </w:pPr>
                                <w:r w:rsidRPr="00CA738D">
                                  <w:rPr>
                                    <w:color w:val="000000"/>
                                    <w:sz w:val="20"/>
                                    <w:szCs w:val="20"/>
                                  </w:rPr>
                                  <w:t>Portal Capes, Scopus, Science direct, google acadêmico</w:t>
                                </w:r>
                              </w:p>
                            </w:txbxContent>
                          </wps:txbx>
                          <wps:bodyPr spcFirstLastPara="1" wrap="square" lIns="45700" tIns="45700" rIns="45700" bIns="45700" anchor="ctr" anchorCtr="0"/>
                        </wps:wsp>
                        <wps:wsp>
                          <wps:cNvPr id="14" name="Forma livre 14"/>
                          <wps:cNvSpPr/>
                          <wps:spPr>
                            <a:xfrm>
                              <a:off x="2167943" y="930619"/>
                              <a:ext cx="1060718" cy="258142"/>
                            </a:xfrm>
                            <a:custGeom>
                              <a:avLst/>
                              <a:gdLst/>
                              <a:ahLst/>
                              <a:cxnLst/>
                              <a:rect l="l" t="t" r="r" b="b"/>
                              <a:pathLst>
                                <a:path w="120000" h="120000">
                                  <a:moveTo>
                                    <a:pt x="120000" y="0"/>
                                  </a:moveTo>
                                  <a:lnTo>
                                    <a:pt x="120000" y="60000"/>
                                  </a:lnTo>
                                  <a:lnTo>
                                    <a:pt x="0" y="60000"/>
                                  </a:lnTo>
                                  <a:lnTo>
                                    <a:pt x="0" y="120000"/>
                                  </a:lnTo>
                                </a:path>
                              </a:pathLst>
                            </a:custGeom>
                            <a:noFill/>
                            <a:ln w="12700">
                              <a:solidFill>
                                <a:srgbClr val="345A99"/>
                              </a:solidFill>
                              <a:prstDash val="solid"/>
                              <a:miter lim="800000"/>
                              <a:headEnd w="sm" len="sm"/>
                              <a:tailEnd w="sm" len="sm"/>
                            </a:ln>
                          </wps:spPr>
                          <wps:bodyPr spcFirstLastPara="1" wrap="square" lIns="91425" tIns="91425" rIns="91425" bIns="91425" anchor="ctr" anchorCtr="0"/>
                        </wps:wsp>
                        <wps:wsp>
                          <wps:cNvPr id="15" name="Retângulo de cantos arredondados 15"/>
                          <wps:cNvSpPr/>
                          <wps:spPr>
                            <a:xfrm>
                              <a:off x="1292526" y="1188762"/>
                              <a:ext cx="1750833" cy="884349"/>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19991CF0" w14:textId="77777777" w:rsidR="00D35DF1" w:rsidRDefault="00D35DF1" w:rsidP="00CA738D"/>
                            </w:txbxContent>
                          </wps:txbx>
                          <wps:bodyPr spcFirstLastPara="1" wrap="square" lIns="91425" tIns="91425" rIns="91425" bIns="91425" anchor="ctr" anchorCtr="0"/>
                        </wps:wsp>
                        <wps:wsp>
                          <wps:cNvPr id="16" name="Caixa de texto 16"/>
                          <wps:cNvSpPr txBox="1"/>
                          <wps:spPr>
                            <a:xfrm>
                              <a:off x="1318428" y="1214664"/>
                              <a:ext cx="1699029" cy="832545"/>
                            </a:xfrm>
                            <a:prstGeom prst="rect">
                              <a:avLst/>
                            </a:prstGeom>
                            <a:noFill/>
                            <a:ln>
                              <a:noFill/>
                            </a:ln>
                          </wps:spPr>
                          <wps:txbx>
                            <w:txbxContent>
                              <w:p w14:paraId="3D79F7D8" w14:textId="77777777" w:rsidR="00D35DF1" w:rsidRPr="00BA111C" w:rsidRDefault="008A4894" w:rsidP="00CA738D">
                                <w:pPr>
                                  <w:spacing w:line="215" w:lineRule="auto"/>
                                  <w:jc w:val="center"/>
                                  <w:rPr>
                                    <w:sz w:val="22"/>
                                    <w:szCs w:val="22"/>
                                  </w:rPr>
                                </w:pPr>
                                <w:r w:rsidRPr="00BA111C">
                                  <w:rPr>
                                    <w:color w:val="000000"/>
                                    <w:sz w:val="22"/>
                                    <w:szCs w:val="22"/>
                                  </w:rPr>
                                  <w:t>150 articles were consulted using the database and selected based on searches in abstracts, titles, and/or keywords</w:t>
                                </w:r>
                              </w:p>
                            </w:txbxContent>
                          </wps:txbx>
                          <wps:bodyPr spcFirstLastPara="1" wrap="square" lIns="45700" tIns="45700" rIns="45700" bIns="45700" anchor="ctr" anchorCtr="0"/>
                        </wps:wsp>
                        <wps:wsp>
                          <wps:cNvPr id="17" name="Forma livre 17"/>
                          <wps:cNvSpPr/>
                          <wps:spPr>
                            <a:xfrm>
                              <a:off x="1923876" y="2073111"/>
                              <a:ext cx="244066" cy="243395"/>
                            </a:xfrm>
                            <a:custGeom>
                              <a:avLst/>
                              <a:gdLst/>
                              <a:ahLst/>
                              <a:cxnLst/>
                              <a:rect l="l" t="t" r="r" b="b"/>
                              <a:pathLst>
                                <a:path w="120000" h="120000">
                                  <a:moveTo>
                                    <a:pt x="120000" y="0"/>
                                  </a:moveTo>
                                  <a:lnTo>
                                    <a:pt x="120000" y="60000"/>
                                  </a:lnTo>
                                  <a:lnTo>
                                    <a:pt x="0" y="60000"/>
                                  </a:lnTo>
                                  <a:lnTo>
                                    <a:pt x="0" y="120000"/>
                                  </a:lnTo>
                                </a:path>
                              </a:pathLst>
                            </a:custGeom>
                            <a:noFill/>
                            <a:ln w="12700">
                              <a:solidFill>
                                <a:srgbClr val="3A66B1"/>
                              </a:solidFill>
                              <a:prstDash val="solid"/>
                              <a:miter lim="800000"/>
                              <a:headEnd w="sm" len="sm"/>
                              <a:tailEnd w="sm" len="sm"/>
                            </a:ln>
                          </wps:spPr>
                          <wps:bodyPr spcFirstLastPara="1" wrap="square" lIns="91425" tIns="91425" rIns="91425" bIns="91425" anchor="ctr" anchorCtr="0"/>
                        </wps:wsp>
                        <wps:wsp>
                          <wps:cNvPr id="18" name="Retângulo de cantos arredondados 18"/>
                          <wps:cNvSpPr/>
                          <wps:spPr>
                            <a:xfrm>
                              <a:off x="1465535" y="2316507"/>
                              <a:ext cx="916682" cy="605437"/>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4661D87F" w14:textId="77777777" w:rsidR="00D35DF1" w:rsidRDefault="00D35DF1" w:rsidP="00CA738D"/>
                            </w:txbxContent>
                          </wps:txbx>
                          <wps:bodyPr spcFirstLastPara="1" wrap="square" lIns="91425" tIns="91425" rIns="91425" bIns="91425" anchor="ctr" anchorCtr="0"/>
                        </wps:wsp>
                        <wps:wsp>
                          <wps:cNvPr id="19" name="Caixa de texto 19"/>
                          <wps:cNvSpPr txBox="1"/>
                          <wps:spPr>
                            <a:xfrm>
                              <a:off x="1483268" y="2334240"/>
                              <a:ext cx="881216" cy="569971"/>
                            </a:xfrm>
                            <a:prstGeom prst="rect">
                              <a:avLst/>
                            </a:prstGeom>
                            <a:noFill/>
                            <a:ln>
                              <a:noFill/>
                            </a:ln>
                          </wps:spPr>
                          <wps:txbx>
                            <w:txbxContent>
                              <w:p w14:paraId="595213AA" w14:textId="77777777" w:rsidR="00D35DF1" w:rsidRDefault="008A4894" w:rsidP="00CA738D">
                                <w:pPr>
                                  <w:spacing w:line="215" w:lineRule="auto"/>
                                  <w:jc w:val="center"/>
                                </w:pPr>
                                <w:r w:rsidRPr="0030210D">
                                  <w:rPr>
                                    <w:color w:val="000000"/>
                                  </w:rPr>
                                  <w:t>75 articles used</w:t>
                                </w:r>
                              </w:p>
                            </w:txbxContent>
                          </wps:txbx>
                          <wps:bodyPr spcFirstLastPara="1" wrap="square" lIns="45700" tIns="45700" rIns="45700" bIns="45700" anchor="ctr" anchorCtr="0"/>
                        </wps:wsp>
                        <wps:wsp>
                          <wps:cNvPr id="20" name="Forma livre 20"/>
                          <wps:cNvSpPr/>
                          <wps:spPr>
                            <a:xfrm>
                              <a:off x="2167943" y="2073111"/>
                              <a:ext cx="850034" cy="250557"/>
                            </a:xfrm>
                            <a:custGeom>
                              <a:avLst/>
                              <a:gdLst/>
                              <a:ahLst/>
                              <a:cxnLst/>
                              <a:rect l="l" t="t" r="r" b="b"/>
                              <a:pathLst>
                                <a:path w="120000" h="120000">
                                  <a:moveTo>
                                    <a:pt x="0" y="0"/>
                                  </a:moveTo>
                                  <a:lnTo>
                                    <a:pt x="0" y="60000"/>
                                  </a:lnTo>
                                  <a:lnTo>
                                    <a:pt x="120000" y="60000"/>
                                  </a:lnTo>
                                  <a:lnTo>
                                    <a:pt x="120000" y="120000"/>
                                  </a:lnTo>
                                </a:path>
                              </a:pathLst>
                            </a:custGeom>
                            <a:noFill/>
                            <a:ln w="12700">
                              <a:solidFill>
                                <a:srgbClr val="3A66B1"/>
                              </a:solidFill>
                              <a:prstDash val="solid"/>
                              <a:miter lim="800000"/>
                              <a:headEnd w="sm" len="sm"/>
                              <a:tailEnd w="sm" len="sm"/>
                            </a:ln>
                          </wps:spPr>
                          <wps:bodyPr spcFirstLastPara="1" wrap="square" lIns="91425" tIns="91425" rIns="91425" bIns="91425" anchor="ctr" anchorCtr="0"/>
                        </wps:wsp>
                        <wps:wsp>
                          <wps:cNvPr id="21" name="Retângulo de cantos arredondados 21"/>
                          <wps:cNvSpPr/>
                          <wps:spPr>
                            <a:xfrm>
                              <a:off x="2647966" y="2323669"/>
                              <a:ext cx="740023" cy="630906"/>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0DD71CE6" w14:textId="77777777" w:rsidR="00D35DF1" w:rsidRDefault="00D35DF1" w:rsidP="00CA738D"/>
                            </w:txbxContent>
                          </wps:txbx>
                          <wps:bodyPr spcFirstLastPara="1" wrap="square" lIns="91425" tIns="91425" rIns="91425" bIns="91425" anchor="ctr" anchorCtr="0"/>
                        </wps:wsp>
                        <wps:wsp>
                          <wps:cNvPr id="22" name="Caixa de texto 22"/>
                          <wps:cNvSpPr txBox="1"/>
                          <wps:spPr>
                            <a:xfrm>
                              <a:off x="2666445" y="2342148"/>
                              <a:ext cx="703065" cy="593948"/>
                            </a:xfrm>
                            <a:prstGeom prst="rect">
                              <a:avLst/>
                            </a:prstGeom>
                            <a:noFill/>
                            <a:ln>
                              <a:noFill/>
                            </a:ln>
                          </wps:spPr>
                          <wps:txbx>
                            <w:txbxContent>
                              <w:p w14:paraId="0B29B658" w14:textId="77777777" w:rsidR="00D35DF1" w:rsidRDefault="008A4894" w:rsidP="00CA738D">
                                <w:pPr>
                                  <w:spacing w:line="215" w:lineRule="auto"/>
                                  <w:jc w:val="center"/>
                                </w:pPr>
                                <w:r w:rsidRPr="0030210D">
                                  <w:rPr>
                                    <w:color w:val="000000"/>
                                  </w:rPr>
                                  <w:t>10 articles excluded</w:t>
                                </w:r>
                              </w:p>
                            </w:txbxContent>
                          </wps:txbx>
                          <wps:bodyPr spcFirstLastPara="1" wrap="square" lIns="45700" tIns="45700" rIns="45700" bIns="45700" anchor="ctr" anchorCtr="0"/>
                        </wps:wsp>
                        <wps:wsp>
                          <wps:cNvPr id="23" name="Forma livre 23"/>
                          <wps:cNvSpPr/>
                          <wps:spPr>
                            <a:xfrm>
                              <a:off x="3228661" y="930619"/>
                              <a:ext cx="1029317" cy="280897"/>
                            </a:xfrm>
                            <a:custGeom>
                              <a:avLst/>
                              <a:gdLst/>
                              <a:ahLst/>
                              <a:cxnLst/>
                              <a:rect l="l" t="t" r="r" b="b"/>
                              <a:pathLst>
                                <a:path w="120000" h="120000">
                                  <a:moveTo>
                                    <a:pt x="0" y="0"/>
                                  </a:moveTo>
                                  <a:lnTo>
                                    <a:pt x="0" y="60000"/>
                                  </a:lnTo>
                                  <a:lnTo>
                                    <a:pt x="120000" y="60000"/>
                                  </a:lnTo>
                                  <a:lnTo>
                                    <a:pt x="120000" y="120000"/>
                                  </a:lnTo>
                                </a:path>
                              </a:pathLst>
                            </a:custGeom>
                            <a:noFill/>
                            <a:ln w="12700">
                              <a:solidFill>
                                <a:srgbClr val="345A99"/>
                              </a:solidFill>
                              <a:prstDash val="solid"/>
                              <a:miter lim="800000"/>
                              <a:headEnd w="sm" len="sm"/>
                              <a:tailEnd w="sm" len="sm"/>
                            </a:ln>
                          </wps:spPr>
                          <wps:bodyPr spcFirstLastPara="1" wrap="square" lIns="91425" tIns="91425" rIns="91425" bIns="91425" anchor="ctr" anchorCtr="0"/>
                        </wps:wsp>
                        <wps:wsp>
                          <wps:cNvPr id="38" name="Retângulo de cantos arredondados 38"/>
                          <wps:cNvSpPr/>
                          <wps:spPr>
                            <a:xfrm>
                              <a:off x="3312049" y="1211516"/>
                              <a:ext cx="1891859" cy="939610"/>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23BA0B12" w14:textId="77777777" w:rsidR="00D35DF1" w:rsidRDefault="00D35DF1" w:rsidP="00CA738D"/>
                            </w:txbxContent>
                          </wps:txbx>
                          <wps:bodyPr spcFirstLastPara="1" wrap="square" lIns="91425" tIns="91425" rIns="91425" bIns="91425" anchor="ctr" anchorCtr="0"/>
                        </wps:wsp>
                        <wps:wsp>
                          <wps:cNvPr id="39" name="Caixa de texto 39"/>
                          <wps:cNvSpPr txBox="1"/>
                          <wps:spPr>
                            <a:xfrm>
                              <a:off x="3339569" y="1239036"/>
                              <a:ext cx="1836819" cy="884570"/>
                            </a:xfrm>
                            <a:prstGeom prst="rect">
                              <a:avLst/>
                            </a:prstGeom>
                            <a:noFill/>
                            <a:ln>
                              <a:noFill/>
                            </a:ln>
                          </wps:spPr>
                          <wps:txbx>
                            <w:txbxContent>
                              <w:p w14:paraId="598467E0" w14:textId="77777777" w:rsidR="00D35DF1" w:rsidRDefault="008A4894" w:rsidP="00CA738D">
                                <w:pPr>
                                  <w:spacing w:line="215" w:lineRule="auto"/>
                                  <w:jc w:val="center"/>
                                </w:pPr>
                                <w:r>
                                  <w:rPr>
                                    <w:color w:val="000000"/>
                                  </w:rPr>
                                  <w:t>“green synthesis”, “gold and silver nanoparticles”, “plant extract root flower leaf stalk”, “brazilian ginseng”, “antimicrobial activity”, “Pfaffia”, “sustainability”</w:t>
                                </w:r>
                              </w:p>
                            </w:txbxContent>
                          </wps:txbx>
                          <wps:bodyPr spcFirstLastPara="1" wrap="square" lIns="45700" tIns="45700" rIns="45700" bIns="45700" anchor="ctr" anchorCtr="0"/>
                        </wps:wsp>
                        <wps:wsp>
                          <wps:cNvPr id="40" name="Forma livre 40"/>
                          <wps:cNvSpPr/>
                          <wps:spPr>
                            <a:xfrm>
                              <a:off x="4212259" y="2151127"/>
                              <a:ext cx="91440" cy="137884"/>
                            </a:xfrm>
                            <a:custGeom>
                              <a:avLst/>
                              <a:gdLst/>
                              <a:ahLst/>
                              <a:cxnLst/>
                              <a:rect l="l" t="t" r="r" b="b"/>
                              <a:pathLst>
                                <a:path w="120000" h="120000">
                                  <a:moveTo>
                                    <a:pt x="60000" y="0"/>
                                  </a:moveTo>
                                  <a:lnTo>
                                    <a:pt x="60000" y="60000"/>
                                  </a:lnTo>
                                  <a:lnTo>
                                    <a:pt x="104580" y="60000"/>
                                  </a:lnTo>
                                  <a:lnTo>
                                    <a:pt x="104580" y="120000"/>
                                  </a:lnTo>
                                </a:path>
                              </a:pathLst>
                            </a:custGeom>
                            <a:noFill/>
                            <a:ln w="12700">
                              <a:solidFill>
                                <a:srgbClr val="3A66B1"/>
                              </a:solidFill>
                              <a:prstDash val="solid"/>
                              <a:miter lim="800000"/>
                              <a:headEnd w="sm" len="sm"/>
                              <a:tailEnd w="sm" len="sm"/>
                            </a:ln>
                          </wps:spPr>
                          <wps:bodyPr spcFirstLastPara="1" wrap="square" lIns="91425" tIns="91425" rIns="91425" bIns="91425" anchor="ctr" anchorCtr="0"/>
                        </wps:wsp>
                        <wps:wsp>
                          <wps:cNvPr id="41" name="Retângulo de cantos arredondados 41"/>
                          <wps:cNvSpPr/>
                          <wps:spPr>
                            <a:xfrm>
                              <a:off x="3680015" y="2289011"/>
                              <a:ext cx="1223869" cy="652098"/>
                            </a:xfrm>
                            <a:prstGeom prst="roundRect">
                              <a:avLst>
                                <a:gd name="adj" fmla="val 10000"/>
                              </a:avLst>
                            </a:prstGeom>
                            <a:solidFill>
                              <a:srgbClr val="548135"/>
                            </a:solidFill>
                            <a:ln w="12700">
                              <a:solidFill>
                                <a:schemeClr val="lt1"/>
                              </a:solidFill>
                              <a:prstDash val="solid"/>
                              <a:miter lim="800000"/>
                              <a:headEnd w="sm" len="sm"/>
                              <a:tailEnd w="sm" len="sm"/>
                            </a:ln>
                          </wps:spPr>
                          <wps:txbx>
                            <w:txbxContent>
                              <w:p w14:paraId="4437E699" w14:textId="77777777" w:rsidR="00D35DF1" w:rsidRDefault="00D35DF1" w:rsidP="00CA738D"/>
                            </w:txbxContent>
                          </wps:txbx>
                          <wps:bodyPr spcFirstLastPara="1" wrap="square" lIns="91425" tIns="91425" rIns="91425" bIns="91425" anchor="ctr" anchorCtr="0"/>
                        </wps:wsp>
                        <wps:wsp>
                          <wps:cNvPr id="42" name="Caixa de texto 42"/>
                          <wps:cNvSpPr txBox="1"/>
                          <wps:spPr>
                            <a:xfrm>
                              <a:off x="3699114" y="2308110"/>
                              <a:ext cx="1185671" cy="613900"/>
                            </a:xfrm>
                            <a:prstGeom prst="rect">
                              <a:avLst/>
                            </a:prstGeom>
                            <a:noFill/>
                            <a:ln>
                              <a:noFill/>
                            </a:ln>
                          </wps:spPr>
                          <wps:txbx>
                            <w:txbxContent>
                              <w:p w14:paraId="32BCFFE9" w14:textId="77777777" w:rsidR="00D35DF1" w:rsidRDefault="008A4894" w:rsidP="00CA738D">
                                <w:pPr>
                                  <w:spacing w:line="215" w:lineRule="auto"/>
                                  <w:jc w:val="center"/>
                                </w:pPr>
                                <w:r w:rsidRPr="0030210D">
                                  <w:rPr>
                                    <w:color w:val="000000"/>
                                    <w:sz w:val="20"/>
                                  </w:rPr>
                                  <w:t>22 articles included in the literature review</w:t>
                                </w:r>
                              </w:p>
                            </w:txbxContent>
                          </wps:txbx>
                          <wps:bodyPr spcFirstLastPara="1" wrap="square" lIns="38100" tIns="38100" rIns="38100" bIns="38100" anchor="ctr" anchorCtr="0"/>
                        </wps:wsp>
                      </wpg:grpSp>
                    </wpg:wgp>
                  </a:graphicData>
                </a:graphic>
              </wp:inline>
            </w:drawing>
          </mc:Choice>
          <mc:Fallback>
            <w:pict>
              <v:group w14:anchorId="159221AD" id="Grupo 1" o:spid="_x0000_s1026" style="width:425.2pt;height:264.75pt;mso-position-horizontal-relative:char;mso-position-vertical-relative:line" coordsize="54000,3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">
                <v:group id="Grupo 4" o:spid="_x0000_s1027" style="position:absolute;width:54000;height:33623" coordsize="54000,3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ângulo 5" o:spid="_x0000_s1028" style="position:absolute;width:54000;height:33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05583F7" w14:textId="77777777" w:rsidR="00D35DF1" w:rsidRDefault="00D35DF1" w:rsidP="00CA738D"/>
                      </w:txbxContent>
                    </v:textbox>
                  </v:rect>
                  <v:roundrect id="Retângulo de cantos arredondados 6" o:spid="_x0000_s1029" style="position:absolute;top:22601;width:54000;height:744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" fillcolor="#a8d08c" stroked="f">
                    <v:textbox inset="2.53958mm,2.53958mm,2.53958mm,2.53958mm">
                      <w:txbxContent>
                        <w:p w14:paraId="352DD39C" w14:textId="77777777" w:rsidR="00D35DF1" w:rsidRDefault="00D35DF1" w:rsidP="00CA738D"/>
                      </w:txbxContent>
                    </v:textbox>
                  </v:roundrect>
                  <v:shapetype id="_x0000_t202" coordsize="21600,21600" o:spt="202" path="m,l,21600r21600,l21600,xe">
                    <v:stroke joinstyle="miter"/>
                    <v:path gradientshapeok="t" o:connecttype="rect"/>
                  </v:shapetype>
                  <v:shape id="Caixa de texto 7" o:spid="_x0000_s1030" type="#_x0000_t202" style="position:absolute;top:22601;width:16200;height:7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" filled="f" stroked="f">
                    <v:textbox inset="2.37014mm,2.37014mm,2.37014mm,2.37014mm">
                      <w:txbxContent>
                        <w:p w14:paraId="57431751" w14:textId="77777777" w:rsidR="00D35DF1" w:rsidRPr="009E1FFC" w:rsidRDefault="008A4894" w:rsidP="00CA738D">
                          <w:pPr>
                            <w:spacing w:line="215" w:lineRule="auto"/>
                            <w:jc w:val="center"/>
                          </w:pPr>
                          <w:r w:rsidRPr="00866DDC">
                            <w:rPr>
                              <w:color w:val="000000"/>
                            </w:rPr>
                            <w:t>Eligibility and Inclusion</w:t>
                          </w:r>
                        </w:p>
                      </w:txbxContent>
                    </v:textbox>
                  </v:shape>
                  <v:roundrect id="Retângulo de cantos arredondados 8" o:spid="_x0000_s1031" style="position:absolute;top:10327;width:54000;height:1214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" fillcolor="#a8d08c" stroked="f">
                    <v:textbox inset="2.53958mm,2.53958mm,2.53958mm,2.53958mm">
                      <w:txbxContent>
                        <w:p w14:paraId="5FD95DEC" w14:textId="77777777" w:rsidR="00D35DF1" w:rsidRDefault="00D35DF1" w:rsidP="00CA738D"/>
                      </w:txbxContent>
                    </v:textbox>
                  </v:roundrect>
                  <v:shape id="Caixa de texto 9" o:spid="_x0000_s1032" type="#_x0000_t202" style="position:absolute;top:10327;width:16200;height:12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" filled="f" stroked="f">
                    <v:textbox inset="2.37014mm,2.37014mm,2.37014mm,2.37014mm">
                      <w:txbxContent>
                        <w:p w14:paraId="442F0189" w14:textId="77777777" w:rsidR="0030210D" w:rsidRDefault="008A4894" w:rsidP="00CA738D">
                          <w:pPr>
                            <w:spacing w:before="83" w:line="215" w:lineRule="auto"/>
                            <w:jc w:val="center"/>
                          </w:pPr>
                          <w:r w:rsidRPr="0030210D">
                            <w:t xml:space="preserve">Article </w:t>
                          </w:r>
                        </w:p>
                        <w:p w14:paraId="5A5ACF64" w14:textId="77777777" w:rsidR="00D35DF1" w:rsidRDefault="008A4894" w:rsidP="00CA738D">
                          <w:pPr>
                            <w:spacing w:before="83" w:line="215" w:lineRule="auto"/>
                            <w:jc w:val="center"/>
                          </w:pPr>
                          <w:r w:rsidRPr="0030210D">
                            <w:t>selection</w:t>
                          </w:r>
                        </w:p>
                      </w:txbxContent>
                    </v:textbox>
                  </v:shape>
                  <v:roundrect id="Retângulo de cantos arredondados 10" o:spid="_x0000_s1033" style="position:absolute;top:3580;width:54000;height:662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" fillcolor="#a8d08c" stroked="f">
                    <v:textbox inset="2.53958mm,2.53958mm,2.53958mm,2.53958mm">
                      <w:txbxContent>
                        <w:p w14:paraId="05CE08DF" w14:textId="77777777" w:rsidR="00D35DF1" w:rsidRDefault="00D35DF1" w:rsidP="00CA738D"/>
                      </w:txbxContent>
                    </v:textbox>
                  </v:roundrect>
                  <v:shape id="Caixa de texto 11" o:spid="_x0000_s1034" type="#_x0000_t202" style="position:absolute;top:3580;width:16200;height:6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" filled="f" stroked="f">
                    <v:textbox inset="2.37014mm,2.37014mm,2.37014mm,2.37014mm">
                      <w:txbxContent>
                        <w:p w14:paraId="755722B6" w14:textId="77777777" w:rsidR="00D35DF1" w:rsidRPr="009E1FFC" w:rsidRDefault="008A4894" w:rsidP="00CA738D">
                          <w:pPr>
                            <w:spacing w:line="215" w:lineRule="auto"/>
                            <w:jc w:val="center"/>
                          </w:pPr>
                          <w:r w:rsidRPr="009E1FFC">
                            <w:rPr>
                              <w:color w:val="000000"/>
                            </w:rPr>
                            <w:t>Identification Process</w:t>
                          </w:r>
                        </w:p>
                      </w:txbxContent>
                    </v:textbox>
                  </v:shape>
                  <v:roundrect id="Retângulo de cantos arredondados 12" o:spid="_x0000_s1035" style="position:absolute;left:22827;top:4384;width:18918;height:492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" fillcolor="#548135" strokecolor="white [3201]" strokeweight="1pt">
                    <v:stroke startarrowwidth="narrow" startarrowlength="short" endarrowwidth="narrow" endarrowlength="short" joinstyle="miter"/>
                    <v:textbox inset="2.53958mm,2.53958mm,2.53958mm,2.53958mm">
                      <w:txbxContent>
                        <w:p w14:paraId="42C2883A" w14:textId="77777777" w:rsidR="00D35DF1" w:rsidRDefault="00D35DF1" w:rsidP="00CA738D"/>
                      </w:txbxContent>
                    </v:textbox>
                  </v:roundrect>
                  <v:shape id="Caixa de texto 13" o:spid="_x0000_s1036" type="#_x0000_t202" style="position:absolute;left:22971;top:4528;width:18630;height:4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" filled="f" stroked="f">
                    <v:textbox inset="1.2694mm,1.2694mm,1.2694mm,1.2694mm">
                      <w:txbxContent>
                        <w:p w14:paraId="28022B08" w14:textId="77777777" w:rsidR="00D35DF1" w:rsidRPr="00CA738D" w:rsidRDefault="008A4894" w:rsidP="00CA738D">
                          <w:pPr>
                            <w:spacing w:line="215" w:lineRule="auto"/>
                            <w:jc w:val="center"/>
                            <w:rPr>
                              <w:sz w:val="20"/>
                              <w:szCs w:val="20"/>
                            </w:rPr>
                          </w:pPr>
                          <w:r w:rsidRPr="00CA738D">
                            <w:rPr>
                              <w:color w:val="000000"/>
                              <w:sz w:val="20"/>
                              <w:szCs w:val="20"/>
                            </w:rPr>
                            <w:t>Portal Capes, Scopus, Science direct, google acadêmico</w:t>
                          </w:r>
                        </w:p>
                      </w:txbxContent>
                    </v:textbox>
                  </v:shape>
                  <v:shape id="Forma livre 14" o:spid="_x0000_s1037" style="position:absolute;left:21679;top:9306;width:10607;height:2581;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" path="m120000,r,60000l,60000r,60000e" filled="f" strokecolor="#345a99" strokeweight="1pt">
                    <v:stroke startarrowwidth="narrow" startarrowlength="short" endarrowwidth="narrow" endarrowlength="short" joinstyle="miter"/>
                    <v:path arrowok="t"/>
                  </v:shape>
                  <v:roundrect id="Retângulo de cantos arredondados 15" o:spid="_x0000_s1038" style="position:absolute;left:12925;top:11887;width:17508;height:884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" fillcolor="#548135" strokecolor="white [3201]" strokeweight="1pt">
                    <v:stroke startarrowwidth="narrow" startarrowlength="short" endarrowwidth="narrow" endarrowlength="short" joinstyle="miter"/>
                    <v:textbox inset="2.53958mm,2.53958mm,2.53958mm,2.53958mm">
                      <w:txbxContent>
                        <w:p w14:paraId="19991CF0" w14:textId="77777777" w:rsidR="00D35DF1" w:rsidRDefault="00D35DF1" w:rsidP="00CA738D"/>
                      </w:txbxContent>
                    </v:textbox>
                  </v:roundrect>
                  <v:shape id="Caixa de texto 16" o:spid="_x0000_s1039" type="#_x0000_t202" style="position:absolute;left:13184;top:12146;width:16990;height:8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" filled="f" stroked="f">
                    <v:textbox inset="1.2694mm,1.2694mm,1.2694mm,1.2694mm">
                      <w:txbxContent>
                        <w:p w14:paraId="3D79F7D8" w14:textId="77777777" w:rsidR="00D35DF1" w:rsidRPr="00BA111C" w:rsidRDefault="008A4894" w:rsidP="00CA738D">
                          <w:pPr>
                            <w:spacing w:line="215" w:lineRule="auto"/>
                            <w:jc w:val="center"/>
                            <w:rPr>
                              <w:sz w:val="22"/>
                              <w:szCs w:val="22"/>
                            </w:rPr>
                          </w:pPr>
                          <w:r w:rsidRPr="00BA111C">
                            <w:rPr>
                              <w:color w:val="000000"/>
                              <w:sz w:val="22"/>
                              <w:szCs w:val="22"/>
                            </w:rPr>
                            <w:t>150 articles were consulted using the database and selected based on searches in abstracts, titles, and/or keywords</w:t>
                          </w:r>
                        </w:p>
                      </w:txbxContent>
                    </v:textbox>
                  </v:shape>
                  <v:shape id="Forma livre 17" o:spid="_x0000_s1040" style="position:absolute;left:19238;top:20731;width:2441;height:243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" path="m120000,r,60000l,60000r,60000e" filled="f" strokecolor="#3a66b1" strokeweight="1pt">
                    <v:stroke startarrowwidth="narrow" startarrowlength="short" endarrowwidth="narrow" endarrowlength="short" joinstyle="miter"/>
                    <v:path arrowok="t"/>
                  </v:shape>
                  <v:roundrect id="Retângulo de cantos arredondados 18" o:spid="_x0000_s1041" style="position:absolute;left:14655;top:23165;width:9167;height:605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" fillcolor="#548135" strokecolor="white [3201]" strokeweight="1pt">
                    <v:stroke startarrowwidth="narrow" startarrowlength="short" endarrowwidth="narrow" endarrowlength="short" joinstyle="miter"/>
                    <v:textbox inset="2.53958mm,2.53958mm,2.53958mm,2.53958mm">
                      <w:txbxContent>
                        <w:p w14:paraId="4661D87F" w14:textId="77777777" w:rsidR="00D35DF1" w:rsidRDefault="00D35DF1" w:rsidP="00CA738D"/>
                      </w:txbxContent>
                    </v:textbox>
                  </v:roundrect>
                  <v:shape id="Caixa de texto 19" o:spid="_x0000_s1042" type="#_x0000_t202" style="position:absolute;left:14832;top:23342;width:8812;height:5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" filled="f" stroked="f">
                    <v:textbox inset="1.2694mm,1.2694mm,1.2694mm,1.2694mm">
                      <w:txbxContent>
                        <w:p w14:paraId="595213AA" w14:textId="77777777" w:rsidR="00D35DF1" w:rsidRDefault="008A4894" w:rsidP="00CA738D">
                          <w:pPr>
                            <w:spacing w:line="215" w:lineRule="auto"/>
                            <w:jc w:val="center"/>
                          </w:pPr>
                          <w:r w:rsidRPr="0030210D">
                            <w:rPr>
                              <w:color w:val="000000"/>
                            </w:rPr>
                            <w:t>75 articles used</w:t>
                          </w:r>
                        </w:p>
                      </w:txbxContent>
                    </v:textbox>
                  </v:shape>
                  <v:shape id="Forma livre 20" o:spid="_x0000_s1043" style="position:absolute;left:21679;top:20731;width:8500;height:250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" path="m,l,60000r120000,l120000,120000e" filled="f" strokecolor="#3a66b1" strokeweight="1pt">
                    <v:stroke startarrowwidth="narrow" startarrowlength="short" endarrowwidth="narrow" endarrowlength="short" joinstyle="miter"/>
                    <v:path arrowok="t"/>
                  </v:shape>
                  <v:roundrect id="Retângulo de cantos arredondados 21" o:spid="_x0000_s1044" style="position:absolute;left:26479;top:23236;width:7400;height:630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" fillcolor="#548135" strokecolor="white [3201]" strokeweight="1pt">
                    <v:stroke startarrowwidth="narrow" startarrowlength="short" endarrowwidth="narrow" endarrowlength="short" joinstyle="miter"/>
                    <v:textbox inset="2.53958mm,2.53958mm,2.53958mm,2.53958mm">
                      <w:txbxContent>
                        <w:p w14:paraId="0DD71CE6" w14:textId="77777777" w:rsidR="00D35DF1" w:rsidRDefault="00D35DF1" w:rsidP="00CA738D"/>
                      </w:txbxContent>
                    </v:textbox>
                  </v:roundrect>
                  <v:shape id="Caixa de texto 22" o:spid="_x0000_s1045" type="#_x0000_t202" style="position:absolute;left:26664;top:23421;width:7031;height:5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" filled="f" stroked="f">
                    <v:textbox inset="1.2694mm,1.2694mm,1.2694mm,1.2694mm">
                      <w:txbxContent>
                        <w:p w14:paraId="0B29B658" w14:textId="77777777" w:rsidR="00D35DF1" w:rsidRDefault="008A4894" w:rsidP="00CA738D">
                          <w:pPr>
                            <w:spacing w:line="215" w:lineRule="auto"/>
                            <w:jc w:val="center"/>
                          </w:pPr>
                          <w:r w:rsidRPr="0030210D">
                            <w:rPr>
                              <w:color w:val="000000"/>
                            </w:rPr>
                            <w:t>10 articles excluded</w:t>
                          </w:r>
                        </w:p>
                      </w:txbxContent>
                    </v:textbox>
                  </v:shape>
                  <v:shape id="Forma livre 23" o:spid="_x0000_s1046" style="position:absolute;left:32286;top:9306;width:10293;height:280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" path="m,l,60000r120000,l120000,120000e" filled="f" strokecolor="#345a99" strokeweight="1pt">
                    <v:stroke startarrowwidth="narrow" startarrowlength="short" endarrowwidth="narrow" endarrowlength="short" joinstyle="miter"/>
                    <v:path arrowok="t"/>
                  </v:shape>
                  <v:roundrect id="Retângulo de cantos arredondados 38" o:spid="_x0000_s1047" style="position:absolute;left:33120;top:12115;width:18919;height:939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" fillcolor="#548135" strokecolor="white [3201]" strokeweight="1pt">
                    <v:stroke startarrowwidth="narrow" startarrowlength="short" endarrowwidth="narrow" endarrowlength="short" joinstyle="miter"/>
                    <v:textbox inset="2.53958mm,2.53958mm,2.53958mm,2.53958mm">
                      <w:txbxContent>
                        <w:p w14:paraId="23BA0B12" w14:textId="77777777" w:rsidR="00D35DF1" w:rsidRDefault="00D35DF1" w:rsidP="00CA738D"/>
                      </w:txbxContent>
                    </v:textbox>
                  </v:roundrect>
                  <v:shape id="Caixa de texto 39" o:spid="_x0000_s1048" type="#_x0000_t202" style="position:absolute;left:33395;top:12390;width:18368;height:8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" filled="f" stroked="f">
                    <v:textbox inset="1.2694mm,1.2694mm,1.2694mm,1.2694mm">
                      <w:txbxContent>
                        <w:p w14:paraId="598467E0" w14:textId="77777777" w:rsidR="00D35DF1" w:rsidRDefault="008A4894" w:rsidP="00CA738D">
                          <w:pPr>
                            <w:spacing w:line="215" w:lineRule="auto"/>
                            <w:jc w:val="center"/>
                          </w:pPr>
                          <w:r>
                            <w:rPr>
                              <w:color w:val="000000"/>
                            </w:rPr>
                            <w:t>“green synthesis”, “gold and silver nanoparticles”, “plant extract root flower leaf stalk”, “brazilian ginseng”, “antimicrobial activity”, “Pfaffia”, “sustainability”</w:t>
                          </w:r>
                        </w:p>
                      </w:txbxContent>
                    </v:textbox>
                  </v:shape>
                  <v:shape id="Forma livre 40" o:spid="_x0000_s1049" style="position:absolute;left:42122;top:21511;width:914;height:137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" path="m60000,r,60000l104580,60000r,60000e" filled="f" strokecolor="#3a66b1" strokeweight="1pt">
                    <v:stroke startarrowwidth="narrow" startarrowlength="short" endarrowwidth="narrow" endarrowlength="short" joinstyle="miter"/>
                    <v:path arrowok="t"/>
                  </v:shape>
                  <v:roundrect id="Retângulo de cantos arredondados 41" o:spid="_x0000_s1050" style="position:absolute;left:36800;top:22890;width:12238;height:6521;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" fillcolor="#548135" strokecolor="white [3201]" strokeweight="1pt">
                    <v:stroke startarrowwidth="narrow" startarrowlength="short" endarrowwidth="narrow" endarrowlength="short" joinstyle="miter"/>
                    <v:textbox inset="2.53958mm,2.53958mm,2.53958mm,2.53958mm">
                      <w:txbxContent>
                        <w:p w14:paraId="4437E699" w14:textId="77777777" w:rsidR="00D35DF1" w:rsidRDefault="00D35DF1" w:rsidP="00CA738D"/>
                      </w:txbxContent>
                    </v:textbox>
                  </v:roundrect>
                  <v:shape id="Caixa de texto 42" o:spid="_x0000_s1051" type="#_x0000_t202" style="position:absolute;left:36991;top:23081;width:11856;height:6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" filled="f" stroked="f">
                    <v:textbox inset="3pt,3pt,3pt,3pt">
                      <w:txbxContent>
                        <w:p w14:paraId="32BCFFE9" w14:textId="77777777" w:rsidR="00D35DF1" w:rsidRDefault="008A4894" w:rsidP="00CA738D">
                          <w:pPr>
                            <w:spacing w:line="215" w:lineRule="auto"/>
                            <w:jc w:val="center"/>
                          </w:pPr>
                          <w:r w:rsidRPr="0030210D">
                            <w:rPr>
                              <w:color w:val="000000"/>
                              <w:sz w:val="20"/>
                            </w:rPr>
                            <w:t>22 articles included in the literature review</w:t>
                          </w:r>
                        </w:p>
                      </w:txbxContent>
                    </v:textbox>
                  </v:shape>
                </v:group>
                <w10:anchorlock/>
              </v:group>
            </w:pict>
          </mc:Fallback>
        </mc:AlternateContent>
      </w:r>
    </w:p>
    <w:p w14:paraId="318390D9" w14:textId="4BD6CB9C" w:rsidR="00D04FE9" w:rsidRPr="00732207" w:rsidRDefault="008A4894" w:rsidP="00D04FE9">
      <w:pPr>
        <w:pBdr>
          <w:top w:val="nil"/>
          <w:left w:val="nil"/>
          <w:bottom w:val="nil"/>
          <w:right w:val="nil"/>
          <w:between w:val="nil"/>
        </w:pBdr>
        <w:ind w:firstLine="708"/>
        <w:jc w:val="both"/>
        <w:rPr>
          <w:rFonts w:eastAsia="Calibri"/>
          <w:color w:val="000000"/>
          <w:sz w:val="20"/>
          <w:szCs w:val="20"/>
        </w:rPr>
      </w:pPr>
      <w:r w:rsidRPr="00732207">
        <w:rPr>
          <w:rFonts w:eastAsia="Calibri"/>
          <w:color w:val="000000"/>
          <w:sz w:val="20"/>
          <w:szCs w:val="20"/>
        </w:rPr>
        <w:t xml:space="preserve">Figure 3. </w:t>
      </w:r>
      <w:r w:rsidR="0030210D" w:rsidRPr="00732207">
        <w:rPr>
          <w:rFonts w:eastAsia="Calibri"/>
          <w:color w:val="000000"/>
          <w:sz w:val="20"/>
          <w:szCs w:val="20"/>
        </w:rPr>
        <w:t>Methodology flowchart. Source: Authors, 2023</w:t>
      </w:r>
    </w:p>
    <w:p w14:paraId="0A4DF0D3" w14:textId="6B1C7743" w:rsidR="00DD3E84" w:rsidRDefault="00DD3E84" w:rsidP="00D04FE9">
      <w:pPr>
        <w:pBdr>
          <w:top w:val="nil"/>
          <w:left w:val="nil"/>
          <w:bottom w:val="nil"/>
          <w:right w:val="nil"/>
          <w:between w:val="nil"/>
        </w:pBdr>
        <w:ind w:firstLine="708"/>
        <w:jc w:val="both"/>
        <w:rPr>
          <w:rFonts w:ascii="Calibri" w:eastAsia="Calibri" w:hAnsi="Calibri" w:cs="Calibri"/>
          <w:b/>
          <w:color w:val="000000"/>
          <w:sz w:val="20"/>
          <w:szCs w:val="20"/>
        </w:rPr>
      </w:pPr>
    </w:p>
    <w:p w14:paraId="1F58A3CF" w14:textId="77777777" w:rsidR="0000542C" w:rsidRPr="000504D0" w:rsidRDefault="0000542C" w:rsidP="00D04FE9">
      <w:pPr>
        <w:pBdr>
          <w:top w:val="nil"/>
          <w:left w:val="nil"/>
          <w:bottom w:val="nil"/>
          <w:right w:val="nil"/>
          <w:between w:val="nil"/>
        </w:pBdr>
        <w:ind w:firstLine="708"/>
        <w:jc w:val="both"/>
        <w:rPr>
          <w:rFonts w:ascii="Calibri" w:eastAsia="Calibri" w:hAnsi="Calibri" w:cs="Calibri"/>
          <w:b/>
          <w:color w:val="000000"/>
          <w:sz w:val="20"/>
          <w:szCs w:val="20"/>
        </w:rPr>
      </w:pPr>
    </w:p>
    <w:p w14:paraId="269100E9" w14:textId="77777777" w:rsidR="00CA738D" w:rsidRDefault="00CA738D">
      <w:pPr>
        <w:pBdr>
          <w:top w:val="nil"/>
          <w:left w:val="nil"/>
          <w:bottom w:val="nil"/>
          <w:right w:val="nil"/>
          <w:between w:val="nil"/>
        </w:pBdr>
        <w:ind w:firstLine="708"/>
        <w:jc w:val="both"/>
        <w:rPr>
          <w:rFonts w:ascii="Calibri" w:eastAsia="Calibri" w:hAnsi="Calibri" w:cs="Calibri"/>
          <w:color w:val="000000"/>
          <w:sz w:val="20"/>
          <w:szCs w:val="20"/>
        </w:rPr>
      </w:pPr>
    </w:p>
    <w:p w14:paraId="23DCB3C7" w14:textId="5A8861AE" w:rsidR="00D04FE9" w:rsidRPr="00732207" w:rsidRDefault="008A4894" w:rsidP="00D04FE9">
      <w:pPr>
        <w:pBdr>
          <w:top w:val="nil"/>
          <w:left w:val="nil"/>
          <w:bottom w:val="nil"/>
          <w:right w:val="nil"/>
          <w:between w:val="nil"/>
        </w:pBdr>
        <w:ind w:firstLine="708"/>
        <w:jc w:val="both"/>
        <w:rPr>
          <w:rFonts w:eastAsia="Calibri"/>
          <w:b/>
          <w:color w:val="000000"/>
          <w:sz w:val="20"/>
          <w:szCs w:val="20"/>
        </w:rPr>
      </w:pPr>
      <w:r w:rsidRPr="00732207">
        <w:rPr>
          <w:rFonts w:eastAsia="Calibri"/>
          <w:b/>
          <w:color w:val="000000"/>
          <w:sz w:val="20"/>
          <w:szCs w:val="20"/>
        </w:rPr>
        <w:t xml:space="preserve">4 </w:t>
      </w:r>
      <w:r w:rsidR="00732207" w:rsidRPr="00732207">
        <w:rPr>
          <w:rFonts w:eastAsia="Calibri"/>
          <w:b/>
          <w:color w:val="000000"/>
          <w:sz w:val="20"/>
          <w:szCs w:val="20"/>
        </w:rPr>
        <w:t>Results and Discussion</w:t>
      </w:r>
    </w:p>
    <w:p w14:paraId="64E9978E" w14:textId="77777777" w:rsidR="00D04FE9" w:rsidRPr="00732207" w:rsidRDefault="008A4894" w:rsidP="000504D0">
      <w:pPr>
        <w:pBdr>
          <w:top w:val="nil"/>
          <w:left w:val="nil"/>
          <w:bottom w:val="nil"/>
          <w:right w:val="nil"/>
          <w:between w:val="nil"/>
        </w:pBdr>
        <w:spacing w:line="276" w:lineRule="auto"/>
        <w:ind w:firstLine="708"/>
        <w:jc w:val="both"/>
        <w:rPr>
          <w:rFonts w:eastAsia="Calibri"/>
          <w:color w:val="000000"/>
          <w:sz w:val="20"/>
          <w:szCs w:val="20"/>
        </w:rPr>
      </w:pPr>
      <w:r w:rsidRPr="00732207">
        <w:rPr>
          <w:rFonts w:eastAsia="Calibri"/>
          <w:color w:val="000000"/>
          <w:sz w:val="20"/>
          <w:szCs w:val="20"/>
        </w:rPr>
        <w:t>After extensive research, several scientific articles dedicated to the studies of various types of ginseng were found, with special emphasis on the species P. ginseng. Regarding P. glomerata, it was observed that no studies were found on the use of the plant as a green synthesis of NPMs with applications in biological activity. The data regarding the parameters, time, morphology, and biological activity of silver and gold nanoparticles from green synthesis with plant extracts were summarized in Table 1.</w:t>
      </w:r>
    </w:p>
    <w:p w14:paraId="7068209D" w14:textId="77777777" w:rsidR="00F835C4" w:rsidRPr="000504D0" w:rsidRDefault="00F835C4" w:rsidP="000504D0">
      <w:pPr>
        <w:pBdr>
          <w:top w:val="nil"/>
          <w:left w:val="nil"/>
          <w:bottom w:val="nil"/>
          <w:right w:val="nil"/>
          <w:between w:val="nil"/>
        </w:pBdr>
        <w:spacing w:line="276" w:lineRule="auto"/>
        <w:ind w:firstLine="708"/>
        <w:jc w:val="both"/>
        <w:rPr>
          <w:rFonts w:ascii="Calibri" w:eastAsia="Calibri" w:hAnsi="Calibri" w:cs="Calibri"/>
          <w:color w:val="000000"/>
        </w:rPr>
      </w:pPr>
    </w:p>
    <w:p w14:paraId="65B814CE" w14:textId="77777777" w:rsidR="00F835C4" w:rsidRPr="00732207" w:rsidRDefault="008A4894" w:rsidP="00F835C4">
      <w:pPr>
        <w:rPr>
          <w:sz w:val="20"/>
          <w:szCs w:val="20"/>
        </w:rPr>
      </w:pPr>
      <w:r w:rsidRPr="00732207">
        <w:rPr>
          <w:sz w:val="20"/>
          <w:szCs w:val="20"/>
        </w:rPr>
        <w:t>Table 1. Green synthesis parameters for silver and gold nanoparticles using extracts from different ginseng species. Where: NPs – Nanoparticles; M/E – ratio of metal salt to plant extract; Au – Gold; Ag – Silver</w:t>
      </w:r>
    </w:p>
    <w:p w14:paraId="620300B8" w14:textId="77777777" w:rsidR="00883F1C" w:rsidRDefault="00883F1C" w:rsidP="00F835C4">
      <w:pPr>
        <w:rPr>
          <w:sz w:val="20"/>
          <w:szCs w:val="20"/>
        </w:rPr>
      </w:pPr>
    </w:p>
    <w:p w14:paraId="283F838A" w14:textId="77777777" w:rsidR="00883F1C" w:rsidRDefault="00883F1C" w:rsidP="00F835C4">
      <w:pPr>
        <w:rPr>
          <w:sz w:val="20"/>
          <w:szCs w:val="20"/>
        </w:rPr>
      </w:pPr>
    </w:p>
    <w:p w14:paraId="27A5FFCE" w14:textId="77777777" w:rsidR="00B12CCE" w:rsidRDefault="00B12CCE" w:rsidP="00F835C4">
      <w:pPr>
        <w:rPr>
          <w:sz w:val="20"/>
          <w:szCs w:val="20"/>
        </w:rPr>
        <w:sectPr w:rsidR="00B12CCE" w:rsidSect="0040478F">
          <w:headerReference w:type="even" r:id="rId18"/>
          <w:headerReference w:type="default" r:id="rId19"/>
          <w:footerReference w:type="default" r:id="rId20"/>
          <w:headerReference w:type="first" r:id="rId21"/>
          <w:type w:val="continuous"/>
          <w:pgSz w:w="11906" w:h="16838"/>
          <w:pgMar w:top="1701" w:right="1134" w:bottom="1134" w:left="1701" w:header="709" w:footer="709" w:gutter="0"/>
          <w:pgNumType w:start="1"/>
          <w:cols w:space="720"/>
          <w:docGrid w:linePitch="326"/>
        </w:sectPr>
      </w:pPr>
    </w:p>
    <w:tbl>
      <w:tblPr>
        <w:tblW w:w="15088" w:type="dxa"/>
        <w:tblInd w:w="-971"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7"/>
        <w:gridCol w:w="866"/>
        <w:gridCol w:w="863"/>
        <w:gridCol w:w="1439"/>
        <w:gridCol w:w="1726"/>
        <w:gridCol w:w="1153"/>
        <w:gridCol w:w="1446"/>
        <w:gridCol w:w="1871"/>
        <w:gridCol w:w="2016"/>
        <w:gridCol w:w="2411"/>
      </w:tblGrid>
      <w:tr w:rsidR="006474C7" w:rsidRPr="008C2D2F" w14:paraId="67E6067C" w14:textId="77777777" w:rsidTr="001A5E78">
        <w:trPr>
          <w:trHeight w:val="158"/>
        </w:trPr>
        <w:tc>
          <w:tcPr>
            <w:tcW w:w="1297" w:type="dxa"/>
            <w:vMerge w:val="restart"/>
            <w:tcBorders>
              <w:top w:val="single" w:sz="4" w:space="0" w:color="000000"/>
              <w:left w:val="nil"/>
              <w:bottom w:val="single" w:sz="4" w:space="0" w:color="000000"/>
              <w:right w:val="nil"/>
            </w:tcBorders>
          </w:tcPr>
          <w:p w14:paraId="26533DEE" w14:textId="77777777" w:rsidR="000C1BC5" w:rsidRPr="008C2D2F" w:rsidRDefault="008A4894" w:rsidP="004F582C">
            <w:pPr>
              <w:rPr>
                <w:b/>
                <w:sz w:val="20"/>
                <w:szCs w:val="20"/>
              </w:rPr>
            </w:pPr>
            <w:r w:rsidRPr="008C2D2F">
              <w:rPr>
                <w:b/>
                <w:sz w:val="20"/>
                <w:szCs w:val="20"/>
              </w:rPr>
              <w:lastRenderedPageBreak/>
              <w:t>Plant Species</w:t>
            </w:r>
          </w:p>
        </w:tc>
        <w:tc>
          <w:tcPr>
            <w:tcW w:w="866" w:type="dxa"/>
            <w:vMerge w:val="restart"/>
            <w:tcBorders>
              <w:top w:val="single" w:sz="4" w:space="0" w:color="000000"/>
              <w:left w:val="nil"/>
              <w:bottom w:val="single" w:sz="4" w:space="0" w:color="000000"/>
              <w:right w:val="nil"/>
            </w:tcBorders>
          </w:tcPr>
          <w:p w14:paraId="627BA0DC" w14:textId="77777777" w:rsidR="000C1BC5" w:rsidRPr="008C2D2F" w:rsidRDefault="008A4894" w:rsidP="004F582C">
            <w:pPr>
              <w:rPr>
                <w:b/>
                <w:sz w:val="20"/>
                <w:szCs w:val="20"/>
              </w:rPr>
            </w:pPr>
            <w:r w:rsidRPr="008C2D2F">
              <w:rPr>
                <w:b/>
                <w:sz w:val="20"/>
                <w:szCs w:val="20"/>
              </w:rPr>
              <w:t>Part</w:t>
            </w:r>
          </w:p>
        </w:tc>
        <w:tc>
          <w:tcPr>
            <w:tcW w:w="863" w:type="dxa"/>
            <w:vMerge w:val="restart"/>
            <w:tcBorders>
              <w:top w:val="single" w:sz="4" w:space="0" w:color="000000"/>
              <w:left w:val="nil"/>
              <w:bottom w:val="single" w:sz="4" w:space="0" w:color="000000"/>
              <w:right w:val="nil"/>
            </w:tcBorders>
          </w:tcPr>
          <w:p w14:paraId="3BD70A1D" w14:textId="77777777" w:rsidR="000C1BC5" w:rsidRPr="008C2D2F" w:rsidRDefault="008A4894" w:rsidP="004F582C">
            <w:pPr>
              <w:rPr>
                <w:b/>
                <w:sz w:val="20"/>
                <w:szCs w:val="20"/>
              </w:rPr>
            </w:pPr>
            <w:r w:rsidRPr="008C2D2F">
              <w:rPr>
                <w:b/>
                <w:sz w:val="20"/>
                <w:szCs w:val="20"/>
              </w:rPr>
              <w:t>Type of NPs</w:t>
            </w:r>
          </w:p>
        </w:tc>
        <w:tc>
          <w:tcPr>
            <w:tcW w:w="1439" w:type="dxa"/>
            <w:tcBorders>
              <w:top w:val="single" w:sz="4" w:space="0" w:color="000000"/>
              <w:left w:val="nil"/>
              <w:bottom w:val="single" w:sz="4" w:space="0" w:color="000000"/>
              <w:right w:val="nil"/>
            </w:tcBorders>
          </w:tcPr>
          <w:p w14:paraId="43ABCD7B" w14:textId="77777777" w:rsidR="000C1BC5" w:rsidRPr="008C2D2F" w:rsidRDefault="000C1BC5" w:rsidP="004F582C">
            <w:pPr>
              <w:rPr>
                <w:sz w:val="20"/>
                <w:szCs w:val="20"/>
              </w:rPr>
            </w:pPr>
          </w:p>
        </w:tc>
        <w:tc>
          <w:tcPr>
            <w:tcW w:w="4325" w:type="dxa"/>
            <w:gridSpan w:val="3"/>
            <w:tcBorders>
              <w:top w:val="single" w:sz="4" w:space="0" w:color="000000"/>
              <w:left w:val="nil"/>
              <w:bottom w:val="single" w:sz="4" w:space="0" w:color="000000"/>
              <w:right w:val="nil"/>
            </w:tcBorders>
          </w:tcPr>
          <w:p w14:paraId="30F6C472" w14:textId="77777777" w:rsidR="000C1BC5" w:rsidRPr="008C2D2F" w:rsidRDefault="008A4894" w:rsidP="004F582C">
            <w:pPr>
              <w:rPr>
                <w:b/>
                <w:sz w:val="20"/>
                <w:szCs w:val="20"/>
              </w:rPr>
            </w:pPr>
            <w:r w:rsidRPr="008C2D2F">
              <w:rPr>
                <w:b/>
                <w:sz w:val="20"/>
                <w:szCs w:val="20"/>
              </w:rPr>
              <w:t>Synthesis Conditions</w:t>
            </w:r>
          </w:p>
        </w:tc>
        <w:tc>
          <w:tcPr>
            <w:tcW w:w="1871" w:type="dxa"/>
            <w:tcBorders>
              <w:top w:val="single" w:sz="4" w:space="0" w:color="000000"/>
              <w:left w:val="nil"/>
              <w:bottom w:val="single" w:sz="4" w:space="0" w:color="000000"/>
              <w:right w:val="nil"/>
            </w:tcBorders>
          </w:tcPr>
          <w:p w14:paraId="05DB1E50" w14:textId="77777777" w:rsidR="000C1BC5" w:rsidRPr="008C2D2F" w:rsidRDefault="008A4894" w:rsidP="004F582C">
            <w:pPr>
              <w:rPr>
                <w:b/>
                <w:sz w:val="20"/>
                <w:szCs w:val="20"/>
              </w:rPr>
            </w:pPr>
            <w:r w:rsidRPr="008C2D2F">
              <w:rPr>
                <w:b/>
                <w:sz w:val="20"/>
                <w:szCs w:val="20"/>
              </w:rPr>
              <w:t>Characterization</w:t>
            </w:r>
          </w:p>
        </w:tc>
        <w:tc>
          <w:tcPr>
            <w:tcW w:w="2016" w:type="dxa"/>
            <w:vMerge w:val="restart"/>
            <w:tcBorders>
              <w:top w:val="single" w:sz="4" w:space="0" w:color="000000"/>
              <w:left w:val="nil"/>
              <w:bottom w:val="single" w:sz="4" w:space="0" w:color="000000"/>
              <w:right w:val="nil"/>
            </w:tcBorders>
          </w:tcPr>
          <w:p w14:paraId="42268ED2" w14:textId="77777777" w:rsidR="000C1BC5" w:rsidRPr="008C2D2F" w:rsidRDefault="008A4894" w:rsidP="004F582C">
            <w:pPr>
              <w:rPr>
                <w:b/>
                <w:sz w:val="20"/>
                <w:szCs w:val="20"/>
              </w:rPr>
            </w:pPr>
            <w:r w:rsidRPr="008C2D2F">
              <w:rPr>
                <w:b/>
                <w:sz w:val="20"/>
                <w:szCs w:val="20"/>
              </w:rPr>
              <w:t>Microorganism</w:t>
            </w:r>
          </w:p>
        </w:tc>
        <w:tc>
          <w:tcPr>
            <w:tcW w:w="2411" w:type="dxa"/>
            <w:vMerge w:val="restart"/>
            <w:tcBorders>
              <w:top w:val="single" w:sz="4" w:space="0" w:color="000000"/>
              <w:left w:val="nil"/>
              <w:bottom w:val="single" w:sz="4" w:space="0" w:color="000000"/>
              <w:right w:val="nil"/>
            </w:tcBorders>
          </w:tcPr>
          <w:p w14:paraId="5C41EB20" w14:textId="77777777" w:rsidR="000C1BC5" w:rsidRPr="008C2D2F" w:rsidRDefault="008A4894" w:rsidP="004F582C">
            <w:pPr>
              <w:rPr>
                <w:b/>
                <w:sz w:val="20"/>
                <w:szCs w:val="20"/>
              </w:rPr>
            </w:pPr>
            <w:r w:rsidRPr="008C2D2F">
              <w:rPr>
                <w:b/>
                <w:sz w:val="20"/>
                <w:szCs w:val="20"/>
              </w:rPr>
              <w:t>Reference</w:t>
            </w:r>
          </w:p>
        </w:tc>
      </w:tr>
      <w:tr w:rsidR="006474C7" w:rsidRPr="008C2D2F" w14:paraId="05E3311F" w14:textId="77777777" w:rsidTr="001A5E78">
        <w:trPr>
          <w:trHeight w:val="157"/>
        </w:trPr>
        <w:tc>
          <w:tcPr>
            <w:tcW w:w="1297" w:type="dxa"/>
            <w:vMerge/>
            <w:tcBorders>
              <w:top w:val="single" w:sz="4" w:space="0" w:color="000000"/>
              <w:left w:val="nil"/>
              <w:bottom w:val="single" w:sz="4" w:space="0" w:color="000000"/>
              <w:right w:val="nil"/>
            </w:tcBorders>
          </w:tcPr>
          <w:p w14:paraId="7E93B768"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866" w:type="dxa"/>
            <w:vMerge/>
            <w:tcBorders>
              <w:top w:val="single" w:sz="4" w:space="0" w:color="000000"/>
              <w:left w:val="nil"/>
              <w:bottom w:val="single" w:sz="4" w:space="0" w:color="000000"/>
              <w:right w:val="nil"/>
            </w:tcBorders>
          </w:tcPr>
          <w:p w14:paraId="03F0145C"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863" w:type="dxa"/>
            <w:vMerge/>
            <w:tcBorders>
              <w:top w:val="single" w:sz="4" w:space="0" w:color="000000"/>
              <w:left w:val="nil"/>
              <w:bottom w:val="single" w:sz="4" w:space="0" w:color="000000"/>
              <w:right w:val="nil"/>
            </w:tcBorders>
          </w:tcPr>
          <w:p w14:paraId="2C49BF67"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1439" w:type="dxa"/>
            <w:tcBorders>
              <w:top w:val="single" w:sz="4" w:space="0" w:color="000000"/>
              <w:left w:val="nil"/>
              <w:bottom w:val="single" w:sz="4" w:space="0" w:color="000000"/>
              <w:right w:val="nil"/>
            </w:tcBorders>
          </w:tcPr>
          <w:p w14:paraId="24408BD1" w14:textId="77777777" w:rsidR="000C1BC5" w:rsidRPr="008C2D2F" w:rsidRDefault="008A4894" w:rsidP="004F582C">
            <w:pPr>
              <w:rPr>
                <w:b/>
                <w:sz w:val="20"/>
                <w:szCs w:val="20"/>
              </w:rPr>
            </w:pPr>
            <w:r w:rsidRPr="008C2D2F">
              <w:rPr>
                <w:b/>
                <w:sz w:val="20"/>
                <w:szCs w:val="20"/>
              </w:rPr>
              <w:t>Formation Time</w:t>
            </w:r>
          </w:p>
        </w:tc>
        <w:tc>
          <w:tcPr>
            <w:tcW w:w="1726" w:type="dxa"/>
            <w:tcBorders>
              <w:top w:val="single" w:sz="4" w:space="0" w:color="000000"/>
              <w:left w:val="nil"/>
              <w:bottom w:val="single" w:sz="4" w:space="0" w:color="000000"/>
              <w:right w:val="nil"/>
            </w:tcBorders>
          </w:tcPr>
          <w:p w14:paraId="5B4089A5" w14:textId="77777777" w:rsidR="000C1BC5" w:rsidRPr="008C2D2F" w:rsidRDefault="008A4894" w:rsidP="004F582C">
            <w:pPr>
              <w:rPr>
                <w:b/>
                <w:sz w:val="20"/>
                <w:szCs w:val="20"/>
              </w:rPr>
            </w:pPr>
            <w:r w:rsidRPr="008C2D2F">
              <w:rPr>
                <w:b/>
                <w:sz w:val="20"/>
                <w:szCs w:val="20"/>
              </w:rPr>
              <w:t>Temperature (</w:t>
            </w:r>
            <w:r w:rsidRPr="008C2D2F">
              <w:rPr>
                <w:b/>
                <w:sz w:val="20"/>
                <w:szCs w:val="20"/>
                <w:vertAlign w:val="superscript"/>
              </w:rPr>
              <w:t>0</w:t>
            </w:r>
            <w:r w:rsidRPr="008C2D2F">
              <w:rPr>
                <w:b/>
                <w:sz w:val="20"/>
                <w:szCs w:val="20"/>
              </w:rPr>
              <w:t>C)</w:t>
            </w:r>
          </w:p>
        </w:tc>
        <w:tc>
          <w:tcPr>
            <w:tcW w:w="1153" w:type="dxa"/>
            <w:tcBorders>
              <w:top w:val="single" w:sz="4" w:space="0" w:color="000000"/>
              <w:left w:val="nil"/>
              <w:bottom w:val="single" w:sz="4" w:space="0" w:color="000000"/>
              <w:right w:val="nil"/>
            </w:tcBorders>
          </w:tcPr>
          <w:p w14:paraId="55ED6C09" w14:textId="77777777" w:rsidR="000C1BC5" w:rsidRPr="008C2D2F" w:rsidRDefault="008A4894" w:rsidP="004F582C">
            <w:pPr>
              <w:rPr>
                <w:b/>
                <w:sz w:val="20"/>
                <w:szCs w:val="20"/>
              </w:rPr>
            </w:pPr>
            <w:r w:rsidRPr="008C2D2F">
              <w:rPr>
                <w:b/>
                <w:sz w:val="20"/>
                <w:szCs w:val="20"/>
              </w:rPr>
              <w:t>S/E</w:t>
            </w:r>
          </w:p>
        </w:tc>
        <w:tc>
          <w:tcPr>
            <w:tcW w:w="1446" w:type="dxa"/>
            <w:tcBorders>
              <w:top w:val="single" w:sz="4" w:space="0" w:color="000000"/>
              <w:left w:val="nil"/>
              <w:bottom w:val="single" w:sz="4" w:space="0" w:color="000000"/>
              <w:right w:val="nil"/>
            </w:tcBorders>
          </w:tcPr>
          <w:p w14:paraId="10568118" w14:textId="77777777" w:rsidR="000C1BC5" w:rsidRPr="008C2D2F" w:rsidRDefault="008A4894" w:rsidP="004F582C">
            <w:pPr>
              <w:rPr>
                <w:b/>
                <w:sz w:val="20"/>
                <w:szCs w:val="20"/>
              </w:rPr>
            </w:pPr>
            <w:r w:rsidRPr="008C2D2F">
              <w:rPr>
                <w:b/>
                <w:sz w:val="20"/>
                <w:szCs w:val="20"/>
              </w:rPr>
              <w:t>Size (nm)</w:t>
            </w:r>
          </w:p>
        </w:tc>
        <w:tc>
          <w:tcPr>
            <w:tcW w:w="1871" w:type="dxa"/>
            <w:tcBorders>
              <w:top w:val="single" w:sz="4" w:space="0" w:color="000000"/>
              <w:left w:val="nil"/>
              <w:bottom w:val="single" w:sz="4" w:space="0" w:color="000000"/>
              <w:right w:val="nil"/>
            </w:tcBorders>
          </w:tcPr>
          <w:p w14:paraId="61A337CE" w14:textId="77777777" w:rsidR="000C1BC5" w:rsidRPr="008C2D2F" w:rsidRDefault="008A4894" w:rsidP="004F582C">
            <w:pPr>
              <w:rPr>
                <w:b/>
                <w:sz w:val="20"/>
                <w:szCs w:val="20"/>
              </w:rPr>
            </w:pPr>
            <w:r w:rsidRPr="008C2D2F">
              <w:rPr>
                <w:b/>
                <w:sz w:val="20"/>
                <w:szCs w:val="20"/>
              </w:rPr>
              <w:t>Morphology</w:t>
            </w:r>
          </w:p>
        </w:tc>
        <w:tc>
          <w:tcPr>
            <w:tcW w:w="2016" w:type="dxa"/>
            <w:vMerge/>
            <w:tcBorders>
              <w:top w:val="single" w:sz="4" w:space="0" w:color="000000"/>
              <w:left w:val="nil"/>
              <w:bottom w:val="single" w:sz="4" w:space="0" w:color="000000"/>
              <w:right w:val="nil"/>
            </w:tcBorders>
          </w:tcPr>
          <w:p w14:paraId="4DA0BB9E"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c>
          <w:tcPr>
            <w:tcW w:w="2411" w:type="dxa"/>
            <w:vMerge/>
            <w:tcBorders>
              <w:top w:val="single" w:sz="4" w:space="0" w:color="000000"/>
              <w:left w:val="nil"/>
              <w:bottom w:val="single" w:sz="4" w:space="0" w:color="000000"/>
              <w:right w:val="nil"/>
            </w:tcBorders>
          </w:tcPr>
          <w:p w14:paraId="2A4A77D0" w14:textId="77777777" w:rsidR="000C1BC5" w:rsidRPr="008C2D2F" w:rsidRDefault="000C1BC5" w:rsidP="004F582C">
            <w:pPr>
              <w:widowControl w:val="0"/>
              <w:pBdr>
                <w:top w:val="nil"/>
                <w:left w:val="nil"/>
                <w:bottom w:val="nil"/>
                <w:right w:val="nil"/>
                <w:between w:val="nil"/>
              </w:pBdr>
              <w:spacing w:line="276" w:lineRule="auto"/>
              <w:rPr>
                <w:b/>
                <w:sz w:val="20"/>
                <w:szCs w:val="20"/>
              </w:rPr>
            </w:pPr>
          </w:p>
        </w:tc>
      </w:tr>
      <w:tr w:rsidR="006474C7" w:rsidRPr="008C2D2F" w14:paraId="08616C7A" w14:textId="77777777" w:rsidTr="001A5E78">
        <w:tc>
          <w:tcPr>
            <w:tcW w:w="1297" w:type="dxa"/>
            <w:tcBorders>
              <w:top w:val="nil"/>
              <w:left w:val="nil"/>
              <w:bottom w:val="nil"/>
              <w:right w:val="nil"/>
            </w:tcBorders>
          </w:tcPr>
          <w:p w14:paraId="77E01B78" w14:textId="77777777" w:rsidR="000C1BC5" w:rsidRPr="008C2D2F" w:rsidRDefault="008A4894" w:rsidP="004F582C">
            <w:pPr>
              <w:rPr>
                <w:sz w:val="20"/>
                <w:szCs w:val="20"/>
              </w:rPr>
            </w:pPr>
            <w:r w:rsidRPr="008C2D2F">
              <w:rPr>
                <w:sz w:val="20"/>
                <w:szCs w:val="20"/>
              </w:rPr>
              <w:t>Ginseng Siberian</w:t>
            </w:r>
          </w:p>
        </w:tc>
        <w:tc>
          <w:tcPr>
            <w:tcW w:w="866" w:type="dxa"/>
            <w:tcBorders>
              <w:top w:val="nil"/>
              <w:left w:val="nil"/>
              <w:bottom w:val="nil"/>
              <w:right w:val="nil"/>
            </w:tcBorders>
          </w:tcPr>
          <w:p w14:paraId="6B8AC70C" w14:textId="77777777" w:rsidR="000C1BC5" w:rsidRPr="008C2D2F" w:rsidRDefault="008A4894" w:rsidP="004F582C">
            <w:pPr>
              <w:rPr>
                <w:sz w:val="20"/>
                <w:szCs w:val="20"/>
              </w:rPr>
            </w:pPr>
            <w:r w:rsidRPr="008C2D2F">
              <w:rPr>
                <w:sz w:val="20"/>
                <w:szCs w:val="20"/>
              </w:rPr>
              <w:t>Leaf and Root</w:t>
            </w:r>
          </w:p>
        </w:tc>
        <w:tc>
          <w:tcPr>
            <w:tcW w:w="863" w:type="dxa"/>
            <w:tcBorders>
              <w:top w:val="nil"/>
              <w:left w:val="nil"/>
              <w:bottom w:val="nil"/>
              <w:right w:val="nil"/>
            </w:tcBorders>
          </w:tcPr>
          <w:p w14:paraId="46030C53" w14:textId="77777777" w:rsidR="000C1BC5" w:rsidRPr="008C2D2F" w:rsidRDefault="008A4894" w:rsidP="004F582C">
            <w:pPr>
              <w:rPr>
                <w:sz w:val="20"/>
                <w:szCs w:val="20"/>
              </w:rPr>
            </w:pPr>
            <w:r w:rsidRPr="008C2D2F">
              <w:rPr>
                <w:sz w:val="20"/>
                <w:szCs w:val="20"/>
              </w:rPr>
              <w:t>Au</w:t>
            </w:r>
          </w:p>
        </w:tc>
        <w:tc>
          <w:tcPr>
            <w:tcW w:w="1439" w:type="dxa"/>
            <w:tcBorders>
              <w:top w:val="single" w:sz="4" w:space="0" w:color="000000"/>
              <w:left w:val="nil"/>
              <w:bottom w:val="nil"/>
              <w:right w:val="nil"/>
            </w:tcBorders>
          </w:tcPr>
          <w:p w14:paraId="7DFC9474" w14:textId="77777777" w:rsidR="000C1BC5" w:rsidRPr="008C2D2F" w:rsidRDefault="008A4894" w:rsidP="004F582C">
            <w:pPr>
              <w:rPr>
                <w:sz w:val="20"/>
                <w:szCs w:val="20"/>
              </w:rPr>
            </w:pPr>
            <w:r w:rsidRPr="008C2D2F">
              <w:rPr>
                <w:sz w:val="20"/>
                <w:szCs w:val="20"/>
              </w:rPr>
              <w:t>24 hours to 30 days</w:t>
            </w:r>
          </w:p>
        </w:tc>
        <w:tc>
          <w:tcPr>
            <w:tcW w:w="1726" w:type="dxa"/>
            <w:tcBorders>
              <w:top w:val="single" w:sz="4" w:space="0" w:color="000000"/>
              <w:left w:val="nil"/>
              <w:bottom w:val="nil"/>
              <w:right w:val="nil"/>
            </w:tcBorders>
          </w:tcPr>
          <w:p w14:paraId="5DD83135" w14:textId="77777777" w:rsidR="000C1BC5" w:rsidRPr="008C2D2F" w:rsidRDefault="008A4894" w:rsidP="004F582C">
            <w:pPr>
              <w:rPr>
                <w:sz w:val="20"/>
                <w:szCs w:val="20"/>
              </w:rPr>
            </w:pPr>
            <w:r w:rsidRPr="008C2D2F">
              <w:rPr>
                <w:sz w:val="20"/>
                <w:szCs w:val="20"/>
              </w:rPr>
              <w:t>28</w:t>
            </w:r>
          </w:p>
        </w:tc>
        <w:tc>
          <w:tcPr>
            <w:tcW w:w="1153" w:type="dxa"/>
            <w:tcBorders>
              <w:top w:val="single" w:sz="4" w:space="0" w:color="000000"/>
              <w:left w:val="nil"/>
              <w:bottom w:val="nil"/>
              <w:right w:val="nil"/>
            </w:tcBorders>
          </w:tcPr>
          <w:p w14:paraId="49E49CE3" w14:textId="77777777" w:rsidR="000C1BC5" w:rsidRPr="008C2D2F" w:rsidRDefault="008A4894" w:rsidP="004F582C">
            <w:pPr>
              <w:rPr>
                <w:sz w:val="20"/>
                <w:szCs w:val="20"/>
              </w:rPr>
            </w:pPr>
            <w:r w:rsidRPr="008C2D2F">
              <w:rPr>
                <w:sz w:val="20"/>
                <w:szCs w:val="20"/>
              </w:rPr>
              <w:t>20 ml of solution (4 mM HAuCl4) / 1.5 mL extract</w:t>
            </w:r>
          </w:p>
          <w:p w14:paraId="62639A1D" w14:textId="77777777" w:rsidR="003563D1" w:rsidRPr="008C2D2F" w:rsidRDefault="003563D1" w:rsidP="004F582C">
            <w:pPr>
              <w:rPr>
                <w:sz w:val="20"/>
                <w:szCs w:val="20"/>
              </w:rPr>
            </w:pPr>
          </w:p>
        </w:tc>
        <w:tc>
          <w:tcPr>
            <w:tcW w:w="1446" w:type="dxa"/>
            <w:tcBorders>
              <w:top w:val="single" w:sz="4" w:space="0" w:color="000000"/>
              <w:left w:val="nil"/>
              <w:bottom w:val="nil"/>
              <w:right w:val="nil"/>
            </w:tcBorders>
          </w:tcPr>
          <w:p w14:paraId="221C28B9" w14:textId="77777777" w:rsidR="000C1BC5" w:rsidRPr="008C2D2F" w:rsidRDefault="008A4894" w:rsidP="004F582C">
            <w:pPr>
              <w:rPr>
                <w:sz w:val="20"/>
                <w:szCs w:val="20"/>
              </w:rPr>
            </w:pPr>
            <w:r w:rsidRPr="008C2D2F">
              <w:rPr>
                <w:sz w:val="20"/>
                <w:szCs w:val="20"/>
              </w:rPr>
              <w:t>200</w:t>
            </w:r>
          </w:p>
        </w:tc>
        <w:tc>
          <w:tcPr>
            <w:tcW w:w="1871" w:type="dxa"/>
            <w:tcBorders>
              <w:top w:val="single" w:sz="4" w:space="0" w:color="000000"/>
              <w:left w:val="nil"/>
              <w:bottom w:val="nil"/>
              <w:right w:val="nil"/>
            </w:tcBorders>
          </w:tcPr>
          <w:p w14:paraId="2D53010C" w14:textId="77777777" w:rsidR="000C1BC5" w:rsidRPr="008C2D2F" w:rsidRDefault="008A4894" w:rsidP="004F582C">
            <w:pPr>
              <w:rPr>
                <w:sz w:val="20"/>
                <w:szCs w:val="20"/>
              </w:rPr>
            </w:pPr>
            <w:r w:rsidRPr="008C2D2F">
              <w:rPr>
                <w:sz w:val="20"/>
                <w:szCs w:val="20"/>
              </w:rPr>
              <w:t>Spherical</w:t>
            </w:r>
          </w:p>
        </w:tc>
        <w:tc>
          <w:tcPr>
            <w:tcW w:w="2016" w:type="dxa"/>
            <w:tcBorders>
              <w:top w:val="nil"/>
              <w:left w:val="nil"/>
              <w:bottom w:val="nil"/>
              <w:right w:val="nil"/>
            </w:tcBorders>
          </w:tcPr>
          <w:p w14:paraId="645BF9E8" w14:textId="77777777" w:rsidR="000C1BC5" w:rsidRPr="008C2D2F" w:rsidRDefault="008A4894" w:rsidP="004F582C">
            <w:pPr>
              <w:rPr>
                <w:sz w:val="20"/>
                <w:szCs w:val="20"/>
              </w:rPr>
            </w:pPr>
            <w:r w:rsidRPr="008C2D2F">
              <w:rPr>
                <w:sz w:val="20"/>
                <w:szCs w:val="20"/>
              </w:rPr>
              <w:t>Murine B16 melanoma cells</w:t>
            </w:r>
          </w:p>
        </w:tc>
        <w:tc>
          <w:tcPr>
            <w:tcW w:w="2411" w:type="dxa"/>
            <w:tcBorders>
              <w:top w:val="nil"/>
              <w:left w:val="nil"/>
              <w:bottom w:val="nil"/>
              <w:right w:val="nil"/>
            </w:tcBorders>
          </w:tcPr>
          <w:p w14:paraId="378F1D3D" w14:textId="77777777" w:rsidR="000C1BC5" w:rsidRPr="008C2D2F" w:rsidRDefault="008A4894" w:rsidP="004F582C">
            <w:pPr>
              <w:rPr>
                <w:sz w:val="20"/>
                <w:szCs w:val="20"/>
              </w:rPr>
            </w:pPr>
            <w:r w:rsidRPr="008C2D2F">
              <w:rPr>
                <w:sz w:val="20"/>
                <w:szCs w:val="20"/>
              </w:rPr>
              <w:t>Fenglian et al. (2019)</w:t>
            </w:r>
          </w:p>
        </w:tc>
      </w:tr>
      <w:tr w:rsidR="006474C7" w:rsidRPr="008C2D2F" w14:paraId="754FA42A" w14:textId="77777777" w:rsidTr="001A5E78">
        <w:tc>
          <w:tcPr>
            <w:tcW w:w="1297" w:type="dxa"/>
            <w:tcBorders>
              <w:top w:val="nil"/>
              <w:left w:val="nil"/>
              <w:bottom w:val="nil"/>
              <w:right w:val="nil"/>
            </w:tcBorders>
          </w:tcPr>
          <w:p w14:paraId="1C8B4A75" w14:textId="77777777" w:rsidR="003563D1" w:rsidRPr="008C2D2F" w:rsidRDefault="008A4894" w:rsidP="003563D1">
            <w:pPr>
              <w:rPr>
                <w:sz w:val="20"/>
                <w:szCs w:val="20"/>
              </w:rPr>
            </w:pPr>
            <w:r w:rsidRPr="008C2D2F">
              <w:rPr>
                <w:i/>
                <w:sz w:val="20"/>
                <w:szCs w:val="20"/>
              </w:rPr>
              <w:t>Panax ginseng</w:t>
            </w:r>
          </w:p>
        </w:tc>
        <w:tc>
          <w:tcPr>
            <w:tcW w:w="866" w:type="dxa"/>
            <w:tcBorders>
              <w:top w:val="nil"/>
              <w:left w:val="nil"/>
              <w:bottom w:val="nil"/>
              <w:right w:val="nil"/>
            </w:tcBorders>
          </w:tcPr>
          <w:p w14:paraId="26B41E95" w14:textId="77777777" w:rsidR="003563D1" w:rsidRPr="008C2D2F" w:rsidRDefault="008A4894" w:rsidP="003563D1">
            <w:pPr>
              <w:rPr>
                <w:sz w:val="20"/>
                <w:szCs w:val="20"/>
              </w:rPr>
            </w:pPr>
            <w:r w:rsidRPr="008C2D2F">
              <w:rPr>
                <w:sz w:val="20"/>
                <w:szCs w:val="20"/>
              </w:rPr>
              <w:t>Leaf and Root</w:t>
            </w:r>
          </w:p>
        </w:tc>
        <w:tc>
          <w:tcPr>
            <w:tcW w:w="863" w:type="dxa"/>
            <w:tcBorders>
              <w:top w:val="nil"/>
              <w:left w:val="nil"/>
              <w:bottom w:val="nil"/>
              <w:right w:val="nil"/>
            </w:tcBorders>
          </w:tcPr>
          <w:p w14:paraId="6705F6D2" w14:textId="77777777" w:rsidR="003563D1" w:rsidRPr="008C2D2F" w:rsidRDefault="008A4894" w:rsidP="003563D1">
            <w:pPr>
              <w:rPr>
                <w:sz w:val="20"/>
                <w:szCs w:val="20"/>
              </w:rPr>
            </w:pPr>
            <w:r w:rsidRPr="008C2D2F">
              <w:rPr>
                <w:sz w:val="20"/>
                <w:szCs w:val="20"/>
              </w:rPr>
              <w:t>Au and Ag</w:t>
            </w:r>
          </w:p>
        </w:tc>
        <w:tc>
          <w:tcPr>
            <w:tcW w:w="1439" w:type="dxa"/>
            <w:tcBorders>
              <w:top w:val="nil"/>
              <w:left w:val="nil"/>
              <w:bottom w:val="nil"/>
              <w:right w:val="nil"/>
            </w:tcBorders>
          </w:tcPr>
          <w:p w14:paraId="6ADAB512" w14:textId="77777777" w:rsidR="003563D1" w:rsidRPr="008C2D2F" w:rsidRDefault="008A4894" w:rsidP="003563D1">
            <w:pPr>
              <w:rPr>
                <w:sz w:val="20"/>
                <w:szCs w:val="20"/>
              </w:rPr>
            </w:pPr>
            <w:r w:rsidRPr="008C2D2F">
              <w:rPr>
                <w:sz w:val="20"/>
                <w:szCs w:val="20"/>
              </w:rPr>
              <w:t>Au - 3 min</w:t>
            </w:r>
          </w:p>
          <w:p w14:paraId="63616B1F" w14:textId="77777777" w:rsidR="003563D1" w:rsidRPr="008C2D2F" w:rsidRDefault="008A4894" w:rsidP="003563D1">
            <w:pPr>
              <w:rPr>
                <w:sz w:val="20"/>
                <w:szCs w:val="20"/>
              </w:rPr>
            </w:pPr>
            <w:r w:rsidRPr="008C2D2F">
              <w:rPr>
                <w:sz w:val="20"/>
                <w:szCs w:val="20"/>
              </w:rPr>
              <w:t>Ag - 45 min</w:t>
            </w:r>
          </w:p>
        </w:tc>
        <w:tc>
          <w:tcPr>
            <w:tcW w:w="1726" w:type="dxa"/>
            <w:tcBorders>
              <w:top w:val="nil"/>
              <w:left w:val="nil"/>
              <w:bottom w:val="nil"/>
              <w:right w:val="nil"/>
            </w:tcBorders>
          </w:tcPr>
          <w:p w14:paraId="2B578092" w14:textId="77777777" w:rsidR="003563D1" w:rsidRPr="008C2D2F" w:rsidRDefault="008A4894" w:rsidP="003563D1">
            <w:pPr>
              <w:rPr>
                <w:sz w:val="20"/>
                <w:szCs w:val="20"/>
              </w:rPr>
            </w:pPr>
            <w:r w:rsidRPr="008C2D2F">
              <w:rPr>
                <w:sz w:val="20"/>
                <w:szCs w:val="20"/>
              </w:rPr>
              <w:t>80</w:t>
            </w:r>
          </w:p>
        </w:tc>
        <w:tc>
          <w:tcPr>
            <w:tcW w:w="1153" w:type="dxa"/>
            <w:tcBorders>
              <w:top w:val="nil"/>
              <w:left w:val="nil"/>
              <w:bottom w:val="nil"/>
              <w:right w:val="nil"/>
            </w:tcBorders>
          </w:tcPr>
          <w:p w14:paraId="56EC21A0" w14:textId="77777777" w:rsidR="003563D1" w:rsidRPr="008C2D2F" w:rsidRDefault="008A4894" w:rsidP="00890DA6">
            <w:pPr>
              <w:rPr>
                <w:sz w:val="20"/>
                <w:szCs w:val="20"/>
                <w:lang w:val="en-US"/>
              </w:rPr>
            </w:pPr>
            <w:r w:rsidRPr="008C2D2F">
              <w:rPr>
                <w:sz w:val="20"/>
                <w:szCs w:val="20"/>
                <w:lang w:val="en-US"/>
              </w:rPr>
              <w:t>1mL (0.1 mM HAuCl</w:t>
            </w:r>
            <w:r w:rsidRPr="008C2D2F">
              <w:rPr>
                <w:sz w:val="20"/>
                <w:szCs w:val="20"/>
                <w:vertAlign w:val="subscript"/>
                <w:lang w:val="en-US"/>
              </w:rPr>
              <w:t>4</w:t>
            </w:r>
            <w:r w:rsidRPr="008C2D2F">
              <w:rPr>
                <w:sz w:val="20"/>
                <w:szCs w:val="20"/>
                <w:lang w:val="en-US"/>
              </w:rPr>
              <w:t>)/1g of the powder</w:t>
            </w:r>
          </w:p>
        </w:tc>
        <w:tc>
          <w:tcPr>
            <w:tcW w:w="1446" w:type="dxa"/>
            <w:tcBorders>
              <w:top w:val="nil"/>
              <w:left w:val="nil"/>
              <w:bottom w:val="nil"/>
              <w:right w:val="nil"/>
            </w:tcBorders>
          </w:tcPr>
          <w:p w14:paraId="3BD2E6FE" w14:textId="77777777" w:rsidR="003563D1" w:rsidRPr="008C2D2F" w:rsidRDefault="008A4894" w:rsidP="003563D1">
            <w:pPr>
              <w:rPr>
                <w:sz w:val="20"/>
                <w:szCs w:val="20"/>
              </w:rPr>
            </w:pPr>
            <w:r w:rsidRPr="008C2D2F">
              <w:rPr>
                <w:sz w:val="20"/>
                <w:szCs w:val="20"/>
              </w:rPr>
              <w:t xml:space="preserve">AuNP – 10 to 20 </w:t>
            </w:r>
          </w:p>
          <w:p w14:paraId="24F47F62" w14:textId="77777777" w:rsidR="003563D1" w:rsidRPr="008C2D2F" w:rsidRDefault="008A4894" w:rsidP="003563D1">
            <w:pPr>
              <w:rPr>
                <w:sz w:val="20"/>
                <w:szCs w:val="20"/>
              </w:rPr>
            </w:pPr>
            <w:r w:rsidRPr="008C2D2F">
              <w:rPr>
                <w:sz w:val="20"/>
                <w:szCs w:val="20"/>
              </w:rPr>
              <w:t>Ag NP – 5 to 15</w:t>
            </w:r>
          </w:p>
        </w:tc>
        <w:tc>
          <w:tcPr>
            <w:tcW w:w="1871" w:type="dxa"/>
            <w:tcBorders>
              <w:top w:val="nil"/>
              <w:left w:val="nil"/>
              <w:bottom w:val="nil"/>
              <w:right w:val="nil"/>
            </w:tcBorders>
          </w:tcPr>
          <w:p w14:paraId="52C795A9" w14:textId="77777777" w:rsidR="003563D1" w:rsidRPr="008C2D2F" w:rsidRDefault="008A4894" w:rsidP="003563D1">
            <w:pPr>
              <w:rPr>
                <w:sz w:val="20"/>
                <w:szCs w:val="20"/>
              </w:rPr>
            </w:pPr>
            <w:r w:rsidRPr="008C2D2F">
              <w:rPr>
                <w:sz w:val="20"/>
                <w:szCs w:val="20"/>
              </w:rPr>
              <w:t>AuNP - Spherical</w:t>
            </w:r>
          </w:p>
        </w:tc>
        <w:tc>
          <w:tcPr>
            <w:tcW w:w="2016" w:type="dxa"/>
            <w:tcBorders>
              <w:top w:val="nil"/>
              <w:left w:val="nil"/>
              <w:bottom w:val="nil"/>
              <w:right w:val="nil"/>
            </w:tcBorders>
          </w:tcPr>
          <w:p w14:paraId="4DC5640A" w14:textId="77777777" w:rsidR="003563D1" w:rsidRPr="008C2D2F" w:rsidRDefault="008A4894" w:rsidP="003563D1">
            <w:pPr>
              <w:rPr>
                <w:sz w:val="20"/>
                <w:szCs w:val="20"/>
              </w:rPr>
            </w:pPr>
            <w:r w:rsidRPr="008C2D2F">
              <w:rPr>
                <w:i/>
                <w:sz w:val="20"/>
                <w:szCs w:val="20"/>
              </w:rPr>
              <w:t>E.coli</w:t>
            </w:r>
            <w:r w:rsidRPr="008C2D2F">
              <w:rPr>
                <w:sz w:val="20"/>
                <w:szCs w:val="20"/>
              </w:rPr>
              <w:t>, </w:t>
            </w:r>
            <w:r w:rsidRPr="008C2D2F">
              <w:rPr>
                <w:i/>
                <w:sz w:val="20"/>
                <w:szCs w:val="20"/>
              </w:rPr>
              <w:t>S.enterica</w:t>
            </w:r>
            <w:r w:rsidRPr="008C2D2F">
              <w:rPr>
                <w:sz w:val="20"/>
                <w:szCs w:val="20"/>
              </w:rPr>
              <w:t>,</w:t>
            </w:r>
            <w:r w:rsidRPr="008C2D2F">
              <w:rPr>
                <w:i/>
                <w:sz w:val="20"/>
                <w:szCs w:val="20"/>
              </w:rPr>
              <w:t xml:space="preserve"> Vibrio parahaemolyticus</w:t>
            </w:r>
            <w:r w:rsidRPr="008C2D2F">
              <w:rPr>
                <w:sz w:val="20"/>
                <w:szCs w:val="20"/>
              </w:rPr>
              <w:t>, </w:t>
            </w:r>
            <w:r w:rsidRPr="008C2D2F">
              <w:rPr>
                <w:i/>
                <w:sz w:val="20"/>
                <w:szCs w:val="20"/>
              </w:rPr>
              <w:t>S.aureus</w:t>
            </w:r>
            <w:r w:rsidRPr="008C2D2F">
              <w:rPr>
                <w:sz w:val="20"/>
                <w:szCs w:val="20"/>
              </w:rPr>
              <w:t>, </w:t>
            </w:r>
            <w:r w:rsidRPr="008C2D2F">
              <w:rPr>
                <w:i/>
                <w:sz w:val="20"/>
                <w:szCs w:val="20"/>
              </w:rPr>
              <w:t>Bacillus anthracis</w:t>
            </w:r>
            <w:r w:rsidRPr="008C2D2F">
              <w:rPr>
                <w:sz w:val="20"/>
                <w:szCs w:val="20"/>
              </w:rPr>
              <w:t> e </w:t>
            </w:r>
            <w:r w:rsidRPr="008C2D2F">
              <w:rPr>
                <w:i/>
                <w:sz w:val="20"/>
                <w:szCs w:val="20"/>
              </w:rPr>
              <w:t>Bacillus cereus</w:t>
            </w:r>
          </w:p>
        </w:tc>
        <w:tc>
          <w:tcPr>
            <w:tcW w:w="2411" w:type="dxa"/>
            <w:tcBorders>
              <w:top w:val="nil"/>
              <w:left w:val="nil"/>
              <w:bottom w:val="nil"/>
              <w:right w:val="nil"/>
            </w:tcBorders>
          </w:tcPr>
          <w:p w14:paraId="289B9FD6" w14:textId="77777777" w:rsidR="003563D1" w:rsidRPr="008C2D2F" w:rsidRDefault="008A4894" w:rsidP="003563D1">
            <w:pPr>
              <w:rPr>
                <w:sz w:val="20"/>
                <w:szCs w:val="20"/>
              </w:rPr>
            </w:pPr>
            <w:r w:rsidRPr="008C2D2F">
              <w:rPr>
                <w:sz w:val="20"/>
                <w:szCs w:val="20"/>
              </w:rPr>
              <w:t>Singh; Kim; Yang (2015)</w:t>
            </w:r>
          </w:p>
        </w:tc>
      </w:tr>
      <w:tr w:rsidR="006474C7" w:rsidRPr="008C2D2F" w14:paraId="46A8A7EA" w14:textId="77777777" w:rsidTr="001A5E78">
        <w:tc>
          <w:tcPr>
            <w:tcW w:w="1297" w:type="dxa"/>
            <w:tcBorders>
              <w:top w:val="nil"/>
              <w:left w:val="nil"/>
              <w:bottom w:val="nil"/>
              <w:right w:val="nil"/>
            </w:tcBorders>
          </w:tcPr>
          <w:p w14:paraId="0B59CDC8" w14:textId="77777777" w:rsidR="003563D1" w:rsidRPr="008C2D2F" w:rsidRDefault="008A4894" w:rsidP="003563D1">
            <w:pPr>
              <w:rPr>
                <w:sz w:val="20"/>
                <w:szCs w:val="20"/>
              </w:rPr>
            </w:pPr>
            <w:r w:rsidRPr="008C2D2F">
              <w:rPr>
                <w:i/>
                <w:sz w:val="20"/>
                <w:szCs w:val="20"/>
              </w:rPr>
              <w:t>Panax ginseng</w:t>
            </w:r>
            <w:r w:rsidRPr="008C2D2F">
              <w:rPr>
                <w:sz w:val="20"/>
                <w:szCs w:val="20"/>
              </w:rPr>
              <w:t xml:space="preserve"> Meyer</w:t>
            </w:r>
          </w:p>
          <w:p w14:paraId="0F382223" w14:textId="77777777" w:rsidR="003563D1" w:rsidRPr="008C2D2F" w:rsidRDefault="008A4894" w:rsidP="003563D1">
            <w:pPr>
              <w:rPr>
                <w:sz w:val="20"/>
                <w:szCs w:val="20"/>
              </w:rPr>
            </w:pPr>
            <w:r w:rsidRPr="008C2D2F">
              <w:rPr>
                <w:sz w:val="20"/>
                <w:szCs w:val="20"/>
              </w:rPr>
              <w:t>(White Ginseng)</w:t>
            </w:r>
          </w:p>
        </w:tc>
        <w:tc>
          <w:tcPr>
            <w:tcW w:w="866" w:type="dxa"/>
            <w:tcBorders>
              <w:top w:val="nil"/>
              <w:left w:val="nil"/>
              <w:bottom w:val="nil"/>
              <w:right w:val="nil"/>
            </w:tcBorders>
          </w:tcPr>
          <w:p w14:paraId="77826032" w14:textId="77777777" w:rsidR="003563D1" w:rsidRPr="008C2D2F" w:rsidRDefault="008A4894" w:rsidP="003563D1">
            <w:pPr>
              <w:rPr>
                <w:sz w:val="20"/>
                <w:szCs w:val="20"/>
              </w:rPr>
            </w:pPr>
            <w:r w:rsidRPr="008C2D2F">
              <w:rPr>
                <w:sz w:val="20"/>
                <w:szCs w:val="20"/>
              </w:rPr>
              <w:t>Raiz</w:t>
            </w:r>
          </w:p>
        </w:tc>
        <w:tc>
          <w:tcPr>
            <w:tcW w:w="863" w:type="dxa"/>
            <w:tcBorders>
              <w:top w:val="nil"/>
              <w:left w:val="nil"/>
              <w:bottom w:val="nil"/>
              <w:right w:val="nil"/>
            </w:tcBorders>
          </w:tcPr>
          <w:p w14:paraId="5FB142F1" w14:textId="77777777" w:rsidR="003563D1" w:rsidRPr="008C2D2F" w:rsidRDefault="008A4894" w:rsidP="003563D1">
            <w:pPr>
              <w:rPr>
                <w:sz w:val="20"/>
                <w:szCs w:val="20"/>
              </w:rPr>
            </w:pPr>
            <w:r w:rsidRPr="008C2D2F">
              <w:rPr>
                <w:sz w:val="20"/>
                <w:szCs w:val="20"/>
              </w:rPr>
              <w:t>Au and Ag</w:t>
            </w:r>
          </w:p>
        </w:tc>
        <w:tc>
          <w:tcPr>
            <w:tcW w:w="1439" w:type="dxa"/>
            <w:tcBorders>
              <w:top w:val="nil"/>
              <w:left w:val="nil"/>
              <w:bottom w:val="nil"/>
              <w:right w:val="nil"/>
            </w:tcBorders>
          </w:tcPr>
          <w:p w14:paraId="2E61FD3B" w14:textId="77777777" w:rsidR="003563D1" w:rsidRPr="008C2D2F" w:rsidRDefault="008A4894" w:rsidP="003563D1">
            <w:pPr>
              <w:rPr>
                <w:sz w:val="20"/>
                <w:szCs w:val="20"/>
              </w:rPr>
            </w:pPr>
            <w:r w:rsidRPr="008C2D2F">
              <w:rPr>
                <w:sz w:val="20"/>
                <w:szCs w:val="20"/>
              </w:rPr>
              <w:t>Ag -120min</w:t>
            </w:r>
          </w:p>
          <w:p w14:paraId="003C8692" w14:textId="77777777" w:rsidR="003563D1" w:rsidRPr="008C2D2F" w:rsidRDefault="008A4894" w:rsidP="003563D1">
            <w:pPr>
              <w:rPr>
                <w:sz w:val="20"/>
                <w:szCs w:val="20"/>
              </w:rPr>
            </w:pPr>
            <w:r w:rsidRPr="008C2D2F">
              <w:rPr>
                <w:sz w:val="20"/>
                <w:szCs w:val="20"/>
              </w:rPr>
              <w:t>Au – 5min</w:t>
            </w:r>
          </w:p>
        </w:tc>
        <w:tc>
          <w:tcPr>
            <w:tcW w:w="1726" w:type="dxa"/>
            <w:tcBorders>
              <w:top w:val="nil"/>
              <w:left w:val="nil"/>
              <w:bottom w:val="nil"/>
              <w:right w:val="nil"/>
            </w:tcBorders>
          </w:tcPr>
          <w:p w14:paraId="2D03431E" w14:textId="77777777" w:rsidR="003563D1" w:rsidRPr="008C2D2F" w:rsidRDefault="008A4894" w:rsidP="003563D1">
            <w:pPr>
              <w:rPr>
                <w:sz w:val="20"/>
                <w:szCs w:val="20"/>
              </w:rPr>
            </w:pPr>
            <w:r w:rsidRPr="008C2D2F">
              <w:rPr>
                <w:sz w:val="20"/>
                <w:szCs w:val="20"/>
              </w:rPr>
              <w:t>80</w:t>
            </w:r>
          </w:p>
        </w:tc>
        <w:tc>
          <w:tcPr>
            <w:tcW w:w="1153" w:type="dxa"/>
            <w:tcBorders>
              <w:top w:val="nil"/>
              <w:left w:val="nil"/>
              <w:bottom w:val="nil"/>
              <w:right w:val="nil"/>
            </w:tcBorders>
          </w:tcPr>
          <w:p w14:paraId="71329297" w14:textId="77777777" w:rsidR="007A020B" w:rsidRPr="008C2D2F" w:rsidRDefault="008A4894" w:rsidP="003563D1">
            <w:pPr>
              <w:rPr>
                <w:sz w:val="20"/>
                <w:szCs w:val="20"/>
              </w:rPr>
            </w:pPr>
            <w:r w:rsidRPr="008C2D2F">
              <w:rPr>
                <w:sz w:val="20"/>
                <w:szCs w:val="20"/>
              </w:rPr>
              <w:t xml:space="preserve">1mM of (Ag or Au) for 50mg/mL of the extract </w:t>
            </w:r>
          </w:p>
          <w:p w14:paraId="3C2E9807" w14:textId="77777777" w:rsidR="007A020B" w:rsidRPr="008C2D2F" w:rsidRDefault="007A020B" w:rsidP="003563D1">
            <w:pPr>
              <w:rPr>
                <w:sz w:val="20"/>
                <w:szCs w:val="20"/>
              </w:rPr>
            </w:pPr>
          </w:p>
          <w:p w14:paraId="628B110B" w14:textId="77777777" w:rsidR="003563D1" w:rsidRPr="008C2D2F" w:rsidRDefault="003563D1" w:rsidP="003563D1">
            <w:pPr>
              <w:rPr>
                <w:sz w:val="20"/>
                <w:szCs w:val="20"/>
              </w:rPr>
            </w:pPr>
          </w:p>
        </w:tc>
        <w:tc>
          <w:tcPr>
            <w:tcW w:w="1446" w:type="dxa"/>
            <w:tcBorders>
              <w:top w:val="nil"/>
              <w:left w:val="nil"/>
              <w:bottom w:val="nil"/>
              <w:right w:val="nil"/>
            </w:tcBorders>
          </w:tcPr>
          <w:p w14:paraId="0C19BE4C" w14:textId="77777777" w:rsidR="003563D1" w:rsidRPr="008C2D2F" w:rsidRDefault="008A4894" w:rsidP="003563D1">
            <w:pPr>
              <w:rPr>
                <w:sz w:val="20"/>
                <w:szCs w:val="20"/>
              </w:rPr>
            </w:pPr>
            <w:r w:rsidRPr="008C2D2F">
              <w:rPr>
                <w:sz w:val="20"/>
                <w:szCs w:val="20"/>
              </w:rPr>
              <w:t>AuNPs: 10-40</w:t>
            </w:r>
          </w:p>
          <w:p w14:paraId="52A62148" w14:textId="77777777" w:rsidR="003563D1" w:rsidRPr="008C2D2F" w:rsidRDefault="008A4894" w:rsidP="003563D1">
            <w:pPr>
              <w:rPr>
                <w:sz w:val="20"/>
                <w:szCs w:val="20"/>
              </w:rPr>
            </w:pPr>
            <w:r w:rsidRPr="008C2D2F">
              <w:rPr>
                <w:sz w:val="20"/>
                <w:szCs w:val="20"/>
              </w:rPr>
              <w:t>AgNPs: 10-30</w:t>
            </w:r>
          </w:p>
        </w:tc>
        <w:tc>
          <w:tcPr>
            <w:tcW w:w="1871" w:type="dxa"/>
            <w:tcBorders>
              <w:top w:val="nil"/>
              <w:left w:val="nil"/>
              <w:bottom w:val="nil"/>
              <w:right w:val="nil"/>
            </w:tcBorders>
          </w:tcPr>
          <w:p w14:paraId="4A579F6C" w14:textId="77777777" w:rsidR="003563D1" w:rsidRPr="008C2D2F" w:rsidRDefault="003563D1" w:rsidP="003563D1">
            <w:pPr>
              <w:rPr>
                <w:sz w:val="20"/>
                <w:szCs w:val="20"/>
              </w:rPr>
            </w:pPr>
          </w:p>
        </w:tc>
        <w:tc>
          <w:tcPr>
            <w:tcW w:w="2016" w:type="dxa"/>
            <w:tcBorders>
              <w:top w:val="nil"/>
              <w:left w:val="nil"/>
              <w:bottom w:val="nil"/>
              <w:right w:val="nil"/>
            </w:tcBorders>
          </w:tcPr>
          <w:p w14:paraId="1E8BCB07" w14:textId="77777777" w:rsidR="003563D1" w:rsidRPr="008C2D2F" w:rsidRDefault="003563D1" w:rsidP="003563D1">
            <w:pPr>
              <w:rPr>
                <w:i/>
                <w:sz w:val="20"/>
                <w:szCs w:val="20"/>
              </w:rPr>
            </w:pPr>
          </w:p>
          <w:p w14:paraId="73F88862" w14:textId="77777777" w:rsidR="003563D1" w:rsidRPr="008C2D2F" w:rsidRDefault="008A4894" w:rsidP="003563D1">
            <w:pPr>
              <w:rPr>
                <w:i/>
                <w:sz w:val="20"/>
                <w:szCs w:val="20"/>
              </w:rPr>
            </w:pPr>
            <w:r w:rsidRPr="008C2D2F">
              <w:rPr>
                <w:i/>
                <w:sz w:val="20"/>
                <w:szCs w:val="20"/>
              </w:rPr>
              <w:t>E. coli e S. aureus</w:t>
            </w:r>
          </w:p>
        </w:tc>
        <w:tc>
          <w:tcPr>
            <w:tcW w:w="2411" w:type="dxa"/>
            <w:tcBorders>
              <w:top w:val="nil"/>
              <w:left w:val="nil"/>
              <w:bottom w:val="nil"/>
              <w:right w:val="nil"/>
            </w:tcBorders>
          </w:tcPr>
          <w:p w14:paraId="20950453" w14:textId="77777777" w:rsidR="003563D1" w:rsidRPr="008C2D2F" w:rsidRDefault="003563D1" w:rsidP="003563D1">
            <w:pPr>
              <w:rPr>
                <w:sz w:val="20"/>
                <w:szCs w:val="20"/>
              </w:rPr>
            </w:pPr>
          </w:p>
          <w:p w14:paraId="0FD3AD36" w14:textId="77777777" w:rsidR="003563D1" w:rsidRPr="008C2D2F" w:rsidRDefault="008A4894" w:rsidP="003563D1">
            <w:pPr>
              <w:rPr>
                <w:sz w:val="20"/>
                <w:szCs w:val="20"/>
              </w:rPr>
            </w:pPr>
            <w:r w:rsidRPr="008C2D2F">
              <w:rPr>
                <w:sz w:val="20"/>
                <w:szCs w:val="20"/>
              </w:rPr>
              <w:t>Wang et al. (2016)</w:t>
            </w:r>
          </w:p>
        </w:tc>
      </w:tr>
      <w:tr w:rsidR="006474C7" w:rsidRPr="008C2D2F" w14:paraId="35680425" w14:textId="77777777" w:rsidTr="001A5E78">
        <w:tc>
          <w:tcPr>
            <w:tcW w:w="1297" w:type="dxa"/>
            <w:tcBorders>
              <w:top w:val="nil"/>
              <w:left w:val="nil"/>
              <w:bottom w:val="nil"/>
              <w:right w:val="nil"/>
            </w:tcBorders>
          </w:tcPr>
          <w:p w14:paraId="4F3E97CB" w14:textId="77777777" w:rsidR="000C1BC5" w:rsidRPr="008C2D2F" w:rsidRDefault="008A4894" w:rsidP="004F582C">
            <w:pPr>
              <w:rPr>
                <w:sz w:val="20"/>
                <w:szCs w:val="20"/>
              </w:rPr>
            </w:pPr>
            <w:r w:rsidRPr="008C2D2F">
              <w:rPr>
                <w:i/>
                <w:sz w:val="20"/>
                <w:szCs w:val="20"/>
              </w:rPr>
              <w:t>Panax ginseng</w:t>
            </w:r>
            <w:r w:rsidRPr="008C2D2F">
              <w:rPr>
                <w:sz w:val="20"/>
                <w:szCs w:val="20"/>
              </w:rPr>
              <w:t xml:space="preserve"> Meyer</w:t>
            </w:r>
          </w:p>
          <w:p w14:paraId="2F523425" w14:textId="77777777" w:rsidR="000C1BC5" w:rsidRPr="008C2D2F" w:rsidRDefault="008A4894" w:rsidP="004F582C">
            <w:pPr>
              <w:rPr>
                <w:sz w:val="20"/>
                <w:szCs w:val="20"/>
              </w:rPr>
            </w:pPr>
            <w:r w:rsidRPr="008C2D2F">
              <w:rPr>
                <w:sz w:val="20"/>
                <w:szCs w:val="20"/>
              </w:rPr>
              <w:t>(</w:t>
            </w:r>
            <w:r w:rsidR="00123D3B" w:rsidRPr="008C2D2F">
              <w:rPr>
                <w:sz w:val="20"/>
                <w:szCs w:val="20"/>
              </w:rPr>
              <w:t>Red Ginseng</w:t>
            </w:r>
            <w:r w:rsidRPr="008C2D2F">
              <w:rPr>
                <w:sz w:val="20"/>
                <w:szCs w:val="20"/>
              </w:rPr>
              <w:t>)</w:t>
            </w:r>
          </w:p>
        </w:tc>
        <w:tc>
          <w:tcPr>
            <w:tcW w:w="866" w:type="dxa"/>
            <w:tcBorders>
              <w:top w:val="nil"/>
              <w:left w:val="nil"/>
              <w:bottom w:val="nil"/>
              <w:right w:val="nil"/>
            </w:tcBorders>
          </w:tcPr>
          <w:p w14:paraId="7FA72A68" w14:textId="77777777" w:rsidR="000C1BC5" w:rsidRPr="008C2D2F" w:rsidRDefault="008A4894" w:rsidP="004F582C">
            <w:pPr>
              <w:rPr>
                <w:sz w:val="20"/>
                <w:szCs w:val="20"/>
              </w:rPr>
            </w:pPr>
            <w:r w:rsidRPr="008C2D2F">
              <w:rPr>
                <w:sz w:val="20"/>
                <w:szCs w:val="20"/>
              </w:rPr>
              <w:t>Raiz</w:t>
            </w:r>
          </w:p>
        </w:tc>
        <w:tc>
          <w:tcPr>
            <w:tcW w:w="863" w:type="dxa"/>
            <w:tcBorders>
              <w:top w:val="nil"/>
              <w:left w:val="nil"/>
              <w:bottom w:val="nil"/>
              <w:right w:val="nil"/>
            </w:tcBorders>
          </w:tcPr>
          <w:p w14:paraId="4B12D61C" w14:textId="77777777" w:rsidR="000C1BC5" w:rsidRPr="008C2D2F" w:rsidRDefault="008A4894" w:rsidP="004F582C">
            <w:pPr>
              <w:rPr>
                <w:sz w:val="20"/>
                <w:szCs w:val="20"/>
              </w:rPr>
            </w:pPr>
            <w:r w:rsidRPr="008C2D2F">
              <w:rPr>
                <w:sz w:val="20"/>
                <w:szCs w:val="20"/>
              </w:rPr>
              <w:t>Au and Ag</w:t>
            </w:r>
          </w:p>
        </w:tc>
        <w:tc>
          <w:tcPr>
            <w:tcW w:w="1439" w:type="dxa"/>
            <w:tcBorders>
              <w:top w:val="nil"/>
              <w:left w:val="nil"/>
              <w:bottom w:val="nil"/>
              <w:right w:val="nil"/>
            </w:tcBorders>
          </w:tcPr>
          <w:p w14:paraId="2CACD39A" w14:textId="77777777" w:rsidR="000C1BC5" w:rsidRPr="008C2D2F" w:rsidRDefault="008A4894" w:rsidP="004F582C">
            <w:pPr>
              <w:rPr>
                <w:sz w:val="20"/>
                <w:szCs w:val="20"/>
              </w:rPr>
            </w:pPr>
            <w:r w:rsidRPr="008C2D2F">
              <w:rPr>
                <w:sz w:val="20"/>
                <w:szCs w:val="20"/>
              </w:rPr>
              <w:t>Ag -60 min</w:t>
            </w:r>
          </w:p>
          <w:p w14:paraId="7D3E9634" w14:textId="77777777" w:rsidR="000C1BC5" w:rsidRPr="008C2D2F" w:rsidRDefault="008A4894" w:rsidP="004F582C">
            <w:pPr>
              <w:rPr>
                <w:sz w:val="20"/>
                <w:szCs w:val="20"/>
              </w:rPr>
            </w:pPr>
            <w:r w:rsidRPr="008C2D2F">
              <w:rPr>
                <w:sz w:val="20"/>
                <w:szCs w:val="20"/>
              </w:rPr>
              <w:t>Au -10 min</w:t>
            </w:r>
          </w:p>
        </w:tc>
        <w:tc>
          <w:tcPr>
            <w:tcW w:w="1726" w:type="dxa"/>
            <w:tcBorders>
              <w:top w:val="nil"/>
              <w:left w:val="nil"/>
              <w:bottom w:val="nil"/>
              <w:right w:val="nil"/>
            </w:tcBorders>
          </w:tcPr>
          <w:p w14:paraId="6515523B"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7E009FAF" w14:textId="77777777" w:rsidR="000C1BC5" w:rsidRPr="008C2D2F" w:rsidRDefault="008A4894" w:rsidP="004F582C">
            <w:pPr>
              <w:rPr>
                <w:sz w:val="20"/>
                <w:szCs w:val="20"/>
                <w:lang w:val="en-US"/>
              </w:rPr>
            </w:pPr>
            <w:r w:rsidRPr="008C2D2F">
              <w:rPr>
                <w:sz w:val="20"/>
                <w:szCs w:val="20"/>
                <w:lang w:val="en-US"/>
              </w:rPr>
              <w:t>1mM of (Ag or Au)/50mg/mL of the extract</w:t>
            </w:r>
          </w:p>
        </w:tc>
        <w:tc>
          <w:tcPr>
            <w:tcW w:w="1446" w:type="dxa"/>
            <w:tcBorders>
              <w:top w:val="nil"/>
              <w:left w:val="nil"/>
              <w:bottom w:val="nil"/>
              <w:right w:val="nil"/>
            </w:tcBorders>
          </w:tcPr>
          <w:p w14:paraId="78FAFF3F" w14:textId="77777777" w:rsidR="000C1BC5" w:rsidRPr="008C2D2F" w:rsidRDefault="008A4894" w:rsidP="004F582C">
            <w:pPr>
              <w:rPr>
                <w:sz w:val="20"/>
                <w:szCs w:val="20"/>
              </w:rPr>
            </w:pPr>
            <w:r w:rsidRPr="008C2D2F">
              <w:rPr>
                <w:sz w:val="20"/>
                <w:szCs w:val="20"/>
              </w:rPr>
              <w:t>AuNPs: 10-30</w:t>
            </w:r>
          </w:p>
          <w:p w14:paraId="501F0BB2" w14:textId="77777777" w:rsidR="000C1BC5" w:rsidRPr="008C2D2F" w:rsidRDefault="008A4894" w:rsidP="004F582C">
            <w:pPr>
              <w:rPr>
                <w:sz w:val="20"/>
                <w:szCs w:val="20"/>
              </w:rPr>
            </w:pPr>
            <w:r w:rsidRPr="008C2D2F">
              <w:rPr>
                <w:sz w:val="20"/>
                <w:szCs w:val="20"/>
              </w:rPr>
              <w:t>AgNPs: 10-30</w:t>
            </w:r>
          </w:p>
        </w:tc>
        <w:tc>
          <w:tcPr>
            <w:tcW w:w="1871" w:type="dxa"/>
            <w:tcBorders>
              <w:top w:val="nil"/>
              <w:left w:val="nil"/>
              <w:bottom w:val="nil"/>
              <w:right w:val="nil"/>
            </w:tcBorders>
          </w:tcPr>
          <w:p w14:paraId="52109696" w14:textId="77777777" w:rsidR="000C1BC5" w:rsidRPr="008C2D2F" w:rsidRDefault="008A4894" w:rsidP="004F582C">
            <w:pPr>
              <w:rPr>
                <w:sz w:val="20"/>
                <w:szCs w:val="20"/>
              </w:rPr>
            </w:pPr>
            <w:r w:rsidRPr="008C2D2F">
              <w:rPr>
                <w:sz w:val="20"/>
                <w:szCs w:val="20"/>
              </w:rPr>
              <w:t>AuNPs -</w:t>
            </w:r>
            <w:r w:rsidR="00CB5884" w:rsidRPr="008C2D2F">
              <w:rPr>
                <w:sz w:val="20"/>
                <w:szCs w:val="20"/>
              </w:rPr>
              <w:t xml:space="preserve"> Spherical</w:t>
            </w:r>
          </w:p>
          <w:p w14:paraId="616DDA0C" w14:textId="77777777" w:rsidR="000C1BC5" w:rsidRPr="008C2D2F" w:rsidRDefault="008A4894" w:rsidP="004F582C">
            <w:pPr>
              <w:rPr>
                <w:sz w:val="20"/>
                <w:szCs w:val="20"/>
              </w:rPr>
            </w:pPr>
            <w:r w:rsidRPr="008C2D2F">
              <w:rPr>
                <w:sz w:val="20"/>
                <w:szCs w:val="20"/>
              </w:rPr>
              <w:t>AgNPs -</w:t>
            </w:r>
            <w:r w:rsidR="00CB5884" w:rsidRPr="008C2D2F">
              <w:rPr>
                <w:sz w:val="20"/>
                <w:szCs w:val="20"/>
              </w:rPr>
              <w:t xml:space="preserve"> Spherical</w:t>
            </w:r>
          </w:p>
        </w:tc>
        <w:tc>
          <w:tcPr>
            <w:tcW w:w="2016" w:type="dxa"/>
            <w:tcBorders>
              <w:top w:val="nil"/>
              <w:left w:val="nil"/>
              <w:bottom w:val="nil"/>
              <w:right w:val="nil"/>
            </w:tcBorders>
          </w:tcPr>
          <w:p w14:paraId="4E52EB3B" w14:textId="77777777" w:rsidR="000C1BC5" w:rsidRPr="008C2D2F" w:rsidRDefault="008A4894" w:rsidP="004F582C">
            <w:pPr>
              <w:rPr>
                <w:i/>
                <w:sz w:val="20"/>
                <w:szCs w:val="20"/>
              </w:rPr>
            </w:pPr>
            <w:r w:rsidRPr="008C2D2F">
              <w:rPr>
                <w:i/>
                <w:sz w:val="20"/>
                <w:szCs w:val="20"/>
              </w:rPr>
              <w:t>E. coli e S. aureus</w:t>
            </w:r>
          </w:p>
        </w:tc>
        <w:tc>
          <w:tcPr>
            <w:tcW w:w="2411" w:type="dxa"/>
            <w:tcBorders>
              <w:top w:val="nil"/>
              <w:left w:val="nil"/>
              <w:bottom w:val="nil"/>
              <w:right w:val="nil"/>
            </w:tcBorders>
          </w:tcPr>
          <w:p w14:paraId="5E170D59" w14:textId="77777777" w:rsidR="000C1BC5" w:rsidRPr="008C2D2F" w:rsidRDefault="008A4894" w:rsidP="004F582C">
            <w:pPr>
              <w:rPr>
                <w:sz w:val="20"/>
                <w:szCs w:val="20"/>
              </w:rPr>
            </w:pPr>
            <w:r w:rsidRPr="008C2D2F">
              <w:rPr>
                <w:sz w:val="20"/>
                <w:szCs w:val="20"/>
              </w:rPr>
              <w:t>Wang et al. (2016)</w:t>
            </w:r>
          </w:p>
        </w:tc>
      </w:tr>
      <w:tr w:rsidR="006474C7" w:rsidRPr="008C2D2F" w14:paraId="02B0EAE9" w14:textId="77777777" w:rsidTr="001A5E78">
        <w:tc>
          <w:tcPr>
            <w:tcW w:w="1297" w:type="dxa"/>
            <w:tcBorders>
              <w:top w:val="nil"/>
              <w:left w:val="nil"/>
              <w:bottom w:val="nil"/>
              <w:right w:val="nil"/>
            </w:tcBorders>
          </w:tcPr>
          <w:p w14:paraId="7273E019" w14:textId="77777777" w:rsidR="000C1BC5" w:rsidRPr="008C2D2F" w:rsidRDefault="000C1BC5" w:rsidP="004F582C">
            <w:pPr>
              <w:rPr>
                <w:i/>
                <w:sz w:val="20"/>
                <w:szCs w:val="20"/>
              </w:rPr>
            </w:pPr>
          </w:p>
          <w:p w14:paraId="6269050F" w14:textId="77777777" w:rsidR="000C1BC5" w:rsidRPr="008C2D2F" w:rsidRDefault="008A4894" w:rsidP="004F582C">
            <w:pPr>
              <w:rPr>
                <w:sz w:val="20"/>
                <w:szCs w:val="20"/>
              </w:rPr>
            </w:pPr>
            <w:r w:rsidRPr="008C2D2F">
              <w:rPr>
                <w:i/>
                <w:sz w:val="20"/>
                <w:szCs w:val="20"/>
              </w:rPr>
              <w:t>Panax ginseng</w:t>
            </w:r>
            <w:r w:rsidRPr="008C2D2F">
              <w:rPr>
                <w:sz w:val="20"/>
                <w:szCs w:val="20"/>
              </w:rPr>
              <w:t xml:space="preserve"> Meyer</w:t>
            </w:r>
          </w:p>
          <w:p w14:paraId="71F3F287" w14:textId="77777777" w:rsidR="000C1BC5" w:rsidRPr="008C2D2F" w:rsidRDefault="008A4894" w:rsidP="004F582C">
            <w:pPr>
              <w:rPr>
                <w:sz w:val="20"/>
                <w:szCs w:val="20"/>
              </w:rPr>
            </w:pPr>
            <w:r w:rsidRPr="008C2D2F">
              <w:rPr>
                <w:sz w:val="20"/>
                <w:szCs w:val="20"/>
              </w:rPr>
              <w:t>(</w:t>
            </w:r>
            <w:r w:rsidR="003E52EC" w:rsidRPr="008C2D2F">
              <w:rPr>
                <w:sz w:val="20"/>
                <w:szCs w:val="20"/>
              </w:rPr>
              <w:t>Black Ginseng</w:t>
            </w:r>
            <w:r w:rsidRPr="008C2D2F">
              <w:rPr>
                <w:sz w:val="20"/>
                <w:szCs w:val="20"/>
              </w:rPr>
              <w:t>)</w:t>
            </w:r>
          </w:p>
        </w:tc>
        <w:tc>
          <w:tcPr>
            <w:tcW w:w="866" w:type="dxa"/>
            <w:tcBorders>
              <w:top w:val="nil"/>
              <w:left w:val="nil"/>
              <w:bottom w:val="nil"/>
              <w:right w:val="nil"/>
            </w:tcBorders>
          </w:tcPr>
          <w:p w14:paraId="36AC1C54" w14:textId="77777777" w:rsidR="000C1BC5" w:rsidRPr="008C2D2F" w:rsidRDefault="000C1BC5" w:rsidP="004F582C">
            <w:pPr>
              <w:rPr>
                <w:sz w:val="20"/>
                <w:szCs w:val="20"/>
              </w:rPr>
            </w:pPr>
          </w:p>
          <w:p w14:paraId="03C7A2F4" w14:textId="77777777" w:rsidR="000C1BC5" w:rsidRPr="008C2D2F" w:rsidRDefault="008A4894" w:rsidP="004F582C">
            <w:pPr>
              <w:rPr>
                <w:sz w:val="20"/>
                <w:szCs w:val="20"/>
              </w:rPr>
            </w:pPr>
            <w:r w:rsidRPr="008C2D2F">
              <w:rPr>
                <w:sz w:val="20"/>
                <w:szCs w:val="20"/>
              </w:rPr>
              <w:t>Raiz</w:t>
            </w:r>
          </w:p>
        </w:tc>
        <w:tc>
          <w:tcPr>
            <w:tcW w:w="863" w:type="dxa"/>
            <w:tcBorders>
              <w:top w:val="nil"/>
              <w:left w:val="nil"/>
              <w:bottom w:val="nil"/>
              <w:right w:val="nil"/>
            </w:tcBorders>
          </w:tcPr>
          <w:p w14:paraId="1CC3155A" w14:textId="77777777" w:rsidR="000C1BC5" w:rsidRPr="008C2D2F" w:rsidRDefault="000C1BC5" w:rsidP="004F582C">
            <w:pPr>
              <w:rPr>
                <w:sz w:val="20"/>
                <w:szCs w:val="20"/>
              </w:rPr>
            </w:pPr>
          </w:p>
          <w:p w14:paraId="0316E5B5" w14:textId="77777777" w:rsidR="000C1BC5" w:rsidRPr="008C2D2F" w:rsidRDefault="008A4894" w:rsidP="004F582C">
            <w:pPr>
              <w:rPr>
                <w:sz w:val="20"/>
                <w:szCs w:val="20"/>
              </w:rPr>
            </w:pPr>
            <w:r w:rsidRPr="008C2D2F">
              <w:rPr>
                <w:sz w:val="20"/>
                <w:szCs w:val="20"/>
              </w:rPr>
              <w:t>Au and Ag</w:t>
            </w:r>
          </w:p>
        </w:tc>
        <w:tc>
          <w:tcPr>
            <w:tcW w:w="1439" w:type="dxa"/>
            <w:tcBorders>
              <w:top w:val="nil"/>
              <w:left w:val="nil"/>
              <w:bottom w:val="nil"/>
              <w:right w:val="nil"/>
            </w:tcBorders>
          </w:tcPr>
          <w:p w14:paraId="2076F339" w14:textId="77777777" w:rsidR="000C1BC5" w:rsidRPr="008C2D2F" w:rsidRDefault="000C1BC5" w:rsidP="004F582C">
            <w:pPr>
              <w:rPr>
                <w:sz w:val="20"/>
                <w:szCs w:val="20"/>
              </w:rPr>
            </w:pPr>
          </w:p>
          <w:p w14:paraId="0E5D9A78" w14:textId="77777777" w:rsidR="000C1BC5" w:rsidRPr="008C2D2F" w:rsidRDefault="008A4894" w:rsidP="004F582C">
            <w:pPr>
              <w:rPr>
                <w:sz w:val="20"/>
                <w:szCs w:val="20"/>
              </w:rPr>
            </w:pPr>
            <w:r w:rsidRPr="008C2D2F">
              <w:rPr>
                <w:sz w:val="20"/>
                <w:szCs w:val="20"/>
              </w:rPr>
              <w:t>Ag -60 min</w:t>
            </w:r>
          </w:p>
          <w:p w14:paraId="37FBA005" w14:textId="77777777" w:rsidR="000C1BC5" w:rsidRPr="008C2D2F" w:rsidRDefault="008A4894" w:rsidP="004F582C">
            <w:pPr>
              <w:rPr>
                <w:sz w:val="20"/>
                <w:szCs w:val="20"/>
              </w:rPr>
            </w:pPr>
            <w:r w:rsidRPr="008C2D2F">
              <w:rPr>
                <w:sz w:val="20"/>
                <w:szCs w:val="20"/>
              </w:rPr>
              <w:t>Au - 3 min</w:t>
            </w:r>
          </w:p>
        </w:tc>
        <w:tc>
          <w:tcPr>
            <w:tcW w:w="1726" w:type="dxa"/>
            <w:tcBorders>
              <w:top w:val="nil"/>
              <w:left w:val="nil"/>
              <w:bottom w:val="nil"/>
              <w:right w:val="nil"/>
            </w:tcBorders>
          </w:tcPr>
          <w:p w14:paraId="4B36C305" w14:textId="77777777" w:rsidR="000C1BC5" w:rsidRPr="008C2D2F" w:rsidRDefault="000C1BC5" w:rsidP="004F582C">
            <w:pPr>
              <w:rPr>
                <w:sz w:val="20"/>
                <w:szCs w:val="20"/>
              </w:rPr>
            </w:pPr>
          </w:p>
          <w:p w14:paraId="0EE4838A" w14:textId="77777777" w:rsidR="000C1BC5" w:rsidRPr="008C2D2F" w:rsidRDefault="008A4894" w:rsidP="004F582C">
            <w:pPr>
              <w:rPr>
                <w:sz w:val="20"/>
                <w:szCs w:val="20"/>
              </w:rPr>
            </w:pPr>
            <w:r w:rsidRPr="008C2D2F">
              <w:rPr>
                <w:sz w:val="20"/>
                <w:szCs w:val="20"/>
              </w:rPr>
              <w:t>90</w:t>
            </w:r>
          </w:p>
        </w:tc>
        <w:tc>
          <w:tcPr>
            <w:tcW w:w="1153" w:type="dxa"/>
            <w:tcBorders>
              <w:top w:val="nil"/>
              <w:left w:val="nil"/>
              <w:bottom w:val="nil"/>
              <w:right w:val="nil"/>
            </w:tcBorders>
          </w:tcPr>
          <w:p w14:paraId="6F970E1C" w14:textId="77777777" w:rsidR="000C1BC5" w:rsidRPr="008C2D2F" w:rsidRDefault="000C1BC5" w:rsidP="004F582C">
            <w:pPr>
              <w:rPr>
                <w:sz w:val="20"/>
                <w:szCs w:val="20"/>
              </w:rPr>
            </w:pPr>
          </w:p>
          <w:p w14:paraId="1105453B" w14:textId="77777777" w:rsidR="000C1BC5" w:rsidRPr="008C2D2F" w:rsidRDefault="008A4894" w:rsidP="004F582C">
            <w:pPr>
              <w:rPr>
                <w:sz w:val="20"/>
                <w:szCs w:val="20"/>
                <w:lang w:val="en-US"/>
              </w:rPr>
            </w:pPr>
            <w:r w:rsidRPr="008C2D2F">
              <w:rPr>
                <w:sz w:val="20"/>
                <w:szCs w:val="20"/>
                <w:lang w:val="en-US"/>
              </w:rPr>
              <w:t xml:space="preserve">1mM of (Ag or Au)/50mg/mL of the extract </w:t>
            </w:r>
          </w:p>
        </w:tc>
        <w:tc>
          <w:tcPr>
            <w:tcW w:w="1446" w:type="dxa"/>
            <w:tcBorders>
              <w:top w:val="nil"/>
              <w:left w:val="nil"/>
              <w:bottom w:val="nil"/>
              <w:right w:val="nil"/>
            </w:tcBorders>
          </w:tcPr>
          <w:p w14:paraId="123DA20E" w14:textId="77777777" w:rsidR="000C1BC5" w:rsidRPr="008C2D2F" w:rsidRDefault="000C1BC5" w:rsidP="004F582C">
            <w:pPr>
              <w:rPr>
                <w:sz w:val="20"/>
                <w:szCs w:val="20"/>
                <w:lang w:val="en-US"/>
              </w:rPr>
            </w:pPr>
          </w:p>
          <w:p w14:paraId="617EC0B6" w14:textId="77777777" w:rsidR="000C1BC5" w:rsidRPr="008C2D2F" w:rsidRDefault="008A4894" w:rsidP="004F582C">
            <w:pPr>
              <w:rPr>
                <w:sz w:val="20"/>
                <w:szCs w:val="20"/>
              </w:rPr>
            </w:pPr>
            <w:r w:rsidRPr="008C2D2F">
              <w:rPr>
                <w:sz w:val="20"/>
                <w:szCs w:val="20"/>
              </w:rPr>
              <w:t>AuNPs: 5-30</w:t>
            </w:r>
          </w:p>
          <w:p w14:paraId="56B3E6D9" w14:textId="77777777" w:rsidR="000C1BC5" w:rsidRPr="008C2D2F" w:rsidRDefault="008A4894" w:rsidP="004F582C">
            <w:pPr>
              <w:rPr>
                <w:sz w:val="20"/>
                <w:szCs w:val="20"/>
              </w:rPr>
            </w:pPr>
            <w:r w:rsidRPr="008C2D2F">
              <w:rPr>
                <w:sz w:val="20"/>
                <w:szCs w:val="20"/>
              </w:rPr>
              <w:t>AgNPs: 5-30</w:t>
            </w:r>
          </w:p>
        </w:tc>
        <w:tc>
          <w:tcPr>
            <w:tcW w:w="1871" w:type="dxa"/>
            <w:tcBorders>
              <w:top w:val="nil"/>
              <w:left w:val="nil"/>
              <w:bottom w:val="nil"/>
              <w:right w:val="nil"/>
            </w:tcBorders>
          </w:tcPr>
          <w:p w14:paraId="4EABFFC7" w14:textId="77777777" w:rsidR="000C1BC5" w:rsidRPr="008C2D2F" w:rsidRDefault="000C1BC5" w:rsidP="004F582C">
            <w:pPr>
              <w:rPr>
                <w:sz w:val="20"/>
                <w:szCs w:val="20"/>
              </w:rPr>
            </w:pPr>
          </w:p>
          <w:p w14:paraId="3780532E" w14:textId="77777777" w:rsidR="000C1BC5" w:rsidRPr="008C2D2F" w:rsidRDefault="008A4894" w:rsidP="004F582C">
            <w:pPr>
              <w:rPr>
                <w:sz w:val="20"/>
                <w:szCs w:val="20"/>
              </w:rPr>
            </w:pPr>
            <w:r w:rsidRPr="008C2D2F">
              <w:rPr>
                <w:sz w:val="20"/>
                <w:szCs w:val="20"/>
              </w:rPr>
              <w:t>AuNPs -</w:t>
            </w:r>
            <w:r w:rsidR="00CB5884" w:rsidRPr="008C2D2F">
              <w:rPr>
                <w:sz w:val="20"/>
                <w:szCs w:val="20"/>
              </w:rPr>
              <w:t xml:space="preserve"> Icosahedral</w:t>
            </w:r>
          </w:p>
          <w:p w14:paraId="5103D60A" w14:textId="77777777" w:rsidR="000C1BC5" w:rsidRPr="008C2D2F" w:rsidRDefault="008A4894" w:rsidP="004F582C">
            <w:pPr>
              <w:rPr>
                <w:sz w:val="20"/>
                <w:szCs w:val="20"/>
              </w:rPr>
            </w:pPr>
            <w:r w:rsidRPr="008C2D2F">
              <w:rPr>
                <w:sz w:val="20"/>
                <w:szCs w:val="20"/>
              </w:rPr>
              <w:t xml:space="preserve">AgNPs - </w:t>
            </w:r>
            <w:r w:rsidR="00CB5884" w:rsidRPr="008C2D2F">
              <w:rPr>
                <w:sz w:val="20"/>
                <w:szCs w:val="20"/>
              </w:rPr>
              <w:t>Spherical</w:t>
            </w:r>
          </w:p>
        </w:tc>
        <w:tc>
          <w:tcPr>
            <w:tcW w:w="2016" w:type="dxa"/>
            <w:tcBorders>
              <w:top w:val="nil"/>
              <w:left w:val="nil"/>
              <w:bottom w:val="nil"/>
              <w:right w:val="nil"/>
            </w:tcBorders>
          </w:tcPr>
          <w:p w14:paraId="1B371EAB" w14:textId="77777777" w:rsidR="000C1BC5" w:rsidRPr="008C2D2F" w:rsidRDefault="000C1BC5" w:rsidP="004F582C">
            <w:pPr>
              <w:rPr>
                <w:i/>
                <w:sz w:val="20"/>
                <w:szCs w:val="20"/>
              </w:rPr>
            </w:pPr>
          </w:p>
          <w:p w14:paraId="2CA04237" w14:textId="77777777" w:rsidR="000C1BC5" w:rsidRPr="008C2D2F" w:rsidRDefault="008A4894" w:rsidP="004F582C">
            <w:pPr>
              <w:rPr>
                <w:i/>
                <w:sz w:val="20"/>
                <w:szCs w:val="20"/>
              </w:rPr>
            </w:pPr>
            <w:r w:rsidRPr="008C2D2F">
              <w:rPr>
                <w:i/>
                <w:sz w:val="20"/>
                <w:szCs w:val="20"/>
              </w:rPr>
              <w:t>E. coli e S. aureus</w:t>
            </w:r>
          </w:p>
        </w:tc>
        <w:tc>
          <w:tcPr>
            <w:tcW w:w="2411" w:type="dxa"/>
            <w:tcBorders>
              <w:top w:val="nil"/>
              <w:left w:val="nil"/>
              <w:bottom w:val="nil"/>
              <w:right w:val="nil"/>
            </w:tcBorders>
          </w:tcPr>
          <w:p w14:paraId="1B190562" w14:textId="77777777" w:rsidR="000C1BC5" w:rsidRPr="008C2D2F" w:rsidRDefault="000C1BC5" w:rsidP="004F582C">
            <w:pPr>
              <w:rPr>
                <w:sz w:val="20"/>
                <w:szCs w:val="20"/>
              </w:rPr>
            </w:pPr>
          </w:p>
          <w:p w14:paraId="29F04C6E" w14:textId="77777777" w:rsidR="000C1BC5" w:rsidRPr="008C2D2F" w:rsidRDefault="008A4894" w:rsidP="004F582C">
            <w:pPr>
              <w:rPr>
                <w:sz w:val="20"/>
                <w:szCs w:val="20"/>
              </w:rPr>
            </w:pPr>
            <w:r w:rsidRPr="008C2D2F">
              <w:rPr>
                <w:sz w:val="20"/>
                <w:szCs w:val="20"/>
              </w:rPr>
              <w:t>Wang et al. (2016)</w:t>
            </w:r>
          </w:p>
        </w:tc>
      </w:tr>
      <w:tr w:rsidR="006474C7" w:rsidRPr="008C2D2F" w14:paraId="04AD3615" w14:textId="77777777" w:rsidTr="001A5E78">
        <w:tc>
          <w:tcPr>
            <w:tcW w:w="1297" w:type="dxa"/>
            <w:tcBorders>
              <w:top w:val="nil"/>
              <w:left w:val="nil"/>
              <w:bottom w:val="nil"/>
              <w:right w:val="nil"/>
            </w:tcBorders>
          </w:tcPr>
          <w:p w14:paraId="5830A30B" w14:textId="77777777" w:rsidR="000C1BC5" w:rsidRPr="008C2D2F" w:rsidRDefault="000C1BC5" w:rsidP="004F582C">
            <w:pPr>
              <w:rPr>
                <w:i/>
                <w:sz w:val="20"/>
                <w:szCs w:val="20"/>
              </w:rPr>
            </w:pPr>
          </w:p>
          <w:p w14:paraId="5CEBB1E4" w14:textId="77777777" w:rsidR="000C1BC5" w:rsidRPr="008C2D2F" w:rsidRDefault="008A4894" w:rsidP="004F582C">
            <w:pPr>
              <w:rPr>
                <w:sz w:val="20"/>
                <w:szCs w:val="20"/>
              </w:rPr>
            </w:pPr>
            <w:r w:rsidRPr="008C2D2F">
              <w:rPr>
                <w:i/>
                <w:sz w:val="20"/>
                <w:szCs w:val="20"/>
              </w:rPr>
              <w:t>Panax ginseng</w:t>
            </w:r>
          </w:p>
        </w:tc>
        <w:tc>
          <w:tcPr>
            <w:tcW w:w="866" w:type="dxa"/>
            <w:tcBorders>
              <w:top w:val="nil"/>
              <w:left w:val="nil"/>
              <w:bottom w:val="nil"/>
              <w:right w:val="nil"/>
            </w:tcBorders>
          </w:tcPr>
          <w:p w14:paraId="591460F4" w14:textId="77777777" w:rsidR="000C1BC5" w:rsidRPr="008C2D2F" w:rsidRDefault="000C1BC5" w:rsidP="004F582C">
            <w:pPr>
              <w:rPr>
                <w:sz w:val="20"/>
                <w:szCs w:val="20"/>
              </w:rPr>
            </w:pPr>
          </w:p>
          <w:p w14:paraId="7DD84468" w14:textId="77777777" w:rsidR="000C1BC5" w:rsidRPr="008C2D2F" w:rsidRDefault="008A4894" w:rsidP="004F582C">
            <w:pPr>
              <w:rPr>
                <w:sz w:val="20"/>
                <w:szCs w:val="20"/>
              </w:rPr>
            </w:pPr>
            <w:r w:rsidRPr="008C2D2F">
              <w:rPr>
                <w:sz w:val="20"/>
                <w:szCs w:val="20"/>
              </w:rPr>
              <w:t>Leaf</w:t>
            </w:r>
          </w:p>
        </w:tc>
        <w:tc>
          <w:tcPr>
            <w:tcW w:w="863" w:type="dxa"/>
            <w:tcBorders>
              <w:top w:val="nil"/>
              <w:left w:val="nil"/>
              <w:bottom w:val="nil"/>
              <w:right w:val="nil"/>
            </w:tcBorders>
          </w:tcPr>
          <w:p w14:paraId="6CC54CD4" w14:textId="77777777" w:rsidR="000C1BC5" w:rsidRPr="008C2D2F" w:rsidRDefault="000C1BC5" w:rsidP="004F582C">
            <w:pPr>
              <w:rPr>
                <w:sz w:val="20"/>
                <w:szCs w:val="20"/>
              </w:rPr>
            </w:pPr>
          </w:p>
          <w:p w14:paraId="68215561" w14:textId="77777777" w:rsidR="000C1BC5" w:rsidRPr="008C2D2F" w:rsidRDefault="008A4894" w:rsidP="004F582C">
            <w:pPr>
              <w:rPr>
                <w:sz w:val="20"/>
                <w:szCs w:val="20"/>
              </w:rPr>
            </w:pPr>
            <w:r w:rsidRPr="008C2D2F">
              <w:rPr>
                <w:sz w:val="20"/>
                <w:szCs w:val="20"/>
              </w:rPr>
              <w:t>Ag</w:t>
            </w:r>
          </w:p>
        </w:tc>
        <w:tc>
          <w:tcPr>
            <w:tcW w:w="1439" w:type="dxa"/>
            <w:tcBorders>
              <w:top w:val="nil"/>
              <w:left w:val="nil"/>
              <w:bottom w:val="nil"/>
              <w:right w:val="nil"/>
            </w:tcBorders>
          </w:tcPr>
          <w:p w14:paraId="61D54786" w14:textId="77777777" w:rsidR="000C1BC5" w:rsidRPr="008C2D2F" w:rsidRDefault="000C1BC5" w:rsidP="004F582C">
            <w:pPr>
              <w:rPr>
                <w:sz w:val="20"/>
                <w:szCs w:val="20"/>
              </w:rPr>
            </w:pPr>
          </w:p>
          <w:p w14:paraId="4E25BEFD" w14:textId="77777777" w:rsidR="000C1BC5" w:rsidRPr="008C2D2F" w:rsidRDefault="008A4894" w:rsidP="004F582C">
            <w:pPr>
              <w:rPr>
                <w:sz w:val="20"/>
                <w:szCs w:val="20"/>
              </w:rPr>
            </w:pPr>
            <w:r w:rsidRPr="008C2D2F">
              <w:rPr>
                <w:sz w:val="20"/>
                <w:szCs w:val="20"/>
              </w:rPr>
              <w:t>-</w:t>
            </w:r>
          </w:p>
        </w:tc>
        <w:tc>
          <w:tcPr>
            <w:tcW w:w="1726" w:type="dxa"/>
            <w:tcBorders>
              <w:top w:val="nil"/>
              <w:left w:val="nil"/>
              <w:bottom w:val="nil"/>
              <w:right w:val="nil"/>
            </w:tcBorders>
          </w:tcPr>
          <w:p w14:paraId="191CCB8D" w14:textId="77777777" w:rsidR="000C1BC5" w:rsidRPr="008C2D2F" w:rsidRDefault="000C1BC5" w:rsidP="004F582C">
            <w:pPr>
              <w:rPr>
                <w:sz w:val="20"/>
                <w:szCs w:val="20"/>
              </w:rPr>
            </w:pPr>
          </w:p>
          <w:p w14:paraId="00B99952"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6B3BA1FF" w14:textId="77777777" w:rsidR="000C1BC5" w:rsidRPr="008C2D2F" w:rsidRDefault="000C1BC5" w:rsidP="004F582C">
            <w:pPr>
              <w:rPr>
                <w:sz w:val="20"/>
                <w:szCs w:val="20"/>
              </w:rPr>
            </w:pPr>
          </w:p>
          <w:p w14:paraId="69C2B137" w14:textId="77777777" w:rsidR="000C1BC5" w:rsidRPr="008C2D2F" w:rsidRDefault="008A4894" w:rsidP="004F582C">
            <w:pPr>
              <w:rPr>
                <w:sz w:val="20"/>
                <w:szCs w:val="20"/>
              </w:rPr>
            </w:pPr>
            <w:r w:rsidRPr="008C2D2F">
              <w:rPr>
                <w:sz w:val="20"/>
                <w:szCs w:val="20"/>
              </w:rPr>
              <w:t>5 mM (Ag)/0.1</w:t>
            </w:r>
            <w:r w:rsidR="003E52EC" w:rsidRPr="008C2D2F">
              <w:rPr>
                <w:sz w:val="20"/>
                <w:szCs w:val="20"/>
              </w:rPr>
              <w:t xml:space="preserve">5 </w:t>
            </w:r>
            <w:r w:rsidR="003E52EC" w:rsidRPr="008C2D2F">
              <w:rPr>
                <w:sz w:val="20"/>
                <w:szCs w:val="20"/>
              </w:rPr>
              <w:lastRenderedPageBreak/>
              <w:t>g/mL of extract</w:t>
            </w:r>
          </w:p>
        </w:tc>
        <w:tc>
          <w:tcPr>
            <w:tcW w:w="1446" w:type="dxa"/>
            <w:tcBorders>
              <w:top w:val="nil"/>
              <w:left w:val="nil"/>
              <w:bottom w:val="nil"/>
              <w:right w:val="nil"/>
            </w:tcBorders>
          </w:tcPr>
          <w:p w14:paraId="6D1580D7" w14:textId="77777777" w:rsidR="000C1BC5" w:rsidRPr="008C2D2F" w:rsidRDefault="008A4894" w:rsidP="004F582C">
            <w:pPr>
              <w:rPr>
                <w:sz w:val="20"/>
                <w:szCs w:val="20"/>
              </w:rPr>
            </w:pPr>
            <w:r w:rsidRPr="008C2D2F">
              <w:rPr>
                <w:sz w:val="20"/>
                <w:szCs w:val="20"/>
              </w:rPr>
              <w:lastRenderedPageBreak/>
              <w:t>-</w:t>
            </w:r>
          </w:p>
        </w:tc>
        <w:tc>
          <w:tcPr>
            <w:tcW w:w="1871" w:type="dxa"/>
            <w:tcBorders>
              <w:top w:val="nil"/>
              <w:left w:val="nil"/>
              <w:bottom w:val="nil"/>
              <w:right w:val="nil"/>
            </w:tcBorders>
          </w:tcPr>
          <w:p w14:paraId="6CFCAD97" w14:textId="77777777" w:rsidR="000C1BC5" w:rsidRPr="008C2D2F" w:rsidRDefault="008A4894" w:rsidP="004F582C">
            <w:pPr>
              <w:rPr>
                <w:sz w:val="20"/>
                <w:szCs w:val="20"/>
              </w:rPr>
            </w:pPr>
            <w:r w:rsidRPr="008C2D2F">
              <w:rPr>
                <w:sz w:val="20"/>
                <w:szCs w:val="20"/>
              </w:rPr>
              <w:t>-</w:t>
            </w:r>
          </w:p>
        </w:tc>
        <w:tc>
          <w:tcPr>
            <w:tcW w:w="2016" w:type="dxa"/>
            <w:tcBorders>
              <w:top w:val="nil"/>
              <w:left w:val="nil"/>
              <w:bottom w:val="nil"/>
              <w:right w:val="nil"/>
            </w:tcBorders>
          </w:tcPr>
          <w:p w14:paraId="349C72DE" w14:textId="77777777" w:rsidR="000C1BC5" w:rsidRPr="008C2D2F" w:rsidRDefault="000C1BC5" w:rsidP="004F582C">
            <w:pPr>
              <w:rPr>
                <w:sz w:val="20"/>
                <w:szCs w:val="20"/>
              </w:rPr>
            </w:pPr>
          </w:p>
          <w:p w14:paraId="70EF6F9C" w14:textId="77777777" w:rsidR="003E52EC" w:rsidRPr="008C2D2F" w:rsidRDefault="008A4894" w:rsidP="003E52EC">
            <w:pPr>
              <w:rPr>
                <w:sz w:val="20"/>
                <w:szCs w:val="20"/>
              </w:rPr>
            </w:pPr>
            <w:r w:rsidRPr="008C2D2F">
              <w:rPr>
                <w:sz w:val="20"/>
                <w:szCs w:val="20"/>
              </w:rPr>
              <w:t>A549 lung cancer cell</w:t>
            </w:r>
          </w:p>
          <w:p w14:paraId="2C99A005" w14:textId="77777777" w:rsidR="003E52EC" w:rsidRPr="008C2D2F" w:rsidRDefault="008A4894" w:rsidP="003E52EC">
            <w:pPr>
              <w:rPr>
                <w:sz w:val="20"/>
                <w:szCs w:val="20"/>
              </w:rPr>
            </w:pPr>
            <w:r w:rsidRPr="008C2D2F">
              <w:rPr>
                <w:sz w:val="20"/>
                <w:szCs w:val="20"/>
              </w:rPr>
              <w:t>MCF7 breast cancer cell</w:t>
            </w:r>
          </w:p>
          <w:p w14:paraId="1C9CAC78" w14:textId="77777777" w:rsidR="000C1BC5" w:rsidRPr="008C2D2F" w:rsidRDefault="008A4894" w:rsidP="003E52EC">
            <w:pPr>
              <w:rPr>
                <w:sz w:val="20"/>
                <w:szCs w:val="20"/>
              </w:rPr>
            </w:pPr>
            <w:r w:rsidRPr="008C2D2F">
              <w:rPr>
                <w:sz w:val="20"/>
                <w:szCs w:val="20"/>
              </w:rPr>
              <w:lastRenderedPageBreak/>
              <w:t xml:space="preserve">HepG2 hepatocellular carcinoma cell </w:t>
            </w:r>
          </w:p>
          <w:p w14:paraId="41914A77" w14:textId="77777777" w:rsidR="000C1BC5" w:rsidRPr="008C2D2F" w:rsidRDefault="000C1BC5" w:rsidP="004F582C">
            <w:pPr>
              <w:rPr>
                <w:sz w:val="20"/>
                <w:szCs w:val="20"/>
              </w:rPr>
            </w:pPr>
          </w:p>
          <w:p w14:paraId="7DE28D05" w14:textId="77777777" w:rsidR="000C1BC5" w:rsidRPr="008C2D2F" w:rsidRDefault="000C1BC5" w:rsidP="004F582C">
            <w:pPr>
              <w:rPr>
                <w:sz w:val="20"/>
                <w:szCs w:val="20"/>
              </w:rPr>
            </w:pPr>
          </w:p>
        </w:tc>
        <w:tc>
          <w:tcPr>
            <w:tcW w:w="2411" w:type="dxa"/>
            <w:tcBorders>
              <w:top w:val="nil"/>
              <w:left w:val="nil"/>
              <w:bottom w:val="nil"/>
              <w:right w:val="nil"/>
            </w:tcBorders>
          </w:tcPr>
          <w:p w14:paraId="7748F831" w14:textId="77777777" w:rsidR="000C1BC5" w:rsidRPr="008C2D2F" w:rsidRDefault="000C1BC5" w:rsidP="004F582C">
            <w:pPr>
              <w:rPr>
                <w:sz w:val="20"/>
                <w:szCs w:val="20"/>
              </w:rPr>
            </w:pPr>
          </w:p>
          <w:p w14:paraId="456667E9" w14:textId="77777777" w:rsidR="000C1BC5" w:rsidRPr="008C2D2F" w:rsidRDefault="008A4894" w:rsidP="004F582C">
            <w:pPr>
              <w:rPr>
                <w:sz w:val="20"/>
                <w:szCs w:val="20"/>
              </w:rPr>
            </w:pPr>
            <w:r w:rsidRPr="008C2D2F">
              <w:rPr>
                <w:sz w:val="20"/>
                <w:szCs w:val="20"/>
              </w:rPr>
              <w:t>Castro-Aceituno, Verónica et al. (2016)</w:t>
            </w:r>
          </w:p>
        </w:tc>
      </w:tr>
      <w:tr w:rsidR="006474C7" w:rsidRPr="008C2D2F" w14:paraId="18F67D52" w14:textId="77777777" w:rsidTr="001A5E78">
        <w:tc>
          <w:tcPr>
            <w:tcW w:w="1297" w:type="dxa"/>
            <w:tcBorders>
              <w:top w:val="nil"/>
              <w:left w:val="nil"/>
              <w:bottom w:val="nil"/>
              <w:right w:val="nil"/>
            </w:tcBorders>
          </w:tcPr>
          <w:p w14:paraId="04006E58" w14:textId="77777777" w:rsidR="000C1BC5" w:rsidRPr="008C2D2F" w:rsidRDefault="008A4894" w:rsidP="004F582C">
            <w:pPr>
              <w:rPr>
                <w:sz w:val="20"/>
                <w:szCs w:val="20"/>
              </w:rPr>
            </w:pPr>
            <w:r w:rsidRPr="008C2D2F">
              <w:rPr>
                <w:i/>
                <w:sz w:val="20"/>
                <w:szCs w:val="20"/>
              </w:rPr>
              <w:t>Panax ginseng</w:t>
            </w:r>
          </w:p>
        </w:tc>
        <w:tc>
          <w:tcPr>
            <w:tcW w:w="866" w:type="dxa"/>
            <w:tcBorders>
              <w:top w:val="nil"/>
              <w:left w:val="nil"/>
              <w:bottom w:val="nil"/>
              <w:right w:val="nil"/>
            </w:tcBorders>
          </w:tcPr>
          <w:p w14:paraId="1F95C79D" w14:textId="77777777" w:rsidR="000C1BC5" w:rsidRPr="008C2D2F" w:rsidRDefault="008A4894" w:rsidP="004F582C">
            <w:pPr>
              <w:rPr>
                <w:sz w:val="20"/>
                <w:szCs w:val="20"/>
              </w:rPr>
            </w:pPr>
            <w:r w:rsidRPr="008C2D2F">
              <w:rPr>
                <w:sz w:val="20"/>
                <w:szCs w:val="20"/>
              </w:rPr>
              <w:t>Leaf</w:t>
            </w:r>
          </w:p>
        </w:tc>
        <w:tc>
          <w:tcPr>
            <w:tcW w:w="863" w:type="dxa"/>
            <w:tcBorders>
              <w:top w:val="nil"/>
              <w:left w:val="nil"/>
              <w:bottom w:val="nil"/>
              <w:right w:val="nil"/>
            </w:tcBorders>
          </w:tcPr>
          <w:p w14:paraId="50179ADD" w14:textId="77777777" w:rsidR="000C1BC5" w:rsidRPr="008C2D2F" w:rsidRDefault="008A4894" w:rsidP="004F582C">
            <w:pPr>
              <w:rPr>
                <w:sz w:val="20"/>
                <w:szCs w:val="20"/>
              </w:rPr>
            </w:pPr>
            <w:r w:rsidRPr="008C2D2F">
              <w:rPr>
                <w:sz w:val="20"/>
                <w:szCs w:val="20"/>
              </w:rPr>
              <w:t>Au</w:t>
            </w:r>
          </w:p>
        </w:tc>
        <w:tc>
          <w:tcPr>
            <w:tcW w:w="1439" w:type="dxa"/>
            <w:tcBorders>
              <w:top w:val="nil"/>
              <w:left w:val="nil"/>
              <w:bottom w:val="nil"/>
              <w:right w:val="nil"/>
            </w:tcBorders>
          </w:tcPr>
          <w:p w14:paraId="349CFF68" w14:textId="77777777" w:rsidR="000C1BC5" w:rsidRPr="008C2D2F" w:rsidRDefault="008A4894" w:rsidP="004F582C">
            <w:pPr>
              <w:rPr>
                <w:sz w:val="20"/>
                <w:szCs w:val="20"/>
              </w:rPr>
            </w:pPr>
            <w:r w:rsidRPr="008C2D2F">
              <w:rPr>
                <w:sz w:val="20"/>
                <w:szCs w:val="20"/>
              </w:rPr>
              <w:t>3 min</w:t>
            </w:r>
          </w:p>
        </w:tc>
        <w:tc>
          <w:tcPr>
            <w:tcW w:w="1726" w:type="dxa"/>
            <w:tcBorders>
              <w:top w:val="nil"/>
              <w:left w:val="nil"/>
              <w:bottom w:val="nil"/>
              <w:right w:val="nil"/>
            </w:tcBorders>
          </w:tcPr>
          <w:p w14:paraId="05FEFA92"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21DF78F3" w14:textId="77777777" w:rsidR="000C1BC5" w:rsidRPr="008C2D2F" w:rsidRDefault="008A4894" w:rsidP="004F582C">
            <w:pPr>
              <w:rPr>
                <w:sz w:val="20"/>
                <w:szCs w:val="20"/>
              </w:rPr>
            </w:pPr>
            <w:r w:rsidRPr="008C2D2F">
              <w:rPr>
                <w:sz w:val="20"/>
                <w:szCs w:val="20"/>
              </w:rPr>
              <w:t>1mM (Au)/150mg/mL of extract</w:t>
            </w:r>
          </w:p>
        </w:tc>
        <w:tc>
          <w:tcPr>
            <w:tcW w:w="1446" w:type="dxa"/>
            <w:tcBorders>
              <w:top w:val="nil"/>
              <w:left w:val="nil"/>
              <w:bottom w:val="nil"/>
              <w:right w:val="nil"/>
            </w:tcBorders>
          </w:tcPr>
          <w:p w14:paraId="152FC7D0" w14:textId="77777777" w:rsidR="000C1BC5" w:rsidRPr="008C2D2F" w:rsidRDefault="008A4894" w:rsidP="004F582C">
            <w:pPr>
              <w:rPr>
                <w:sz w:val="20"/>
                <w:szCs w:val="20"/>
              </w:rPr>
            </w:pPr>
            <w:r w:rsidRPr="008C2D2F">
              <w:rPr>
                <w:sz w:val="20"/>
                <w:szCs w:val="20"/>
              </w:rPr>
              <w:t>10-20 nm</w:t>
            </w:r>
          </w:p>
        </w:tc>
        <w:tc>
          <w:tcPr>
            <w:tcW w:w="1871" w:type="dxa"/>
            <w:tcBorders>
              <w:top w:val="nil"/>
              <w:left w:val="nil"/>
              <w:bottom w:val="nil"/>
              <w:right w:val="nil"/>
            </w:tcBorders>
          </w:tcPr>
          <w:p w14:paraId="65113F9E" w14:textId="77777777" w:rsidR="000C1BC5" w:rsidRPr="008C2D2F" w:rsidRDefault="000C1BC5" w:rsidP="004F582C">
            <w:pPr>
              <w:rPr>
                <w:sz w:val="20"/>
                <w:szCs w:val="20"/>
              </w:rPr>
            </w:pPr>
          </w:p>
        </w:tc>
        <w:tc>
          <w:tcPr>
            <w:tcW w:w="2016" w:type="dxa"/>
            <w:tcBorders>
              <w:top w:val="nil"/>
              <w:left w:val="nil"/>
              <w:bottom w:val="nil"/>
              <w:right w:val="nil"/>
            </w:tcBorders>
          </w:tcPr>
          <w:p w14:paraId="61C26E0F" w14:textId="77777777" w:rsidR="000C1BC5" w:rsidRPr="008C2D2F" w:rsidRDefault="008A4894" w:rsidP="004F582C">
            <w:pPr>
              <w:rPr>
                <w:sz w:val="20"/>
                <w:szCs w:val="20"/>
              </w:rPr>
            </w:pPr>
            <w:r w:rsidRPr="008C2D2F">
              <w:rPr>
                <w:sz w:val="20"/>
                <w:szCs w:val="20"/>
              </w:rPr>
              <w:t>Human dermal fibroblast and murine B16BL6 melanoma cell lines</w:t>
            </w:r>
          </w:p>
          <w:p w14:paraId="7B05113C" w14:textId="77777777" w:rsidR="003E52EC" w:rsidRPr="008C2D2F" w:rsidRDefault="003E52EC" w:rsidP="004F582C">
            <w:pPr>
              <w:rPr>
                <w:sz w:val="20"/>
                <w:szCs w:val="20"/>
              </w:rPr>
            </w:pPr>
          </w:p>
        </w:tc>
        <w:tc>
          <w:tcPr>
            <w:tcW w:w="2411" w:type="dxa"/>
            <w:tcBorders>
              <w:top w:val="nil"/>
              <w:left w:val="nil"/>
              <w:bottom w:val="nil"/>
              <w:right w:val="nil"/>
            </w:tcBorders>
          </w:tcPr>
          <w:p w14:paraId="0C731832" w14:textId="77777777" w:rsidR="000C1BC5" w:rsidRPr="008C2D2F" w:rsidRDefault="000C1BC5" w:rsidP="004F582C">
            <w:pPr>
              <w:rPr>
                <w:sz w:val="20"/>
                <w:szCs w:val="20"/>
              </w:rPr>
            </w:pPr>
          </w:p>
          <w:p w14:paraId="3673F122" w14:textId="77777777" w:rsidR="000C1BC5" w:rsidRPr="008C2D2F" w:rsidRDefault="008A4894" w:rsidP="004F582C">
            <w:pPr>
              <w:rPr>
                <w:sz w:val="20"/>
                <w:szCs w:val="20"/>
              </w:rPr>
            </w:pPr>
            <w:r w:rsidRPr="008C2D2F">
              <w:rPr>
                <w:sz w:val="20"/>
                <w:szCs w:val="20"/>
              </w:rPr>
              <w:t>Jiménez-Pérez, Zuly Elizabeth et al. (2018)</w:t>
            </w:r>
          </w:p>
        </w:tc>
      </w:tr>
      <w:tr w:rsidR="006474C7" w:rsidRPr="008C2D2F" w14:paraId="4C3B2254" w14:textId="77777777" w:rsidTr="001A5E78">
        <w:tc>
          <w:tcPr>
            <w:tcW w:w="1297" w:type="dxa"/>
            <w:tcBorders>
              <w:top w:val="nil"/>
              <w:left w:val="nil"/>
              <w:bottom w:val="nil"/>
              <w:right w:val="nil"/>
            </w:tcBorders>
          </w:tcPr>
          <w:p w14:paraId="43326FB5" w14:textId="77777777" w:rsidR="000C1BC5" w:rsidRPr="008C2D2F" w:rsidRDefault="008A4894" w:rsidP="004F582C">
            <w:pPr>
              <w:rPr>
                <w:sz w:val="20"/>
                <w:szCs w:val="20"/>
              </w:rPr>
            </w:pPr>
            <w:r w:rsidRPr="008C2D2F">
              <w:rPr>
                <w:sz w:val="20"/>
                <w:szCs w:val="20"/>
              </w:rPr>
              <w:t xml:space="preserve">Red Ginseng </w:t>
            </w:r>
          </w:p>
        </w:tc>
        <w:tc>
          <w:tcPr>
            <w:tcW w:w="866" w:type="dxa"/>
            <w:tcBorders>
              <w:top w:val="nil"/>
              <w:left w:val="nil"/>
              <w:bottom w:val="nil"/>
              <w:right w:val="nil"/>
            </w:tcBorders>
          </w:tcPr>
          <w:p w14:paraId="00F44016" w14:textId="77777777" w:rsidR="000C1BC5" w:rsidRPr="008C2D2F" w:rsidRDefault="008A4894" w:rsidP="004F582C">
            <w:pPr>
              <w:rPr>
                <w:sz w:val="20"/>
                <w:szCs w:val="20"/>
              </w:rPr>
            </w:pPr>
            <w:r w:rsidRPr="008C2D2F">
              <w:rPr>
                <w:sz w:val="20"/>
                <w:szCs w:val="20"/>
              </w:rPr>
              <w:t>Root</w:t>
            </w:r>
          </w:p>
        </w:tc>
        <w:tc>
          <w:tcPr>
            <w:tcW w:w="863" w:type="dxa"/>
            <w:tcBorders>
              <w:top w:val="nil"/>
              <w:left w:val="nil"/>
              <w:bottom w:val="nil"/>
              <w:right w:val="nil"/>
            </w:tcBorders>
          </w:tcPr>
          <w:p w14:paraId="354B2A7D" w14:textId="77777777" w:rsidR="000C1BC5" w:rsidRPr="008C2D2F" w:rsidRDefault="008A4894" w:rsidP="004F582C">
            <w:pPr>
              <w:rPr>
                <w:sz w:val="20"/>
                <w:szCs w:val="20"/>
              </w:rPr>
            </w:pPr>
            <w:r w:rsidRPr="008C2D2F">
              <w:rPr>
                <w:sz w:val="20"/>
                <w:szCs w:val="20"/>
              </w:rPr>
              <w:t>Ag and Au</w:t>
            </w:r>
          </w:p>
        </w:tc>
        <w:tc>
          <w:tcPr>
            <w:tcW w:w="1439" w:type="dxa"/>
            <w:tcBorders>
              <w:top w:val="nil"/>
              <w:left w:val="nil"/>
              <w:bottom w:val="nil"/>
              <w:right w:val="nil"/>
            </w:tcBorders>
          </w:tcPr>
          <w:p w14:paraId="1FA9D47B" w14:textId="77777777" w:rsidR="000C1BC5" w:rsidRPr="008C2D2F" w:rsidRDefault="008A4894" w:rsidP="004F582C">
            <w:pPr>
              <w:rPr>
                <w:sz w:val="20"/>
                <w:szCs w:val="20"/>
              </w:rPr>
            </w:pPr>
            <w:r w:rsidRPr="008C2D2F">
              <w:rPr>
                <w:sz w:val="20"/>
                <w:szCs w:val="20"/>
              </w:rPr>
              <w:t xml:space="preserve"> – </w:t>
            </w:r>
          </w:p>
          <w:p w14:paraId="51493435" w14:textId="77777777" w:rsidR="000C1BC5" w:rsidRPr="008C2D2F" w:rsidRDefault="000C1BC5" w:rsidP="004F582C">
            <w:pPr>
              <w:rPr>
                <w:sz w:val="20"/>
                <w:szCs w:val="20"/>
              </w:rPr>
            </w:pPr>
          </w:p>
        </w:tc>
        <w:tc>
          <w:tcPr>
            <w:tcW w:w="1726" w:type="dxa"/>
            <w:tcBorders>
              <w:top w:val="nil"/>
              <w:left w:val="nil"/>
              <w:bottom w:val="nil"/>
              <w:right w:val="nil"/>
            </w:tcBorders>
          </w:tcPr>
          <w:p w14:paraId="0064BC52" w14:textId="77777777" w:rsidR="000C1BC5" w:rsidRPr="008C2D2F" w:rsidRDefault="008A4894" w:rsidP="004F582C">
            <w:pPr>
              <w:rPr>
                <w:sz w:val="20"/>
                <w:szCs w:val="20"/>
              </w:rPr>
            </w:pPr>
            <w:r w:rsidRPr="008C2D2F">
              <w:rPr>
                <w:sz w:val="20"/>
                <w:szCs w:val="20"/>
              </w:rPr>
              <w:t>80</w:t>
            </w:r>
          </w:p>
        </w:tc>
        <w:tc>
          <w:tcPr>
            <w:tcW w:w="1153" w:type="dxa"/>
            <w:tcBorders>
              <w:top w:val="nil"/>
              <w:left w:val="nil"/>
              <w:bottom w:val="nil"/>
              <w:right w:val="nil"/>
            </w:tcBorders>
          </w:tcPr>
          <w:p w14:paraId="33995687" w14:textId="77777777" w:rsidR="000C1BC5" w:rsidRPr="008C2D2F" w:rsidRDefault="008A4894" w:rsidP="004F582C">
            <w:pPr>
              <w:rPr>
                <w:sz w:val="20"/>
                <w:szCs w:val="20"/>
              </w:rPr>
            </w:pPr>
            <w:r w:rsidRPr="008C2D2F">
              <w:rPr>
                <w:sz w:val="20"/>
                <w:szCs w:val="20"/>
              </w:rPr>
              <w:t>1mM of (Ag or Au) / 100mg/mL extract</w:t>
            </w:r>
          </w:p>
        </w:tc>
        <w:tc>
          <w:tcPr>
            <w:tcW w:w="1446" w:type="dxa"/>
            <w:tcBorders>
              <w:top w:val="nil"/>
              <w:left w:val="nil"/>
              <w:bottom w:val="nil"/>
              <w:right w:val="nil"/>
            </w:tcBorders>
          </w:tcPr>
          <w:p w14:paraId="1C99507D" w14:textId="77777777" w:rsidR="000C1BC5" w:rsidRPr="008C2D2F" w:rsidRDefault="008A4894" w:rsidP="004F582C">
            <w:pPr>
              <w:rPr>
                <w:sz w:val="20"/>
                <w:szCs w:val="20"/>
              </w:rPr>
            </w:pPr>
            <w:r w:rsidRPr="008C2D2F">
              <w:rPr>
                <w:sz w:val="20"/>
                <w:szCs w:val="20"/>
              </w:rPr>
              <w:t>10–30 nm</w:t>
            </w:r>
          </w:p>
        </w:tc>
        <w:tc>
          <w:tcPr>
            <w:tcW w:w="1871" w:type="dxa"/>
            <w:tcBorders>
              <w:top w:val="nil"/>
              <w:left w:val="nil"/>
              <w:bottom w:val="nil"/>
              <w:right w:val="nil"/>
            </w:tcBorders>
          </w:tcPr>
          <w:p w14:paraId="40B18C4C" w14:textId="77777777" w:rsidR="000C1BC5" w:rsidRPr="008C2D2F" w:rsidRDefault="008A4894" w:rsidP="004F582C">
            <w:pPr>
              <w:rPr>
                <w:sz w:val="20"/>
                <w:szCs w:val="20"/>
              </w:rPr>
            </w:pPr>
            <w:r w:rsidRPr="008C2D2F">
              <w:rPr>
                <w:sz w:val="20"/>
                <w:szCs w:val="20"/>
              </w:rPr>
              <w:t>Spherical</w:t>
            </w:r>
          </w:p>
        </w:tc>
        <w:tc>
          <w:tcPr>
            <w:tcW w:w="2016" w:type="dxa"/>
            <w:tcBorders>
              <w:top w:val="nil"/>
              <w:left w:val="nil"/>
              <w:bottom w:val="nil"/>
              <w:right w:val="nil"/>
            </w:tcBorders>
          </w:tcPr>
          <w:p w14:paraId="766024FC" w14:textId="77777777" w:rsidR="000C1BC5" w:rsidRPr="008C2D2F" w:rsidRDefault="008A4894" w:rsidP="004F582C">
            <w:pPr>
              <w:rPr>
                <w:sz w:val="20"/>
                <w:szCs w:val="20"/>
              </w:rPr>
            </w:pPr>
            <w:r w:rsidRPr="008C2D2F">
              <w:rPr>
                <w:i/>
                <w:sz w:val="20"/>
                <w:szCs w:val="20"/>
              </w:rPr>
              <w:t>Vibrio parahaemolyticu,</w:t>
            </w:r>
            <w:r w:rsidRPr="008C2D2F">
              <w:rPr>
                <w:sz w:val="20"/>
                <w:szCs w:val="20"/>
              </w:rPr>
              <w:t xml:space="preserve"> </w:t>
            </w:r>
            <w:r w:rsidRPr="008C2D2F">
              <w:rPr>
                <w:i/>
                <w:sz w:val="20"/>
                <w:szCs w:val="20"/>
              </w:rPr>
              <w:t>S. aureus</w:t>
            </w:r>
            <w:r w:rsidRPr="008C2D2F">
              <w:rPr>
                <w:sz w:val="20"/>
                <w:szCs w:val="20"/>
              </w:rPr>
              <w:t xml:space="preserve">, </w:t>
            </w:r>
            <w:r w:rsidRPr="008C2D2F">
              <w:rPr>
                <w:i/>
                <w:sz w:val="20"/>
                <w:szCs w:val="20"/>
              </w:rPr>
              <w:t>Bacillus cereus</w:t>
            </w:r>
            <w:r w:rsidRPr="008C2D2F">
              <w:rPr>
                <w:sz w:val="20"/>
                <w:szCs w:val="20"/>
              </w:rPr>
              <w:t xml:space="preserve">, </w:t>
            </w:r>
            <w:r w:rsidRPr="008C2D2F">
              <w:rPr>
                <w:i/>
                <w:sz w:val="20"/>
                <w:szCs w:val="20"/>
              </w:rPr>
              <w:t>Candida albicans</w:t>
            </w:r>
            <w:r w:rsidR="001A5E78" w:rsidRPr="008C2D2F">
              <w:rPr>
                <w:sz w:val="20"/>
                <w:szCs w:val="20"/>
              </w:rPr>
              <w:t xml:space="preserve"> and</w:t>
            </w:r>
            <w:r w:rsidRPr="008C2D2F">
              <w:rPr>
                <w:sz w:val="20"/>
                <w:szCs w:val="20"/>
              </w:rPr>
              <w:t xml:space="preserve"> </w:t>
            </w:r>
            <w:r w:rsidRPr="008C2D2F">
              <w:rPr>
                <w:i/>
                <w:sz w:val="20"/>
                <w:szCs w:val="20"/>
              </w:rPr>
              <w:t xml:space="preserve">Pseudomonas aeruginosa. </w:t>
            </w:r>
          </w:p>
        </w:tc>
        <w:tc>
          <w:tcPr>
            <w:tcW w:w="2411" w:type="dxa"/>
            <w:tcBorders>
              <w:top w:val="nil"/>
              <w:left w:val="nil"/>
              <w:bottom w:val="nil"/>
              <w:right w:val="nil"/>
            </w:tcBorders>
          </w:tcPr>
          <w:p w14:paraId="6177CE88" w14:textId="77777777" w:rsidR="000C1BC5" w:rsidRPr="008C2D2F" w:rsidRDefault="008A4894" w:rsidP="004F582C">
            <w:pPr>
              <w:rPr>
                <w:sz w:val="20"/>
                <w:szCs w:val="20"/>
              </w:rPr>
            </w:pPr>
            <w:r w:rsidRPr="008C2D2F">
              <w:rPr>
                <w:sz w:val="20"/>
                <w:szCs w:val="20"/>
              </w:rPr>
              <w:t xml:space="preserve">Priyanka Singh et. al (2016) </w:t>
            </w:r>
          </w:p>
        </w:tc>
      </w:tr>
      <w:tr w:rsidR="006474C7" w:rsidRPr="008C2D2F" w14:paraId="025B7ACC" w14:textId="77777777" w:rsidTr="001A5E78">
        <w:tc>
          <w:tcPr>
            <w:tcW w:w="1297" w:type="dxa"/>
            <w:tcBorders>
              <w:top w:val="nil"/>
              <w:left w:val="nil"/>
              <w:bottom w:val="nil"/>
              <w:right w:val="nil"/>
            </w:tcBorders>
          </w:tcPr>
          <w:p w14:paraId="13A0D213" w14:textId="77777777" w:rsidR="001A5E78" w:rsidRPr="008C2D2F" w:rsidRDefault="008A4894" w:rsidP="001A5E78">
            <w:pPr>
              <w:rPr>
                <w:sz w:val="20"/>
                <w:szCs w:val="20"/>
              </w:rPr>
            </w:pPr>
            <w:r w:rsidRPr="008C2D2F">
              <w:rPr>
                <w:sz w:val="20"/>
                <w:szCs w:val="20"/>
              </w:rPr>
              <w:t>Ginseng siberiano</w:t>
            </w:r>
          </w:p>
        </w:tc>
        <w:tc>
          <w:tcPr>
            <w:tcW w:w="866" w:type="dxa"/>
            <w:tcBorders>
              <w:top w:val="nil"/>
              <w:left w:val="nil"/>
              <w:bottom w:val="nil"/>
              <w:right w:val="nil"/>
            </w:tcBorders>
          </w:tcPr>
          <w:p w14:paraId="1BA7E96A" w14:textId="77777777" w:rsidR="001A5E78" w:rsidRPr="008C2D2F" w:rsidRDefault="008A4894" w:rsidP="001A5E78">
            <w:pPr>
              <w:rPr>
                <w:sz w:val="20"/>
                <w:szCs w:val="20"/>
              </w:rPr>
            </w:pPr>
            <w:r w:rsidRPr="008C2D2F">
              <w:rPr>
                <w:sz w:val="20"/>
                <w:szCs w:val="20"/>
              </w:rPr>
              <w:t>Leaf and Stem</w:t>
            </w:r>
          </w:p>
        </w:tc>
        <w:tc>
          <w:tcPr>
            <w:tcW w:w="863" w:type="dxa"/>
            <w:tcBorders>
              <w:top w:val="nil"/>
              <w:left w:val="nil"/>
              <w:bottom w:val="nil"/>
              <w:right w:val="nil"/>
            </w:tcBorders>
          </w:tcPr>
          <w:p w14:paraId="13B23810" w14:textId="77777777" w:rsidR="001A5E78" w:rsidRPr="008C2D2F" w:rsidRDefault="008A4894" w:rsidP="001A5E78">
            <w:pPr>
              <w:rPr>
                <w:sz w:val="20"/>
                <w:szCs w:val="20"/>
              </w:rPr>
            </w:pPr>
            <w:r w:rsidRPr="008C2D2F">
              <w:rPr>
                <w:sz w:val="20"/>
                <w:szCs w:val="20"/>
              </w:rPr>
              <w:t>Au</w:t>
            </w:r>
          </w:p>
        </w:tc>
        <w:tc>
          <w:tcPr>
            <w:tcW w:w="1439" w:type="dxa"/>
            <w:tcBorders>
              <w:top w:val="nil"/>
              <w:left w:val="nil"/>
              <w:bottom w:val="nil"/>
              <w:right w:val="nil"/>
            </w:tcBorders>
          </w:tcPr>
          <w:p w14:paraId="371D8C43" w14:textId="77777777" w:rsidR="001A5E78" w:rsidRPr="008C2D2F" w:rsidRDefault="008A4894" w:rsidP="001A5E78">
            <w:pPr>
              <w:rPr>
                <w:sz w:val="20"/>
                <w:szCs w:val="20"/>
              </w:rPr>
            </w:pPr>
            <w:r w:rsidRPr="008C2D2F">
              <w:rPr>
                <w:sz w:val="20"/>
                <w:szCs w:val="20"/>
              </w:rPr>
              <w:t>-</w:t>
            </w:r>
          </w:p>
        </w:tc>
        <w:tc>
          <w:tcPr>
            <w:tcW w:w="1726" w:type="dxa"/>
            <w:tcBorders>
              <w:top w:val="nil"/>
              <w:left w:val="nil"/>
              <w:bottom w:val="nil"/>
              <w:right w:val="nil"/>
            </w:tcBorders>
          </w:tcPr>
          <w:p w14:paraId="039AC700" w14:textId="77777777" w:rsidR="001A5E78" w:rsidRPr="008C2D2F" w:rsidRDefault="008A4894" w:rsidP="001A5E78">
            <w:pPr>
              <w:rPr>
                <w:sz w:val="20"/>
                <w:szCs w:val="20"/>
              </w:rPr>
            </w:pPr>
            <w:r w:rsidRPr="008C2D2F">
              <w:rPr>
                <w:sz w:val="20"/>
                <w:szCs w:val="20"/>
              </w:rPr>
              <w:t>-</w:t>
            </w:r>
          </w:p>
        </w:tc>
        <w:tc>
          <w:tcPr>
            <w:tcW w:w="1153" w:type="dxa"/>
            <w:tcBorders>
              <w:top w:val="nil"/>
              <w:left w:val="nil"/>
              <w:bottom w:val="nil"/>
              <w:right w:val="nil"/>
            </w:tcBorders>
          </w:tcPr>
          <w:p w14:paraId="63D10A9D" w14:textId="77777777" w:rsidR="001A5E78" w:rsidRPr="008C2D2F" w:rsidRDefault="008A4894" w:rsidP="001A5E78">
            <w:pPr>
              <w:rPr>
                <w:sz w:val="20"/>
                <w:szCs w:val="20"/>
              </w:rPr>
            </w:pPr>
            <w:r w:rsidRPr="008C2D2F">
              <w:rPr>
                <w:sz w:val="20"/>
                <w:szCs w:val="20"/>
              </w:rPr>
              <w:t>4 mM (Au)/1000 mg/mL of extract</w:t>
            </w:r>
          </w:p>
        </w:tc>
        <w:tc>
          <w:tcPr>
            <w:tcW w:w="1446" w:type="dxa"/>
            <w:tcBorders>
              <w:top w:val="nil"/>
              <w:left w:val="nil"/>
              <w:bottom w:val="nil"/>
              <w:right w:val="nil"/>
            </w:tcBorders>
          </w:tcPr>
          <w:p w14:paraId="65910B0A" w14:textId="77777777" w:rsidR="001A5E78" w:rsidRPr="008C2D2F" w:rsidRDefault="008A4894" w:rsidP="001A5E78">
            <w:pPr>
              <w:rPr>
                <w:sz w:val="20"/>
                <w:szCs w:val="20"/>
              </w:rPr>
            </w:pPr>
            <w:r w:rsidRPr="008C2D2F">
              <w:rPr>
                <w:sz w:val="20"/>
                <w:szCs w:val="20"/>
              </w:rPr>
              <w:t>200 nm</w:t>
            </w:r>
          </w:p>
        </w:tc>
        <w:tc>
          <w:tcPr>
            <w:tcW w:w="1871" w:type="dxa"/>
            <w:tcBorders>
              <w:top w:val="nil"/>
              <w:left w:val="nil"/>
              <w:bottom w:val="nil"/>
              <w:right w:val="nil"/>
            </w:tcBorders>
          </w:tcPr>
          <w:p w14:paraId="08616EF4" w14:textId="77777777" w:rsidR="001A5E78" w:rsidRPr="008C2D2F" w:rsidRDefault="008A4894" w:rsidP="001A5E78">
            <w:pPr>
              <w:rPr>
                <w:sz w:val="20"/>
                <w:szCs w:val="20"/>
              </w:rPr>
            </w:pPr>
            <w:r w:rsidRPr="008C2D2F">
              <w:rPr>
                <w:sz w:val="20"/>
                <w:szCs w:val="20"/>
              </w:rPr>
              <w:t>Spherical</w:t>
            </w:r>
          </w:p>
        </w:tc>
        <w:tc>
          <w:tcPr>
            <w:tcW w:w="2016" w:type="dxa"/>
            <w:tcBorders>
              <w:top w:val="nil"/>
              <w:left w:val="nil"/>
              <w:bottom w:val="nil"/>
              <w:right w:val="nil"/>
            </w:tcBorders>
          </w:tcPr>
          <w:p w14:paraId="1CEA44D5" w14:textId="77777777" w:rsidR="001A5E78" w:rsidRPr="008C2D2F" w:rsidRDefault="008A4894" w:rsidP="001A5E78">
            <w:pPr>
              <w:rPr>
                <w:sz w:val="20"/>
                <w:szCs w:val="20"/>
              </w:rPr>
            </w:pPr>
            <w:r w:rsidRPr="008C2D2F">
              <w:rPr>
                <w:sz w:val="20"/>
                <w:szCs w:val="20"/>
              </w:rPr>
              <w:t>B16 melanoma cells</w:t>
            </w:r>
          </w:p>
        </w:tc>
        <w:tc>
          <w:tcPr>
            <w:tcW w:w="2411" w:type="dxa"/>
            <w:tcBorders>
              <w:top w:val="nil"/>
              <w:left w:val="nil"/>
              <w:bottom w:val="nil"/>
              <w:right w:val="nil"/>
            </w:tcBorders>
          </w:tcPr>
          <w:p w14:paraId="625F7013" w14:textId="77777777" w:rsidR="001A5E78" w:rsidRPr="008C2D2F" w:rsidRDefault="001A5E78" w:rsidP="001A5E78">
            <w:pPr>
              <w:rPr>
                <w:sz w:val="20"/>
                <w:szCs w:val="20"/>
              </w:rPr>
            </w:pPr>
          </w:p>
        </w:tc>
      </w:tr>
      <w:tr w:rsidR="006474C7" w:rsidRPr="008C2D2F" w14:paraId="56C5F451" w14:textId="77777777" w:rsidTr="001A5E78">
        <w:tc>
          <w:tcPr>
            <w:tcW w:w="1297" w:type="dxa"/>
            <w:tcBorders>
              <w:top w:val="nil"/>
              <w:left w:val="nil"/>
              <w:bottom w:val="nil"/>
              <w:right w:val="nil"/>
            </w:tcBorders>
          </w:tcPr>
          <w:p w14:paraId="0A829B2F" w14:textId="77777777" w:rsidR="001A5E78" w:rsidRPr="008C2D2F" w:rsidRDefault="001A5E78" w:rsidP="001A5E78">
            <w:pPr>
              <w:rPr>
                <w:sz w:val="20"/>
                <w:szCs w:val="20"/>
              </w:rPr>
            </w:pPr>
          </w:p>
          <w:p w14:paraId="4F8820F5" w14:textId="77777777" w:rsidR="001A5E78" w:rsidRPr="008C2D2F" w:rsidRDefault="008A4894" w:rsidP="001A5E78">
            <w:pPr>
              <w:rPr>
                <w:sz w:val="20"/>
                <w:szCs w:val="20"/>
              </w:rPr>
            </w:pPr>
            <w:r w:rsidRPr="008C2D2F">
              <w:rPr>
                <w:sz w:val="20"/>
                <w:szCs w:val="20"/>
              </w:rPr>
              <w:t xml:space="preserve"> </w:t>
            </w:r>
            <w:r w:rsidRPr="008C2D2F">
              <w:rPr>
                <w:i/>
                <w:sz w:val="20"/>
                <w:szCs w:val="20"/>
              </w:rPr>
              <w:t>Panax ginseng</w:t>
            </w:r>
          </w:p>
        </w:tc>
        <w:tc>
          <w:tcPr>
            <w:tcW w:w="866" w:type="dxa"/>
            <w:tcBorders>
              <w:top w:val="nil"/>
              <w:left w:val="nil"/>
              <w:bottom w:val="nil"/>
              <w:right w:val="nil"/>
            </w:tcBorders>
          </w:tcPr>
          <w:p w14:paraId="34654165" w14:textId="77777777" w:rsidR="001A5E78" w:rsidRPr="008C2D2F" w:rsidRDefault="001A5E78" w:rsidP="001A5E78">
            <w:pPr>
              <w:rPr>
                <w:sz w:val="20"/>
                <w:szCs w:val="20"/>
              </w:rPr>
            </w:pPr>
          </w:p>
          <w:p w14:paraId="2B8A878D" w14:textId="77777777" w:rsidR="001A5E78" w:rsidRPr="008C2D2F" w:rsidRDefault="008A4894" w:rsidP="001A5E78">
            <w:pPr>
              <w:rPr>
                <w:sz w:val="20"/>
                <w:szCs w:val="20"/>
              </w:rPr>
            </w:pPr>
            <w:r w:rsidRPr="008C2D2F">
              <w:rPr>
                <w:sz w:val="20"/>
                <w:szCs w:val="20"/>
              </w:rPr>
              <w:t>Root</w:t>
            </w:r>
          </w:p>
        </w:tc>
        <w:tc>
          <w:tcPr>
            <w:tcW w:w="863" w:type="dxa"/>
            <w:tcBorders>
              <w:top w:val="nil"/>
              <w:left w:val="nil"/>
              <w:bottom w:val="nil"/>
              <w:right w:val="nil"/>
            </w:tcBorders>
          </w:tcPr>
          <w:p w14:paraId="7C7EE71D" w14:textId="77777777" w:rsidR="001A5E78" w:rsidRPr="008C2D2F" w:rsidRDefault="001A5E78" w:rsidP="001A5E78">
            <w:pPr>
              <w:rPr>
                <w:sz w:val="20"/>
                <w:szCs w:val="20"/>
              </w:rPr>
            </w:pPr>
          </w:p>
          <w:p w14:paraId="2B753AE6" w14:textId="77777777" w:rsidR="001A5E78" w:rsidRPr="008C2D2F" w:rsidRDefault="008A4894" w:rsidP="001A5E78">
            <w:pPr>
              <w:rPr>
                <w:sz w:val="20"/>
                <w:szCs w:val="20"/>
              </w:rPr>
            </w:pPr>
            <w:r w:rsidRPr="008C2D2F">
              <w:rPr>
                <w:sz w:val="20"/>
                <w:szCs w:val="20"/>
              </w:rPr>
              <w:t>Ag</w:t>
            </w:r>
          </w:p>
        </w:tc>
        <w:tc>
          <w:tcPr>
            <w:tcW w:w="1439" w:type="dxa"/>
            <w:tcBorders>
              <w:top w:val="nil"/>
              <w:left w:val="nil"/>
              <w:bottom w:val="nil"/>
              <w:right w:val="nil"/>
            </w:tcBorders>
          </w:tcPr>
          <w:p w14:paraId="4B614AAB" w14:textId="77777777" w:rsidR="001A5E78" w:rsidRPr="008C2D2F" w:rsidRDefault="001A5E78" w:rsidP="001A5E78">
            <w:pPr>
              <w:rPr>
                <w:sz w:val="20"/>
                <w:szCs w:val="20"/>
              </w:rPr>
            </w:pPr>
          </w:p>
          <w:p w14:paraId="6E7A560A" w14:textId="77777777" w:rsidR="001A5E78" w:rsidRPr="008C2D2F" w:rsidRDefault="008A4894" w:rsidP="001A5E78">
            <w:pPr>
              <w:rPr>
                <w:sz w:val="20"/>
                <w:szCs w:val="20"/>
              </w:rPr>
            </w:pPr>
            <w:r w:rsidRPr="008C2D2F">
              <w:rPr>
                <w:sz w:val="20"/>
                <w:szCs w:val="20"/>
              </w:rPr>
              <w:t>24h</w:t>
            </w:r>
          </w:p>
        </w:tc>
        <w:tc>
          <w:tcPr>
            <w:tcW w:w="1726" w:type="dxa"/>
            <w:tcBorders>
              <w:top w:val="nil"/>
              <w:left w:val="nil"/>
              <w:bottom w:val="nil"/>
              <w:right w:val="nil"/>
            </w:tcBorders>
          </w:tcPr>
          <w:p w14:paraId="6643A841" w14:textId="77777777" w:rsidR="001A5E78" w:rsidRPr="008C2D2F" w:rsidRDefault="001A5E78" w:rsidP="001A5E78">
            <w:pPr>
              <w:rPr>
                <w:sz w:val="20"/>
                <w:szCs w:val="20"/>
              </w:rPr>
            </w:pPr>
          </w:p>
          <w:p w14:paraId="4C9AB1BC" w14:textId="77777777" w:rsidR="001A5E78" w:rsidRPr="008C2D2F" w:rsidRDefault="008A4894" w:rsidP="001A5E78">
            <w:pPr>
              <w:rPr>
                <w:sz w:val="20"/>
                <w:szCs w:val="20"/>
              </w:rPr>
            </w:pPr>
            <w:r w:rsidRPr="008C2D2F">
              <w:rPr>
                <w:sz w:val="20"/>
                <w:szCs w:val="20"/>
              </w:rPr>
              <w:t>25</w:t>
            </w:r>
          </w:p>
        </w:tc>
        <w:tc>
          <w:tcPr>
            <w:tcW w:w="1153" w:type="dxa"/>
            <w:tcBorders>
              <w:top w:val="nil"/>
              <w:left w:val="nil"/>
              <w:bottom w:val="nil"/>
              <w:right w:val="nil"/>
            </w:tcBorders>
          </w:tcPr>
          <w:p w14:paraId="65A15741" w14:textId="77777777" w:rsidR="001A5E78" w:rsidRPr="008C2D2F" w:rsidRDefault="008A4894" w:rsidP="001A5E78">
            <w:pPr>
              <w:rPr>
                <w:sz w:val="20"/>
                <w:szCs w:val="20"/>
              </w:rPr>
            </w:pPr>
            <w:r w:rsidRPr="008C2D2F">
              <w:rPr>
                <w:sz w:val="20"/>
                <w:szCs w:val="20"/>
              </w:rPr>
              <w:t>9volumes of 1 mM (Ag)/1 volume of extract, 1 g/5 mL of water</w:t>
            </w:r>
          </w:p>
        </w:tc>
        <w:tc>
          <w:tcPr>
            <w:tcW w:w="1446" w:type="dxa"/>
            <w:tcBorders>
              <w:top w:val="nil"/>
              <w:left w:val="nil"/>
              <w:bottom w:val="nil"/>
              <w:right w:val="nil"/>
            </w:tcBorders>
          </w:tcPr>
          <w:p w14:paraId="799D5045" w14:textId="77777777" w:rsidR="001A5E78" w:rsidRPr="008C2D2F" w:rsidRDefault="001A5E78" w:rsidP="001A5E78">
            <w:pPr>
              <w:rPr>
                <w:sz w:val="20"/>
                <w:szCs w:val="20"/>
              </w:rPr>
            </w:pPr>
          </w:p>
          <w:p w14:paraId="231D6A58" w14:textId="77777777" w:rsidR="001A5E78" w:rsidRPr="008C2D2F" w:rsidRDefault="008A4894" w:rsidP="001A5E78">
            <w:pPr>
              <w:rPr>
                <w:sz w:val="20"/>
                <w:szCs w:val="20"/>
              </w:rPr>
            </w:pPr>
            <w:r w:rsidRPr="008C2D2F">
              <w:rPr>
                <w:sz w:val="20"/>
                <w:szCs w:val="20"/>
              </w:rPr>
              <w:t xml:space="preserve"> 50–90 nm</w:t>
            </w:r>
          </w:p>
        </w:tc>
        <w:tc>
          <w:tcPr>
            <w:tcW w:w="1871" w:type="dxa"/>
            <w:tcBorders>
              <w:top w:val="nil"/>
              <w:left w:val="nil"/>
              <w:bottom w:val="nil"/>
              <w:right w:val="nil"/>
            </w:tcBorders>
          </w:tcPr>
          <w:p w14:paraId="3A856E70" w14:textId="77777777" w:rsidR="001A5E78" w:rsidRPr="008C2D2F" w:rsidRDefault="001A5E78" w:rsidP="001A5E78">
            <w:pPr>
              <w:rPr>
                <w:sz w:val="20"/>
                <w:szCs w:val="20"/>
              </w:rPr>
            </w:pPr>
          </w:p>
          <w:p w14:paraId="2BEA8891" w14:textId="77777777" w:rsidR="001A5E78" w:rsidRPr="008C2D2F" w:rsidRDefault="008A4894" w:rsidP="001A5E78">
            <w:pPr>
              <w:rPr>
                <w:sz w:val="20"/>
                <w:szCs w:val="20"/>
              </w:rPr>
            </w:pPr>
            <w:r w:rsidRPr="008C2D2F">
              <w:rPr>
                <w:sz w:val="20"/>
                <w:szCs w:val="20"/>
              </w:rPr>
              <w:t>Spherical</w:t>
            </w:r>
          </w:p>
        </w:tc>
        <w:tc>
          <w:tcPr>
            <w:tcW w:w="2016" w:type="dxa"/>
            <w:tcBorders>
              <w:top w:val="nil"/>
              <w:left w:val="nil"/>
              <w:bottom w:val="nil"/>
              <w:right w:val="nil"/>
            </w:tcBorders>
          </w:tcPr>
          <w:p w14:paraId="5F860042" w14:textId="77777777" w:rsidR="001A5E78" w:rsidRPr="008C2D2F" w:rsidRDefault="001A5E78" w:rsidP="001A5E78">
            <w:pPr>
              <w:rPr>
                <w:sz w:val="20"/>
                <w:szCs w:val="20"/>
              </w:rPr>
            </w:pPr>
          </w:p>
          <w:p w14:paraId="32C4DF29" w14:textId="77777777" w:rsidR="001A5E78" w:rsidRPr="008C2D2F" w:rsidRDefault="008A4894" w:rsidP="001A5E78">
            <w:pPr>
              <w:rPr>
                <w:sz w:val="20"/>
                <w:szCs w:val="20"/>
              </w:rPr>
            </w:pPr>
            <w:r w:rsidRPr="008C2D2F">
              <w:rPr>
                <w:i/>
                <w:sz w:val="20"/>
                <w:szCs w:val="20"/>
              </w:rPr>
              <w:t>F. graminearum</w:t>
            </w:r>
            <w:r w:rsidRPr="008C2D2F">
              <w:rPr>
                <w:sz w:val="20"/>
                <w:szCs w:val="20"/>
              </w:rPr>
              <w:t xml:space="preserve">, </w:t>
            </w:r>
            <w:r w:rsidRPr="008C2D2F">
              <w:rPr>
                <w:i/>
                <w:sz w:val="20"/>
                <w:szCs w:val="20"/>
              </w:rPr>
              <w:t>F. avenaceum</w:t>
            </w:r>
            <w:r w:rsidRPr="008C2D2F">
              <w:rPr>
                <w:sz w:val="20"/>
                <w:szCs w:val="20"/>
              </w:rPr>
              <w:t xml:space="preserve">, </w:t>
            </w:r>
            <w:r w:rsidRPr="008C2D2F">
              <w:rPr>
                <w:i/>
                <w:sz w:val="20"/>
                <w:szCs w:val="20"/>
              </w:rPr>
              <w:t>F. poae</w:t>
            </w:r>
            <w:r w:rsidRPr="008C2D2F">
              <w:rPr>
                <w:sz w:val="20"/>
                <w:szCs w:val="20"/>
              </w:rPr>
              <w:t xml:space="preserve">, and </w:t>
            </w:r>
            <w:r w:rsidRPr="008C2D2F">
              <w:rPr>
                <w:i/>
                <w:sz w:val="20"/>
                <w:szCs w:val="20"/>
              </w:rPr>
              <w:t>F. sporotrichioides</w:t>
            </w:r>
          </w:p>
        </w:tc>
        <w:tc>
          <w:tcPr>
            <w:tcW w:w="2411" w:type="dxa"/>
            <w:tcBorders>
              <w:top w:val="nil"/>
              <w:left w:val="nil"/>
              <w:bottom w:val="nil"/>
              <w:right w:val="nil"/>
            </w:tcBorders>
          </w:tcPr>
          <w:p w14:paraId="45B1F30C" w14:textId="77777777" w:rsidR="001A5E78" w:rsidRPr="008C2D2F" w:rsidRDefault="008A4894" w:rsidP="001A5E78">
            <w:pPr>
              <w:rPr>
                <w:sz w:val="20"/>
                <w:szCs w:val="20"/>
              </w:rPr>
            </w:pPr>
            <w:r w:rsidRPr="008C2D2F">
              <w:rPr>
                <w:sz w:val="20"/>
                <w:szCs w:val="20"/>
              </w:rPr>
              <w:t>Yugay, Yulia et al. (2021)</w:t>
            </w:r>
          </w:p>
        </w:tc>
      </w:tr>
    </w:tbl>
    <w:p w14:paraId="033AA2EB" w14:textId="77777777" w:rsidR="0040478F" w:rsidRDefault="0040478F" w:rsidP="000C1BC5">
      <w:pPr>
        <w:pBdr>
          <w:top w:val="nil"/>
          <w:left w:val="nil"/>
          <w:bottom w:val="nil"/>
          <w:right w:val="nil"/>
          <w:between w:val="nil"/>
        </w:pBdr>
        <w:jc w:val="both"/>
        <w:rPr>
          <w:rFonts w:ascii="Calibri" w:eastAsia="Calibri" w:hAnsi="Calibri" w:cs="Calibri"/>
          <w:color w:val="000000"/>
          <w:sz w:val="20"/>
          <w:szCs w:val="20"/>
        </w:rPr>
      </w:pPr>
    </w:p>
    <w:p w14:paraId="7B88BC87"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47B578DC"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17EA7D65"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19D94DA2"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4083ED55"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2034B989"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03BDBBFA" w14:textId="77777777"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pPr>
    </w:p>
    <w:p w14:paraId="20E1193A" w14:textId="77777777"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pPr>
    </w:p>
    <w:p w14:paraId="6AE57702" w14:textId="170A964D"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sectPr w:rsidR="00230D4E" w:rsidSect="00B12CCE">
          <w:pgSz w:w="16838" w:h="11906" w:orient="landscape"/>
          <w:pgMar w:top="1134" w:right="1134" w:bottom="1701" w:left="1701" w:header="709" w:footer="709" w:gutter="0"/>
          <w:pgNumType w:start="1"/>
          <w:cols w:space="720"/>
          <w:docGrid w:linePitch="326"/>
        </w:sectPr>
      </w:pPr>
      <w:r>
        <w:rPr>
          <w:rFonts w:ascii="Calibri" w:eastAsia="Calibri" w:hAnsi="Calibri" w:cs="Calibri"/>
          <w:color w:val="000000"/>
          <w:sz w:val="20"/>
          <w:szCs w:val="20"/>
        </w:rPr>
        <w:br w:type="textWrapping" w:clear="all"/>
      </w:r>
    </w:p>
    <w:p w14:paraId="3E3B05C5" w14:textId="79591E1F" w:rsidR="00230D4E" w:rsidRDefault="00230D4E" w:rsidP="00D04FE9">
      <w:pPr>
        <w:pBdr>
          <w:top w:val="nil"/>
          <w:left w:val="nil"/>
          <w:bottom w:val="nil"/>
          <w:right w:val="nil"/>
          <w:between w:val="nil"/>
        </w:pBdr>
        <w:ind w:firstLine="708"/>
        <w:jc w:val="both"/>
        <w:rPr>
          <w:rFonts w:ascii="Calibri" w:eastAsia="Calibri" w:hAnsi="Calibri" w:cs="Calibri"/>
          <w:color w:val="000000"/>
          <w:sz w:val="20"/>
          <w:szCs w:val="20"/>
        </w:rPr>
        <w:sectPr w:rsidR="00230D4E" w:rsidSect="00230D4E">
          <w:type w:val="continuous"/>
          <w:pgSz w:w="16838" w:h="11906" w:orient="landscape"/>
          <w:pgMar w:top="1134" w:right="1134" w:bottom="1701" w:left="1701" w:header="709" w:footer="709" w:gutter="0"/>
          <w:pgNumType w:start="1"/>
          <w:cols w:space="720"/>
          <w:docGrid w:linePitch="326"/>
        </w:sectPr>
      </w:pPr>
    </w:p>
    <w:p w14:paraId="1399753E"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lastRenderedPageBreak/>
        <w:t>Fenglian et al. (2019) synthesized gold nanoparticles using Siberian Ginseng, and characterization through UV-vis, FTIR, and TEM revealed the formation of spherical particles with an average diameter of 200 nm, encapsulated by polyphenolic compounds. The anticancer properties against melanoma cells were studied, and the cytotoxicity of the obtained nanoparticles was minimal. The authors report that further studies should be conducted, particularly evaluating the effect of the presence of metallic nanoparticles in the human body</w:t>
      </w:r>
    </w:p>
    <w:p w14:paraId="01339721"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In the studies conducted by Singh et al. (2015), the authors successfully synthesized silver and gold nanoparticles using red ginseng extract without any additional agent to stabilize the nanoparticles. The obtained nanoparticles had sizes ranging from 10 to 30 nm, and they exhibited monodispersity concerning the size distribution of the materials. In this research, the obtained NMPs were considered stable after one month of synthesis, as UV-Vis spectra did not show significant changes in the bands related to the NMPs. The antimicrobial activity of AgNPs was evaluated against </w:t>
      </w:r>
      <w:r w:rsidRPr="008C2D2F">
        <w:rPr>
          <w:rFonts w:eastAsia="Calibri"/>
          <w:i/>
          <w:color w:val="000000"/>
          <w:sz w:val="20"/>
          <w:szCs w:val="20"/>
        </w:rPr>
        <w:t>E. coli</w:t>
      </w:r>
      <w:r w:rsidRPr="008C2D2F">
        <w:rPr>
          <w:rFonts w:eastAsia="Calibri"/>
          <w:color w:val="000000"/>
          <w:sz w:val="20"/>
          <w:szCs w:val="20"/>
        </w:rPr>
        <w:t xml:space="preserve">, </w:t>
      </w:r>
      <w:r w:rsidRPr="008C2D2F">
        <w:rPr>
          <w:rFonts w:eastAsia="Calibri"/>
          <w:i/>
          <w:color w:val="000000"/>
          <w:sz w:val="20"/>
          <w:szCs w:val="20"/>
        </w:rPr>
        <w:t>S. enterica</w:t>
      </w:r>
      <w:r w:rsidRPr="008C2D2F">
        <w:rPr>
          <w:rFonts w:eastAsia="Calibri"/>
          <w:color w:val="000000"/>
          <w:sz w:val="20"/>
          <w:szCs w:val="20"/>
        </w:rPr>
        <w:t xml:space="preserve">, </w:t>
      </w:r>
      <w:r w:rsidRPr="008C2D2F">
        <w:rPr>
          <w:rFonts w:eastAsia="Calibri"/>
          <w:i/>
          <w:color w:val="000000"/>
          <w:sz w:val="20"/>
          <w:szCs w:val="20"/>
        </w:rPr>
        <w:t>Vibrio parahaemolyticus</w:t>
      </w:r>
      <w:r w:rsidRPr="008C2D2F">
        <w:rPr>
          <w:rFonts w:eastAsia="Calibri"/>
          <w:color w:val="000000"/>
          <w:sz w:val="20"/>
          <w:szCs w:val="20"/>
        </w:rPr>
        <w:t xml:space="preserve">, </w:t>
      </w:r>
      <w:r w:rsidRPr="008C2D2F">
        <w:rPr>
          <w:rFonts w:eastAsia="Calibri"/>
          <w:i/>
          <w:color w:val="000000"/>
          <w:sz w:val="20"/>
          <w:szCs w:val="20"/>
        </w:rPr>
        <w:t>S. aureus</w:t>
      </w:r>
      <w:r w:rsidRPr="008C2D2F">
        <w:rPr>
          <w:rFonts w:eastAsia="Calibri"/>
          <w:color w:val="000000"/>
          <w:sz w:val="20"/>
          <w:szCs w:val="20"/>
        </w:rPr>
        <w:t xml:space="preserve">, </w:t>
      </w:r>
      <w:r w:rsidRPr="008C2D2F">
        <w:rPr>
          <w:rFonts w:eastAsia="Calibri"/>
          <w:i/>
          <w:color w:val="000000"/>
          <w:sz w:val="20"/>
          <w:szCs w:val="20"/>
        </w:rPr>
        <w:t>Bacillus anthracis</w:t>
      </w:r>
      <w:r w:rsidRPr="008C2D2F">
        <w:rPr>
          <w:rFonts w:eastAsia="Calibri"/>
          <w:color w:val="000000"/>
          <w:sz w:val="20"/>
          <w:szCs w:val="20"/>
        </w:rPr>
        <w:t xml:space="preserve">, and Bacillus cereus. The study also demonstrated the potential inhibition of biofilm formation against S. aureus and </w:t>
      </w:r>
      <w:r w:rsidRPr="008C2D2F">
        <w:rPr>
          <w:rFonts w:eastAsia="Calibri"/>
          <w:i/>
          <w:color w:val="000000"/>
          <w:sz w:val="20"/>
          <w:szCs w:val="20"/>
        </w:rPr>
        <w:t>P. aeruginosa</w:t>
      </w:r>
      <w:r w:rsidRPr="008C2D2F">
        <w:rPr>
          <w:rFonts w:eastAsia="Calibri"/>
          <w:color w:val="000000"/>
          <w:sz w:val="20"/>
          <w:szCs w:val="20"/>
        </w:rPr>
        <w:t>.</w:t>
      </w:r>
    </w:p>
    <w:p w14:paraId="33398B08"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In the study conducted by Castro-Aceituno et al. (2016), the authors investigated the anticancer potential of AgNPs synthesized with Dendropanax morbifera Léveille extract, assessing the cytotoxicity of the particles. However, the study did not provide specific details regarding the synthesis and characterization of the nanomaterial. The authors examined the effect on various types of cancer cells and observed that the AgNPs reduced cell viability, inhibited cell migration, and induced cellular apoptosis. At the end of the study, the researchers suggested that the mechanism of action of the nanoparticles still needs further investigation.</w:t>
      </w:r>
    </w:p>
    <w:p w14:paraId="419774AB"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Jiménez-Peres et al. (2017) investigated various properties of silver nanoparticles, such as antioxidant properties, moisture retention capacity, activity of mushroom tyrosinase, and effects on melanin cells. The authors observed that the antioxidant properties of the nanoparticles are enhanced due to the presence of ginseng extract stabilizing the particle. The nanoparticles exhibited moisturizing properties similar to the glycerin standard and also demonstrated inhibitory activity against mushroom tyrosinase. The results indicated that gold nanoparticles could be a promising multifunctional component in cosmetics.</w:t>
      </w:r>
    </w:p>
    <w:p w14:paraId="6A63A364"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In the research conducted by Yugay et al. (2021), 24 hours at 25 °C were required for the formation of AgNPs. After physicochemical characterization, it was determined that the obtained particles were spherical, with sizes ranging from 50 to 90 nm, and the surface was protected by compounds derived from ginseng extract, demonstrating the efficiency of this extract in reducing and stabilizing metallic nanomaterials. The AgNPs obtained exhibited antifungal effects against F. </w:t>
      </w:r>
      <w:r w:rsidRPr="008C2D2F">
        <w:rPr>
          <w:rFonts w:eastAsia="Calibri"/>
          <w:i/>
          <w:color w:val="000000"/>
          <w:sz w:val="20"/>
          <w:szCs w:val="20"/>
        </w:rPr>
        <w:t>graminearum</w:t>
      </w:r>
      <w:r w:rsidRPr="008C2D2F">
        <w:rPr>
          <w:rFonts w:eastAsia="Calibri"/>
          <w:color w:val="000000"/>
          <w:sz w:val="20"/>
          <w:szCs w:val="20"/>
        </w:rPr>
        <w:t xml:space="preserve">, F. </w:t>
      </w:r>
      <w:r w:rsidRPr="008C2D2F">
        <w:rPr>
          <w:rFonts w:eastAsia="Calibri"/>
          <w:i/>
          <w:color w:val="000000"/>
          <w:sz w:val="20"/>
          <w:szCs w:val="20"/>
        </w:rPr>
        <w:t>avenaceum</w:t>
      </w:r>
      <w:r w:rsidRPr="008C2D2F">
        <w:rPr>
          <w:rFonts w:eastAsia="Calibri"/>
          <w:color w:val="000000"/>
          <w:sz w:val="20"/>
          <w:szCs w:val="20"/>
        </w:rPr>
        <w:t xml:space="preserve">, F. </w:t>
      </w:r>
      <w:r w:rsidRPr="008C2D2F">
        <w:rPr>
          <w:rFonts w:eastAsia="Calibri"/>
          <w:i/>
          <w:color w:val="000000"/>
          <w:sz w:val="20"/>
          <w:szCs w:val="20"/>
        </w:rPr>
        <w:t>poae</w:t>
      </w:r>
      <w:r w:rsidRPr="008C2D2F">
        <w:rPr>
          <w:rFonts w:eastAsia="Calibri"/>
          <w:color w:val="000000"/>
          <w:sz w:val="20"/>
          <w:szCs w:val="20"/>
        </w:rPr>
        <w:t xml:space="preserve">, and F. </w:t>
      </w:r>
      <w:r w:rsidRPr="008C2D2F">
        <w:rPr>
          <w:rFonts w:eastAsia="Calibri"/>
          <w:i/>
          <w:color w:val="000000"/>
          <w:sz w:val="20"/>
          <w:szCs w:val="20"/>
        </w:rPr>
        <w:t>sporotrichioides</w:t>
      </w:r>
      <w:r w:rsidRPr="008C2D2F">
        <w:rPr>
          <w:rFonts w:eastAsia="Calibri"/>
          <w:color w:val="000000"/>
          <w:sz w:val="20"/>
          <w:szCs w:val="20"/>
        </w:rPr>
        <w:t>. Additionally, the nanoparticles demonstrated a fungistatic effect, inhibiting the growth of fungi on wheat grains and preventing issues in plant growth and morphology.</w:t>
      </w:r>
    </w:p>
    <w:p w14:paraId="0B801EA1"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In the study conducted by Wang et al. (2019), an ethanolic extract of Panax notoginseng leaves was used for the synthesis of AuNPs. The obtained NPs remained stable for 30 days, with no significant changes in the UV-Vis data. The observed morphology included spherical, oval, hexagonal, and triangular shapes, with average sizes ranging from 80 to 12 nm. In the infrared spectroscopy, various bands related to compounds present in the P. notoginseng extract were observed. Antitumor and cytotoxicity tests were also performed against pancreatic cells, revealing the nanoparticles' anticancer effects.</w:t>
      </w:r>
    </w:p>
    <w:p w14:paraId="4D23BE29"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In Singh et al.'s work (2017), although the synthesis of nanoparticles (NPs) was not the primary objective, some properties of this material were evaluated in comparison to precursor salts, revealing higher antioxidant activity by DPPH in the NPs. According to the authors, this enhancement was attributed to the presence of Panax ginseng leaf extract. The study also investigated the effect of NPs on cell viability, anticancer activity, and inhibition of nitric oxide production. The results demonstrated that AgNPs derived from ginseng exhibit important characteristics for biomedical applications. Therefore, green synthesis using ginseng extract is considered both cost-effective and advantageous for the development of herbal remedies.</w:t>
      </w:r>
    </w:p>
    <w:p w14:paraId="6F430328"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In the research by Gouyau et al. (2021), citrate-coated metallic nanoparticles (NMPs) were synthesized. The study indicated that gold nanoparticles (AuNPs) showed mild bacterial activity against </w:t>
      </w:r>
      <w:r w:rsidRPr="008C2D2F">
        <w:rPr>
          <w:rFonts w:eastAsia="Calibri"/>
          <w:i/>
          <w:color w:val="000000"/>
          <w:sz w:val="20"/>
          <w:szCs w:val="20"/>
        </w:rPr>
        <w:t>E. coli</w:t>
      </w:r>
      <w:r w:rsidRPr="008C2D2F">
        <w:rPr>
          <w:rFonts w:eastAsia="Calibri"/>
          <w:color w:val="000000"/>
          <w:sz w:val="20"/>
          <w:szCs w:val="20"/>
        </w:rPr>
        <w:t xml:space="preserve"> and </w:t>
      </w:r>
      <w:r w:rsidRPr="008C2D2F">
        <w:rPr>
          <w:rFonts w:eastAsia="Calibri"/>
          <w:i/>
          <w:color w:val="000000"/>
          <w:sz w:val="20"/>
          <w:szCs w:val="20"/>
        </w:rPr>
        <w:t>S. aureus</w:t>
      </w:r>
      <w:r w:rsidRPr="008C2D2F">
        <w:rPr>
          <w:rFonts w:eastAsia="Calibri"/>
          <w:color w:val="000000"/>
          <w:sz w:val="20"/>
          <w:szCs w:val="20"/>
        </w:rPr>
        <w:t xml:space="preserve">. On the other hand, silver nanoparticles (AgNPs) exhibited high antibacterial activity against </w:t>
      </w:r>
      <w:r w:rsidRPr="008C2D2F">
        <w:rPr>
          <w:rFonts w:eastAsia="Calibri"/>
          <w:i/>
          <w:color w:val="000000"/>
          <w:sz w:val="20"/>
          <w:szCs w:val="20"/>
        </w:rPr>
        <w:t>E. coli</w:t>
      </w:r>
      <w:r w:rsidRPr="008C2D2F">
        <w:rPr>
          <w:rFonts w:eastAsia="Calibri"/>
          <w:color w:val="000000"/>
          <w:sz w:val="20"/>
          <w:szCs w:val="20"/>
        </w:rPr>
        <w:t>, including multidrug-resistant strains.</w:t>
      </w:r>
    </w:p>
    <w:p w14:paraId="78DD14AE"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Naik; Devi (2021) compared the antimicrobial action of Momordica dioica-based AgNPs against </w:t>
      </w:r>
      <w:r w:rsidRPr="008C2D2F">
        <w:rPr>
          <w:rFonts w:eastAsia="Calibri"/>
          <w:i/>
          <w:color w:val="000000"/>
          <w:sz w:val="20"/>
          <w:szCs w:val="20"/>
        </w:rPr>
        <w:t>S. aureus</w:t>
      </w:r>
      <w:r w:rsidRPr="008C2D2F">
        <w:rPr>
          <w:rFonts w:eastAsia="Calibri"/>
          <w:color w:val="000000"/>
          <w:sz w:val="20"/>
          <w:szCs w:val="20"/>
        </w:rPr>
        <w:t xml:space="preserve">, </w:t>
      </w:r>
      <w:r w:rsidRPr="008C2D2F">
        <w:rPr>
          <w:rFonts w:eastAsia="Calibri"/>
          <w:i/>
          <w:color w:val="000000"/>
          <w:sz w:val="20"/>
          <w:szCs w:val="20"/>
        </w:rPr>
        <w:t>B. subtilis, E. coli</w:t>
      </w:r>
      <w:r w:rsidRPr="008C2D2F">
        <w:rPr>
          <w:rFonts w:eastAsia="Calibri"/>
          <w:color w:val="000000"/>
          <w:sz w:val="20"/>
          <w:szCs w:val="20"/>
        </w:rPr>
        <w:t xml:space="preserve">, </w:t>
      </w:r>
      <w:r w:rsidRPr="008C2D2F">
        <w:rPr>
          <w:rFonts w:eastAsia="Calibri"/>
          <w:i/>
          <w:color w:val="000000"/>
          <w:sz w:val="20"/>
          <w:szCs w:val="20"/>
        </w:rPr>
        <w:t>P. aeruginosa</w:t>
      </w:r>
      <w:r w:rsidRPr="008C2D2F">
        <w:rPr>
          <w:rFonts w:eastAsia="Calibri"/>
          <w:color w:val="000000"/>
          <w:sz w:val="20"/>
          <w:szCs w:val="20"/>
        </w:rPr>
        <w:t xml:space="preserve">, </w:t>
      </w:r>
      <w:r w:rsidRPr="008C2D2F">
        <w:rPr>
          <w:rFonts w:eastAsia="Calibri"/>
          <w:i/>
          <w:color w:val="000000"/>
          <w:sz w:val="20"/>
          <w:szCs w:val="20"/>
        </w:rPr>
        <w:t>K. planticola</w:t>
      </w:r>
      <w:r w:rsidRPr="008C2D2F">
        <w:rPr>
          <w:rFonts w:eastAsia="Calibri"/>
          <w:color w:val="000000"/>
          <w:sz w:val="20"/>
          <w:szCs w:val="20"/>
        </w:rPr>
        <w:t xml:space="preserve">, and </w:t>
      </w:r>
      <w:r w:rsidRPr="008C2D2F">
        <w:rPr>
          <w:rFonts w:eastAsia="Calibri"/>
          <w:i/>
          <w:color w:val="000000"/>
          <w:sz w:val="20"/>
          <w:szCs w:val="20"/>
        </w:rPr>
        <w:t>C. albicans</w:t>
      </w:r>
      <w:r w:rsidRPr="008C2D2F">
        <w:rPr>
          <w:rFonts w:eastAsia="Calibri"/>
          <w:color w:val="000000"/>
          <w:sz w:val="20"/>
          <w:szCs w:val="20"/>
        </w:rPr>
        <w:t xml:space="preserve">. It was observed that there was leakage of intracellular content from the evaluated microorganisms after exposure to AgNPs, leading to microbial cell </w:t>
      </w:r>
      <w:r w:rsidRPr="008C2D2F">
        <w:rPr>
          <w:rFonts w:eastAsia="Calibri"/>
          <w:color w:val="000000"/>
          <w:sz w:val="20"/>
          <w:szCs w:val="20"/>
        </w:rPr>
        <w:lastRenderedPageBreak/>
        <w:t>death due to membrane damage. According to the authors, this effect occurs due to the induction of oxidative stress in the pathogens, confirming their potential applicability both as therapeutic agents and in the pharmaceutical industry.</w:t>
      </w:r>
    </w:p>
    <w:p w14:paraId="546F60DA"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According to Sharma et al. (2015), the toxicity of nanoparticles (NPs) varies depending on their charge, chemistry, and the organic coating on their surface. The fate and toxicity of humans and the ecosystem are still not well understood. Generally, gold and silver NPs exhibit cytotoxicity and ecotoxicity against bacteria, aquatic organisms, and plants. The toxic mechanism involves the generation of reactive oxygen species (ROS) and DNA damage caused by AgNPs or released Ag+ ions, as exemplified in </w:t>
      </w:r>
      <w:r w:rsidRPr="008C2D2F">
        <w:rPr>
          <w:rFonts w:eastAsia="Calibri"/>
          <w:i/>
          <w:color w:val="000000"/>
          <w:sz w:val="20"/>
          <w:szCs w:val="20"/>
        </w:rPr>
        <w:t>Drosophila melanogaster</w:t>
      </w:r>
      <w:r w:rsidRPr="008C2D2F">
        <w:rPr>
          <w:rFonts w:eastAsia="Calibri"/>
          <w:color w:val="000000"/>
          <w:sz w:val="20"/>
          <w:szCs w:val="20"/>
        </w:rPr>
        <w:t>.</w:t>
      </w:r>
    </w:p>
    <w:p w14:paraId="4FE37EF5"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A study investigated the toxicity of naturally formed AgNPs, finding that the encapsulating material of the NP influences the Minimum Inhibitory Concentration (MIC) (Sharma et al., 2015). In other words, regardless of the metal employed, the encapsulating material plays a crucial role in the antimicrobial activity of the nanoparticles.</w:t>
      </w:r>
    </w:p>
    <w:p w14:paraId="658A6F31"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Singh et al. (2015) found that AgNPs with extracts from Panax ginseng roots exhibited antimicrobial activity against </w:t>
      </w:r>
      <w:r w:rsidRPr="008C2D2F">
        <w:rPr>
          <w:rFonts w:eastAsia="Calibri"/>
          <w:i/>
          <w:color w:val="000000"/>
          <w:sz w:val="20"/>
          <w:szCs w:val="20"/>
        </w:rPr>
        <w:t>Escherichia coli</w:t>
      </w:r>
      <w:r w:rsidRPr="008C2D2F">
        <w:rPr>
          <w:rFonts w:eastAsia="Calibri"/>
          <w:color w:val="000000"/>
          <w:sz w:val="20"/>
          <w:szCs w:val="20"/>
        </w:rPr>
        <w:t xml:space="preserve">, </w:t>
      </w:r>
      <w:r w:rsidRPr="008C2D2F">
        <w:rPr>
          <w:rFonts w:eastAsia="Calibri"/>
          <w:i/>
          <w:color w:val="000000"/>
          <w:sz w:val="20"/>
          <w:szCs w:val="20"/>
        </w:rPr>
        <w:t>Salmonella enterica</w:t>
      </w:r>
      <w:r w:rsidRPr="008C2D2F">
        <w:rPr>
          <w:rFonts w:eastAsia="Calibri"/>
          <w:color w:val="000000"/>
          <w:sz w:val="20"/>
          <w:szCs w:val="20"/>
        </w:rPr>
        <w:t xml:space="preserve">, </w:t>
      </w:r>
      <w:r w:rsidRPr="008C2D2F">
        <w:rPr>
          <w:rFonts w:eastAsia="Calibri"/>
          <w:i/>
          <w:color w:val="000000"/>
          <w:sz w:val="20"/>
          <w:szCs w:val="20"/>
        </w:rPr>
        <w:t>Vibrio parahaemolyticus</w:t>
      </w:r>
      <w:r w:rsidRPr="008C2D2F">
        <w:rPr>
          <w:rFonts w:eastAsia="Calibri"/>
          <w:color w:val="000000"/>
          <w:sz w:val="20"/>
          <w:szCs w:val="20"/>
        </w:rPr>
        <w:t xml:space="preserve">, </w:t>
      </w:r>
      <w:r w:rsidRPr="008C2D2F">
        <w:rPr>
          <w:rFonts w:eastAsia="Calibri"/>
          <w:i/>
          <w:color w:val="000000"/>
          <w:sz w:val="20"/>
          <w:szCs w:val="20"/>
        </w:rPr>
        <w:t>Staphylococcus aureus</w:t>
      </w:r>
      <w:r w:rsidRPr="008C2D2F">
        <w:rPr>
          <w:rFonts w:eastAsia="Calibri"/>
          <w:color w:val="000000"/>
          <w:sz w:val="20"/>
          <w:szCs w:val="20"/>
        </w:rPr>
        <w:t xml:space="preserve">, </w:t>
      </w:r>
      <w:r w:rsidRPr="008C2D2F">
        <w:rPr>
          <w:rFonts w:eastAsia="Calibri"/>
          <w:i/>
          <w:color w:val="000000"/>
          <w:sz w:val="20"/>
          <w:szCs w:val="20"/>
        </w:rPr>
        <w:t>Bacillus anthracis</w:t>
      </w:r>
      <w:r w:rsidRPr="008C2D2F">
        <w:rPr>
          <w:rFonts w:eastAsia="Calibri"/>
          <w:color w:val="000000"/>
          <w:sz w:val="20"/>
          <w:szCs w:val="20"/>
        </w:rPr>
        <w:t xml:space="preserve">, and </w:t>
      </w:r>
      <w:r w:rsidRPr="008C2D2F">
        <w:rPr>
          <w:rFonts w:eastAsia="Calibri"/>
          <w:i/>
          <w:color w:val="000000"/>
          <w:sz w:val="20"/>
          <w:szCs w:val="20"/>
        </w:rPr>
        <w:t>Bacillus cereus</w:t>
      </w:r>
      <w:r w:rsidRPr="008C2D2F">
        <w:rPr>
          <w:rFonts w:eastAsia="Calibri"/>
          <w:color w:val="000000"/>
          <w:sz w:val="20"/>
          <w:szCs w:val="20"/>
        </w:rPr>
        <w:t xml:space="preserve">. Both the proposed AgNPs and AuNPs demonstrated anticoagulant action. The authors considered the proposed methodology to be rapid, easy, environmentally friendly, and highly economical, with the potential for application across a wide biological spectrum and on a large scale. This suggests the possibility of future innovations in these syntheses. The AuNPs produced from </w:t>
      </w:r>
      <w:r w:rsidRPr="008C2D2F">
        <w:rPr>
          <w:rFonts w:eastAsia="Calibri"/>
          <w:i/>
          <w:color w:val="000000"/>
          <w:sz w:val="20"/>
          <w:szCs w:val="20"/>
        </w:rPr>
        <w:t>Penicillium crustosum</w:t>
      </w:r>
      <w:r w:rsidRPr="008C2D2F">
        <w:rPr>
          <w:rFonts w:eastAsia="Calibri"/>
          <w:color w:val="000000"/>
          <w:sz w:val="20"/>
          <w:szCs w:val="20"/>
        </w:rPr>
        <w:t xml:space="preserve"> by Barabadi et al. (2014) exhibited a UV-Vis absorption band resulting from aromatic amino acids of proteins. The</w:t>
      </w:r>
      <w:r w:rsidRPr="0071592B">
        <w:rPr>
          <w:rFonts w:ascii="Calibri" w:eastAsia="Calibri" w:hAnsi="Calibri" w:cs="Calibri"/>
          <w:color w:val="000000"/>
        </w:rPr>
        <w:t xml:space="preserve"> </w:t>
      </w:r>
      <w:r w:rsidRPr="008C2D2F">
        <w:rPr>
          <w:rFonts w:eastAsia="Calibri"/>
          <w:color w:val="000000"/>
          <w:sz w:val="20"/>
          <w:szCs w:val="20"/>
        </w:rPr>
        <w:t>FTIR spectrum showed peaks at 3432 cm-1 associated with O-H stretching and at 2922.26 cm-1 attributed to the C-H stretch of methylene groups in proteins. The bands at 1407.36 and 1629.91 cm-1 corresponded to the N-H curve of primary amines and carbonyl stretching in proteins, respectively. The obtained AuNPs had an average size of 100 nm and a spherical shape after experimental optimization.</w:t>
      </w:r>
    </w:p>
    <w:p w14:paraId="0AD8A41D"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In the study by Madhumitha, Elango, and Roopan (2014), AgNPs synthesized with chemical reagents using different methods had their stability observed based on morphological characteristics. The researchers reported the effectiveness and safety of these AgNPs, proposing mechanisms for their interaction against methicillin-resistant Staphylococcus aureus (MRSA) in human cells. According to the authors, silver is a suitable metal for applications in the field of medicine and for use in living organisms. AgNPs were found to kill bacteria at low concentrations, in the range of mg/L, without acute toxicity in human cells. The use of AgNPs associated with polymers can enhance antimicrobial action. Colloidal solutions prepared with AgNPs can remain stable for up to six months, and it was observed that advanced synthetic techniques with greater dispersion stability increase antibacterial activity.</w:t>
      </w:r>
    </w:p>
    <w:p w14:paraId="341CA2EF"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 xml:space="preserve">According to Viana et al. (2021), predictions suggest that by 2050, bacterial infections could lead to the deaths of ten million patients per year. These authors found that AgNPs synthesized from cashew tree extracts and curcumin exhibited inhibitory action against </w:t>
      </w:r>
      <w:r w:rsidRPr="008C2D2F">
        <w:rPr>
          <w:rFonts w:eastAsia="Calibri"/>
          <w:i/>
          <w:color w:val="000000"/>
          <w:sz w:val="20"/>
          <w:szCs w:val="20"/>
        </w:rPr>
        <w:t>S. aureus</w:t>
      </w:r>
      <w:r w:rsidRPr="008C2D2F">
        <w:rPr>
          <w:rFonts w:eastAsia="Calibri"/>
          <w:color w:val="000000"/>
          <w:sz w:val="20"/>
          <w:szCs w:val="20"/>
        </w:rPr>
        <w:t>, with nanoparticle sizes of 20 nm.</w:t>
      </w:r>
    </w:p>
    <w:p w14:paraId="49A37FB8"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To assess the physical size of NPs, microscopy techniques can be employed when in their solid state. In a liquid medium, Dynamic Light Scattering (DLS) is commonly used. Fourier Transform Infrared Spectroscopy (FTIR) is a simple and cost-effective method that indicates the presence of functional groups in molecules during the bio-reduction of metal ions (SARGAZI et al., 2022).</w:t>
      </w:r>
    </w:p>
    <w:p w14:paraId="206787F8"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NPs can also be successfully employed as a chromium adsorbent, contributing to the treatment of wastewater, according to Ren et al. (2017). These authors proposed the synthesis of porous magnetite NPs using titanium residue as an oxidizing agent and pyrite as a reducing agent in a controlled atmosphere. Thus, NPs can contribute to sustainable development and environmental protection, including promoting waste recycling initiatives.</w:t>
      </w:r>
    </w:p>
    <w:p w14:paraId="3ED7EB91" w14:textId="77777777" w:rsidR="00230D4E" w:rsidRPr="008C2D2F" w:rsidRDefault="00230D4E" w:rsidP="00230D4E">
      <w:pPr>
        <w:pBdr>
          <w:top w:val="nil"/>
          <w:left w:val="nil"/>
          <w:bottom w:val="nil"/>
          <w:right w:val="nil"/>
          <w:between w:val="nil"/>
        </w:pBdr>
        <w:ind w:firstLine="708"/>
        <w:jc w:val="both"/>
        <w:rPr>
          <w:rFonts w:eastAsia="Calibri"/>
          <w:color w:val="000000"/>
          <w:sz w:val="20"/>
          <w:szCs w:val="20"/>
        </w:rPr>
      </w:pPr>
    </w:p>
    <w:p w14:paraId="7C74F589" w14:textId="77777777" w:rsidR="00230D4E" w:rsidRPr="008C2D2F" w:rsidRDefault="00230D4E" w:rsidP="00230D4E">
      <w:pPr>
        <w:pBdr>
          <w:top w:val="nil"/>
          <w:left w:val="nil"/>
          <w:bottom w:val="nil"/>
          <w:right w:val="nil"/>
          <w:between w:val="nil"/>
        </w:pBdr>
        <w:ind w:firstLine="708"/>
        <w:jc w:val="both"/>
        <w:rPr>
          <w:rFonts w:eastAsia="Calibri"/>
          <w:b/>
          <w:color w:val="000000"/>
          <w:sz w:val="20"/>
          <w:szCs w:val="20"/>
        </w:rPr>
      </w:pPr>
      <w:r>
        <w:rPr>
          <w:rFonts w:eastAsia="Calibri"/>
          <w:b/>
          <w:color w:val="000000"/>
          <w:sz w:val="20"/>
          <w:szCs w:val="20"/>
        </w:rPr>
        <w:t>5 Conclusion</w:t>
      </w:r>
    </w:p>
    <w:p w14:paraId="2DFC7D22" w14:textId="77777777" w:rsidR="00230D4E" w:rsidRPr="008C2D2F" w:rsidRDefault="00230D4E" w:rsidP="00230D4E">
      <w:pPr>
        <w:pBdr>
          <w:top w:val="nil"/>
          <w:left w:val="nil"/>
          <w:bottom w:val="nil"/>
          <w:right w:val="nil"/>
          <w:between w:val="nil"/>
        </w:pBdr>
        <w:spacing w:line="276" w:lineRule="auto"/>
        <w:ind w:firstLine="708"/>
        <w:jc w:val="both"/>
        <w:rPr>
          <w:rFonts w:eastAsia="Calibri"/>
          <w:color w:val="000000"/>
          <w:sz w:val="20"/>
          <w:szCs w:val="20"/>
        </w:rPr>
      </w:pPr>
      <w:r w:rsidRPr="008C2D2F">
        <w:rPr>
          <w:rFonts w:eastAsia="Calibri"/>
          <w:color w:val="000000"/>
          <w:sz w:val="20"/>
          <w:szCs w:val="20"/>
        </w:rPr>
        <w:t>Metallic silver and gold nanoparticles produced through green synthesis using extracts from ginseng species and similar plants have significant potential applications as anticancer and antibacterial agents. The majority of scientific studies have focused on P. ginseng, known as Korean ginseng, due to its medicinal properties and health benefits. Regarding microorganisms studied</w:t>
      </w:r>
      <w:r w:rsidRPr="008C2D2F">
        <w:rPr>
          <w:rFonts w:eastAsia="Calibri"/>
          <w:i/>
          <w:color w:val="000000"/>
          <w:sz w:val="20"/>
          <w:szCs w:val="20"/>
        </w:rPr>
        <w:t xml:space="preserve">, E. coli </w:t>
      </w:r>
      <w:r w:rsidRPr="008C2D2F">
        <w:rPr>
          <w:rFonts w:eastAsia="Calibri"/>
          <w:color w:val="000000"/>
          <w:sz w:val="20"/>
          <w:szCs w:val="20"/>
        </w:rPr>
        <w:t xml:space="preserve">and </w:t>
      </w:r>
      <w:r w:rsidRPr="008C2D2F">
        <w:rPr>
          <w:rFonts w:eastAsia="Calibri"/>
          <w:i/>
          <w:color w:val="000000"/>
          <w:sz w:val="20"/>
          <w:szCs w:val="20"/>
        </w:rPr>
        <w:t>S. aureus</w:t>
      </w:r>
      <w:r w:rsidRPr="008C2D2F">
        <w:rPr>
          <w:rFonts w:eastAsia="Calibri"/>
          <w:color w:val="000000"/>
          <w:sz w:val="20"/>
          <w:szCs w:val="20"/>
        </w:rPr>
        <w:t xml:space="preserve"> have been the primary focus of research. In general, the formation time of AuNPs (gold nanoparticles) presents a significant advantage as they form in a considerably shorter time compared to AgNPs (silver nanoparticles).</w:t>
      </w:r>
    </w:p>
    <w:p w14:paraId="4A595EA3" w14:textId="77777777" w:rsidR="00230D4E" w:rsidRDefault="00230D4E" w:rsidP="00230D4E">
      <w:pPr>
        <w:pBdr>
          <w:top w:val="nil"/>
          <w:left w:val="nil"/>
          <w:bottom w:val="nil"/>
          <w:right w:val="nil"/>
          <w:between w:val="nil"/>
        </w:pBdr>
        <w:spacing w:line="276" w:lineRule="auto"/>
        <w:ind w:firstLine="708"/>
        <w:jc w:val="both"/>
        <w:rPr>
          <w:rFonts w:eastAsia="Calibri"/>
          <w:i/>
          <w:color w:val="000000"/>
          <w:sz w:val="20"/>
          <w:szCs w:val="20"/>
        </w:rPr>
      </w:pPr>
      <w:r w:rsidRPr="008C2D2F">
        <w:rPr>
          <w:rFonts w:eastAsia="Calibri"/>
          <w:color w:val="000000"/>
          <w:sz w:val="20"/>
          <w:szCs w:val="20"/>
        </w:rPr>
        <w:lastRenderedPageBreak/>
        <w:t xml:space="preserve">In this context, the results of this study contribute valuable insights into the mechanisms of nanoparticle formation using plant extracts. There is a highlighted need for further research on green synthesis, aiming to explore the contributions of the studied species, particularly </w:t>
      </w:r>
      <w:r w:rsidRPr="008C2D2F">
        <w:rPr>
          <w:rFonts w:eastAsia="Calibri"/>
          <w:i/>
          <w:color w:val="000000"/>
          <w:sz w:val="20"/>
          <w:szCs w:val="20"/>
        </w:rPr>
        <w:t>P. glomerata.</w:t>
      </w:r>
    </w:p>
    <w:p w14:paraId="61907286" w14:textId="77777777" w:rsidR="00230D4E" w:rsidRPr="007E129A" w:rsidRDefault="00230D4E" w:rsidP="00230D4E">
      <w:pPr>
        <w:pBdr>
          <w:top w:val="nil"/>
          <w:left w:val="nil"/>
          <w:bottom w:val="nil"/>
          <w:right w:val="nil"/>
          <w:between w:val="nil"/>
        </w:pBdr>
        <w:spacing w:line="276" w:lineRule="auto"/>
        <w:ind w:firstLine="708"/>
        <w:jc w:val="both"/>
        <w:rPr>
          <w:rFonts w:eastAsia="Calibri"/>
          <w:b/>
          <w:i/>
          <w:color w:val="000000"/>
          <w:sz w:val="20"/>
          <w:szCs w:val="20"/>
        </w:rPr>
      </w:pPr>
    </w:p>
    <w:p w14:paraId="0EB0DF6C" w14:textId="62E97704" w:rsidR="00977857" w:rsidRDefault="00977857" w:rsidP="00230D4E">
      <w:pPr>
        <w:pBdr>
          <w:top w:val="nil"/>
          <w:left w:val="nil"/>
          <w:bottom w:val="nil"/>
          <w:right w:val="nil"/>
          <w:between w:val="nil"/>
        </w:pBdr>
        <w:spacing w:line="276" w:lineRule="auto"/>
        <w:ind w:firstLine="708"/>
        <w:jc w:val="both"/>
        <w:rPr>
          <w:rFonts w:eastAsia="Calibri"/>
          <w:b/>
          <w:color w:val="000000"/>
          <w:sz w:val="20"/>
          <w:szCs w:val="20"/>
        </w:rPr>
      </w:pPr>
    </w:p>
    <w:p w14:paraId="3187CFC9" w14:textId="77777777" w:rsidR="00535475" w:rsidRPr="0082687A" w:rsidRDefault="00535475" w:rsidP="00230D4E">
      <w:pPr>
        <w:pBdr>
          <w:top w:val="nil"/>
          <w:left w:val="nil"/>
          <w:bottom w:val="nil"/>
          <w:right w:val="nil"/>
          <w:between w:val="nil"/>
        </w:pBdr>
        <w:spacing w:line="276" w:lineRule="auto"/>
        <w:ind w:firstLine="708"/>
        <w:jc w:val="both"/>
        <w:rPr>
          <w:rFonts w:eastAsia="Calibri"/>
          <w:color w:val="000000"/>
          <w:sz w:val="20"/>
          <w:szCs w:val="20"/>
        </w:rPr>
      </w:pPr>
    </w:p>
    <w:p w14:paraId="7D865A50" w14:textId="77777777" w:rsidR="00230D4E" w:rsidRPr="008C2D2F" w:rsidRDefault="00230D4E" w:rsidP="00230D4E">
      <w:pPr>
        <w:pBdr>
          <w:top w:val="nil"/>
          <w:left w:val="nil"/>
          <w:bottom w:val="nil"/>
          <w:right w:val="nil"/>
          <w:between w:val="nil"/>
        </w:pBdr>
        <w:ind w:firstLine="708"/>
        <w:jc w:val="both"/>
        <w:rPr>
          <w:rFonts w:eastAsia="Calibri"/>
          <w:color w:val="000000"/>
          <w:sz w:val="20"/>
          <w:szCs w:val="20"/>
        </w:rPr>
      </w:pPr>
    </w:p>
    <w:p w14:paraId="2643B4E3" w14:textId="77777777" w:rsidR="00230D4E" w:rsidRPr="008C2D2F" w:rsidRDefault="00230D4E" w:rsidP="00230D4E">
      <w:pPr>
        <w:spacing w:line="288" w:lineRule="auto"/>
        <w:ind w:left="1418" w:hanging="1276"/>
        <w:rPr>
          <w:rFonts w:eastAsia="Calibri"/>
          <w:sz w:val="20"/>
          <w:szCs w:val="20"/>
        </w:rPr>
      </w:pPr>
      <w:r w:rsidRPr="008C2D2F">
        <w:rPr>
          <w:rFonts w:eastAsia="Calibri"/>
          <w:b/>
          <w:sz w:val="20"/>
          <w:szCs w:val="20"/>
        </w:rPr>
        <w:t>6 R</w:t>
      </w:r>
      <w:r>
        <w:rPr>
          <w:rFonts w:eastAsia="Calibri"/>
          <w:b/>
          <w:sz w:val="20"/>
          <w:szCs w:val="20"/>
        </w:rPr>
        <w:t xml:space="preserve">eferences </w:t>
      </w:r>
    </w:p>
    <w:p w14:paraId="0E7F2BD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Abisharani, J. M., Devikala, S., Kumar, R. D., Arthanareeswari, M., &amp; Kamaraj, P. (2019). Green synthesis of TiO</w:t>
      </w:r>
      <w:r w:rsidRPr="008C2D2F">
        <w:rPr>
          <w:rFonts w:eastAsia="Calibri"/>
          <w:sz w:val="20"/>
          <w:szCs w:val="20"/>
          <w:vertAlign w:val="subscript"/>
        </w:rPr>
        <w:t>2</w:t>
      </w:r>
      <w:r w:rsidRPr="008C2D2F">
        <w:rPr>
          <w:rFonts w:eastAsia="Calibri"/>
          <w:sz w:val="20"/>
          <w:szCs w:val="20"/>
        </w:rPr>
        <w:t xml:space="preserve"> nanoparticles using Cucurbita pepo seeds extract. </w:t>
      </w:r>
      <w:r w:rsidRPr="008C2D2F">
        <w:rPr>
          <w:rFonts w:eastAsia="Calibri"/>
          <w:i/>
          <w:sz w:val="20"/>
          <w:szCs w:val="20"/>
        </w:rPr>
        <w:t>Materials Today: Proceedings</w:t>
      </w:r>
      <w:r w:rsidRPr="008C2D2F">
        <w:rPr>
          <w:rFonts w:eastAsia="Calibri"/>
          <w:sz w:val="20"/>
          <w:szCs w:val="20"/>
        </w:rPr>
        <w:t>, 14, 302–307. https://doi.org/10.1016/j.matpr.2019.04.151</w:t>
      </w:r>
    </w:p>
    <w:p w14:paraId="3FC122C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Adam, R., &amp; Khan, S. B. (2021). Antimicrobial efficacy of silver nanoparticles against Candida albicans: A systematic review protocol. </w:t>
      </w:r>
      <w:r w:rsidRPr="008C2D2F">
        <w:rPr>
          <w:rFonts w:eastAsia="Calibri"/>
          <w:i/>
          <w:sz w:val="20"/>
          <w:szCs w:val="20"/>
        </w:rPr>
        <w:t>Plos One</w:t>
      </w:r>
      <w:r w:rsidRPr="008C2D2F">
        <w:rPr>
          <w:rFonts w:eastAsia="Calibri"/>
          <w:sz w:val="20"/>
          <w:szCs w:val="20"/>
        </w:rPr>
        <w:t>, 16(1), 1-13. https://doi.org/10.1371/journal.pone.0245811</w:t>
      </w:r>
    </w:p>
    <w:p w14:paraId="6F611AE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Albarelli, J., Vardanega, R., Wilkins, N., Santos, D. T., Maréchal, F., &amp; Meireles, M. A. A. (2016). Economical analysis of a pressurized fluid-based process applied for phytochemicals recovery in a sustainable biorefinery concept for Brazilian ginseng roots. </w:t>
      </w:r>
      <w:r w:rsidRPr="008C2D2F">
        <w:rPr>
          <w:rFonts w:eastAsia="Calibri"/>
          <w:i/>
          <w:sz w:val="20"/>
          <w:szCs w:val="20"/>
        </w:rPr>
        <w:t>Chemical Engineering Transactions</w:t>
      </w:r>
      <w:r w:rsidRPr="008C2D2F">
        <w:rPr>
          <w:rFonts w:eastAsia="Calibri"/>
          <w:sz w:val="20"/>
          <w:szCs w:val="20"/>
        </w:rPr>
        <w:t>, 50, 355-360. https://doi.org/10.3303/CET1650060</w:t>
      </w:r>
    </w:p>
    <w:p w14:paraId="7B527A4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Balakumaran, M. D., Ramachandran, R., Balashanmugam, P., Mukeshkumar, D. J., &amp; Kalaichelvan, P. T. (2015). Mycosynthesis of silver and gold nanoparticles: Optimization, characterization and antimicrobial activity against human pathogens. </w:t>
      </w:r>
      <w:r w:rsidRPr="008C2D2F">
        <w:rPr>
          <w:rFonts w:eastAsia="Calibri"/>
          <w:i/>
          <w:sz w:val="20"/>
          <w:szCs w:val="20"/>
        </w:rPr>
        <w:t>Microbiological Research</w:t>
      </w:r>
      <w:r w:rsidRPr="008C2D2F">
        <w:rPr>
          <w:rFonts w:eastAsia="Calibri"/>
          <w:sz w:val="20"/>
          <w:szCs w:val="20"/>
        </w:rPr>
        <w:t>, 182, 8-20. https://doi.org/10.1016/j.micres.2015.09.009</w:t>
      </w:r>
    </w:p>
    <w:p w14:paraId="262A6FA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Balouiri, M., Sadiki, M., &amp; Ibn Souda, S. K. (2015). Methods for in vitro evaluating antimicrobial activity: A review. </w:t>
      </w:r>
      <w:r w:rsidRPr="008C2D2F">
        <w:rPr>
          <w:rFonts w:eastAsia="Calibri"/>
          <w:i/>
          <w:sz w:val="20"/>
          <w:szCs w:val="20"/>
        </w:rPr>
        <w:t>Journal of Pharmaceutical Analysis</w:t>
      </w:r>
      <w:r w:rsidRPr="008C2D2F">
        <w:rPr>
          <w:rFonts w:eastAsia="Calibri"/>
          <w:sz w:val="20"/>
          <w:szCs w:val="20"/>
        </w:rPr>
        <w:t>, 6(2), 71-79. https://doi.org/10.1016/j.jpha.2015.11.005</w:t>
      </w:r>
    </w:p>
    <w:p w14:paraId="450B375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Balastretri, C., Sakai, O. A., Barros, B. C. B., Seixas, F. A. V., Sato, F., Ogawa, C. Y. L., Rocha, S. A., &amp; Mello, J. C. P. (2018). Estudo comparativo entre técnicas de extração convencional e limpa e caracterização dos biocompostos do ginseng brasileiro </w:t>
      </w:r>
      <w:r w:rsidRPr="008C2D2F">
        <w:rPr>
          <w:rFonts w:eastAsia="Calibri"/>
          <w:i/>
          <w:sz w:val="20"/>
          <w:szCs w:val="20"/>
        </w:rPr>
        <w:t>Pfaffia glomerata</w:t>
      </w:r>
      <w:r w:rsidRPr="008C2D2F">
        <w:rPr>
          <w:rFonts w:eastAsia="Calibri"/>
          <w:sz w:val="20"/>
          <w:szCs w:val="20"/>
        </w:rPr>
        <w:t xml:space="preserve"> utilizando FT-RAMAN e FT-NIR. </w:t>
      </w:r>
      <w:r w:rsidRPr="008C2D2F">
        <w:rPr>
          <w:rFonts w:eastAsia="Calibri"/>
          <w:i/>
          <w:sz w:val="20"/>
          <w:szCs w:val="20"/>
        </w:rPr>
        <w:t>Advances in Cleaner Production</w:t>
      </w:r>
      <w:r w:rsidRPr="008C2D2F">
        <w:rPr>
          <w:rFonts w:eastAsia="Calibri"/>
          <w:sz w:val="20"/>
          <w:szCs w:val="20"/>
        </w:rPr>
        <w:t>, 7, 1-9.</w:t>
      </w:r>
    </w:p>
    <w:p w14:paraId="5A57936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Baláž, M., Bedlovičová, Z., Daneu, N., Siksa, P., Sokoli, L., Tkáčiková, L., Salayová, A., Džunda, R., Kováčová, M., Bureš, R., &amp; Bujňáková, Z. L. (2021). Mechanochemistry as an alternative method of green synthesis of silver nanoparticles with antibacterial activity: A comparative study. </w:t>
      </w:r>
      <w:r w:rsidRPr="008C2D2F">
        <w:rPr>
          <w:rFonts w:eastAsia="Calibri"/>
          <w:i/>
          <w:sz w:val="20"/>
          <w:szCs w:val="20"/>
        </w:rPr>
        <w:t>Nanomaterials</w:t>
      </w:r>
      <w:r w:rsidRPr="008C2D2F">
        <w:rPr>
          <w:rFonts w:eastAsia="Calibri"/>
          <w:sz w:val="20"/>
          <w:szCs w:val="20"/>
        </w:rPr>
        <w:t>, 11(5), 1139. https://doi.org/10.3390/nano11051139</w:t>
      </w:r>
    </w:p>
    <w:p w14:paraId="6CBE74C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Barabadi, H., Honary, S., Ebrahimi, P., Mohammadi, M. A., Alizadeh, A., &amp; Naghibi, F. (2014). Microbial mediated preparation, characterization, and optimization of gold nanoparticles. </w:t>
      </w:r>
      <w:r w:rsidRPr="008C2D2F">
        <w:rPr>
          <w:rFonts w:eastAsia="Calibri"/>
          <w:i/>
          <w:sz w:val="20"/>
          <w:szCs w:val="20"/>
        </w:rPr>
        <w:t>Brazilian Journal of Microbiology</w:t>
      </w:r>
      <w:r w:rsidRPr="008C2D2F">
        <w:rPr>
          <w:rFonts w:eastAsia="Calibri"/>
          <w:sz w:val="20"/>
          <w:szCs w:val="20"/>
        </w:rPr>
        <w:t>, 45(4), 1493-1501. https://doi.org/10.1590/S1517-83822014000400046</w:t>
      </w:r>
    </w:p>
    <w:p w14:paraId="61924C5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Behravan, M., Panahi, A. H., Naghizadeh, A., Ziaee, M., Mahdavi, R., &amp; Mirzapour, A. (2018). Facile green synthesis of silver nanoparticles using </w:t>
      </w:r>
      <w:r w:rsidRPr="008C2D2F">
        <w:rPr>
          <w:rFonts w:eastAsia="Calibri"/>
          <w:i/>
          <w:sz w:val="20"/>
          <w:szCs w:val="20"/>
        </w:rPr>
        <w:t>Berberis vulgaris</w:t>
      </w:r>
      <w:r w:rsidRPr="008C2D2F">
        <w:rPr>
          <w:rFonts w:eastAsia="Calibri"/>
          <w:sz w:val="20"/>
          <w:szCs w:val="20"/>
        </w:rPr>
        <w:t xml:space="preserve"> leaf and root aqueous extract and its antibacterial activity. </w:t>
      </w:r>
      <w:r w:rsidRPr="008C2D2F">
        <w:rPr>
          <w:rFonts w:eastAsia="Calibri"/>
          <w:i/>
          <w:sz w:val="20"/>
          <w:szCs w:val="20"/>
        </w:rPr>
        <w:t>International Journal of Biological Macromolecules</w:t>
      </w:r>
      <w:r w:rsidRPr="008C2D2F">
        <w:rPr>
          <w:rFonts w:eastAsia="Calibri"/>
          <w:sz w:val="20"/>
          <w:szCs w:val="20"/>
        </w:rPr>
        <w:t>, 124, 148-154. https://doi.org/10.1016/j.ijbiomac.2018.11.101</w:t>
      </w:r>
    </w:p>
    <w:p w14:paraId="44873D8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Carmona, R. E., Benito, N., Plaza, T., &amp; Sánchez, G. R. (2017). Green synthesis of silver nanoparticles by using leaf extracts from the endemic </w:t>
      </w:r>
      <w:r w:rsidRPr="008C2D2F">
        <w:rPr>
          <w:rFonts w:eastAsia="Calibri"/>
          <w:i/>
          <w:sz w:val="20"/>
          <w:szCs w:val="20"/>
        </w:rPr>
        <w:t xml:space="preserve">Buddleja globosa </w:t>
      </w:r>
      <w:r w:rsidRPr="008C2D2F">
        <w:rPr>
          <w:rFonts w:eastAsia="Calibri"/>
          <w:sz w:val="20"/>
          <w:szCs w:val="20"/>
        </w:rPr>
        <w:t xml:space="preserve">Hope. </w:t>
      </w:r>
      <w:r w:rsidRPr="008C2D2F">
        <w:rPr>
          <w:rFonts w:eastAsia="Calibri"/>
          <w:i/>
          <w:sz w:val="20"/>
          <w:szCs w:val="20"/>
        </w:rPr>
        <w:t>Green Chemistry Letters and Reviews</w:t>
      </w:r>
      <w:r w:rsidRPr="008C2D2F">
        <w:rPr>
          <w:rFonts w:eastAsia="Calibri"/>
          <w:sz w:val="20"/>
          <w:szCs w:val="20"/>
        </w:rPr>
        <w:t>, 10(4), 250-256. https://doi.org/10.1080/17518253.2017.1360400</w:t>
      </w:r>
    </w:p>
    <w:p w14:paraId="134F7BE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Castañeda, J. A. R., Ravina, A. R., Lorenzo, R. B., Gonzalez, J. E. P., Campos, J. C. S., &amp; Salinas, D. F. (2018). Mortality due to KPC carbapenemase-producing Klebsiella pneumoniae infections: Systematic review and meta-analysis: Mortality due to KPC Klebsiella pneumoniae infections. </w:t>
      </w:r>
      <w:r w:rsidRPr="008C2D2F">
        <w:rPr>
          <w:rFonts w:eastAsia="Calibri"/>
          <w:i/>
          <w:sz w:val="20"/>
          <w:szCs w:val="20"/>
        </w:rPr>
        <w:t>Journal of Infection</w:t>
      </w:r>
      <w:r w:rsidRPr="008C2D2F">
        <w:rPr>
          <w:rFonts w:eastAsia="Calibri"/>
          <w:sz w:val="20"/>
          <w:szCs w:val="20"/>
        </w:rPr>
        <w:t>, 76(5), 438-448. https://doi.org/10.1016/j.jinf.2018.02.007</w:t>
      </w:r>
    </w:p>
    <w:p w14:paraId="6B50C799"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Castro-Aceituno, V., Ahn, S., Simu, S. Y., Singh, P., Mathiyalagan, R., Lee, H. A., &amp; Yang, D. C (2016). Anticancer activity of silver nanoparticles from </w:t>
      </w:r>
      <w:r w:rsidRPr="008C2D2F">
        <w:rPr>
          <w:rFonts w:eastAsia="Calibri"/>
          <w:i/>
          <w:sz w:val="20"/>
          <w:szCs w:val="20"/>
        </w:rPr>
        <w:t>Panax ginseng</w:t>
      </w:r>
      <w:r w:rsidRPr="008C2D2F">
        <w:rPr>
          <w:rFonts w:eastAsia="Calibri"/>
          <w:sz w:val="20"/>
          <w:szCs w:val="20"/>
        </w:rPr>
        <w:t xml:space="preserve"> fresh leaves in human cancer cells. </w:t>
      </w:r>
      <w:r w:rsidRPr="008C2D2F">
        <w:rPr>
          <w:rFonts w:eastAsia="Calibri"/>
          <w:i/>
          <w:sz w:val="20"/>
          <w:szCs w:val="20"/>
        </w:rPr>
        <w:t>Biomedicine &amp; Pharmacotherapy</w:t>
      </w:r>
      <w:r w:rsidRPr="008C2D2F">
        <w:rPr>
          <w:rFonts w:eastAsia="Calibri"/>
          <w:sz w:val="20"/>
          <w:szCs w:val="20"/>
        </w:rPr>
        <w:t>, 84, 158-165. https://doi.org/10.1016/j.biopha.2016.09.016</w:t>
      </w:r>
    </w:p>
    <w:p w14:paraId="1506166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lastRenderedPageBreak/>
        <w:t>Chen, J., Luo, H., Shi, H., Li, G., &amp; An, T. (2014). Anatase TiO</w:t>
      </w:r>
      <w:r w:rsidRPr="008C2D2F">
        <w:rPr>
          <w:rFonts w:eastAsia="Calibri"/>
          <w:sz w:val="20"/>
          <w:szCs w:val="20"/>
          <w:vertAlign w:val="subscript"/>
        </w:rPr>
        <w:t>2</w:t>
      </w:r>
      <w:r w:rsidRPr="008C2D2F">
        <w:rPr>
          <w:rFonts w:eastAsia="Calibri"/>
          <w:sz w:val="20"/>
          <w:szCs w:val="20"/>
        </w:rPr>
        <w:t xml:space="preserve"> nanoparticles-carbon nanotubes composite: Optimization synthesis and the relationship of photocatalytic degradation activity of acyclovir in water. </w:t>
      </w:r>
      <w:r w:rsidRPr="008C2D2F">
        <w:rPr>
          <w:rFonts w:eastAsia="Calibri"/>
          <w:i/>
          <w:sz w:val="20"/>
          <w:szCs w:val="20"/>
        </w:rPr>
        <w:t>Applied Catalysis A: General</w:t>
      </w:r>
      <w:r w:rsidRPr="008C2D2F">
        <w:rPr>
          <w:rFonts w:eastAsia="Calibri"/>
          <w:sz w:val="20"/>
          <w:szCs w:val="20"/>
        </w:rPr>
        <w:t xml:space="preserve">, 485, 188-195. </w:t>
      </w:r>
      <w:r>
        <w:fldChar w:fldCharType="begin"/>
      </w:r>
      <w:r>
        <w:instrText>HYPERLINK "https://doi.org/10.1016/j.apcata.2014.08.004"</w:instrText>
      </w:r>
      <w:r>
        <w:fldChar w:fldCharType="separate"/>
      </w:r>
      <w:r w:rsidRPr="008C2D2F">
        <w:rPr>
          <w:rStyle w:val="Hyperlink"/>
          <w:rFonts w:eastAsia="Calibri"/>
          <w:sz w:val="20"/>
          <w:szCs w:val="20"/>
        </w:rPr>
        <w:t>https://doi.org/10.1016/j.apcata.2014.08.004</w:t>
      </w:r>
      <w:r>
        <w:fldChar w:fldCharType="end"/>
      </w:r>
    </w:p>
    <w:p w14:paraId="2595E40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Correa, L. T., Nicoletti, M. A., De Amorim, C. S., Da Costa, A. R., Leoni, L. A. B., Munõz, J. W. P., &amp; Fukushima, A. R. (2020). Atividade antimicrobiana do óleo essencial de Melaleuca e sua incorporação em um creme mucocutâneo. </w:t>
      </w:r>
      <w:r w:rsidRPr="008C2D2F">
        <w:rPr>
          <w:rFonts w:eastAsia="Calibri"/>
          <w:i/>
          <w:sz w:val="20"/>
          <w:szCs w:val="20"/>
        </w:rPr>
        <w:t>Revista Fitos</w:t>
      </w:r>
      <w:r w:rsidRPr="008C2D2F">
        <w:rPr>
          <w:rFonts w:eastAsia="Calibri"/>
          <w:sz w:val="20"/>
          <w:szCs w:val="20"/>
        </w:rPr>
        <w:t xml:space="preserve">, v. 14, n. 1. </w:t>
      </w:r>
      <w:hyperlink r:id="rId22" w:history="1">
        <w:r w:rsidRPr="008C2D2F">
          <w:rPr>
            <w:rStyle w:val="Hyperlink"/>
            <w:rFonts w:eastAsia="Calibri"/>
            <w:sz w:val="20"/>
            <w:szCs w:val="20"/>
          </w:rPr>
          <w:t>https://doi.org/10.32712/2446-4775.2020.818</w:t>
        </w:r>
      </w:hyperlink>
    </w:p>
    <w:p w14:paraId="025AABE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Deshmukh, A. R., Gupta, A., &amp; Kim, B. S. (2019). Ultrasound-assisted green synthesis of silver and iron oxide nanoparticles using fenugreek seed extract and their enhanced antibacterial and antioxidant activities. </w:t>
      </w:r>
      <w:r w:rsidRPr="008C2D2F">
        <w:rPr>
          <w:rFonts w:eastAsia="Calibri"/>
          <w:i/>
          <w:sz w:val="20"/>
          <w:szCs w:val="20"/>
        </w:rPr>
        <w:t>BioMed Research International</w:t>
      </w:r>
      <w:r w:rsidRPr="008C2D2F">
        <w:rPr>
          <w:rFonts w:eastAsia="Calibri"/>
          <w:sz w:val="20"/>
          <w:szCs w:val="20"/>
        </w:rPr>
        <w:t xml:space="preserve">, 2019, 1-13. </w:t>
      </w:r>
      <w:r>
        <w:fldChar w:fldCharType="begin"/>
      </w:r>
      <w:r>
        <w:instrText>HYPERLINK "https://doi.org/10.1155/2019/1714358"</w:instrText>
      </w:r>
      <w:r>
        <w:fldChar w:fldCharType="separate"/>
      </w:r>
      <w:r w:rsidRPr="008C2D2F">
        <w:rPr>
          <w:rStyle w:val="Hyperlink"/>
          <w:rFonts w:eastAsia="Calibri"/>
          <w:sz w:val="20"/>
          <w:szCs w:val="20"/>
        </w:rPr>
        <w:t>https://doi.org/10.1155/2019/1714358</w:t>
      </w:r>
      <w:r>
        <w:fldChar w:fldCharType="end"/>
      </w:r>
    </w:p>
    <w:p w14:paraId="6B80927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Elsharkawy, E. R. (2018). Antimicrobial activity of silver nanoparticles, synthesis by green method from Artemisia monosperma. </w:t>
      </w:r>
      <w:r w:rsidRPr="008C2D2F">
        <w:rPr>
          <w:rFonts w:eastAsia="Calibri"/>
          <w:i/>
          <w:sz w:val="20"/>
          <w:szCs w:val="20"/>
        </w:rPr>
        <w:t>Oriental Journal of Chemistry</w:t>
      </w:r>
      <w:r w:rsidRPr="008C2D2F">
        <w:rPr>
          <w:rFonts w:eastAsia="Calibri"/>
          <w:sz w:val="20"/>
          <w:szCs w:val="20"/>
        </w:rPr>
        <w:t>, 34(3), 1420-1426. http://dx.doi.org/10.13005/ojc/340331</w:t>
      </w:r>
    </w:p>
    <w:p w14:paraId="3E7F636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Fenglian, W., Zhu, J., Li, G., Wang, J., Veeraraghavan, V. P., Mohan, S. K., &amp; Zhang, Q. (2019). Biologically synthesized green gold nanoparticles from Siberian ginseng induce a growth-inhibitory effect on melanoma cells (B16). </w:t>
      </w:r>
      <w:r w:rsidRPr="008C2D2F">
        <w:rPr>
          <w:rFonts w:eastAsia="Calibri"/>
          <w:i/>
          <w:sz w:val="20"/>
          <w:szCs w:val="20"/>
        </w:rPr>
        <w:t>Artificial Cells, Nanomedicine, and Biotechnology</w:t>
      </w:r>
      <w:r w:rsidRPr="008C2D2F">
        <w:rPr>
          <w:rFonts w:eastAsia="Calibri"/>
          <w:sz w:val="20"/>
          <w:szCs w:val="20"/>
        </w:rPr>
        <w:t>, 47(1), 3297-3305. https://doi.org/10.1080/21691401.2019.1647224</w:t>
      </w:r>
    </w:p>
    <w:p w14:paraId="3816441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Gerontakos, S., Taylor, A., Avdeeva, A. Y., Shikova, V. A., Pozharitskaya, O. N., Casteleijn, D., Wardle, J., &amp; Shikov, A. N. (2021). Findings of Russian literature on the clinical application of Eleutherococcus senticosus (Rupr. &amp; Maxim.): A narrative review. </w:t>
      </w:r>
      <w:r w:rsidRPr="008C2D2F">
        <w:rPr>
          <w:rFonts w:eastAsia="Calibri"/>
          <w:i/>
          <w:sz w:val="20"/>
          <w:szCs w:val="20"/>
        </w:rPr>
        <w:t>Journal of Ethnopharmacology</w:t>
      </w:r>
      <w:r w:rsidRPr="008C2D2F">
        <w:rPr>
          <w:rFonts w:eastAsia="Calibri"/>
          <w:sz w:val="20"/>
          <w:szCs w:val="20"/>
        </w:rPr>
        <w:t>, 278, 114274. https://doi.org/10.1016/j.jep.2021.114274</w:t>
      </w:r>
    </w:p>
    <w:p w14:paraId="493FB52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Mohsin, M. M., Hanif, M. A., Ayub, M. A., &amp; Dharmadasa, R. M. (2020). Ginseng. In Medicinal Plants of South Asia (pp. 331-340). Elsevier. </w:t>
      </w:r>
    </w:p>
    <w:p w14:paraId="2C15378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Gouyau, J., Duval, R. E., Boudier, A., &amp; Lamouroux, E. (2021). Investigation of nanoparticles metallic core antibacterial activity: Gold and silver nanoparticles against </w:t>
      </w:r>
      <w:r w:rsidRPr="008C2D2F">
        <w:rPr>
          <w:rFonts w:eastAsia="Calibri"/>
          <w:i/>
          <w:sz w:val="20"/>
          <w:szCs w:val="20"/>
        </w:rPr>
        <w:t>Escherichia coli</w:t>
      </w:r>
      <w:r w:rsidRPr="008C2D2F">
        <w:rPr>
          <w:rFonts w:eastAsia="Calibri"/>
          <w:sz w:val="20"/>
          <w:szCs w:val="20"/>
        </w:rPr>
        <w:t xml:space="preserve"> and </w:t>
      </w:r>
      <w:r w:rsidRPr="008C2D2F">
        <w:rPr>
          <w:rFonts w:eastAsia="Calibri"/>
          <w:i/>
          <w:sz w:val="20"/>
          <w:szCs w:val="20"/>
        </w:rPr>
        <w:t>Staphylococcus aureus</w:t>
      </w:r>
      <w:r w:rsidRPr="008C2D2F">
        <w:rPr>
          <w:rFonts w:eastAsia="Calibri"/>
          <w:sz w:val="20"/>
          <w:szCs w:val="20"/>
        </w:rPr>
        <w:t xml:space="preserve">. </w:t>
      </w:r>
      <w:r w:rsidRPr="008C2D2F">
        <w:rPr>
          <w:rFonts w:eastAsia="Calibri"/>
          <w:i/>
          <w:sz w:val="20"/>
          <w:szCs w:val="20"/>
        </w:rPr>
        <w:t>International Journal of Molecular Sciences</w:t>
      </w:r>
      <w:r w:rsidRPr="008C2D2F">
        <w:rPr>
          <w:rFonts w:eastAsia="Calibri"/>
          <w:sz w:val="20"/>
          <w:szCs w:val="20"/>
        </w:rPr>
        <w:t>, 22(1905). https://doi.org/10.3390/ijms22041905.</w:t>
      </w:r>
    </w:p>
    <w:p w14:paraId="44FF8C1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Hakimi, F., Rashchi, F., Dolati, A., &amp; Astaraei, F. R. (2019). Anodizing Pb electrode for synthesis of β-PbO</w:t>
      </w:r>
      <w:r w:rsidRPr="008C2D2F">
        <w:rPr>
          <w:rFonts w:eastAsia="Calibri"/>
          <w:sz w:val="20"/>
          <w:szCs w:val="20"/>
          <w:vertAlign w:val="subscript"/>
        </w:rPr>
        <w:t>2</w:t>
      </w:r>
      <w:r w:rsidRPr="008C2D2F">
        <w:rPr>
          <w:rFonts w:eastAsia="Calibri"/>
          <w:sz w:val="20"/>
          <w:szCs w:val="20"/>
        </w:rPr>
        <w:t xml:space="preserve"> nanoparticles: Optimization of electrochemical parameters. </w:t>
      </w:r>
      <w:r w:rsidRPr="008C2D2F">
        <w:rPr>
          <w:rFonts w:eastAsia="Calibri"/>
          <w:i/>
          <w:sz w:val="20"/>
          <w:szCs w:val="20"/>
        </w:rPr>
        <w:t>Journal of the Electrochemical Society</w:t>
      </w:r>
      <w:r w:rsidRPr="008C2D2F">
        <w:rPr>
          <w:rFonts w:eastAsia="Calibri"/>
          <w:sz w:val="20"/>
          <w:szCs w:val="20"/>
        </w:rPr>
        <w:t>, 166(13), 617-625. https://doi.org/10.1149/2.0551913jes</w:t>
      </w:r>
    </w:p>
    <w:p w14:paraId="1AADE64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Hanif, M. A. (2019). Muhammad Mubeen Mohsin, Muhammad Asif Hanif, Muhammad Adnan Ayub 2, Ijaz Ahmad Bhatti, Muhammad Idrees Jilani 3. </w:t>
      </w:r>
      <w:r w:rsidRPr="008C2D2F">
        <w:rPr>
          <w:rFonts w:eastAsia="Calibri"/>
          <w:i/>
          <w:sz w:val="20"/>
          <w:szCs w:val="20"/>
        </w:rPr>
        <w:t>Medicinal Plants of South Asia</w:t>
      </w:r>
      <w:r w:rsidRPr="008C2D2F">
        <w:rPr>
          <w:rFonts w:eastAsia="Calibri"/>
          <w:sz w:val="20"/>
          <w:szCs w:val="20"/>
        </w:rPr>
        <w:t>, 231.</w:t>
      </w:r>
    </w:p>
    <w:p w14:paraId="1C6749A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Hulkoti, N. I., &amp; Taranath, T. C. (2014). Biosynthesis of nanoparticles using microbes – A review. </w:t>
      </w:r>
      <w:r w:rsidRPr="008C2D2F">
        <w:rPr>
          <w:rFonts w:eastAsia="Calibri"/>
          <w:i/>
          <w:sz w:val="20"/>
          <w:szCs w:val="20"/>
        </w:rPr>
        <w:t>Colloids and Surfaces B: Biointerfaces</w:t>
      </w:r>
      <w:r w:rsidRPr="008C2D2F">
        <w:rPr>
          <w:rFonts w:eastAsia="Calibri"/>
          <w:sz w:val="20"/>
          <w:szCs w:val="20"/>
        </w:rPr>
        <w:t>, 121, 474-483. https://doi.org/10.1016/j.colsurfb.2014.05.027</w:t>
      </w:r>
    </w:p>
    <w:p w14:paraId="41810659"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Huang, R., Cui, X., Luo, X., Mao, P., Zhuang, P., Li, Y., Li, Y., &amp; Li, Z. (2021). Effects of plant growth regulator and chelating agent on the phytoextraction of heavy metal by </w:t>
      </w:r>
      <w:r w:rsidRPr="008C2D2F">
        <w:rPr>
          <w:rFonts w:eastAsia="Calibri"/>
          <w:i/>
          <w:sz w:val="20"/>
          <w:szCs w:val="20"/>
        </w:rPr>
        <w:t>Pfaffia</w:t>
      </w:r>
      <w:r w:rsidRPr="008C2D2F">
        <w:rPr>
          <w:rFonts w:eastAsia="Calibri"/>
          <w:sz w:val="20"/>
          <w:szCs w:val="20"/>
        </w:rPr>
        <w:t xml:space="preserve"> </w:t>
      </w:r>
      <w:r w:rsidRPr="008C2D2F">
        <w:rPr>
          <w:rFonts w:eastAsia="Calibri"/>
          <w:i/>
          <w:sz w:val="20"/>
          <w:szCs w:val="20"/>
        </w:rPr>
        <w:t>glomerata</w:t>
      </w:r>
      <w:r w:rsidRPr="008C2D2F">
        <w:rPr>
          <w:rFonts w:eastAsia="Calibri"/>
          <w:sz w:val="20"/>
          <w:szCs w:val="20"/>
        </w:rPr>
        <w:t xml:space="preserve"> and on the soil microbial community. </w:t>
      </w:r>
      <w:r w:rsidRPr="008C2D2F">
        <w:rPr>
          <w:rFonts w:eastAsia="Calibri"/>
          <w:i/>
          <w:sz w:val="20"/>
          <w:szCs w:val="20"/>
        </w:rPr>
        <w:t>Environmental Pollution</w:t>
      </w:r>
      <w:r w:rsidRPr="008C2D2F">
        <w:rPr>
          <w:rFonts w:eastAsia="Calibri"/>
          <w:sz w:val="20"/>
          <w:szCs w:val="20"/>
        </w:rPr>
        <w:t>, 283, 1-14. https://doi.org/10.1016/j.envpol.2021.117159</w:t>
      </w:r>
    </w:p>
    <w:p w14:paraId="0DDD6225"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Ishak, N. A. I., Kamarudin, S. K., &amp; Timmiati, S. N. (2019). Green synthesis of metal and metal oxide nanoparticles via plant extracts: an overview. </w:t>
      </w:r>
      <w:r w:rsidRPr="008C2D2F">
        <w:rPr>
          <w:rFonts w:eastAsia="Calibri"/>
          <w:i/>
          <w:sz w:val="20"/>
          <w:szCs w:val="20"/>
        </w:rPr>
        <w:t>Material Research Express</w:t>
      </w:r>
      <w:r w:rsidRPr="008C2D2F">
        <w:rPr>
          <w:rFonts w:eastAsia="Calibri"/>
          <w:sz w:val="20"/>
          <w:szCs w:val="20"/>
        </w:rPr>
        <w:t>, 6, 11. https://doi.org/10.1088/2053-1591/ab4458</w:t>
      </w:r>
    </w:p>
    <w:p w14:paraId="010AE8C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JankauskaitĿ, V., VitkauskienĿ, A., Lazauskas, A., Baltrusaitis, J., ProsyĿevas, I., &amp; AndruleviĿius, M. (2016). Bactericidal effect of graphene oxide/Cu/Ag nano derivatives against </w:t>
      </w:r>
      <w:r w:rsidRPr="008C2D2F">
        <w:rPr>
          <w:rFonts w:eastAsia="Calibri"/>
          <w:i/>
          <w:sz w:val="20"/>
          <w:szCs w:val="20"/>
        </w:rPr>
        <w:t>Escherichia coli</w:t>
      </w:r>
      <w:r w:rsidRPr="008C2D2F">
        <w:rPr>
          <w:rFonts w:eastAsia="Calibri"/>
          <w:sz w:val="20"/>
          <w:szCs w:val="20"/>
        </w:rPr>
        <w:t xml:space="preserve">, </w:t>
      </w:r>
      <w:r w:rsidRPr="008C2D2F">
        <w:rPr>
          <w:rFonts w:eastAsia="Calibri"/>
          <w:i/>
          <w:sz w:val="20"/>
          <w:szCs w:val="20"/>
        </w:rPr>
        <w:t>Pseudomonas aeruginosa</w:t>
      </w:r>
      <w:r w:rsidRPr="008C2D2F">
        <w:rPr>
          <w:rFonts w:eastAsia="Calibri"/>
          <w:sz w:val="20"/>
          <w:szCs w:val="20"/>
        </w:rPr>
        <w:t xml:space="preserve">, </w:t>
      </w:r>
      <w:r w:rsidRPr="008C2D2F">
        <w:rPr>
          <w:rFonts w:eastAsia="Calibri"/>
          <w:i/>
          <w:sz w:val="20"/>
          <w:szCs w:val="20"/>
        </w:rPr>
        <w:t>Klebsiella pneumoniae</w:t>
      </w:r>
      <w:r w:rsidRPr="008C2D2F">
        <w:rPr>
          <w:rFonts w:eastAsia="Calibri"/>
          <w:sz w:val="20"/>
          <w:szCs w:val="20"/>
        </w:rPr>
        <w:t xml:space="preserve">, </w:t>
      </w:r>
      <w:r w:rsidRPr="008C2D2F">
        <w:rPr>
          <w:rFonts w:eastAsia="Calibri"/>
          <w:i/>
          <w:sz w:val="20"/>
          <w:szCs w:val="20"/>
        </w:rPr>
        <w:t>Staphylococcus aureus</w:t>
      </w:r>
      <w:r w:rsidRPr="008C2D2F">
        <w:rPr>
          <w:rFonts w:eastAsia="Calibri"/>
          <w:sz w:val="20"/>
          <w:szCs w:val="20"/>
        </w:rPr>
        <w:t xml:space="preserve">, and </w:t>
      </w:r>
      <w:r w:rsidRPr="008C2D2F">
        <w:rPr>
          <w:rFonts w:eastAsia="Calibri"/>
          <w:i/>
          <w:sz w:val="20"/>
          <w:szCs w:val="20"/>
        </w:rPr>
        <w:t>Methicillin-resistant Staphylococcus aureus</w:t>
      </w:r>
      <w:r w:rsidRPr="008C2D2F">
        <w:rPr>
          <w:rFonts w:eastAsia="Calibri"/>
          <w:sz w:val="20"/>
          <w:szCs w:val="20"/>
        </w:rPr>
        <w:t xml:space="preserve">. </w:t>
      </w:r>
      <w:r w:rsidRPr="008C2D2F">
        <w:rPr>
          <w:rFonts w:eastAsia="Calibri"/>
          <w:i/>
          <w:sz w:val="20"/>
          <w:szCs w:val="20"/>
        </w:rPr>
        <w:t>International Journal of Pharmaceutics,</w:t>
      </w:r>
      <w:r w:rsidRPr="008C2D2F">
        <w:rPr>
          <w:rFonts w:eastAsia="Calibri"/>
          <w:sz w:val="20"/>
          <w:szCs w:val="20"/>
        </w:rPr>
        <w:t xml:space="preserve"> 511(1), 90-97. https://doi.org/10.1016/j.ijpharm.2016.06.121</w:t>
      </w:r>
    </w:p>
    <w:p w14:paraId="1A91E5A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Jiménez-Pérez, Z. E., Singh, P., Kin, Y. J., Mathiyalagan, R., Kim, D. Y., Lee, M. H., &amp; Yang, D. C. (2017). Applications of Panax ginseng leaves mediated gold nanoparticles in cosmetics: Relation to antioxidant, moisture retention, and whitening effect on B16BL6 cells. </w:t>
      </w:r>
      <w:r w:rsidRPr="008C2D2F">
        <w:rPr>
          <w:rFonts w:eastAsia="Calibri"/>
          <w:i/>
          <w:sz w:val="20"/>
          <w:szCs w:val="20"/>
        </w:rPr>
        <w:t>Journal of</w:t>
      </w:r>
      <w:r w:rsidRPr="008C2D2F">
        <w:rPr>
          <w:rFonts w:eastAsia="Calibri"/>
          <w:sz w:val="20"/>
          <w:szCs w:val="20"/>
        </w:rPr>
        <w:t xml:space="preserve"> </w:t>
      </w:r>
      <w:r w:rsidRPr="008C2D2F">
        <w:rPr>
          <w:rFonts w:eastAsia="Calibri"/>
          <w:i/>
          <w:sz w:val="20"/>
          <w:szCs w:val="20"/>
        </w:rPr>
        <w:t>Ginseng Research</w:t>
      </w:r>
      <w:r w:rsidRPr="008C2D2F">
        <w:rPr>
          <w:rFonts w:eastAsia="Calibri"/>
          <w:sz w:val="20"/>
          <w:szCs w:val="20"/>
        </w:rPr>
        <w:t xml:space="preserve">. </w:t>
      </w:r>
      <w:hyperlink r:id="rId23" w:history="1">
        <w:r w:rsidRPr="008C2D2F">
          <w:rPr>
            <w:rStyle w:val="Hyperlink"/>
            <w:rFonts w:eastAsia="Calibri"/>
            <w:sz w:val="20"/>
            <w:szCs w:val="20"/>
          </w:rPr>
          <w:t>https://doi.org/10.1016/j.jgr.2017.04.003</w:t>
        </w:r>
      </w:hyperlink>
    </w:p>
    <w:p w14:paraId="6A230D3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lastRenderedPageBreak/>
        <w:t xml:space="preserve">Kalita, D., &amp; Baruah, S. (2019). The impact of nanotechnology on food. In R. do Nascimento, O. P. Ferreira, A. J. de Paula, &amp; V. D. O. S. Neto (Eds.), </w:t>
      </w:r>
      <w:r w:rsidRPr="008C2D2F">
        <w:rPr>
          <w:rFonts w:eastAsia="Calibri"/>
          <w:i/>
          <w:sz w:val="20"/>
          <w:szCs w:val="20"/>
        </w:rPr>
        <w:t>Nanomaterials Applications for</w:t>
      </w:r>
      <w:r w:rsidRPr="008C2D2F">
        <w:rPr>
          <w:rFonts w:eastAsia="Calibri"/>
          <w:sz w:val="20"/>
          <w:szCs w:val="20"/>
        </w:rPr>
        <w:t xml:space="preserve"> </w:t>
      </w:r>
      <w:r w:rsidRPr="008C2D2F">
        <w:rPr>
          <w:rFonts w:eastAsia="Calibri"/>
          <w:i/>
          <w:sz w:val="20"/>
          <w:szCs w:val="20"/>
        </w:rPr>
        <w:t>Environmental Matrices</w:t>
      </w:r>
      <w:r w:rsidRPr="008C2D2F">
        <w:rPr>
          <w:rFonts w:eastAsia="Calibri"/>
          <w:sz w:val="20"/>
          <w:szCs w:val="20"/>
        </w:rPr>
        <w:t xml:space="preserve"> (pp. 369–379). Elsevier: Amsterdam, The Netherlands.</w:t>
      </w:r>
    </w:p>
    <w:p w14:paraId="5DBE86A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Khan, M. A., Wu, V. M., Ghosh, S., &amp; Uskokovic, V. (2016). Gene delivery using calcium phosphate nanoparticles: Optimization of the transfection process and the effects of citrate and poly(L-lysine) as additives. </w:t>
      </w:r>
      <w:r w:rsidRPr="008C2D2F">
        <w:rPr>
          <w:rFonts w:eastAsia="Calibri"/>
          <w:i/>
          <w:sz w:val="20"/>
          <w:szCs w:val="20"/>
        </w:rPr>
        <w:t>Journal of Colloid and Interface Science</w:t>
      </w:r>
      <w:r w:rsidRPr="008C2D2F">
        <w:rPr>
          <w:rFonts w:eastAsia="Calibri"/>
          <w:sz w:val="20"/>
          <w:szCs w:val="20"/>
        </w:rPr>
        <w:t>, 471, 48-58. https://doi.org/10.1016/j.jcis.2016.03.007</w:t>
      </w:r>
    </w:p>
    <w:p w14:paraId="714189E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Kuppusamy, P., Yusoff, M. M., Maniam, G. P., &amp; Govindan, N. (2014). Biosynthesis of metallic nanoparticles using plant derivatives and their new avenues in pharmacological applications – An updated report. </w:t>
      </w:r>
      <w:r w:rsidRPr="008C2D2F">
        <w:rPr>
          <w:rFonts w:eastAsia="Calibri"/>
          <w:i/>
          <w:sz w:val="20"/>
          <w:szCs w:val="20"/>
        </w:rPr>
        <w:t>Saudi Pharmaceutical Journal</w:t>
      </w:r>
      <w:r w:rsidRPr="008C2D2F">
        <w:rPr>
          <w:rFonts w:eastAsia="Calibri"/>
          <w:sz w:val="20"/>
          <w:szCs w:val="20"/>
        </w:rPr>
        <w:t>, 24(4), 473-484. https://doi.org/10.1016/j.jsps.2014.11.013</w:t>
      </w:r>
    </w:p>
    <w:p w14:paraId="7A53D10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Leal, C., Gouvinhas, I., Santos, R. A., Rosa, E., Silva, A. M., Saavedra, M. J., &amp; Barros, A. I. R. N. A. (2020). Potential application of grape (</w:t>
      </w:r>
      <w:r w:rsidRPr="008C2D2F">
        <w:rPr>
          <w:rFonts w:eastAsia="Calibri"/>
          <w:i/>
          <w:sz w:val="20"/>
          <w:szCs w:val="20"/>
        </w:rPr>
        <w:t>Vitis vinifera L</w:t>
      </w:r>
      <w:r w:rsidRPr="008C2D2F">
        <w:rPr>
          <w:rFonts w:eastAsia="Calibri"/>
          <w:sz w:val="20"/>
          <w:szCs w:val="20"/>
        </w:rPr>
        <w:t xml:space="preserve">.) stem extracts in the cosmetic and pharmaceutical industries: Valorization of a by-product. </w:t>
      </w:r>
      <w:r w:rsidRPr="008C2D2F">
        <w:rPr>
          <w:rFonts w:eastAsia="Calibri"/>
          <w:i/>
          <w:sz w:val="20"/>
          <w:szCs w:val="20"/>
        </w:rPr>
        <w:t>Industrial Crops &amp; Products</w:t>
      </w:r>
      <w:r w:rsidRPr="008C2D2F">
        <w:rPr>
          <w:rFonts w:eastAsia="Calibri"/>
          <w:sz w:val="20"/>
          <w:szCs w:val="20"/>
        </w:rPr>
        <w:t>, 154, 1-11. https://doi.org/10.1016/j.indcrop.2020.112675</w:t>
      </w:r>
    </w:p>
    <w:p w14:paraId="7C862A3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Li, W. H., &amp; Yang, N. (2016). Green and facile synthesis of Ag-Fe</w:t>
      </w:r>
      <w:r w:rsidRPr="008C2D2F">
        <w:rPr>
          <w:rFonts w:eastAsia="Calibri"/>
          <w:sz w:val="20"/>
          <w:szCs w:val="20"/>
          <w:vertAlign w:val="subscript"/>
        </w:rPr>
        <w:t>3</w:t>
      </w:r>
      <w:r w:rsidRPr="008C2D2F">
        <w:rPr>
          <w:rFonts w:eastAsia="Calibri"/>
          <w:sz w:val="20"/>
          <w:szCs w:val="20"/>
        </w:rPr>
        <w:t>O</w:t>
      </w:r>
      <w:r w:rsidRPr="008C2D2F">
        <w:rPr>
          <w:rFonts w:eastAsia="Calibri"/>
          <w:sz w:val="20"/>
          <w:szCs w:val="20"/>
          <w:vertAlign w:val="subscript"/>
        </w:rPr>
        <w:t>4</w:t>
      </w:r>
      <w:r w:rsidRPr="008C2D2F">
        <w:rPr>
          <w:rFonts w:eastAsia="Calibri"/>
          <w:sz w:val="20"/>
          <w:szCs w:val="20"/>
        </w:rPr>
        <w:t xml:space="preserve"> nanocomposites using the aqueous extract of </w:t>
      </w:r>
      <w:r w:rsidRPr="008C2D2F">
        <w:rPr>
          <w:rFonts w:eastAsia="Calibri"/>
          <w:i/>
          <w:sz w:val="20"/>
          <w:szCs w:val="20"/>
        </w:rPr>
        <w:t>Crataegus pinnatifida</w:t>
      </w:r>
      <w:r w:rsidRPr="008C2D2F">
        <w:rPr>
          <w:rFonts w:eastAsia="Calibri"/>
          <w:sz w:val="20"/>
          <w:szCs w:val="20"/>
        </w:rPr>
        <w:t xml:space="preserve"> leaves and their antibacterial performance. </w:t>
      </w:r>
      <w:r w:rsidRPr="008C2D2F">
        <w:rPr>
          <w:rFonts w:eastAsia="Calibri"/>
          <w:i/>
          <w:sz w:val="20"/>
          <w:szCs w:val="20"/>
        </w:rPr>
        <w:t>Materials Letters</w:t>
      </w:r>
      <w:r w:rsidRPr="008C2D2F">
        <w:rPr>
          <w:rFonts w:eastAsia="Calibri"/>
          <w:sz w:val="20"/>
          <w:szCs w:val="20"/>
        </w:rPr>
        <w:t>, 162, 157-160. https://doi.org/10.1016/j.matlet.2015.09.064</w:t>
      </w:r>
    </w:p>
    <w:p w14:paraId="420D8C5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Madhumitha, G., Elango, G., &amp; Roopan, S. M. (2014). Bio-functionalized doped silver nanoparticles and their antimicrobial studies. </w:t>
      </w:r>
      <w:r w:rsidRPr="008C2D2F">
        <w:rPr>
          <w:rFonts w:eastAsia="Calibri"/>
          <w:i/>
          <w:sz w:val="20"/>
          <w:szCs w:val="20"/>
        </w:rPr>
        <w:t>Journal of Sol-Gel Science and Technology</w:t>
      </w:r>
      <w:r w:rsidRPr="008C2D2F">
        <w:rPr>
          <w:rFonts w:eastAsia="Calibri"/>
          <w:sz w:val="20"/>
          <w:szCs w:val="20"/>
        </w:rPr>
        <w:t xml:space="preserve">, 98, 5289–5300. </w:t>
      </w:r>
      <w:r>
        <w:fldChar w:fldCharType="begin"/>
      </w:r>
      <w:r>
        <w:instrText>HYPERLINK "https://doi.org/10.1007/s10971-014-3591-2"</w:instrText>
      </w:r>
      <w:r>
        <w:fldChar w:fldCharType="separate"/>
      </w:r>
      <w:r w:rsidRPr="008C2D2F">
        <w:rPr>
          <w:rStyle w:val="Hyperlink"/>
          <w:rFonts w:eastAsia="Calibri"/>
          <w:sz w:val="20"/>
          <w:szCs w:val="20"/>
        </w:rPr>
        <w:t>https://doi.org/10.1007/s10971-014-3591-2</w:t>
      </w:r>
      <w:r>
        <w:fldChar w:fldCharType="end"/>
      </w:r>
    </w:p>
    <w:p w14:paraId="1CCEC1A6"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Manandhar, S., Luitel, S., &amp; Dahal, R. K. (2019). In vitro antimicrobial activity of some medicinal plants against human pathogenic bacteria. </w:t>
      </w:r>
      <w:r w:rsidRPr="008C2D2F">
        <w:rPr>
          <w:rFonts w:eastAsia="Calibri"/>
          <w:i/>
          <w:sz w:val="20"/>
          <w:szCs w:val="20"/>
        </w:rPr>
        <w:t>Journal of Tropical Medicine</w:t>
      </w:r>
      <w:r w:rsidRPr="008C2D2F">
        <w:rPr>
          <w:rFonts w:eastAsia="Calibri"/>
          <w:sz w:val="20"/>
          <w:szCs w:val="20"/>
        </w:rPr>
        <w:t xml:space="preserve">, 2019, 1-6. </w:t>
      </w:r>
      <w:hyperlink r:id="rId24" w:history="1">
        <w:r w:rsidRPr="008C2D2F">
          <w:rPr>
            <w:rStyle w:val="Hyperlink"/>
            <w:rFonts w:eastAsia="Calibri"/>
            <w:sz w:val="20"/>
            <w:szCs w:val="20"/>
          </w:rPr>
          <w:t>https://doi.org/10.1155/2019/1895340</w:t>
        </w:r>
      </w:hyperlink>
    </w:p>
    <w:p w14:paraId="42E7CC6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Martins, N. M. (2020). </w:t>
      </w:r>
      <w:r w:rsidRPr="008C2D2F">
        <w:rPr>
          <w:rFonts w:eastAsia="Calibri"/>
          <w:i/>
          <w:sz w:val="20"/>
          <w:szCs w:val="20"/>
        </w:rPr>
        <w:t>Pfaffia glomerata (Spreng.) Pedersen: Estudo em extrato aquoso e síntese verde de nanopartículas de ouro</w:t>
      </w:r>
      <w:r w:rsidRPr="008C2D2F">
        <w:rPr>
          <w:rFonts w:eastAsia="Calibri"/>
          <w:sz w:val="20"/>
          <w:szCs w:val="20"/>
        </w:rPr>
        <w:t>. Dissertação (Mestrado em Sustentabilidade) – IFPR/UEM, Umuarama, p. 40.</w:t>
      </w:r>
    </w:p>
    <w:p w14:paraId="519A6A9B"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Maurya, A., Prasad, J., Das, S., &amp; Dwivedy, A. K. (2021). Essential oils and their application in food safety. </w:t>
      </w:r>
      <w:r w:rsidRPr="008C2D2F">
        <w:rPr>
          <w:rFonts w:eastAsia="Calibri"/>
          <w:i/>
          <w:sz w:val="20"/>
          <w:szCs w:val="20"/>
        </w:rPr>
        <w:t>Frontiers in Sustainable Food Systems</w:t>
      </w:r>
      <w:r w:rsidRPr="008C2D2F">
        <w:rPr>
          <w:rFonts w:eastAsia="Calibri"/>
          <w:sz w:val="20"/>
          <w:szCs w:val="20"/>
        </w:rPr>
        <w:t>, 5. https://doi.org/10.3389/fsufs.2021.653420</w:t>
      </w:r>
    </w:p>
    <w:p w14:paraId="2BF8A390"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Naik, S., &amp; Devi, C. V. R. (2021). Phyto-fabricated silver nanoparticles inducing microbial cell death via reactive oxygen species-mediated membrane damage. </w:t>
      </w:r>
      <w:r w:rsidRPr="008C2D2F">
        <w:rPr>
          <w:rFonts w:eastAsia="Calibri"/>
          <w:i/>
          <w:sz w:val="20"/>
          <w:szCs w:val="20"/>
        </w:rPr>
        <w:t>IET Nanobiotechnology</w:t>
      </w:r>
      <w:r w:rsidRPr="008C2D2F">
        <w:rPr>
          <w:rFonts w:eastAsia="Calibri"/>
          <w:sz w:val="20"/>
          <w:szCs w:val="20"/>
        </w:rPr>
        <w:t>, 15, 492-504. https://doi.org/10.1049/nbt2.12036</w:t>
      </w:r>
    </w:p>
    <w:p w14:paraId="7CA78A5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Neves, C. S., Gomes, S. S. I., Santos, T. R., Almeida, M. M., Souza, Y. O., Garcia, R. M. G., Otoni, W. C., Chedier, L. M., Raposo, N. R. B., Viccini, L. F., &amp; Campos, J. M. S. (2016). “Brazilian ginseng” (</w:t>
      </w:r>
      <w:r w:rsidRPr="008C2D2F">
        <w:rPr>
          <w:rFonts w:eastAsia="Calibri"/>
          <w:i/>
          <w:sz w:val="20"/>
          <w:szCs w:val="20"/>
        </w:rPr>
        <w:t>Pfaffia glomerata</w:t>
      </w:r>
      <w:r w:rsidRPr="008C2D2F">
        <w:rPr>
          <w:rFonts w:eastAsia="Calibri"/>
          <w:sz w:val="20"/>
          <w:szCs w:val="20"/>
        </w:rPr>
        <w:t xml:space="preserve"> Spreng. Pedersen, Amaranthaceae) methanolic extract: Cytogenotoxicity in animal and plant assays. </w:t>
      </w:r>
      <w:r w:rsidRPr="008C2D2F">
        <w:rPr>
          <w:rFonts w:eastAsia="Calibri"/>
          <w:i/>
          <w:sz w:val="20"/>
          <w:szCs w:val="20"/>
        </w:rPr>
        <w:t>South African Journal of Botany</w:t>
      </w:r>
      <w:r w:rsidRPr="008C2D2F">
        <w:rPr>
          <w:rFonts w:eastAsia="Calibri"/>
          <w:sz w:val="20"/>
          <w:szCs w:val="20"/>
        </w:rPr>
        <w:t>, 106, 174-180. https://doi.org/10.1016/j.sajb.2016.07.003</w:t>
      </w:r>
    </w:p>
    <w:p w14:paraId="4272892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Oliveira, C. B. D. (2018). </w:t>
      </w:r>
      <w:r w:rsidRPr="008C2D2F">
        <w:rPr>
          <w:rFonts w:eastAsia="Calibri"/>
          <w:i/>
          <w:sz w:val="20"/>
          <w:szCs w:val="20"/>
        </w:rPr>
        <w:t>Caracterização química do extrato do Ginseng-brasileiro (Pfaffia glomerata (Spreng.) Pedersen) Obtido por extração supercrítica via líquido pressurizado (PLE) e por soxhlet</w:t>
      </w:r>
      <w:r w:rsidRPr="008C2D2F">
        <w:rPr>
          <w:rFonts w:eastAsia="Calibri"/>
          <w:sz w:val="20"/>
          <w:szCs w:val="20"/>
        </w:rPr>
        <w:t>. Dissertação (Mestrado em Sustentabilidade) – IFPR/UEM, Umuarama, p. 18-23.</w:t>
      </w:r>
    </w:p>
    <w:p w14:paraId="3F03EEA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Oliveira, U., Paglia, A. P., Brescovit, A. D., Carvalho, C. J. B., Silva, D. P., Rezende, D. T., Leite, F. S. F., Batista, J. A. N., Barbosa, J. P. P. P., Stehmann, J. R., Ascher, J. S., Vasconcelos, M. F., Junior, P. M., Neto, P. L., Dias, P. G., Ferro, V. G., Santos, A. J. (2016). The strong influence of collection bias on biodiversity knowledge shortfalls of Brazilian terrestrial biodiversity. </w:t>
      </w:r>
      <w:r w:rsidRPr="008C2D2F">
        <w:rPr>
          <w:rFonts w:eastAsia="Calibri"/>
          <w:i/>
          <w:sz w:val="20"/>
          <w:szCs w:val="20"/>
        </w:rPr>
        <w:t>Diversity and Distributions</w:t>
      </w:r>
      <w:r w:rsidRPr="008C2D2F">
        <w:rPr>
          <w:rFonts w:eastAsia="Calibri"/>
          <w:sz w:val="20"/>
          <w:szCs w:val="20"/>
        </w:rPr>
        <w:t>, 1-13. https://doi.org/10.1111/ddi.12489</w:t>
      </w:r>
    </w:p>
    <w:p w14:paraId="14E6C4C6"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Papadopoulos, P., Papadopoulos, T., Angelidis, A. S., Boukouvala, E., Zdragas, A., Papa, A., Hadjichristodoulou, C., &amp; Sergelidis, D. (2018). Prevalence of Staphylococcus aureus and methicillin-resistant S. aureus (MRSA) along the production chain of dairy products in north-western Greece. </w:t>
      </w:r>
      <w:r w:rsidRPr="008C2D2F">
        <w:rPr>
          <w:rFonts w:eastAsia="Calibri"/>
          <w:i/>
          <w:sz w:val="20"/>
          <w:szCs w:val="20"/>
        </w:rPr>
        <w:t>Food Microbiology</w:t>
      </w:r>
      <w:r w:rsidRPr="008C2D2F">
        <w:rPr>
          <w:rFonts w:eastAsia="Calibri"/>
          <w:sz w:val="20"/>
          <w:szCs w:val="20"/>
        </w:rPr>
        <w:t>, 69, 43-50. https://doi.org/10.1016/j.fm.2017.07.016</w:t>
      </w:r>
    </w:p>
    <w:p w14:paraId="7417A66F"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Porto, K. B. (2012). </w:t>
      </w:r>
      <w:r w:rsidRPr="008C2D2F">
        <w:rPr>
          <w:rFonts w:eastAsia="Calibri"/>
          <w:i/>
          <w:sz w:val="20"/>
          <w:szCs w:val="20"/>
        </w:rPr>
        <w:t>Ação antimicrobiana das nanopartículas de prata sobre patógenos</w:t>
      </w:r>
      <w:r w:rsidRPr="008C2D2F">
        <w:rPr>
          <w:rFonts w:eastAsia="Calibri"/>
          <w:sz w:val="20"/>
          <w:szCs w:val="20"/>
        </w:rPr>
        <w:t>. Monografia (Graduação em Odontologia) – USF, Bragança Paulista, 29.</w:t>
      </w:r>
    </w:p>
    <w:p w14:paraId="4A58ED9B"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lastRenderedPageBreak/>
        <w:t xml:space="preserve">Singh, P., Kim, Y. J., Wang, C., Mathiyalagan, R., &amp; Yang, D. C. (2016). The development of a green approach for the biosynthesis of silver and gold nanoparticles by using Panax ginseng root extract, and their biological applications. </w:t>
      </w:r>
      <w:r w:rsidRPr="008C2D2F">
        <w:rPr>
          <w:rFonts w:eastAsia="Calibri"/>
          <w:i/>
          <w:sz w:val="20"/>
          <w:szCs w:val="20"/>
        </w:rPr>
        <w:t>Artificial Cells, Nanomedicine, and Biotechnology</w:t>
      </w:r>
      <w:r w:rsidRPr="008C2D2F">
        <w:rPr>
          <w:rFonts w:eastAsia="Calibri"/>
          <w:sz w:val="20"/>
          <w:szCs w:val="20"/>
        </w:rPr>
        <w:t>, 44(4), 1150-1157. https://doi.org/10.3109/21691401.2015.1011809</w:t>
      </w:r>
    </w:p>
    <w:p w14:paraId="50A021C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Qasim, M., Singh, B. R., Naqvi, A. H., Paik, P., &amp; Das, D. (2015). Silver nanoparticles embedded mesoporous SiO</w:t>
      </w:r>
      <w:r w:rsidRPr="008C2D2F">
        <w:rPr>
          <w:rFonts w:eastAsia="Calibri"/>
          <w:sz w:val="20"/>
          <w:szCs w:val="20"/>
          <w:vertAlign w:val="subscript"/>
        </w:rPr>
        <w:t>2</w:t>
      </w:r>
      <w:r w:rsidRPr="008C2D2F">
        <w:rPr>
          <w:rFonts w:eastAsia="Calibri"/>
          <w:sz w:val="20"/>
          <w:szCs w:val="20"/>
        </w:rPr>
        <w:t xml:space="preserve"> nanosphere: an effective anticandidal agent against </w:t>
      </w:r>
      <w:r w:rsidRPr="008C2D2F">
        <w:rPr>
          <w:rFonts w:eastAsia="Calibri"/>
          <w:i/>
          <w:sz w:val="20"/>
          <w:szCs w:val="20"/>
        </w:rPr>
        <w:t xml:space="preserve">Candida albicans </w:t>
      </w:r>
      <w:r w:rsidRPr="008C2D2F">
        <w:rPr>
          <w:rFonts w:eastAsia="Calibri"/>
          <w:sz w:val="20"/>
          <w:szCs w:val="20"/>
        </w:rPr>
        <w:t xml:space="preserve">077. </w:t>
      </w:r>
      <w:r w:rsidRPr="008C2D2F">
        <w:rPr>
          <w:rFonts w:eastAsia="Calibri"/>
          <w:i/>
          <w:sz w:val="20"/>
          <w:szCs w:val="20"/>
        </w:rPr>
        <w:t>Nanotechnology</w:t>
      </w:r>
      <w:r w:rsidRPr="008C2D2F">
        <w:rPr>
          <w:rFonts w:eastAsia="Calibri"/>
          <w:sz w:val="20"/>
          <w:szCs w:val="20"/>
        </w:rPr>
        <w:t>, 26(28). https://doi.org/10.1088/0957-4484/26/28/285102</w:t>
      </w:r>
    </w:p>
    <w:p w14:paraId="2A3BF02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Rai, M. (2013). Nanobiotecnologia verde: biossínteses de nanopartículas metálicas e suas aplicações como nanoantimicrobianos. </w:t>
      </w:r>
      <w:r w:rsidRPr="008C2D2F">
        <w:rPr>
          <w:rFonts w:eastAsia="Calibri"/>
          <w:i/>
          <w:sz w:val="20"/>
          <w:szCs w:val="20"/>
        </w:rPr>
        <w:t>Ciência &amp; Cultura</w:t>
      </w:r>
      <w:r w:rsidRPr="008C2D2F">
        <w:rPr>
          <w:rFonts w:eastAsia="Calibri"/>
          <w:sz w:val="20"/>
          <w:szCs w:val="20"/>
        </w:rPr>
        <w:t>, 65(3), 44-48.</w:t>
      </w:r>
    </w:p>
    <w:p w14:paraId="58782E54"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Rajan, P. I., Vijaya, J., Jesudoss, S. K., Kaviyarasu, K., Lee, S. C., Kennedy, L. J., Jothiramalingam, R., Lohedan, H. A. A., &amp; Abdullah, M. (2018). Investigation on preferably oriented abnormal growth of CdSe nanorods along (0002) plane synthesized by henna leaf extract-mediated green synthesis. </w:t>
      </w:r>
      <w:r w:rsidRPr="008C2D2F">
        <w:rPr>
          <w:rFonts w:eastAsia="Calibri"/>
          <w:i/>
          <w:sz w:val="20"/>
          <w:szCs w:val="20"/>
        </w:rPr>
        <w:t>Royal Society Open Science</w:t>
      </w:r>
      <w:r w:rsidRPr="008C2D2F">
        <w:rPr>
          <w:rFonts w:eastAsia="Calibri"/>
          <w:sz w:val="20"/>
          <w:szCs w:val="20"/>
        </w:rPr>
        <w:t>, 5(3), 171430. https://doi.org/10.1098/rsos.171430</w:t>
      </w:r>
    </w:p>
    <w:p w14:paraId="15962E86"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Ren, G., Wang, X., Huang, P., Zhong, B., Zhang, Z., Yang, L., &amp; Yang, X. (2017). Chromium (VI) adsorption from wastewater using porous magnetite nanoparticles prepared from titanium residue by a novel solid-phase reduction method. </w:t>
      </w:r>
      <w:r w:rsidRPr="008C2D2F">
        <w:rPr>
          <w:rFonts w:eastAsia="Calibri"/>
          <w:i/>
          <w:sz w:val="20"/>
          <w:szCs w:val="20"/>
        </w:rPr>
        <w:t>Science of the Total Environment</w:t>
      </w:r>
      <w:r w:rsidRPr="008C2D2F">
        <w:rPr>
          <w:rFonts w:eastAsia="Calibri"/>
          <w:sz w:val="20"/>
          <w:szCs w:val="20"/>
        </w:rPr>
        <w:t>, 607-608, 900-910. https://doi.org/10.1016/j.scitotenv.2017.06.103</w:t>
      </w:r>
    </w:p>
    <w:p w14:paraId="3D8394A2"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Ribeiro, A. S., Estanqueiro, M., Oliveira, M. B., &amp; Lobo, J. M. S. (2015). Main benefits and applicability of plant extracts in skin care products. </w:t>
      </w:r>
      <w:r w:rsidRPr="008C2D2F">
        <w:rPr>
          <w:rFonts w:eastAsia="Calibri"/>
          <w:i/>
          <w:sz w:val="20"/>
          <w:szCs w:val="20"/>
        </w:rPr>
        <w:t>Cosmetics</w:t>
      </w:r>
      <w:r w:rsidRPr="008C2D2F">
        <w:rPr>
          <w:rFonts w:eastAsia="Calibri"/>
          <w:sz w:val="20"/>
          <w:szCs w:val="20"/>
        </w:rPr>
        <w:t>, 2(2), 48-65. https://doi.org/10.3390/cosmetics2020048</w:t>
      </w:r>
    </w:p>
    <w:p w14:paraId="5892397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Saravanan, A., Kumar, P. S., Karishma, S., Vo, D. V. N., Jeevanantham, S., Yaashikaa, P. R., &amp; George, C. S. (2021). A review on biosynthesis of metal nanoparticles and its environmental applications. </w:t>
      </w:r>
      <w:r w:rsidRPr="008C2D2F">
        <w:rPr>
          <w:rFonts w:eastAsia="Calibri"/>
          <w:i/>
          <w:sz w:val="20"/>
          <w:szCs w:val="20"/>
        </w:rPr>
        <w:t>Chemosphere</w:t>
      </w:r>
      <w:r w:rsidRPr="008C2D2F">
        <w:rPr>
          <w:rFonts w:eastAsia="Calibri"/>
          <w:sz w:val="20"/>
          <w:szCs w:val="20"/>
        </w:rPr>
        <w:t>, 264, 128580. https://doi.org/10.1016/j.chemosphere.2020.128580</w:t>
      </w:r>
    </w:p>
    <w:p w14:paraId="7CB3EF48"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Sargazi, S., Laraib, U., Er, S., Rahdar, A., Hassanisaadi, M., Zafar, M. N., Pascual, A. M. D., &amp; Bilal, M. (2022). Application of green gold nanoparticles in cancer therapy and diagnosis. </w:t>
      </w:r>
      <w:r w:rsidRPr="008C2D2F">
        <w:rPr>
          <w:rFonts w:eastAsia="Calibri"/>
          <w:i/>
          <w:sz w:val="20"/>
          <w:szCs w:val="20"/>
        </w:rPr>
        <w:t>Nanomaterials</w:t>
      </w:r>
      <w:r w:rsidRPr="008C2D2F">
        <w:rPr>
          <w:rFonts w:eastAsia="Calibri"/>
          <w:sz w:val="20"/>
          <w:szCs w:val="20"/>
        </w:rPr>
        <w:t>, 12(1102). https://doi.org/10.3390/nano12071102</w:t>
      </w:r>
    </w:p>
    <w:p w14:paraId="1DEFA7E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Sathishkumar, P., Preethi, J., Vijayan, R., Yusoff, A. R. M., Ameen, F., Suresh, S., ... &amp; Palvannan, T. (2016). Anti-acne, anti-dandruff, and anti-breast cancer efficacy of green synthesized silver nanoparticles using Coriandrum sativum leaf extract. </w:t>
      </w:r>
      <w:r w:rsidRPr="008C2D2F">
        <w:rPr>
          <w:rFonts w:eastAsia="Calibri"/>
          <w:i/>
          <w:sz w:val="20"/>
          <w:szCs w:val="20"/>
        </w:rPr>
        <w:t>Journal of</w:t>
      </w:r>
      <w:r w:rsidRPr="008C2D2F">
        <w:rPr>
          <w:rFonts w:eastAsia="Calibri"/>
          <w:sz w:val="20"/>
          <w:szCs w:val="20"/>
        </w:rPr>
        <w:t xml:space="preserve"> </w:t>
      </w:r>
      <w:r w:rsidRPr="008C2D2F">
        <w:rPr>
          <w:rFonts w:eastAsia="Calibri"/>
          <w:i/>
          <w:sz w:val="20"/>
          <w:szCs w:val="20"/>
        </w:rPr>
        <w:t>Photochemistry and Photobiology B: Biology</w:t>
      </w:r>
      <w:r w:rsidRPr="008C2D2F">
        <w:rPr>
          <w:rFonts w:eastAsia="Calibri"/>
          <w:sz w:val="20"/>
          <w:szCs w:val="20"/>
        </w:rPr>
        <w:t>, 163, 69-76. https://doi.org/10.1016/j.jphotobiol.2016.08.005</w:t>
      </w:r>
    </w:p>
    <w:p w14:paraId="0E09F1D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Sharma, V. K., Filip, J., Zboril, R., &amp; Varma, R. S. (2015). Natural inorganic nanoparticles–formation, fate, and toxicity in the environment. </w:t>
      </w:r>
      <w:r w:rsidRPr="008C2D2F">
        <w:rPr>
          <w:rFonts w:eastAsia="Calibri"/>
          <w:i/>
          <w:sz w:val="20"/>
          <w:szCs w:val="20"/>
        </w:rPr>
        <w:t>Chemical Society Reviews</w:t>
      </w:r>
      <w:r w:rsidRPr="008C2D2F">
        <w:rPr>
          <w:rFonts w:eastAsia="Calibri"/>
          <w:sz w:val="20"/>
          <w:szCs w:val="20"/>
        </w:rPr>
        <w:t>, 44(23), 8410-8423. https://doi.org/10.1039/C5CS00236B</w:t>
      </w:r>
    </w:p>
    <w:p w14:paraId="2E9058B1"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Sheldon, R. A. (2017). The E factor 25 years on the rise of green chemistry and sustainability. </w:t>
      </w:r>
      <w:r w:rsidRPr="008C2D2F">
        <w:rPr>
          <w:rFonts w:eastAsia="Calibri"/>
          <w:i/>
          <w:sz w:val="20"/>
          <w:szCs w:val="20"/>
        </w:rPr>
        <w:t>Green Chemistry</w:t>
      </w:r>
      <w:r w:rsidRPr="008C2D2F">
        <w:rPr>
          <w:rFonts w:eastAsia="Calibri"/>
          <w:sz w:val="20"/>
          <w:szCs w:val="20"/>
        </w:rPr>
        <w:t>, 19(1), 18-43.</w:t>
      </w:r>
    </w:p>
    <w:p w14:paraId="72A75AF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Siakavella, I. K., Lamari, F., Papoulis, D., Orkoula, M., Gkolfi, P., Lykouras, M., Avgoustakis, K., &amp; Hatziantoniou, S. (2020). Effect of plant extracts on the characteristics of silver nanoparticles for topical application. </w:t>
      </w:r>
      <w:r w:rsidRPr="008C2D2F">
        <w:rPr>
          <w:rFonts w:eastAsia="Calibri"/>
          <w:i/>
          <w:sz w:val="20"/>
          <w:szCs w:val="20"/>
        </w:rPr>
        <w:t>Pharmaceutics</w:t>
      </w:r>
      <w:r w:rsidRPr="008C2D2F">
        <w:rPr>
          <w:rFonts w:eastAsia="Calibri"/>
          <w:sz w:val="20"/>
          <w:szCs w:val="20"/>
        </w:rPr>
        <w:t>, 12(1244). https://doi.org/10.3390/pharmaceutics12121244</w:t>
      </w:r>
    </w:p>
    <w:p w14:paraId="195A69D7"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Silva, L. P., Bonatto, C. C., Pereira, F. D. E. S., Silva, L. D., Albernaz, V. L., &amp; Polez, V. L. P. (2017). Nanotecnologia verde para síntese de nanopartículas metálicas. </w:t>
      </w:r>
      <w:r w:rsidRPr="008C2D2F">
        <w:rPr>
          <w:rFonts w:eastAsia="Calibri"/>
          <w:i/>
          <w:sz w:val="20"/>
          <w:szCs w:val="20"/>
        </w:rPr>
        <w:t>In Biotecnologia Aplicada à Agro &amp; Indústria</w:t>
      </w:r>
      <w:r w:rsidRPr="008C2D2F">
        <w:rPr>
          <w:rFonts w:eastAsia="Calibri"/>
          <w:sz w:val="20"/>
          <w:szCs w:val="20"/>
        </w:rPr>
        <w:t xml:space="preserve"> - v. 4 (pp. 967-1012). São Paulo: Blucher.  https://doi.org/10.5151/9788521211150-26.</w:t>
      </w:r>
    </w:p>
    <w:p w14:paraId="3C9B0CF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Silva, T. D., Chagas, K., Batista, D. S., Felipe, S. H. S., Louback, E., Machado, L. T., Fernandes, A. M., Buttrós, V. H. T., Koehler, A. D., Farias, L. M., Santos, A. F., Silva, P. O., Otoni, W. C. (2019). Morphophysiological in vitro performance of Brazilian ginseng (</w:t>
      </w:r>
      <w:r w:rsidRPr="008C2D2F">
        <w:rPr>
          <w:rFonts w:eastAsia="Calibri"/>
          <w:i/>
          <w:sz w:val="20"/>
          <w:szCs w:val="20"/>
        </w:rPr>
        <w:t>Pfaffia glomerata</w:t>
      </w:r>
      <w:r w:rsidRPr="008C2D2F">
        <w:rPr>
          <w:rFonts w:eastAsia="Calibri"/>
          <w:sz w:val="20"/>
          <w:szCs w:val="20"/>
        </w:rPr>
        <w:t xml:space="preserve"> (Spreng.) Pedersen) based on culture medium formulations. </w:t>
      </w:r>
      <w:r w:rsidRPr="008C2D2F">
        <w:rPr>
          <w:rFonts w:eastAsia="Calibri"/>
          <w:i/>
          <w:sz w:val="20"/>
          <w:szCs w:val="20"/>
        </w:rPr>
        <w:t>In Vitro Cellular &amp; Developmental Biology – Plant</w:t>
      </w:r>
      <w:r w:rsidRPr="008C2D2F">
        <w:rPr>
          <w:rFonts w:eastAsia="Calibri"/>
          <w:sz w:val="20"/>
          <w:szCs w:val="20"/>
        </w:rPr>
        <w:t>, 55, 454-467. https://doi.org/10.1007/s11627-019-10003-9</w:t>
      </w:r>
    </w:p>
    <w:p w14:paraId="234DFC0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Singh, P., Kim, Y. J., &amp; Yang, D. C. A. (2015). Strategic approach for rapid synthesis of gold and silver nanoparticles by Panax ginseng leaves. </w:t>
      </w:r>
      <w:r w:rsidRPr="008C2D2F">
        <w:rPr>
          <w:rFonts w:eastAsia="Calibri"/>
          <w:i/>
          <w:sz w:val="20"/>
          <w:szCs w:val="20"/>
        </w:rPr>
        <w:t>Artificial Cells Nanomedicine, and Biotechnology</w:t>
      </w:r>
      <w:r w:rsidRPr="008C2D2F">
        <w:rPr>
          <w:rFonts w:eastAsia="Calibri"/>
          <w:sz w:val="20"/>
          <w:szCs w:val="20"/>
        </w:rPr>
        <w:t>, 44(8), 1949-1957. https://doi.org/10.3109/21691401.2015.1115410</w:t>
      </w:r>
    </w:p>
    <w:p w14:paraId="01C9B81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lastRenderedPageBreak/>
        <w:t xml:space="preserve">Singh, P., Kim, Y. J., Wang, C., Mathiyalagan, R., &amp; Yang, D. C. (2015). The development of a green approach for the biosynthesis of silver and gold nanoparticles by using Panax ginseng root extract, and their biological applications. </w:t>
      </w:r>
      <w:r w:rsidRPr="008C2D2F">
        <w:rPr>
          <w:rFonts w:eastAsia="Calibri"/>
          <w:i/>
          <w:sz w:val="20"/>
          <w:szCs w:val="20"/>
        </w:rPr>
        <w:t>Artificial Cells Nanomedicine, and Biotechnology</w:t>
      </w:r>
      <w:r w:rsidRPr="008C2D2F">
        <w:rPr>
          <w:rFonts w:eastAsia="Calibri"/>
          <w:sz w:val="20"/>
          <w:szCs w:val="20"/>
        </w:rPr>
        <w:t>, 44(4), 1150-1157. https://doi.org/10.3109/21691401.2015.1011809</w:t>
      </w:r>
    </w:p>
    <w:p w14:paraId="32A8ECC7"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Singh, P., Singh, H., Ahn, S., Castro-Aceituno, V., Jiménez, Z., Simu, S. Y., Kim, Y. J., &amp; Yang, D. C. (2017). Pharmacological importance, characterization, and applications of gold and silver nanoparticles synthesized by Panax ginseng fresh leaves. </w:t>
      </w:r>
      <w:r w:rsidRPr="008C2D2F">
        <w:rPr>
          <w:rFonts w:eastAsia="Calibri"/>
          <w:i/>
          <w:sz w:val="20"/>
          <w:szCs w:val="20"/>
        </w:rPr>
        <w:t>Artificial Cells, Nanomedicine, and Biotechnology</w:t>
      </w:r>
      <w:r w:rsidRPr="008C2D2F">
        <w:rPr>
          <w:rFonts w:eastAsia="Calibri"/>
          <w:sz w:val="20"/>
          <w:szCs w:val="20"/>
        </w:rPr>
        <w:t>, 45(7), 1415–1424. https://doi.org/10.1080/21691401.2016.1243547</w:t>
      </w:r>
    </w:p>
    <w:p w14:paraId="159069A3"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Srikar, S. K., Giri, D. D., Pal, D. B., Mishra, P. K., &amp; Upadhyay, S. N. (2016). Green synthesis of silver nanoparticles: a review. </w:t>
      </w:r>
      <w:r w:rsidRPr="008C2D2F">
        <w:rPr>
          <w:rFonts w:eastAsia="Calibri"/>
          <w:i/>
          <w:sz w:val="20"/>
          <w:szCs w:val="20"/>
        </w:rPr>
        <w:t>Green and Sustainable Chemistry</w:t>
      </w:r>
      <w:r w:rsidRPr="008C2D2F">
        <w:rPr>
          <w:rFonts w:eastAsia="Calibri"/>
          <w:sz w:val="20"/>
          <w:szCs w:val="20"/>
        </w:rPr>
        <w:t>, 6(1), 34-56.  https://doi.org/10.4236/gsc.2016.61004</w:t>
      </w:r>
    </w:p>
    <w:p w14:paraId="60314670"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Vardanega, R., Santos, D. T., &amp; Meireles, M. A. A. (2016). Proposal for fractionating Brazilian ginseng extracts: Process intensification</w:t>
      </w:r>
      <w:bookmarkStart w:id="0" w:name="_GoBack"/>
      <w:bookmarkEnd w:id="0"/>
      <w:r w:rsidRPr="008C2D2F">
        <w:rPr>
          <w:rFonts w:eastAsia="Calibri"/>
          <w:sz w:val="20"/>
          <w:szCs w:val="20"/>
        </w:rPr>
        <w:t xml:space="preserve"> approach. </w:t>
      </w:r>
      <w:r w:rsidRPr="008C2D2F">
        <w:rPr>
          <w:rFonts w:eastAsia="Calibri"/>
          <w:i/>
          <w:sz w:val="20"/>
          <w:szCs w:val="20"/>
        </w:rPr>
        <w:t>Journal of Food Engineering</w:t>
      </w:r>
      <w:r w:rsidRPr="008C2D2F">
        <w:rPr>
          <w:rFonts w:eastAsia="Calibri"/>
          <w:sz w:val="20"/>
          <w:szCs w:val="20"/>
        </w:rPr>
        <w:t>, 196, 73-80. https://doi.org/10.1016/j.jfoodeng.2016.10.018</w:t>
      </w:r>
    </w:p>
    <w:p w14:paraId="5D6827AE"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Viana, A. V., Viana, D. S. F., Figueirêdo, G. S., Brito, J. E., Viana, V. G. F., &amp; Junior, V. G. F. V. (2021). Potencial antimicrobiano das nanopartículas de prata estabilizadas em curcumina e extrato de folhas de cajueiro (</w:t>
      </w:r>
      <w:r w:rsidRPr="008C2D2F">
        <w:rPr>
          <w:rFonts w:eastAsia="Calibri"/>
          <w:i/>
          <w:sz w:val="20"/>
          <w:szCs w:val="20"/>
        </w:rPr>
        <w:t>Anacardium occidentale</w:t>
      </w:r>
      <w:r w:rsidRPr="008C2D2F">
        <w:rPr>
          <w:rFonts w:eastAsia="Calibri"/>
          <w:sz w:val="20"/>
          <w:szCs w:val="20"/>
        </w:rPr>
        <w:t xml:space="preserve"> L.). </w:t>
      </w:r>
      <w:r w:rsidRPr="008C2D2F">
        <w:rPr>
          <w:rFonts w:eastAsia="Calibri"/>
          <w:i/>
          <w:sz w:val="20"/>
          <w:szCs w:val="20"/>
        </w:rPr>
        <w:t>Research, Society and Development</w:t>
      </w:r>
      <w:r w:rsidRPr="008C2D2F">
        <w:rPr>
          <w:rFonts w:eastAsia="Calibri"/>
          <w:sz w:val="20"/>
          <w:szCs w:val="20"/>
        </w:rPr>
        <w:t>, 10(9). http://dx.doi.org/10.33448/rsd-v10i9.18364</w:t>
      </w:r>
    </w:p>
    <w:p w14:paraId="7FC714C0"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Wang, D., Markus, J., Kim, Y., Wang, C., Pérez, Z. E. J., Ahn, S., ... Yang, D. C. (2016). Coalescence of functional gold and monodisperse silver nanoparticles mediated by black Panax ginseng Meyer root extract. </w:t>
      </w:r>
      <w:r w:rsidRPr="008C2D2F">
        <w:rPr>
          <w:rFonts w:eastAsia="Calibri"/>
          <w:i/>
          <w:sz w:val="20"/>
          <w:szCs w:val="20"/>
        </w:rPr>
        <w:t>International Journal of Nanomedicine</w:t>
      </w:r>
      <w:r w:rsidRPr="008C2D2F">
        <w:rPr>
          <w:rFonts w:eastAsia="Calibri"/>
          <w:sz w:val="20"/>
          <w:szCs w:val="20"/>
        </w:rPr>
        <w:t>, 11, 6621-6634. https://doi.org/10.2147/IJN.S113692</w:t>
      </w:r>
    </w:p>
    <w:p w14:paraId="13740217"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Wang, L., Huang, Y., Yin, G., Wang, J., Wang, P., Chen, Z. Y., Wang, T., &amp; Ren, G. (2020). Antimicrobial activities of Asian ginseng, American ginseng, and notoginseng. </w:t>
      </w:r>
      <w:r w:rsidRPr="008C2D2F">
        <w:rPr>
          <w:rFonts w:eastAsia="Calibri"/>
          <w:i/>
          <w:sz w:val="20"/>
          <w:szCs w:val="20"/>
        </w:rPr>
        <w:t>Phytotherapy Research</w:t>
      </w:r>
      <w:r w:rsidRPr="008C2D2F">
        <w:rPr>
          <w:rFonts w:eastAsia="Calibri"/>
          <w:sz w:val="20"/>
          <w:szCs w:val="20"/>
        </w:rPr>
        <w:t>, 34(6), 1226-1236. https://doi.org/10.1002/ptr.6605</w:t>
      </w:r>
    </w:p>
    <w:p w14:paraId="6480D50A"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Wang, L., Xu, J., Yan, Y., Liu, H., &amp; Li, F. (2019). Synthesis of gold nanoparticles from leaf Panax notoginseng and its anticancer activity in pancreatic cancer PANC-1 cell lines. </w:t>
      </w:r>
      <w:r w:rsidRPr="008C2D2F">
        <w:rPr>
          <w:rFonts w:eastAsia="Calibri"/>
          <w:i/>
          <w:sz w:val="20"/>
          <w:szCs w:val="20"/>
        </w:rPr>
        <w:t>Artificial Cells, Nanomedicine, and Biotechnology</w:t>
      </w:r>
      <w:r w:rsidRPr="008C2D2F">
        <w:rPr>
          <w:rFonts w:eastAsia="Calibri"/>
          <w:sz w:val="20"/>
          <w:szCs w:val="20"/>
        </w:rPr>
        <w:t>, 47(1), 1216–1223. https://doi.org/10.1080/21691401.2019.1593852</w:t>
      </w:r>
    </w:p>
    <w:p w14:paraId="3D79D2AD"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lang w:val="en-US"/>
        </w:rPr>
        <w:t xml:space="preserve">Wongyai, K., </w:t>
      </w:r>
      <w:proofErr w:type="spellStart"/>
      <w:r w:rsidRPr="008C2D2F">
        <w:rPr>
          <w:rFonts w:eastAsia="Calibri"/>
          <w:sz w:val="20"/>
          <w:szCs w:val="20"/>
          <w:lang w:val="en-US"/>
        </w:rPr>
        <w:t>Wintachai</w:t>
      </w:r>
      <w:proofErr w:type="spellEnd"/>
      <w:r w:rsidRPr="008C2D2F">
        <w:rPr>
          <w:rFonts w:eastAsia="Calibri"/>
          <w:sz w:val="20"/>
          <w:szCs w:val="20"/>
          <w:lang w:val="en-US"/>
        </w:rPr>
        <w:t xml:space="preserve">, P., </w:t>
      </w:r>
      <w:proofErr w:type="spellStart"/>
      <w:r w:rsidRPr="008C2D2F">
        <w:rPr>
          <w:rFonts w:eastAsia="Calibri"/>
          <w:sz w:val="20"/>
          <w:szCs w:val="20"/>
          <w:lang w:val="en-US"/>
        </w:rPr>
        <w:t>Maungchang</w:t>
      </w:r>
      <w:proofErr w:type="spellEnd"/>
      <w:r w:rsidRPr="008C2D2F">
        <w:rPr>
          <w:rFonts w:eastAsia="Calibri"/>
          <w:sz w:val="20"/>
          <w:szCs w:val="20"/>
          <w:lang w:val="en-US"/>
        </w:rPr>
        <w:t xml:space="preserve">, R., &amp; </w:t>
      </w:r>
      <w:proofErr w:type="spellStart"/>
      <w:r w:rsidRPr="008C2D2F">
        <w:rPr>
          <w:rFonts w:eastAsia="Calibri"/>
          <w:sz w:val="20"/>
          <w:szCs w:val="20"/>
          <w:lang w:val="en-US"/>
        </w:rPr>
        <w:t>Rattanakit</w:t>
      </w:r>
      <w:proofErr w:type="spellEnd"/>
      <w:r w:rsidRPr="008C2D2F">
        <w:rPr>
          <w:rFonts w:eastAsia="Calibri"/>
          <w:sz w:val="20"/>
          <w:szCs w:val="20"/>
          <w:lang w:val="en-US"/>
        </w:rPr>
        <w:t xml:space="preserve">, P. (2020). Exploration of the antimicrobial and catalytic properties of gold nanoparticles greenly synthesized by </w:t>
      </w:r>
      <w:proofErr w:type="spellStart"/>
      <w:r w:rsidRPr="008C2D2F">
        <w:rPr>
          <w:rFonts w:eastAsia="Calibri"/>
          <w:i/>
          <w:sz w:val="20"/>
          <w:szCs w:val="20"/>
          <w:lang w:val="en-US"/>
        </w:rPr>
        <w:t>Cryptolepis</w:t>
      </w:r>
      <w:proofErr w:type="spellEnd"/>
      <w:r w:rsidRPr="008C2D2F">
        <w:rPr>
          <w:rFonts w:eastAsia="Calibri"/>
          <w:i/>
          <w:sz w:val="20"/>
          <w:szCs w:val="20"/>
          <w:lang w:val="en-US"/>
        </w:rPr>
        <w:t xml:space="preserve"> </w:t>
      </w:r>
      <w:proofErr w:type="spellStart"/>
      <w:r w:rsidRPr="008C2D2F">
        <w:rPr>
          <w:rFonts w:eastAsia="Calibri"/>
          <w:i/>
          <w:sz w:val="20"/>
          <w:szCs w:val="20"/>
          <w:lang w:val="en-US"/>
        </w:rPr>
        <w:t>buchanani</w:t>
      </w:r>
      <w:proofErr w:type="spellEnd"/>
      <w:r w:rsidRPr="008C2D2F">
        <w:rPr>
          <w:rFonts w:eastAsia="Calibri"/>
          <w:sz w:val="20"/>
          <w:szCs w:val="20"/>
          <w:lang w:val="en-US"/>
        </w:rPr>
        <w:t xml:space="preserve"> </w:t>
      </w:r>
      <w:proofErr w:type="spellStart"/>
      <w:r w:rsidRPr="008C2D2F">
        <w:rPr>
          <w:rFonts w:eastAsia="Calibri"/>
          <w:sz w:val="20"/>
          <w:szCs w:val="20"/>
          <w:lang w:val="en-US"/>
        </w:rPr>
        <w:t>Roem</w:t>
      </w:r>
      <w:proofErr w:type="spellEnd"/>
      <w:r w:rsidRPr="008C2D2F">
        <w:rPr>
          <w:rFonts w:eastAsia="Calibri"/>
          <w:sz w:val="20"/>
          <w:szCs w:val="20"/>
          <w:lang w:val="en-US"/>
        </w:rPr>
        <w:t xml:space="preserve">. and Schult extract. </w:t>
      </w:r>
      <w:r w:rsidRPr="008C2D2F">
        <w:rPr>
          <w:rFonts w:eastAsia="Calibri"/>
          <w:i/>
          <w:sz w:val="20"/>
          <w:szCs w:val="20"/>
        </w:rPr>
        <w:t>Journal of Nanomaterials</w:t>
      </w:r>
      <w:r w:rsidRPr="008C2D2F">
        <w:rPr>
          <w:rFonts w:eastAsia="Calibri"/>
          <w:sz w:val="20"/>
          <w:szCs w:val="20"/>
        </w:rPr>
        <w:t>, 1320274. https://doi.org/10.1155/2020/1320274</w:t>
      </w:r>
    </w:p>
    <w:p w14:paraId="0593FBDC" w14:textId="77777777" w:rsidR="00230D4E" w:rsidRPr="008C2D2F" w:rsidRDefault="00230D4E" w:rsidP="00230D4E">
      <w:pPr>
        <w:spacing w:line="276" w:lineRule="auto"/>
        <w:ind w:left="1418" w:hanging="1276"/>
        <w:jc w:val="both"/>
        <w:rPr>
          <w:rFonts w:eastAsia="Calibri"/>
          <w:sz w:val="20"/>
          <w:szCs w:val="20"/>
        </w:rPr>
      </w:pPr>
      <w:r w:rsidRPr="008C2D2F">
        <w:rPr>
          <w:rFonts w:eastAsia="Calibri"/>
          <w:sz w:val="20"/>
          <w:szCs w:val="20"/>
        </w:rPr>
        <w:t xml:space="preserve">Yaqoob, A. A., Umar, K., &amp; Ibrahim, M. N. M. (2020). Silver nanoparticles: various methods of synthesis, size affecting factors and their potential applications–a review. </w:t>
      </w:r>
      <w:r w:rsidRPr="008C2D2F">
        <w:rPr>
          <w:rFonts w:eastAsia="Calibri"/>
          <w:i/>
          <w:sz w:val="20"/>
          <w:szCs w:val="20"/>
        </w:rPr>
        <w:t>Applied Nanoscience</w:t>
      </w:r>
      <w:r w:rsidRPr="008C2D2F">
        <w:rPr>
          <w:rFonts w:eastAsia="Calibri"/>
          <w:sz w:val="20"/>
          <w:szCs w:val="20"/>
        </w:rPr>
        <w:t>, 10, 1369-1378. https://doi.org/10.1007/s13204-020-01318-w</w:t>
      </w:r>
    </w:p>
    <w:p w14:paraId="1931E591" w14:textId="77777777" w:rsidR="00230D4E" w:rsidRPr="008C2D2F" w:rsidRDefault="00230D4E" w:rsidP="00230D4E">
      <w:pPr>
        <w:pStyle w:val="Referncias"/>
        <w:numPr>
          <w:ilvl w:val="0"/>
          <w:numId w:val="0"/>
        </w:numPr>
        <w:spacing w:line="276" w:lineRule="auto"/>
        <w:ind w:left="720" w:hanging="720"/>
        <w:rPr>
          <w:rFonts w:eastAsia="Calibri" w:cs="Times New Roman"/>
          <w:sz w:val="20"/>
          <w:szCs w:val="20"/>
        </w:rPr>
      </w:pPr>
      <w:r w:rsidRPr="008C2D2F">
        <w:rPr>
          <w:rFonts w:cs="Times New Roman"/>
          <w:sz w:val="20"/>
          <w:szCs w:val="20"/>
          <w:lang w:val="pt-BR"/>
        </w:rPr>
        <w:t xml:space="preserve">Yugay, Y., Rusapetova, T., Mashtalyar, D., Grigorchuk, V., Vasyutkina, E., Kudinova, O., ... </w:t>
      </w:r>
      <w:r w:rsidRPr="008C2D2F">
        <w:rPr>
          <w:rFonts w:cs="Times New Roman"/>
          <w:sz w:val="20"/>
          <w:szCs w:val="20"/>
        </w:rPr>
        <w:t xml:space="preserve">&amp; </w:t>
      </w:r>
      <w:proofErr w:type="spellStart"/>
      <w:r w:rsidRPr="008C2D2F">
        <w:rPr>
          <w:rFonts w:cs="Times New Roman"/>
          <w:sz w:val="20"/>
          <w:szCs w:val="20"/>
        </w:rPr>
        <w:t>Shkryl</w:t>
      </w:r>
      <w:proofErr w:type="spellEnd"/>
      <w:r w:rsidRPr="008C2D2F">
        <w:rPr>
          <w:rFonts w:cs="Times New Roman"/>
          <w:sz w:val="20"/>
          <w:szCs w:val="20"/>
        </w:rPr>
        <w:t xml:space="preserve">, Y (2021). Biomimetic synthesis of functional silver nanoparticles using hairy roots of Panax ginseng for wheat pathogenic fungi treatment. </w:t>
      </w:r>
      <w:r w:rsidRPr="008C2D2F">
        <w:rPr>
          <w:rFonts w:cs="Times New Roman"/>
          <w:i/>
          <w:sz w:val="20"/>
          <w:szCs w:val="20"/>
        </w:rPr>
        <w:t xml:space="preserve">Colloids and Surfaces B: </w:t>
      </w:r>
      <w:proofErr w:type="spellStart"/>
      <w:r w:rsidRPr="008C2D2F">
        <w:rPr>
          <w:rFonts w:cs="Times New Roman"/>
          <w:i/>
          <w:sz w:val="20"/>
          <w:szCs w:val="20"/>
        </w:rPr>
        <w:t>Biointerfaces</w:t>
      </w:r>
      <w:proofErr w:type="spellEnd"/>
      <w:r w:rsidRPr="008C2D2F">
        <w:rPr>
          <w:rFonts w:cs="Times New Roman"/>
          <w:sz w:val="20"/>
          <w:szCs w:val="20"/>
        </w:rPr>
        <w:t xml:space="preserve">, 207, 112031. https://doi.org/10.1016/j.colsurfb.2021 </w:t>
      </w:r>
    </w:p>
    <w:p w14:paraId="1291FF18" w14:textId="77777777" w:rsidR="0040478F" w:rsidRDefault="0040478F" w:rsidP="00D04FE9">
      <w:pPr>
        <w:pBdr>
          <w:top w:val="nil"/>
          <w:left w:val="nil"/>
          <w:bottom w:val="nil"/>
          <w:right w:val="nil"/>
          <w:between w:val="nil"/>
        </w:pBdr>
        <w:ind w:firstLine="708"/>
        <w:jc w:val="both"/>
        <w:rPr>
          <w:rFonts w:ascii="Calibri" w:eastAsia="Calibri" w:hAnsi="Calibri" w:cs="Calibri"/>
          <w:color w:val="000000"/>
          <w:sz w:val="20"/>
          <w:szCs w:val="20"/>
        </w:rPr>
      </w:pPr>
    </w:p>
    <w:p w14:paraId="05F40574" w14:textId="77777777" w:rsidR="00B12CCE" w:rsidRDefault="00B12CCE" w:rsidP="00D04FE9">
      <w:pPr>
        <w:pBdr>
          <w:top w:val="nil"/>
          <w:left w:val="nil"/>
          <w:bottom w:val="nil"/>
          <w:right w:val="nil"/>
          <w:between w:val="nil"/>
        </w:pBdr>
        <w:ind w:firstLine="708"/>
        <w:jc w:val="both"/>
        <w:rPr>
          <w:rFonts w:ascii="Calibri" w:eastAsia="Calibri" w:hAnsi="Calibri" w:cs="Calibri"/>
          <w:color w:val="000000"/>
          <w:sz w:val="20"/>
          <w:szCs w:val="20"/>
        </w:rPr>
      </w:pPr>
    </w:p>
    <w:p w14:paraId="7D81DC6C" w14:textId="77777777" w:rsidR="00B12CCE" w:rsidRDefault="00B12CCE" w:rsidP="00D04FE9">
      <w:pPr>
        <w:pBdr>
          <w:top w:val="nil"/>
          <w:left w:val="nil"/>
          <w:bottom w:val="nil"/>
          <w:right w:val="nil"/>
          <w:between w:val="nil"/>
        </w:pBdr>
        <w:ind w:firstLine="708"/>
        <w:jc w:val="both"/>
        <w:rPr>
          <w:rFonts w:ascii="Calibri" w:eastAsia="Calibri" w:hAnsi="Calibri" w:cs="Calibri"/>
          <w:color w:val="000000"/>
          <w:sz w:val="20"/>
          <w:szCs w:val="20"/>
        </w:rPr>
      </w:pPr>
    </w:p>
    <w:p w14:paraId="79F21EA8" w14:textId="77777777" w:rsidR="00B12CCE" w:rsidRDefault="00B12CCE" w:rsidP="000C1BC5">
      <w:pPr>
        <w:pBdr>
          <w:top w:val="nil"/>
          <w:left w:val="nil"/>
          <w:bottom w:val="nil"/>
          <w:right w:val="nil"/>
          <w:between w:val="nil"/>
        </w:pBdr>
        <w:jc w:val="both"/>
        <w:rPr>
          <w:rFonts w:ascii="Calibri" w:eastAsia="Calibri" w:hAnsi="Calibri" w:cs="Calibri"/>
          <w:color w:val="000000"/>
          <w:sz w:val="20"/>
          <w:szCs w:val="20"/>
        </w:rPr>
      </w:pPr>
    </w:p>
    <w:p w14:paraId="588F03F2" w14:textId="77777777" w:rsidR="00B12CCE" w:rsidRDefault="00B12CCE" w:rsidP="00D04FE9">
      <w:pPr>
        <w:pBdr>
          <w:top w:val="nil"/>
          <w:left w:val="nil"/>
          <w:bottom w:val="nil"/>
          <w:right w:val="nil"/>
          <w:between w:val="nil"/>
        </w:pBdr>
        <w:ind w:firstLine="708"/>
        <w:jc w:val="both"/>
        <w:rPr>
          <w:rFonts w:ascii="Calibri" w:eastAsia="Calibri" w:hAnsi="Calibri" w:cs="Calibri"/>
          <w:color w:val="000000"/>
          <w:sz w:val="20"/>
          <w:szCs w:val="20"/>
        </w:rPr>
      </w:pPr>
    </w:p>
    <w:p w14:paraId="019750EE" w14:textId="77777777" w:rsidR="000C1BC5" w:rsidRDefault="000C1BC5" w:rsidP="00230D4E">
      <w:pPr>
        <w:pBdr>
          <w:top w:val="nil"/>
          <w:left w:val="nil"/>
          <w:bottom w:val="nil"/>
          <w:right w:val="nil"/>
          <w:between w:val="nil"/>
        </w:pBdr>
        <w:rPr>
          <w:rFonts w:ascii="Calibri" w:eastAsia="Calibri" w:hAnsi="Calibri" w:cs="Calibri"/>
          <w:color w:val="000000"/>
          <w:sz w:val="20"/>
          <w:szCs w:val="20"/>
        </w:rPr>
      </w:pPr>
    </w:p>
    <w:p w14:paraId="122C7A11"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4F53A0A3"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56466B79"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6695EE20"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20DD346B"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pPr>
    </w:p>
    <w:p w14:paraId="02C1B8D8" w14:textId="77777777" w:rsidR="00230D4E" w:rsidRDefault="00230D4E" w:rsidP="00230D4E">
      <w:pPr>
        <w:pBdr>
          <w:top w:val="nil"/>
          <w:left w:val="nil"/>
          <w:bottom w:val="nil"/>
          <w:right w:val="nil"/>
          <w:between w:val="nil"/>
        </w:pBdr>
        <w:rPr>
          <w:rFonts w:ascii="Calibri" w:eastAsia="Calibri" w:hAnsi="Calibri" w:cs="Calibri"/>
          <w:color w:val="000000"/>
          <w:sz w:val="20"/>
          <w:szCs w:val="20"/>
        </w:rPr>
        <w:sectPr w:rsidR="00230D4E" w:rsidSect="00230D4E">
          <w:pgSz w:w="11906" w:h="16838"/>
          <w:pgMar w:top="1701" w:right="1134" w:bottom="1134" w:left="1701" w:header="709" w:footer="709" w:gutter="0"/>
          <w:pgNumType w:start="1"/>
          <w:cols w:space="720"/>
          <w:docGrid w:linePitch="326"/>
        </w:sectPr>
      </w:pPr>
    </w:p>
    <w:p w14:paraId="6F37284F" w14:textId="32124A86" w:rsidR="00230D4E" w:rsidRDefault="00230D4E" w:rsidP="00230D4E">
      <w:pPr>
        <w:pBdr>
          <w:top w:val="nil"/>
          <w:left w:val="nil"/>
          <w:bottom w:val="nil"/>
          <w:right w:val="nil"/>
          <w:between w:val="nil"/>
        </w:pBdr>
        <w:rPr>
          <w:rFonts w:ascii="Calibri" w:eastAsia="Calibri" w:hAnsi="Calibri" w:cs="Calibri"/>
          <w:color w:val="000000"/>
          <w:sz w:val="20"/>
          <w:szCs w:val="20"/>
        </w:rPr>
        <w:sectPr w:rsidR="00230D4E" w:rsidSect="00230D4E">
          <w:type w:val="continuous"/>
          <w:pgSz w:w="11906" w:h="16838"/>
          <w:pgMar w:top="1701" w:right="1134" w:bottom="1134" w:left="1701" w:header="709" w:footer="709" w:gutter="0"/>
          <w:pgNumType w:start="1"/>
          <w:cols w:space="720"/>
          <w:docGrid w:linePitch="326"/>
        </w:sectPr>
      </w:pPr>
    </w:p>
    <w:p w14:paraId="52ED01C8" w14:textId="3A7FD00D" w:rsidR="00B554F1" w:rsidRDefault="00B554F1" w:rsidP="00230D4E">
      <w:pPr>
        <w:pBdr>
          <w:top w:val="nil"/>
          <w:left w:val="nil"/>
          <w:bottom w:val="nil"/>
          <w:right w:val="nil"/>
          <w:between w:val="nil"/>
        </w:pBdr>
        <w:spacing w:line="276" w:lineRule="auto"/>
        <w:ind w:firstLine="708"/>
        <w:jc w:val="both"/>
        <w:rPr>
          <w:rFonts w:eastAsia="Calibri"/>
          <w:sz w:val="20"/>
          <w:szCs w:val="20"/>
        </w:rPr>
      </w:pPr>
    </w:p>
    <w:p w14:paraId="17428E96" w14:textId="77777777" w:rsidR="0001764C" w:rsidRDefault="0001764C" w:rsidP="00230D4E">
      <w:pPr>
        <w:pBdr>
          <w:top w:val="nil"/>
          <w:left w:val="nil"/>
          <w:bottom w:val="nil"/>
          <w:right w:val="nil"/>
          <w:between w:val="nil"/>
        </w:pBdr>
        <w:spacing w:line="276" w:lineRule="auto"/>
        <w:ind w:firstLine="708"/>
        <w:jc w:val="both"/>
        <w:rPr>
          <w:rFonts w:eastAsia="Calibri"/>
          <w:sz w:val="20"/>
          <w:szCs w:val="20"/>
        </w:rPr>
      </w:pPr>
    </w:p>
    <w:p w14:paraId="6F64BF05" w14:textId="77777777" w:rsidR="0001764C" w:rsidRDefault="0001764C" w:rsidP="00230D4E">
      <w:pPr>
        <w:pBdr>
          <w:top w:val="nil"/>
          <w:left w:val="nil"/>
          <w:bottom w:val="nil"/>
          <w:right w:val="nil"/>
          <w:between w:val="nil"/>
        </w:pBdr>
        <w:spacing w:line="276" w:lineRule="auto"/>
        <w:ind w:firstLine="708"/>
        <w:jc w:val="both"/>
        <w:rPr>
          <w:rFonts w:eastAsia="Calibri"/>
          <w:sz w:val="20"/>
          <w:szCs w:val="20"/>
        </w:rPr>
      </w:pPr>
    </w:p>
    <w:p w14:paraId="07011B4E" w14:textId="77777777" w:rsidR="0001764C" w:rsidRPr="008C2D2F" w:rsidRDefault="0001764C" w:rsidP="00230D4E">
      <w:pPr>
        <w:pBdr>
          <w:top w:val="nil"/>
          <w:left w:val="nil"/>
          <w:bottom w:val="nil"/>
          <w:right w:val="nil"/>
          <w:between w:val="nil"/>
        </w:pBdr>
        <w:spacing w:line="276" w:lineRule="auto"/>
        <w:ind w:firstLine="708"/>
        <w:jc w:val="both"/>
        <w:rPr>
          <w:rFonts w:eastAsia="Calibri"/>
          <w:sz w:val="20"/>
          <w:szCs w:val="20"/>
        </w:rPr>
      </w:pPr>
    </w:p>
    <w:sectPr w:rsidR="0001764C" w:rsidRPr="008C2D2F">
      <w:headerReference w:type="even" r:id="rId25"/>
      <w:headerReference w:type="default" r:id="rId26"/>
      <w:footerReference w:type="default" r:id="rId27"/>
      <w:headerReference w:type="first" r:id="rId28"/>
      <w:footerReference w:type="first" r:id="rId29"/>
      <w:pgSz w:w="11906" w:h="16838"/>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84EEF" w14:textId="77777777" w:rsidR="00826828" w:rsidRDefault="00826828">
      <w:r>
        <w:separator/>
      </w:r>
    </w:p>
  </w:endnote>
  <w:endnote w:type="continuationSeparator" w:id="0">
    <w:p w14:paraId="3E5FDC80" w14:textId="77777777" w:rsidR="00826828" w:rsidRDefault="0082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0604" w14:textId="77777777" w:rsidR="000B2931" w:rsidRDefault="000B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8CAA" w14:textId="77777777" w:rsidR="00D35DF1" w:rsidRDefault="00D35DF1">
    <w:pPr>
      <w:widowControl w:val="0"/>
      <w:pBdr>
        <w:top w:val="nil"/>
        <w:left w:val="nil"/>
        <w:bottom w:val="nil"/>
        <w:right w:val="nil"/>
        <w:between w:val="nil"/>
      </w:pBdr>
      <w:spacing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9651" w14:textId="77777777" w:rsidR="00D35DF1" w:rsidRDefault="00D35DF1">
    <w:pPr>
      <w:widowControl w:val="0"/>
      <w:pBdr>
        <w:top w:val="nil"/>
        <w:left w:val="nil"/>
        <w:bottom w:val="nil"/>
        <w:right w:val="nil"/>
        <w:between w:val="nil"/>
      </w:pBdr>
      <w:spacing w:line="276" w:lineRule="auto"/>
      <w:rPr>
        <w:rFonts w:ascii="Calibri" w:eastAsia="Calibri" w:hAnsi="Calibri" w:cs="Calibri"/>
        <w:color w:val="000000"/>
      </w:rPr>
    </w:pPr>
  </w:p>
  <w:tbl>
    <w:tblPr>
      <w:tblStyle w:val="6"/>
      <w:tblW w:w="9524" w:type="dxa"/>
      <w:tblInd w:w="-115" w:type="dxa"/>
      <w:tblLayout w:type="fixed"/>
      <w:tblLook w:val="0400" w:firstRow="0" w:lastRow="0" w:firstColumn="0" w:lastColumn="0" w:noHBand="0" w:noVBand="1"/>
    </w:tblPr>
    <w:tblGrid>
      <w:gridCol w:w="8572"/>
      <w:gridCol w:w="952"/>
    </w:tblGrid>
    <w:tr w:rsidR="006474C7" w14:paraId="0DCB76B3" w14:textId="77777777">
      <w:tc>
        <w:tcPr>
          <w:tcW w:w="8572" w:type="dxa"/>
          <w:tcBorders>
            <w:top w:val="single" w:sz="4" w:space="0" w:color="000000"/>
          </w:tcBorders>
        </w:tcPr>
        <w:p w14:paraId="41B26C94"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29, Vol 1</w:t>
          </w:r>
        </w:p>
      </w:tc>
      <w:tc>
        <w:tcPr>
          <w:tcW w:w="952" w:type="dxa"/>
          <w:tcBorders>
            <w:top w:val="single" w:sz="4" w:space="0" w:color="ED7D31"/>
          </w:tcBorders>
          <w:shd w:val="clear" w:color="auto" w:fill="808080"/>
        </w:tcPr>
        <w:p w14:paraId="74FC4AB8"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51955C43" w14:textId="77777777" w:rsidR="00D35DF1" w:rsidRDefault="00D35DF1">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1332F" w14:textId="501478AB" w:rsidR="00D35DF1" w:rsidRDefault="00D35DF1">
    <w:pPr>
      <w:pBdr>
        <w:top w:val="nil"/>
        <w:left w:val="nil"/>
        <w:bottom w:val="nil"/>
        <w:right w:val="nil"/>
        <w:between w:val="nil"/>
      </w:pBdr>
      <w:tabs>
        <w:tab w:val="center" w:pos="4252"/>
        <w:tab w:val="right" w:pos="8504"/>
      </w:tabs>
      <w:jc w:val="right"/>
      <w:rPr>
        <w:rFonts w:ascii="Calibri" w:eastAsia="Calibri" w:hAnsi="Calibri" w:cs="Calibri"/>
        <w:color w:val="000000"/>
      </w:rPr>
    </w:pPr>
  </w:p>
  <w:p w14:paraId="1C2583D1" w14:textId="77777777" w:rsidR="00D35DF1" w:rsidRDefault="00D35DF1">
    <w:pPr>
      <w:spacing w:line="360" w:lineRule="auto"/>
      <w:jc w:val="center"/>
      <w:rPr>
        <w:b/>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EFE5" w14:textId="7BB66137" w:rsidR="00D35DF1" w:rsidRDefault="00D35DF1">
    <w:pPr>
      <w:pBdr>
        <w:top w:val="nil"/>
        <w:left w:val="nil"/>
        <w:bottom w:val="nil"/>
        <w:right w:val="nil"/>
        <w:between w:val="nil"/>
      </w:pBdr>
      <w:tabs>
        <w:tab w:val="center" w:pos="4252"/>
        <w:tab w:val="right" w:pos="8504"/>
      </w:tabs>
      <w:spacing w:before="80"/>
      <w:jc w:val="both"/>
      <w:rPr>
        <w:rFonts w:ascii="Calibri" w:eastAsia="Calibri" w:hAnsi="Calibri" w:cs="Calibri"/>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4B571" w14:textId="77777777" w:rsidR="00D35DF1" w:rsidRDefault="00D35DF1">
    <w:pPr>
      <w:widowControl w:val="0"/>
      <w:pBdr>
        <w:top w:val="nil"/>
        <w:left w:val="nil"/>
        <w:bottom w:val="nil"/>
        <w:right w:val="nil"/>
        <w:between w:val="nil"/>
      </w:pBdr>
      <w:spacing w:line="276" w:lineRule="auto"/>
      <w:rPr>
        <w:rFonts w:ascii="Calibri" w:eastAsia="Calibri" w:hAnsi="Calibri" w:cs="Calibri"/>
        <w:color w:val="000000"/>
      </w:rPr>
    </w:pPr>
  </w:p>
  <w:tbl>
    <w:tblPr>
      <w:tblStyle w:val="7"/>
      <w:tblW w:w="9524" w:type="dxa"/>
      <w:tblInd w:w="-115" w:type="dxa"/>
      <w:tblLayout w:type="fixed"/>
      <w:tblLook w:val="0400" w:firstRow="0" w:lastRow="0" w:firstColumn="0" w:lastColumn="0" w:noHBand="0" w:noVBand="1"/>
    </w:tblPr>
    <w:tblGrid>
      <w:gridCol w:w="8572"/>
      <w:gridCol w:w="952"/>
    </w:tblGrid>
    <w:tr w:rsidR="006474C7" w14:paraId="701FF3B0" w14:textId="77777777">
      <w:tc>
        <w:tcPr>
          <w:tcW w:w="8572" w:type="dxa"/>
          <w:tcBorders>
            <w:top w:val="single" w:sz="4" w:space="0" w:color="000000"/>
          </w:tcBorders>
        </w:tcPr>
        <w:p w14:paraId="56D19F18"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29, Vol 1</w:t>
          </w:r>
        </w:p>
      </w:tc>
      <w:tc>
        <w:tcPr>
          <w:tcW w:w="952" w:type="dxa"/>
          <w:tcBorders>
            <w:top w:val="single" w:sz="4" w:space="0" w:color="ED7D31"/>
          </w:tcBorders>
          <w:shd w:val="clear" w:color="auto" w:fill="808080"/>
        </w:tcPr>
        <w:p w14:paraId="42D13D0D" w14:textId="77777777" w:rsidR="00D35DF1" w:rsidRDefault="008A4894">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14D48A38" w14:textId="77777777" w:rsidR="00D35DF1" w:rsidRDefault="00D35DF1">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5DF64" w14:textId="77777777" w:rsidR="00826828" w:rsidRDefault="00826828">
      <w:r>
        <w:separator/>
      </w:r>
    </w:p>
  </w:footnote>
  <w:footnote w:type="continuationSeparator" w:id="0">
    <w:p w14:paraId="3A8442B6" w14:textId="77777777" w:rsidR="00826828" w:rsidRDefault="0082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588A" w14:textId="23BEE359" w:rsidR="000B2931" w:rsidRDefault="000B2931">
    <w:pPr>
      <w:pStyle w:val="Header"/>
    </w:pPr>
    <w:r>
      <w:rPr>
        <w:noProof/>
      </w:rPr>
      <w:pict w14:anchorId="19BD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4" o:spid="_x0000_s2050" type="#_x0000_t136" style="position:absolute;left:0;text-align:left;margin-left:0;margin-top:0;width:604.25pt;height:67.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38F3" w14:textId="1A41B561" w:rsidR="00D35DF1" w:rsidRDefault="000B2931" w:rsidP="00D61AB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pict w14:anchorId="68FF0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5" o:spid="_x0000_s2051" type="#_x0000_t136" style="position:absolute;left:0;text-align:left;margin-left:0;margin-top:0;width:604.25pt;height:67.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267E" w14:textId="41CC5AAC" w:rsidR="000B2931" w:rsidRDefault="000B2931">
    <w:pPr>
      <w:pStyle w:val="Header"/>
    </w:pPr>
    <w:r>
      <w:rPr>
        <w:noProof/>
      </w:rPr>
      <w:pict w14:anchorId="794AB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3" o:spid="_x0000_s2049" type="#_x0000_t136" style="position:absolute;left:0;text-align:left;margin-left:0;margin-top:0;width:604.25pt;height:67.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D331" w14:textId="2B17E36F" w:rsidR="000B2931" w:rsidRDefault="000B2931">
    <w:pPr>
      <w:pStyle w:val="Header"/>
    </w:pPr>
    <w:r>
      <w:rPr>
        <w:noProof/>
      </w:rPr>
      <w:pict w14:anchorId="1B3DC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7" o:spid="_x0000_s2053" type="#_x0000_t136" style="position:absolute;left:0;text-align:left;margin-left:0;margin-top:0;width:604.25pt;height:67.1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B09B" w14:textId="271DD608" w:rsidR="000B2931" w:rsidRDefault="000B2931">
    <w:pPr>
      <w:pStyle w:val="Header"/>
    </w:pPr>
    <w:r>
      <w:rPr>
        <w:noProof/>
      </w:rPr>
      <w:pict w14:anchorId="03D54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8" o:spid="_x0000_s2054" type="#_x0000_t136" style="position:absolute;left:0;text-align:left;margin-left:0;margin-top:0;width:604.25pt;height:67.1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AD0" w14:textId="47994CCA" w:rsidR="000B2931" w:rsidRDefault="000B2931">
    <w:pPr>
      <w:pStyle w:val="Header"/>
    </w:pPr>
    <w:r>
      <w:rPr>
        <w:noProof/>
      </w:rPr>
      <w:pict w14:anchorId="5AB75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6" o:spid="_x0000_s2052" type="#_x0000_t136" style="position:absolute;left:0;text-align:left;margin-left:0;margin-top:0;width:604.25pt;height:67.1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BB1B" w14:textId="7EC34F09" w:rsidR="000B2931" w:rsidRDefault="000B2931">
    <w:pPr>
      <w:pStyle w:val="Header"/>
    </w:pPr>
    <w:r>
      <w:rPr>
        <w:noProof/>
      </w:rPr>
      <w:pict w14:anchorId="5730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50" o:spid="_x0000_s2056" type="#_x0000_t136" style="position:absolute;left:0;text-align:left;margin-left:0;margin-top:0;width:604.25pt;height:67.1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CBA" w14:textId="2F5D11DE" w:rsidR="00D35DF1" w:rsidRDefault="000B2931">
    <w:pPr>
      <w:widowControl w:val="0"/>
      <w:pBdr>
        <w:top w:val="nil"/>
        <w:left w:val="nil"/>
        <w:bottom w:val="nil"/>
        <w:right w:val="nil"/>
        <w:between w:val="nil"/>
      </w:pBdr>
      <w:spacing w:line="276" w:lineRule="auto"/>
      <w:rPr>
        <w:rFonts w:ascii="Calibri" w:eastAsia="Calibri" w:hAnsi="Calibri" w:cs="Calibri"/>
        <w:color w:val="000000"/>
      </w:rPr>
    </w:pPr>
    <w:r>
      <w:rPr>
        <w:noProof/>
      </w:rPr>
      <w:pict w14:anchorId="2C28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51" o:spid="_x0000_s2057" type="#_x0000_t136" style="position:absolute;margin-left:0;margin-top:0;width:604.25pt;height:67.1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3A96235F" w14:textId="77777777" w:rsidR="00D35DF1" w:rsidRDefault="00D35DF1">
    <w:pPr>
      <w:pBdr>
        <w:top w:val="nil"/>
        <w:left w:val="nil"/>
        <w:bottom w:val="nil"/>
        <w:right w:val="nil"/>
        <w:between w:val="nil"/>
      </w:pBdr>
      <w:tabs>
        <w:tab w:val="center" w:pos="4252"/>
        <w:tab w:val="right" w:pos="8504"/>
      </w:tabs>
      <w:jc w:val="both"/>
      <w:rPr>
        <w:rFonts w:ascii="Calibri" w:eastAsia="Calibri" w:hAnsi="Calibri" w:cs="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E59F" w14:textId="06AD4DED" w:rsidR="000B2931" w:rsidRDefault="000B2931">
    <w:pPr>
      <w:pStyle w:val="Header"/>
    </w:pPr>
    <w:r>
      <w:rPr>
        <w:noProof/>
      </w:rPr>
      <w:pict w14:anchorId="28C77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63349" o:spid="_x0000_s2055" type="#_x0000_t136" style="position:absolute;left:0;text-align:left;margin-left:0;margin-top:0;width:604.25pt;height:67.1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B38"/>
    <w:multiLevelType w:val="multilevel"/>
    <w:tmpl w:val="2474D1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F651DCE"/>
    <w:multiLevelType w:val="multilevel"/>
    <w:tmpl w:val="528296AC"/>
    <w:lvl w:ilvl="0">
      <w:start w:val="1"/>
      <w:numFmt w:val="decimal"/>
      <w:lvlText w:val="%1"/>
      <w:lvlJc w:val="left"/>
      <w:pPr>
        <w:ind w:left="574" w:hanging="432"/>
      </w:pPr>
      <w:rPr>
        <w:b/>
        <w:i w:val="0"/>
        <w:sz w:val="28"/>
        <w:szCs w:val="28"/>
      </w:rPr>
    </w:lvl>
    <w:lvl w:ilvl="1">
      <w:start w:val="1"/>
      <w:numFmt w:val="decimal"/>
      <w:lvlText w:val="%1.%2"/>
      <w:lvlJc w:val="left"/>
      <w:pPr>
        <w:ind w:left="718" w:hanging="576"/>
      </w:pPr>
      <w:rPr>
        <w:sz w:val="26"/>
        <w:szCs w:val="26"/>
      </w:rPr>
    </w:lvl>
    <w:lvl w:ilvl="2">
      <w:start w:val="1"/>
      <w:numFmt w:val="decimal"/>
      <w:lvlText w:val="%1.%2.%3"/>
      <w:lvlJc w:val="left"/>
      <w:pPr>
        <w:ind w:left="862" w:hanging="720"/>
      </w:pPr>
      <w:rPr>
        <w:i/>
      </w:r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2" w15:restartNumberingAfterBreak="0">
    <w:nsid w:val="29473B3D"/>
    <w:multiLevelType w:val="multilevel"/>
    <w:tmpl w:val="8DFA59EC"/>
    <w:lvl w:ilvl="0">
      <w:start w:val="1"/>
      <w:numFmt w:val="bullet"/>
      <w:pStyle w:val="Heading1"/>
      <w:lvlText w:val="●"/>
      <w:lvlJc w:val="left"/>
      <w:pPr>
        <w:ind w:left="1429" w:hanging="360"/>
      </w:pPr>
      <w:rPr>
        <w:rFonts w:ascii="Noto Sans Symbols" w:eastAsia="Noto Sans Symbols" w:hAnsi="Noto Sans Symbols" w:cs="Noto Sans Symbols"/>
      </w:rPr>
    </w:lvl>
    <w:lvl w:ilvl="1">
      <w:start w:val="1"/>
      <w:numFmt w:val="bullet"/>
      <w:pStyle w:val="Heading2"/>
      <w:lvlText w:val="o"/>
      <w:lvlJc w:val="left"/>
      <w:pPr>
        <w:ind w:left="2149" w:hanging="360"/>
      </w:pPr>
      <w:rPr>
        <w:rFonts w:ascii="Courier New" w:eastAsia="Courier New" w:hAnsi="Courier New" w:cs="Courier New"/>
      </w:rPr>
    </w:lvl>
    <w:lvl w:ilvl="2">
      <w:start w:val="1"/>
      <w:numFmt w:val="bullet"/>
      <w:pStyle w:val="Heading3"/>
      <w:lvlText w:val="▪"/>
      <w:lvlJc w:val="left"/>
      <w:pPr>
        <w:ind w:left="2869" w:hanging="360"/>
      </w:pPr>
      <w:rPr>
        <w:rFonts w:ascii="Noto Sans Symbols" w:eastAsia="Noto Sans Symbols" w:hAnsi="Noto Sans Symbols" w:cs="Noto Sans Symbols"/>
      </w:rPr>
    </w:lvl>
    <w:lvl w:ilvl="3">
      <w:start w:val="1"/>
      <w:numFmt w:val="bullet"/>
      <w:pStyle w:val="Heading4"/>
      <w:lvlText w:val="●"/>
      <w:lvlJc w:val="left"/>
      <w:pPr>
        <w:ind w:left="3589" w:hanging="360"/>
      </w:pPr>
      <w:rPr>
        <w:rFonts w:ascii="Noto Sans Symbols" w:eastAsia="Noto Sans Symbols" w:hAnsi="Noto Sans Symbols" w:cs="Noto Sans Symbols"/>
      </w:rPr>
    </w:lvl>
    <w:lvl w:ilvl="4">
      <w:start w:val="1"/>
      <w:numFmt w:val="bullet"/>
      <w:pStyle w:val="Heading5"/>
      <w:lvlText w:val="o"/>
      <w:lvlJc w:val="left"/>
      <w:pPr>
        <w:ind w:left="4309" w:hanging="360"/>
      </w:pPr>
      <w:rPr>
        <w:rFonts w:ascii="Courier New" w:eastAsia="Courier New" w:hAnsi="Courier New" w:cs="Courier New"/>
      </w:rPr>
    </w:lvl>
    <w:lvl w:ilvl="5">
      <w:start w:val="1"/>
      <w:numFmt w:val="bullet"/>
      <w:pStyle w:val="Heading6"/>
      <w:lvlText w:val="▪"/>
      <w:lvlJc w:val="left"/>
      <w:pPr>
        <w:ind w:left="5029" w:hanging="360"/>
      </w:pPr>
      <w:rPr>
        <w:rFonts w:ascii="Noto Sans Symbols" w:eastAsia="Noto Sans Symbols" w:hAnsi="Noto Sans Symbols" w:cs="Noto Sans Symbols"/>
      </w:rPr>
    </w:lvl>
    <w:lvl w:ilvl="6">
      <w:start w:val="1"/>
      <w:numFmt w:val="bullet"/>
      <w:pStyle w:val="Heading7"/>
      <w:lvlText w:val="●"/>
      <w:lvlJc w:val="left"/>
      <w:pPr>
        <w:ind w:left="5749" w:hanging="360"/>
      </w:pPr>
      <w:rPr>
        <w:rFonts w:ascii="Noto Sans Symbols" w:eastAsia="Noto Sans Symbols" w:hAnsi="Noto Sans Symbols" w:cs="Noto Sans Symbols"/>
      </w:rPr>
    </w:lvl>
    <w:lvl w:ilvl="7">
      <w:start w:val="1"/>
      <w:numFmt w:val="bullet"/>
      <w:pStyle w:val="Heading8"/>
      <w:lvlText w:val="o"/>
      <w:lvlJc w:val="left"/>
      <w:pPr>
        <w:ind w:left="6469" w:hanging="360"/>
      </w:pPr>
      <w:rPr>
        <w:rFonts w:ascii="Courier New" w:eastAsia="Courier New" w:hAnsi="Courier New" w:cs="Courier New"/>
      </w:rPr>
    </w:lvl>
    <w:lvl w:ilvl="8">
      <w:start w:val="1"/>
      <w:numFmt w:val="bullet"/>
      <w:pStyle w:val="Heading9"/>
      <w:lvlText w:val="▪"/>
      <w:lvlJc w:val="left"/>
      <w:pPr>
        <w:ind w:left="7189" w:hanging="360"/>
      </w:pPr>
      <w:rPr>
        <w:rFonts w:ascii="Noto Sans Symbols" w:eastAsia="Noto Sans Symbols" w:hAnsi="Noto Sans Symbols" w:cs="Noto Sans Symbols"/>
      </w:rPr>
    </w:lvl>
  </w:abstractNum>
  <w:abstractNum w:abstractNumId="3" w15:restartNumberingAfterBreak="0">
    <w:nsid w:val="3DB87C29"/>
    <w:multiLevelType w:val="multilevel"/>
    <w:tmpl w:val="FFF4D54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512F3E23"/>
    <w:multiLevelType w:val="multilevel"/>
    <w:tmpl w:val="FAD09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100CA4"/>
    <w:multiLevelType w:val="multilevel"/>
    <w:tmpl w:val="698EC998"/>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126C3C"/>
    <w:multiLevelType w:val="multilevel"/>
    <w:tmpl w:val="F8C2BEC8"/>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60"/>
    <w:rsid w:val="0000542C"/>
    <w:rsid w:val="00012C89"/>
    <w:rsid w:val="0001764C"/>
    <w:rsid w:val="0002371F"/>
    <w:rsid w:val="00030DED"/>
    <w:rsid w:val="000314DB"/>
    <w:rsid w:val="000504D0"/>
    <w:rsid w:val="00051AE5"/>
    <w:rsid w:val="000651D2"/>
    <w:rsid w:val="00082D6D"/>
    <w:rsid w:val="00095960"/>
    <w:rsid w:val="000A5A4A"/>
    <w:rsid w:val="000B2931"/>
    <w:rsid w:val="000B7A9B"/>
    <w:rsid w:val="000C1BC5"/>
    <w:rsid w:val="000E7590"/>
    <w:rsid w:val="00123D3B"/>
    <w:rsid w:val="001265CD"/>
    <w:rsid w:val="00126E66"/>
    <w:rsid w:val="0015551B"/>
    <w:rsid w:val="00183598"/>
    <w:rsid w:val="00184043"/>
    <w:rsid w:val="001A25F2"/>
    <w:rsid w:val="001A5E78"/>
    <w:rsid w:val="001B514A"/>
    <w:rsid w:val="001C030F"/>
    <w:rsid w:val="001C4564"/>
    <w:rsid w:val="001F7C1D"/>
    <w:rsid w:val="00201084"/>
    <w:rsid w:val="00223838"/>
    <w:rsid w:val="00230D4E"/>
    <w:rsid w:val="00264F82"/>
    <w:rsid w:val="0027775A"/>
    <w:rsid w:val="0030120E"/>
    <w:rsid w:val="0030210D"/>
    <w:rsid w:val="00313D1E"/>
    <w:rsid w:val="00323025"/>
    <w:rsid w:val="00334CEB"/>
    <w:rsid w:val="003563D1"/>
    <w:rsid w:val="00386E02"/>
    <w:rsid w:val="00387420"/>
    <w:rsid w:val="00395162"/>
    <w:rsid w:val="00396D7F"/>
    <w:rsid w:val="003C578B"/>
    <w:rsid w:val="003E52EC"/>
    <w:rsid w:val="0040478F"/>
    <w:rsid w:val="004378A3"/>
    <w:rsid w:val="00437E4F"/>
    <w:rsid w:val="0048074D"/>
    <w:rsid w:val="004A0EBA"/>
    <w:rsid w:val="004A4728"/>
    <w:rsid w:val="004B2FD6"/>
    <w:rsid w:val="004B4B99"/>
    <w:rsid w:val="004D3CF0"/>
    <w:rsid w:val="004E41A3"/>
    <w:rsid w:val="004F582C"/>
    <w:rsid w:val="004F7FCC"/>
    <w:rsid w:val="005104F9"/>
    <w:rsid w:val="00516C18"/>
    <w:rsid w:val="00535475"/>
    <w:rsid w:val="00553AA9"/>
    <w:rsid w:val="00554395"/>
    <w:rsid w:val="00572002"/>
    <w:rsid w:val="00580476"/>
    <w:rsid w:val="005A735A"/>
    <w:rsid w:val="005B51CA"/>
    <w:rsid w:val="005C20C0"/>
    <w:rsid w:val="005D13F3"/>
    <w:rsid w:val="00600DE2"/>
    <w:rsid w:val="006024E4"/>
    <w:rsid w:val="0060359E"/>
    <w:rsid w:val="00616FA2"/>
    <w:rsid w:val="00631F89"/>
    <w:rsid w:val="006474C7"/>
    <w:rsid w:val="006508DB"/>
    <w:rsid w:val="00667ED2"/>
    <w:rsid w:val="006B166B"/>
    <w:rsid w:val="006C7E37"/>
    <w:rsid w:val="006E39E4"/>
    <w:rsid w:val="00706862"/>
    <w:rsid w:val="0071592B"/>
    <w:rsid w:val="00721817"/>
    <w:rsid w:val="00732207"/>
    <w:rsid w:val="00787B3E"/>
    <w:rsid w:val="00790C52"/>
    <w:rsid w:val="007A020B"/>
    <w:rsid w:val="007A1644"/>
    <w:rsid w:val="007D6194"/>
    <w:rsid w:val="007E129A"/>
    <w:rsid w:val="007E53E7"/>
    <w:rsid w:val="007E69F2"/>
    <w:rsid w:val="008142EA"/>
    <w:rsid w:val="00824F95"/>
    <w:rsid w:val="00826828"/>
    <w:rsid w:val="0082687A"/>
    <w:rsid w:val="008328F0"/>
    <w:rsid w:val="00850601"/>
    <w:rsid w:val="00854342"/>
    <w:rsid w:val="00864A84"/>
    <w:rsid w:val="00866DDC"/>
    <w:rsid w:val="00883F1C"/>
    <w:rsid w:val="00890DA6"/>
    <w:rsid w:val="008A2ED7"/>
    <w:rsid w:val="008A4894"/>
    <w:rsid w:val="008A6460"/>
    <w:rsid w:val="008B4333"/>
    <w:rsid w:val="008B5944"/>
    <w:rsid w:val="008C2D2F"/>
    <w:rsid w:val="008D1CE4"/>
    <w:rsid w:val="008E7B41"/>
    <w:rsid w:val="008F049B"/>
    <w:rsid w:val="00906735"/>
    <w:rsid w:val="0092354E"/>
    <w:rsid w:val="00933E5F"/>
    <w:rsid w:val="00950A50"/>
    <w:rsid w:val="009664EE"/>
    <w:rsid w:val="00971C27"/>
    <w:rsid w:val="00974780"/>
    <w:rsid w:val="00977857"/>
    <w:rsid w:val="00981473"/>
    <w:rsid w:val="0099192A"/>
    <w:rsid w:val="009A3ABC"/>
    <w:rsid w:val="009A48EA"/>
    <w:rsid w:val="009B130A"/>
    <w:rsid w:val="009E1FFC"/>
    <w:rsid w:val="00A07409"/>
    <w:rsid w:val="00A45322"/>
    <w:rsid w:val="00A8338A"/>
    <w:rsid w:val="00A95319"/>
    <w:rsid w:val="00AA5297"/>
    <w:rsid w:val="00AC1FA0"/>
    <w:rsid w:val="00AD24C4"/>
    <w:rsid w:val="00AD3301"/>
    <w:rsid w:val="00AE077E"/>
    <w:rsid w:val="00B10666"/>
    <w:rsid w:val="00B124E2"/>
    <w:rsid w:val="00B12CCE"/>
    <w:rsid w:val="00B13A03"/>
    <w:rsid w:val="00B554F1"/>
    <w:rsid w:val="00B570D1"/>
    <w:rsid w:val="00B70CB5"/>
    <w:rsid w:val="00B774C0"/>
    <w:rsid w:val="00B8577A"/>
    <w:rsid w:val="00BA111C"/>
    <w:rsid w:val="00BD0738"/>
    <w:rsid w:val="00BD2CE8"/>
    <w:rsid w:val="00BF4CC7"/>
    <w:rsid w:val="00C00454"/>
    <w:rsid w:val="00C150EF"/>
    <w:rsid w:val="00C23057"/>
    <w:rsid w:val="00C47C7E"/>
    <w:rsid w:val="00C55AF4"/>
    <w:rsid w:val="00C62E85"/>
    <w:rsid w:val="00C72BBB"/>
    <w:rsid w:val="00C96DD8"/>
    <w:rsid w:val="00CA738D"/>
    <w:rsid w:val="00CB5884"/>
    <w:rsid w:val="00CB76B2"/>
    <w:rsid w:val="00CC5DA0"/>
    <w:rsid w:val="00CD102C"/>
    <w:rsid w:val="00CE4263"/>
    <w:rsid w:val="00D04FE9"/>
    <w:rsid w:val="00D14391"/>
    <w:rsid w:val="00D35DF1"/>
    <w:rsid w:val="00D371DE"/>
    <w:rsid w:val="00D511B9"/>
    <w:rsid w:val="00D56CB0"/>
    <w:rsid w:val="00D61ABA"/>
    <w:rsid w:val="00D730C4"/>
    <w:rsid w:val="00D810B0"/>
    <w:rsid w:val="00D8308E"/>
    <w:rsid w:val="00D833CD"/>
    <w:rsid w:val="00D868F7"/>
    <w:rsid w:val="00D8772F"/>
    <w:rsid w:val="00DB37A5"/>
    <w:rsid w:val="00DD3E84"/>
    <w:rsid w:val="00DF27E3"/>
    <w:rsid w:val="00DF6C49"/>
    <w:rsid w:val="00E274DC"/>
    <w:rsid w:val="00E30B0F"/>
    <w:rsid w:val="00E80CB5"/>
    <w:rsid w:val="00EA03D5"/>
    <w:rsid w:val="00EA2C5E"/>
    <w:rsid w:val="00EA77FE"/>
    <w:rsid w:val="00EC435C"/>
    <w:rsid w:val="00ED1CB0"/>
    <w:rsid w:val="00EF009C"/>
    <w:rsid w:val="00EF6811"/>
    <w:rsid w:val="00EF6BA2"/>
    <w:rsid w:val="00F05DB7"/>
    <w:rsid w:val="00F10800"/>
    <w:rsid w:val="00F225CA"/>
    <w:rsid w:val="00F27440"/>
    <w:rsid w:val="00F43DD2"/>
    <w:rsid w:val="00F528B5"/>
    <w:rsid w:val="00F82A44"/>
    <w:rsid w:val="00F835C4"/>
    <w:rsid w:val="00F84463"/>
    <w:rsid w:val="00F923BB"/>
    <w:rsid w:val="00F940CA"/>
    <w:rsid w:val="00FB5085"/>
    <w:rsid w:val="00FE0E85"/>
    <w:rsid w:val="00FF1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0FFB7B2"/>
  <w15:docId w15:val="{95468D9B-B469-46D6-9E29-B3508C19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3A9"/>
  </w:style>
  <w:style w:type="paragraph" w:styleId="Heading1">
    <w:name w:val="heading 1"/>
    <w:aliases w:val="Tópico"/>
    <w:basedOn w:val="Normal"/>
    <w:next w:val="Normal"/>
    <w:link w:val="Heading1Char"/>
    <w:uiPriority w:val="1"/>
    <w:qFormat/>
    <w:rsid w:val="00EF03A9"/>
    <w:pPr>
      <w:keepNext/>
      <w:keepLines/>
      <w:numPr>
        <w:numId w:val="1"/>
      </w:numPr>
      <w:spacing w:before="360" w:after="240"/>
      <w:ind w:left="284" w:hanging="284"/>
      <w:jc w:val="both"/>
      <w:outlineLvl w:val="0"/>
    </w:pPr>
    <w:rPr>
      <w:rFonts w:ascii="Calibri" w:eastAsiaTheme="majorEastAsia" w:hAnsi="Calibri" w:cstheme="majorBidi"/>
      <w:b/>
      <w:bCs/>
      <w:caps/>
      <w:color w:val="000000" w:themeColor="text1"/>
      <w:sz w:val="28"/>
      <w:szCs w:val="28"/>
      <w:lang w:eastAsia="en-US"/>
    </w:rPr>
  </w:style>
  <w:style w:type="paragraph" w:styleId="Heading2">
    <w:name w:val="heading 2"/>
    <w:aliases w:val="Subtópico 1"/>
    <w:basedOn w:val="Heading1"/>
    <w:next w:val="Normal"/>
    <w:link w:val="Heading2Char"/>
    <w:uiPriority w:val="2"/>
    <w:qFormat/>
    <w:rsid w:val="00EF03A9"/>
    <w:pPr>
      <w:numPr>
        <w:ilvl w:val="1"/>
      </w:numPr>
      <w:spacing w:after="120"/>
      <w:ind w:left="794" w:hanging="510"/>
      <w:outlineLvl w:val="1"/>
    </w:pPr>
    <w:rPr>
      <w:rFonts w:eastAsia="Times New Roman" w:cs="Arial"/>
      <w:b w:val="0"/>
      <w:bCs w:val="0"/>
      <w:iCs/>
      <w:caps w:val="0"/>
      <w:sz w:val="26"/>
      <w:lang w:eastAsia="pt-BR"/>
    </w:rPr>
  </w:style>
  <w:style w:type="paragraph" w:styleId="Heading3">
    <w:name w:val="heading 3"/>
    <w:aliases w:val="Subtópico 2"/>
    <w:basedOn w:val="Subtitle"/>
    <w:next w:val="Normal"/>
    <w:link w:val="Heading3Char"/>
    <w:uiPriority w:val="4"/>
    <w:unhideWhenUsed/>
    <w:qFormat/>
    <w:rsid w:val="00EF03A9"/>
    <w:pPr>
      <w:keepNext/>
      <w:keepLines/>
      <w:numPr>
        <w:ilvl w:val="2"/>
        <w:numId w:val="1"/>
      </w:numPr>
      <w:spacing w:before="360" w:after="120"/>
      <w:ind w:left="1446" w:hanging="737"/>
      <w:jc w:val="both"/>
      <w:outlineLvl w:val="2"/>
    </w:pPr>
    <w:rPr>
      <w:rFonts w:eastAsiaTheme="majorEastAsia" w:cstheme="majorBidi"/>
      <w:bCs/>
      <w:i/>
      <w:color w:val="000000" w:themeColor="text1"/>
      <w:spacing w:val="5"/>
      <w:kern w:val="28"/>
      <w:sz w:val="24"/>
      <w:szCs w:val="52"/>
      <w:lang w:eastAsia="en-US"/>
    </w:rPr>
  </w:style>
  <w:style w:type="paragraph" w:styleId="Heading4">
    <w:name w:val="heading 4"/>
    <w:basedOn w:val="Normal"/>
    <w:next w:val="Normal"/>
    <w:link w:val="Heading4Char"/>
    <w:uiPriority w:val="9"/>
    <w:semiHidden/>
    <w:unhideWhenUsed/>
    <w:rsid w:val="00EF03A9"/>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F03A9"/>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F03A9"/>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F03A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03A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F03A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Tópico Char"/>
    <w:basedOn w:val="DefaultParagraphFont"/>
    <w:link w:val="Heading1"/>
    <w:uiPriority w:val="1"/>
    <w:rsid w:val="00EF03A9"/>
    <w:rPr>
      <w:rFonts w:ascii="Calibri" w:eastAsiaTheme="majorEastAsia" w:hAnsi="Calibri" w:cstheme="majorBidi"/>
      <w:b/>
      <w:bCs/>
      <w:caps/>
      <w:color w:val="000000" w:themeColor="text1"/>
      <w:sz w:val="28"/>
      <w:szCs w:val="28"/>
      <w:lang w:val="pt-BR"/>
    </w:rPr>
  </w:style>
  <w:style w:type="character" w:customStyle="1" w:styleId="Heading2Char">
    <w:name w:val="Heading 2 Char"/>
    <w:aliases w:val="Subtópico 1 Char"/>
    <w:basedOn w:val="DefaultParagraphFont"/>
    <w:link w:val="Heading2"/>
    <w:uiPriority w:val="2"/>
    <w:rsid w:val="00EF03A9"/>
    <w:rPr>
      <w:rFonts w:ascii="Calibri" w:eastAsia="Times New Roman" w:hAnsi="Calibri" w:cs="Arial"/>
      <w:iCs/>
      <w:color w:val="000000" w:themeColor="text1"/>
      <w:sz w:val="26"/>
      <w:szCs w:val="28"/>
      <w:lang w:val="pt-BR" w:eastAsia="pt-BR"/>
    </w:rPr>
  </w:style>
  <w:style w:type="character" w:customStyle="1" w:styleId="Heading3Char">
    <w:name w:val="Heading 3 Char"/>
    <w:aliases w:val="Subtópico 2 Char"/>
    <w:basedOn w:val="DefaultParagraphFont"/>
    <w:link w:val="Heading3"/>
    <w:uiPriority w:val="4"/>
    <w:rsid w:val="00EF03A9"/>
    <w:rPr>
      <w:rFonts w:ascii="Calibri" w:eastAsiaTheme="majorEastAsia" w:hAnsi="Calibri" w:cstheme="majorBidi"/>
      <w:bCs/>
      <w:i/>
      <w:color w:val="000000" w:themeColor="text1"/>
      <w:spacing w:val="5"/>
      <w:kern w:val="28"/>
      <w:sz w:val="24"/>
      <w:szCs w:val="52"/>
      <w:lang w:val="pt-BR"/>
    </w:rPr>
  </w:style>
  <w:style w:type="character" w:customStyle="1" w:styleId="Heading4Char">
    <w:name w:val="Heading 4 Char"/>
    <w:basedOn w:val="DefaultParagraphFont"/>
    <w:link w:val="Heading4"/>
    <w:uiPriority w:val="9"/>
    <w:semiHidden/>
    <w:rsid w:val="00EF03A9"/>
    <w:rPr>
      <w:rFonts w:asciiTheme="majorHAnsi" w:eastAsiaTheme="majorEastAsia" w:hAnsiTheme="majorHAnsi" w:cstheme="majorBidi"/>
      <w:b/>
      <w:bCs/>
      <w:i/>
      <w:iCs/>
      <w:color w:val="4472C4" w:themeColor="accent1"/>
      <w:sz w:val="24"/>
      <w:szCs w:val="24"/>
      <w:lang w:val="pt-BR" w:eastAsia="pt-BR"/>
    </w:rPr>
  </w:style>
  <w:style w:type="character" w:customStyle="1" w:styleId="Heading5Char">
    <w:name w:val="Heading 5 Char"/>
    <w:basedOn w:val="DefaultParagraphFont"/>
    <w:link w:val="Heading5"/>
    <w:uiPriority w:val="9"/>
    <w:semiHidden/>
    <w:rsid w:val="00EF03A9"/>
    <w:rPr>
      <w:rFonts w:asciiTheme="majorHAnsi" w:eastAsiaTheme="majorEastAsia" w:hAnsiTheme="majorHAnsi" w:cstheme="majorBidi"/>
      <w:color w:val="1F3763" w:themeColor="accent1" w:themeShade="7F"/>
      <w:sz w:val="24"/>
      <w:szCs w:val="24"/>
      <w:lang w:val="pt-BR" w:eastAsia="pt-BR"/>
    </w:rPr>
  </w:style>
  <w:style w:type="character" w:customStyle="1" w:styleId="Heading6Char">
    <w:name w:val="Heading 6 Char"/>
    <w:basedOn w:val="DefaultParagraphFont"/>
    <w:link w:val="Heading6"/>
    <w:uiPriority w:val="9"/>
    <w:semiHidden/>
    <w:rsid w:val="00EF03A9"/>
    <w:rPr>
      <w:rFonts w:asciiTheme="majorHAnsi" w:eastAsiaTheme="majorEastAsia" w:hAnsiTheme="majorHAnsi" w:cstheme="majorBidi"/>
      <w:i/>
      <w:iCs/>
      <w:color w:val="1F3763" w:themeColor="accent1" w:themeShade="7F"/>
      <w:sz w:val="24"/>
      <w:szCs w:val="24"/>
      <w:lang w:val="pt-BR" w:eastAsia="pt-BR"/>
    </w:rPr>
  </w:style>
  <w:style w:type="character" w:customStyle="1" w:styleId="Heading7Char">
    <w:name w:val="Heading 7 Char"/>
    <w:basedOn w:val="DefaultParagraphFont"/>
    <w:link w:val="Heading7"/>
    <w:uiPriority w:val="9"/>
    <w:semiHidden/>
    <w:rsid w:val="00EF03A9"/>
    <w:rPr>
      <w:rFonts w:asciiTheme="majorHAnsi" w:eastAsiaTheme="majorEastAsia" w:hAnsiTheme="majorHAnsi" w:cstheme="majorBidi"/>
      <w:i/>
      <w:iCs/>
      <w:color w:val="404040" w:themeColor="text1" w:themeTint="BF"/>
      <w:sz w:val="24"/>
      <w:szCs w:val="24"/>
      <w:lang w:val="pt-BR" w:eastAsia="pt-BR"/>
    </w:rPr>
  </w:style>
  <w:style w:type="character" w:customStyle="1" w:styleId="Heading8Char">
    <w:name w:val="Heading 8 Char"/>
    <w:basedOn w:val="DefaultParagraphFont"/>
    <w:link w:val="Heading8"/>
    <w:uiPriority w:val="9"/>
    <w:semiHidden/>
    <w:rsid w:val="00EF03A9"/>
    <w:rPr>
      <w:rFonts w:asciiTheme="majorHAnsi" w:eastAsiaTheme="majorEastAsia" w:hAnsiTheme="majorHAnsi" w:cstheme="majorBidi"/>
      <w:color w:val="404040" w:themeColor="text1" w:themeTint="BF"/>
      <w:sz w:val="20"/>
      <w:szCs w:val="20"/>
      <w:lang w:val="pt-BR" w:eastAsia="pt-BR"/>
    </w:rPr>
  </w:style>
  <w:style w:type="character" w:customStyle="1" w:styleId="Heading9Char">
    <w:name w:val="Heading 9 Char"/>
    <w:basedOn w:val="DefaultParagraphFont"/>
    <w:link w:val="Heading9"/>
    <w:uiPriority w:val="9"/>
    <w:semiHidden/>
    <w:rsid w:val="00EF03A9"/>
    <w:rPr>
      <w:rFonts w:asciiTheme="majorHAnsi" w:eastAsiaTheme="majorEastAsia" w:hAnsiTheme="majorHAnsi" w:cstheme="majorBidi"/>
      <w:i/>
      <w:iCs/>
      <w:color w:val="404040" w:themeColor="text1" w:themeTint="BF"/>
      <w:sz w:val="20"/>
      <w:szCs w:val="20"/>
      <w:lang w:val="pt-BR" w:eastAsia="pt-BR"/>
    </w:rPr>
  </w:style>
  <w:style w:type="paragraph" w:styleId="Header">
    <w:name w:val="header"/>
    <w:basedOn w:val="Normal"/>
    <w:link w:val="HeaderChar"/>
    <w:unhideWhenUsed/>
    <w:rsid w:val="00EF03A9"/>
    <w:pPr>
      <w:tabs>
        <w:tab w:val="center" w:pos="4252"/>
        <w:tab w:val="right" w:pos="8504"/>
      </w:tabs>
      <w:jc w:val="both"/>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rsid w:val="00EF03A9"/>
    <w:rPr>
      <w:sz w:val="24"/>
      <w:lang w:val="pt-BR"/>
    </w:rPr>
  </w:style>
  <w:style w:type="paragraph" w:styleId="Footer">
    <w:name w:val="footer"/>
    <w:basedOn w:val="Normal"/>
    <w:link w:val="FooterChar"/>
    <w:uiPriority w:val="99"/>
    <w:unhideWhenUsed/>
    <w:rsid w:val="00EF03A9"/>
    <w:pPr>
      <w:tabs>
        <w:tab w:val="center" w:pos="4252"/>
        <w:tab w:val="right" w:pos="8504"/>
      </w:tabs>
      <w:jc w:val="both"/>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EF03A9"/>
    <w:rPr>
      <w:sz w:val="24"/>
      <w:lang w:val="pt-BR"/>
    </w:rPr>
  </w:style>
  <w:style w:type="table" w:styleId="TableGrid">
    <w:name w:val="Table Grid"/>
    <w:basedOn w:val="TableNormal"/>
    <w:rsid w:val="00EF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rpo do Texto"/>
    <w:uiPriority w:val="1"/>
    <w:qFormat/>
    <w:rsid w:val="00EF03A9"/>
    <w:pPr>
      <w:spacing w:before="120" w:after="120" w:line="252" w:lineRule="auto"/>
      <w:ind w:firstLine="709"/>
      <w:jc w:val="both"/>
    </w:pPr>
  </w:style>
  <w:style w:type="paragraph" w:styleId="ListParagraph">
    <w:name w:val="List Paragraph"/>
    <w:basedOn w:val="Normal"/>
    <w:uiPriority w:val="34"/>
    <w:rsid w:val="00EF03A9"/>
    <w:pPr>
      <w:ind w:left="720"/>
      <w:contextualSpacing/>
      <w:jc w:val="both"/>
    </w:pPr>
    <w:rPr>
      <w:rFonts w:asciiTheme="minorHAnsi" w:eastAsiaTheme="minorHAnsi" w:hAnsiTheme="minorHAnsi" w:cstheme="minorBidi"/>
      <w:szCs w:val="22"/>
      <w:lang w:eastAsia="en-US"/>
    </w:rPr>
  </w:style>
  <w:style w:type="table" w:styleId="LightGrid">
    <w:name w:val="Light Grid"/>
    <w:basedOn w:val="TableNormal"/>
    <w:uiPriority w:val="62"/>
    <w:rsid w:val="00EF03A9"/>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ption">
    <w:name w:val="caption"/>
    <w:basedOn w:val="Normal"/>
    <w:next w:val="Normal"/>
    <w:uiPriority w:val="99"/>
    <w:qFormat/>
    <w:rsid w:val="00EF03A9"/>
    <w:pPr>
      <w:spacing w:before="120" w:after="120"/>
      <w:jc w:val="center"/>
    </w:pPr>
    <w:rPr>
      <w:rFonts w:asciiTheme="minorHAnsi" w:hAnsiTheme="minorHAnsi" w:cs="Arial"/>
      <w:b/>
      <w:bCs/>
      <w:sz w:val="20"/>
      <w:szCs w:val="20"/>
      <w:lang w:eastAsia="en-US"/>
    </w:rPr>
  </w:style>
  <w:style w:type="character" w:styleId="Hyperlink">
    <w:name w:val="Hyperlink"/>
    <w:basedOn w:val="DefaultParagraphFont"/>
    <w:uiPriority w:val="99"/>
    <w:rsid w:val="00EF03A9"/>
    <w:rPr>
      <w:rFonts w:cs="Times New Roman"/>
      <w:color w:val="0000FF"/>
      <w:u w:val="single"/>
    </w:rPr>
  </w:style>
  <w:style w:type="paragraph" w:customStyle="1" w:styleId="HOLOS-ttulodoartigo">
    <w:name w:val="HOLOS - título do artigo"/>
    <w:basedOn w:val="Normal"/>
    <w:autoRedefine/>
    <w:locked/>
    <w:rsid w:val="00EF03A9"/>
    <w:pPr>
      <w:spacing w:before="240" w:after="240"/>
      <w:jc w:val="center"/>
    </w:pPr>
    <w:rPr>
      <w:rFonts w:asciiTheme="minorHAnsi" w:eastAsiaTheme="minorHAnsi" w:hAnsiTheme="minorHAnsi" w:cs="Arial"/>
      <w:b/>
      <w:bCs/>
      <w:snapToGrid w:val="0"/>
      <w:sz w:val="28"/>
      <w:lang w:val="es-ES" w:eastAsia="es-ES"/>
    </w:rPr>
  </w:style>
  <w:style w:type="paragraph" w:customStyle="1" w:styleId="HOLOS-ResumoeAbstract">
    <w:name w:val="HOLOS - Resumo e Abstract"/>
    <w:basedOn w:val="Normal"/>
    <w:locked/>
    <w:rsid w:val="00EF03A9"/>
    <w:pPr>
      <w:jc w:val="both"/>
    </w:pPr>
    <w:rPr>
      <w:rFonts w:asciiTheme="minorHAnsi" w:eastAsiaTheme="minorHAnsi" w:hAnsiTheme="minorHAnsi" w:cstheme="minorHAnsi"/>
      <w:bCs/>
      <w:sz w:val="20"/>
      <w:lang w:val="en-US" w:eastAsia="en-US"/>
    </w:rPr>
  </w:style>
  <w:style w:type="paragraph" w:customStyle="1" w:styleId="HOLOS-subtitulos">
    <w:name w:val="HOLOS - subtitulos"/>
    <w:basedOn w:val="NoSpacing"/>
    <w:locked/>
    <w:rsid w:val="00EF03A9"/>
    <w:rPr>
      <w:rFonts w:cstheme="minorHAnsi"/>
      <w:b/>
    </w:rPr>
  </w:style>
  <w:style w:type="paragraph" w:customStyle="1" w:styleId="Padro">
    <w:name w:val="Padrão"/>
    <w:locked/>
    <w:rsid w:val="00EF03A9"/>
    <w:pPr>
      <w:widowControl w:val="0"/>
      <w:tabs>
        <w:tab w:val="left" w:pos="709"/>
      </w:tabs>
      <w:suppressAutoHyphens/>
      <w:spacing w:line="200" w:lineRule="atLeast"/>
    </w:pPr>
    <w:rPr>
      <w:rFonts w:eastAsia="DejaVu Sans" w:cs="DejaVu Sans"/>
      <w:lang w:bidi="pt-BR"/>
    </w:rPr>
  </w:style>
  <w:style w:type="character" w:customStyle="1" w:styleId="apple-style-span">
    <w:name w:val="apple-style-span"/>
    <w:basedOn w:val="DefaultParagraphFont"/>
    <w:locked/>
    <w:rsid w:val="00EF03A9"/>
  </w:style>
  <w:style w:type="paragraph" w:styleId="Subtitle">
    <w:name w:val="Subtitle"/>
    <w:basedOn w:val="Normal"/>
    <w:next w:val="Normal"/>
    <w:link w:val="SubtitleChar"/>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3"/>
    <w:rsid w:val="00EF03A9"/>
    <w:rPr>
      <w:rFonts w:eastAsiaTheme="minorEastAsia"/>
      <w:color w:val="5A5A5A" w:themeColor="text1" w:themeTint="A5"/>
      <w:spacing w:val="15"/>
      <w:lang w:val="pt-BR" w:eastAsia="pt-BR"/>
    </w:rPr>
  </w:style>
  <w:style w:type="character" w:styleId="CommentReference">
    <w:name w:val="annotation reference"/>
    <w:basedOn w:val="DefaultParagraphFont"/>
    <w:uiPriority w:val="99"/>
    <w:semiHidden/>
    <w:unhideWhenUsed/>
    <w:rsid w:val="004924EC"/>
    <w:rPr>
      <w:sz w:val="16"/>
      <w:szCs w:val="16"/>
    </w:rPr>
  </w:style>
  <w:style w:type="paragraph" w:styleId="CommentText">
    <w:name w:val="annotation text"/>
    <w:basedOn w:val="Normal"/>
    <w:link w:val="CommentTextChar"/>
    <w:semiHidden/>
    <w:unhideWhenUsed/>
    <w:rsid w:val="004924EC"/>
    <w:rPr>
      <w:sz w:val="20"/>
      <w:szCs w:val="20"/>
    </w:rPr>
  </w:style>
  <w:style w:type="character" w:customStyle="1" w:styleId="CommentTextChar">
    <w:name w:val="Comment Text Char"/>
    <w:basedOn w:val="DefaultParagraphFont"/>
    <w:link w:val="CommentText"/>
    <w:uiPriority w:val="99"/>
    <w:semiHidden/>
    <w:rsid w:val="004924EC"/>
    <w:rPr>
      <w:rFonts w:ascii="Times New Roman" w:eastAsia="Times New Roman" w:hAnsi="Times New Roman" w:cs="Times New Roman"/>
      <w:sz w:val="20"/>
      <w:szCs w:val="20"/>
      <w:lang w:val="pt-BR" w:eastAsia="pt-BR"/>
    </w:rPr>
  </w:style>
  <w:style w:type="paragraph" w:styleId="CommentSubject">
    <w:name w:val="annotation subject"/>
    <w:basedOn w:val="CommentText"/>
    <w:next w:val="CommentText"/>
    <w:link w:val="CommentSubjectChar"/>
    <w:uiPriority w:val="99"/>
    <w:semiHidden/>
    <w:unhideWhenUsed/>
    <w:rsid w:val="004924EC"/>
    <w:rPr>
      <w:b/>
      <w:bCs/>
    </w:rPr>
  </w:style>
  <w:style w:type="character" w:customStyle="1" w:styleId="CommentSubjectChar">
    <w:name w:val="Comment Subject Char"/>
    <w:basedOn w:val="CommentTextChar"/>
    <w:link w:val="CommentSubject"/>
    <w:uiPriority w:val="99"/>
    <w:semiHidden/>
    <w:rsid w:val="004924EC"/>
    <w:rPr>
      <w:rFonts w:ascii="Times New Roman" w:eastAsia="Times New Roman" w:hAnsi="Times New Roman" w:cs="Times New Roman"/>
      <w:b/>
      <w:bCs/>
      <w:sz w:val="20"/>
      <w:szCs w:val="20"/>
      <w:lang w:val="pt-BR" w:eastAsia="pt-BR"/>
    </w:rPr>
  </w:style>
  <w:style w:type="paragraph" w:styleId="BalloonText">
    <w:name w:val="Balloon Text"/>
    <w:basedOn w:val="Normal"/>
    <w:link w:val="BalloonTextChar"/>
    <w:uiPriority w:val="99"/>
    <w:semiHidden/>
    <w:unhideWhenUsed/>
    <w:rsid w:val="00492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4EC"/>
    <w:rPr>
      <w:rFonts w:ascii="Segoe UI" w:eastAsia="Times New Roman" w:hAnsi="Segoe UI" w:cs="Segoe UI"/>
      <w:sz w:val="18"/>
      <w:szCs w:val="18"/>
      <w:lang w:val="pt-BR" w:eastAsia="pt-BR"/>
    </w:rPr>
  </w:style>
  <w:style w:type="paragraph" w:styleId="NormalWeb">
    <w:name w:val="Normal (Web)"/>
    <w:basedOn w:val="Normal"/>
    <w:unhideWhenUsed/>
    <w:rsid w:val="00BE0FE9"/>
    <w:pPr>
      <w:spacing w:before="100" w:beforeAutospacing="1" w:after="100" w:afterAutospacing="1"/>
      <w:jc w:val="both"/>
    </w:pPr>
  </w:style>
  <w:style w:type="character" w:styleId="Emphasis">
    <w:name w:val="Emphasis"/>
    <w:basedOn w:val="DefaultParagraphFont"/>
    <w:uiPriority w:val="20"/>
    <w:qFormat/>
    <w:rsid w:val="00BE0FE9"/>
    <w:rPr>
      <w:i/>
      <w:iCs/>
    </w:rPr>
  </w:style>
  <w:style w:type="paragraph" w:styleId="FootnoteText">
    <w:name w:val="footnote text"/>
    <w:basedOn w:val="Normal"/>
    <w:link w:val="FootnoteTextChar"/>
    <w:uiPriority w:val="99"/>
    <w:semiHidden/>
    <w:unhideWhenUsed/>
    <w:rsid w:val="00BE0FE9"/>
    <w:pPr>
      <w:jc w:val="both"/>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E0FE9"/>
    <w:rPr>
      <w:sz w:val="20"/>
      <w:szCs w:val="20"/>
      <w:lang w:val="pt-BR"/>
    </w:rPr>
  </w:style>
  <w:style w:type="character" w:styleId="FootnoteReference">
    <w:name w:val="footnote reference"/>
    <w:basedOn w:val="DefaultParagraphFont"/>
    <w:uiPriority w:val="99"/>
    <w:semiHidden/>
    <w:unhideWhenUsed/>
    <w:rsid w:val="00BE0FE9"/>
    <w:rPr>
      <w:vertAlign w:val="superscript"/>
    </w:rPr>
  </w:style>
  <w:style w:type="table" w:styleId="LightShading-Accent2">
    <w:name w:val="Light Shading Accent 2"/>
    <w:basedOn w:val="TableNormal"/>
    <w:uiPriority w:val="60"/>
    <w:rsid w:val="00BE0FE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Strong">
    <w:name w:val="Strong"/>
    <w:basedOn w:val="DefaultParagraphFont"/>
    <w:uiPriority w:val="99"/>
    <w:rsid w:val="00BE0FE9"/>
    <w:rPr>
      <w:rFonts w:cs="Times New Roman"/>
      <w:b/>
    </w:rPr>
  </w:style>
  <w:style w:type="paragraph" w:customStyle="1" w:styleId="Textbody">
    <w:name w:val="Text body"/>
    <w:basedOn w:val="Normal"/>
    <w:uiPriority w:val="99"/>
    <w:locked/>
    <w:rsid w:val="00BE0FE9"/>
    <w:pPr>
      <w:suppressAutoHyphens/>
      <w:autoSpaceDN w:val="0"/>
      <w:jc w:val="center"/>
      <w:textAlignment w:val="baseline"/>
    </w:pPr>
    <w:rPr>
      <w:b/>
      <w:bCs/>
      <w:kern w:val="3"/>
      <w:u w:val="single"/>
    </w:rPr>
  </w:style>
  <w:style w:type="paragraph" w:styleId="BodyText">
    <w:name w:val="Body Text"/>
    <w:basedOn w:val="Normal"/>
    <w:link w:val="BodyTextChar"/>
    <w:rsid w:val="00BE0FE9"/>
    <w:pPr>
      <w:jc w:val="both"/>
    </w:pPr>
  </w:style>
  <w:style w:type="character" w:customStyle="1" w:styleId="BodyTextChar">
    <w:name w:val="Body Text Char"/>
    <w:basedOn w:val="DefaultParagraphFont"/>
    <w:link w:val="BodyText"/>
    <w:rsid w:val="00BE0FE9"/>
    <w:rPr>
      <w:rFonts w:ascii="Times New Roman" w:eastAsia="Times New Roman" w:hAnsi="Times New Roman" w:cs="Times New Roman"/>
      <w:sz w:val="24"/>
      <w:szCs w:val="24"/>
      <w:lang w:val="pt-BR" w:eastAsia="pt-BR"/>
    </w:rPr>
  </w:style>
  <w:style w:type="paragraph" w:customStyle="1" w:styleId="HOLOS-Autores">
    <w:name w:val="HOLOS - Autores"/>
    <w:basedOn w:val="Normal"/>
    <w:locked/>
    <w:rsid w:val="00BE0FE9"/>
    <w:pPr>
      <w:jc w:val="center"/>
    </w:pPr>
    <w:rPr>
      <w:rFonts w:asciiTheme="minorHAnsi" w:eastAsiaTheme="minorHAnsi" w:hAnsiTheme="minorHAnsi" w:cstheme="minorHAnsi"/>
      <w:b/>
      <w:sz w:val="18"/>
      <w:szCs w:val="22"/>
      <w:lang w:eastAsia="en-US"/>
    </w:rPr>
  </w:style>
  <w:style w:type="character" w:customStyle="1" w:styleId="apple-converted-space">
    <w:name w:val="apple-converted-space"/>
    <w:basedOn w:val="DefaultParagraphFont"/>
    <w:locked/>
    <w:rsid w:val="00BE0FE9"/>
  </w:style>
  <w:style w:type="paragraph" w:styleId="BodyTextIndent3">
    <w:name w:val="Body Text Indent 3"/>
    <w:basedOn w:val="Normal"/>
    <w:link w:val="BodyTextIndent3Char"/>
    <w:uiPriority w:val="99"/>
    <w:semiHidden/>
    <w:unhideWhenUsed/>
    <w:rsid w:val="00BE0FE9"/>
    <w:pPr>
      <w:ind w:left="283"/>
    </w:pPr>
    <w:rPr>
      <w:sz w:val="16"/>
      <w:szCs w:val="16"/>
    </w:rPr>
  </w:style>
  <w:style w:type="character" w:customStyle="1" w:styleId="BodyTextIndent3Char">
    <w:name w:val="Body Text Indent 3 Char"/>
    <w:basedOn w:val="DefaultParagraphFont"/>
    <w:link w:val="BodyTextIndent3"/>
    <w:uiPriority w:val="99"/>
    <w:semiHidden/>
    <w:rsid w:val="00BE0FE9"/>
    <w:rPr>
      <w:rFonts w:ascii="Times New Roman" w:eastAsia="Times New Roman" w:hAnsi="Times New Roman" w:cs="Times New Roman"/>
      <w:sz w:val="16"/>
      <w:szCs w:val="16"/>
      <w:lang w:val="pt-BR" w:eastAsia="pt-BR"/>
    </w:rPr>
  </w:style>
  <w:style w:type="paragraph" w:customStyle="1" w:styleId="PargrafodaLista1">
    <w:name w:val="Parágrafo da Lista1"/>
    <w:basedOn w:val="Padro"/>
    <w:locked/>
    <w:rsid w:val="00BE0FE9"/>
    <w:pPr>
      <w:ind w:left="720"/>
    </w:pPr>
  </w:style>
  <w:style w:type="paragraph" w:customStyle="1" w:styleId="Contedodetabela">
    <w:name w:val="Conteúdo de tabela"/>
    <w:basedOn w:val="Padro"/>
    <w:locked/>
    <w:rsid w:val="00BE0FE9"/>
    <w:pPr>
      <w:suppressLineNumbers/>
    </w:pPr>
  </w:style>
  <w:style w:type="paragraph" w:customStyle="1" w:styleId="Referncias">
    <w:name w:val="Referências"/>
    <w:qFormat/>
    <w:locked/>
    <w:rsid w:val="00BE0FE9"/>
    <w:pPr>
      <w:widowControl w:val="0"/>
      <w:numPr>
        <w:numId w:val="7"/>
      </w:numPr>
      <w:tabs>
        <w:tab w:val="left" w:pos="426"/>
      </w:tabs>
      <w:suppressAutoHyphens/>
      <w:spacing w:before="120" w:after="120"/>
      <w:jc w:val="both"/>
    </w:pPr>
    <w:rPr>
      <w:rFonts w:eastAsia="DejaVu Sans" w:cs="DejaVu Sans"/>
      <w:lang w:val="en-US" w:bidi="pt-BR"/>
    </w:rPr>
  </w:style>
  <w:style w:type="character" w:styleId="FollowedHyperlink">
    <w:name w:val="FollowedHyperlink"/>
    <w:basedOn w:val="DefaultParagraphFont"/>
    <w:uiPriority w:val="99"/>
    <w:semiHidden/>
    <w:unhideWhenUsed/>
    <w:rsid w:val="00BE0FE9"/>
    <w:rPr>
      <w:color w:val="954F72" w:themeColor="followedHyperlink"/>
      <w:u w:val="single"/>
    </w:rPr>
  </w:style>
  <w:style w:type="table" w:customStyle="1" w:styleId="Calendrio1">
    <w:name w:val="Calendário 1"/>
    <w:basedOn w:val="TableNormal"/>
    <w:uiPriority w:val="99"/>
    <w:qFormat/>
    <w:locked/>
    <w:rsid w:val="00BE0FE9"/>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Quote">
    <w:name w:val="Quote"/>
    <w:basedOn w:val="Normal"/>
    <w:next w:val="Normal"/>
    <w:link w:val="QuoteChar"/>
    <w:uiPriority w:val="29"/>
    <w:qFormat/>
    <w:rsid w:val="00BE0FE9"/>
    <w:pPr>
      <w:spacing w:before="240" w:after="240"/>
      <w:ind w:left="2268"/>
      <w:jc w:val="both"/>
    </w:pPr>
    <w:rPr>
      <w:rFonts w:asciiTheme="minorHAnsi" w:eastAsiaTheme="minorHAnsi" w:hAnsiTheme="minorHAnsi" w:cstheme="minorBidi"/>
      <w:iCs/>
      <w:color w:val="000000" w:themeColor="text1"/>
      <w:sz w:val="22"/>
      <w:szCs w:val="22"/>
      <w:lang w:eastAsia="en-US"/>
    </w:rPr>
  </w:style>
  <w:style w:type="character" w:customStyle="1" w:styleId="QuoteChar">
    <w:name w:val="Quote Char"/>
    <w:basedOn w:val="DefaultParagraphFont"/>
    <w:link w:val="Quote"/>
    <w:uiPriority w:val="29"/>
    <w:rsid w:val="00BE0FE9"/>
    <w:rPr>
      <w:iCs/>
      <w:color w:val="000000" w:themeColor="text1"/>
      <w:lang w:val="pt-BR"/>
    </w:rPr>
  </w:style>
  <w:style w:type="character" w:customStyle="1" w:styleId="MenoPendente1">
    <w:name w:val="Menção Pendente1"/>
    <w:basedOn w:val="DefaultParagraphFont"/>
    <w:uiPriority w:val="99"/>
    <w:semiHidden/>
    <w:unhideWhenUsed/>
    <w:rsid w:val="00BE0FE9"/>
    <w:rPr>
      <w:color w:val="605E5C"/>
      <w:shd w:val="clear" w:color="auto" w:fill="E1DFDD"/>
    </w:rPr>
  </w:style>
  <w:style w:type="table" w:customStyle="1" w:styleId="30">
    <w:name w:val="30"/>
    <w:basedOn w:val="TableNormal0"/>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29">
    <w:name w:val="29"/>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28">
    <w:name w:val="28"/>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7">
    <w:name w:val="27"/>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6">
    <w:name w:val="26"/>
    <w:basedOn w:val="TableNormal0"/>
    <w:tblPr>
      <w:tblStyleRowBandSize w:val="1"/>
      <w:tblStyleColBandSize w:val="1"/>
      <w:tblCellMar>
        <w:left w:w="70" w:type="dxa"/>
        <w:right w:w="70" w:type="dxa"/>
      </w:tblCellMar>
    </w:tblPr>
  </w:style>
  <w:style w:type="table" w:customStyle="1" w:styleId="25">
    <w:name w:val="25"/>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24">
    <w:name w:val="24"/>
    <w:basedOn w:val="TableNormal0"/>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23">
    <w:name w:val="23"/>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22">
    <w:name w:val="22"/>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
    <w:name w:val="21"/>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0">
    <w:name w:val="20"/>
    <w:basedOn w:val="TableNormal0"/>
    <w:tblPr>
      <w:tblStyleRowBandSize w:val="1"/>
      <w:tblStyleColBandSize w:val="1"/>
      <w:tblCellMar>
        <w:left w:w="70" w:type="dxa"/>
        <w:right w:w="70" w:type="dxa"/>
      </w:tblCellMar>
    </w:tblPr>
  </w:style>
  <w:style w:type="table" w:customStyle="1" w:styleId="19">
    <w:name w:val="19"/>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8">
    <w:name w:val="18"/>
    <w:basedOn w:val="TableNormal0"/>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17">
    <w:name w:val="17"/>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6">
    <w:name w:val="16"/>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
    <w:name w:val="15"/>
    <w:basedOn w:val="TableNormal0"/>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14"/>
    <w:basedOn w:val="TableNormal0"/>
    <w:tblPr>
      <w:tblStyleRowBandSize w:val="1"/>
      <w:tblStyleColBandSize w:val="1"/>
      <w:tblCellMar>
        <w:left w:w="70" w:type="dxa"/>
        <w:right w:w="70" w:type="dxa"/>
      </w:tblCellMar>
    </w:tblPr>
  </w:style>
  <w:style w:type="table" w:customStyle="1" w:styleId="13">
    <w:name w:val="13"/>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2">
    <w:name w:val="12"/>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1">
    <w:name w:val="11"/>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10">
    <w:name w:val="10"/>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9">
    <w:name w:val="9"/>
    <w:basedOn w:val="TableNormal0"/>
    <w:rPr>
      <w:color w:val="C55911"/>
    </w:rPr>
    <w:tblPr>
      <w:tblStyleRowBandSize w:val="1"/>
      <w:tblStyleColBandSize w:val="1"/>
      <w:tblCellMar>
        <w:left w:w="115" w:type="dxa"/>
        <w:right w:w="115" w:type="dxa"/>
      </w:tblCellMar>
    </w:tblPr>
    <w:tcPr>
      <w:shd w:val="clear" w:color="auto" w:fill="auto"/>
    </w:tcPr>
  </w:style>
  <w:style w:type="table" w:customStyle="1" w:styleId="8">
    <w:name w:val="8"/>
    <w:basedOn w:val="TableNormal0"/>
    <w:tblPr>
      <w:tblStyleRowBandSize w:val="1"/>
      <w:tblStyleColBandSize w:val="1"/>
      <w:tblCellMar>
        <w:top w:w="72" w:type="dxa"/>
        <w:left w:w="115" w:type="dxa"/>
        <w:bottom w:w="72" w:type="dxa"/>
        <w:right w:w="115" w:type="dxa"/>
      </w:tblCellMar>
    </w:tblPr>
  </w:style>
  <w:style w:type="table" w:customStyle="1" w:styleId="7">
    <w:name w:val="7"/>
    <w:basedOn w:val="TableNormal0"/>
    <w:tblPr>
      <w:tblStyleRowBandSize w:val="1"/>
      <w:tblStyleColBandSize w:val="1"/>
      <w:tblCellMar>
        <w:top w:w="72" w:type="dxa"/>
        <w:left w:w="115" w:type="dxa"/>
        <w:bottom w:w="72" w:type="dxa"/>
        <w:right w:w="115" w:type="dxa"/>
      </w:tblCellMar>
    </w:tblPr>
  </w:style>
  <w:style w:type="table" w:customStyle="1" w:styleId="6">
    <w:name w:val="6"/>
    <w:basedOn w:val="TableNormal0"/>
    <w:tblPr>
      <w:tblStyleRowBandSize w:val="1"/>
      <w:tblStyleColBandSize w:val="1"/>
      <w:tblCellMar>
        <w:top w:w="72" w:type="dxa"/>
        <w:left w:w="115" w:type="dxa"/>
        <w:bottom w:w="72" w:type="dxa"/>
        <w:right w:w="115" w:type="dxa"/>
      </w:tblCellMar>
    </w:tblPr>
  </w:style>
  <w:style w:type="table" w:customStyle="1" w:styleId="5">
    <w:name w:val="5"/>
    <w:basedOn w:val="TableNormal0"/>
    <w:tblPr>
      <w:tblStyleRowBandSize w:val="1"/>
      <w:tblStyleColBandSize w:val="1"/>
      <w:tblCellMar>
        <w:top w:w="72" w:type="dxa"/>
        <w:left w:w="115" w:type="dxa"/>
        <w:bottom w:w="72" w:type="dxa"/>
        <w:right w:w="115" w:type="dxa"/>
      </w:tblCellMar>
    </w:tblPr>
  </w:style>
  <w:style w:type="table" w:customStyle="1" w:styleId="4">
    <w:name w:val="4"/>
    <w:basedOn w:val="TableNormal0"/>
    <w:tblPr>
      <w:tblStyleRowBandSize w:val="1"/>
      <w:tblStyleColBandSize w:val="1"/>
      <w:tblCellMar>
        <w:top w:w="72" w:type="dxa"/>
        <w:left w:w="115" w:type="dxa"/>
        <w:bottom w:w="72" w:type="dxa"/>
        <w:right w:w="115" w:type="dxa"/>
      </w:tblCellMar>
    </w:tblPr>
  </w:style>
  <w:style w:type="table" w:customStyle="1" w:styleId="3">
    <w:name w:val="3"/>
    <w:basedOn w:val="TableNormal0"/>
    <w:tblPr>
      <w:tblStyleRowBandSize w:val="1"/>
      <w:tblStyleColBandSize w:val="1"/>
      <w:tblCellMar>
        <w:top w:w="72" w:type="dxa"/>
        <w:left w:w="115" w:type="dxa"/>
        <w:bottom w:w="72" w:type="dxa"/>
        <w:right w:w="115" w:type="dxa"/>
      </w:tblCellMar>
    </w:tblPr>
  </w:style>
  <w:style w:type="table" w:customStyle="1" w:styleId="2">
    <w:name w:val="2"/>
    <w:basedOn w:val="TableNormal0"/>
    <w:tblPr>
      <w:tblStyleRowBandSize w:val="1"/>
      <w:tblStyleColBandSize w:val="1"/>
      <w:tblCellMar>
        <w:top w:w="72" w:type="dxa"/>
        <w:left w:w="115" w:type="dxa"/>
        <w:bottom w:w="72" w:type="dxa"/>
        <w:right w:w="115" w:type="dxa"/>
      </w:tblCellMar>
    </w:tblPr>
  </w:style>
  <w:style w:type="table" w:customStyle="1" w:styleId="1">
    <w:name w:val="1"/>
    <w:basedOn w:val="TableNormal0"/>
    <w:tblPr>
      <w:tblStyleRowBandSize w:val="1"/>
      <w:tblStyleColBandSize w:val="1"/>
      <w:tblCellMar>
        <w:top w:w="72" w:type="dxa"/>
        <w:left w:w="115" w:type="dxa"/>
        <w:bottom w:w="72" w:type="dxa"/>
        <w:right w:w="115" w:type="dxa"/>
      </w:tblCellMar>
    </w:tblPr>
  </w:style>
  <w:style w:type="character" w:styleId="LineNumber">
    <w:name w:val="line number"/>
    <w:basedOn w:val="DefaultParagraphFont"/>
    <w:uiPriority w:val="99"/>
    <w:semiHidden/>
    <w:unhideWhenUsed/>
    <w:rsid w:val="00D04FE9"/>
  </w:style>
  <w:style w:type="paragraph" w:styleId="Revision">
    <w:name w:val="Revision"/>
    <w:hidden/>
    <w:uiPriority w:val="99"/>
    <w:semiHidden/>
    <w:rsid w:val="0003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iorender.com"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55/2019/1895340"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016/j.jgr.2017.04.003"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2712/2446-4775.2020.818"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4DDd7VWmkLo7QSNlqLfUsJgDrw==">CgMxLjAyCGguZ2pkZ3hzOAByITFiTnFNeFV6TFJfaDVGWmJPN2VJMHQySkoybk9VUktWXw==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8BF834-A027-4D24-BCDF-5B863DB9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7990</Words>
  <Characters>45549</Characters>
  <Application>Microsoft Office Word</Application>
  <DocSecurity>0</DocSecurity>
  <Lines>379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Carvalho</dc:creator>
  <cp:lastModifiedBy>SDI PC 1170</cp:lastModifiedBy>
  <cp:revision>20</cp:revision>
  <dcterms:created xsi:type="dcterms:W3CDTF">2026-02-26T00:51:00Z</dcterms:created>
  <dcterms:modified xsi:type="dcterms:W3CDTF">2026-02-26T10:36:00Z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6210fc1d-4739-4883-9835-738bd2bdc722</vt:lpwstr>
  </property>
</Properties>
</file>