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F8790" w14:textId="3A336D99" w:rsidR="00E31A24" w:rsidRPr="008B6F3C" w:rsidRDefault="00E31A24" w:rsidP="008B6F3C">
      <w:pPr>
        <w:tabs>
          <w:tab w:val="left" w:pos="142"/>
        </w:tabs>
        <w:spacing w:after="0" w:line="240" w:lineRule="auto"/>
        <w:jc w:val="right"/>
        <w:rPr>
          <w:rFonts w:ascii="Arial" w:hAnsi="Arial" w:cs="Arial"/>
          <w:b/>
          <w:bCs/>
          <w:color w:val="000000" w:themeColor="text1"/>
          <w:sz w:val="28"/>
          <w:szCs w:val="28"/>
        </w:rPr>
      </w:pPr>
      <w:r w:rsidRPr="008B6F3C">
        <w:rPr>
          <w:rFonts w:ascii="Arial" w:hAnsi="Arial" w:cs="Arial"/>
          <w:b/>
          <w:bCs/>
          <w:color w:val="000000" w:themeColor="text1"/>
          <w:sz w:val="28"/>
          <w:szCs w:val="28"/>
        </w:rPr>
        <w:t>Micelle-Enhanced Spectrofluorimetric Determination of Serotonin in Human Urine</w:t>
      </w:r>
      <w:r w:rsidR="0047303F" w:rsidRPr="008B6F3C">
        <w:rPr>
          <w:rFonts w:ascii="Arial" w:hAnsi="Arial" w:cs="Arial"/>
          <w:b/>
          <w:bCs/>
          <w:color w:val="000000" w:themeColor="text1"/>
          <w:sz w:val="28"/>
          <w:szCs w:val="28"/>
        </w:rPr>
        <w:t xml:space="preserve"> </w:t>
      </w:r>
      <w:r w:rsidRPr="008B6F3C">
        <w:rPr>
          <w:rFonts w:ascii="Arial" w:hAnsi="Arial" w:cs="Arial"/>
          <w:b/>
          <w:bCs/>
          <w:color w:val="000000" w:themeColor="text1"/>
          <w:sz w:val="28"/>
          <w:szCs w:val="28"/>
        </w:rPr>
        <w:t>: A Sensitive and Rapid Analytical Approach</w:t>
      </w:r>
    </w:p>
    <w:p w14:paraId="1EB5B2F7" w14:textId="77777777" w:rsidR="0047303F" w:rsidRDefault="0047303F" w:rsidP="008B6F3C">
      <w:pPr>
        <w:tabs>
          <w:tab w:val="left" w:pos="142"/>
        </w:tabs>
        <w:spacing w:after="0" w:line="240" w:lineRule="auto"/>
        <w:jc w:val="right"/>
        <w:rPr>
          <w:rFonts w:ascii="Arial" w:hAnsi="Arial" w:cs="Arial"/>
          <w:b/>
          <w:bCs/>
          <w:color w:val="000000" w:themeColor="text1"/>
          <w:sz w:val="24"/>
          <w:szCs w:val="24"/>
        </w:rPr>
      </w:pPr>
    </w:p>
    <w:p w14:paraId="46273D63" w14:textId="779029B7" w:rsidR="004040E9" w:rsidRDefault="004040E9" w:rsidP="008B6F3C">
      <w:pPr>
        <w:tabs>
          <w:tab w:val="left" w:pos="142"/>
        </w:tabs>
        <w:spacing w:after="0" w:line="240" w:lineRule="auto"/>
        <w:jc w:val="both"/>
        <w:rPr>
          <w:rFonts w:ascii="Arial" w:hAnsi="Arial" w:cs="Arial"/>
          <w:color w:val="000000" w:themeColor="text1"/>
          <w:sz w:val="24"/>
          <w:szCs w:val="24"/>
        </w:rPr>
      </w:pPr>
    </w:p>
    <w:p w14:paraId="709D39DA" w14:textId="77777777" w:rsidR="00457EE4" w:rsidRPr="008B6F3C" w:rsidRDefault="00457EE4" w:rsidP="008B6F3C">
      <w:pPr>
        <w:tabs>
          <w:tab w:val="left" w:pos="142"/>
        </w:tabs>
        <w:spacing w:after="0" w:line="240" w:lineRule="auto"/>
        <w:jc w:val="both"/>
        <w:rPr>
          <w:rFonts w:ascii="Arial" w:hAnsi="Arial" w:cs="Arial"/>
          <w:color w:val="000000" w:themeColor="text1"/>
          <w:sz w:val="24"/>
          <w:szCs w:val="24"/>
        </w:rPr>
      </w:pPr>
    </w:p>
    <w:p w14:paraId="753AC3C3" w14:textId="54998F73" w:rsidR="00EE712C" w:rsidRPr="00EE712C" w:rsidRDefault="00EE712C" w:rsidP="008B6F3C">
      <w:pPr>
        <w:tabs>
          <w:tab w:val="left" w:pos="142"/>
        </w:tabs>
        <w:spacing w:after="0" w:line="360" w:lineRule="auto"/>
        <w:jc w:val="both"/>
        <w:rPr>
          <w:rFonts w:ascii="Arial" w:hAnsi="Arial" w:cs="Arial"/>
          <w:b/>
          <w:bCs/>
          <w:color w:val="000000" w:themeColor="text1"/>
        </w:rPr>
      </w:pPr>
      <w:r w:rsidRPr="00EE712C">
        <w:rPr>
          <w:rFonts w:ascii="Arial" w:hAnsi="Arial" w:cs="Arial"/>
          <w:b/>
          <w:bCs/>
          <w:color w:val="000000" w:themeColor="text1"/>
        </w:rPr>
        <w:t xml:space="preserve">Abstract </w:t>
      </w:r>
    </w:p>
    <w:p w14:paraId="38D13708" w14:textId="194C8890" w:rsidR="00296121" w:rsidRDefault="00541B9B" w:rsidP="0097495D">
      <w:pPr>
        <w:tabs>
          <w:tab w:val="left" w:pos="142"/>
        </w:tabs>
        <w:spacing w:after="0" w:line="360" w:lineRule="auto"/>
        <w:jc w:val="both"/>
        <w:rPr>
          <w:rFonts w:ascii="Arial" w:hAnsi="Arial" w:cs="Arial"/>
          <w:color w:val="000000" w:themeColor="text1"/>
        </w:rPr>
      </w:pPr>
      <w:r w:rsidRPr="008B6F3C">
        <w:rPr>
          <w:rFonts w:ascii="Arial" w:hAnsi="Arial" w:cs="Arial"/>
          <w:color w:val="000000" w:themeColor="text1"/>
        </w:rPr>
        <w:t>A micelle-enhanced spectrofluorimetric method was developed and validated for the determination of serotonin (5-hydroxytryptamine, 5-HT) in aqueous solution and human urine. The fluorescence response of 5-HT was evaluated in various surfactant systems, with Brij 700 and sodium dodecyl sulfate (SDS) providing substantial fluorescence enhancement.</w:t>
      </w:r>
      <w:r w:rsidRPr="008B6F3C">
        <w:rPr>
          <w:rFonts w:ascii="Arial" w:hAnsi="Arial" w:cs="Arial"/>
          <w:color w:val="000000" w:themeColor="text1"/>
        </w:rPr>
        <w:br/>
        <w:t>Under optimized conditions (λ</w:t>
      </w:r>
      <w:r w:rsidRPr="008B6F3C">
        <w:rPr>
          <w:rFonts w:ascii="Arial" w:hAnsi="Arial" w:cs="Arial"/>
          <w:color w:val="000000" w:themeColor="text1"/>
          <w:vertAlign w:val="subscript"/>
        </w:rPr>
        <w:t>ex</w:t>
      </w:r>
      <w:r w:rsidRPr="008B6F3C">
        <w:rPr>
          <w:rFonts w:ascii="Arial" w:hAnsi="Arial" w:cs="Arial"/>
          <w:color w:val="000000" w:themeColor="text1"/>
        </w:rPr>
        <w:t xml:space="preserve"> 275 </w:t>
      </w:r>
      <w:proofErr w:type="gramStart"/>
      <w:r w:rsidRPr="008B6F3C">
        <w:rPr>
          <w:rFonts w:ascii="Arial" w:hAnsi="Arial" w:cs="Arial"/>
          <w:color w:val="000000" w:themeColor="text1"/>
        </w:rPr>
        <w:t>nm;</w:t>
      </w:r>
      <w:proofErr w:type="gramEnd"/>
      <w:r w:rsidRPr="008B6F3C">
        <w:rPr>
          <w:rFonts w:ascii="Arial" w:hAnsi="Arial" w:cs="Arial"/>
          <w:color w:val="000000" w:themeColor="text1"/>
        </w:rPr>
        <w:t xml:space="preserve"> λ</w:t>
      </w:r>
      <w:r w:rsidRPr="008B6F3C">
        <w:rPr>
          <w:rFonts w:ascii="Arial" w:hAnsi="Arial" w:cs="Arial"/>
          <w:color w:val="000000" w:themeColor="text1"/>
          <w:vertAlign w:val="subscript"/>
        </w:rPr>
        <w:t>em</w:t>
      </w:r>
      <w:r w:rsidRPr="008B6F3C">
        <w:rPr>
          <w:rFonts w:ascii="Arial" w:hAnsi="Arial" w:cs="Arial"/>
          <w:color w:val="000000" w:themeColor="text1"/>
        </w:rPr>
        <w:t xml:space="preserve"> 340 nm), linearity was observed over 0.1–300 ng mL</w:t>
      </w:r>
      <w:r w:rsidRPr="008B6F3C">
        <w:rPr>
          <w:rFonts w:ascii="Arial" w:hAnsi="Arial" w:cs="Arial"/>
          <w:color w:val="000000" w:themeColor="text1"/>
          <w:vertAlign w:val="superscript"/>
        </w:rPr>
        <w:t>-1</w:t>
      </w:r>
      <w:r w:rsidRPr="008B6F3C">
        <w:rPr>
          <w:rFonts w:ascii="Arial" w:hAnsi="Arial" w:cs="Arial"/>
          <w:color w:val="000000" w:themeColor="text1"/>
        </w:rPr>
        <w:t xml:space="preserve"> (R² ≥ 0.996). Limits of detection were 1.7 ng mL</w:t>
      </w:r>
      <w:r w:rsidRPr="008B6F3C">
        <w:rPr>
          <w:rFonts w:ascii="Arial" w:hAnsi="Arial" w:cs="Arial"/>
          <w:color w:val="000000" w:themeColor="text1"/>
          <w:vertAlign w:val="superscript"/>
        </w:rPr>
        <w:t>-1</w:t>
      </w:r>
      <w:r w:rsidRPr="008B6F3C">
        <w:rPr>
          <w:rFonts w:ascii="Arial" w:hAnsi="Arial" w:cs="Arial"/>
          <w:color w:val="000000" w:themeColor="text1"/>
        </w:rPr>
        <w:t xml:space="preserve"> in Brij 700 and 2.4 ng/mL in SDS. The method was validated according to ICH Q2(R1) guidelines for linearity, sensitivity, accuracy, precision, selectivity, and reproducibility. Intra-day precision (RSD) ranged from 1.26% to 3.64%, and inter-day precision over five days ranged from 3.7% to 4.3%.</w:t>
      </w:r>
      <w:r w:rsidRPr="008B6F3C">
        <w:rPr>
          <w:rFonts w:ascii="Arial" w:hAnsi="Arial" w:cs="Arial"/>
          <w:color w:val="000000" w:themeColor="text1"/>
        </w:rPr>
        <w:br/>
        <w:t>Recoveries from fortified urine samples after liquid–liquid or solid-phase extraction ranged from 89% to 101%, with no significant deviation from 100% at the 95% confidence level. The method provides a rapid, sensitive, and cost-effective alternative to chromatographic techniques for routine clinical monitoring of serotonin in human urine.</w:t>
      </w:r>
    </w:p>
    <w:p w14:paraId="1444AF7E" w14:textId="77777777" w:rsidR="005C6150" w:rsidRDefault="005C6150" w:rsidP="0097495D">
      <w:pPr>
        <w:tabs>
          <w:tab w:val="left" w:pos="142"/>
        </w:tabs>
        <w:spacing w:after="0" w:line="360" w:lineRule="auto"/>
        <w:jc w:val="both"/>
        <w:rPr>
          <w:rFonts w:ascii="Arial" w:hAnsi="Arial" w:cs="Arial"/>
          <w:color w:val="000000" w:themeColor="text1"/>
        </w:rPr>
      </w:pPr>
    </w:p>
    <w:p w14:paraId="6AA0DBF2" w14:textId="719C67A9" w:rsidR="005C6150" w:rsidRPr="005C6150" w:rsidRDefault="005C6150" w:rsidP="005C6150">
      <w:pPr>
        <w:tabs>
          <w:tab w:val="left" w:pos="142"/>
        </w:tabs>
        <w:spacing w:after="0" w:line="360" w:lineRule="auto"/>
        <w:jc w:val="both"/>
        <w:rPr>
          <w:rFonts w:ascii="Arial" w:hAnsi="Arial" w:cs="Arial"/>
          <w:color w:val="000000" w:themeColor="text1"/>
        </w:rPr>
      </w:pPr>
      <w:proofErr w:type="gramStart"/>
      <w:r w:rsidRPr="005C6150">
        <w:rPr>
          <w:rFonts w:ascii="Arial" w:hAnsi="Arial" w:cs="Arial"/>
          <w:i/>
          <w:color w:val="000000" w:themeColor="text1"/>
        </w:rPr>
        <w:t>Keywords:</w:t>
      </w:r>
      <w:proofErr w:type="gramEnd"/>
      <w:r w:rsidRPr="005C6150">
        <w:rPr>
          <w:rFonts w:ascii="Arial" w:hAnsi="Arial" w:cs="Arial"/>
          <w:i/>
          <w:color w:val="000000" w:themeColor="text1"/>
        </w:rPr>
        <w:t xml:space="preserve"> Serotonin (5-HT); Micelle-enhanced fluorescence; Brij 700; Sodium dodecyl sulfate; Urine determination</w:t>
      </w:r>
    </w:p>
    <w:p w14:paraId="4E97991F" w14:textId="77777777" w:rsidR="005C6150" w:rsidRPr="008B6F3C" w:rsidRDefault="005C6150" w:rsidP="0097495D">
      <w:pPr>
        <w:tabs>
          <w:tab w:val="left" w:pos="142"/>
        </w:tabs>
        <w:spacing w:after="0" w:line="360" w:lineRule="auto"/>
        <w:jc w:val="both"/>
        <w:rPr>
          <w:rFonts w:ascii="Arial" w:hAnsi="Arial" w:cs="Arial"/>
          <w:b/>
          <w:bCs/>
          <w:color w:val="000000" w:themeColor="text1"/>
        </w:rPr>
      </w:pPr>
    </w:p>
    <w:p w14:paraId="313A6D15" w14:textId="0285230F" w:rsidR="007B48A3" w:rsidRPr="007B48A3" w:rsidRDefault="004040E9" w:rsidP="0097495D">
      <w:pPr>
        <w:tabs>
          <w:tab w:val="left" w:pos="142"/>
        </w:tabs>
        <w:spacing w:after="0" w:line="360" w:lineRule="auto"/>
        <w:jc w:val="both"/>
        <w:rPr>
          <w:rFonts w:ascii="Arial" w:hAnsi="Arial" w:cs="Arial"/>
          <w:b/>
          <w:bCs/>
          <w:color w:val="000000" w:themeColor="text1"/>
          <w:sz w:val="24"/>
          <w:szCs w:val="24"/>
        </w:rPr>
      </w:pPr>
      <w:r w:rsidRPr="007B48A3">
        <w:rPr>
          <w:rFonts w:ascii="Arial" w:hAnsi="Arial" w:cs="Arial"/>
          <w:b/>
          <w:bCs/>
          <w:color w:val="000000" w:themeColor="text1"/>
          <w:sz w:val="24"/>
          <w:szCs w:val="24"/>
        </w:rPr>
        <w:t>1. INTRODUCTION</w:t>
      </w:r>
    </w:p>
    <w:p w14:paraId="7A80C034" w14:textId="1261BB4B" w:rsidR="007B48A3" w:rsidRPr="007B48A3" w:rsidRDefault="007B48A3" w:rsidP="0097495D">
      <w:pPr>
        <w:tabs>
          <w:tab w:val="left" w:pos="142"/>
        </w:tabs>
        <w:spacing w:after="0" w:line="360" w:lineRule="auto"/>
        <w:ind w:firstLine="708"/>
        <w:jc w:val="both"/>
        <w:rPr>
          <w:rFonts w:ascii="Arial" w:hAnsi="Arial" w:cs="Arial"/>
          <w:color w:val="000000" w:themeColor="text1"/>
          <w:sz w:val="24"/>
          <w:szCs w:val="24"/>
        </w:rPr>
      </w:pPr>
      <w:r w:rsidRPr="007B48A3">
        <w:rPr>
          <w:rFonts w:ascii="Arial" w:hAnsi="Arial" w:cs="Arial"/>
          <w:color w:val="000000" w:themeColor="text1"/>
          <w:sz w:val="24"/>
          <w:szCs w:val="24"/>
        </w:rPr>
        <w:t>Serotonin (5-hydroxytryptamine, 5-HT) is a key monoamine neurotransmitter involved in the regulation of mood, sleep, appetite, gastrointestinal activity, and cardiovascular function. Altered serotonin levels are associated with neuropsychiatric disorders, endocrine dysfunctions, and neuroendocrine tumors, making its accurate quantification in biological fluids clinically significant [</w:t>
      </w:r>
      <w:r w:rsidRPr="007B48A3">
        <w:rPr>
          <w:rFonts w:ascii="Arial" w:hAnsi="Arial" w:cs="Arial"/>
          <w:color w:val="0070C0"/>
          <w:sz w:val="24"/>
          <w:szCs w:val="24"/>
        </w:rPr>
        <w:t>1–3</w:t>
      </w:r>
      <w:r w:rsidRPr="007B48A3">
        <w:rPr>
          <w:rFonts w:ascii="Arial" w:hAnsi="Arial" w:cs="Arial"/>
          <w:color w:val="000000" w:themeColor="text1"/>
          <w:sz w:val="24"/>
          <w:szCs w:val="24"/>
        </w:rPr>
        <w:t>].</w:t>
      </w:r>
      <w:r w:rsidR="00296121" w:rsidRPr="008B6F3C">
        <w:rPr>
          <w:rFonts w:ascii="Arial" w:hAnsi="Arial" w:cs="Arial"/>
          <w:color w:val="000000" w:themeColor="text1"/>
          <w:sz w:val="24"/>
          <w:szCs w:val="24"/>
        </w:rPr>
        <w:t xml:space="preserve"> </w:t>
      </w:r>
      <w:r w:rsidRPr="007B48A3">
        <w:rPr>
          <w:rFonts w:ascii="Arial" w:hAnsi="Arial" w:cs="Arial"/>
          <w:color w:val="000000" w:themeColor="text1"/>
          <w:sz w:val="24"/>
          <w:szCs w:val="24"/>
        </w:rPr>
        <w:t>In routine diagnostics, serotonin metabolism is commonly assessed indirectly through urinary 5-hydroxyindoleacetic acid (5-HIAA). However, indirect evaluation may be unreliable in cases of altered metabolism or low serotonin production [</w:t>
      </w:r>
      <w:r w:rsidRPr="007B48A3">
        <w:rPr>
          <w:rFonts w:ascii="Arial" w:hAnsi="Arial" w:cs="Arial"/>
          <w:color w:val="0070C0"/>
          <w:sz w:val="24"/>
          <w:szCs w:val="24"/>
        </w:rPr>
        <w:t>4</w:t>
      </w:r>
      <w:r w:rsidRPr="007B48A3">
        <w:rPr>
          <w:rFonts w:ascii="Arial" w:hAnsi="Arial" w:cs="Arial"/>
          <w:color w:val="000000" w:themeColor="text1"/>
          <w:sz w:val="24"/>
          <w:szCs w:val="24"/>
        </w:rPr>
        <w:t>]. Direct determination of serotonin in urine therefore remains analytically relevant.</w:t>
      </w:r>
      <w:r w:rsidR="00296121" w:rsidRPr="008B6F3C">
        <w:rPr>
          <w:rFonts w:ascii="Arial" w:hAnsi="Arial" w:cs="Arial"/>
          <w:color w:val="000000" w:themeColor="text1"/>
          <w:sz w:val="24"/>
          <w:szCs w:val="24"/>
        </w:rPr>
        <w:t xml:space="preserve"> </w:t>
      </w:r>
      <w:r w:rsidRPr="007B48A3">
        <w:rPr>
          <w:rFonts w:ascii="Arial" w:hAnsi="Arial" w:cs="Arial"/>
          <w:color w:val="000000" w:themeColor="text1"/>
          <w:sz w:val="24"/>
          <w:szCs w:val="24"/>
        </w:rPr>
        <w:t>Highly sensitive techniques such as LC–MS/MS and HPLC with electrochemical detection provide excellent selectivity and low detection limits [</w:t>
      </w:r>
      <w:r w:rsidRPr="007B48A3">
        <w:rPr>
          <w:rFonts w:ascii="Arial" w:hAnsi="Arial" w:cs="Arial"/>
          <w:color w:val="0070C0"/>
          <w:sz w:val="24"/>
          <w:szCs w:val="24"/>
        </w:rPr>
        <w:t>1,2,5</w:t>
      </w:r>
      <w:r w:rsidRPr="007B48A3">
        <w:rPr>
          <w:rFonts w:ascii="Arial" w:hAnsi="Arial" w:cs="Arial"/>
          <w:color w:val="000000" w:themeColor="text1"/>
          <w:sz w:val="24"/>
          <w:szCs w:val="24"/>
        </w:rPr>
        <w:t>]. Nevertheless, these approaches require expensive instrumentation, complex sample preparation, and specialized expertise, limiting their applicability in routine laboratories.</w:t>
      </w:r>
      <w:r w:rsidR="00296121" w:rsidRPr="008B6F3C">
        <w:rPr>
          <w:rFonts w:ascii="Arial" w:hAnsi="Arial" w:cs="Arial"/>
          <w:color w:val="000000" w:themeColor="text1"/>
          <w:sz w:val="24"/>
          <w:szCs w:val="24"/>
        </w:rPr>
        <w:t xml:space="preserve"> </w:t>
      </w:r>
      <w:r w:rsidRPr="007B48A3">
        <w:rPr>
          <w:rFonts w:ascii="Arial" w:hAnsi="Arial" w:cs="Arial"/>
          <w:color w:val="000000" w:themeColor="text1"/>
          <w:sz w:val="24"/>
          <w:szCs w:val="24"/>
        </w:rPr>
        <w:t xml:space="preserve">Spectrofluorimetry offers a simple, </w:t>
      </w:r>
      <w:r w:rsidRPr="007B48A3">
        <w:rPr>
          <w:rFonts w:ascii="Arial" w:hAnsi="Arial" w:cs="Arial"/>
          <w:color w:val="000000" w:themeColor="text1"/>
          <w:sz w:val="24"/>
          <w:szCs w:val="24"/>
        </w:rPr>
        <w:lastRenderedPageBreak/>
        <w:t xml:space="preserve">rapid, and cost-effective alternative. Serotonin exhibits intrinsic fluorescence due to its indole </w:t>
      </w:r>
      <w:proofErr w:type="gramStart"/>
      <w:r w:rsidRPr="007B48A3">
        <w:rPr>
          <w:rFonts w:ascii="Arial" w:hAnsi="Arial" w:cs="Arial"/>
          <w:color w:val="000000" w:themeColor="text1"/>
          <w:sz w:val="24"/>
          <w:szCs w:val="24"/>
        </w:rPr>
        <w:t>chromophore;</w:t>
      </w:r>
      <w:proofErr w:type="gramEnd"/>
      <w:r w:rsidRPr="007B48A3">
        <w:rPr>
          <w:rFonts w:ascii="Arial" w:hAnsi="Arial" w:cs="Arial"/>
          <w:color w:val="000000" w:themeColor="text1"/>
          <w:sz w:val="24"/>
          <w:szCs w:val="24"/>
        </w:rPr>
        <w:t xml:space="preserve"> however, in aqueous media, fluorescence intensity is reduced by solvent-induced quenching and non-radiative relaxation processes [</w:t>
      </w:r>
      <w:r w:rsidRPr="007B48A3">
        <w:rPr>
          <w:rFonts w:ascii="Arial" w:hAnsi="Arial" w:cs="Arial"/>
          <w:color w:val="0070C0"/>
          <w:sz w:val="24"/>
          <w:szCs w:val="24"/>
        </w:rPr>
        <w:t>6</w:t>
      </w:r>
      <w:r w:rsidRPr="007B48A3">
        <w:rPr>
          <w:rFonts w:ascii="Arial" w:hAnsi="Arial" w:cs="Arial"/>
          <w:color w:val="000000" w:themeColor="text1"/>
          <w:sz w:val="24"/>
          <w:szCs w:val="24"/>
        </w:rPr>
        <w:t>]. This limits its direct determination at trace levels.</w:t>
      </w:r>
      <w:r w:rsidR="00296121" w:rsidRPr="008B6F3C">
        <w:rPr>
          <w:rFonts w:ascii="Arial" w:hAnsi="Arial" w:cs="Arial"/>
          <w:color w:val="000000" w:themeColor="text1"/>
          <w:sz w:val="24"/>
          <w:szCs w:val="24"/>
        </w:rPr>
        <w:t xml:space="preserve"> </w:t>
      </w:r>
      <w:r w:rsidRPr="007B48A3">
        <w:rPr>
          <w:rFonts w:ascii="Arial" w:hAnsi="Arial" w:cs="Arial"/>
          <w:color w:val="000000" w:themeColor="text1"/>
          <w:sz w:val="24"/>
          <w:szCs w:val="24"/>
        </w:rPr>
        <w:t>Micellar media provide an effective strategy to enhance fluorescence signals. Above their critical micelle concentration, surfactants form organized microenvironments of reduced polarity that restrict molecular motion and decrease non-radiative decay pathways [</w:t>
      </w:r>
      <w:r w:rsidRPr="007B48A3">
        <w:rPr>
          <w:rFonts w:ascii="Arial" w:hAnsi="Arial" w:cs="Arial"/>
          <w:color w:val="0070C0"/>
          <w:sz w:val="24"/>
          <w:szCs w:val="24"/>
        </w:rPr>
        <w:t>7</w:t>
      </w:r>
      <w:r w:rsidRPr="007B48A3">
        <w:rPr>
          <w:rFonts w:ascii="Arial" w:hAnsi="Arial" w:cs="Arial"/>
          <w:color w:val="000000" w:themeColor="text1"/>
          <w:sz w:val="24"/>
          <w:szCs w:val="24"/>
        </w:rPr>
        <w:t>]. Micelle-enhanced spectrofluorimetry has been successfully applied to improve sensitivity in pharmaceutical and bioanalytical applications [</w:t>
      </w:r>
      <w:r w:rsidRPr="007B48A3">
        <w:rPr>
          <w:rFonts w:ascii="Arial" w:hAnsi="Arial" w:cs="Arial"/>
          <w:color w:val="0070C0"/>
          <w:sz w:val="24"/>
          <w:szCs w:val="24"/>
        </w:rPr>
        <w:t>7–10</w:t>
      </w:r>
      <w:r w:rsidRPr="007B48A3">
        <w:rPr>
          <w:rFonts w:ascii="Arial" w:hAnsi="Arial" w:cs="Arial"/>
          <w:color w:val="000000" w:themeColor="text1"/>
          <w:sz w:val="24"/>
          <w:szCs w:val="24"/>
        </w:rPr>
        <w:t>]. Despite these advances, few studies have reported the direct determination of serotonin in human urine using a fully validated micellar spectrofluorimetric method.</w:t>
      </w:r>
    </w:p>
    <w:p w14:paraId="385A75AA" w14:textId="77777777" w:rsidR="007B48A3" w:rsidRPr="007B48A3" w:rsidRDefault="007B48A3" w:rsidP="0097495D">
      <w:pPr>
        <w:tabs>
          <w:tab w:val="left" w:pos="142"/>
        </w:tabs>
        <w:spacing w:after="0" w:line="360" w:lineRule="auto"/>
        <w:ind w:firstLine="708"/>
        <w:jc w:val="both"/>
        <w:rPr>
          <w:rFonts w:ascii="Arial" w:hAnsi="Arial" w:cs="Arial"/>
          <w:color w:val="000000" w:themeColor="text1"/>
          <w:sz w:val="24"/>
          <w:szCs w:val="24"/>
        </w:rPr>
      </w:pPr>
      <w:r w:rsidRPr="007B48A3">
        <w:rPr>
          <w:rFonts w:ascii="Arial" w:hAnsi="Arial" w:cs="Arial"/>
          <w:color w:val="000000" w:themeColor="text1"/>
          <w:sz w:val="24"/>
          <w:szCs w:val="24"/>
        </w:rPr>
        <w:t>The present work describes the development and validation of a simple, sensitive, and cost-effective micelle-enhanced spectrofluorimetric method for the direct quantification of serotonin in human urine. The method was validated in accordance with ICH guidelines [</w:t>
      </w:r>
      <w:r w:rsidRPr="007B48A3">
        <w:rPr>
          <w:rFonts w:ascii="Arial" w:hAnsi="Arial" w:cs="Arial"/>
          <w:color w:val="0070C0"/>
          <w:sz w:val="24"/>
          <w:szCs w:val="24"/>
        </w:rPr>
        <w:t>11</w:t>
      </w:r>
      <w:r w:rsidRPr="007B48A3">
        <w:rPr>
          <w:rFonts w:ascii="Arial" w:hAnsi="Arial" w:cs="Arial"/>
          <w:color w:val="000000" w:themeColor="text1"/>
          <w:sz w:val="24"/>
          <w:szCs w:val="24"/>
        </w:rPr>
        <w:t>], and its applicability was demonstrated in fortified urine samples. This approach provides a rapid and accessible alternative to chromatographic techniques for routine clinical and bioanalytical monitoring of serotonin.</w:t>
      </w:r>
    </w:p>
    <w:p w14:paraId="333C94A7" w14:textId="77777777" w:rsidR="00296121" w:rsidRPr="008B6F3C" w:rsidRDefault="00296121" w:rsidP="0097495D">
      <w:pPr>
        <w:tabs>
          <w:tab w:val="left" w:pos="142"/>
        </w:tabs>
        <w:spacing w:after="0" w:line="360" w:lineRule="auto"/>
        <w:jc w:val="both"/>
        <w:rPr>
          <w:rFonts w:ascii="Arial" w:hAnsi="Arial" w:cs="Arial"/>
          <w:b/>
          <w:bCs/>
          <w:color w:val="000000" w:themeColor="text1"/>
          <w:sz w:val="24"/>
          <w:szCs w:val="24"/>
        </w:rPr>
      </w:pPr>
    </w:p>
    <w:p w14:paraId="3A6E14F1" w14:textId="31313FBB" w:rsidR="007B48A3" w:rsidRPr="007B48A3" w:rsidRDefault="004040E9" w:rsidP="0097495D">
      <w:pPr>
        <w:tabs>
          <w:tab w:val="left" w:pos="142"/>
        </w:tabs>
        <w:spacing w:after="0" w:line="360" w:lineRule="auto"/>
        <w:jc w:val="both"/>
        <w:rPr>
          <w:rFonts w:ascii="Arial" w:hAnsi="Arial" w:cs="Arial"/>
          <w:b/>
          <w:bCs/>
          <w:color w:val="000000" w:themeColor="text1"/>
          <w:sz w:val="24"/>
          <w:szCs w:val="24"/>
        </w:rPr>
      </w:pPr>
      <w:r w:rsidRPr="007B48A3">
        <w:rPr>
          <w:rFonts w:ascii="Arial" w:hAnsi="Arial" w:cs="Arial"/>
          <w:b/>
          <w:bCs/>
          <w:color w:val="000000" w:themeColor="text1"/>
          <w:sz w:val="24"/>
          <w:szCs w:val="24"/>
        </w:rPr>
        <w:t>2. MATERIALS AND METHODS</w:t>
      </w:r>
    </w:p>
    <w:p w14:paraId="2C2621C4" w14:textId="77777777" w:rsidR="007B48A3" w:rsidRPr="007B48A3" w:rsidRDefault="007B48A3" w:rsidP="0097495D">
      <w:pPr>
        <w:tabs>
          <w:tab w:val="left" w:pos="142"/>
        </w:tabs>
        <w:spacing w:after="0" w:line="360" w:lineRule="auto"/>
        <w:jc w:val="both"/>
        <w:rPr>
          <w:rFonts w:ascii="Arial" w:hAnsi="Arial" w:cs="Arial"/>
          <w:b/>
          <w:bCs/>
          <w:color w:val="000000" w:themeColor="text1"/>
          <w:sz w:val="24"/>
          <w:szCs w:val="24"/>
        </w:rPr>
      </w:pPr>
      <w:r w:rsidRPr="007B48A3">
        <w:rPr>
          <w:rFonts w:ascii="Arial" w:hAnsi="Arial" w:cs="Arial"/>
          <w:b/>
          <w:bCs/>
          <w:color w:val="000000" w:themeColor="text1"/>
          <w:sz w:val="24"/>
          <w:szCs w:val="24"/>
        </w:rPr>
        <w:t>2.1 Chemicals and Reagents</w:t>
      </w:r>
    </w:p>
    <w:p w14:paraId="4DEA293B" w14:textId="23236B1C" w:rsidR="007B48A3" w:rsidRPr="007B48A3" w:rsidRDefault="007B48A3" w:rsidP="0097495D">
      <w:pPr>
        <w:tabs>
          <w:tab w:val="left" w:pos="142"/>
        </w:tabs>
        <w:spacing w:after="0" w:line="360" w:lineRule="auto"/>
        <w:jc w:val="both"/>
        <w:rPr>
          <w:rFonts w:ascii="Arial" w:hAnsi="Arial" w:cs="Arial"/>
          <w:color w:val="000000" w:themeColor="text1"/>
          <w:sz w:val="24"/>
          <w:szCs w:val="24"/>
        </w:rPr>
      </w:pPr>
      <w:r w:rsidRPr="007B48A3">
        <w:rPr>
          <w:rFonts w:ascii="Arial" w:hAnsi="Arial" w:cs="Arial"/>
          <w:color w:val="000000" w:themeColor="text1"/>
          <w:sz w:val="24"/>
          <w:szCs w:val="24"/>
        </w:rPr>
        <w:t>Serotonin (5-hydroxytryptamine, 5-HT, ≥</w:t>
      </w:r>
      <w:r w:rsidR="00FF45C2" w:rsidRPr="008B6F3C">
        <w:rPr>
          <w:rFonts w:ascii="Arial" w:hAnsi="Arial" w:cs="Arial"/>
          <w:color w:val="000000" w:themeColor="text1"/>
          <w:sz w:val="24"/>
          <w:szCs w:val="24"/>
        </w:rPr>
        <w:t xml:space="preserve"> </w:t>
      </w:r>
      <w:r w:rsidRPr="007B48A3">
        <w:rPr>
          <w:rFonts w:ascii="Arial" w:hAnsi="Arial" w:cs="Arial"/>
          <w:color w:val="000000" w:themeColor="text1"/>
          <w:sz w:val="24"/>
          <w:szCs w:val="24"/>
        </w:rPr>
        <w:t>99%) was purchased from Alfa Aesar and used as</w:t>
      </w:r>
      <w:r w:rsidRPr="007B48A3">
        <w:rPr>
          <w:rFonts w:ascii="Arial" w:hAnsi="Arial" w:cs="Arial"/>
          <w:b/>
          <w:bCs/>
          <w:color w:val="000000" w:themeColor="text1"/>
          <w:sz w:val="24"/>
          <w:szCs w:val="24"/>
        </w:rPr>
        <w:t xml:space="preserve"> </w:t>
      </w:r>
      <w:r w:rsidRPr="007B48A3">
        <w:rPr>
          <w:rFonts w:ascii="Arial" w:hAnsi="Arial" w:cs="Arial"/>
          <w:color w:val="000000" w:themeColor="text1"/>
          <w:sz w:val="24"/>
          <w:szCs w:val="24"/>
        </w:rPr>
        <w:t>received. A 1.0 × 10</w:t>
      </w:r>
      <w:r w:rsidRPr="007B48A3">
        <w:rPr>
          <w:rFonts w:ascii="Cambria Math" w:hAnsi="Cambria Math" w:cs="Cambria Math"/>
          <w:color w:val="000000" w:themeColor="text1"/>
          <w:sz w:val="24"/>
          <w:szCs w:val="24"/>
        </w:rPr>
        <w:t>⁻</w:t>
      </w:r>
      <w:r w:rsidRPr="007B48A3">
        <w:rPr>
          <w:rFonts w:ascii="Arial" w:hAnsi="Arial" w:cs="Arial"/>
          <w:color w:val="000000" w:themeColor="text1"/>
          <w:sz w:val="24"/>
          <w:szCs w:val="24"/>
        </w:rPr>
        <w:t>³ M stock solution was prepared in distilled water and stored at 4 °C in amber glassware. Working solutions were freshly prepared daily by appropriate dilution in water or the selected micellar medium.</w:t>
      </w:r>
    </w:p>
    <w:p w14:paraId="2B3C8BC9" w14:textId="00BAFB2C" w:rsidR="007B48A3" w:rsidRPr="007B48A3" w:rsidRDefault="007B48A3" w:rsidP="0097495D">
      <w:pPr>
        <w:tabs>
          <w:tab w:val="left" w:pos="142"/>
        </w:tabs>
        <w:spacing w:after="0" w:line="360" w:lineRule="auto"/>
        <w:jc w:val="both"/>
        <w:rPr>
          <w:rFonts w:ascii="Arial" w:hAnsi="Arial" w:cs="Arial"/>
          <w:color w:val="000000" w:themeColor="text1"/>
          <w:sz w:val="24"/>
          <w:szCs w:val="24"/>
        </w:rPr>
      </w:pPr>
      <w:r w:rsidRPr="007B48A3">
        <w:rPr>
          <w:rFonts w:ascii="Arial" w:hAnsi="Arial" w:cs="Arial"/>
          <w:color w:val="000000" w:themeColor="text1"/>
          <w:sz w:val="24"/>
          <w:szCs w:val="24"/>
        </w:rPr>
        <w:t xml:space="preserve">Analytical-grade reagents were used throughout. Sodium hydroxide, hydrochloric acid (36%), methanol, acetonitrile </w:t>
      </w:r>
      <w:r w:rsidR="00FF45C2" w:rsidRPr="007B48A3">
        <w:rPr>
          <w:rFonts w:ascii="Arial" w:hAnsi="Arial" w:cs="Arial"/>
          <w:color w:val="000000" w:themeColor="text1"/>
          <w:sz w:val="24"/>
          <w:szCs w:val="24"/>
        </w:rPr>
        <w:t>and</w:t>
      </w:r>
      <w:r w:rsidR="00FF45C2" w:rsidRPr="008B6F3C">
        <w:rPr>
          <w:rFonts w:ascii="Arial" w:hAnsi="Arial" w:cs="Arial"/>
          <w:color w:val="000000" w:themeColor="text1"/>
          <w:sz w:val="24"/>
          <w:szCs w:val="24"/>
        </w:rPr>
        <w:t xml:space="preserve"> </w:t>
      </w:r>
      <w:r w:rsidRPr="007B48A3">
        <w:rPr>
          <w:rFonts w:ascii="Arial" w:hAnsi="Arial" w:cs="Arial"/>
          <w:color w:val="000000" w:themeColor="text1"/>
          <w:sz w:val="24"/>
          <w:szCs w:val="24"/>
        </w:rPr>
        <w:t>chloroform, were obtained from commercial suppliers and used without further purification.</w:t>
      </w:r>
    </w:p>
    <w:p w14:paraId="4CCB5F35" w14:textId="2042784A" w:rsidR="007B48A3" w:rsidRPr="007B48A3" w:rsidRDefault="007B48A3" w:rsidP="0097495D">
      <w:pPr>
        <w:tabs>
          <w:tab w:val="left" w:pos="142"/>
        </w:tabs>
        <w:spacing w:after="0" w:line="360" w:lineRule="auto"/>
        <w:jc w:val="both"/>
        <w:rPr>
          <w:rFonts w:ascii="Arial" w:hAnsi="Arial" w:cs="Arial"/>
          <w:color w:val="000000" w:themeColor="text1"/>
          <w:sz w:val="24"/>
          <w:szCs w:val="24"/>
        </w:rPr>
      </w:pPr>
      <w:r w:rsidRPr="007B48A3">
        <w:rPr>
          <w:rFonts w:ascii="Arial" w:hAnsi="Arial" w:cs="Arial"/>
          <w:color w:val="000000" w:themeColor="text1"/>
          <w:sz w:val="24"/>
          <w:szCs w:val="24"/>
        </w:rPr>
        <w:t xml:space="preserve">Four surfactants representing different classes were </w:t>
      </w:r>
      <w:proofErr w:type="gramStart"/>
      <w:r w:rsidRPr="007B48A3">
        <w:rPr>
          <w:rFonts w:ascii="Arial" w:hAnsi="Arial" w:cs="Arial"/>
          <w:color w:val="000000" w:themeColor="text1"/>
          <w:sz w:val="24"/>
          <w:szCs w:val="24"/>
        </w:rPr>
        <w:t>investigated:</w:t>
      </w:r>
      <w:proofErr w:type="gramEnd"/>
      <w:r w:rsidRPr="007B48A3">
        <w:rPr>
          <w:rFonts w:ascii="Arial" w:hAnsi="Arial" w:cs="Arial"/>
          <w:color w:val="000000" w:themeColor="text1"/>
          <w:sz w:val="24"/>
          <w:szCs w:val="24"/>
        </w:rPr>
        <w:t xml:space="preserve"> sodium dodecyl sulfate (SDS, anionic), cetyltrimethylammonium chloride (CTAC) and cetyltrimethylammonium hydroxide (CTAOH) (cationic), and Brij 700 (polyoxyethylene (100) cetyl ether, nonionic). Micellar solutions were prepared at concentrations ≥</w:t>
      </w:r>
      <w:r w:rsidR="00FF45C2" w:rsidRPr="008B6F3C">
        <w:rPr>
          <w:rFonts w:ascii="Arial" w:hAnsi="Arial" w:cs="Arial"/>
          <w:color w:val="000000" w:themeColor="text1"/>
          <w:sz w:val="24"/>
          <w:szCs w:val="24"/>
        </w:rPr>
        <w:t xml:space="preserve"> </w:t>
      </w:r>
      <w:r w:rsidRPr="007B48A3">
        <w:rPr>
          <w:rFonts w:ascii="Arial" w:hAnsi="Arial" w:cs="Arial"/>
          <w:color w:val="000000" w:themeColor="text1"/>
          <w:sz w:val="24"/>
          <w:szCs w:val="24"/>
        </w:rPr>
        <w:t>3× the critical micelle concentration (CMC) to ensure complete micellization.</w:t>
      </w:r>
    </w:p>
    <w:p w14:paraId="31104F25" w14:textId="77777777" w:rsidR="007B48A3" w:rsidRPr="008B6F3C" w:rsidRDefault="007B48A3" w:rsidP="0097495D">
      <w:pPr>
        <w:tabs>
          <w:tab w:val="left" w:pos="142"/>
        </w:tabs>
        <w:spacing w:after="0" w:line="360" w:lineRule="auto"/>
        <w:jc w:val="both"/>
        <w:rPr>
          <w:rFonts w:ascii="Arial" w:hAnsi="Arial" w:cs="Arial"/>
          <w:color w:val="000000" w:themeColor="text1"/>
          <w:sz w:val="24"/>
          <w:szCs w:val="24"/>
        </w:rPr>
      </w:pPr>
      <w:r w:rsidRPr="007B48A3">
        <w:rPr>
          <w:rFonts w:ascii="Arial" w:hAnsi="Arial" w:cs="Arial"/>
          <w:color w:val="000000" w:themeColor="text1"/>
          <w:sz w:val="24"/>
          <w:szCs w:val="24"/>
        </w:rPr>
        <w:lastRenderedPageBreak/>
        <w:t>Buffer solutions (pH 2–10) were prepared using standardized HCl and NaOH solutions. For interference studies, common inorganic salts (NaCl, KNO</w:t>
      </w:r>
      <w:r w:rsidRPr="007B48A3">
        <w:rPr>
          <w:rFonts w:ascii="Cambria Math" w:hAnsi="Cambria Math" w:cs="Cambria Math"/>
          <w:color w:val="000000" w:themeColor="text1"/>
          <w:sz w:val="24"/>
          <w:szCs w:val="24"/>
        </w:rPr>
        <w:t>₃</w:t>
      </w:r>
      <w:r w:rsidRPr="007B48A3">
        <w:rPr>
          <w:rFonts w:ascii="Arial" w:hAnsi="Arial" w:cs="Arial"/>
          <w:color w:val="000000" w:themeColor="text1"/>
          <w:sz w:val="24"/>
          <w:szCs w:val="24"/>
        </w:rPr>
        <w:t>, MgSO</w:t>
      </w:r>
      <w:r w:rsidRPr="007B48A3">
        <w:rPr>
          <w:rFonts w:ascii="Cambria Math" w:hAnsi="Cambria Math" w:cs="Cambria Math"/>
          <w:color w:val="000000" w:themeColor="text1"/>
          <w:sz w:val="24"/>
          <w:szCs w:val="24"/>
        </w:rPr>
        <w:t>₄</w:t>
      </w:r>
      <w:r w:rsidRPr="007B48A3">
        <w:rPr>
          <w:rFonts w:ascii="Arial" w:hAnsi="Arial" w:cs="Arial"/>
          <w:color w:val="000000" w:themeColor="text1"/>
          <w:sz w:val="24"/>
          <w:szCs w:val="24"/>
        </w:rPr>
        <w:t>, Na</w:t>
      </w:r>
      <w:r w:rsidRPr="007B48A3">
        <w:rPr>
          <w:rFonts w:ascii="Cambria Math" w:hAnsi="Cambria Math" w:cs="Cambria Math"/>
          <w:color w:val="000000" w:themeColor="text1"/>
          <w:sz w:val="24"/>
          <w:szCs w:val="24"/>
        </w:rPr>
        <w:t>₂</w:t>
      </w:r>
      <w:r w:rsidRPr="007B48A3">
        <w:rPr>
          <w:rFonts w:ascii="Arial" w:hAnsi="Arial" w:cs="Arial"/>
          <w:color w:val="000000" w:themeColor="text1"/>
          <w:sz w:val="24"/>
          <w:szCs w:val="24"/>
        </w:rPr>
        <w:t>SO</w:t>
      </w:r>
      <w:r w:rsidRPr="007B48A3">
        <w:rPr>
          <w:rFonts w:ascii="Cambria Math" w:hAnsi="Cambria Math" w:cs="Cambria Math"/>
          <w:color w:val="000000" w:themeColor="text1"/>
          <w:sz w:val="24"/>
          <w:szCs w:val="24"/>
        </w:rPr>
        <w:t>₃</w:t>
      </w:r>
      <w:r w:rsidRPr="007B48A3">
        <w:rPr>
          <w:rFonts w:ascii="Arial" w:hAnsi="Arial" w:cs="Arial"/>
          <w:color w:val="000000" w:themeColor="text1"/>
          <w:sz w:val="24"/>
          <w:szCs w:val="24"/>
        </w:rPr>
        <w:t>, NaH</w:t>
      </w:r>
      <w:r w:rsidRPr="007B48A3">
        <w:rPr>
          <w:rFonts w:ascii="Cambria Math" w:hAnsi="Cambria Math" w:cs="Cambria Math"/>
          <w:color w:val="000000" w:themeColor="text1"/>
          <w:sz w:val="24"/>
          <w:szCs w:val="24"/>
        </w:rPr>
        <w:t>₂</w:t>
      </w:r>
      <w:r w:rsidRPr="007B48A3">
        <w:rPr>
          <w:rFonts w:ascii="Arial" w:hAnsi="Arial" w:cs="Arial"/>
          <w:color w:val="000000" w:themeColor="text1"/>
          <w:sz w:val="24"/>
          <w:szCs w:val="24"/>
        </w:rPr>
        <w:t>PO</w:t>
      </w:r>
      <w:r w:rsidRPr="007B48A3">
        <w:rPr>
          <w:rFonts w:ascii="Cambria Math" w:hAnsi="Cambria Math" w:cs="Cambria Math"/>
          <w:color w:val="000000" w:themeColor="text1"/>
          <w:sz w:val="24"/>
          <w:szCs w:val="24"/>
        </w:rPr>
        <w:t>₄</w:t>
      </w:r>
      <w:r w:rsidRPr="007B48A3">
        <w:rPr>
          <w:rFonts w:ascii="Arial" w:hAnsi="Arial" w:cs="Arial"/>
          <w:color w:val="000000" w:themeColor="text1"/>
          <w:sz w:val="24"/>
          <w:szCs w:val="24"/>
        </w:rPr>
        <w:t>, Na</w:t>
      </w:r>
      <w:r w:rsidRPr="007B48A3">
        <w:rPr>
          <w:rFonts w:ascii="Cambria Math" w:hAnsi="Cambria Math" w:cs="Cambria Math"/>
          <w:color w:val="000000" w:themeColor="text1"/>
          <w:sz w:val="24"/>
          <w:szCs w:val="24"/>
        </w:rPr>
        <w:t>₂</w:t>
      </w:r>
      <w:r w:rsidRPr="007B48A3">
        <w:rPr>
          <w:rFonts w:ascii="Arial" w:hAnsi="Arial" w:cs="Arial"/>
          <w:color w:val="000000" w:themeColor="text1"/>
          <w:sz w:val="24"/>
          <w:szCs w:val="24"/>
        </w:rPr>
        <w:t>CO</w:t>
      </w:r>
      <w:r w:rsidRPr="007B48A3">
        <w:rPr>
          <w:rFonts w:ascii="Cambria Math" w:hAnsi="Cambria Math" w:cs="Cambria Math"/>
          <w:color w:val="000000" w:themeColor="text1"/>
          <w:sz w:val="24"/>
          <w:szCs w:val="24"/>
        </w:rPr>
        <w:t>₃</w:t>
      </w:r>
      <w:r w:rsidRPr="007B48A3">
        <w:rPr>
          <w:rFonts w:ascii="Arial" w:hAnsi="Arial" w:cs="Arial"/>
          <w:color w:val="000000" w:themeColor="text1"/>
          <w:sz w:val="24"/>
          <w:szCs w:val="24"/>
        </w:rPr>
        <w:t>, K</w:t>
      </w:r>
      <w:r w:rsidRPr="007B48A3">
        <w:rPr>
          <w:rFonts w:ascii="Cambria Math" w:hAnsi="Cambria Math" w:cs="Cambria Math"/>
          <w:color w:val="000000" w:themeColor="text1"/>
          <w:sz w:val="24"/>
          <w:szCs w:val="24"/>
        </w:rPr>
        <w:t>₂</w:t>
      </w:r>
      <w:r w:rsidRPr="007B48A3">
        <w:rPr>
          <w:rFonts w:ascii="Arial" w:hAnsi="Arial" w:cs="Arial"/>
          <w:color w:val="000000" w:themeColor="text1"/>
          <w:sz w:val="24"/>
          <w:szCs w:val="24"/>
        </w:rPr>
        <w:t>SO</w:t>
      </w:r>
      <w:r w:rsidRPr="007B48A3">
        <w:rPr>
          <w:rFonts w:ascii="Cambria Math" w:hAnsi="Cambria Math" w:cs="Cambria Math"/>
          <w:color w:val="000000" w:themeColor="text1"/>
          <w:sz w:val="24"/>
          <w:szCs w:val="24"/>
        </w:rPr>
        <w:t>₄</w:t>
      </w:r>
      <w:r w:rsidRPr="007B48A3">
        <w:rPr>
          <w:rFonts w:ascii="Arial" w:hAnsi="Arial" w:cs="Arial"/>
          <w:color w:val="000000" w:themeColor="text1"/>
          <w:sz w:val="24"/>
          <w:szCs w:val="24"/>
        </w:rPr>
        <w:t>, and Ca</w:t>
      </w:r>
      <w:r w:rsidRPr="007B48A3">
        <w:rPr>
          <w:rFonts w:ascii="Cambria Math" w:hAnsi="Cambria Math" w:cs="Cambria Math"/>
          <w:color w:val="000000" w:themeColor="text1"/>
          <w:sz w:val="24"/>
          <w:szCs w:val="24"/>
        </w:rPr>
        <w:t>₃</w:t>
      </w:r>
      <w:r w:rsidRPr="007B48A3">
        <w:rPr>
          <w:rFonts w:ascii="Arial" w:hAnsi="Arial" w:cs="Arial"/>
          <w:color w:val="000000" w:themeColor="text1"/>
          <w:sz w:val="24"/>
          <w:szCs w:val="24"/>
        </w:rPr>
        <w:t>(PO</w:t>
      </w:r>
      <w:proofErr w:type="gramStart"/>
      <w:r w:rsidRPr="007B48A3">
        <w:rPr>
          <w:rFonts w:ascii="Cambria Math" w:hAnsi="Cambria Math" w:cs="Cambria Math"/>
          <w:color w:val="000000" w:themeColor="text1"/>
          <w:sz w:val="24"/>
          <w:szCs w:val="24"/>
        </w:rPr>
        <w:t>₄</w:t>
      </w:r>
      <w:r w:rsidRPr="007B48A3">
        <w:rPr>
          <w:rFonts w:ascii="Arial" w:hAnsi="Arial" w:cs="Arial"/>
          <w:color w:val="000000" w:themeColor="text1"/>
          <w:sz w:val="24"/>
          <w:szCs w:val="24"/>
        </w:rPr>
        <w:t>)</w:t>
      </w:r>
      <w:r w:rsidRPr="007B48A3">
        <w:rPr>
          <w:rFonts w:ascii="Cambria Math" w:hAnsi="Cambria Math" w:cs="Cambria Math"/>
          <w:color w:val="000000" w:themeColor="text1"/>
          <w:sz w:val="24"/>
          <w:szCs w:val="24"/>
        </w:rPr>
        <w:t>₂</w:t>
      </w:r>
      <w:proofErr w:type="gramEnd"/>
      <w:r w:rsidRPr="007B48A3">
        <w:rPr>
          <w:rFonts w:ascii="Arial" w:hAnsi="Arial" w:cs="Arial"/>
          <w:color w:val="000000" w:themeColor="text1"/>
          <w:sz w:val="24"/>
          <w:szCs w:val="24"/>
        </w:rPr>
        <w:t>) were evaluated.</w:t>
      </w:r>
    </w:p>
    <w:p w14:paraId="37F4D0D2" w14:textId="56C0B860" w:rsidR="00776B4C" w:rsidRPr="008B6F3C" w:rsidRDefault="00776B4C" w:rsidP="0097495D">
      <w:pPr>
        <w:tabs>
          <w:tab w:val="left" w:pos="142"/>
        </w:tabs>
        <w:spacing w:after="0" w:line="240" w:lineRule="auto"/>
        <w:jc w:val="both"/>
        <w:rPr>
          <w:rFonts w:ascii="Arial" w:hAnsi="Arial" w:cs="Arial"/>
          <w:color w:val="000000" w:themeColor="text1"/>
          <w:sz w:val="24"/>
          <w:szCs w:val="24"/>
        </w:rPr>
      </w:pPr>
    </w:p>
    <w:p w14:paraId="45FBD1DE" w14:textId="06E401C7" w:rsidR="00776B4C" w:rsidRPr="008B6F3C" w:rsidRDefault="00776B4C" w:rsidP="0097495D">
      <w:pPr>
        <w:tabs>
          <w:tab w:val="left" w:pos="142"/>
        </w:tabs>
        <w:spacing w:after="0" w:line="360" w:lineRule="auto"/>
        <w:jc w:val="center"/>
        <w:rPr>
          <w:rFonts w:ascii="Arial" w:hAnsi="Arial" w:cs="Arial"/>
          <w:color w:val="000000" w:themeColor="text1"/>
          <w:sz w:val="24"/>
          <w:szCs w:val="24"/>
        </w:rPr>
      </w:pPr>
      <w:r w:rsidRPr="008B6F3C">
        <w:rPr>
          <w:rFonts w:ascii="Arial" w:hAnsi="Arial" w:cs="Arial"/>
          <w:b/>
          <w:bCs/>
          <w:color w:val="000000" w:themeColor="text1"/>
          <w:sz w:val="24"/>
          <w:szCs w:val="24"/>
        </w:rPr>
        <w:t xml:space="preserve">Table 1. </w:t>
      </w:r>
      <w:r w:rsidRPr="008B6F3C">
        <w:rPr>
          <w:rFonts w:ascii="Arial" w:hAnsi="Arial" w:cs="Arial"/>
          <w:color w:val="000000" w:themeColor="text1"/>
          <w:sz w:val="24"/>
          <w:szCs w:val="24"/>
        </w:rPr>
        <w:t>Chemical Properties of Serotonin</w:t>
      </w:r>
    </w:p>
    <w:tbl>
      <w:tblPr>
        <w:tblW w:w="0" w:type="auto"/>
        <w:jc w:val="center"/>
        <w:tblCellMar>
          <w:top w:w="15" w:type="dxa"/>
          <w:left w:w="15" w:type="dxa"/>
          <w:bottom w:w="15" w:type="dxa"/>
          <w:right w:w="15" w:type="dxa"/>
        </w:tblCellMar>
        <w:tblLook w:val="04A0" w:firstRow="1" w:lastRow="0" w:firstColumn="1" w:lastColumn="0" w:noHBand="0" w:noVBand="1"/>
      </w:tblPr>
      <w:tblGrid>
        <w:gridCol w:w="1140"/>
        <w:gridCol w:w="2670"/>
        <w:gridCol w:w="1935"/>
        <w:gridCol w:w="2685"/>
      </w:tblGrid>
      <w:tr w:rsidR="003F2CBD" w:rsidRPr="008B6F3C" w14:paraId="2CA8EDBE" w14:textId="77777777" w:rsidTr="00296121">
        <w:trPr>
          <w:jc w:val="center"/>
        </w:trPr>
        <w:tc>
          <w:tcPr>
            <w:tcW w:w="1140" w:type="dxa"/>
            <w:vMerge w:val="restart"/>
            <w:tcBorders>
              <w:top w:val="outset" w:sz="6" w:space="0" w:color="auto"/>
              <w:left w:val="nil"/>
              <w:bottom w:val="single" w:sz="4" w:space="0" w:color="auto"/>
              <w:right w:val="nil"/>
            </w:tcBorders>
            <w:vAlign w:val="center"/>
            <w:hideMark/>
          </w:tcPr>
          <w:p w14:paraId="40B70D2C" w14:textId="77777777" w:rsidR="00A96042" w:rsidRPr="00A96042" w:rsidRDefault="00A96042" w:rsidP="0097495D">
            <w:pPr>
              <w:tabs>
                <w:tab w:val="left" w:pos="142"/>
              </w:tabs>
              <w:spacing w:after="0" w:line="240" w:lineRule="auto"/>
              <w:rPr>
                <w:rFonts w:ascii="Arial" w:hAnsi="Arial" w:cs="Arial"/>
                <w:color w:val="000000" w:themeColor="text1"/>
                <w:sz w:val="24"/>
                <w:szCs w:val="24"/>
              </w:rPr>
            </w:pPr>
            <w:r w:rsidRPr="00A96042">
              <w:rPr>
                <w:rFonts w:ascii="Arial" w:hAnsi="Arial" w:cs="Arial"/>
                <w:color w:val="000000" w:themeColor="text1"/>
                <w:sz w:val="24"/>
                <w:szCs w:val="24"/>
              </w:rPr>
              <w:t>Serotonin</w:t>
            </w:r>
          </w:p>
        </w:tc>
        <w:tc>
          <w:tcPr>
            <w:tcW w:w="4605" w:type="dxa"/>
            <w:gridSpan w:val="2"/>
            <w:tcBorders>
              <w:top w:val="outset" w:sz="6" w:space="0" w:color="auto"/>
              <w:left w:val="nil"/>
              <w:bottom w:val="single" w:sz="4" w:space="0" w:color="auto"/>
              <w:right w:val="nil"/>
            </w:tcBorders>
            <w:vAlign w:val="center"/>
            <w:hideMark/>
          </w:tcPr>
          <w:p w14:paraId="49812534"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Chemical Properties</w:t>
            </w:r>
          </w:p>
        </w:tc>
        <w:tc>
          <w:tcPr>
            <w:tcW w:w="2685" w:type="dxa"/>
            <w:tcBorders>
              <w:top w:val="outset" w:sz="6" w:space="0" w:color="auto"/>
              <w:left w:val="nil"/>
              <w:bottom w:val="single" w:sz="4" w:space="0" w:color="auto"/>
              <w:right w:val="nil"/>
            </w:tcBorders>
            <w:vAlign w:val="center"/>
            <w:hideMark/>
          </w:tcPr>
          <w:p w14:paraId="7A7D1C05"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Formula</w:t>
            </w:r>
          </w:p>
        </w:tc>
      </w:tr>
      <w:tr w:rsidR="003F2CBD" w:rsidRPr="008B6F3C" w14:paraId="01E9D339" w14:textId="77777777" w:rsidTr="00296121">
        <w:trPr>
          <w:jc w:val="center"/>
        </w:trPr>
        <w:tc>
          <w:tcPr>
            <w:tcW w:w="0" w:type="auto"/>
            <w:vMerge/>
            <w:tcBorders>
              <w:top w:val="single" w:sz="4" w:space="0" w:color="auto"/>
              <w:left w:val="nil"/>
              <w:bottom w:val="outset" w:sz="6" w:space="0" w:color="auto"/>
              <w:right w:val="nil"/>
            </w:tcBorders>
            <w:vAlign w:val="center"/>
            <w:hideMark/>
          </w:tcPr>
          <w:p w14:paraId="67B56AA9" w14:textId="77777777" w:rsidR="00A96042" w:rsidRPr="00A96042" w:rsidRDefault="00A96042" w:rsidP="0097495D">
            <w:pPr>
              <w:tabs>
                <w:tab w:val="left" w:pos="142"/>
              </w:tabs>
              <w:spacing w:after="0" w:line="240" w:lineRule="auto"/>
              <w:rPr>
                <w:rFonts w:ascii="Arial" w:hAnsi="Arial" w:cs="Arial"/>
                <w:color w:val="000000" w:themeColor="text1"/>
                <w:sz w:val="24"/>
                <w:szCs w:val="24"/>
              </w:rPr>
            </w:pPr>
          </w:p>
        </w:tc>
        <w:tc>
          <w:tcPr>
            <w:tcW w:w="2670" w:type="dxa"/>
            <w:tcBorders>
              <w:top w:val="single" w:sz="4" w:space="0" w:color="auto"/>
              <w:left w:val="nil"/>
              <w:right w:val="nil"/>
            </w:tcBorders>
            <w:vAlign w:val="center"/>
            <w:hideMark/>
          </w:tcPr>
          <w:p w14:paraId="35C9D107"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r w:rsidRPr="00A96042">
              <w:rPr>
                <w:rFonts w:ascii="Arial" w:hAnsi="Arial" w:cs="Arial"/>
                <w:color w:val="000000" w:themeColor="text1"/>
                <w:sz w:val="24"/>
                <w:szCs w:val="24"/>
              </w:rPr>
              <w:t>Formula</w:t>
            </w:r>
          </w:p>
        </w:tc>
        <w:tc>
          <w:tcPr>
            <w:tcW w:w="1935" w:type="dxa"/>
            <w:tcBorders>
              <w:top w:val="single" w:sz="4" w:space="0" w:color="auto"/>
              <w:left w:val="nil"/>
              <w:right w:val="nil"/>
            </w:tcBorders>
            <w:vAlign w:val="center"/>
            <w:hideMark/>
          </w:tcPr>
          <w:p w14:paraId="1A64C825"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r w:rsidRPr="00A96042">
              <w:rPr>
                <w:rFonts w:ascii="Arial" w:hAnsi="Arial" w:cs="Arial"/>
                <w:color w:val="000000" w:themeColor="text1"/>
                <w:sz w:val="24"/>
                <w:szCs w:val="24"/>
              </w:rPr>
              <w:t>C</w:t>
            </w:r>
            <w:r w:rsidRPr="00A96042">
              <w:rPr>
                <w:rFonts w:ascii="Arial" w:hAnsi="Arial" w:cs="Arial"/>
                <w:color w:val="000000" w:themeColor="text1"/>
                <w:sz w:val="24"/>
                <w:szCs w:val="24"/>
                <w:vertAlign w:val="subscript"/>
              </w:rPr>
              <w:t>10</w:t>
            </w:r>
            <w:r w:rsidRPr="00A96042">
              <w:rPr>
                <w:rFonts w:ascii="Arial" w:hAnsi="Arial" w:cs="Arial"/>
                <w:color w:val="000000" w:themeColor="text1"/>
                <w:sz w:val="24"/>
                <w:szCs w:val="24"/>
              </w:rPr>
              <w:t>H</w:t>
            </w:r>
            <w:r w:rsidRPr="00A96042">
              <w:rPr>
                <w:rFonts w:ascii="Arial" w:hAnsi="Arial" w:cs="Arial"/>
                <w:color w:val="000000" w:themeColor="text1"/>
                <w:sz w:val="24"/>
                <w:szCs w:val="24"/>
                <w:vertAlign w:val="subscript"/>
              </w:rPr>
              <w:t>12</w:t>
            </w:r>
            <w:r w:rsidRPr="00A96042">
              <w:rPr>
                <w:rFonts w:ascii="Arial" w:hAnsi="Arial" w:cs="Arial"/>
                <w:color w:val="000000" w:themeColor="text1"/>
                <w:sz w:val="24"/>
                <w:szCs w:val="24"/>
              </w:rPr>
              <w:t>N</w:t>
            </w:r>
            <w:r w:rsidRPr="00A96042">
              <w:rPr>
                <w:rFonts w:ascii="Arial" w:hAnsi="Arial" w:cs="Arial"/>
                <w:color w:val="000000" w:themeColor="text1"/>
                <w:sz w:val="24"/>
                <w:szCs w:val="24"/>
                <w:vertAlign w:val="subscript"/>
              </w:rPr>
              <w:t>2</w:t>
            </w:r>
            <w:r w:rsidRPr="00A96042">
              <w:rPr>
                <w:rFonts w:ascii="Arial" w:hAnsi="Arial" w:cs="Arial"/>
                <w:color w:val="000000" w:themeColor="text1"/>
                <w:sz w:val="24"/>
                <w:szCs w:val="24"/>
              </w:rPr>
              <w:t>O</w:t>
            </w:r>
          </w:p>
        </w:tc>
        <w:tc>
          <w:tcPr>
            <w:tcW w:w="2685" w:type="dxa"/>
            <w:vMerge w:val="restart"/>
            <w:tcBorders>
              <w:top w:val="single" w:sz="4" w:space="0" w:color="auto"/>
              <w:left w:val="nil"/>
              <w:bottom w:val="outset" w:sz="6" w:space="0" w:color="auto"/>
              <w:right w:val="nil"/>
            </w:tcBorders>
            <w:vAlign w:val="center"/>
          </w:tcPr>
          <w:p w14:paraId="275EFBAD" w14:textId="08BFEA7E" w:rsidR="00A96042" w:rsidRPr="00A96042" w:rsidRDefault="00A96042" w:rsidP="0097495D">
            <w:pPr>
              <w:tabs>
                <w:tab w:val="left" w:pos="142"/>
              </w:tabs>
              <w:spacing w:after="0" w:line="240" w:lineRule="auto"/>
              <w:jc w:val="right"/>
              <w:rPr>
                <w:rFonts w:ascii="Arial" w:hAnsi="Arial" w:cs="Arial"/>
                <w:color w:val="000000" w:themeColor="text1"/>
                <w:sz w:val="24"/>
                <w:szCs w:val="24"/>
              </w:rPr>
            </w:pPr>
            <w:r w:rsidRPr="008B6F3C">
              <w:rPr>
                <w:rFonts w:ascii="Arial" w:hAnsi="Arial" w:cs="Arial"/>
                <w:noProof/>
                <w:color w:val="000000" w:themeColor="text1"/>
                <w:sz w:val="24"/>
                <w:szCs w:val="24"/>
              </w:rPr>
              <w:drawing>
                <wp:inline distT="0" distB="0" distL="0" distR="0" wp14:anchorId="527A8116" wp14:editId="465D6A32">
                  <wp:extent cx="1409700" cy="1022350"/>
                  <wp:effectExtent l="0" t="0" r="0" b="6350"/>
                  <wp:docPr id="17273292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022350"/>
                          </a:xfrm>
                          <a:prstGeom prst="rect">
                            <a:avLst/>
                          </a:prstGeom>
                          <a:noFill/>
                          <a:ln>
                            <a:noFill/>
                          </a:ln>
                        </pic:spPr>
                      </pic:pic>
                    </a:graphicData>
                  </a:graphic>
                </wp:inline>
              </w:drawing>
            </w:r>
          </w:p>
        </w:tc>
      </w:tr>
      <w:tr w:rsidR="003F2CBD" w:rsidRPr="008B6F3C" w14:paraId="40CD7BD2" w14:textId="77777777" w:rsidTr="00296121">
        <w:trPr>
          <w:jc w:val="center"/>
        </w:trPr>
        <w:tc>
          <w:tcPr>
            <w:tcW w:w="0" w:type="auto"/>
            <w:vMerge/>
            <w:tcBorders>
              <w:top w:val="outset" w:sz="6" w:space="0" w:color="auto"/>
              <w:left w:val="nil"/>
              <w:bottom w:val="outset" w:sz="6" w:space="0" w:color="auto"/>
              <w:right w:val="nil"/>
            </w:tcBorders>
            <w:vAlign w:val="center"/>
            <w:hideMark/>
          </w:tcPr>
          <w:p w14:paraId="0258EE1A" w14:textId="77777777" w:rsidR="00A96042" w:rsidRPr="00A96042" w:rsidRDefault="00A96042" w:rsidP="0097495D">
            <w:pPr>
              <w:tabs>
                <w:tab w:val="left" w:pos="142"/>
              </w:tabs>
              <w:spacing w:after="0" w:line="240" w:lineRule="auto"/>
              <w:rPr>
                <w:rFonts w:ascii="Arial" w:hAnsi="Arial" w:cs="Arial"/>
                <w:color w:val="000000" w:themeColor="text1"/>
                <w:sz w:val="24"/>
                <w:szCs w:val="24"/>
              </w:rPr>
            </w:pPr>
          </w:p>
        </w:tc>
        <w:tc>
          <w:tcPr>
            <w:tcW w:w="2670" w:type="dxa"/>
            <w:tcBorders>
              <w:left w:val="nil"/>
              <w:right w:val="nil"/>
            </w:tcBorders>
            <w:vAlign w:val="center"/>
            <w:hideMark/>
          </w:tcPr>
          <w:p w14:paraId="28B31E5C"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r w:rsidRPr="00A96042">
              <w:rPr>
                <w:rFonts w:ascii="Arial" w:hAnsi="Arial" w:cs="Arial"/>
                <w:color w:val="000000" w:themeColor="text1"/>
                <w:sz w:val="24"/>
                <w:szCs w:val="24"/>
              </w:rPr>
              <w:t>Molecular</w:t>
            </w:r>
          </w:p>
        </w:tc>
        <w:tc>
          <w:tcPr>
            <w:tcW w:w="1935" w:type="dxa"/>
            <w:tcBorders>
              <w:left w:val="nil"/>
              <w:right w:val="nil"/>
            </w:tcBorders>
            <w:vAlign w:val="center"/>
            <w:hideMark/>
          </w:tcPr>
          <w:p w14:paraId="7AA081C3"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r w:rsidRPr="00A96042">
              <w:rPr>
                <w:rFonts w:ascii="Arial" w:hAnsi="Arial" w:cs="Arial"/>
                <w:color w:val="000000" w:themeColor="text1"/>
                <w:sz w:val="24"/>
                <w:szCs w:val="24"/>
              </w:rPr>
              <w:t>176.22 g.mol</w:t>
            </w:r>
            <w:r w:rsidRPr="00A96042">
              <w:rPr>
                <w:rFonts w:ascii="Arial" w:hAnsi="Arial" w:cs="Arial"/>
                <w:color w:val="000000" w:themeColor="text1"/>
                <w:sz w:val="24"/>
                <w:szCs w:val="24"/>
                <w:vertAlign w:val="superscript"/>
              </w:rPr>
              <w:t>-1</w:t>
            </w:r>
          </w:p>
        </w:tc>
        <w:tc>
          <w:tcPr>
            <w:tcW w:w="0" w:type="auto"/>
            <w:vMerge/>
            <w:tcBorders>
              <w:top w:val="outset" w:sz="6" w:space="0" w:color="auto"/>
              <w:left w:val="nil"/>
              <w:bottom w:val="outset" w:sz="6" w:space="0" w:color="auto"/>
              <w:right w:val="nil"/>
            </w:tcBorders>
            <w:vAlign w:val="center"/>
            <w:hideMark/>
          </w:tcPr>
          <w:p w14:paraId="7A9EFFEF"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p>
        </w:tc>
      </w:tr>
      <w:tr w:rsidR="003F2CBD" w:rsidRPr="008B6F3C" w14:paraId="50B38920" w14:textId="77777777" w:rsidTr="00296121">
        <w:trPr>
          <w:jc w:val="center"/>
        </w:trPr>
        <w:tc>
          <w:tcPr>
            <w:tcW w:w="0" w:type="auto"/>
            <w:vMerge/>
            <w:tcBorders>
              <w:top w:val="outset" w:sz="6" w:space="0" w:color="auto"/>
              <w:left w:val="nil"/>
              <w:bottom w:val="outset" w:sz="6" w:space="0" w:color="auto"/>
              <w:right w:val="nil"/>
            </w:tcBorders>
            <w:vAlign w:val="center"/>
            <w:hideMark/>
          </w:tcPr>
          <w:p w14:paraId="2613F4D7" w14:textId="77777777" w:rsidR="00A96042" w:rsidRPr="00A96042" w:rsidRDefault="00A96042" w:rsidP="0097495D">
            <w:pPr>
              <w:tabs>
                <w:tab w:val="left" w:pos="142"/>
              </w:tabs>
              <w:spacing w:after="0" w:line="240" w:lineRule="auto"/>
              <w:rPr>
                <w:rFonts w:ascii="Arial" w:hAnsi="Arial" w:cs="Arial"/>
                <w:color w:val="000000" w:themeColor="text1"/>
                <w:sz w:val="24"/>
                <w:szCs w:val="24"/>
              </w:rPr>
            </w:pPr>
          </w:p>
        </w:tc>
        <w:tc>
          <w:tcPr>
            <w:tcW w:w="2670" w:type="dxa"/>
            <w:tcBorders>
              <w:left w:val="nil"/>
              <w:right w:val="nil"/>
            </w:tcBorders>
            <w:vAlign w:val="center"/>
            <w:hideMark/>
          </w:tcPr>
          <w:p w14:paraId="66A4B5DE"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r w:rsidRPr="00A96042">
              <w:rPr>
                <w:rFonts w:ascii="Arial" w:hAnsi="Arial" w:cs="Arial"/>
                <w:color w:val="000000" w:themeColor="text1"/>
                <w:sz w:val="24"/>
                <w:szCs w:val="24"/>
              </w:rPr>
              <w:t>Water solubility (25°C)</w:t>
            </w:r>
          </w:p>
        </w:tc>
        <w:tc>
          <w:tcPr>
            <w:tcW w:w="1935" w:type="dxa"/>
            <w:tcBorders>
              <w:left w:val="nil"/>
              <w:right w:val="nil"/>
            </w:tcBorders>
            <w:vAlign w:val="center"/>
            <w:hideMark/>
          </w:tcPr>
          <w:p w14:paraId="57E1F6B7"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r w:rsidRPr="00A96042">
              <w:rPr>
                <w:rFonts w:ascii="Arial" w:hAnsi="Arial" w:cs="Arial"/>
                <w:color w:val="000000" w:themeColor="text1"/>
                <w:sz w:val="24"/>
                <w:szCs w:val="24"/>
              </w:rPr>
              <w:t xml:space="preserve">25.5 </w:t>
            </w:r>
            <w:proofErr w:type="gramStart"/>
            <w:r w:rsidRPr="00A96042">
              <w:rPr>
                <w:rFonts w:ascii="Arial" w:hAnsi="Arial" w:cs="Arial"/>
                <w:color w:val="000000" w:themeColor="text1"/>
                <w:sz w:val="24"/>
                <w:szCs w:val="24"/>
              </w:rPr>
              <w:t>g.L</w:t>
            </w:r>
            <w:proofErr w:type="gramEnd"/>
            <w:r w:rsidRPr="00A96042">
              <w:rPr>
                <w:rFonts w:ascii="Arial" w:hAnsi="Arial" w:cs="Arial"/>
                <w:color w:val="000000" w:themeColor="text1"/>
                <w:sz w:val="24"/>
                <w:szCs w:val="24"/>
                <w:vertAlign w:val="superscript"/>
              </w:rPr>
              <w:t>-1</w:t>
            </w:r>
          </w:p>
        </w:tc>
        <w:tc>
          <w:tcPr>
            <w:tcW w:w="0" w:type="auto"/>
            <w:vMerge/>
            <w:tcBorders>
              <w:top w:val="outset" w:sz="6" w:space="0" w:color="auto"/>
              <w:left w:val="nil"/>
              <w:bottom w:val="outset" w:sz="6" w:space="0" w:color="auto"/>
              <w:right w:val="nil"/>
            </w:tcBorders>
            <w:vAlign w:val="center"/>
            <w:hideMark/>
          </w:tcPr>
          <w:p w14:paraId="12C2A7FE"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p>
        </w:tc>
      </w:tr>
      <w:tr w:rsidR="003F2CBD" w:rsidRPr="008B6F3C" w14:paraId="6BEA7BD2" w14:textId="77777777" w:rsidTr="00296121">
        <w:trPr>
          <w:jc w:val="center"/>
        </w:trPr>
        <w:tc>
          <w:tcPr>
            <w:tcW w:w="0" w:type="auto"/>
            <w:vMerge/>
            <w:tcBorders>
              <w:top w:val="outset" w:sz="6" w:space="0" w:color="auto"/>
              <w:left w:val="nil"/>
              <w:bottom w:val="outset" w:sz="6" w:space="0" w:color="auto"/>
              <w:right w:val="nil"/>
            </w:tcBorders>
            <w:vAlign w:val="center"/>
            <w:hideMark/>
          </w:tcPr>
          <w:p w14:paraId="12A05FE7" w14:textId="77777777" w:rsidR="00A96042" w:rsidRPr="00A96042" w:rsidRDefault="00A96042" w:rsidP="0097495D">
            <w:pPr>
              <w:tabs>
                <w:tab w:val="left" w:pos="142"/>
              </w:tabs>
              <w:spacing w:after="0" w:line="240" w:lineRule="auto"/>
              <w:rPr>
                <w:rFonts w:ascii="Arial" w:hAnsi="Arial" w:cs="Arial"/>
                <w:color w:val="000000" w:themeColor="text1"/>
                <w:sz w:val="24"/>
                <w:szCs w:val="24"/>
              </w:rPr>
            </w:pPr>
          </w:p>
        </w:tc>
        <w:tc>
          <w:tcPr>
            <w:tcW w:w="2670" w:type="dxa"/>
            <w:tcBorders>
              <w:left w:val="nil"/>
              <w:right w:val="nil"/>
            </w:tcBorders>
            <w:vAlign w:val="center"/>
            <w:hideMark/>
          </w:tcPr>
          <w:p w14:paraId="2D8BDB24"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r w:rsidRPr="00A96042">
              <w:rPr>
                <w:rFonts w:ascii="Arial" w:hAnsi="Arial" w:cs="Arial"/>
                <w:color w:val="000000" w:themeColor="text1"/>
                <w:sz w:val="24"/>
                <w:szCs w:val="24"/>
              </w:rPr>
              <w:t>Melting point</w:t>
            </w:r>
          </w:p>
        </w:tc>
        <w:tc>
          <w:tcPr>
            <w:tcW w:w="1935" w:type="dxa"/>
            <w:tcBorders>
              <w:left w:val="nil"/>
              <w:right w:val="nil"/>
            </w:tcBorders>
            <w:vAlign w:val="center"/>
            <w:hideMark/>
          </w:tcPr>
          <w:p w14:paraId="6962ACB9"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r w:rsidRPr="00A96042">
              <w:rPr>
                <w:rFonts w:ascii="Arial" w:hAnsi="Arial" w:cs="Arial"/>
                <w:color w:val="000000" w:themeColor="text1"/>
                <w:sz w:val="24"/>
                <w:szCs w:val="24"/>
              </w:rPr>
              <w:t>167-168 °C</w:t>
            </w:r>
          </w:p>
        </w:tc>
        <w:tc>
          <w:tcPr>
            <w:tcW w:w="0" w:type="auto"/>
            <w:vMerge/>
            <w:tcBorders>
              <w:top w:val="outset" w:sz="6" w:space="0" w:color="auto"/>
              <w:left w:val="nil"/>
              <w:bottom w:val="outset" w:sz="6" w:space="0" w:color="auto"/>
              <w:right w:val="nil"/>
            </w:tcBorders>
            <w:vAlign w:val="center"/>
            <w:hideMark/>
          </w:tcPr>
          <w:p w14:paraId="09891B57"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p>
        </w:tc>
      </w:tr>
      <w:tr w:rsidR="003F2CBD" w:rsidRPr="008B6F3C" w14:paraId="3442A9F4" w14:textId="77777777" w:rsidTr="00296121">
        <w:trPr>
          <w:jc w:val="center"/>
        </w:trPr>
        <w:tc>
          <w:tcPr>
            <w:tcW w:w="0" w:type="auto"/>
            <w:vMerge/>
            <w:tcBorders>
              <w:top w:val="outset" w:sz="6" w:space="0" w:color="auto"/>
              <w:left w:val="nil"/>
              <w:bottom w:val="outset" w:sz="6" w:space="0" w:color="auto"/>
              <w:right w:val="nil"/>
            </w:tcBorders>
            <w:vAlign w:val="center"/>
            <w:hideMark/>
          </w:tcPr>
          <w:p w14:paraId="1D9D0F5E" w14:textId="77777777" w:rsidR="00A96042" w:rsidRPr="00A96042" w:rsidRDefault="00A96042" w:rsidP="0097495D">
            <w:pPr>
              <w:tabs>
                <w:tab w:val="left" w:pos="142"/>
              </w:tabs>
              <w:spacing w:after="0" w:line="240" w:lineRule="auto"/>
              <w:rPr>
                <w:rFonts w:ascii="Arial" w:hAnsi="Arial" w:cs="Arial"/>
                <w:color w:val="000000" w:themeColor="text1"/>
                <w:sz w:val="24"/>
                <w:szCs w:val="24"/>
              </w:rPr>
            </w:pPr>
          </w:p>
        </w:tc>
        <w:tc>
          <w:tcPr>
            <w:tcW w:w="2670" w:type="dxa"/>
            <w:tcBorders>
              <w:left w:val="nil"/>
              <w:right w:val="nil"/>
            </w:tcBorders>
            <w:vAlign w:val="center"/>
            <w:hideMark/>
          </w:tcPr>
          <w:p w14:paraId="2D63482A"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proofErr w:type="gramStart"/>
            <w:r w:rsidRPr="00A96042">
              <w:rPr>
                <w:rFonts w:ascii="Arial" w:hAnsi="Arial" w:cs="Arial"/>
                <w:color w:val="000000" w:themeColor="text1"/>
                <w:sz w:val="24"/>
                <w:szCs w:val="24"/>
              </w:rPr>
              <w:t>pKa</w:t>
            </w:r>
            <w:proofErr w:type="gramEnd"/>
            <w:r w:rsidRPr="00A96042">
              <w:rPr>
                <w:rFonts w:ascii="Arial" w:hAnsi="Arial" w:cs="Arial"/>
                <w:color w:val="000000" w:themeColor="text1"/>
                <w:sz w:val="24"/>
                <w:szCs w:val="24"/>
              </w:rPr>
              <w:t xml:space="preserve"> (23.5°C)</w:t>
            </w:r>
          </w:p>
        </w:tc>
        <w:tc>
          <w:tcPr>
            <w:tcW w:w="1935" w:type="dxa"/>
            <w:tcBorders>
              <w:left w:val="nil"/>
              <w:right w:val="nil"/>
            </w:tcBorders>
            <w:vAlign w:val="center"/>
            <w:hideMark/>
          </w:tcPr>
          <w:p w14:paraId="54D443E1"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r w:rsidRPr="00A96042">
              <w:rPr>
                <w:rFonts w:ascii="Arial" w:hAnsi="Arial" w:cs="Arial"/>
                <w:color w:val="000000" w:themeColor="text1"/>
                <w:sz w:val="24"/>
                <w:szCs w:val="24"/>
              </w:rPr>
              <w:t>10,16</w:t>
            </w:r>
          </w:p>
        </w:tc>
        <w:tc>
          <w:tcPr>
            <w:tcW w:w="0" w:type="auto"/>
            <w:vMerge/>
            <w:tcBorders>
              <w:top w:val="outset" w:sz="6" w:space="0" w:color="auto"/>
              <w:left w:val="nil"/>
              <w:bottom w:val="outset" w:sz="6" w:space="0" w:color="auto"/>
              <w:right w:val="nil"/>
            </w:tcBorders>
            <w:vAlign w:val="center"/>
            <w:hideMark/>
          </w:tcPr>
          <w:p w14:paraId="6E3CF9A9"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p>
        </w:tc>
      </w:tr>
      <w:tr w:rsidR="003F2CBD" w:rsidRPr="008B6F3C" w14:paraId="39EBA46F" w14:textId="77777777" w:rsidTr="00296121">
        <w:trPr>
          <w:jc w:val="center"/>
        </w:trPr>
        <w:tc>
          <w:tcPr>
            <w:tcW w:w="0" w:type="auto"/>
            <w:vMerge/>
            <w:tcBorders>
              <w:top w:val="outset" w:sz="6" w:space="0" w:color="auto"/>
              <w:left w:val="nil"/>
              <w:bottom w:val="outset" w:sz="6" w:space="0" w:color="auto"/>
              <w:right w:val="nil"/>
            </w:tcBorders>
            <w:vAlign w:val="center"/>
            <w:hideMark/>
          </w:tcPr>
          <w:p w14:paraId="7C7EBC4B" w14:textId="77777777" w:rsidR="00A96042" w:rsidRPr="00A96042" w:rsidRDefault="00A96042" w:rsidP="0097495D">
            <w:pPr>
              <w:tabs>
                <w:tab w:val="left" w:pos="142"/>
              </w:tabs>
              <w:spacing w:after="0" w:line="240" w:lineRule="auto"/>
              <w:rPr>
                <w:rFonts w:ascii="Arial" w:hAnsi="Arial" w:cs="Arial"/>
                <w:color w:val="000000" w:themeColor="text1"/>
                <w:sz w:val="24"/>
                <w:szCs w:val="24"/>
              </w:rPr>
            </w:pPr>
          </w:p>
        </w:tc>
        <w:tc>
          <w:tcPr>
            <w:tcW w:w="2670" w:type="dxa"/>
            <w:tcBorders>
              <w:left w:val="nil"/>
              <w:bottom w:val="outset" w:sz="6" w:space="0" w:color="auto"/>
              <w:right w:val="nil"/>
            </w:tcBorders>
            <w:vAlign w:val="center"/>
            <w:hideMark/>
          </w:tcPr>
          <w:p w14:paraId="250A9477"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r w:rsidRPr="00A96042">
              <w:rPr>
                <w:rFonts w:ascii="Arial" w:hAnsi="Arial" w:cs="Arial"/>
                <w:color w:val="000000" w:themeColor="text1"/>
                <w:sz w:val="24"/>
                <w:szCs w:val="24"/>
              </w:rPr>
              <w:t>Log Kow (25°C)</w:t>
            </w:r>
          </w:p>
        </w:tc>
        <w:tc>
          <w:tcPr>
            <w:tcW w:w="1935" w:type="dxa"/>
            <w:tcBorders>
              <w:left w:val="nil"/>
              <w:bottom w:val="outset" w:sz="6" w:space="0" w:color="auto"/>
              <w:right w:val="nil"/>
            </w:tcBorders>
            <w:vAlign w:val="center"/>
            <w:hideMark/>
          </w:tcPr>
          <w:p w14:paraId="21EE5F97"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r w:rsidRPr="00A96042">
              <w:rPr>
                <w:rFonts w:ascii="Arial" w:hAnsi="Arial" w:cs="Arial"/>
                <w:color w:val="000000" w:themeColor="text1"/>
                <w:sz w:val="24"/>
                <w:szCs w:val="24"/>
              </w:rPr>
              <w:t>1.34</w:t>
            </w:r>
          </w:p>
        </w:tc>
        <w:tc>
          <w:tcPr>
            <w:tcW w:w="0" w:type="auto"/>
            <w:vMerge/>
            <w:tcBorders>
              <w:top w:val="outset" w:sz="6" w:space="0" w:color="auto"/>
              <w:left w:val="nil"/>
              <w:bottom w:val="outset" w:sz="6" w:space="0" w:color="auto"/>
              <w:right w:val="nil"/>
            </w:tcBorders>
            <w:vAlign w:val="center"/>
            <w:hideMark/>
          </w:tcPr>
          <w:p w14:paraId="50D5ECD6" w14:textId="77777777" w:rsidR="00A96042" w:rsidRPr="00A96042" w:rsidRDefault="00A96042" w:rsidP="0097495D">
            <w:pPr>
              <w:tabs>
                <w:tab w:val="left" w:pos="142"/>
              </w:tabs>
              <w:spacing w:after="0" w:line="240" w:lineRule="auto"/>
              <w:jc w:val="both"/>
              <w:rPr>
                <w:rFonts w:ascii="Arial" w:hAnsi="Arial" w:cs="Arial"/>
                <w:color w:val="000000" w:themeColor="text1"/>
                <w:sz w:val="24"/>
                <w:szCs w:val="24"/>
              </w:rPr>
            </w:pPr>
          </w:p>
        </w:tc>
      </w:tr>
    </w:tbl>
    <w:p w14:paraId="7D431B20" w14:textId="77777777" w:rsidR="00A96042" w:rsidRPr="008B6F3C" w:rsidRDefault="00A96042" w:rsidP="0097495D">
      <w:pPr>
        <w:tabs>
          <w:tab w:val="left" w:pos="142"/>
        </w:tabs>
        <w:spacing w:after="0" w:line="240" w:lineRule="auto"/>
        <w:jc w:val="both"/>
        <w:rPr>
          <w:rFonts w:ascii="Arial" w:hAnsi="Arial" w:cs="Arial"/>
          <w:b/>
          <w:bCs/>
          <w:color w:val="000000" w:themeColor="text1"/>
          <w:sz w:val="24"/>
          <w:szCs w:val="24"/>
        </w:rPr>
      </w:pPr>
    </w:p>
    <w:p w14:paraId="6BE924F6" w14:textId="77777777" w:rsidR="007B48A3" w:rsidRPr="007B48A3" w:rsidRDefault="007B48A3" w:rsidP="0097495D">
      <w:pPr>
        <w:tabs>
          <w:tab w:val="left" w:pos="142"/>
        </w:tabs>
        <w:spacing w:after="0" w:line="360" w:lineRule="auto"/>
        <w:jc w:val="both"/>
        <w:rPr>
          <w:rFonts w:ascii="Arial" w:hAnsi="Arial" w:cs="Arial"/>
          <w:b/>
          <w:bCs/>
          <w:color w:val="000000" w:themeColor="text1"/>
          <w:sz w:val="24"/>
          <w:szCs w:val="24"/>
        </w:rPr>
      </w:pPr>
      <w:r w:rsidRPr="007B48A3">
        <w:rPr>
          <w:rFonts w:ascii="Arial" w:hAnsi="Arial" w:cs="Arial"/>
          <w:b/>
          <w:bCs/>
          <w:color w:val="000000" w:themeColor="text1"/>
          <w:sz w:val="24"/>
          <w:szCs w:val="24"/>
        </w:rPr>
        <w:t>2.2 Instrumentation</w:t>
      </w:r>
    </w:p>
    <w:p w14:paraId="6A3BDD90" w14:textId="28D72CC1" w:rsidR="007B48A3" w:rsidRPr="007B48A3" w:rsidRDefault="007B48A3" w:rsidP="0097495D">
      <w:pPr>
        <w:tabs>
          <w:tab w:val="left" w:pos="142"/>
        </w:tabs>
        <w:spacing w:after="0" w:line="360" w:lineRule="auto"/>
        <w:jc w:val="both"/>
        <w:rPr>
          <w:rFonts w:ascii="Arial" w:hAnsi="Arial" w:cs="Arial"/>
          <w:color w:val="000000" w:themeColor="text1"/>
          <w:sz w:val="24"/>
          <w:szCs w:val="24"/>
        </w:rPr>
      </w:pPr>
      <w:r w:rsidRPr="007B48A3">
        <w:rPr>
          <w:rFonts w:ascii="Arial" w:hAnsi="Arial" w:cs="Arial"/>
          <w:color w:val="000000" w:themeColor="text1"/>
          <w:sz w:val="24"/>
          <w:szCs w:val="24"/>
        </w:rPr>
        <w:t>Fluorescence measurements were carried out using a PerkinElmer LS 55 spectrofluorimeter equipped with a xenon lamp and 1 cm quartz cuvettes. Excitation and emission slit widths were optimized to maximize the signal-to-noise ratio while avoiding inner filter effects.</w:t>
      </w:r>
      <w:r w:rsidR="00296121" w:rsidRPr="008B6F3C">
        <w:rPr>
          <w:rFonts w:ascii="Arial" w:hAnsi="Arial" w:cs="Arial"/>
          <w:color w:val="000000" w:themeColor="text1"/>
          <w:sz w:val="24"/>
          <w:szCs w:val="24"/>
        </w:rPr>
        <w:t xml:space="preserve"> </w:t>
      </w:r>
    </w:p>
    <w:p w14:paraId="36CA5773" w14:textId="4DEDC831" w:rsidR="00296121" w:rsidRPr="008B6F3C" w:rsidRDefault="007B48A3" w:rsidP="0097495D">
      <w:pPr>
        <w:tabs>
          <w:tab w:val="left" w:pos="142"/>
        </w:tabs>
        <w:spacing w:after="0" w:line="360" w:lineRule="auto"/>
        <w:jc w:val="both"/>
        <w:rPr>
          <w:rFonts w:ascii="Arial" w:hAnsi="Arial" w:cs="Arial"/>
          <w:color w:val="000000" w:themeColor="text1"/>
          <w:sz w:val="24"/>
          <w:szCs w:val="24"/>
        </w:rPr>
      </w:pPr>
      <w:proofErr w:type="gramStart"/>
      <w:r w:rsidRPr="007B48A3">
        <w:rPr>
          <w:rFonts w:ascii="Arial" w:hAnsi="Arial" w:cs="Arial"/>
          <w:color w:val="000000" w:themeColor="text1"/>
          <w:sz w:val="24"/>
          <w:szCs w:val="24"/>
        </w:rPr>
        <w:t>pH</w:t>
      </w:r>
      <w:proofErr w:type="gramEnd"/>
      <w:r w:rsidRPr="007B48A3">
        <w:rPr>
          <w:rFonts w:ascii="Arial" w:hAnsi="Arial" w:cs="Arial"/>
          <w:color w:val="000000" w:themeColor="text1"/>
          <w:sz w:val="24"/>
          <w:szCs w:val="24"/>
        </w:rPr>
        <w:t xml:space="preserve"> was measured with a calibrated pH meter. All weighing and volumetric operations were performed using an analytical balance (±0.1 mg) and calibrated micropipettes.</w:t>
      </w:r>
    </w:p>
    <w:p w14:paraId="2DF40CA5" w14:textId="77777777" w:rsidR="00FF45C2" w:rsidRPr="007B48A3" w:rsidRDefault="00FF45C2" w:rsidP="0097495D">
      <w:pPr>
        <w:tabs>
          <w:tab w:val="left" w:pos="142"/>
        </w:tabs>
        <w:spacing w:after="0" w:line="360" w:lineRule="auto"/>
        <w:jc w:val="both"/>
        <w:rPr>
          <w:rFonts w:ascii="Arial" w:hAnsi="Arial" w:cs="Arial"/>
          <w:color w:val="000000" w:themeColor="text1"/>
          <w:sz w:val="24"/>
          <w:szCs w:val="24"/>
        </w:rPr>
      </w:pPr>
    </w:p>
    <w:p w14:paraId="23420D36" w14:textId="77777777" w:rsidR="007B48A3" w:rsidRPr="007B48A3" w:rsidRDefault="007B48A3" w:rsidP="0097495D">
      <w:pPr>
        <w:tabs>
          <w:tab w:val="left" w:pos="142"/>
        </w:tabs>
        <w:spacing w:after="0" w:line="360" w:lineRule="auto"/>
        <w:rPr>
          <w:rFonts w:ascii="Arial" w:hAnsi="Arial" w:cs="Arial"/>
          <w:b/>
          <w:bCs/>
          <w:color w:val="000000" w:themeColor="text1"/>
          <w:sz w:val="24"/>
          <w:szCs w:val="24"/>
        </w:rPr>
      </w:pPr>
      <w:r w:rsidRPr="007B48A3">
        <w:rPr>
          <w:rFonts w:ascii="Arial" w:hAnsi="Arial" w:cs="Arial"/>
          <w:b/>
          <w:bCs/>
          <w:color w:val="000000" w:themeColor="text1"/>
          <w:sz w:val="24"/>
          <w:szCs w:val="24"/>
        </w:rPr>
        <w:t>2.3 Biological Samples and Pretreatment</w:t>
      </w:r>
    </w:p>
    <w:p w14:paraId="6D80154F" w14:textId="3317885D" w:rsidR="007B48A3" w:rsidRPr="008B6F3C" w:rsidRDefault="007B48A3" w:rsidP="0097495D">
      <w:pPr>
        <w:tabs>
          <w:tab w:val="left" w:pos="142"/>
        </w:tabs>
        <w:spacing w:after="0" w:line="360" w:lineRule="auto"/>
        <w:jc w:val="both"/>
        <w:rPr>
          <w:rFonts w:ascii="Arial" w:hAnsi="Arial" w:cs="Arial"/>
          <w:color w:val="000000" w:themeColor="text1"/>
          <w:sz w:val="24"/>
          <w:szCs w:val="24"/>
        </w:rPr>
      </w:pPr>
      <w:r w:rsidRPr="007B48A3">
        <w:rPr>
          <w:rFonts w:ascii="Arial" w:hAnsi="Arial" w:cs="Arial"/>
          <w:color w:val="000000" w:themeColor="text1"/>
          <w:sz w:val="24"/>
          <w:szCs w:val="24"/>
        </w:rPr>
        <w:t>Human urine samples were collected from healthy volunteers and analyzed within 24 h. When necessary, samples were diluted with distilled water to fit within the linear calibration range.</w:t>
      </w:r>
      <w:r w:rsidR="00296121" w:rsidRPr="008B6F3C">
        <w:rPr>
          <w:rFonts w:ascii="Arial" w:hAnsi="Arial" w:cs="Arial"/>
          <w:color w:val="000000" w:themeColor="text1"/>
          <w:sz w:val="24"/>
          <w:szCs w:val="24"/>
        </w:rPr>
        <w:t xml:space="preserve"> </w:t>
      </w:r>
      <w:r w:rsidRPr="007B48A3">
        <w:rPr>
          <w:rFonts w:ascii="Arial" w:hAnsi="Arial" w:cs="Arial"/>
          <w:color w:val="000000" w:themeColor="text1"/>
          <w:sz w:val="24"/>
          <w:szCs w:val="24"/>
        </w:rPr>
        <w:t>Deproteinization was performed by adding 6</w:t>
      </w:r>
      <w:r w:rsidR="00296121" w:rsidRPr="008B6F3C">
        <w:rPr>
          <w:rFonts w:ascii="Arial" w:hAnsi="Arial" w:cs="Arial"/>
          <w:color w:val="000000" w:themeColor="text1"/>
          <w:sz w:val="24"/>
          <w:szCs w:val="24"/>
        </w:rPr>
        <w:t xml:space="preserve"> </w:t>
      </w:r>
      <w:r w:rsidRPr="007B48A3">
        <w:rPr>
          <w:rFonts w:ascii="Arial" w:hAnsi="Arial" w:cs="Arial"/>
          <w:color w:val="000000" w:themeColor="text1"/>
          <w:sz w:val="24"/>
          <w:szCs w:val="24"/>
        </w:rPr>
        <w:t>N perchloric acid, followed by centrifugation. The clear supernatant was collected for fluorescence analysis. This treatment minimized matrix effects and improved reproducibility.</w:t>
      </w:r>
    </w:p>
    <w:p w14:paraId="3CE3CDF5" w14:textId="77777777" w:rsidR="00FF45C2" w:rsidRPr="007B48A3" w:rsidRDefault="00FF45C2" w:rsidP="0097495D">
      <w:pPr>
        <w:tabs>
          <w:tab w:val="left" w:pos="142"/>
        </w:tabs>
        <w:spacing w:after="0" w:line="360" w:lineRule="auto"/>
        <w:jc w:val="both"/>
        <w:rPr>
          <w:rFonts w:ascii="Arial" w:hAnsi="Arial" w:cs="Arial"/>
          <w:color w:val="000000" w:themeColor="text1"/>
          <w:sz w:val="24"/>
          <w:szCs w:val="24"/>
        </w:rPr>
      </w:pPr>
    </w:p>
    <w:p w14:paraId="65BE7487" w14:textId="77777777" w:rsidR="007B48A3" w:rsidRPr="007B48A3" w:rsidRDefault="007B48A3" w:rsidP="0097495D">
      <w:pPr>
        <w:tabs>
          <w:tab w:val="left" w:pos="142"/>
        </w:tabs>
        <w:spacing w:after="0" w:line="360" w:lineRule="auto"/>
        <w:rPr>
          <w:rFonts w:ascii="Arial" w:hAnsi="Arial" w:cs="Arial"/>
          <w:b/>
          <w:bCs/>
          <w:color w:val="000000" w:themeColor="text1"/>
          <w:sz w:val="24"/>
          <w:szCs w:val="24"/>
        </w:rPr>
      </w:pPr>
      <w:r w:rsidRPr="007B48A3">
        <w:rPr>
          <w:rFonts w:ascii="Arial" w:hAnsi="Arial" w:cs="Arial"/>
          <w:b/>
          <w:bCs/>
          <w:color w:val="000000" w:themeColor="text1"/>
          <w:sz w:val="24"/>
          <w:szCs w:val="24"/>
        </w:rPr>
        <w:t>2.4 Spectrofluorimetric Procedure</w:t>
      </w:r>
    </w:p>
    <w:p w14:paraId="5689508F" w14:textId="77777777" w:rsidR="007B48A3" w:rsidRPr="007B48A3" w:rsidRDefault="007B48A3" w:rsidP="0097495D">
      <w:pPr>
        <w:tabs>
          <w:tab w:val="left" w:pos="142"/>
        </w:tabs>
        <w:spacing w:after="0" w:line="360" w:lineRule="auto"/>
        <w:jc w:val="both"/>
        <w:rPr>
          <w:rFonts w:ascii="Arial" w:hAnsi="Arial" w:cs="Arial"/>
          <w:color w:val="000000" w:themeColor="text1"/>
          <w:sz w:val="24"/>
          <w:szCs w:val="24"/>
        </w:rPr>
      </w:pPr>
      <w:r w:rsidRPr="007B48A3">
        <w:rPr>
          <w:rFonts w:ascii="Arial" w:hAnsi="Arial" w:cs="Arial"/>
          <w:color w:val="000000" w:themeColor="text1"/>
          <w:sz w:val="24"/>
          <w:szCs w:val="24"/>
        </w:rPr>
        <w:t>Excitation and emission spectra of serotonin were recorded in aqueous and micellar media to determine optimal wavelengths. Maximum excitation was observed at 275–283 nm and emission at 335–341 nm, depending on the medium.</w:t>
      </w:r>
    </w:p>
    <w:p w14:paraId="6CE45EE7" w14:textId="65E9FC77" w:rsidR="007B48A3" w:rsidRPr="008B6F3C" w:rsidRDefault="007B48A3" w:rsidP="0097495D">
      <w:pPr>
        <w:tabs>
          <w:tab w:val="left" w:pos="142"/>
        </w:tabs>
        <w:spacing w:after="0" w:line="360" w:lineRule="auto"/>
        <w:jc w:val="both"/>
        <w:rPr>
          <w:rFonts w:ascii="Arial" w:hAnsi="Arial" w:cs="Arial"/>
          <w:color w:val="000000" w:themeColor="text1"/>
          <w:sz w:val="24"/>
          <w:szCs w:val="24"/>
        </w:rPr>
      </w:pPr>
      <w:r w:rsidRPr="007B48A3">
        <w:rPr>
          <w:rFonts w:ascii="Arial" w:hAnsi="Arial" w:cs="Arial"/>
          <w:color w:val="000000" w:themeColor="text1"/>
          <w:sz w:val="24"/>
          <w:szCs w:val="24"/>
        </w:rPr>
        <w:t>For micelle-enhanced measurements, the selected surfactant was added to obtain a final concentration ≥</w:t>
      </w:r>
      <w:r w:rsidR="00FF45C2" w:rsidRPr="008B6F3C">
        <w:rPr>
          <w:rFonts w:ascii="Arial" w:hAnsi="Arial" w:cs="Arial"/>
          <w:color w:val="000000" w:themeColor="text1"/>
          <w:sz w:val="24"/>
          <w:szCs w:val="24"/>
        </w:rPr>
        <w:t xml:space="preserve"> </w:t>
      </w:r>
      <w:r w:rsidRPr="007B48A3">
        <w:rPr>
          <w:rFonts w:ascii="Arial" w:hAnsi="Arial" w:cs="Arial"/>
          <w:color w:val="000000" w:themeColor="text1"/>
          <w:sz w:val="24"/>
          <w:szCs w:val="24"/>
        </w:rPr>
        <w:t xml:space="preserve">3× CMC. Solutions were homogenized and equilibrated prior to measurement. All analyses were conducted at 298 K unless otherwise stated. Each </w:t>
      </w:r>
      <w:r w:rsidRPr="007B48A3">
        <w:rPr>
          <w:rFonts w:ascii="Arial" w:hAnsi="Arial" w:cs="Arial"/>
          <w:color w:val="000000" w:themeColor="text1"/>
          <w:sz w:val="24"/>
          <w:szCs w:val="24"/>
        </w:rPr>
        <w:lastRenderedPageBreak/>
        <w:t>measurement was performed in triplicate, and mean fluorescence intensity (I</w:t>
      </w:r>
      <w:r w:rsidR="00FF45C2" w:rsidRPr="007B48A3">
        <w:rPr>
          <w:rFonts w:ascii="Arial" w:hAnsi="Arial" w:cs="Arial"/>
          <w:color w:val="000000" w:themeColor="text1"/>
          <w:sz w:val="24"/>
          <w:szCs w:val="24"/>
          <w:vertAlign w:val="subscript"/>
        </w:rPr>
        <w:t>F</w:t>
      </w:r>
      <w:r w:rsidRPr="007B48A3">
        <w:rPr>
          <w:rFonts w:ascii="Arial" w:hAnsi="Arial" w:cs="Arial"/>
          <w:color w:val="000000" w:themeColor="text1"/>
          <w:sz w:val="24"/>
          <w:szCs w:val="24"/>
        </w:rPr>
        <w:t>) was used for calculations.</w:t>
      </w:r>
    </w:p>
    <w:p w14:paraId="4D75D63E" w14:textId="77777777" w:rsidR="00FF45C2" w:rsidRPr="007B48A3" w:rsidRDefault="00FF45C2" w:rsidP="0097495D">
      <w:pPr>
        <w:tabs>
          <w:tab w:val="left" w:pos="142"/>
        </w:tabs>
        <w:spacing w:after="0" w:line="360" w:lineRule="auto"/>
        <w:jc w:val="both"/>
        <w:rPr>
          <w:rFonts w:ascii="Arial" w:hAnsi="Arial" w:cs="Arial"/>
          <w:color w:val="000000" w:themeColor="text1"/>
          <w:sz w:val="24"/>
          <w:szCs w:val="24"/>
        </w:rPr>
      </w:pPr>
    </w:p>
    <w:p w14:paraId="47C4E82A" w14:textId="77777777" w:rsidR="007B48A3" w:rsidRPr="007B48A3" w:rsidRDefault="007B48A3" w:rsidP="0097495D">
      <w:pPr>
        <w:tabs>
          <w:tab w:val="left" w:pos="142"/>
        </w:tabs>
        <w:spacing w:after="0" w:line="360" w:lineRule="auto"/>
        <w:rPr>
          <w:rFonts w:ascii="Arial" w:hAnsi="Arial" w:cs="Arial"/>
          <w:b/>
          <w:bCs/>
          <w:color w:val="000000" w:themeColor="text1"/>
          <w:sz w:val="24"/>
          <w:szCs w:val="24"/>
        </w:rPr>
      </w:pPr>
      <w:r w:rsidRPr="007B48A3">
        <w:rPr>
          <w:rFonts w:ascii="Arial" w:hAnsi="Arial" w:cs="Arial"/>
          <w:b/>
          <w:bCs/>
          <w:color w:val="000000" w:themeColor="text1"/>
          <w:sz w:val="24"/>
          <w:szCs w:val="24"/>
        </w:rPr>
        <w:t>2.5 Calibration and Method Validation</w:t>
      </w:r>
    </w:p>
    <w:p w14:paraId="1848968F" w14:textId="55FB8401" w:rsidR="007B48A3" w:rsidRPr="007B48A3" w:rsidRDefault="007B48A3" w:rsidP="0097495D">
      <w:pPr>
        <w:tabs>
          <w:tab w:val="left" w:pos="142"/>
        </w:tabs>
        <w:spacing w:after="0" w:line="360" w:lineRule="auto"/>
        <w:jc w:val="both"/>
        <w:rPr>
          <w:rFonts w:ascii="Arial" w:hAnsi="Arial" w:cs="Arial"/>
          <w:color w:val="000000" w:themeColor="text1"/>
          <w:sz w:val="24"/>
          <w:szCs w:val="24"/>
        </w:rPr>
      </w:pPr>
      <w:r w:rsidRPr="007B48A3">
        <w:rPr>
          <w:rFonts w:ascii="Arial" w:hAnsi="Arial" w:cs="Arial"/>
          <w:color w:val="000000" w:themeColor="text1"/>
          <w:sz w:val="24"/>
          <w:szCs w:val="24"/>
        </w:rPr>
        <w:t>Calibration curves were constructed in water and selected micellar media over the concentration range 0.1–300 ng</w:t>
      </w:r>
      <w:r w:rsidR="00FF45C2" w:rsidRPr="008B6F3C">
        <w:rPr>
          <w:rFonts w:ascii="Arial" w:hAnsi="Arial" w:cs="Arial"/>
          <w:color w:val="000000" w:themeColor="text1"/>
          <w:sz w:val="24"/>
          <w:szCs w:val="24"/>
        </w:rPr>
        <w:t xml:space="preserve"> </w:t>
      </w:r>
      <w:r w:rsidRPr="007B48A3">
        <w:rPr>
          <w:rFonts w:ascii="Arial" w:hAnsi="Arial" w:cs="Arial"/>
          <w:color w:val="000000" w:themeColor="text1"/>
          <w:sz w:val="24"/>
          <w:szCs w:val="24"/>
        </w:rPr>
        <w:t>mL</w:t>
      </w:r>
      <w:r w:rsidRPr="007B48A3">
        <w:rPr>
          <w:rFonts w:ascii="Cambria Math" w:hAnsi="Cambria Math" w:cs="Cambria Math"/>
          <w:color w:val="000000" w:themeColor="text1"/>
          <w:sz w:val="24"/>
          <w:szCs w:val="24"/>
        </w:rPr>
        <w:t>⁻</w:t>
      </w:r>
      <w:r w:rsidRPr="007B48A3">
        <w:rPr>
          <w:rFonts w:ascii="Arial" w:hAnsi="Arial" w:cs="Arial"/>
          <w:color w:val="000000" w:themeColor="text1"/>
          <w:sz w:val="24"/>
          <w:szCs w:val="24"/>
        </w:rPr>
        <w:t>¹. Fluorescence intensity was recorded after pH adjustment and surfactant addition. Log–log plots of I</w:t>
      </w:r>
      <w:r w:rsidR="00FF45C2" w:rsidRPr="007B48A3">
        <w:rPr>
          <w:rFonts w:ascii="Arial" w:hAnsi="Arial" w:cs="Arial"/>
          <w:color w:val="000000" w:themeColor="text1"/>
          <w:sz w:val="24"/>
          <w:szCs w:val="24"/>
          <w:vertAlign w:val="subscript"/>
        </w:rPr>
        <w:t>F</w:t>
      </w:r>
      <w:r w:rsidRPr="007B48A3">
        <w:rPr>
          <w:rFonts w:ascii="Arial" w:hAnsi="Arial" w:cs="Arial"/>
          <w:color w:val="000000" w:themeColor="text1"/>
          <w:sz w:val="24"/>
          <w:szCs w:val="24"/>
        </w:rPr>
        <w:t xml:space="preserve"> versus concentration were used to improve linearity at low levels.</w:t>
      </w:r>
    </w:p>
    <w:p w14:paraId="1CB9E104" w14:textId="77777777" w:rsidR="007B48A3" w:rsidRPr="007B48A3" w:rsidRDefault="007B48A3" w:rsidP="0097495D">
      <w:pPr>
        <w:tabs>
          <w:tab w:val="left" w:pos="142"/>
        </w:tabs>
        <w:spacing w:after="0" w:line="360" w:lineRule="auto"/>
        <w:rPr>
          <w:rFonts w:ascii="Arial" w:hAnsi="Arial" w:cs="Arial"/>
          <w:color w:val="000000" w:themeColor="text1"/>
          <w:sz w:val="24"/>
          <w:szCs w:val="24"/>
        </w:rPr>
      </w:pPr>
      <w:r w:rsidRPr="007B48A3">
        <w:rPr>
          <w:rFonts w:ascii="Arial" w:hAnsi="Arial" w:cs="Arial"/>
          <w:color w:val="000000" w:themeColor="text1"/>
          <w:sz w:val="24"/>
          <w:szCs w:val="24"/>
        </w:rPr>
        <w:t xml:space="preserve">Limits of detection (LOD) and quantification (LOQ) were calculated according to ICH </w:t>
      </w:r>
      <w:proofErr w:type="gramStart"/>
      <w:r w:rsidRPr="007B48A3">
        <w:rPr>
          <w:rFonts w:ascii="Arial" w:hAnsi="Arial" w:cs="Arial"/>
          <w:color w:val="000000" w:themeColor="text1"/>
          <w:sz w:val="24"/>
          <w:szCs w:val="24"/>
        </w:rPr>
        <w:t>guidelines:</w:t>
      </w:r>
      <w:proofErr w:type="gramEnd"/>
    </w:p>
    <w:p w14:paraId="3B881067" w14:textId="3FBDE10B" w:rsidR="00A96042" w:rsidRPr="008B6F3C" w:rsidRDefault="00FF45C2" w:rsidP="0097495D">
      <w:pPr>
        <w:tabs>
          <w:tab w:val="left" w:pos="142"/>
        </w:tabs>
        <w:spacing w:after="0" w:line="360" w:lineRule="auto"/>
        <w:rPr>
          <w:rFonts w:ascii="Arial" w:hAnsi="Arial" w:cs="Arial"/>
          <w:iCs/>
          <w:color w:val="000000" w:themeColor="text1"/>
          <w:sz w:val="24"/>
          <w:szCs w:val="24"/>
        </w:rPr>
      </w:pPr>
      <m:oMathPara>
        <m:oMath>
          <m:r>
            <m:rPr>
              <m:sty m:val="p"/>
            </m:rPr>
            <w:rPr>
              <w:rFonts w:ascii="Cambria Math" w:hAnsi="Cambria Math" w:cs="Arial"/>
              <w:color w:val="000000" w:themeColor="text1"/>
              <w:sz w:val="24"/>
              <w:szCs w:val="24"/>
            </w:rPr>
            <m:t>LOD=</m:t>
          </m:r>
          <m:f>
            <m:fPr>
              <m:ctrlPr>
                <w:rPr>
                  <w:rFonts w:ascii="Cambria Math" w:hAnsi="Cambria Math" w:cs="Arial"/>
                  <w:iCs/>
                  <w:color w:val="000000" w:themeColor="text1"/>
                  <w:sz w:val="24"/>
                  <w:szCs w:val="24"/>
                </w:rPr>
              </m:ctrlPr>
            </m:fPr>
            <m:num>
              <m:r>
                <m:rPr>
                  <m:sty m:val="p"/>
                </m:rPr>
                <w:rPr>
                  <w:rFonts w:ascii="Cambria Math" w:hAnsi="Cambria Math" w:cs="Arial"/>
                  <w:color w:val="000000" w:themeColor="text1"/>
                  <w:sz w:val="24"/>
                  <w:szCs w:val="24"/>
                </w:rPr>
                <m:t>3.3σ</m:t>
              </m:r>
            </m:num>
            <m:den>
              <m:r>
                <m:rPr>
                  <m:sty m:val="p"/>
                </m:rPr>
                <w:rPr>
                  <w:rFonts w:ascii="Cambria Math" w:hAnsi="Cambria Math" w:cs="Arial"/>
                  <w:color w:val="000000" w:themeColor="text1"/>
                  <w:sz w:val="24"/>
                  <w:szCs w:val="24"/>
                </w:rPr>
                <m:t>S</m:t>
              </m:r>
            </m:den>
          </m:f>
          <m:r>
            <m:rPr>
              <m:sty m:val="p"/>
            </m:rPr>
            <w:rPr>
              <w:rFonts w:ascii="Cambria Math" w:hAnsi="Cambria Math" w:cs="Arial"/>
              <w:color w:val="000000" w:themeColor="text1"/>
              <w:sz w:val="24"/>
              <w:szCs w:val="24"/>
            </w:rPr>
            <m:t xml:space="preserve">       LOQ=</m:t>
          </m:r>
          <m:f>
            <m:fPr>
              <m:ctrlPr>
                <w:rPr>
                  <w:rFonts w:ascii="Cambria Math" w:hAnsi="Cambria Math" w:cs="Arial"/>
                  <w:iCs/>
                  <w:color w:val="000000" w:themeColor="text1"/>
                  <w:sz w:val="24"/>
                  <w:szCs w:val="24"/>
                </w:rPr>
              </m:ctrlPr>
            </m:fPr>
            <m:num>
              <m:r>
                <m:rPr>
                  <m:sty m:val="p"/>
                </m:rPr>
                <w:rPr>
                  <w:rFonts w:ascii="Cambria Math" w:hAnsi="Cambria Math" w:cs="Arial"/>
                  <w:color w:val="000000" w:themeColor="text1"/>
                  <w:sz w:val="24"/>
                  <w:szCs w:val="24"/>
                </w:rPr>
                <m:t>10σ</m:t>
              </m:r>
            </m:num>
            <m:den>
              <m:r>
                <m:rPr>
                  <m:sty m:val="p"/>
                </m:rPr>
                <w:rPr>
                  <w:rFonts w:ascii="Cambria Math" w:hAnsi="Cambria Math" w:cs="Arial"/>
                  <w:color w:val="000000" w:themeColor="text1"/>
                  <w:sz w:val="24"/>
                  <w:szCs w:val="24"/>
                </w:rPr>
                <m:t>S</m:t>
              </m:r>
            </m:den>
          </m:f>
        </m:oMath>
      </m:oMathPara>
    </w:p>
    <w:p w14:paraId="6B1138B9" w14:textId="0617BF24" w:rsidR="003F2CBD" w:rsidRPr="008B6F3C" w:rsidRDefault="003F2CBD" w:rsidP="0097495D">
      <w:pPr>
        <w:tabs>
          <w:tab w:val="left" w:pos="142"/>
        </w:tabs>
        <w:spacing w:after="0" w:line="360" w:lineRule="auto"/>
        <w:rPr>
          <w:rFonts w:ascii="Arial" w:hAnsi="Arial" w:cs="Arial"/>
          <w:color w:val="000000" w:themeColor="text1"/>
          <w:sz w:val="24"/>
          <w:szCs w:val="24"/>
        </w:rPr>
      </w:pPr>
      <w:proofErr w:type="gramStart"/>
      <w:r w:rsidRPr="008B6F3C">
        <w:rPr>
          <w:rFonts w:ascii="Arial" w:hAnsi="Arial" w:cs="Arial"/>
          <w:color w:val="000000" w:themeColor="text1"/>
          <w:sz w:val="24"/>
          <w:szCs w:val="24"/>
        </w:rPr>
        <w:t>where</w:t>
      </w:r>
      <w:proofErr w:type="gramEnd"/>
      <w:r w:rsidRPr="008B6F3C">
        <w:rPr>
          <w:rFonts w:ascii="Arial" w:hAnsi="Arial" w:cs="Arial"/>
          <w:color w:val="000000" w:themeColor="text1"/>
          <w:sz w:val="24"/>
          <w:szCs w:val="24"/>
        </w:rPr>
        <w:t xml:space="preserve"> σ is the standard deviation of the blank (n = 8) and S is the slope of the calibration curve.</w:t>
      </w:r>
    </w:p>
    <w:p w14:paraId="3B897741" w14:textId="27CA1218" w:rsidR="003F2CBD" w:rsidRPr="003F2CBD" w:rsidRDefault="003F2CBD" w:rsidP="0097495D">
      <w:pPr>
        <w:tabs>
          <w:tab w:val="left" w:pos="142"/>
        </w:tabs>
        <w:spacing w:after="0" w:line="360" w:lineRule="auto"/>
        <w:jc w:val="both"/>
        <w:rPr>
          <w:rFonts w:ascii="Arial" w:hAnsi="Arial" w:cs="Arial"/>
          <w:color w:val="000000" w:themeColor="text1"/>
          <w:sz w:val="24"/>
          <w:szCs w:val="24"/>
        </w:rPr>
      </w:pPr>
      <w:r w:rsidRPr="003F2CBD">
        <w:rPr>
          <w:rFonts w:ascii="Arial" w:hAnsi="Arial" w:cs="Arial"/>
          <w:color w:val="000000" w:themeColor="text1"/>
          <w:sz w:val="24"/>
          <w:szCs w:val="24"/>
        </w:rPr>
        <w:t>Precision was evaluated at three concentration levels (n = 6) and expressed as relative standard deviation (RSD%). Accuracy was assessed using the standard addition method, and recovery percentages were calculated to evaluate matrix effects.</w:t>
      </w:r>
    </w:p>
    <w:p w14:paraId="4E6481E5" w14:textId="77777777" w:rsidR="003F2CBD" w:rsidRPr="008B6F3C" w:rsidRDefault="003F2CBD" w:rsidP="0097495D">
      <w:pPr>
        <w:tabs>
          <w:tab w:val="left" w:pos="142"/>
        </w:tabs>
        <w:spacing w:after="0" w:line="360" w:lineRule="auto"/>
        <w:jc w:val="both"/>
        <w:rPr>
          <w:rFonts w:ascii="Arial" w:hAnsi="Arial" w:cs="Arial"/>
          <w:color w:val="000000" w:themeColor="text1"/>
          <w:sz w:val="24"/>
          <w:szCs w:val="24"/>
        </w:rPr>
      </w:pPr>
      <w:r w:rsidRPr="003F2CBD">
        <w:rPr>
          <w:rFonts w:ascii="Arial" w:hAnsi="Arial" w:cs="Arial"/>
          <w:color w:val="000000" w:themeColor="text1"/>
          <w:sz w:val="24"/>
          <w:szCs w:val="24"/>
        </w:rPr>
        <w:t>All measurements were performed at least in triplicate and expressed as mean ± standard deviation. Linear regression analysis provided slope, intercept, and correlation coefficient (r²). Statistical comparisons were performed using Student’s t-test at a 95% confidence level (p &lt; 0.05).</w:t>
      </w:r>
    </w:p>
    <w:p w14:paraId="46B84921" w14:textId="77777777" w:rsidR="00EE712C" w:rsidRPr="003F2CBD" w:rsidRDefault="00EE712C" w:rsidP="0097495D">
      <w:pPr>
        <w:tabs>
          <w:tab w:val="left" w:pos="142"/>
        </w:tabs>
        <w:spacing w:after="0" w:line="360" w:lineRule="auto"/>
        <w:ind w:firstLine="708"/>
        <w:jc w:val="both"/>
        <w:rPr>
          <w:rFonts w:ascii="Arial" w:hAnsi="Arial" w:cs="Arial"/>
          <w:color w:val="000000" w:themeColor="text1"/>
          <w:sz w:val="24"/>
          <w:szCs w:val="24"/>
        </w:rPr>
      </w:pPr>
    </w:p>
    <w:p w14:paraId="4A41C947" w14:textId="4C8D68EA" w:rsidR="00776B4C" w:rsidRPr="008B6F3C" w:rsidRDefault="004040E9" w:rsidP="0097495D">
      <w:pPr>
        <w:tabs>
          <w:tab w:val="left" w:pos="142"/>
        </w:tabs>
        <w:spacing w:after="0" w:line="360" w:lineRule="auto"/>
        <w:jc w:val="both"/>
        <w:rPr>
          <w:rFonts w:ascii="Arial" w:hAnsi="Arial" w:cs="Arial"/>
          <w:b/>
          <w:bCs/>
          <w:color w:val="000000" w:themeColor="text1"/>
          <w:sz w:val="24"/>
          <w:szCs w:val="24"/>
        </w:rPr>
      </w:pPr>
      <w:r w:rsidRPr="008B6F3C">
        <w:rPr>
          <w:rFonts w:ascii="Arial" w:hAnsi="Arial" w:cs="Arial"/>
          <w:b/>
          <w:bCs/>
          <w:color w:val="000000" w:themeColor="text1"/>
          <w:sz w:val="24"/>
          <w:szCs w:val="24"/>
        </w:rPr>
        <w:t>3. RESULTS AND DISCUSSION</w:t>
      </w:r>
    </w:p>
    <w:p w14:paraId="58D3876D" w14:textId="77777777" w:rsidR="00776B4C" w:rsidRPr="008B6F3C" w:rsidRDefault="00776B4C" w:rsidP="0097495D">
      <w:pPr>
        <w:tabs>
          <w:tab w:val="left" w:pos="142"/>
        </w:tabs>
        <w:spacing w:after="0" w:line="360" w:lineRule="auto"/>
        <w:jc w:val="both"/>
        <w:rPr>
          <w:rFonts w:ascii="Arial" w:hAnsi="Arial" w:cs="Arial"/>
          <w:b/>
          <w:bCs/>
          <w:color w:val="000000" w:themeColor="text1"/>
          <w:sz w:val="24"/>
          <w:szCs w:val="24"/>
        </w:rPr>
      </w:pPr>
      <w:r w:rsidRPr="008B6F3C">
        <w:rPr>
          <w:rFonts w:ascii="Arial" w:hAnsi="Arial" w:cs="Arial"/>
          <w:b/>
          <w:bCs/>
          <w:color w:val="000000" w:themeColor="text1"/>
          <w:sz w:val="24"/>
          <w:szCs w:val="24"/>
        </w:rPr>
        <w:t>3.1 Spectral Characteristics of Serotonin in Aqueous and Micellar Media</w:t>
      </w:r>
    </w:p>
    <w:p w14:paraId="45FF4A3F" w14:textId="781512E7" w:rsidR="00776B4C" w:rsidRPr="008B6F3C" w:rsidRDefault="00776B4C" w:rsidP="0097495D">
      <w:pPr>
        <w:tabs>
          <w:tab w:val="left" w:pos="142"/>
        </w:tabs>
        <w:spacing w:after="0" w:line="360" w:lineRule="auto"/>
        <w:ind w:firstLine="708"/>
        <w:jc w:val="both"/>
        <w:rPr>
          <w:rFonts w:ascii="Arial" w:hAnsi="Arial" w:cs="Arial"/>
          <w:color w:val="000000" w:themeColor="text1"/>
          <w:sz w:val="24"/>
          <w:szCs w:val="24"/>
        </w:rPr>
      </w:pPr>
      <w:r w:rsidRPr="008B6F3C">
        <w:rPr>
          <w:rFonts w:ascii="Arial" w:hAnsi="Arial" w:cs="Arial"/>
          <w:color w:val="000000" w:themeColor="text1"/>
          <w:sz w:val="24"/>
          <w:szCs w:val="24"/>
        </w:rPr>
        <w:t xml:space="preserve">The excitation and emission spectra of serotonin (5-HT) were recorded in water and in various micellar systems, with the corresponding profiles shown in Figure 1. In all media, the spectral shape remained largely unchanged, featuring a single well-defined excitation band and a single emission band. This pattern is consistent with the intrinsic fluorescence of the indole chromophore, which generally exhibits a single π–π* transition responsible for emission in the near-UV region. The preservation of spectral shape across different media suggests that no new fluorescent species formed and no chemical transformation occurred upon micellar </w:t>
      </w:r>
      <w:proofErr w:type="gramStart"/>
      <w:r w:rsidRPr="008B6F3C">
        <w:rPr>
          <w:rFonts w:ascii="Arial" w:hAnsi="Arial" w:cs="Arial"/>
          <w:color w:val="000000" w:themeColor="text1"/>
          <w:sz w:val="24"/>
          <w:szCs w:val="24"/>
        </w:rPr>
        <w:t>incorporation;</w:t>
      </w:r>
      <w:proofErr w:type="gramEnd"/>
      <w:r w:rsidRPr="008B6F3C">
        <w:rPr>
          <w:rFonts w:ascii="Arial" w:hAnsi="Arial" w:cs="Arial"/>
          <w:color w:val="000000" w:themeColor="text1"/>
          <w:sz w:val="24"/>
          <w:szCs w:val="24"/>
        </w:rPr>
        <w:t xml:space="preserve"> observed changes are thus attributable to microenvironmental effects rather than structural modification of serotonin.</w:t>
      </w:r>
    </w:p>
    <w:p w14:paraId="6DD03112" w14:textId="3DACD46B"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lastRenderedPageBreak/>
        <w:t>In aqueous solution, serotonin displayed excitation maxima between 275 and 283 nm and emission maxima ranging from 335 to 341 nm. These values align with previously reported photophysical data for serotonin and other indole derivatives in polar solvents, where emission typically occurs in the 330–350 nm range due to stabilization of the excited state via hydrogen bonding and solvent relaxation processes [</w:t>
      </w:r>
      <w:r w:rsidRPr="008B6F3C">
        <w:rPr>
          <w:rFonts w:ascii="Arial" w:hAnsi="Arial" w:cs="Arial"/>
          <w:color w:val="0070C0"/>
          <w:sz w:val="24"/>
          <w:szCs w:val="24"/>
        </w:rPr>
        <w:t>1</w:t>
      </w:r>
      <w:r w:rsidR="00FF45C2" w:rsidRPr="008B6F3C">
        <w:rPr>
          <w:rFonts w:ascii="Arial" w:hAnsi="Arial" w:cs="Arial"/>
          <w:color w:val="0070C0"/>
          <w:sz w:val="24"/>
          <w:szCs w:val="24"/>
        </w:rPr>
        <w:t>2</w:t>
      </w:r>
      <w:r w:rsidRPr="008B6F3C">
        <w:rPr>
          <w:rFonts w:ascii="Arial" w:hAnsi="Arial" w:cs="Arial"/>
          <w:color w:val="0070C0"/>
          <w:sz w:val="24"/>
          <w:szCs w:val="24"/>
        </w:rPr>
        <w:t>,</w:t>
      </w:r>
      <w:r w:rsidR="00FF45C2" w:rsidRPr="008B6F3C">
        <w:rPr>
          <w:rFonts w:ascii="Arial" w:hAnsi="Arial" w:cs="Arial"/>
          <w:color w:val="0070C0"/>
          <w:sz w:val="24"/>
          <w:szCs w:val="24"/>
        </w:rPr>
        <w:t>13</w:t>
      </w:r>
      <w:r w:rsidRPr="008B6F3C">
        <w:rPr>
          <w:rFonts w:ascii="Arial" w:hAnsi="Arial" w:cs="Arial"/>
          <w:color w:val="000000" w:themeColor="text1"/>
          <w:sz w:val="24"/>
          <w:szCs w:val="24"/>
        </w:rPr>
        <w:t>]. The moderate fluorescence intensity in water can be attributed to efficient non-radiative decay pathways, including collisional quenching, solvent-induced vibrational relaxation, and hydrogen-bond interactions between the indole NH group and surrounding water molecules [</w:t>
      </w:r>
      <w:r w:rsidR="00FF45C2" w:rsidRPr="008B6F3C">
        <w:rPr>
          <w:rFonts w:ascii="Arial" w:hAnsi="Arial" w:cs="Arial"/>
          <w:color w:val="0070C0"/>
          <w:sz w:val="24"/>
          <w:szCs w:val="24"/>
        </w:rPr>
        <w:t>13</w:t>
      </w:r>
      <w:r w:rsidRPr="008B6F3C">
        <w:rPr>
          <w:rFonts w:ascii="Arial" w:hAnsi="Arial" w:cs="Arial"/>
          <w:color w:val="0070C0"/>
          <w:sz w:val="24"/>
          <w:szCs w:val="24"/>
        </w:rPr>
        <w:t>,</w:t>
      </w:r>
      <w:r w:rsidR="00FF45C2" w:rsidRPr="008B6F3C">
        <w:rPr>
          <w:rFonts w:ascii="Arial" w:hAnsi="Arial" w:cs="Arial"/>
          <w:color w:val="0070C0"/>
          <w:sz w:val="24"/>
          <w:szCs w:val="24"/>
        </w:rPr>
        <w:t>14</w:t>
      </w:r>
      <w:r w:rsidRPr="008B6F3C">
        <w:rPr>
          <w:rFonts w:ascii="Arial" w:hAnsi="Arial" w:cs="Arial"/>
          <w:color w:val="000000" w:themeColor="text1"/>
          <w:sz w:val="24"/>
          <w:szCs w:val="24"/>
        </w:rPr>
        <w:t>].</w:t>
      </w:r>
    </w:p>
    <w:p w14:paraId="66F765BD" w14:textId="248F35AA"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Upon addition of surfactants at concentrations above their critical micelle concentration (CMC), a notable fluorescence enhancement was observed (</w:t>
      </w:r>
      <w:r w:rsidRPr="008B6F3C">
        <w:rPr>
          <w:rFonts w:ascii="Arial" w:hAnsi="Arial" w:cs="Arial"/>
          <w:color w:val="0070C0"/>
          <w:sz w:val="24"/>
          <w:szCs w:val="24"/>
        </w:rPr>
        <w:t>Figure 1</w:t>
      </w:r>
      <w:r w:rsidRPr="008B6F3C">
        <w:rPr>
          <w:rFonts w:ascii="Arial" w:hAnsi="Arial" w:cs="Arial"/>
          <w:color w:val="000000" w:themeColor="text1"/>
          <w:sz w:val="24"/>
          <w:szCs w:val="24"/>
        </w:rPr>
        <w:t>). Although excitation (λ</w:t>
      </w:r>
      <w:r w:rsidRPr="008B6F3C">
        <w:rPr>
          <w:rFonts w:ascii="Arial" w:hAnsi="Arial" w:cs="Arial"/>
          <w:color w:val="000000" w:themeColor="text1"/>
          <w:sz w:val="24"/>
          <w:szCs w:val="24"/>
          <w:vertAlign w:val="subscript"/>
        </w:rPr>
        <w:t>ex</w:t>
      </w:r>
      <w:r w:rsidRPr="008B6F3C">
        <w:rPr>
          <w:rFonts w:ascii="Arial" w:hAnsi="Arial" w:cs="Arial"/>
          <w:color w:val="000000" w:themeColor="text1"/>
          <w:sz w:val="24"/>
          <w:szCs w:val="24"/>
        </w:rPr>
        <w:t>) and emission (λ</w:t>
      </w:r>
      <w:r w:rsidRPr="008B6F3C">
        <w:rPr>
          <w:rFonts w:ascii="Arial" w:hAnsi="Arial" w:cs="Arial"/>
          <w:color w:val="000000" w:themeColor="text1"/>
          <w:sz w:val="24"/>
          <w:szCs w:val="24"/>
          <w:vertAlign w:val="subscript"/>
        </w:rPr>
        <w:t>em</w:t>
      </w:r>
      <w:r w:rsidRPr="008B6F3C">
        <w:rPr>
          <w:rFonts w:ascii="Arial" w:hAnsi="Arial" w:cs="Arial"/>
          <w:color w:val="000000" w:themeColor="text1"/>
          <w:sz w:val="24"/>
          <w:szCs w:val="24"/>
        </w:rPr>
        <w:t>) maxima remained nearly constant, emission intensity increased significantly, particularly in the presence of Brij 700 and SDS. This enhancement is characteristic of micelle-mediated fluorescence amplification and arises from the transfer of serotonin molecules from the aqueous bulk phase to a less polar, more organized micellar microenvironment.</w:t>
      </w:r>
    </w:p>
    <w:p w14:paraId="7B55D725" w14:textId="559D1460"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noProof/>
          <w:color w:val="000000" w:themeColor="text1"/>
          <w:sz w:val="24"/>
          <w:szCs w:val="24"/>
        </w:rPr>
        <w:drawing>
          <wp:inline distT="0" distB="0" distL="0" distR="0" wp14:anchorId="06239134" wp14:editId="1D8621B4">
            <wp:extent cx="4210638" cy="3181794"/>
            <wp:effectExtent l="0" t="0" r="0" b="0"/>
            <wp:docPr id="16080873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87348" name=""/>
                    <pic:cNvPicPr/>
                  </pic:nvPicPr>
                  <pic:blipFill>
                    <a:blip r:embed="rId8"/>
                    <a:stretch>
                      <a:fillRect/>
                    </a:stretch>
                  </pic:blipFill>
                  <pic:spPr>
                    <a:xfrm>
                      <a:off x="0" y="0"/>
                      <a:ext cx="4210638" cy="3181794"/>
                    </a:xfrm>
                    <a:prstGeom prst="rect">
                      <a:avLst/>
                    </a:prstGeom>
                  </pic:spPr>
                </pic:pic>
              </a:graphicData>
            </a:graphic>
          </wp:inline>
        </w:drawing>
      </w:r>
    </w:p>
    <w:p w14:paraId="31D7A3C9" w14:textId="4AC56C73"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b/>
          <w:bCs/>
          <w:color w:val="000000" w:themeColor="text1"/>
          <w:sz w:val="24"/>
          <w:szCs w:val="24"/>
        </w:rPr>
        <w:t xml:space="preserve">Figure </w:t>
      </w:r>
      <w:proofErr w:type="gramStart"/>
      <w:r w:rsidRPr="008B6F3C">
        <w:rPr>
          <w:rFonts w:ascii="Arial" w:hAnsi="Arial" w:cs="Arial"/>
          <w:b/>
          <w:bCs/>
          <w:color w:val="000000" w:themeColor="text1"/>
          <w:sz w:val="24"/>
          <w:szCs w:val="24"/>
        </w:rPr>
        <w:t>1</w:t>
      </w:r>
      <w:r w:rsidRPr="008B6F3C">
        <w:rPr>
          <w:rFonts w:ascii="Arial" w:hAnsi="Arial" w:cs="Arial"/>
          <w:color w:val="000000" w:themeColor="text1"/>
          <w:sz w:val="24"/>
          <w:szCs w:val="24"/>
        </w:rPr>
        <w:t>:</w:t>
      </w:r>
      <w:proofErr w:type="gramEnd"/>
      <w:r w:rsidRPr="008B6F3C">
        <w:rPr>
          <w:rFonts w:ascii="Arial" w:hAnsi="Arial" w:cs="Arial"/>
          <w:color w:val="000000" w:themeColor="text1"/>
          <w:sz w:val="24"/>
          <w:szCs w:val="24"/>
        </w:rPr>
        <w:t xml:space="preserve"> Excitation and emission spectra of 5-HT (</w:t>
      </w:r>
      <w:r w:rsidR="00F527FA" w:rsidRPr="008B6F3C">
        <w:rPr>
          <w:rFonts w:ascii="Arial" w:hAnsi="Arial" w:cs="Arial"/>
          <w:color w:val="000000" w:themeColor="text1"/>
          <w:sz w:val="24"/>
          <w:szCs w:val="24"/>
        </w:rPr>
        <w:t>10</w:t>
      </w:r>
      <w:r w:rsidR="00F527FA" w:rsidRPr="008B6F3C">
        <w:rPr>
          <w:rFonts w:ascii="Cambria Math" w:hAnsi="Cambria Math" w:cs="Cambria Math"/>
          <w:color w:val="000000" w:themeColor="text1"/>
          <w:sz w:val="24"/>
          <w:szCs w:val="24"/>
        </w:rPr>
        <w:t>⁻</w:t>
      </w:r>
      <w:r w:rsidR="00F527FA" w:rsidRPr="008B6F3C">
        <w:rPr>
          <w:rFonts w:ascii="Arial" w:hAnsi="Arial" w:cs="Arial"/>
          <w:color w:val="000000" w:themeColor="text1"/>
          <w:sz w:val="24"/>
          <w:szCs w:val="24"/>
        </w:rPr>
        <w:t>⁷ M</w:t>
      </w:r>
      <w:r w:rsidRPr="008B6F3C">
        <w:rPr>
          <w:rFonts w:ascii="Arial" w:hAnsi="Arial" w:cs="Arial"/>
          <w:color w:val="000000" w:themeColor="text1"/>
          <w:sz w:val="24"/>
          <w:szCs w:val="24"/>
        </w:rPr>
        <w:t>) in different media: (1: water; 2: SDS; 3: Brij 700).</w:t>
      </w:r>
    </w:p>
    <w:p w14:paraId="5CB7195F" w14:textId="77777777" w:rsidR="00FF45C2" w:rsidRPr="008B6F3C" w:rsidRDefault="00FF45C2" w:rsidP="0097495D">
      <w:pPr>
        <w:tabs>
          <w:tab w:val="left" w:pos="142"/>
        </w:tabs>
        <w:spacing w:after="0" w:line="240" w:lineRule="auto"/>
        <w:jc w:val="center"/>
        <w:rPr>
          <w:rFonts w:ascii="Arial" w:hAnsi="Arial" w:cs="Arial"/>
          <w:color w:val="000000" w:themeColor="text1"/>
          <w:sz w:val="24"/>
          <w:szCs w:val="24"/>
        </w:rPr>
      </w:pPr>
    </w:p>
    <w:p w14:paraId="3C06FA92" w14:textId="5780059C"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 xml:space="preserve">Micelles offer a microheterogeneous environment, with a hydrophobic core and a palisade layer that reduce polarity and restrict molecular mobility relative to water. Localization of serotonin within this environment diminishes solvent quenching and limits non-radiative decay processes, thereby increasing fluorescence quantum yield. </w:t>
      </w:r>
      <w:r w:rsidRPr="008B6F3C">
        <w:rPr>
          <w:rFonts w:ascii="Arial" w:hAnsi="Arial" w:cs="Arial"/>
          <w:color w:val="000000" w:themeColor="text1"/>
          <w:sz w:val="24"/>
          <w:szCs w:val="24"/>
        </w:rPr>
        <w:lastRenderedPageBreak/>
        <w:t>Similar micelle-induced enhancements have been reported for aromatic and pharmaceutical compounds in SDS and nonionic surfactants [</w:t>
      </w:r>
      <w:r w:rsidR="007C103A" w:rsidRPr="008B6F3C">
        <w:rPr>
          <w:rFonts w:ascii="Arial" w:hAnsi="Arial" w:cs="Arial"/>
          <w:color w:val="0070C0"/>
          <w:sz w:val="24"/>
          <w:szCs w:val="24"/>
        </w:rPr>
        <w:t>15</w:t>
      </w:r>
      <w:r w:rsidRPr="008B6F3C">
        <w:rPr>
          <w:rFonts w:ascii="Arial" w:hAnsi="Arial" w:cs="Arial"/>
          <w:color w:val="0070C0"/>
          <w:sz w:val="24"/>
          <w:szCs w:val="24"/>
        </w:rPr>
        <w:t>–</w:t>
      </w:r>
      <w:r w:rsidR="007C103A" w:rsidRPr="008B6F3C">
        <w:rPr>
          <w:rFonts w:ascii="Arial" w:hAnsi="Arial" w:cs="Arial"/>
          <w:color w:val="0070C0"/>
          <w:sz w:val="24"/>
          <w:szCs w:val="24"/>
        </w:rPr>
        <w:t>17</w:t>
      </w:r>
      <w:r w:rsidRPr="008B6F3C">
        <w:rPr>
          <w:rFonts w:ascii="Arial" w:hAnsi="Arial" w:cs="Arial"/>
          <w:color w:val="000000" w:themeColor="text1"/>
          <w:sz w:val="24"/>
          <w:szCs w:val="24"/>
        </w:rPr>
        <w:t>]. According to photophysical theory, fluorescence intensity increases when the fluorophore experiences a decrease in local dielectric constant and reduced vibrational freedom, both promoted by micellar encapsulation [</w:t>
      </w:r>
      <w:r w:rsidR="007C103A" w:rsidRPr="008B6F3C">
        <w:rPr>
          <w:rFonts w:ascii="Arial" w:hAnsi="Arial" w:cs="Arial"/>
          <w:color w:val="0070C0"/>
          <w:sz w:val="24"/>
          <w:szCs w:val="24"/>
        </w:rPr>
        <w:t>13</w:t>
      </w:r>
      <w:r w:rsidRPr="008B6F3C">
        <w:rPr>
          <w:rFonts w:ascii="Arial" w:hAnsi="Arial" w:cs="Arial"/>
          <w:color w:val="000000" w:themeColor="text1"/>
          <w:sz w:val="24"/>
          <w:szCs w:val="24"/>
        </w:rPr>
        <w:t>].</w:t>
      </w:r>
    </w:p>
    <w:p w14:paraId="72C796FE" w14:textId="1EB2C439"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 xml:space="preserve">A comparative evaluation of different surfactants is summarized in </w:t>
      </w:r>
      <w:r w:rsidRPr="008B6F3C">
        <w:rPr>
          <w:rFonts w:ascii="Arial" w:hAnsi="Arial" w:cs="Arial"/>
          <w:color w:val="0070C0"/>
          <w:sz w:val="24"/>
          <w:szCs w:val="24"/>
        </w:rPr>
        <w:t xml:space="preserve">Table </w:t>
      </w:r>
      <w:r w:rsidR="00A96042" w:rsidRPr="008B6F3C">
        <w:rPr>
          <w:rFonts w:ascii="Arial" w:hAnsi="Arial" w:cs="Arial"/>
          <w:color w:val="0070C0"/>
          <w:sz w:val="24"/>
          <w:szCs w:val="24"/>
        </w:rPr>
        <w:t>2</w:t>
      </w:r>
      <w:r w:rsidRPr="008B6F3C">
        <w:rPr>
          <w:rFonts w:ascii="Arial" w:hAnsi="Arial" w:cs="Arial"/>
          <w:color w:val="000000" w:themeColor="text1"/>
          <w:sz w:val="24"/>
          <w:szCs w:val="24"/>
        </w:rPr>
        <w:t>. Relative fluorescence intensity, normalized to CTAC (taken as unity), followed the order</w:t>
      </w:r>
      <w:r w:rsidR="00A96042" w:rsidRPr="008B6F3C">
        <w:rPr>
          <w:rFonts w:ascii="Arial" w:hAnsi="Arial" w:cs="Arial"/>
          <w:color w:val="000000" w:themeColor="text1"/>
          <w:sz w:val="24"/>
          <w:szCs w:val="24"/>
        </w:rPr>
        <w:t xml:space="preserve"> </w:t>
      </w:r>
      <w:r w:rsidRPr="008B6F3C">
        <w:rPr>
          <w:rFonts w:ascii="Arial" w:hAnsi="Arial" w:cs="Arial"/>
          <w:color w:val="000000" w:themeColor="text1"/>
          <w:sz w:val="24"/>
          <w:szCs w:val="24"/>
        </w:rPr>
        <w:t>:</w:t>
      </w:r>
    </w:p>
    <w:p w14:paraId="75439BD8" w14:textId="77777777" w:rsidR="0047303F" w:rsidRPr="008B6F3C" w:rsidRDefault="0047303F" w:rsidP="0097495D">
      <w:pPr>
        <w:tabs>
          <w:tab w:val="left" w:pos="142"/>
        </w:tabs>
        <w:spacing w:after="0" w:line="360" w:lineRule="auto"/>
        <w:jc w:val="both"/>
        <w:rPr>
          <w:rFonts w:ascii="Arial" w:hAnsi="Arial" w:cs="Arial"/>
          <w:color w:val="000000" w:themeColor="text1"/>
          <w:sz w:val="24"/>
          <w:szCs w:val="24"/>
        </w:rPr>
      </w:pPr>
    </w:p>
    <w:p w14:paraId="2674A8F4" w14:textId="77777777" w:rsidR="00A96042" w:rsidRPr="008B6F3C" w:rsidRDefault="00A96042" w:rsidP="0097495D">
      <w:pPr>
        <w:tabs>
          <w:tab w:val="left" w:pos="142"/>
        </w:tabs>
        <w:spacing w:after="0" w:line="360" w:lineRule="auto"/>
        <w:jc w:val="center"/>
        <w:rPr>
          <w:rFonts w:ascii="Arial" w:hAnsi="Arial" w:cs="Arial"/>
          <w:color w:val="000000" w:themeColor="text1"/>
          <w:sz w:val="24"/>
          <w:szCs w:val="24"/>
        </w:rPr>
      </w:pPr>
      <w:r w:rsidRPr="008B6F3C">
        <w:rPr>
          <w:rFonts w:ascii="Arial" w:hAnsi="Arial" w:cs="Arial"/>
          <w:b/>
          <w:bCs/>
          <w:color w:val="000000" w:themeColor="text1"/>
          <w:sz w:val="24"/>
          <w:szCs w:val="24"/>
        </w:rPr>
        <w:t xml:space="preserve">Table 2. </w:t>
      </w:r>
      <w:r w:rsidRPr="008B6F3C">
        <w:rPr>
          <w:rFonts w:ascii="Arial" w:hAnsi="Arial" w:cs="Arial"/>
          <w:color w:val="000000" w:themeColor="text1"/>
          <w:sz w:val="24"/>
          <w:szCs w:val="24"/>
        </w:rPr>
        <w:t xml:space="preserve">Fluorescence intensity of </w:t>
      </w:r>
      <w:r w:rsidRPr="00A96042">
        <w:rPr>
          <w:rFonts w:ascii="Arial" w:hAnsi="Arial" w:cs="Arial"/>
          <w:color w:val="000000" w:themeColor="text1"/>
          <w:sz w:val="24"/>
          <w:szCs w:val="24"/>
        </w:rPr>
        <w:t xml:space="preserve">5-HT </w:t>
      </w:r>
      <w:r w:rsidRPr="008B6F3C">
        <w:rPr>
          <w:rFonts w:ascii="Arial" w:hAnsi="Arial" w:cs="Arial"/>
          <w:color w:val="000000" w:themeColor="text1"/>
          <w:sz w:val="24"/>
          <w:szCs w:val="24"/>
        </w:rPr>
        <w:t>(10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⁷ M) in the presence of surfactants</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1050"/>
        <w:gridCol w:w="1800"/>
        <w:gridCol w:w="1800"/>
        <w:gridCol w:w="1500"/>
      </w:tblGrid>
      <w:tr w:rsidR="003F2CBD" w:rsidRPr="008B6F3C" w14:paraId="100AFC55" w14:textId="77777777" w:rsidTr="00E4029F">
        <w:trPr>
          <w:jc w:val="center"/>
        </w:trPr>
        <w:tc>
          <w:tcPr>
            <w:tcW w:w="1050" w:type="dxa"/>
            <w:tcBorders>
              <w:top w:val="outset" w:sz="6" w:space="0" w:color="auto"/>
              <w:left w:val="nil"/>
              <w:bottom w:val="outset" w:sz="6" w:space="0" w:color="auto"/>
              <w:right w:val="outset" w:sz="6" w:space="0" w:color="auto"/>
            </w:tcBorders>
            <w:hideMark/>
          </w:tcPr>
          <w:p w14:paraId="648264EA"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Micell</w:t>
            </w:r>
            <w:r w:rsidRPr="008B6F3C">
              <w:rPr>
                <w:rFonts w:ascii="Arial" w:hAnsi="Arial" w:cs="Arial"/>
                <w:color w:val="000000" w:themeColor="text1"/>
                <w:sz w:val="24"/>
                <w:szCs w:val="24"/>
              </w:rPr>
              <w:t>ar</w:t>
            </w:r>
          </w:p>
        </w:tc>
        <w:tc>
          <w:tcPr>
            <w:tcW w:w="1800" w:type="dxa"/>
            <w:tcBorders>
              <w:top w:val="outset" w:sz="6" w:space="0" w:color="auto"/>
              <w:left w:val="outset" w:sz="6" w:space="0" w:color="auto"/>
              <w:bottom w:val="outset" w:sz="6" w:space="0" w:color="auto"/>
              <w:right w:val="outset" w:sz="6" w:space="0" w:color="auto"/>
            </w:tcBorders>
            <w:hideMark/>
          </w:tcPr>
          <w:p w14:paraId="796661C3"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 xml:space="preserve">C (10 </w:t>
            </w:r>
            <w:r w:rsidRPr="00A96042">
              <w:rPr>
                <w:rFonts w:ascii="Arial" w:hAnsi="Arial" w:cs="Arial"/>
                <w:color w:val="000000" w:themeColor="text1"/>
                <w:sz w:val="24"/>
                <w:szCs w:val="24"/>
                <w:vertAlign w:val="superscript"/>
              </w:rPr>
              <w:t>2</w:t>
            </w:r>
            <w:r w:rsidRPr="00A96042">
              <w:rPr>
                <w:rFonts w:ascii="Arial" w:hAnsi="Arial" w:cs="Arial"/>
                <w:color w:val="000000" w:themeColor="text1"/>
                <w:sz w:val="24"/>
                <w:szCs w:val="24"/>
              </w:rPr>
              <w:t xml:space="preserve"> M) </w:t>
            </w:r>
            <w:r w:rsidRPr="00A96042">
              <w:rPr>
                <w:rFonts w:ascii="Arial" w:hAnsi="Arial" w:cs="Arial"/>
                <w:color w:val="000000" w:themeColor="text1"/>
                <w:sz w:val="24"/>
                <w:szCs w:val="24"/>
                <w:vertAlign w:val="superscript"/>
              </w:rPr>
              <w:t>a</w:t>
            </w:r>
          </w:p>
        </w:tc>
        <w:tc>
          <w:tcPr>
            <w:tcW w:w="1800" w:type="dxa"/>
            <w:tcBorders>
              <w:top w:val="outset" w:sz="6" w:space="0" w:color="auto"/>
              <w:left w:val="outset" w:sz="6" w:space="0" w:color="auto"/>
              <w:bottom w:val="outset" w:sz="6" w:space="0" w:color="auto"/>
              <w:right w:val="outset" w:sz="6" w:space="0" w:color="auto"/>
            </w:tcBorders>
            <w:hideMark/>
          </w:tcPr>
          <w:p w14:paraId="67C1603C"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proofErr w:type="gramStart"/>
            <w:r w:rsidRPr="00A96042">
              <w:rPr>
                <w:rFonts w:ascii="Arial" w:hAnsi="Arial" w:cs="Arial"/>
                <w:color w:val="000000" w:themeColor="text1"/>
                <w:sz w:val="24"/>
                <w:szCs w:val="24"/>
              </w:rPr>
              <w:t>λ</w:t>
            </w:r>
            <w:proofErr w:type="gramEnd"/>
            <w:r w:rsidRPr="00A96042">
              <w:rPr>
                <w:rFonts w:ascii="Arial" w:hAnsi="Arial" w:cs="Arial"/>
                <w:color w:val="000000" w:themeColor="text1"/>
                <w:sz w:val="24"/>
                <w:szCs w:val="24"/>
                <w:vertAlign w:val="subscript"/>
              </w:rPr>
              <w:t>ex</w:t>
            </w:r>
            <w:r w:rsidRPr="00A96042">
              <w:rPr>
                <w:rFonts w:ascii="Arial" w:hAnsi="Arial" w:cs="Arial"/>
                <w:color w:val="000000" w:themeColor="text1"/>
                <w:sz w:val="24"/>
                <w:szCs w:val="24"/>
              </w:rPr>
              <w:t xml:space="preserve"> / λ</w:t>
            </w:r>
            <w:r w:rsidRPr="00A96042">
              <w:rPr>
                <w:rFonts w:ascii="Arial" w:hAnsi="Arial" w:cs="Arial"/>
                <w:color w:val="000000" w:themeColor="text1"/>
                <w:sz w:val="24"/>
                <w:szCs w:val="24"/>
                <w:vertAlign w:val="subscript"/>
              </w:rPr>
              <w:t>em</w:t>
            </w:r>
            <w:r w:rsidRPr="00A96042">
              <w:rPr>
                <w:rFonts w:ascii="Arial" w:hAnsi="Arial" w:cs="Arial"/>
                <w:color w:val="000000" w:themeColor="text1"/>
                <w:sz w:val="24"/>
                <w:szCs w:val="24"/>
              </w:rPr>
              <w:t xml:space="preserve"> (nm) </w:t>
            </w:r>
            <w:r w:rsidRPr="00A96042">
              <w:rPr>
                <w:rFonts w:ascii="Arial" w:hAnsi="Arial" w:cs="Arial"/>
                <w:color w:val="000000" w:themeColor="text1"/>
                <w:sz w:val="24"/>
                <w:szCs w:val="24"/>
                <w:vertAlign w:val="superscript"/>
              </w:rPr>
              <w:t>b</w:t>
            </w:r>
          </w:p>
        </w:tc>
        <w:tc>
          <w:tcPr>
            <w:tcW w:w="1500" w:type="dxa"/>
            <w:tcBorders>
              <w:top w:val="outset" w:sz="6" w:space="0" w:color="auto"/>
              <w:left w:val="outset" w:sz="6" w:space="0" w:color="auto"/>
              <w:bottom w:val="outset" w:sz="6" w:space="0" w:color="auto"/>
              <w:right w:val="nil"/>
            </w:tcBorders>
            <w:hideMark/>
          </w:tcPr>
          <w:p w14:paraId="0095DB4E"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I</w:t>
            </w:r>
            <w:r w:rsidRPr="00A96042">
              <w:rPr>
                <w:rFonts w:ascii="Arial" w:hAnsi="Arial" w:cs="Arial"/>
                <w:color w:val="000000" w:themeColor="text1"/>
                <w:sz w:val="24"/>
                <w:szCs w:val="24"/>
                <w:vertAlign w:val="subscript"/>
              </w:rPr>
              <w:t>F</w:t>
            </w:r>
            <w:r w:rsidRPr="00A96042">
              <w:rPr>
                <w:rFonts w:ascii="Arial" w:hAnsi="Arial" w:cs="Arial"/>
                <w:color w:val="000000" w:themeColor="text1"/>
                <w:sz w:val="24"/>
                <w:szCs w:val="24"/>
              </w:rPr>
              <w:t xml:space="preserve"> </w:t>
            </w:r>
            <w:r w:rsidRPr="00A96042">
              <w:rPr>
                <w:rFonts w:ascii="Arial" w:hAnsi="Arial" w:cs="Arial"/>
                <w:color w:val="000000" w:themeColor="text1"/>
                <w:sz w:val="24"/>
                <w:szCs w:val="24"/>
                <w:vertAlign w:val="superscript"/>
              </w:rPr>
              <w:t>c</w:t>
            </w:r>
          </w:p>
        </w:tc>
      </w:tr>
      <w:tr w:rsidR="003F2CBD" w:rsidRPr="008B6F3C" w14:paraId="4031179E" w14:textId="77777777" w:rsidTr="00E4029F">
        <w:trPr>
          <w:jc w:val="center"/>
        </w:trPr>
        <w:tc>
          <w:tcPr>
            <w:tcW w:w="1050" w:type="dxa"/>
            <w:tcBorders>
              <w:top w:val="nil"/>
              <w:left w:val="nil"/>
              <w:bottom w:val="outset" w:sz="6" w:space="0" w:color="auto"/>
              <w:right w:val="outset" w:sz="6" w:space="0" w:color="auto"/>
            </w:tcBorders>
            <w:hideMark/>
          </w:tcPr>
          <w:p w14:paraId="107EF6D0"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Brij 700</w:t>
            </w:r>
          </w:p>
        </w:tc>
        <w:tc>
          <w:tcPr>
            <w:tcW w:w="1800" w:type="dxa"/>
            <w:tcBorders>
              <w:top w:val="nil"/>
              <w:left w:val="outset" w:sz="6" w:space="0" w:color="auto"/>
              <w:bottom w:val="outset" w:sz="6" w:space="0" w:color="auto"/>
              <w:right w:val="outset" w:sz="6" w:space="0" w:color="auto"/>
            </w:tcBorders>
            <w:hideMark/>
          </w:tcPr>
          <w:p w14:paraId="71CF55CD"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1</w:t>
            </w:r>
          </w:p>
        </w:tc>
        <w:tc>
          <w:tcPr>
            <w:tcW w:w="1800" w:type="dxa"/>
            <w:tcBorders>
              <w:top w:val="nil"/>
              <w:left w:val="outset" w:sz="6" w:space="0" w:color="auto"/>
              <w:bottom w:val="outset" w:sz="6" w:space="0" w:color="auto"/>
              <w:right w:val="outset" w:sz="6" w:space="0" w:color="auto"/>
            </w:tcBorders>
            <w:hideMark/>
          </w:tcPr>
          <w:p w14:paraId="3A1B7F90"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283/335</w:t>
            </w:r>
          </w:p>
        </w:tc>
        <w:tc>
          <w:tcPr>
            <w:tcW w:w="1500" w:type="dxa"/>
            <w:tcBorders>
              <w:top w:val="nil"/>
              <w:left w:val="outset" w:sz="6" w:space="0" w:color="auto"/>
              <w:bottom w:val="outset" w:sz="6" w:space="0" w:color="auto"/>
              <w:right w:val="nil"/>
            </w:tcBorders>
            <w:hideMark/>
          </w:tcPr>
          <w:p w14:paraId="4BF990B4"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3,89</w:t>
            </w:r>
          </w:p>
        </w:tc>
      </w:tr>
      <w:tr w:rsidR="003F2CBD" w:rsidRPr="008B6F3C" w14:paraId="77E86420" w14:textId="77777777" w:rsidTr="00E4029F">
        <w:trPr>
          <w:jc w:val="center"/>
        </w:trPr>
        <w:tc>
          <w:tcPr>
            <w:tcW w:w="1050" w:type="dxa"/>
            <w:tcBorders>
              <w:top w:val="nil"/>
              <w:left w:val="nil"/>
              <w:bottom w:val="outset" w:sz="6" w:space="0" w:color="auto"/>
              <w:right w:val="outset" w:sz="6" w:space="0" w:color="auto"/>
            </w:tcBorders>
            <w:hideMark/>
          </w:tcPr>
          <w:p w14:paraId="3663D427"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CTAC</w:t>
            </w:r>
          </w:p>
        </w:tc>
        <w:tc>
          <w:tcPr>
            <w:tcW w:w="1800" w:type="dxa"/>
            <w:tcBorders>
              <w:top w:val="nil"/>
              <w:left w:val="outset" w:sz="6" w:space="0" w:color="auto"/>
              <w:bottom w:val="outset" w:sz="6" w:space="0" w:color="auto"/>
              <w:right w:val="outset" w:sz="6" w:space="0" w:color="auto"/>
            </w:tcBorders>
            <w:hideMark/>
          </w:tcPr>
          <w:p w14:paraId="2ECEA826"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4</w:t>
            </w:r>
          </w:p>
        </w:tc>
        <w:tc>
          <w:tcPr>
            <w:tcW w:w="1800" w:type="dxa"/>
            <w:tcBorders>
              <w:top w:val="nil"/>
              <w:left w:val="outset" w:sz="6" w:space="0" w:color="auto"/>
              <w:bottom w:val="outset" w:sz="6" w:space="0" w:color="auto"/>
              <w:right w:val="outset" w:sz="6" w:space="0" w:color="auto"/>
            </w:tcBorders>
            <w:hideMark/>
          </w:tcPr>
          <w:p w14:paraId="49157453"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278/341</w:t>
            </w:r>
          </w:p>
        </w:tc>
        <w:tc>
          <w:tcPr>
            <w:tcW w:w="1500" w:type="dxa"/>
            <w:tcBorders>
              <w:top w:val="nil"/>
              <w:left w:val="outset" w:sz="6" w:space="0" w:color="auto"/>
              <w:bottom w:val="outset" w:sz="6" w:space="0" w:color="auto"/>
              <w:right w:val="nil"/>
            </w:tcBorders>
            <w:hideMark/>
          </w:tcPr>
          <w:p w14:paraId="571C68AC"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1,00</w:t>
            </w:r>
          </w:p>
        </w:tc>
      </w:tr>
      <w:tr w:rsidR="003F2CBD" w:rsidRPr="008B6F3C" w14:paraId="37C57B7D" w14:textId="77777777" w:rsidTr="00E4029F">
        <w:trPr>
          <w:jc w:val="center"/>
        </w:trPr>
        <w:tc>
          <w:tcPr>
            <w:tcW w:w="1050" w:type="dxa"/>
            <w:tcBorders>
              <w:top w:val="nil"/>
              <w:left w:val="nil"/>
              <w:bottom w:val="outset" w:sz="6" w:space="0" w:color="auto"/>
              <w:right w:val="outset" w:sz="6" w:space="0" w:color="auto"/>
            </w:tcBorders>
            <w:hideMark/>
          </w:tcPr>
          <w:p w14:paraId="29561111"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CTAOH</w:t>
            </w:r>
          </w:p>
        </w:tc>
        <w:tc>
          <w:tcPr>
            <w:tcW w:w="1800" w:type="dxa"/>
            <w:tcBorders>
              <w:top w:val="nil"/>
              <w:left w:val="outset" w:sz="6" w:space="0" w:color="auto"/>
              <w:bottom w:val="outset" w:sz="6" w:space="0" w:color="auto"/>
              <w:right w:val="outset" w:sz="6" w:space="0" w:color="auto"/>
            </w:tcBorders>
            <w:hideMark/>
          </w:tcPr>
          <w:p w14:paraId="65D99350"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3</w:t>
            </w:r>
          </w:p>
        </w:tc>
        <w:tc>
          <w:tcPr>
            <w:tcW w:w="1800" w:type="dxa"/>
            <w:tcBorders>
              <w:top w:val="nil"/>
              <w:left w:val="outset" w:sz="6" w:space="0" w:color="auto"/>
              <w:bottom w:val="outset" w:sz="6" w:space="0" w:color="auto"/>
              <w:right w:val="outset" w:sz="6" w:space="0" w:color="auto"/>
            </w:tcBorders>
            <w:hideMark/>
          </w:tcPr>
          <w:p w14:paraId="66F5519B"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275/341</w:t>
            </w:r>
          </w:p>
        </w:tc>
        <w:tc>
          <w:tcPr>
            <w:tcW w:w="1500" w:type="dxa"/>
            <w:tcBorders>
              <w:top w:val="nil"/>
              <w:left w:val="outset" w:sz="6" w:space="0" w:color="auto"/>
              <w:bottom w:val="outset" w:sz="6" w:space="0" w:color="auto"/>
              <w:right w:val="nil"/>
            </w:tcBorders>
            <w:hideMark/>
          </w:tcPr>
          <w:p w14:paraId="6C489693"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1,13</w:t>
            </w:r>
          </w:p>
        </w:tc>
      </w:tr>
      <w:tr w:rsidR="003F2CBD" w:rsidRPr="008B6F3C" w14:paraId="09C34823" w14:textId="77777777" w:rsidTr="00E4029F">
        <w:trPr>
          <w:jc w:val="center"/>
        </w:trPr>
        <w:tc>
          <w:tcPr>
            <w:tcW w:w="1050" w:type="dxa"/>
            <w:tcBorders>
              <w:top w:val="nil"/>
              <w:left w:val="nil"/>
              <w:bottom w:val="outset" w:sz="6" w:space="0" w:color="auto"/>
              <w:right w:val="outset" w:sz="6" w:space="0" w:color="auto"/>
            </w:tcBorders>
            <w:hideMark/>
          </w:tcPr>
          <w:p w14:paraId="2E1F4E71"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SDS</w:t>
            </w:r>
          </w:p>
        </w:tc>
        <w:tc>
          <w:tcPr>
            <w:tcW w:w="1800" w:type="dxa"/>
            <w:tcBorders>
              <w:top w:val="nil"/>
              <w:left w:val="outset" w:sz="6" w:space="0" w:color="auto"/>
              <w:bottom w:val="outset" w:sz="6" w:space="0" w:color="auto"/>
              <w:right w:val="outset" w:sz="6" w:space="0" w:color="auto"/>
            </w:tcBorders>
            <w:hideMark/>
          </w:tcPr>
          <w:p w14:paraId="02110B56"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2,5</w:t>
            </w:r>
          </w:p>
        </w:tc>
        <w:tc>
          <w:tcPr>
            <w:tcW w:w="1800" w:type="dxa"/>
            <w:tcBorders>
              <w:top w:val="nil"/>
              <w:left w:val="outset" w:sz="6" w:space="0" w:color="auto"/>
              <w:bottom w:val="outset" w:sz="6" w:space="0" w:color="auto"/>
              <w:right w:val="outset" w:sz="6" w:space="0" w:color="auto"/>
            </w:tcBorders>
            <w:hideMark/>
          </w:tcPr>
          <w:p w14:paraId="62ECA441"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277/339</w:t>
            </w:r>
          </w:p>
        </w:tc>
        <w:tc>
          <w:tcPr>
            <w:tcW w:w="1500" w:type="dxa"/>
            <w:tcBorders>
              <w:top w:val="nil"/>
              <w:left w:val="outset" w:sz="6" w:space="0" w:color="auto"/>
              <w:bottom w:val="outset" w:sz="6" w:space="0" w:color="auto"/>
              <w:right w:val="nil"/>
            </w:tcBorders>
            <w:hideMark/>
          </w:tcPr>
          <w:p w14:paraId="2B662C6E" w14:textId="77777777" w:rsidR="00A96042" w:rsidRPr="00A96042" w:rsidRDefault="00A96042" w:rsidP="0097495D">
            <w:pPr>
              <w:tabs>
                <w:tab w:val="left" w:pos="142"/>
              </w:tabs>
              <w:spacing w:after="0" w:line="240" w:lineRule="auto"/>
              <w:jc w:val="center"/>
              <w:rPr>
                <w:rFonts w:ascii="Arial" w:hAnsi="Arial" w:cs="Arial"/>
                <w:color w:val="000000" w:themeColor="text1"/>
                <w:sz w:val="24"/>
                <w:szCs w:val="24"/>
              </w:rPr>
            </w:pPr>
            <w:r w:rsidRPr="00A96042">
              <w:rPr>
                <w:rFonts w:ascii="Arial" w:hAnsi="Arial" w:cs="Arial"/>
                <w:color w:val="000000" w:themeColor="text1"/>
                <w:sz w:val="24"/>
                <w:szCs w:val="24"/>
              </w:rPr>
              <w:t>2,83</w:t>
            </w:r>
          </w:p>
        </w:tc>
      </w:tr>
    </w:tbl>
    <w:p w14:paraId="23B327D4" w14:textId="77777777" w:rsidR="00A96042" w:rsidRPr="008B6F3C" w:rsidRDefault="00A96042" w:rsidP="0097495D">
      <w:pPr>
        <w:tabs>
          <w:tab w:val="left" w:pos="142"/>
          <w:tab w:val="left" w:pos="8588"/>
        </w:tabs>
        <w:spacing w:after="0" w:line="240" w:lineRule="auto"/>
        <w:rPr>
          <w:rFonts w:ascii="Arial" w:hAnsi="Arial" w:cs="Arial"/>
          <w:iCs/>
          <w:color w:val="000000" w:themeColor="text1"/>
          <w:sz w:val="24"/>
          <w:szCs w:val="24"/>
        </w:rPr>
      </w:pPr>
      <w:proofErr w:type="gramStart"/>
      <w:r w:rsidRPr="008B6F3C">
        <w:rPr>
          <w:rFonts w:ascii="Arial" w:hAnsi="Arial" w:cs="Arial"/>
          <w:iCs/>
          <w:color w:val="000000" w:themeColor="text1"/>
          <w:sz w:val="24"/>
          <w:szCs w:val="24"/>
          <w:vertAlign w:val="superscript"/>
        </w:rPr>
        <w:t>a</w:t>
      </w:r>
      <w:proofErr w:type="gramEnd"/>
      <w:r w:rsidRPr="008B6F3C">
        <w:rPr>
          <w:rFonts w:ascii="Arial" w:hAnsi="Arial" w:cs="Arial"/>
          <w:iCs/>
          <w:color w:val="000000" w:themeColor="text1"/>
          <w:sz w:val="24"/>
          <w:szCs w:val="24"/>
        </w:rPr>
        <w:t xml:space="preserve"> Micelle concentration; </w:t>
      </w:r>
      <w:r w:rsidRPr="008B6F3C">
        <w:rPr>
          <w:rFonts w:ascii="Arial" w:hAnsi="Arial" w:cs="Arial"/>
          <w:iCs/>
          <w:color w:val="000000" w:themeColor="text1"/>
          <w:sz w:val="24"/>
          <w:szCs w:val="24"/>
          <w:vertAlign w:val="superscript"/>
        </w:rPr>
        <w:t>b</w:t>
      </w:r>
      <w:r w:rsidRPr="008B6F3C">
        <w:rPr>
          <w:rFonts w:ascii="Arial" w:hAnsi="Arial" w:cs="Arial"/>
          <w:iCs/>
          <w:color w:val="000000" w:themeColor="text1"/>
          <w:sz w:val="24"/>
          <w:szCs w:val="24"/>
        </w:rPr>
        <w:t xml:space="preserve"> Excitation wavelength (λ</w:t>
      </w:r>
      <w:r w:rsidRPr="008B6F3C">
        <w:rPr>
          <w:rFonts w:ascii="Arial" w:hAnsi="Arial" w:cs="Arial"/>
          <w:iCs/>
          <w:color w:val="000000" w:themeColor="text1"/>
          <w:sz w:val="24"/>
          <w:szCs w:val="24"/>
          <w:vertAlign w:val="subscript"/>
        </w:rPr>
        <w:t>ex</w:t>
      </w:r>
      <w:r w:rsidRPr="008B6F3C">
        <w:rPr>
          <w:rFonts w:ascii="Arial" w:hAnsi="Arial" w:cs="Arial"/>
          <w:iCs/>
          <w:color w:val="000000" w:themeColor="text1"/>
          <w:sz w:val="24"/>
          <w:szCs w:val="24"/>
        </w:rPr>
        <w:t>) and emission wavelength (λ</w:t>
      </w:r>
      <w:r w:rsidRPr="008B6F3C">
        <w:rPr>
          <w:rFonts w:ascii="Arial" w:hAnsi="Arial" w:cs="Arial"/>
          <w:iCs/>
          <w:color w:val="000000" w:themeColor="text1"/>
          <w:sz w:val="24"/>
          <w:szCs w:val="24"/>
          <w:vertAlign w:val="subscript"/>
        </w:rPr>
        <w:t>em</w:t>
      </w:r>
      <w:r w:rsidRPr="008B6F3C">
        <w:rPr>
          <w:rFonts w:ascii="Arial" w:hAnsi="Arial" w:cs="Arial"/>
          <w:iCs/>
          <w:color w:val="000000" w:themeColor="text1"/>
          <w:sz w:val="24"/>
          <w:szCs w:val="24"/>
        </w:rPr>
        <w:t>);</w:t>
      </w:r>
    </w:p>
    <w:p w14:paraId="2B0BC3F0" w14:textId="77777777" w:rsidR="00A96042" w:rsidRPr="008B6F3C" w:rsidRDefault="00A96042" w:rsidP="0097495D">
      <w:pPr>
        <w:tabs>
          <w:tab w:val="left" w:pos="142"/>
          <w:tab w:val="left" w:pos="8588"/>
        </w:tabs>
        <w:spacing w:after="0" w:line="240" w:lineRule="auto"/>
        <w:rPr>
          <w:rFonts w:ascii="Arial" w:hAnsi="Arial" w:cs="Arial"/>
          <w:iCs/>
          <w:color w:val="000000" w:themeColor="text1"/>
          <w:sz w:val="24"/>
          <w:szCs w:val="24"/>
        </w:rPr>
      </w:pPr>
      <w:proofErr w:type="gramStart"/>
      <w:r w:rsidRPr="008B6F3C">
        <w:rPr>
          <w:rFonts w:ascii="Arial" w:hAnsi="Arial" w:cs="Arial"/>
          <w:iCs/>
          <w:color w:val="000000" w:themeColor="text1"/>
          <w:sz w:val="24"/>
          <w:szCs w:val="24"/>
          <w:vertAlign w:val="superscript"/>
        </w:rPr>
        <w:t>c</w:t>
      </w:r>
      <w:proofErr w:type="gramEnd"/>
      <w:r w:rsidRPr="008B6F3C">
        <w:rPr>
          <w:rFonts w:ascii="Arial" w:hAnsi="Arial" w:cs="Arial"/>
          <w:iCs/>
          <w:color w:val="000000" w:themeColor="text1"/>
          <w:sz w:val="24"/>
          <w:szCs w:val="24"/>
        </w:rPr>
        <w:t xml:space="preserve"> Relative fluorescence intensity, normalized to the signal of the least intense solvent, CTAC</w:t>
      </w:r>
      <w:r w:rsidRPr="00A96042">
        <w:rPr>
          <w:rFonts w:ascii="Arial" w:hAnsi="Arial" w:cs="Arial"/>
          <w:iCs/>
          <w:color w:val="000000" w:themeColor="text1"/>
          <w:sz w:val="24"/>
          <w:szCs w:val="24"/>
        </w:rPr>
        <w:t>.</w:t>
      </w:r>
    </w:p>
    <w:p w14:paraId="69239029" w14:textId="77777777" w:rsidR="00A96042" w:rsidRPr="008B6F3C" w:rsidRDefault="00A96042" w:rsidP="0097495D">
      <w:pPr>
        <w:tabs>
          <w:tab w:val="left" w:pos="142"/>
        </w:tabs>
        <w:spacing w:after="0" w:line="240" w:lineRule="auto"/>
        <w:jc w:val="both"/>
        <w:rPr>
          <w:rFonts w:ascii="Arial" w:hAnsi="Arial" w:cs="Arial"/>
          <w:color w:val="000000" w:themeColor="text1"/>
          <w:sz w:val="24"/>
          <w:szCs w:val="24"/>
        </w:rPr>
      </w:pPr>
    </w:p>
    <w:p w14:paraId="6F851DD9" w14:textId="4D390EB7"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The highest enhancement was observed with the nonionic surfactant Brij 700. This can be explained by the absence of electrostatic interactions between the surfactant head group and the protonated serotonin at near-neutral pH. In nonionic micelles, hydrophobic and hydrogen-bonding interactions dominate, allowing efficient incorporation of serotonin into the palisade layer without strong ionic competition. The polyoxyethylene chains of Brij 700 likely create a relatively rigid microenvironment that stabilizes the excited state and reduces internal conversion.</w:t>
      </w:r>
    </w:p>
    <w:p w14:paraId="60D6EF50" w14:textId="0703111B"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 xml:space="preserve">In contrast, cationic surfactants such as CTAC and CTAOH produced only minor enhancement. Under the studied conditions, serotonin is predominantly </w:t>
      </w:r>
      <w:proofErr w:type="gramStart"/>
      <w:r w:rsidRPr="008B6F3C">
        <w:rPr>
          <w:rFonts w:ascii="Arial" w:hAnsi="Arial" w:cs="Arial"/>
          <w:color w:val="000000" w:themeColor="text1"/>
          <w:sz w:val="24"/>
          <w:szCs w:val="24"/>
        </w:rPr>
        <w:t>protonated;</w:t>
      </w:r>
      <w:proofErr w:type="gramEnd"/>
      <w:r w:rsidRPr="008B6F3C">
        <w:rPr>
          <w:rFonts w:ascii="Arial" w:hAnsi="Arial" w:cs="Arial"/>
          <w:color w:val="000000" w:themeColor="text1"/>
          <w:sz w:val="24"/>
          <w:szCs w:val="24"/>
        </w:rPr>
        <w:t xml:space="preserve"> thus, electrostatic repulsion between the positively charged surfactant head groups and serotonin’s ammonium group may hinder deep incorporation, resulting in weaker fluorescence amplification. SDS, an anionic surfactant, induced substantial intensity increase, likely due to favorable electrostatic attraction between its negatively charged sulfate group and protonated serotonin. This facilitates localization near the micelle–water interface, where reduced solvent exposure enhances emission efficiency. Similar electrostatic effects have been reported for other cationic analytes in SDS systems [</w:t>
      </w:r>
      <w:r w:rsidR="007C103A" w:rsidRPr="008B6F3C">
        <w:rPr>
          <w:rFonts w:ascii="Arial" w:hAnsi="Arial" w:cs="Arial"/>
          <w:color w:val="0070C0"/>
          <w:sz w:val="24"/>
          <w:szCs w:val="24"/>
        </w:rPr>
        <w:t>16</w:t>
      </w:r>
      <w:r w:rsidRPr="008B6F3C">
        <w:rPr>
          <w:rFonts w:ascii="Arial" w:hAnsi="Arial" w:cs="Arial"/>
          <w:color w:val="0070C0"/>
          <w:sz w:val="24"/>
          <w:szCs w:val="24"/>
        </w:rPr>
        <w:t>,</w:t>
      </w:r>
      <w:r w:rsidR="007C103A" w:rsidRPr="008B6F3C">
        <w:rPr>
          <w:rFonts w:ascii="Arial" w:hAnsi="Arial" w:cs="Arial"/>
          <w:color w:val="0070C0"/>
          <w:sz w:val="24"/>
          <w:szCs w:val="24"/>
        </w:rPr>
        <w:t>17</w:t>
      </w:r>
      <w:r w:rsidRPr="008B6F3C">
        <w:rPr>
          <w:rFonts w:ascii="Arial" w:hAnsi="Arial" w:cs="Arial"/>
          <w:color w:val="000000" w:themeColor="text1"/>
          <w:sz w:val="24"/>
          <w:szCs w:val="24"/>
        </w:rPr>
        <w:t>].</w:t>
      </w:r>
    </w:p>
    <w:p w14:paraId="30A7B60B" w14:textId="1F342F11"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lastRenderedPageBreak/>
        <w:t>The absence of significant spectral shifts (bathochromic or hypsochromic) indicates that serotonin is not deeply embedded in the hydrophobic core but is instead located in the interfacial region of the micelle. This is typical for amphiphilic molecules containing both aromatic and polar functional groups and is consistent with previous micellar photochemistry studies [</w:t>
      </w:r>
      <w:r w:rsidR="007C103A" w:rsidRPr="008B6F3C">
        <w:rPr>
          <w:rFonts w:ascii="Arial" w:hAnsi="Arial" w:cs="Arial"/>
          <w:color w:val="0070C0"/>
          <w:sz w:val="24"/>
          <w:szCs w:val="24"/>
        </w:rPr>
        <w:t>15</w:t>
      </w:r>
      <w:r w:rsidRPr="008B6F3C">
        <w:rPr>
          <w:rFonts w:ascii="Arial" w:hAnsi="Arial" w:cs="Arial"/>
          <w:color w:val="000000" w:themeColor="text1"/>
          <w:sz w:val="24"/>
          <w:szCs w:val="24"/>
        </w:rPr>
        <w:t>].</w:t>
      </w:r>
    </w:p>
    <w:p w14:paraId="2CFF7FA4" w14:textId="77777777"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From an analytical perspective, the strong fluorescence enhancement with Brij 700 makes it the most suitable micellar system for quantitative serotonin determination. The nearly fourfold increase in signal compared to the least responsive system (CTAC) directly improves sensitivity and lowers detection limits. Moreover, the stability and neutrality of Brij 700 minimize ionic interferences and ensure reproducibility in complex matrices such as urine.</w:t>
      </w:r>
    </w:p>
    <w:p w14:paraId="60D08088" w14:textId="60776040"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Overall, these spectral studies demonstrate that micellar media significantly enhance serotonin’s fluorescence without altering its fundamental photophysical characteristics. The enhancement is primarily due to reduced solvent quenching, restricted molecular motion, and favorable stabilization within the micellar structure, consistent with established principles of fluorescence spectroscopy and micellar photochemistry [</w:t>
      </w:r>
      <w:r w:rsidRPr="008B6F3C">
        <w:rPr>
          <w:rFonts w:ascii="Arial" w:hAnsi="Arial" w:cs="Arial"/>
          <w:color w:val="0070C0"/>
          <w:sz w:val="24"/>
          <w:szCs w:val="24"/>
        </w:rPr>
        <w:t>1</w:t>
      </w:r>
      <w:r w:rsidR="007C103A" w:rsidRPr="008B6F3C">
        <w:rPr>
          <w:rFonts w:ascii="Arial" w:hAnsi="Arial" w:cs="Arial"/>
          <w:color w:val="0070C0"/>
          <w:sz w:val="24"/>
          <w:szCs w:val="24"/>
        </w:rPr>
        <w:t>2</w:t>
      </w:r>
      <w:r w:rsidRPr="008B6F3C">
        <w:rPr>
          <w:rFonts w:ascii="Arial" w:hAnsi="Arial" w:cs="Arial"/>
          <w:color w:val="0070C0"/>
          <w:sz w:val="24"/>
          <w:szCs w:val="24"/>
        </w:rPr>
        <w:t>–</w:t>
      </w:r>
      <w:r w:rsidR="007C103A" w:rsidRPr="008B6F3C">
        <w:rPr>
          <w:rFonts w:ascii="Arial" w:hAnsi="Arial" w:cs="Arial"/>
          <w:color w:val="0070C0"/>
          <w:sz w:val="24"/>
          <w:szCs w:val="24"/>
        </w:rPr>
        <w:t>17</w:t>
      </w:r>
      <w:r w:rsidRPr="008B6F3C">
        <w:rPr>
          <w:rFonts w:ascii="Arial" w:hAnsi="Arial" w:cs="Arial"/>
          <w:color w:val="000000" w:themeColor="text1"/>
          <w:sz w:val="24"/>
          <w:szCs w:val="24"/>
        </w:rPr>
        <w:t>].</w:t>
      </w:r>
    </w:p>
    <w:p w14:paraId="232FA32E" w14:textId="77777777" w:rsidR="00776B4C" w:rsidRPr="008B6F3C" w:rsidRDefault="00776B4C" w:rsidP="0097495D">
      <w:pPr>
        <w:tabs>
          <w:tab w:val="left" w:pos="142"/>
        </w:tabs>
        <w:spacing w:after="0" w:line="360" w:lineRule="auto"/>
        <w:jc w:val="both"/>
        <w:rPr>
          <w:rFonts w:ascii="Arial" w:hAnsi="Arial" w:cs="Arial"/>
          <w:b/>
          <w:bCs/>
          <w:color w:val="000000" w:themeColor="text1"/>
          <w:sz w:val="24"/>
          <w:szCs w:val="24"/>
        </w:rPr>
      </w:pPr>
      <w:r w:rsidRPr="008B6F3C">
        <w:rPr>
          <w:rFonts w:ascii="Arial" w:hAnsi="Arial" w:cs="Arial"/>
          <w:b/>
          <w:bCs/>
          <w:color w:val="000000" w:themeColor="text1"/>
          <w:sz w:val="24"/>
          <w:szCs w:val="24"/>
        </w:rPr>
        <w:t>3.2 Effect of Micellar Concentration</w:t>
      </w:r>
    </w:p>
    <w:p w14:paraId="7593D2B5" w14:textId="60D614E5" w:rsidR="00776B4C" w:rsidRPr="008B6F3C" w:rsidRDefault="00776B4C" w:rsidP="0097495D">
      <w:pPr>
        <w:tabs>
          <w:tab w:val="left" w:pos="142"/>
        </w:tabs>
        <w:spacing w:after="0" w:line="360" w:lineRule="auto"/>
        <w:ind w:firstLine="708"/>
        <w:jc w:val="both"/>
        <w:rPr>
          <w:rFonts w:ascii="Arial" w:hAnsi="Arial" w:cs="Arial"/>
          <w:color w:val="000000" w:themeColor="text1"/>
          <w:sz w:val="24"/>
          <w:szCs w:val="24"/>
        </w:rPr>
      </w:pPr>
      <w:r w:rsidRPr="008B6F3C">
        <w:rPr>
          <w:rFonts w:ascii="Arial" w:hAnsi="Arial" w:cs="Arial"/>
          <w:color w:val="000000" w:themeColor="text1"/>
          <w:sz w:val="24"/>
          <w:szCs w:val="24"/>
        </w:rPr>
        <w:t>The influence of surfactant concentration on the fluorescence intensity of serotonin (5-HT,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 xml:space="preserve">⁷ M) was systematically investigated to determine optimal analytical conditions. </w:t>
      </w:r>
      <w:r w:rsidRPr="008B6F3C">
        <w:rPr>
          <w:rFonts w:ascii="Arial" w:hAnsi="Arial" w:cs="Arial"/>
          <w:color w:val="0070C0"/>
          <w:sz w:val="24"/>
          <w:szCs w:val="24"/>
        </w:rPr>
        <w:t xml:space="preserve">Figure </w:t>
      </w:r>
      <w:r w:rsidR="00A96042" w:rsidRPr="008B6F3C">
        <w:rPr>
          <w:rFonts w:ascii="Arial" w:hAnsi="Arial" w:cs="Arial"/>
          <w:color w:val="0070C0"/>
          <w:sz w:val="24"/>
          <w:szCs w:val="24"/>
        </w:rPr>
        <w:t>2</w:t>
      </w:r>
      <w:r w:rsidRPr="008B6F3C">
        <w:rPr>
          <w:rFonts w:ascii="Arial" w:hAnsi="Arial" w:cs="Arial"/>
          <w:color w:val="000000" w:themeColor="text1"/>
          <w:sz w:val="24"/>
          <w:szCs w:val="24"/>
        </w:rPr>
        <w:t xml:space="preserve"> presents the variation of fluorescence intensity as a function of micellar concentration for the four studied </w:t>
      </w:r>
      <w:proofErr w:type="gramStart"/>
      <w:r w:rsidRPr="008B6F3C">
        <w:rPr>
          <w:rFonts w:ascii="Arial" w:hAnsi="Arial" w:cs="Arial"/>
          <w:color w:val="000000" w:themeColor="text1"/>
          <w:sz w:val="24"/>
          <w:szCs w:val="24"/>
        </w:rPr>
        <w:t>systems:</w:t>
      </w:r>
      <w:proofErr w:type="gramEnd"/>
      <w:r w:rsidRPr="008B6F3C">
        <w:rPr>
          <w:rFonts w:ascii="Arial" w:hAnsi="Arial" w:cs="Arial"/>
          <w:color w:val="000000" w:themeColor="text1"/>
          <w:sz w:val="24"/>
          <w:szCs w:val="24"/>
        </w:rPr>
        <w:t xml:space="preserve"> Brij 700, SDS, CTAC, and CTAOH. Despite differences in charge and structure, all surfactants exhibited a similar qualitative behavior, reflecting the fundamental mechanism of micelle formation and solubilization. The surfactant concentrations studied </w:t>
      </w:r>
      <w:proofErr w:type="gramStart"/>
      <w:r w:rsidRPr="008B6F3C">
        <w:rPr>
          <w:rFonts w:ascii="Arial" w:hAnsi="Arial" w:cs="Arial"/>
          <w:color w:val="000000" w:themeColor="text1"/>
          <w:sz w:val="24"/>
          <w:szCs w:val="24"/>
        </w:rPr>
        <w:t>were:</w:t>
      </w:r>
      <w:proofErr w:type="gramEnd"/>
      <w:r w:rsidRPr="008B6F3C">
        <w:rPr>
          <w:rFonts w:ascii="Arial" w:hAnsi="Arial" w:cs="Arial"/>
          <w:color w:val="000000" w:themeColor="text1"/>
          <w:sz w:val="24"/>
          <w:szCs w:val="24"/>
        </w:rPr>
        <w:t xml:space="preserve"> [CTAC] = 2 ×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³ M, [SDS] = 6 ×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² M, [Brij 700] = 2 ×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³ M, and [CTAOH] = 4 ×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³ M.</w:t>
      </w:r>
    </w:p>
    <w:p w14:paraId="2FC70B76" w14:textId="603C81AF" w:rsidR="00A96042" w:rsidRPr="008B6F3C" w:rsidRDefault="00A96042" w:rsidP="0097495D">
      <w:pPr>
        <w:tabs>
          <w:tab w:val="left" w:pos="142"/>
        </w:tabs>
        <w:spacing w:after="0" w:line="240" w:lineRule="auto"/>
        <w:jc w:val="both"/>
        <w:rPr>
          <w:rFonts w:ascii="Arial" w:hAnsi="Arial" w:cs="Arial"/>
          <w:color w:val="000000" w:themeColor="text1"/>
          <w:sz w:val="24"/>
          <w:szCs w:val="24"/>
        </w:rPr>
      </w:pPr>
      <w:r w:rsidRPr="008B6F3C">
        <w:rPr>
          <w:rFonts w:ascii="Arial" w:hAnsi="Arial" w:cs="Arial"/>
          <w:noProof/>
          <w:color w:val="000000" w:themeColor="text1"/>
          <w:sz w:val="24"/>
          <w:szCs w:val="24"/>
        </w:rPr>
        <w:lastRenderedPageBreak/>
        <w:drawing>
          <wp:inline distT="0" distB="0" distL="0" distR="0" wp14:anchorId="0C47FF41" wp14:editId="61A71EB0">
            <wp:extent cx="5760720" cy="2095500"/>
            <wp:effectExtent l="0" t="0" r="0" b="0"/>
            <wp:docPr id="21190793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079388" name=""/>
                    <pic:cNvPicPr/>
                  </pic:nvPicPr>
                  <pic:blipFill>
                    <a:blip r:embed="rId9"/>
                    <a:stretch>
                      <a:fillRect/>
                    </a:stretch>
                  </pic:blipFill>
                  <pic:spPr>
                    <a:xfrm>
                      <a:off x="0" y="0"/>
                      <a:ext cx="5760720" cy="2095500"/>
                    </a:xfrm>
                    <a:prstGeom prst="rect">
                      <a:avLst/>
                    </a:prstGeom>
                  </pic:spPr>
                </pic:pic>
              </a:graphicData>
            </a:graphic>
          </wp:inline>
        </w:drawing>
      </w:r>
    </w:p>
    <w:p w14:paraId="3A70A4A3" w14:textId="5B2ADB82"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b/>
          <w:bCs/>
          <w:color w:val="000000" w:themeColor="text1"/>
          <w:sz w:val="24"/>
          <w:szCs w:val="24"/>
        </w:rPr>
        <w:t xml:space="preserve">Figure </w:t>
      </w:r>
      <w:proofErr w:type="gramStart"/>
      <w:r w:rsidRPr="008B6F3C">
        <w:rPr>
          <w:rFonts w:ascii="Arial" w:hAnsi="Arial" w:cs="Arial"/>
          <w:b/>
          <w:bCs/>
          <w:color w:val="000000" w:themeColor="text1"/>
          <w:sz w:val="24"/>
          <w:szCs w:val="24"/>
        </w:rPr>
        <w:t>2</w:t>
      </w:r>
      <w:r w:rsidRPr="008B6F3C">
        <w:rPr>
          <w:rFonts w:ascii="Arial" w:hAnsi="Arial" w:cs="Arial"/>
          <w:color w:val="000000" w:themeColor="text1"/>
          <w:sz w:val="24"/>
          <w:szCs w:val="24"/>
        </w:rPr>
        <w:t>:</w:t>
      </w:r>
      <w:proofErr w:type="gramEnd"/>
      <w:r w:rsidRPr="008B6F3C">
        <w:rPr>
          <w:rFonts w:ascii="Arial" w:hAnsi="Arial" w:cs="Arial"/>
          <w:color w:val="000000" w:themeColor="text1"/>
          <w:sz w:val="24"/>
          <w:szCs w:val="24"/>
        </w:rPr>
        <w:t xml:space="preserve"> Effect of micelle concentration on the fluorescence signal of 5-HT (10-7M): (a)-Brij 700; (b)-CTAC; (c)-CTAOH and (d) (SDS).</w:t>
      </w:r>
    </w:p>
    <w:p w14:paraId="648B4E7C" w14:textId="77777777" w:rsidR="007C103A" w:rsidRPr="008B6F3C" w:rsidRDefault="007C103A" w:rsidP="0097495D">
      <w:pPr>
        <w:tabs>
          <w:tab w:val="left" w:pos="142"/>
        </w:tabs>
        <w:spacing w:after="0" w:line="240" w:lineRule="auto"/>
        <w:jc w:val="center"/>
        <w:rPr>
          <w:rFonts w:ascii="Arial" w:hAnsi="Arial" w:cs="Arial"/>
          <w:color w:val="000000" w:themeColor="text1"/>
          <w:sz w:val="24"/>
          <w:szCs w:val="24"/>
        </w:rPr>
      </w:pPr>
    </w:p>
    <w:p w14:paraId="43075008" w14:textId="65259D7D" w:rsidR="00776B4C" w:rsidRPr="008B6F3C" w:rsidRDefault="00776B4C" w:rsidP="0097495D">
      <w:pPr>
        <w:tabs>
          <w:tab w:val="left" w:pos="142"/>
        </w:tabs>
        <w:spacing w:after="0" w:line="360" w:lineRule="auto"/>
        <w:ind w:firstLine="708"/>
        <w:jc w:val="both"/>
        <w:rPr>
          <w:rFonts w:ascii="Arial" w:hAnsi="Arial" w:cs="Arial"/>
          <w:color w:val="000000" w:themeColor="text1"/>
          <w:sz w:val="24"/>
          <w:szCs w:val="24"/>
        </w:rPr>
      </w:pPr>
      <w:r w:rsidRPr="008B6F3C">
        <w:rPr>
          <w:rFonts w:ascii="Arial" w:hAnsi="Arial" w:cs="Arial"/>
          <w:color w:val="000000" w:themeColor="text1"/>
          <w:sz w:val="24"/>
          <w:szCs w:val="24"/>
        </w:rPr>
        <w:t>At concentrations well below the critical micelle concentration (CMC), fluorescence intensity remained low and nearly constant. In this region, surfactant molecules exist mainly as monomers dispersed randomly in the aqueous phase. Under these conditions, serotonin molecules are fully exposed to the polar solvent, where hydrogen bonding and collisional quenching dominate the deactivation of the excited state. No organized hydrophobic domains are available to provide a protective microenvironment for the fluorophore [</w:t>
      </w:r>
      <w:r w:rsidRPr="008B6F3C">
        <w:rPr>
          <w:rFonts w:ascii="Arial" w:hAnsi="Arial" w:cs="Arial"/>
          <w:color w:val="0070C0"/>
          <w:sz w:val="24"/>
          <w:szCs w:val="24"/>
        </w:rPr>
        <w:t>1</w:t>
      </w:r>
      <w:r w:rsidR="007C103A" w:rsidRPr="008B6F3C">
        <w:rPr>
          <w:rFonts w:ascii="Arial" w:hAnsi="Arial" w:cs="Arial"/>
          <w:color w:val="0070C0"/>
          <w:sz w:val="24"/>
          <w:szCs w:val="24"/>
        </w:rPr>
        <w:t>8</w:t>
      </w:r>
      <w:r w:rsidRPr="008B6F3C">
        <w:rPr>
          <w:rFonts w:ascii="Arial" w:hAnsi="Arial" w:cs="Arial"/>
          <w:color w:val="0070C0"/>
          <w:sz w:val="24"/>
          <w:szCs w:val="24"/>
        </w:rPr>
        <w:t>,</w:t>
      </w:r>
      <w:r w:rsidR="007C103A" w:rsidRPr="008B6F3C">
        <w:rPr>
          <w:rFonts w:ascii="Arial" w:hAnsi="Arial" w:cs="Arial"/>
          <w:color w:val="0070C0"/>
          <w:sz w:val="24"/>
          <w:szCs w:val="24"/>
        </w:rPr>
        <w:t>19</w:t>
      </w:r>
      <w:r w:rsidRPr="008B6F3C">
        <w:rPr>
          <w:rFonts w:ascii="Arial" w:hAnsi="Arial" w:cs="Arial"/>
          <w:color w:val="000000" w:themeColor="text1"/>
          <w:sz w:val="24"/>
          <w:szCs w:val="24"/>
        </w:rPr>
        <w:t>].</w:t>
      </w:r>
    </w:p>
    <w:p w14:paraId="0A961A80" w14:textId="77777777"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As the surfactant concentration approaches the CMC, only minor changes in fluorescence are observed until micellization begins. Near the CMC, monomers self-assemble into approximately spherical micelles driven by hydrophobic interactions among alkyl chains. This aggregation creates distinct microdomains with lower polarity and reduced solvent accessibility. At this transition, a sharp increase in fluorescence intensity is observed, confirming the onset of micelle formation and indicating that serotonin molecules are increasingly incorporated into the micellar pseudophase.</w:t>
      </w:r>
    </w:p>
    <w:p w14:paraId="3B8360F0" w14:textId="77BC91A7"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 xml:space="preserve">This abrupt signal rise can be interpreted as a partitioning </w:t>
      </w:r>
      <w:proofErr w:type="gramStart"/>
      <w:r w:rsidRPr="008B6F3C">
        <w:rPr>
          <w:rFonts w:ascii="Arial" w:hAnsi="Arial" w:cs="Arial"/>
          <w:color w:val="000000" w:themeColor="text1"/>
          <w:sz w:val="24"/>
          <w:szCs w:val="24"/>
        </w:rPr>
        <w:t>phenomenon:</w:t>
      </w:r>
      <w:proofErr w:type="gramEnd"/>
      <w:r w:rsidRPr="008B6F3C">
        <w:rPr>
          <w:rFonts w:ascii="Arial" w:hAnsi="Arial" w:cs="Arial"/>
          <w:color w:val="000000" w:themeColor="text1"/>
          <w:sz w:val="24"/>
          <w:szCs w:val="24"/>
        </w:rPr>
        <w:t xml:space="preserve"> serotonin redistributes between the aqueous and micellar phases. According to the pseudophase model commonly applied in micellar photochemistry, fluorescence intensity becomes proportional to the fraction of analyte bound to micelles [</w:t>
      </w:r>
      <w:r w:rsidRPr="008B6F3C">
        <w:rPr>
          <w:rFonts w:ascii="Arial" w:hAnsi="Arial" w:cs="Arial"/>
          <w:color w:val="0070C0"/>
          <w:sz w:val="24"/>
          <w:szCs w:val="24"/>
        </w:rPr>
        <w:t>1</w:t>
      </w:r>
      <w:r w:rsidR="007C103A" w:rsidRPr="008B6F3C">
        <w:rPr>
          <w:rFonts w:ascii="Arial" w:hAnsi="Arial" w:cs="Arial"/>
          <w:color w:val="0070C0"/>
          <w:sz w:val="24"/>
          <w:szCs w:val="24"/>
        </w:rPr>
        <w:t>8</w:t>
      </w:r>
      <w:r w:rsidRPr="008B6F3C">
        <w:rPr>
          <w:rFonts w:ascii="Arial" w:hAnsi="Arial" w:cs="Arial"/>
          <w:color w:val="0070C0"/>
          <w:sz w:val="24"/>
          <w:szCs w:val="24"/>
        </w:rPr>
        <w:t>,</w:t>
      </w:r>
      <w:r w:rsidR="007C103A" w:rsidRPr="008B6F3C">
        <w:rPr>
          <w:rFonts w:ascii="Arial" w:hAnsi="Arial" w:cs="Arial"/>
          <w:color w:val="0070C0"/>
          <w:sz w:val="24"/>
          <w:szCs w:val="24"/>
        </w:rPr>
        <w:t>20</w:t>
      </w:r>
      <w:r w:rsidRPr="008B6F3C">
        <w:rPr>
          <w:rFonts w:ascii="Arial" w:hAnsi="Arial" w:cs="Arial"/>
          <w:color w:val="000000" w:themeColor="text1"/>
          <w:sz w:val="24"/>
          <w:szCs w:val="24"/>
        </w:rPr>
        <w:t>]. The less polar microenvironment reduces non-radiative relaxation, restricts rotational and vibrational motions, and limits solvent-induced quenching. Similar sigmoidal fluorescence-versus-concentration profiles have been reported for aromatic and pharmaceutical compounds in both ionic and nonionic micelles [</w:t>
      </w:r>
      <w:r w:rsidR="007C103A" w:rsidRPr="008B6F3C">
        <w:rPr>
          <w:rFonts w:ascii="Arial" w:hAnsi="Arial" w:cs="Arial"/>
          <w:color w:val="0070C0"/>
          <w:sz w:val="24"/>
          <w:szCs w:val="24"/>
        </w:rPr>
        <w:t>20</w:t>
      </w:r>
      <w:r w:rsidRPr="008B6F3C">
        <w:rPr>
          <w:rFonts w:ascii="Arial" w:hAnsi="Arial" w:cs="Arial"/>
          <w:color w:val="0070C0"/>
          <w:sz w:val="24"/>
          <w:szCs w:val="24"/>
        </w:rPr>
        <w:t>,</w:t>
      </w:r>
      <w:r w:rsidR="007C103A" w:rsidRPr="008B6F3C">
        <w:rPr>
          <w:rFonts w:ascii="Arial" w:hAnsi="Arial" w:cs="Arial"/>
          <w:color w:val="0070C0"/>
          <w:sz w:val="24"/>
          <w:szCs w:val="24"/>
        </w:rPr>
        <w:t>21</w:t>
      </w:r>
      <w:r w:rsidRPr="008B6F3C">
        <w:rPr>
          <w:rFonts w:ascii="Arial" w:hAnsi="Arial" w:cs="Arial"/>
          <w:color w:val="000000" w:themeColor="text1"/>
          <w:sz w:val="24"/>
          <w:szCs w:val="24"/>
        </w:rPr>
        <w:t>].</w:t>
      </w:r>
    </w:p>
    <w:p w14:paraId="3A2AB91F" w14:textId="77777777"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 xml:space="preserve">Once surfactant concentrations exceed the CMC, micelle numbers increase significantly, and a dynamic equilibrium is established between free and micelle-bound </w:t>
      </w:r>
      <w:r w:rsidRPr="008B6F3C">
        <w:rPr>
          <w:rFonts w:ascii="Arial" w:hAnsi="Arial" w:cs="Arial"/>
          <w:color w:val="000000" w:themeColor="text1"/>
          <w:sz w:val="24"/>
          <w:szCs w:val="24"/>
        </w:rPr>
        <w:lastRenderedPageBreak/>
        <w:t>serotonin molecules. Beyond this point, fluorescence intensity rises only slightly and eventually reaches a plateau, reflecting a steady-state distribution. The plateau indicates that most serotonin molecules are already incorporated into micelles, and additional surfactant mainly increases the number of unoccupied micelles rather than the fraction of bound analyte.</w:t>
      </w:r>
    </w:p>
    <w:p w14:paraId="140C9D40" w14:textId="63A030C5"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Quantitative differences among surfactants were observed despite the similar qualitative trends. Optimal analytical concentrations were determined as 2 ×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³ M for Brij 700, 6 ×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² M for SDS, 2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³ M for CTAC, and 4 ×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³ M for CTAOH. These values are moderately above the CMC, ensuring complete micelle formation while avoiding excess surfactant that could cause inner filter effects or viscosity-related artifacts.</w:t>
      </w:r>
    </w:p>
    <w:p w14:paraId="42F96290" w14:textId="4D056929"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The higher optimal concentration for SDS reflects its specific CMC and the electrostatic nature of micellization. Ionic surfactants generally have higher CMCs than nonionic ones due to repulsion between charged head groups, which must be partially screened before stable micelles form [</w:t>
      </w:r>
      <w:r w:rsidR="00F527FA" w:rsidRPr="008B6F3C">
        <w:rPr>
          <w:rFonts w:ascii="Arial" w:hAnsi="Arial" w:cs="Arial"/>
          <w:color w:val="0070C0"/>
          <w:sz w:val="24"/>
          <w:szCs w:val="24"/>
        </w:rPr>
        <w:t>19</w:t>
      </w:r>
      <w:r w:rsidRPr="008B6F3C">
        <w:rPr>
          <w:rFonts w:ascii="Arial" w:hAnsi="Arial" w:cs="Arial"/>
          <w:color w:val="000000" w:themeColor="text1"/>
          <w:sz w:val="24"/>
          <w:szCs w:val="24"/>
        </w:rPr>
        <w:t>]. Nonionic surfactants like Brij 700 have lower CMCs, as micellization is primarily driven by hydrophobic interactions without electrostatic penalties.</w:t>
      </w:r>
    </w:p>
    <w:p w14:paraId="7446FEA2" w14:textId="7432EECE"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Electrostatic interactions also modulate fluorescence enhancement. In SDS, favorable attraction between negatively charged sulfate groups and protonated serotonin facilitates binding, though high ionic strength can partially screen this interaction at elevated concentrations. For cationic surfactants (CTAC, CTAOH), repulsion with protonated serotonin reduces incorporation efficiency, explaining their more moderate enhancement. In Brij 700, the absence of charge allows optimal hydrophobic and hydrogen-bonding interactions in the micelle’s palisade layer, leading to efficient signal amplification [</w:t>
      </w:r>
      <w:r w:rsidR="007C103A" w:rsidRPr="008B6F3C">
        <w:rPr>
          <w:rFonts w:ascii="Arial" w:hAnsi="Arial" w:cs="Arial"/>
          <w:color w:val="0070C0"/>
          <w:sz w:val="24"/>
          <w:szCs w:val="24"/>
        </w:rPr>
        <w:t>20</w:t>
      </w:r>
      <w:r w:rsidRPr="008B6F3C">
        <w:rPr>
          <w:rFonts w:ascii="Arial" w:hAnsi="Arial" w:cs="Arial"/>
          <w:color w:val="0070C0"/>
          <w:sz w:val="24"/>
          <w:szCs w:val="24"/>
        </w:rPr>
        <w:t>,</w:t>
      </w:r>
      <w:r w:rsidR="007C103A" w:rsidRPr="008B6F3C">
        <w:rPr>
          <w:rFonts w:ascii="Arial" w:hAnsi="Arial" w:cs="Arial"/>
          <w:color w:val="0070C0"/>
          <w:sz w:val="24"/>
          <w:szCs w:val="24"/>
        </w:rPr>
        <w:t>21</w:t>
      </w:r>
      <w:r w:rsidRPr="008B6F3C">
        <w:rPr>
          <w:rFonts w:ascii="Arial" w:hAnsi="Arial" w:cs="Arial"/>
          <w:color w:val="000000" w:themeColor="text1"/>
          <w:sz w:val="24"/>
          <w:szCs w:val="24"/>
        </w:rPr>
        <w:t>].</w:t>
      </w:r>
    </w:p>
    <w:p w14:paraId="62A38243" w14:textId="77777777"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From an analytical standpoint, identifying the optimal micellar concentration is crucial for maximizing sensitivity, reproducibility, and method robustness. Operating slightly above the CMC ensures stable micelle formation and minimizes fluctuations due to minor compositional variations. The selected concentrations were therefore applied in all subsequent experiments, including calibration, thermodynamic studies, and urine sample analysis.</w:t>
      </w:r>
    </w:p>
    <w:p w14:paraId="35C93675" w14:textId="1F25350F"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 xml:space="preserve">Overall, the study confirms that fluorescence enhancement of serotonin is directly associated with micelle formation and analyte partitioning into the organized </w:t>
      </w:r>
      <w:r w:rsidRPr="008B6F3C">
        <w:rPr>
          <w:rFonts w:ascii="Arial" w:hAnsi="Arial" w:cs="Arial"/>
          <w:color w:val="000000" w:themeColor="text1"/>
          <w:sz w:val="24"/>
          <w:szCs w:val="24"/>
        </w:rPr>
        <w:lastRenderedPageBreak/>
        <w:t>pseudophase. This behavior aligns with established micellar solubilization theory and known mechanisms of micelle-mediated fluorescence enhancement [</w:t>
      </w:r>
      <w:r w:rsidRPr="008B6F3C">
        <w:rPr>
          <w:rFonts w:ascii="Arial" w:hAnsi="Arial" w:cs="Arial"/>
          <w:color w:val="0070C0"/>
          <w:sz w:val="24"/>
          <w:szCs w:val="24"/>
        </w:rPr>
        <w:t>1</w:t>
      </w:r>
      <w:r w:rsidR="007C103A" w:rsidRPr="008B6F3C">
        <w:rPr>
          <w:rFonts w:ascii="Arial" w:hAnsi="Arial" w:cs="Arial"/>
          <w:color w:val="0070C0"/>
          <w:sz w:val="24"/>
          <w:szCs w:val="24"/>
        </w:rPr>
        <w:t>8</w:t>
      </w:r>
      <w:r w:rsidRPr="008B6F3C">
        <w:rPr>
          <w:rFonts w:ascii="Arial" w:hAnsi="Arial" w:cs="Arial"/>
          <w:color w:val="0070C0"/>
          <w:sz w:val="24"/>
          <w:szCs w:val="24"/>
        </w:rPr>
        <w:t>–</w:t>
      </w:r>
      <w:r w:rsidR="007C103A" w:rsidRPr="008B6F3C">
        <w:rPr>
          <w:rFonts w:ascii="Arial" w:hAnsi="Arial" w:cs="Arial"/>
          <w:color w:val="0070C0"/>
          <w:sz w:val="24"/>
          <w:szCs w:val="24"/>
        </w:rPr>
        <w:t>21</w:t>
      </w:r>
      <w:r w:rsidRPr="008B6F3C">
        <w:rPr>
          <w:rFonts w:ascii="Arial" w:hAnsi="Arial" w:cs="Arial"/>
          <w:color w:val="000000" w:themeColor="text1"/>
          <w:sz w:val="24"/>
          <w:szCs w:val="24"/>
        </w:rPr>
        <w:t>].</w:t>
      </w:r>
    </w:p>
    <w:p w14:paraId="531FDF03" w14:textId="77777777" w:rsidR="0047303F" w:rsidRPr="008B6F3C" w:rsidRDefault="0047303F" w:rsidP="0097495D">
      <w:pPr>
        <w:tabs>
          <w:tab w:val="left" w:pos="142"/>
        </w:tabs>
        <w:spacing w:after="0" w:line="360" w:lineRule="auto"/>
        <w:jc w:val="both"/>
        <w:rPr>
          <w:rFonts w:ascii="Arial" w:hAnsi="Arial" w:cs="Arial"/>
          <w:color w:val="000000" w:themeColor="text1"/>
          <w:sz w:val="24"/>
          <w:szCs w:val="24"/>
        </w:rPr>
      </w:pPr>
    </w:p>
    <w:p w14:paraId="067700E8" w14:textId="77777777" w:rsidR="00776B4C" w:rsidRPr="008B6F3C" w:rsidRDefault="00776B4C" w:rsidP="0097495D">
      <w:pPr>
        <w:tabs>
          <w:tab w:val="left" w:pos="142"/>
        </w:tabs>
        <w:spacing w:after="0" w:line="360" w:lineRule="auto"/>
        <w:jc w:val="both"/>
        <w:rPr>
          <w:rFonts w:ascii="Arial" w:hAnsi="Arial" w:cs="Arial"/>
          <w:b/>
          <w:bCs/>
          <w:color w:val="000000" w:themeColor="text1"/>
          <w:sz w:val="24"/>
          <w:szCs w:val="24"/>
        </w:rPr>
      </w:pPr>
      <w:r w:rsidRPr="008B6F3C">
        <w:rPr>
          <w:rFonts w:ascii="Arial" w:hAnsi="Arial" w:cs="Arial"/>
          <w:b/>
          <w:bCs/>
          <w:color w:val="000000" w:themeColor="text1"/>
          <w:sz w:val="24"/>
          <w:szCs w:val="24"/>
        </w:rPr>
        <w:t>3.3 Effect of pH in Micellar Media</w:t>
      </w:r>
    </w:p>
    <w:p w14:paraId="1E6A8300" w14:textId="22553DB5" w:rsidR="00776B4C" w:rsidRPr="008B6F3C" w:rsidRDefault="00776B4C" w:rsidP="0097495D">
      <w:pPr>
        <w:tabs>
          <w:tab w:val="left" w:pos="142"/>
        </w:tabs>
        <w:spacing w:after="0" w:line="360" w:lineRule="auto"/>
        <w:ind w:firstLine="708"/>
        <w:jc w:val="both"/>
        <w:rPr>
          <w:rFonts w:ascii="Arial" w:hAnsi="Arial" w:cs="Arial"/>
          <w:color w:val="000000" w:themeColor="text1"/>
          <w:sz w:val="24"/>
          <w:szCs w:val="24"/>
        </w:rPr>
      </w:pPr>
      <w:r w:rsidRPr="008B6F3C">
        <w:rPr>
          <w:rFonts w:ascii="Arial" w:hAnsi="Arial" w:cs="Arial"/>
          <w:color w:val="000000" w:themeColor="text1"/>
          <w:sz w:val="24"/>
          <w:szCs w:val="24"/>
        </w:rPr>
        <w:t>The effect of pH on the fluorescence response of serotonin (5-HT,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⁷ M) was investigated to identify optimal working conditions and to understand the role of protonation equilibria in micellar systems. The fluorescence properties of organic compounds, especially those containing heteroatoms or ionizable groups, are known to be highly sensitive to pH, as protonation can alter electronic distribution, excited-state stability, and non-radiative decay pathways [</w:t>
      </w:r>
      <w:r w:rsidR="007C103A" w:rsidRPr="008B6F3C">
        <w:rPr>
          <w:rFonts w:ascii="Arial" w:hAnsi="Arial" w:cs="Arial"/>
          <w:color w:val="0070C0"/>
          <w:sz w:val="24"/>
          <w:szCs w:val="24"/>
        </w:rPr>
        <w:t>22</w:t>
      </w:r>
      <w:r w:rsidRPr="008B6F3C">
        <w:rPr>
          <w:rFonts w:ascii="Arial" w:hAnsi="Arial" w:cs="Arial"/>
          <w:color w:val="0070C0"/>
          <w:sz w:val="24"/>
          <w:szCs w:val="24"/>
        </w:rPr>
        <w:t>,2</w:t>
      </w:r>
      <w:r w:rsidR="007C103A" w:rsidRPr="008B6F3C">
        <w:rPr>
          <w:rFonts w:ascii="Arial" w:hAnsi="Arial" w:cs="Arial"/>
          <w:color w:val="0070C0"/>
          <w:sz w:val="24"/>
          <w:szCs w:val="24"/>
        </w:rPr>
        <w:t>3</w:t>
      </w:r>
      <w:r w:rsidRPr="008B6F3C">
        <w:rPr>
          <w:rFonts w:ascii="Arial" w:hAnsi="Arial" w:cs="Arial"/>
          <w:color w:val="000000" w:themeColor="text1"/>
          <w:sz w:val="24"/>
          <w:szCs w:val="24"/>
        </w:rPr>
        <w:t>].</w:t>
      </w:r>
    </w:p>
    <w:p w14:paraId="77304BBF" w14:textId="2FE5325A"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 xml:space="preserve">Serotonin solutions were adjusted to different theoretical pH values using calculated amounts of hydrochloric acid or sodium hydroxide. Fluorescence measurements were performed shortly after preparation to minimize temporal variations. </w:t>
      </w:r>
      <w:r w:rsidRPr="008B6F3C">
        <w:rPr>
          <w:rFonts w:ascii="Arial" w:hAnsi="Arial" w:cs="Arial"/>
          <w:color w:val="0070C0"/>
          <w:sz w:val="24"/>
          <w:szCs w:val="24"/>
        </w:rPr>
        <w:t xml:space="preserve">Figure </w:t>
      </w:r>
      <w:r w:rsidR="003F2CBD" w:rsidRPr="008B6F3C">
        <w:rPr>
          <w:rFonts w:ascii="Arial" w:hAnsi="Arial" w:cs="Arial"/>
          <w:color w:val="0070C0"/>
          <w:sz w:val="24"/>
          <w:szCs w:val="24"/>
        </w:rPr>
        <w:t>3</w:t>
      </w:r>
      <w:r w:rsidRPr="008B6F3C">
        <w:rPr>
          <w:rFonts w:ascii="Arial" w:hAnsi="Arial" w:cs="Arial"/>
          <w:color w:val="000000" w:themeColor="text1"/>
          <w:sz w:val="24"/>
          <w:szCs w:val="24"/>
        </w:rPr>
        <w:t xml:space="preserve"> shows the variation of fluorescence intensity as a function of pH in water and in four micellar systems (SDS, CTAC, CTAOH, and Brij </w:t>
      </w:r>
      <w:proofErr w:type="gramStart"/>
      <w:r w:rsidRPr="008B6F3C">
        <w:rPr>
          <w:rFonts w:ascii="Arial" w:hAnsi="Arial" w:cs="Arial"/>
          <w:color w:val="000000" w:themeColor="text1"/>
          <w:sz w:val="24"/>
          <w:szCs w:val="24"/>
        </w:rPr>
        <w:t>700;</w:t>
      </w:r>
      <w:proofErr w:type="gramEnd"/>
      <w:r w:rsidRPr="008B6F3C">
        <w:rPr>
          <w:rFonts w:ascii="Arial" w:hAnsi="Arial" w:cs="Arial"/>
          <w:color w:val="000000" w:themeColor="text1"/>
          <w:sz w:val="24"/>
          <w:szCs w:val="24"/>
        </w:rPr>
        <w:t xml:space="preserve">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² M).</w:t>
      </w:r>
    </w:p>
    <w:p w14:paraId="12D6D9CC" w14:textId="77777777"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 xml:space="preserve">The experimental data indicate that fluorescence intensity remains high and relatively stable over a broad pH range (approximately 2–10) in all media. This behavior suggests that the emissive form of serotonin is maintained across this protonation domain. Serotonin contains a primary amine group and an indole </w:t>
      </w:r>
      <w:proofErr w:type="gramStart"/>
      <w:r w:rsidRPr="008B6F3C">
        <w:rPr>
          <w:rFonts w:ascii="Arial" w:hAnsi="Arial" w:cs="Arial"/>
          <w:color w:val="000000" w:themeColor="text1"/>
          <w:sz w:val="24"/>
          <w:szCs w:val="24"/>
        </w:rPr>
        <w:t>moiety;</w:t>
      </w:r>
      <w:proofErr w:type="gramEnd"/>
      <w:r w:rsidRPr="008B6F3C">
        <w:rPr>
          <w:rFonts w:ascii="Arial" w:hAnsi="Arial" w:cs="Arial"/>
          <w:color w:val="000000" w:themeColor="text1"/>
          <w:sz w:val="24"/>
          <w:szCs w:val="24"/>
        </w:rPr>
        <w:t xml:space="preserve"> under strongly acidic conditions, the amine is fully protonated, while at alkaline pH partial deprotonation may occur. Within pH 2–10, however, the indole electronic structure, primarily responsible for fluorescence emission, remains intact, resulting in no significant spectral shifts or quenching effects.</w:t>
      </w:r>
    </w:p>
    <w:p w14:paraId="576E20E1" w14:textId="7017D00E"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The micellar environment contributes to this stability by creating a microheterogeneous domain with local polarity and dielectric properties different from bulk water. The palisade layer of micelles can partially shield serotonin from drastic changes in external proton activity, maintaining emission efficiency [</w:t>
      </w:r>
      <w:r w:rsidR="007C103A" w:rsidRPr="008B6F3C">
        <w:rPr>
          <w:rFonts w:ascii="Arial" w:hAnsi="Arial" w:cs="Arial"/>
          <w:color w:val="0070C0"/>
          <w:sz w:val="24"/>
          <w:szCs w:val="24"/>
        </w:rPr>
        <w:t>24</w:t>
      </w:r>
      <w:r w:rsidRPr="008B6F3C">
        <w:rPr>
          <w:rFonts w:ascii="Arial" w:hAnsi="Arial" w:cs="Arial"/>
          <w:color w:val="0070C0"/>
          <w:sz w:val="24"/>
          <w:szCs w:val="24"/>
        </w:rPr>
        <w:t>,</w:t>
      </w:r>
      <w:r w:rsidR="007C103A" w:rsidRPr="008B6F3C">
        <w:rPr>
          <w:rFonts w:ascii="Arial" w:hAnsi="Arial" w:cs="Arial"/>
          <w:color w:val="0070C0"/>
          <w:sz w:val="24"/>
          <w:szCs w:val="24"/>
        </w:rPr>
        <w:t>25</w:t>
      </w:r>
      <w:r w:rsidRPr="008B6F3C">
        <w:rPr>
          <w:rFonts w:ascii="Arial" w:hAnsi="Arial" w:cs="Arial"/>
          <w:color w:val="000000" w:themeColor="text1"/>
          <w:sz w:val="24"/>
          <w:szCs w:val="24"/>
        </w:rPr>
        <w:t>]. In aqueous solutions without surfactant, minor variations at extreme pH values may arise from altered hydrogen bonding or excited-state proton transfer processes, yet the overall intensity remains largely unaffected between pH 2 and 10.</w:t>
      </w:r>
    </w:p>
    <w:p w14:paraId="36F0334D" w14:textId="77777777"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 xml:space="preserve">From an analytical perspective, this pH insensitivity is advantageous. It allows near-neutral conditions for routine measurements, simplifying sample preparation in biological matrices such as urine, and reducing variability due to minor pH fluctuations. Nevertheless, these measurements reflect only short-term pH </w:t>
      </w:r>
      <w:proofErr w:type="gramStart"/>
      <w:r w:rsidRPr="008B6F3C">
        <w:rPr>
          <w:rFonts w:ascii="Arial" w:hAnsi="Arial" w:cs="Arial"/>
          <w:color w:val="000000" w:themeColor="text1"/>
          <w:sz w:val="24"/>
          <w:szCs w:val="24"/>
        </w:rPr>
        <w:t>dependence;</w:t>
      </w:r>
      <w:proofErr w:type="gramEnd"/>
      <w:r w:rsidRPr="008B6F3C">
        <w:rPr>
          <w:rFonts w:ascii="Arial" w:hAnsi="Arial" w:cs="Arial"/>
          <w:color w:val="000000" w:themeColor="text1"/>
          <w:sz w:val="24"/>
          <w:szCs w:val="24"/>
        </w:rPr>
        <w:t xml:space="preserve"> potential </w:t>
      </w:r>
      <w:r w:rsidRPr="008B6F3C">
        <w:rPr>
          <w:rFonts w:ascii="Arial" w:hAnsi="Arial" w:cs="Arial"/>
          <w:color w:val="000000" w:themeColor="text1"/>
          <w:sz w:val="24"/>
          <w:szCs w:val="24"/>
        </w:rPr>
        <w:lastRenderedPageBreak/>
        <w:t>long-term degradation under extreme pH conditions was further evaluated in kinetic studies.</w:t>
      </w:r>
    </w:p>
    <w:p w14:paraId="196D2F67" w14:textId="11A46396"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noProof/>
          <w:color w:val="000000" w:themeColor="text1"/>
          <w:sz w:val="24"/>
          <w:szCs w:val="24"/>
        </w:rPr>
        <w:drawing>
          <wp:inline distT="0" distB="0" distL="0" distR="0" wp14:anchorId="6A8D28B6" wp14:editId="445FC94D">
            <wp:extent cx="4191585" cy="3134162"/>
            <wp:effectExtent l="0" t="0" r="0" b="9525"/>
            <wp:docPr id="7950584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58425" name=""/>
                    <pic:cNvPicPr/>
                  </pic:nvPicPr>
                  <pic:blipFill>
                    <a:blip r:embed="rId10"/>
                    <a:stretch>
                      <a:fillRect/>
                    </a:stretch>
                  </pic:blipFill>
                  <pic:spPr>
                    <a:xfrm>
                      <a:off x="0" y="0"/>
                      <a:ext cx="4191585" cy="3134162"/>
                    </a:xfrm>
                    <a:prstGeom prst="rect">
                      <a:avLst/>
                    </a:prstGeom>
                  </pic:spPr>
                </pic:pic>
              </a:graphicData>
            </a:graphic>
          </wp:inline>
        </w:drawing>
      </w:r>
    </w:p>
    <w:p w14:paraId="486098E5" w14:textId="360777A8"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b/>
          <w:bCs/>
          <w:color w:val="000000" w:themeColor="text1"/>
          <w:sz w:val="24"/>
          <w:szCs w:val="24"/>
        </w:rPr>
        <w:t xml:space="preserve">Figure </w:t>
      </w:r>
      <w:proofErr w:type="gramStart"/>
      <w:r w:rsidRPr="008B6F3C">
        <w:rPr>
          <w:rFonts w:ascii="Arial" w:hAnsi="Arial" w:cs="Arial"/>
          <w:b/>
          <w:bCs/>
          <w:color w:val="000000" w:themeColor="text1"/>
          <w:sz w:val="24"/>
          <w:szCs w:val="24"/>
        </w:rPr>
        <w:t>3</w:t>
      </w:r>
      <w:r w:rsidRPr="008B6F3C">
        <w:rPr>
          <w:rFonts w:ascii="Arial" w:hAnsi="Arial" w:cs="Arial"/>
          <w:color w:val="000000" w:themeColor="text1"/>
          <w:sz w:val="24"/>
          <w:szCs w:val="24"/>
        </w:rPr>
        <w:t>:</w:t>
      </w:r>
      <w:proofErr w:type="gramEnd"/>
      <w:r w:rsidRPr="008B6F3C">
        <w:rPr>
          <w:rFonts w:ascii="Arial" w:hAnsi="Arial" w:cs="Arial"/>
          <w:color w:val="000000" w:themeColor="text1"/>
          <w:sz w:val="24"/>
          <w:szCs w:val="24"/>
        </w:rPr>
        <w:t xml:space="preserve"> Change in fluorescence intensity of 5-HT (</w:t>
      </w:r>
      <w:r w:rsidR="00F527FA" w:rsidRPr="008B6F3C">
        <w:rPr>
          <w:rFonts w:ascii="Arial" w:hAnsi="Arial" w:cs="Arial"/>
          <w:color w:val="000000" w:themeColor="text1"/>
          <w:sz w:val="24"/>
          <w:szCs w:val="24"/>
        </w:rPr>
        <w:t>5 × 10</w:t>
      </w:r>
      <w:r w:rsidR="00F527FA" w:rsidRPr="008B6F3C">
        <w:rPr>
          <w:rFonts w:ascii="Cambria Math" w:hAnsi="Cambria Math" w:cs="Cambria Math"/>
          <w:color w:val="000000" w:themeColor="text1"/>
          <w:sz w:val="24"/>
          <w:szCs w:val="24"/>
        </w:rPr>
        <w:t>⁻</w:t>
      </w:r>
      <w:r w:rsidR="00F527FA" w:rsidRPr="008B6F3C">
        <w:rPr>
          <w:rFonts w:ascii="Arial" w:hAnsi="Arial" w:cs="Arial"/>
          <w:color w:val="000000" w:themeColor="text1"/>
          <w:sz w:val="24"/>
          <w:szCs w:val="24"/>
        </w:rPr>
        <w:t>⁷ M</w:t>
      </w:r>
      <w:r w:rsidRPr="008B6F3C">
        <w:rPr>
          <w:rFonts w:ascii="Arial" w:hAnsi="Arial" w:cs="Arial"/>
          <w:color w:val="000000" w:themeColor="text1"/>
          <w:sz w:val="24"/>
          <w:szCs w:val="24"/>
        </w:rPr>
        <w:t>) as a function of pH</w:t>
      </w:r>
    </w:p>
    <w:p w14:paraId="4499AD06" w14:textId="3CD652C6"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proofErr w:type="gramStart"/>
      <w:r w:rsidRPr="008B6F3C">
        <w:rPr>
          <w:rFonts w:ascii="Arial" w:hAnsi="Arial" w:cs="Arial"/>
          <w:color w:val="000000" w:themeColor="text1"/>
          <w:sz w:val="24"/>
          <w:szCs w:val="24"/>
        </w:rPr>
        <w:t>in</w:t>
      </w:r>
      <w:proofErr w:type="gramEnd"/>
      <w:r w:rsidRPr="008B6F3C">
        <w:rPr>
          <w:rFonts w:ascii="Arial" w:hAnsi="Arial" w:cs="Arial"/>
          <w:color w:val="000000" w:themeColor="text1"/>
          <w:sz w:val="24"/>
          <w:szCs w:val="24"/>
        </w:rPr>
        <w:t xml:space="preserve"> micellar solution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² M); (1) SDS, (2) CTAC, (3) WATER, (4) CTAOH, (5) Brij 700 at 298 K.</w:t>
      </w:r>
    </w:p>
    <w:p w14:paraId="35751B23" w14:textId="77777777"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p>
    <w:p w14:paraId="763E7465" w14:textId="0884EF8C" w:rsidR="00700936" w:rsidRPr="008B6F3C" w:rsidRDefault="00A96042"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S</w:t>
      </w:r>
      <w:r w:rsidR="00776B4C" w:rsidRPr="008B6F3C">
        <w:rPr>
          <w:rFonts w:ascii="Arial" w:hAnsi="Arial" w:cs="Arial"/>
          <w:color w:val="000000" w:themeColor="text1"/>
          <w:sz w:val="24"/>
          <w:szCs w:val="24"/>
        </w:rPr>
        <w:t>erotonin fluorescence in both aqueous and micellar media is stable and maximal over pH 2–10, with micelles providing microenvironmental protection that reduces solvent-induced quenching and buffers local protonation effects. These results support the use of neutral micellar conditions for subsequent quantitative and kinetic analyses.</w:t>
      </w:r>
    </w:p>
    <w:p w14:paraId="6D9587AC" w14:textId="77777777" w:rsidR="007C103A" w:rsidRDefault="007C103A" w:rsidP="0097495D">
      <w:pPr>
        <w:tabs>
          <w:tab w:val="left" w:pos="142"/>
        </w:tabs>
        <w:spacing w:after="0" w:line="360" w:lineRule="auto"/>
        <w:jc w:val="both"/>
        <w:rPr>
          <w:rFonts w:ascii="Arial" w:hAnsi="Arial" w:cs="Arial"/>
          <w:color w:val="000000" w:themeColor="text1"/>
          <w:sz w:val="24"/>
          <w:szCs w:val="24"/>
        </w:rPr>
      </w:pPr>
    </w:p>
    <w:p w14:paraId="5B7B03BA" w14:textId="77777777" w:rsidR="00B761E7" w:rsidRPr="008B6F3C" w:rsidRDefault="00B761E7" w:rsidP="0097495D">
      <w:pPr>
        <w:tabs>
          <w:tab w:val="left" w:pos="142"/>
        </w:tabs>
        <w:spacing w:after="0" w:line="360" w:lineRule="auto"/>
        <w:jc w:val="both"/>
        <w:rPr>
          <w:rFonts w:ascii="Arial" w:hAnsi="Arial" w:cs="Arial"/>
          <w:color w:val="000000" w:themeColor="text1"/>
          <w:sz w:val="24"/>
          <w:szCs w:val="24"/>
        </w:rPr>
      </w:pPr>
    </w:p>
    <w:p w14:paraId="28710828" w14:textId="4BB4CE34" w:rsidR="00776B4C" w:rsidRPr="008B6F3C" w:rsidRDefault="00776B4C" w:rsidP="0097495D">
      <w:pPr>
        <w:tabs>
          <w:tab w:val="left" w:pos="142"/>
        </w:tabs>
        <w:spacing w:after="0" w:line="360" w:lineRule="auto"/>
        <w:jc w:val="both"/>
        <w:rPr>
          <w:rFonts w:ascii="Arial" w:hAnsi="Arial" w:cs="Arial"/>
          <w:b/>
          <w:bCs/>
          <w:color w:val="000000" w:themeColor="text1"/>
          <w:sz w:val="24"/>
          <w:szCs w:val="24"/>
        </w:rPr>
      </w:pPr>
      <w:r w:rsidRPr="008B6F3C">
        <w:rPr>
          <w:rFonts w:ascii="Arial" w:hAnsi="Arial" w:cs="Arial"/>
          <w:b/>
          <w:bCs/>
          <w:color w:val="000000" w:themeColor="text1"/>
          <w:sz w:val="24"/>
          <w:szCs w:val="24"/>
        </w:rPr>
        <w:t>3.4 Kinetic Study of 5-HT Fluorescence in Micellar Media</w:t>
      </w:r>
    </w:p>
    <w:p w14:paraId="1352AE04" w14:textId="38B6B843" w:rsidR="00776B4C" w:rsidRPr="008B6F3C" w:rsidRDefault="00776B4C" w:rsidP="0097495D">
      <w:pPr>
        <w:tabs>
          <w:tab w:val="left" w:pos="142"/>
        </w:tabs>
        <w:spacing w:after="0" w:line="360" w:lineRule="auto"/>
        <w:ind w:firstLine="708"/>
        <w:jc w:val="both"/>
        <w:rPr>
          <w:rFonts w:ascii="Arial" w:hAnsi="Arial" w:cs="Arial"/>
          <w:color w:val="000000" w:themeColor="text1"/>
          <w:sz w:val="24"/>
          <w:szCs w:val="24"/>
        </w:rPr>
      </w:pPr>
      <w:r w:rsidRPr="008B6F3C">
        <w:rPr>
          <w:rFonts w:ascii="Arial" w:hAnsi="Arial" w:cs="Arial"/>
          <w:color w:val="000000" w:themeColor="text1"/>
          <w:sz w:val="24"/>
          <w:szCs w:val="24"/>
        </w:rPr>
        <w:t>To evaluate the temporal stability of the fluorescence signal, a kinetic study of serotonin (5 ×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⁷ M) was conducted over 30 minutes in aqueous and micellar media at pH 7 and 298 K. Time-dependent fluorescence intensity was monitored for water, SDS (8 ×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³ M), Brij 700 (8 ×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³ M), and Brij 700 with ether oxide (</w:t>
      </w:r>
      <w:r w:rsidRPr="008B6F3C">
        <w:rPr>
          <w:rFonts w:ascii="Arial" w:hAnsi="Arial" w:cs="Arial"/>
          <w:color w:val="0070C0"/>
          <w:sz w:val="24"/>
          <w:szCs w:val="24"/>
        </w:rPr>
        <w:t xml:space="preserve">Figure </w:t>
      </w:r>
      <w:r w:rsidR="003F2CBD" w:rsidRPr="008B6F3C">
        <w:rPr>
          <w:rFonts w:ascii="Arial" w:hAnsi="Arial" w:cs="Arial"/>
          <w:color w:val="0070C0"/>
          <w:sz w:val="24"/>
          <w:szCs w:val="24"/>
        </w:rPr>
        <w:t>4</w:t>
      </w:r>
      <w:r w:rsidRPr="008B6F3C">
        <w:rPr>
          <w:rFonts w:ascii="Arial" w:hAnsi="Arial" w:cs="Arial"/>
          <w:color w:val="000000" w:themeColor="text1"/>
          <w:sz w:val="24"/>
          <w:szCs w:val="24"/>
        </w:rPr>
        <w:t>).</w:t>
      </w:r>
    </w:p>
    <w:p w14:paraId="65EA8DDE" w14:textId="65590C70"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In aqueous solution, fluorescence remained relatively constant throughout the monitoring period, indicating that serotonin is stable under neutral conditions and moderate irradiation. This confirms that no rapid photochemical degradation or spontaneous chemical transformation occurs within typical analytical timescales, consistent with prior reports on indole stability [</w:t>
      </w:r>
      <w:r w:rsidR="007C103A" w:rsidRPr="008B6F3C">
        <w:rPr>
          <w:rFonts w:ascii="Arial" w:hAnsi="Arial" w:cs="Arial"/>
          <w:color w:val="0070C0"/>
          <w:sz w:val="24"/>
          <w:szCs w:val="24"/>
        </w:rPr>
        <w:t>26</w:t>
      </w:r>
      <w:r w:rsidRPr="008B6F3C">
        <w:rPr>
          <w:rFonts w:ascii="Arial" w:hAnsi="Arial" w:cs="Arial"/>
          <w:color w:val="0070C0"/>
          <w:sz w:val="24"/>
          <w:szCs w:val="24"/>
        </w:rPr>
        <w:t>,</w:t>
      </w:r>
      <w:r w:rsidR="007C103A" w:rsidRPr="008B6F3C">
        <w:rPr>
          <w:rFonts w:ascii="Arial" w:hAnsi="Arial" w:cs="Arial"/>
          <w:color w:val="0070C0"/>
          <w:sz w:val="24"/>
          <w:szCs w:val="24"/>
        </w:rPr>
        <w:t>27</w:t>
      </w:r>
      <w:r w:rsidRPr="008B6F3C">
        <w:rPr>
          <w:rFonts w:ascii="Arial" w:hAnsi="Arial" w:cs="Arial"/>
          <w:color w:val="000000" w:themeColor="text1"/>
          <w:sz w:val="24"/>
          <w:szCs w:val="24"/>
        </w:rPr>
        <w:t>].</w:t>
      </w:r>
    </w:p>
    <w:p w14:paraId="72516340" w14:textId="6DA6AC59"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lastRenderedPageBreak/>
        <w:t>A similar stable profile was observed in SDS micelles. The constancy of emission intensity reflects rapid equilibrium and structural stability, likely due to electrostatic attraction between negatively charged sulfate groups of SDS and the protonated amine of serotonin. This interaction promotes stable localization of serotonin within the micellar interfacial region, limiting molecular mobility and protecting the excited state from solvent quenching or oxidative degradation [</w:t>
      </w:r>
      <w:r w:rsidR="00C6675E" w:rsidRPr="008B6F3C">
        <w:rPr>
          <w:rFonts w:ascii="Arial" w:hAnsi="Arial" w:cs="Arial"/>
          <w:color w:val="0070C0"/>
          <w:sz w:val="24"/>
          <w:szCs w:val="24"/>
        </w:rPr>
        <w:t>28</w:t>
      </w:r>
      <w:r w:rsidRPr="008B6F3C">
        <w:rPr>
          <w:rFonts w:ascii="Arial" w:hAnsi="Arial" w:cs="Arial"/>
          <w:color w:val="0070C0"/>
          <w:sz w:val="24"/>
          <w:szCs w:val="24"/>
        </w:rPr>
        <w:t>,</w:t>
      </w:r>
      <w:r w:rsidR="00C6675E" w:rsidRPr="008B6F3C">
        <w:rPr>
          <w:rFonts w:ascii="Arial" w:hAnsi="Arial" w:cs="Arial"/>
          <w:color w:val="0070C0"/>
          <w:sz w:val="24"/>
          <w:szCs w:val="24"/>
        </w:rPr>
        <w:t>29</w:t>
      </w:r>
      <w:r w:rsidRPr="008B6F3C">
        <w:rPr>
          <w:rFonts w:ascii="Arial" w:hAnsi="Arial" w:cs="Arial"/>
          <w:color w:val="000000" w:themeColor="text1"/>
          <w:sz w:val="24"/>
          <w:szCs w:val="24"/>
        </w:rPr>
        <w:t>].</w:t>
      </w:r>
    </w:p>
    <w:p w14:paraId="375973C7" w14:textId="297F1178"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In contrast, a gradual decrease in fluorescence intensity was observed in Brij 700 micelles. Although Brij 700 initially provides higher fluorescence enhancement than SDS, its nonionic micellar environment lacks strong electrostatic anchoring. Serotonin molecules may slowly redistribute between micellar and aqueous phases or experience dynamic quenching due to local structural fluctuations within the polyoxyethylene chains. Nonionic surfactants can undergo subtle conformational changes under continuous irradiation, affecting local microviscosity and emission [</w:t>
      </w:r>
      <w:r w:rsidRPr="008B6F3C">
        <w:rPr>
          <w:rFonts w:ascii="Arial" w:hAnsi="Arial" w:cs="Arial"/>
          <w:color w:val="0070C0"/>
          <w:sz w:val="24"/>
          <w:szCs w:val="24"/>
        </w:rPr>
        <w:t>2</w:t>
      </w:r>
      <w:r w:rsidR="00C6675E" w:rsidRPr="008B6F3C">
        <w:rPr>
          <w:rFonts w:ascii="Arial" w:hAnsi="Arial" w:cs="Arial"/>
          <w:color w:val="0070C0"/>
          <w:sz w:val="24"/>
          <w:szCs w:val="24"/>
        </w:rPr>
        <w:t>7</w:t>
      </w:r>
      <w:r w:rsidRPr="008B6F3C">
        <w:rPr>
          <w:rFonts w:ascii="Arial" w:hAnsi="Arial" w:cs="Arial"/>
          <w:color w:val="0070C0"/>
          <w:sz w:val="24"/>
          <w:szCs w:val="24"/>
        </w:rPr>
        <w:t>,</w:t>
      </w:r>
      <w:r w:rsidR="00C6675E" w:rsidRPr="008B6F3C">
        <w:rPr>
          <w:rFonts w:ascii="Arial" w:hAnsi="Arial" w:cs="Arial"/>
          <w:color w:val="0070C0"/>
          <w:sz w:val="24"/>
          <w:szCs w:val="24"/>
        </w:rPr>
        <w:t>29</w:t>
      </w:r>
      <w:r w:rsidRPr="008B6F3C">
        <w:rPr>
          <w:rFonts w:ascii="Arial" w:hAnsi="Arial" w:cs="Arial"/>
          <w:color w:val="000000" w:themeColor="text1"/>
          <w:sz w:val="24"/>
          <w:szCs w:val="24"/>
        </w:rPr>
        <w:t>].</w:t>
      </w:r>
    </w:p>
    <w:p w14:paraId="7DBB77ED" w14:textId="4C3999FB"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Notably, the addition of ether oxide to the Brij 700 system stabilized the fluorescence signal. Ether oxide likely alters the micellar palisade layer, increasing rigidity or modifying local polarity, thereby enhancing excited-state stabilization and reducing non-radiative relaxation. This demonstrates that microenvironmental organization and local viscosity are critical for maintaining long-term fluorescence stability [</w:t>
      </w:r>
      <w:r w:rsidR="00C6675E" w:rsidRPr="008B6F3C">
        <w:rPr>
          <w:rFonts w:ascii="Arial" w:hAnsi="Arial" w:cs="Arial"/>
          <w:color w:val="0070C0"/>
          <w:sz w:val="24"/>
          <w:szCs w:val="24"/>
        </w:rPr>
        <w:t>28</w:t>
      </w:r>
      <w:r w:rsidRPr="008B6F3C">
        <w:rPr>
          <w:rFonts w:ascii="Arial" w:hAnsi="Arial" w:cs="Arial"/>
          <w:color w:val="000000" w:themeColor="text1"/>
          <w:sz w:val="24"/>
          <w:szCs w:val="24"/>
        </w:rPr>
        <w:t>].</w:t>
      </w:r>
    </w:p>
    <w:p w14:paraId="1BF4A8C0" w14:textId="77777777"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No abrupt or exponential decay was observed in any system, indicating the absence of rapid photochemical reactions or irreversible transformations. For analytical applications, water and SDS offer stable fluorescence for routine measurements, while Brij 700 provides higher initial sensitivity but requires consideration of time-dependent signal decay.</w:t>
      </w:r>
    </w:p>
    <w:p w14:paraId="13FA85B9" w14:textId="2E0A04DD" w:rsidR="00776B4C" w:rsidRPr="008B6F3C" w:rsidRDefault="00776B4C"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Overall, the kinetic study highlights that micellar systems affect both fluorescence intensity and temporal stability. Brij 700 offers superior signal amplification, whereas SDS provides enhanced photostability. These findings underscore the importance of balancing sensitivity and robustness in method development, consistent with known principles of micellar photophysics and microenvironmental effects on fluorophore stability [</w:t>
      </w:r>
      <w:r w:rsidR="00C6675E" w:rsidRPr="008B6F3C">
        <w:rPr>
          <w:rFonts w:ascii="Arial" w:hAnsi="Arial" w:cs="Arial"/>
          <w:color w:val="0070C0"/>
          <w:sz w:val="24"/>
          <w:szCs w:val="24"/>
        </w:rPr>
        <w:t>26</w:t>
      </w:r>
      <w:r w:rsidRPr="008B6F3C">
        <w:rPr>
          <w:rFonts w:ascii="Arial" w:hAnsi="Arial" w:cs="Arial"/>
          <w:color w:val="0070C0"/>
          <w:sz w:val="24"/>
          <w:szCs w:val="24"/>
        </w:rPr>
        <w:t>–</w:t>
      </w:r>
      <w:r w:rsidR="00C6675E" w:rsidRPr="008B6F3C">
        <w:rPr>
          <w:rFonts w:ascii="Arial" w:hAnsi="Arial" w:cs="Arial"/>
          <w:color w:val="0070C0"/>
          <w:sz w:val="24"/>
          <w:szCs w:val="24"/>
        </w:rPr>
        <w:t>29</w:t>
      </w:r>
      <w:r w:rsidRPr="008B6F3C">
        <w:rPr>
          <w:rFonts w:ascii="Arial" w:hAnsi="Arial" w:cs="Arial"/>
          <w:color w:val="000000" w:themeColor="text1"/>
          <w:sz w:val="24"/>
          <w:szCs w:val="24"/>
        </w:rPr>
        <w:t>].</w:t>
      </w:r>
    </w:p>
    <w:p w14:paraId="728D73E1" w14:textId="15E0CEF1"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noProof/>
          <w:color w:val="000000" w:themeColor="text1"/>
          <w:sz w:val="24"/>
          <w:szCs w:val="24"/>
        </w:rPr>
        <w:lastRenderedPageBreak/>
        <w:drawing>
          <wp:inline distT="0" distB="0" distL="0" distR="0" wp14:anchorId="6C6FBA95" wp14:editId="1555C777">
            <wp:extent cx="4277322" cy="3219899"/>
            <wp:effectExtent l="0" t="0" r="9525" b="0"/>
            <wp:docPr id="20263068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06801" name=""/>
                    <pic:cNvPicPr/>
                  </pic:nvPicPr>
                  <pic:blipFill>
                    <a:blip r:embed="rId11"/>
                    <a:stretch>
                      <a:fillRect/>
                    </a:stretch>
                  </pic:blipFill>
                  <pic:spPr>
                    <a:xfrm>
                      <a:off x="0" y="0"/>
                      <a:ext cx="4277322" cy="3219899"/>
                    </a:xfrm>
                    <a:prstGeom prst="rect">
                      <a:avLst/>
                    </a:prstGeom>
                  </pic:spPr>
                </pic:pic>
              </a:graphicData>
            </a:graphic>
          </wp:inline>
        </w:drawing>
      </w:r>
    </w:p>
    <w:p w14:paraId="0A6E9B88" w14:textId="585BCC5C"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b/>
          <w:bCs/>
          <w:color w:val="000000" w:themeColor="text1"/>
          <w:sz w:val="24"/>
          <w:szCs w:val="24"/>
        </w:rPr>
        <w:t xml:space="preserve">Figure </w:t>
      </w:r>
      <w:proofErr w:type="gramStart"/>
      <w:r w:rsidRPr="008B6F3C">
        <w:rPr>
          <w:rFonts w:ascii="Arial" w:hAnsi="Arial" w:cs="Arial"/>
          <w:b/>
          <w:bCs/>
          <w:color w:val="000000" w:themeColor="text1"/>
          <w:sz w:val="24"/>
          <w:szCs w:val="24"/>
        </w:rPr>
        <w:t>4</w:t>
      </w:r>
      <w:r w:rsidRPr="008B6F3C">
        <w:rPr>
          <w:rFonts w:ascii="Arial" w:hAnsi="Arial" w:cs="Arial"/>
          <w:color w:val="000000" w:themeColor="text1"/>
          <w:sz w:val="24"/>
          <w:szCs w:val="24"/>
        </w:rPr>
        <w:t>:</w:t>
      </w:r>
      <w:proofErr w:type="gramEnd"/>
      <w:r w:rsidRPr="008B6F3C">
        <w:rPr>
          <w:rFonts w:ascii="Arial" w:hAnsi="Arial" w:cs="Arial"/>
          <w:color w:val="000000" w:themeColor="text1"/>
          <w:sz w:val="24"/>
          <w:szCs w:val="24"/>
        </w:rPr>
        <w:t xml:space="preserve"> Fluorescence kinetics of 5-HT (5x10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⁷ M) in micellar solution (1: water; 2: SDS (8x10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³ M) ; 3: Brij 700 (8x10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³ M) , 4: Brij 700 + ether oxide) at pH = 7 and 298 K.</w:t>
      </w:r>
    </w:p>
    <w:p w14:paraId="55125189" w14:textId="77777777" w:rsidR="00C6675E" w:rsidRPr="008B6F3C" w:rsidRDefault="00C6675E" w:rsidP="0097495D">
      <w:pPr>
        <w:tabs>
          <w:tab w:val="left" w:pos="142"/>
        </w:tabs>
        <w:spacing w:after="0" w:line="240" w:lineRule="auto"/>
        <w:jc w:val="center"/>
        <w:rPr>
          <w:rFonts w:ascii="Arial" w:hAnsi="Arial" w:cs="Arial"/>
          <w:color w:val="000000" w:themeColor="text1"/>
          <w:sz w:val="24"/>
          <w:szCs w:val="24"/>
        </w:rPr>
      </w:pPr>
    </w:p>
    <w:p w14:paraId="20E35EEE" w14:textId="77777777" w:rsidR="00C91B89" w:rsidRPr="00C91B89" w:rsidRDefault="00C91B89" w:rsidP="0097495D">
      <w:pPr>
        <w:tabs>
          <w:tab w:val="left" w:pos="142"/>
        </w:tabs>
        <w:spacing w:after="0" w:line="360" w:lineRule="auto"/>
        <w:jc w:val="both"/>
        <w:rPr>
          <w:rFonts w:ascii="Arial" w:hAnsi="Arial" w:cs="Arial"/>
          <w:b/>
          <w:bCs/>
          <w:color w:val="000000" w:themeColor="text1"/>
          <w:sz w:val="24"/>
          <w:szCs w:val="24"/>
        </w:rPr>
      </w:pPr>
      <w:r w:rsidRPr="00C91B89">
        <w:rPr>
          <w:rFonts w:ascii="Arial" w:hAnsi="Arial" w:cs="Arial"/>
          <w:b/>
          <w:bCs/>
          <w:color w:val="000000" w:themeColor="text1"/>
          <w:sz w:val="24"/>
          <w:szCs w:val="24"/>
        </w:rPr>
        <w:t>3.6 Analytical Performance</w:t>
      </w:r>
    </w:p>
    <w:p w14:paraId="4DBD84E9" w14:textId="4694F3B7" w:rsidR="00C91B89" w:rsidRPr="00C91B89" w:rsidRDefault="00C91B89" w:rsidP="0097495D">
      <w:pPr>
        <w:tabs>
          <w:tab w:val="left" w:pos="142"/>
        </w:tabs>
        <w:spacing w:after="0" w:line="360" w:lineRule="auto"/>
        <w:ind w:firstLine="708"/>
        <w:jc w:val="both"/>
        <w:rPr>
          <w:rFonts w:ascii="Arial" w:hAnsi="Arial" w:cs="Arial"/>
          <w:color w:val="000000" w:themeColor="text1"/>
          <w:sz w:val="24"/>
          <w:szCs w:val="24"/>
        </w:rPr>
      </w:pPr>
      <w:r w:rsidRPr="00C91B89">
        <w:rPr>
          <w:rFonts w:ascii="Arial" w:hAnsi="Arial" w:cs="Arial"/>
          <w:color w:val="000000" w:themeColor="text1"/>
          <w:sz w:val="24"/>
          <w:szCs w:val="24"/>
        </w:rPr>
        <w:t>Fluorescence calibration curves for serotonin were established in water and micellar media (Brij 700 and SDS) over the 0.1–300 ng</w:t>
      </w:r>
      <w:r w:rsidR="00C6675E" w:rsidRPr="008B6F3C">
        <w:rPr>
          <w:rFonts w:ascii="Arial" w:hAnsi="Arial" w:cs="Arial"/>
          <w:color w:val="000000" w:themeColor="text1"/>
          <w:sz w:val="24"/>
          <w:szCs w:val="24"/>
        </w:rPr>
        <w:t xml:space="preserve"> </w:t>
      </w:r>
      <w:r w:rsidRPr="00C91B89">
        <w:rPr>
          <w:rFonts w:ascii="Arial" w:hAnsi="Arial" w:cs="Arial"/>
          <w:color w:val="000000" w:themeColor="text1"/>
          <w:sz w:val="24"/>
          <w:szCs w:val="24"/>
        </w:rPr>
        <w:t>mL</w:t>
      </w:r>
      <w:r w:rsidRPr="00C91B89">
        <w:rPr>
          <w:rFonts w:ascii="Cambria Math" w:hAnsi="Cambria Math" w:cs="Cambria Math"/>
          <w:color w:val="000000" w:themeColor="text1"/>
          <w:sz w:val="24"/>
          <w:szCs w:val="24"/>
        </w:rPr>
        <w:t>⁻</w:t>
      </w:r>
      <w:r w:rsidRPr="00C91B89">
        <w:rPr>
          <w:rFonts w:ascii="Arial" w:hAnsi="Arial" w:cs="Arial"/>
          <w:color w:val="000000" w:themeColor="text1"/>
          <w:sz w:val="24"/>
          <w:szCs w:val="24"/>
        </w:rPr>
        <w:t>¹ range. Log–log plots of fluorescence intensity versus 5-HT concentration exhibited excellent linearity, with correlation coefficients (r²) approaching unity (</w:t>
      </w:r>
      <w:r w:rsidRPr="00C91B89">
        <w:rPr>
          <w:rFonts w:ascii="Arial" w:hAnsi="Arial" w:cs="Arial"/>
          <w:color w:val="0070C0"/>
          <w:sz w:val="24"/>
          <w:szCs w:val="24"/>
        </w:rPr>
        <w:t>Table 3, Figures 5</w:t>
      </w:r>
      <w:r w:rsidR="00C6675E" w:rsidRPr="008B6F3C">
        <w:rPr>
          <w:rFonts w:ascii="Arial" w:hAnsi="Arial" w:cs="Arial"/>
          <w:color w:val="0070C0"/>
          <w:sz w:val="24"/>
          <w:szCs w:val="24"/>
        </w:rPr>
        <w:t>,</w:t>
      </w:r>
      <w:r w:rsidRPr="00C91B89">
        <w:rPr>
          <w:rFonts w:ascii="Arial" w:hAnsi="Arial" w:cs="Arial"/>
          <w:color w:val="0070C0"/>
          <w:sz w:val="24"/>
          <w:szCs w:val="24"/>
        </w:rPr>
        <w:t>6</w:t>
      </w:r>
      <w:r w:rsidRPr="00C91B89">
        <w:rPr>
          <w:rFonts w:ascii="Arial" w:hAnsi="Arial" w:cs="Arial"/>
          <w:color w:val="000000" w:themeColor="text1"/>
          <w:sz w:val="24"/>
          <w:szCs w:val="24"/>
        </w:rPr>
        <w:t>), consistent with prior reports on micelle-enhanced spectrofluorimetry for trace bioanalytes [</w:t>
      </w:r>
      <w:r w:rsidR="00C6675E" w:rsidRPr="008B6F3C">
        <w:rPr>
          <w:rFonts w:ascii="Arial" w:hAnsi="Arial" w:cs="Arial"/>
          <w:color w:val="0070C0"/>
          <w:sz w:val="24"/>
          <w:szCs w:val="24"/>
        </w:rPr>
        <w:t>30</w:t>
      </w:r>
      <w:r w:rsidRPr="00C91B89">
        <w:rPr>
          <w:rFonts w:ascii="Arial" w:hAnsi="Arial" w:cs="Arial"/>
          <w:color w:val="000000" w:themeColor="text1"/>
          <w:sz w:val="24"/>
          <w:szCs w:val="24"/>
        </w:rPr>
        <w:t>].</w:t>
      </w:r>
    </w:p>
    <w:p w14:paraId="185CD90D" w14:textId="36FA1D2C"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noProof/>
          <w:color w:val="000000" w:themeColor="text1"/>
          <w:sz w:val="24"/>
          <w:szCs w:val="24"/>
        </w:rPr>
        <w:drawing>
          <wp:inline distT="0" distB="0" distL="0" distR="0" wp14:anchorId="343DF1FC" wp14:editId="526F0E7B">
            <wp:extent cx="3461260" cy="2610611"/>
            <wp:effectExtent l="0" t="0" r="6350" b="0"/>
            <wp:docPr id="8636504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650488" name=""/>
                    <pic:cNvPicPr/>
                  </pic:nvPicPr>
                  <pic:blipFill>
                    <a:blip r:embed="rId12"/>
                    <a:stretch>
                      <a:fillRect/>
                    </a:stretch>
                  </pic:blipFill>
                  <pic:spPr>
                    <a:xfrm>
                      <a:off x="0" y="0"/>
                      <a:ext cx="3485175" cy="2628648"/>
                    </a:xfrm>
                    <a:prstGeom prst="rect">
                      <a:avLst/>
                    </a:prstGeom>
                  </pic:spPr>
                </pic:pic>
              </a:graphicData>
            </a:graphic>
          </wp:inline>
        </w:drawing>
      </w:r>
    </w:p>
    <w:p w14:paraId="621401CB" w14:textId="518CA86D" w:rsidR="00A96042"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b/>
          <w:bCs/>
          <w:color w:val="000000" w:themeColor="text1"/>
          <w:sz w:val="24"/>
          <w:szCs w:val="24"/>
        </w:rPr>
        <w:t xml:space="preserve">Figure </w:t>
      </w:r>
      <w:proofErr w:type="gramStart"/>
      <w:r w:rsidRPr="008B6F3C">
        <w:rPr>
          <w:rFonts w:ascii="Arial" w:hAnsi="Arial" w:cs="Arial"/>
          <w:b/>
          <w:bCs/>
          <w:color w:val="000000" w:themeColor="text1"/>
          <w:sz w:val="24"/>
          <w:szCs w:val="24"/>
        </w:rPr>
        <w:t>5</w:t>
      </w:r>
      <w:r w:rsidRPr="008B6F3C">
        <w:rPr>
          <w:rFonts w:ascii="Arial" w:hAnsi="Arial" w:cs="Arial"/>
          <w:color w:val="000000" w:themeColor="text1"/>
          <w:sz w:val="24"/>
          <w:szCs w:val="24"/>
        </w:rPr>
        <w:t>:</w:t>
      </w:r>
      <w:proofErr w:type="gramEnd"/>
      <w:r w:rsidRPr="008B6F3C">
        <w:rPr>
          <w:rFonts w:ascii="Arial" w:hAnsi="Arial" w:cs="Arial"/>
          <w:color w:val="000000" w:themeColor="text1"/>
          <w:sz w:val="24"/>
          <w:szCs w:val="24"/>
        </w:rPr>
        <w:t xml:space="preserve"> Evolution of 5-HT fluorescence in SDS as a function of 5-HT concentration at 298 K and pH = 7</w:t>
      </w:r>
    </w:p>
    <w:p w14:paraId="69B0B535" w14:textId="77777777" w:rsidR="00B761E7" w:rsidRPr="008B6F3C" w:rsidRDefault="00B761E7" w:rsidP="0097495D">
      <w:pPr>
        <w:tabs>
          <w:tab w:val="left" w:pos="142"/>
        </w:tabs>
        <w:spacing w:after="0" w:line="240" w:lineRule="auto"/>
        <w:jc w:val="center"/>
        <w:rPr>
          <w:rFonts w:ascii="Arial" w:hAnsi="Arial" w:cs="Arial"/>
          <w:color w:val="000000" w:themeColor="text1"/>
          <w:sz w:val="24"/>
          <w:szCs w:val="24"/>
        </w:rPr>
      </w:pPr>
    </w:p>
    <w:p w14:paraId="1AF6B977" w14:textId="2C66E714"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noProof/>
          <w:color w:val="000000" w:themeColor="text1"/>
          <w:sz w:val="24"/>
          <w:szCs w:val="24"/>
        </w:rPr>
        <w:lastRenderedPageBreak/>
        <w:drawing>
          <wp:inline distT="0" distB="0" distL="0" distR="0" wp14:anchorId="02BBC1DC" wp14:editId="6F76AA05">
            <wp:extent cx="3156460" cy="2317129"/>
            <wp:effectExtent l="0" t="0" r="6350" b="6985"/>
            <wp:docPr id="4852554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55468" name=""/>
                    <pic:cNvPicPr/>
                  </pic:nvPicPr>
                  <pic:blipFill>
                    <a:blip r:embed="rId13"/>
                    <a:stretch>
                      <a:fillRect/>
                    </a:stretch>
                  </pic:blipFill>
                  <pic:spPr>
                    <a:xfrm>
                      <a:off x="0" y="0"/>
                      <a:ext cx="3171388" cy="2328088"/>
                    </a:xfrm>
                    <a:prstGeom prst="rect">
                      <a:avLst/>
                    </a:prstGeom>
                  </pic:spPr>
                </pic:pic>
              </a:graphicData>
            </a:graphic>
          </wp:inline>
        </w:drawing>
      </w:r>
    </w:p>
    <w:p w14:paraId="1DC101D1" w14:textId="77777777" w:rsidR="00E31A24" w:rsidRPr="008B6F3C" w:rsidRDefault="00E31A24" w:rsidP="0097495D">
      <w:pPr>
        <w:tabs>
          <w:tab w:val="left" w:pos="142"/>
        </w:tabs>
        <w:spacing w:after="0" w:line="240" w:lineRule="auto"/>
        <w:jc w:val="center"/>
        <w:rPr>
          <w:rFonts w:ascii="Arial" w:hAnsi="Arial" w:cs="Arial"/>
          <w:noProof/>
          <w:color w:val="000000" w:themeColor="text1"/>
          <w:sz w:val="24"/>
          <w:szCs w:val="24"/>
        </w:rPr>
        <w:sectPr w:rsidR="00E31A24" w:rsidRPr="008B6F3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pPr>
    </w:p>
    <w:p w14:paraId="2AA4E7B5" w14:textId="77777777" w:rsidR="00E31A24" w:rsidRPr="008B6F3C" w:rsidRDefault="00A96042" w:rsidP="0097495D">
      <w:pPr>
        <w:tabs>
          <w:tab w:val="left" w:pos="142"/>
        </w:tabs>
        <w:spacing w:after="0" w:line="240" w:lineRule="auto"/>
        <w:jc w:val="center"/>
        <w:rPr>
          <w:rFonts w:ascii="Arial" w:hAnsi="Arial" w:cs="Arial"/>
          <w:noProof/>
          <w:color w:val="000000" w:themeColor="text1"/>
          <w:sz w:val="24"/>
          <w:szCs w:val="24"/>
        </w:rPr>
      </w:pPr>
      <w:r w:rsidRPr="008B6F3C">
        <w:rPr>
          <w:rFonts w:ascii="Arial" w:hAnsi="Arial" w:cs="Arial"/>
          <w:noProof/>
          <w:color w:val="000000" w:themeColor="text1"/>
          <w:sz w:val="24"/>
          <w:szCs w:val="24"/>
        </w:rPr>
        <w:drawing>
          <wp:inline distT="0" distB="0" distL="0" distR="0" wp14:anchorId="0BCD1BFB" wp14:editId="0FFA864B">
            <wp:extent cx="2562990" cy="2004488"/>
            <wp:effectExtent l="0" t="0" r="8890" b="0"/>
            <wp:docPr id="7605614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61479" name=""/>
                    <pic:cNvPicPr/>
                  </pic:nvPicPr>
                  <pic:blipFill>
                    <a:blip r:embed="rId20"/>
                    <a:stretch>
                      <a:fillRect/>
                    </a:stretch>
                  </pic:blipFill>
                  <pic:spPr>
                    <a:xfrm>
                      <a:off x="0" y="0"/>
                      <a:ext cx="2568645" cy="2008911"/>
                    </a:xfrm>
                    <a:prstGeom prst="rect">
                      <a:avLst/>
                    </a:prstGeom>
                  </pic:spPr>
                </pic:pic>
              </a:graphicData>
            </a:graphic>
          </wp:inline>
        </w:drawing>
      </w:r>
    </w:p>
    <w:p w14:paraId="65B65FFE" w14:textId="7AE12712" w:rsidR="00A96042" w:rsidRPr="008B6F3C" w:rsidRDefault="00A96042" w:rsidP="0097495D">
      <w:pPr>
        <w:tabs>
          <w:tab w:val="left" w:pos="142"/>
        </w:tabs>
        <w:spacing w:after="0" w:line="240" w:lineRule="auto"/>
        <w:jc w:val="center"/>
        <w:rPr>
          <w:rFonts w:ascii="Arial" w:hAnsi="Arial" w:cs="Arial"/>
          <w:noProof/>
          <w:color w:val="000000" w:themeColor="text1"/>
          <w:sz w:val="24"/>
          <w:szCs w:val="24"/>
        </w:rPr>
      </w:pPr>
      <w:r w:rsidRPr="008B6F3C">
        <w:rPr>
          <w:rFonts w:ascii="Arial" w:hAnsi="Arial" w:cs="Arial"/>
          <w:noProof/>
          <w:color w:val="000000" w:themeColor="text1"/>
          <w:sz w:val="24"/>
          <w:szCs w:val="24"/>
        </w:rPr>
        <w:drawing>
          <wp:inline distT="0" distB="0" distL="0" distR="0" wp14:anchorId="03D1733B" wp14:editId="103C7856">
            <wp:extent cx="2412891" cy="1942266"/>
            <wp:effectExtent l="0" t="0" r="6985" b="1270"/>
            <wp:docPr id="212278964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89646" name=""/>
                    <pic:cNvPicPr/>
                  </pic:nvPicPr>
                  <pic:blipFill>
                    <a:blip r:embed="rId21"/>
                    <a:stretch>
                      <a:fillRect/>
                    </a:stretch>
                  </pic:blipFill>
                  <pic:spPr>
                    <a:xfrm>
                      <a:off x="0" y="0"/>
                      <a:ext cx="2418045" cy="1946415"/>
                    </a:xfrm>
                    <a:prstGeom prst="rect">
                      <a:avLst/>
                    </a:prstGeom>
                  </pic:spPr>
                </pic:pic>
              </a:graphicData>
            </a:graphic>
          </wp:inline>
        </w:drawing>
      </w:r>
    </w:p>
    <w:p w14:paraId="106F67A6" w14:textId="77777777" w:rsidR="00E31A24" w:rsidRPr="008B6F3C" w:rsidRDefault="00E31A24" w:rsidP="0097495D">
      <w:pPr>
        <w:tabs>
          <w:tab w:val="left" w:pos="142"/>
        </w:tabs>
        <w:spacing w:after="0" w:line="240" w:lineRule="auto"/>
        <w:jc w:val="center"/>
        <w:rPr>
          <w:rFonts w:ascii="Arial" w:hAnsi="Arial" w:cs="Arial"/>
          <w:color w:val="000000" w:themeColor="text1"/>
          <w:sz w:val="24"/>
          <w:szCs w:val="24"/>
        </w:rPr>
        <w:sectPr w:rsidR="00E31A24" w:rsidRPr="008B6F3C" w:rsidSect="00E31A24">
          <w:type w:val="continuous"/>
          <w:pgSz w:w="11906" w:h="16838"/>
          <w:pgMar w:top="1417" w:right="1417" w:bottom="1417" w:left="1417" w:header="708" w:footer="708" w:gutter="0"/>
          <w:cols w:num="2" w:space="708"/>
          <w:docGrid w:linePitch="360"/>
        </w:sectPr>
      </w:pPr>
    </w:p>
    <w:p w14:paraId="7DCB716C" w14:textId="77777777" w:rsidR="00F527FA"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b/>
          <w:bCs/>
          <w:color w:val="000000" w:themeColor="text1"/>
          <w:sz w:val="24"/>
          <w:szCs w:val="24"/>
        </w:rPr>
        <w:t xml:space="preserve">Figure </w:t>
      </w:r>
      <w:proofErr w:type="gramStart"/>
      <w:r w:rsidRPr="008B6F3C">
        <w:rPr>
          <w:rFonts w:ascii="Arial" w:hAnsi="Arial" w:cs="Arial"/>
          <w:b/>
          <w:bCs/>
          <w:color w:val="000000" w:themeColor="text1"/>
          <w:sz w:val="24"/>
          <w:szCs w:val="24"/>
        </w:rPr>
        <w:t>6</w:t>
      </w:r>
      <w:r w:rsidRPr="008B6F3C">
        <w:rPr>
          <w:rFonts w:ascii="Arial" w:hAnsi="Arial" w:cs="Arial"/>
          <w:color w:val="000000" w:themeColor="text1"/>
          <w:sz w:val="24"/>
          <w:szCs w:val="24"/>
        </w:rPr>
        <w:t>:</w:t>
      </w:r>
      <w:proofErr w:type="gramEnd"/>
      <w:r w:rsidRPr="008B6F3C">
        <w:rPr>
          <w:rFonts w:ascii="Arial" w:hAnsi="Arial" w:cs="Arial"/>
          <w:color w:val="000000" w:themeColor="text1"/>
          <w:sz w:val="24"/>
          <w:szCs w:val="24"/>
        </w:rPr>
        <w:t xml:space="preserve"> Calibration curve for 5-HT in (A): Water; (B): [SDS] = 6x10</w:t>
      </w:r>
      <w:r w:rsidRPr="008B6F3C">
        <w:rPr>
          <w:rFonts w:ascii="Arial" w:hAnsi="Arial" w:cs="Arial"/>
          <w:color w:val="000000" w:themeColor="text1"/>
          <w:sz w:val="24"/>
          <w:szCs w:val="24"/>
          <w:vertAlign w:val="superscript"/>
        </w:rPr>
        <w:t>-2</w:t>
      </w:r>
      <w:r w:rsidRPr="008B6F3C">
        <w:rPr>
          <w:rFonts w:ascii="Arial" w:hAnsi="Arial" w:cs="Arial"/>
          <w:color w:val="000000" w:themeColor="text1"/>
          <w:sz w:val="24"/>
          <w:szCs w:val="24"/>
        </w:rPr>
        <w:t xml:space="preserve"> M </w:t>
      </w:r>
    </w:p>
    <w:p w14:paraId="603E7B8C" w14:textId="1ADF682B"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proofErr w:type="gramStart"/>
      <w:r w:rsidRPr="008B6F3C">
        <w:rPr>
          <w:rFonts w:ascii="Arial" w:hAnsi="Arial" w:cs="Arial"/>
          <w:color w:val="000000" w:themeColor="text1"/>
          <w:sz w:val="24"/>
          <w:szCs w:val="24"/>
        </w:rPr>
        <w:t>and</w:t>
      </w:r>
      <w:proofErr w:type="gramEnd"/>
      <w:r w:rsidRPr="008B6F3C">
        <w:rPr>
          <w:rFonts w:ascii="Arial" w:hAnsi="Arial" w:cs="Arial"/>
          <w:color w:val="000000" w:themeColor="text1"/>
          <w:sz w:val="24"/>
          <w:szCs w:val="24"/>
        </w:rPr>
        <w:t xml:space="preserve"> (C):</w:t>
      </w:r>
      <w:r w:rsidR="00F527FA" w:rsidRPr="008B6F3C">
        <w:rPr>
          <w:rFonts w:ascii="Arial" w:hAnsi="Arial" w:cs="Arial"/>
          <w:color w:val="000000" w:themeColor="text1"/>
          <w:sz w:val="24"/>
          <w:szCs w:val="24"/>
        </w:rPr>
        <w:t xml:space="preserve"> </w:t>
      </w:r>
      <w:r w:rsidRPr="008B6F3C">
        <w:rPr>
          <w:rFonts w:ascii="Arial" w:hAnsi="Arial" w:cs="Arial"/>
          <w:color w:val="000000" w:themeColor="text1"/>
          <w:sz w:val="24"/>
          <w:szCs w:val="24"/>
        </w:rPr>
        <w:t>[Brij-700] = 2x10</w:t>
      </w:r>
      <w:r w:rsidRPr="008B6F3C">
        <w:rPr>
          <w:rFonts w:ascii="Arial" w:hAnsi="Arial" w:cs="Arial"/>
          <w:color w:val="000000" w:themeColor="text1"/>
          <w:sz w:val="24"/>
          <w:szCs w:val="24"/>
          <w:vertAlign w:val="superscript"/>
        </w:rPr>
        <w:t>-3</w:t>
      </w:r>
      <w:r w:rsidRPr="008B6F3C">
        <w:rPr>
          <w:rFonts w:ascii="Arial" w:hAnsi="Arial" w:cs="Arial"/>
          <w:color w:val="000000" w:themeColor="text1"/>
          <w:sz w:val="24"/>
          <w:szCs w:val="24"/>
        </w:rPr>
        <w:t xml:space="preserve"> M.</w:t>
      </w:r>
    </w:p>
    <w:p w14:paraId="7A52F082" w14:textId="77777777" w:rsidR="00E31A24" w:rsidRPr="008B6F3C" w:rsidRDefault="00E31A24" w:rsidP="0097495D">
      <w:pPr>
        <w:tabs>
          <w:tab w:val="left" w:pos="142"/>
        </w:tabs>
        <w:spacing w:after="0" w:line="240" w:lineRule="auto"/>
        <w:jc w:val="center"/>
        <w:rPr>
          <w:rFonts w:ascii="Arial" w:hAnsi="Arial" w:cs="Arial"/>
          <w:color w:val="000000" w:themeColor="text1"/>
          <w:sz w:val="24"/>
          <w:szCs w:val="24"/>
        </w:rPr>
      </w:pPr>
    </w:p>
    <w:p w14:paraId="51BBD71D" w14:textId="1DE7A20E" w:rsidR="00C91B89" w:rsidRPr="00C91B89" w:rsidRDefault="00C91B89" w:rsidP="0097495D">
      <w:pPr>
        <w:tabs>
          <w:tab w:val="left" w:pos="142"/>
        </w:tabs>
        <w:spacing w:after="0" w:line="360" w:lineRule="auto"/>
        <w:jc w:val="both"/>
        <w:rPr>
          <w:rFonts w:ascii="Arial" w:hAnsi="Arial" w:cs="Arial"/>
          <w:color w:val="000000" w:themeColor="text1"/>
          <w:sz w:val="24"/>
          <w:szCs w:val="24"/>
        </w:rPr>
      </w:pPr>
      <w:r w:rsidRPr="00C91B89">
        <w:rPr>
          <w:rFonts w:ascii="Arial" w:hAnsi="Arial" w:cs="Arial"/>
          <w:color w:val="000000" w:themeColor="text1"/>
          <w:sz w:val="24"/>
          <w:szCs w:val="24"/>
        </w:rPr>
        <w:t>Micellar media substantially improved sensitivity relative to aqueous solution. Brij 700 yielded the lowest limit of detection (LD = </w:t>
      </w:r>
      <w:proofErr w:type="gramStart"/>
      <w:r w:rsidRPr="00C91B89">
        <w:rPr>
          <w:rFonts w:ascii="Arial" w:hAnsi="Arial" w:cs="Arial"/>
          <w:color w:val="000000" w:themeColor="text1"/>
          <w:sz w:val="24"/>
          <w:szCs w:val="24"/>
        </w:rPr>
        <w:t>1.7 </w:t>
      </w:r>
      <w:r w:rsidR="00080FF5" w:rsidRPr="008B6F3C">
        <w:rPr>
          <w:rFonts w:ascii="Arial" w:hAnsi="Arial" w:cs="Arial"/>
          <w:color w:val="000000" w:themeColor="text1"/>
          <w:sz w:val="24"/>
          <w:szCs w:val="24"/>
        </w:rPr>
        <w:t xml:space="preserve"> </w:t>
      </w:r>
      <w:r w:rsidR="00080FF5" w:rsidRPr="00C91B89">
        <w:rPr>
          <w:rFonts w:ascii="Arial" w:hAnsi="Arial" w:cs="Arial"/>
          <w:color w:val="000000" w:themeColor="text1"/>
          <w:sz w:val="24"/>
          <w:szCs w:val="24"/>
        </w:rPr>
        <w:t>ng</w:t>
      </w:r>
      <w:proofErr w:type="gramEnd"/>
      <w:r w:rsidR="00080FF5" w:rsidRPr="008B6F3C">
        <w:rPr>
          <w:rFonts w:ascii="Arial" w:hAnsi="Arial" w:cs="Arial"/>
          <w:color w:val="000000" w:themeColor="text1"/>
          <w:sz w:val="24"/>
          <w:szCs w:val="24"/>
        </w:rPr>
        <w:t xml:space="preserve"> </w:t>
      </w:r>
      <w:r w:rsidR="00080FF5" w:rsidRPr="00C91B89">
        <w:rPr>
          <w:rFonts w:ascii="Arial" w:hAnsi="Arial" w:cs="Arial"/>
          <w:color w:val="000000" w:themeColor="text1"/>
          <w:sz w:val="24"/>
          <w:szCs w:val="24"/>
        </w:rPr>
        <w:t>mL</w:t>
      </w:r>
      <w:r w:rsidR="00080FF5" w:rsidRPr="008B6F3C">
        <w:rPr>
          <w:rFonts w:ascii="Arial" w:hAnsi="Arial" w:cs="Arial"/>
          <w:color w:val="000000" w:themeColor="text1"/>
          <w:sz w:val="24"/>
          <w:szCs w:val="24"/>
          <w:vertAlign w:val="superscript"/>
        </w:rPr>
        <w:t>-1</w:t>
      </w:r>
      <w:r w:rsidRPr="00C91B89">
        <w:rPr>
          <w:rFonts w:ascii="Arial" w:hAnsi="Arial" w:cs="Arial"/>
          <w:color w:val="000000" w:themeColor="text1"/>
          <w:sz w:val="24"/>
          <w:szCs w:val="24"/>
        </w:rPr>
        <w:t>) and quantification (LQ = 3.3 </w:t>
      </w:r>
      <w:r w:rsidR="00080FF5" w:rsidRPr="008B6F3C">
        <w:rPr>
          <w:rFonts w:ascii="Arial" w:hAnsi="Arial" w:cs="Arial"/>
          <w:color w:val="000000" w:themeColor="text1"/>
          <w:sz w:val="24"/>
          <w:szCs w:val="24"/>
        </w:rPr>
        <w:t xml:space="preserve"> </w:t>
      </w:r>
      <w:r w:rsidR="00080FF5" w:rsidRPr="00C91B89">
        <w:rPr>
          <w:rFonts w:ascii="Arial" w:hAnsi="Arial" w:cs="Arial"/>
          <w:color w:val="000000" w:themeColor="text1"/>
          <w:sz w:val="24"/>
          <w:szCs w:val="24"/>
        </w:rPr>
        <w:t>ng</w:t>
      </w:r>
      <w:r w:rsidR="00080FF5" w:rsidRPr="008B6F3C">
        <w:rPr>
          <w:rFonts w:ascii="Arial" w:hAnsi="Arial" w:cs="Arial"/>
          <w:color w:val="000000" w:themeColor="text1"/>
          <w:sz w:val="24"/>
          <w:szCs w:val="24"/>
        </w:rPr>
        <w:t xml:space="preserve"> </w:t>
      </w:r>
      <w:r w:rsidR="00080FF5" w:rsidRPr="00C91B89">
        <w:rPr>
          <w:rFonts w:ascii="Arial" w:hAnsi="Arial" w:cs="Arial"/>
          <w:color w:val="000000" w:themeColor="text1"/>
          <w:sz w:val="24"/>
          <w:szCs w:val="24"/>
        </w:rPr>
        <w:t>mL</w:t>
      </w:r>
      <w:r w:rsidR="00080FF5" w:rsidRPr="008B6F3C">
        <w:rPr>
          <w:rFonts w:ascii="Arial" w:hAnsi="Arial" w:cs="Arial"/>
          <w:color w:val="000000" w:themeColor="text1"/>
          <w:sz w:val="24"/>
          <w:szCs w:val="24"/>
          <w:vertAlign w:val="superscript"/>
        </w:rPr>
        <w:t>-1</w:t>
      </w:r>
      <w:r w:rsidRPr="00C91B89">
        <w:rPr>
          <w:rFonts w:ascii="Arial" w:hAnsi="Arial" w:cs="Arial"/>
          <w:color w:val="000000" w:themeColor="text1"/>
          <w:sz w:val="24"/>
          <w:szCs w:val="24"/>
        </w:rPr>
        <w:t>), nearly halving the detection threshold observed in water (LD = 4.1 ng/mL; LQ = 13.5 </w:t>
      </w:r>
      <w:r w:rsidR="00080FF5" w:rsidRPr="008B6F3C">
        <w:rPr>
          <w:rFonts w:ascii="Arial" w:hAnsi="Arial" w:cs="Arial"/>
          <w:color w:val="000000" w:themeColor="text1"/>
          <w:sz w:val="24"/>
          <w:szCs w:val="24"/>
        </w:rPr>
        <w:t xml:space="preserve"> </w:t>
      </w:r>
      <w:r w:rsidR="00080FF5" w:rsidRPr="00C91B89">
        <w:rPr>
          <w:rFonts w:ascii="Arial" w:hAnsi="Arial" w:cs="Arial"/>
          <w:color w:val="000000" w:themeColor="text1"/>
          <w:sz w:val="24"/>
          <w:szCs w:val="24"/>
        </w:rPr>
        <w:t>ng</w:t>
      </w:r>
      <w:r w:rsidR="00080FF5" w:rsidRPr="008B6F3C">
        <w:rPr>
          <w:rFonts w:ascii="Arial" w:hAnsi="Arial" w:cs="Arial"/>
          <w:color w:val="000000" w:themeColor="text1"/>
          <w:sz w:val="24"/>
          <w:szCs w:val="24"/>
        </w:rPr>
        <w:t xml:space="preserve"> </w:t>
      </w:r>
      <w:r w:rsidR="00080FF5" w:rsidRPr="00C91B89">
        <w:rPr>
          <w:rFonts w:ascii="Arial" w:hAnsi="Arial" w:cs="Arial"/>
          <w:color w:val="000000" w:themeColor="text1"/>
          <w:sz w:val="24"/>
          <w:szCs w:val="24"/>
        </w:rPr>
        <w:t>mL</w:t>
      </w:r>
      <w:r w:rsidR="00080FF5" w:rsidRPr="008B6F3C">
        <w:rPr>
          <w:rFonts w:ascii="Arial" w:hAnsi="Arial" w:cs="Arial"/>
          <w:color w:val="000000" w:themeColor="text1"/>
          <w:sz w:val="24"/>
          <w:szCs w:val="24"/>
          <w:vertAlign w:val="superscript"/>
        </w:rPr>
        <w:t>-1</w:t>
      </w:r>
      <w:r w:rsidRPr="00C91B89">
        <w:rPr>
          <w:rFonts w:ascii="Arial" w:hAnsi="Arial" w:cs="Arial"/>
          <w:color w:val="000000" w:themeColor="text1"/>
          <w:sz w:val="24"/>
          <w:szCs w:val="24"/>
        </w:rPr>
        <w:t>). SDS also enhanced sensitivity (LD = 2.4 ng</w:t>
      </w:r>
      <w:r w:rsidR="00080FF5" w:rsidRPr="008B6F3C">
        <w:rPr>
          <w:rFonts w:ascii="Arial" w:hAnsi="Arial" w:cs="Arial"/>
          <w:color w:val="000000" w:themeColor="text1"/>
          <w:sz w:val="24"/>
          <w:szCs w:val="24"/>
        </w:rPr>
        <w:t xml:space="preserve"> </w:t>
      </w:r>
      <w:r w:rsidRPr="00C91B89">
        <w:rPr>
          <w:rFonts w:ascii="Arial" w:hAnsi="Arial" w:cs="Arial"/>
          <w:color w:val="000000" w:themeColor="text1"/>
          <w:sz w:val="24"/>
          <w:szCs w:val="24"/>
        </w:rPr>
        <w:t>mL</w:t>
      </w:r>
      <w:r w:rsidR="00080FF5" w:rsidRPr="008B6F3C">
        <w:rPr>
          <w:rFonts w:ascii="Arial" w:hAnsi="Arial" w:cs="Arial"/>
          <w:color w:val="000000" w:themeColor="text1"/>
          <w:sz w:val="24"/>
          <w:szCs w:val="24"/>
          <w:vertAlign w:val="superscript"/>
        </w:rPr>
        <w:t>-</w:t>
      </w:r>
      <w:proofErr w:type="gramStart"/>
      <w:r w:rsidR="00080FF5" w:rsidRPr="008B6F3C">
        <w:rPr>
          <w:rFonts w:ascii="Arial" w:hAnsi="Arial" w:cs="Arial"/>
          <w:color w:val="000000" w:themeColor="text1"/>
          <w:sz w:val="24"/>
          <w:szCs w:val="24"/>
          <w:vertAlign w:val="superscript"/>
        </w:rPr>
        <w:t>1</w:t>
      </w:r>
      <w:r w:rsidRPr="00C91B89">
        <w:rPr>
          <w:rFonts w:ascii="Arial" w:hAnsi="Arial" w:cs="Arial"/>
          <w:color w:val="000000" w:themeColor="text1"/>
          <w:sz w:val="24"/>
          <w:szCs w:val="24"/>
        </w:rPr>
        <w:t>;</w:t>
      </w:r>
      <w:proofErr w:type="gramEnd"/>
      <w:r w:rsidRPr="00C91B89">
        <w:rPr>
          <w:rFonts w:ascii="Arial" w:hAnsi="Arial" w:cs="Arial"/>
          <w:color w:val="000000" w:themeColor="text1"/>
          <w:sz w:val="24"/>
          <w:szCs w:val="24"/>
        </w:rPr>
        <w:t xml:space="preserve"> LQ = 7.1 </w:t>
      </w:r>
      <w:r w:rsidR="00080FF5" w:rsidRPr="00C91B89">
        <w:rPr>
          <w:rFonts w:ascii="Arial" w:hAnsi="Arial" w:cs="Arial"/>
          <w:color w:val="000000" w:themeColor="text1"/>
          <w:sz w:val="24"/>
          <w:szCs w:val="24"/>
        </w:rPr>
        <w:t>ng</w:t>
      </w:r>
      <w:r w:rsidR="00080FF5" w:rsidRPr="008B6F3C">
        <w:rPr>
          <w:rFonts w:ascii="Arial" w:hAnsi="Arial" w:cs="Arial"/>
          <w:color w:val="000000" w:themeColor="text1"/>
          <w:sz w:val="24"/>
          <w:szCs w:val="24"/>
        </w:rPr>
        <w:t xml:space="preserve"> </w:t>
      </w:r>
      <w:r w:rsidR="00080FF5" w:rsidRPr="00C91B89">
        <w:rPr>
          <w:rFonts w:ascii="Arial" w:hAnsi="Arial" w:cs="Arial"/>
          <w:color w:val="000000" w:themeColor="text1"/>
          <w:sz w:val="24"/>
          <w:szCs w:val="24"/>
        </w:rPr>
        <w:t>mL</w:t>
      </w:r>
      <w:r w:rsidR="00080FF5" w:rsidRPr="008B6F3C">
        <w:rPr>
          <w:rFonts w:ascii="Arial" w:hAnsi="Arial" w:cs="Arial"/>
          <w:color w:val="000000" w:themeColor="text1"/>
          <w:sz w:val="24"/>
          <w:szCs w:val="24"/>
          <w:vertAlign w:val="superscript"/>
        </w:rPr>
        <w:t>-1</w:t>
      </w:r>
      <w:r w:rsidRPr="00C91B89">
        <w:rPr>
          <w:rFonts w:ascii="Arial" w:hAnsi="Arial" w:cs="Arial"/>
          <w:color w:val="000000" w:themeColor="text1"/>
          <w:sz w:val="24"/>
          <w:szCs w:val="24"/>
        </w:rPr>
        <w:t>), though slightly less than Brij 700. These improvements reflect the ability of micellar microenvironments to reduce non-radiative decay, stabilize the excited state of serotonin, and concentrate the analyte within the micellar pseudophase, in line with established photophysical principles [</w:t>
      </w:r>
      <w:r w:rsidR="00C6675E" w:rsidRPr="008B6F3C">
        <w:rPr>
          <w:rFonts w:ascii="Arial" w:hAnsi="Arial" w:cs="Arial"/>
          <w:color w:val="0070C0"/>
          <w:sz w:val="24"/>
          <w:szCs w:val="24"/>
        </w:rPr>
        <w:t>31-34</w:t>
      </w:r>
      <w:r w:rsidRPr="00C91B89">
        <w:rPr>
          <w:rFonts w:ascii="Arial" w:hAnsi="Arial" w:cs="Arial"/>
          <w:color w:val="000000" w:themeColor="text1"/>
          <w:sz w:val="24"/>
          <w:szCs w:val="24"/>
        </w:rPr>
        <w:t>].</w:t>
      </w:r>
    </w:p>
    <w:p w14:paraId="2E385372" w14:textId="630A3018" w:rsidR="00C91B89" w:rsidRPr="00C91B89" w:rsidRDefault="00C91B89" w:rsidP="0097495D">
      <w:pPr>
        <w:tabs>
          <w:tab w:val="left" w:pos="142"/>
        </w:tabs>
        <w:spacing w:after="0" w:line="360" w:lineRule="auto"/>
        <w:jc w:val="both"/>
        <w:rPr>
          <w:rFonts w:ascii="Arial" w:hAnsi="Arial" w:cs="Arial"/>
          <w:color w:val="000000" w:themeColor="text1"/>
          <w:sz w:val="24"/>
          <w:szCs w:val="24"/>
        </w:rPr>
      </w:pPr>
      <w:r w:rsidRPr="00C91B89">
        <w:rPr>
          <w:rFonts w:ascii="Arial" w:hAnsi="Arial" w:cs="Arial"/>
          <w:color w:val="000000" w:themeColor="text1"/>
          <w:sz w:val="24"/>
          <w:szCs w:val="24"/>
        </w:rPr>
        <w:t>The relative standard deviations (0.02–1.35%) demonstrate excellent reproducibility across all media, indicating that micelle incorporation does not compromise measurement precision. This is particularly relevant for biological matrices, where low concentrations and matrix effects can challenge quantitative reliability [</w:t>
      </w:r>
      <w:r w:rsidR="00C6675E" w:rsidRPr="008B6F3C">
        <w:rPr>
          <w:rFonts w:ascii="Arial" w:hAnsi="Arial" w:cs="Arial"/>
          <w:color w:val="0070C0"/>
          <w:sz w:val="24"/>
          <w:szCs w:val="24"/>
        </w:rPr>
        <w:t>30</w:t>
      </w:r>
      <w:r w:rsidRPr="00C91B89">
        <w:rPr>
          <w:rFonts w:ascii="Arial" w:hAnsi="Arial" w:cs="Arial"/>
          <w:color w:val="0070C0"/>
          <w:sz w:val="24"/>
          <w:szCs w:val="24"/>
        </w:rPr>
        <w:t>,</w:t>
      </w:r>
      <w:r w:rsidR="00C6675E" w:rsidRPr="008B6F3C">
        <w:rPr>
          <w:rFonts w:ascii="Arial" w:hAnsi="Arial" w:cs="Arial"/>
          <w:color w:val="0070C0"/>
          <w:sz w:val="24"/>
          <w:szCs w:val="24"/>
        </w:rPr>
        <w:t>32</w:t>
      </w:r>
      <w:r w:rsidRPr="00C91B89">
        <w:rPr>
          <w:rFonts w:ascii="Arial" w:hAnsi="Arial" w:cs="Arial"/>
          <w:color w:val="000000" w:themeColor="text1"/>
          <w:sz w:val="24"/>
          <w:szCs w:val="24"/>
        </w:rPr>
        <w:t>].</w:t>
      </w:r>
    </w:p>
    <w:p w14:paraId="41E60312" w14:textId="4C0603BD" w:rsidR="00C91B89" w:rsidRPr="00C91B89" w:rsidRDefault="00C91B89" w:rsidP="0097495D">
      <w:pPr>
        <w:tabs>
          <w:tab w:val="left" w:pos="142"/>
        </w:tabs>
        <w:spacing w:after="0" w:line="360" w:lineRule="auto"/>
        <w:jc w:val="both"/>
        <w:rPr>
          <w:rFonts w:ascii="Arial" w:hAnsi="Arial" w:cs="Arial"/>
          <w:color w:val="000000" w:themeColor="text1"/>
          <w:sz w:val="24"/>
          <w:szCs w:val="24"/>
        </w:rPr>
      </w:pPr>
      <w:r w:rsidRPr="00C91B89">
        <w:rPr>
          <w:rFonts w:ascii="Arial" w:hAnsi="Arial" w:cs="Arial"/>
          <w:color w:val="000000" w:themeColor="text1"/>
          <w:sz w:val="24"/>
          <w:szCs w:val="24"/>
        </w:rPr>
        <w:t xml:space="preserve">Brij 700’s superior performance can be attributed to its nonionic, neutral character, which minimizes electrostatic repulsion and quenching, facilitating optimal incorporation of serotonin into the palisade layer and maximizing emission intensity </w:t>
      </w:r>
      <w:r w:rsidRPr="00C91B89">
        <w:rPr>
          <w:rFonts w:ascii="Arial" w:hAnsi="Arial" w:cs="Arial"/>
          <w:color w:val="000000" w:themeColor="text1"/>
          <w:sz w:val="24"/>
          <w:szCs w:val="24"/>
        </w:rPr>
        <w:lastRenderedPageBreak/>
        <w:t>[</w:t>
      </w:r>
      <w:r w:rsidR="00C6675E" w:rsidRPr="008B6F3C">
        <w:rPr>
          <w:rFonts w:ascii="Arial" w:hAnsi="Arial" w:cs="Arial"/>
          <w:color w:val="0070C0"/>
          <w:sz w:val="24"/>
          <w:szCs w:val="24"/>
        </w:rPr>
        <w:t>33</w:t>
      </w:r>
      <w:r w:rsidRPr="00C91B89">
        <w:rPr>
          <w:rFonts w:ascii="Arial" w:hAnsi="Arial" w:cs="Arial"/>
          <w:color w:val="0070C0"/>
          <w:sz w:val="24"/>
          <w:szCs w:val="24"/>
        </w:rPr>
        <w:t>,</w:t>
      </w:r>
      <w:r w:rsidR="00C6675E" w:rsidRPr="008B6F3C">
        <w:rPr>
          <w:rFonts w:ascii="Arial" w:hAnsi="Arial" w:cs="Arial"/>
          <w:color w:val="0070C0"/>
          <w:sz w:val="24"/>
          <w:szCs w:val="24"/>
        </w:rPr>
        <w:t>35</w:t>
      </w:r>
      <w:r w:rsidRPr="00C91B89">
        <w:rPr>
          <w:rFonts w:ascii="Arial" w:hAnsi="Arial" w:cs="Arial"/>
          <w:color w:val="000000" w:themeColor="text1"/>
          <w:sz w:val="24"/>
          <w:szCs w:val="24"/>
        </w:rPr>
        <w:t>]. SDS, an anionic surfactant, provides substantial enhancement through favorable electrostatic attraction to the protonated serotonin, but the enhancement is slightly lower than with Brij 700 due to partial distribution at the micelle–water interface rather than full incorporation [</w:t>
      </w:r>
      <w:r w:rsidR="00C6675E" w:rsidRPr="008B6F3C">
        <w:rPr>
          <w:rFonts w:ascii="Arial" w:hAnsi="Arial" w:cs="Arial"/>
          <w:color w:val="0070C0"/>
          <w:sz w:val="24"/>
          <w:szCs w:val="24"/>
        </w:rPr>
        <w:t>3</w:t>
      </w:r>
      <w:r w:rsidRPr="00C91B89">
        <w:rPr>
          <w:rFonts w:ascii="Arial" w:hAnsi="Arial" w:cs="Arial"/>
          <w:color w:val="0070C0"/>
          <w:sz w:val="24"/>
          <w:szCs w:val="24"/>
        </w:rPr>
        <w:t>5,</w:t>
      </w:r>
      <w:r w:rsidR="00C6675E" w:rsidRPr="008B6F3C">
        <w:rPr>
          <w:rFonts w:ascii="Arial" w:hAnsi="Arial" w:cs="Arial"/>
          <w:color w:val="0070C0"/>
          <w:sz w:val="24"/>
          <w:szCs w:val="24"/>
        </w:rPr>
        <w:t>3</w:t>
      </w:r>
      <w:r w:rsidRPr="00C91B89">
        <w:rPr>
          <w:rFonts w:ascii="Arial" w:hAnsi="Arial" w:cs="Arial"/>
          <w:color w:val="0070C0"/>
          <w:sz w:val="24"/>
          <w:szCs w:val="24"/>
        </w:rPr>
        <w:t>6</w:t>
      </w:r>
      <w:r w:rsidRPr="00C91B89">
        <w:rPr>
          <w:rFonts w:ascii="Arial" w:hAnsi="Arial" w:cs="Arial"/>
          <w:color w:val="000000" w:themeColor="text1"/>
          <w:sz w:val="24"/>
          <w:szCs w:val="24"/>
        </w:rPr>
        <w:t>]. Moreover, SDS offers higher photostability, which may be advantageous for prolonged measurements or repeated analyses [</w:t>
      </w:r>
      <w:r w:rsidR="00C6675E" w:rsidRPr="008B6F3C">
        <w:rPr>
          <w:rFonts w:ascii="Arial" w:hAnsi="Arial" w:cs="Arial"/>
          <w:color w:val="0070C0"/>
          <w:sz w:val="24"/>
          <w:szCs w:val="24"/>
        </w:rPr>
        <w:t>3</w:t>
      </w:r>
      <w:r w:rsidRPr="00C91B89">
        <w:rPr>
          <w:rFonts w:ascii="Arial" w:hAnsi="Arial" w:cs="Arial"/>
          <w:color w:val="0070C0"/>
          <w:sz w:val="24"/>
          <w:szCs w:val="24"/>
        </w:rPr>
        <w:t>3,</w:t>
      </w:r>
      <w:r w:rsidR="00C6675E" w:rsidRPr="008B6F3C">
        <w:rPr>
          <w:rFonts w:ascii="Arial" w:hAnsi="Arial" w:cs="Arial"/>
          <w:color w:val="0070C0"/>
          <w:sz w:val="24"/>
          <w:szCs w:val="24"/>
        </w:rPr>
        <w:t>3</w:t>
      </w:r>
      <w:r w:rsidRPr="00C91B89">
        <w:rPr>
          <w:rFonts w:ascii="Arial" w:hAnsi="Arial" w:cs="Arial"/>
          <w:color w:val="0070C0"/>
          <w:sz w:val="24"/>
          <w:szCs w:val="24"/>
        </w:rPr>
        <w:t>7,</w:t>
      </w:r>
      <w:r w:rsidR="00C6675E" w:rsidRPr="008B6F3C">
        <w:rPr>
          <w:rFonts w:ascii="Arial" w:hAnsi="Arial" w:cs="Arial"/>
          <w:color w:val="0070C0"/>
          <w:sz w:val="24"/>
          <w:szCs w:val="24"/>
        </w:rPr>
        <w:t>38</w:t>
      </w:r>
      <w:r w:rsidRPr="00C91B89">
        <w:rPr>
          <w:rFonts w:ascii="Arial" w:hAnsi="Arial" w:cs="Arial"/>
          <w:color w:val="000000" w:themeColor="text1"/>
          <w:sz w:val="24"/>
          <w:szCs w:val="24"/>
        </w:rPr>
        <w:t>].</w:t>
      </w:r>
    </w:p>
    <w:p w14:paraId="3010AE65" w14:textId="24F7EC12" w:rsidR="00C91B89" w:rsidRPr="008B6F3C" w:rsidRDefault="00C91B89" w:rsidP="0097495D">
      <w:pPr>
        <w:tabs>
          <w:tab w:val="left" w:pos="142"/>
        </w:tabs>
        <w:spacing w:after="0" w:line="360" w:lineRule="auto"/>
        <w:jc w:val="both"/>
        <w:rPr>
          <w:rFonts w:ascii="Arial" w:hAnsi="Arial" w:cs="Arial"/>
          <w:color w:val="000000" w:themeColor="text1"/>
          <w:sz w:val="24"/>
          <w:szCs w:val="24"/>
        </w:rPr>
      </w:pPr>
      <w:r w:rsidRPr="00C91B89">
        <w:rPr>
          <w:rFonts w:ascii="Arial" w:hAnsi="Arial" w:cs="Arial"/>
          <w:color w:val="000000" w:themeColor="text1"/>
          <w:sz w:val="24"/>
          <w:szCs w:val="24"/>
        </w:rPr>
        <w:t xml:space="preserve">Overall, the data confirm that micellar media not only amplify fluorescence signals but also improve analytical metrics such as sensitivity, linearity, and precision. These findings support the choice of surfactant depending on analytical </w:t>
      </w:r>
      <w:proofErr w:type="gramStart"/>
      <w:r w:rsidRPr="00C91B89">
        <w:rPr>
          <w:rFonts w:ascii="Arial" w:hAnsi="Arial" w:cs="Arial"/>
          <w:color w:val="000000" w:themeColor="text1"/>
          <w:sz w:val="24"/>
          <w:szCs w:val="24"/>
        </w:rPr>
        <w:t>priorities:</w:t>
      </w:r>
      <w:proofErr w:type="gramEnd"/>
      <w:r w:rsidRPr="00C91B89">
        <w:rPr>
          <w:rFonts w:ascii="Arial" w:hAnsi="Arial" w:cs="Arial"/>
          <w:color w:val="000000" w:themeColor="text1"/>
          <w:sz w:val="24"/>
          <w:szCs w:val="24"/>
        </w:rPr>
        <w:t xml:space="preserve"> Brij 700 for maximal signal intensity and low detection limits, SDS for enhanced stability and robustness in complex matrices. Such micelle-assisted spectrofluorimetric approaches provide a cost-effective, sensitive alternative to chromatographic techniques for direct serotonin determination in biological fluids [</w:t>
      </w:r>
      <w:r w:rsidR="00C6675E" w:rsidRPr="008B6F3C">
        <w:rPr>
          <w:rFonts w:ascii="Arial" w:hAnsi="Arial" w:cs="Arial"/>
          <w:color w:val="0070C0"/>
          <w:sz w:val="24"/>
          <w:szCs w:val="24"/>
        </w:rPr>
        <w:t>30</w:t>
      </w:r>
      <w:r w:rsidRPr="00C91B89">
        <w:rPr>
          <w:rFonts w:ascii="Arial" w:hAnsi="Arial" w:cs="Arial"/>
          <w:color w:val="0070C0"/>
          <w:sz w:val="24"/>
          <w:szCs w:val="24"/>
        </w:rPr>
        <w:t>–</w:t>
      </w:r>
      <w:r w:rsidR="00C6675E" w:rsidRPr="008B6F3C">
        <w:rPr>
          <w:rFonts w:ascii="Arial" w:hAnsi="Arial" w:cs="Arial"/>
          <w:color w:val="0070C0"/>
          <w:sz w:val="24"/>
          <w:szCs w:val="24"/>
        </w:rPr>
        <w:t>3</w:t>
      </w:r>
      <w:r w:rsidRPr="00C91B89">
        <w:rPr>
          <w:rFonts w:ascii="Arial" w:hAnsi="Arial" w:cs="Arial"/>
          <w:color w:val="0070C0"/>
          <w:sz w:val="24"/>
          <w:szCs w:val="24"/>
        </w:rPr>
        <w:t>6,</w:t>
      </w:r>
      <w:r w:rsidR="00C6675E" w:rsidRPr="008B6F3C">
        <w:rPr>
          <w:rFonts w:ascii="Arial" w:hAnsi="Arial" w:cs="Arial"/>
          <w:color w:val="0070C0"/>
          <w:sz w:val="24"/>
          <w:szCs w:val="24"/>
        </w:rPr>
        <w:t>39</w:t>
      </w:r>
      <w:r w:rsidRPr="00C91B89">
        <w:rPr>
          <w:rFonts w:ascii="Arial" w:hAnsi="Arial" w:cs="Arial"/>
          <w:color w:val="000000" w:themeColor="text1"/>
          <w:sz w:val="24"/>
          <w:szCs w:val="24"/>
        </w:rPr>
        <w:t>].</w:t>
      </w:r>
    </w:p>
    <w:p w14:paraId="7FE91501" w14:textId="793CFFB0" w:rsidR="00582888" w:rsidRPr="008B6F3C" w:rsidRDefault="00582888" w:rsidP="0097495D">
      <w:pPr>
        <w:tabs>
          <w:tab w:val="left" w:pos="142"/>
        </w:tabs>
        <w:spacing w:after="0" w:line="240" w:lineRule="auto"/>
        <w:jc w:val="both"/>
        <w:rPr>
          <w:rFonts w:ascii="Arial" w:hAnsi="Arial" w:cs="Arial"/>
          <w:color w:val="000000" w:themeColor="text1"/>
          <w:sz w:val="24"/>
          <w:szCs w:val="24"/>
        </w:rPr>
      </w:pPr>
      <w:r w:rsidRPr="008B6F3C">
        <w:rPr>
          <w:rFonts w:ascii="Arial" w:hAnsi="Arial" w:cs="Arial"/>
          <w:b/>
          <w:bCs/>
          <w:color w:val="000000" w:themeColor="text1"/>
          <w:sz w:val="24"/>
          <w:szCs w:val="24"/>
        </w:rPr>
        <w:t xml:space="preserve">Table 3. </w:t>
      </w:r>
      <w:r w:rsidRPr="008B6F3C">
        <w:rPr>
          <w:rFonts w:ascii="Arial" w:hAnsi="Arial" w:cs="Arial"/>
          <w:color w:val="000000" w:themeColor="text1"/>
          <w:sz w:val="24"/>
          <w:szCs w:val="24"/>
        </w:rPr>
        <w:t>Statistical evaluation and analytical performance characteristics of log–log calibration curves in micellar media (α = 0.05).</w:t>
      </w:r>
      <w:r w:rsidRPr="00582888">
        <w:rPr>
          <w:rFonts w:ascii="Arial" w:hAnsi="Arial" w:cs="Arial"/>
          <w:color w:val="000000" w:themeColor="text1"/>
          <w:sz w:val="24"/>
          <w:szCs w:val="24"/>
        </w:rPr>
        <w:t xml:space="preserve"> </w:t>
      </w:r>
    </w:p>
    <w:p w14:paraId="6293A9EA"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bl>
      <w:tblPr>
        <w:tblW w:w="8585" w:type="dxa"/>
        <w:jc w:val="center"/>
        <w:tblLayout w:type="fixed"/>
        <w:tblCellMar>
          <w:top w:w="15" w:type="dxa"/>
          <w:left w:w="15" w:type="dxa"/>
          <w:bottom w:w="15" w:type="dxa"/>
          <w:right w:w="15" w:type="dxa"/>
        </w:tblCellMar>
        <w:tblLook w:val="04A0" w:firstRow="1" w:lastRow="0" w:firstColumn="1" w:lastColumn="0" w:noHBand="0" w:noVBand="1"/>
      </w:tblPr>
      <w:tblGrid>
        <w:gridCol w:w="2265"/>
        <w:gridCol w:w="90"/>
        <w:gridCol w:w="1830"/>
        <w:gridCol w:w="50"/>
        <w:gridCol w:w="1410"/>
        <w:gridCol w:w="1395"/>
        <w:gridCol w:w="150"/>
        <w:gridCol w:w="90"/>
        <w:gridCol w:w="1305"/>
      </w:tblGrid>
      <w:tr w:rsidR="00582888" w:rsidRPr="008B6F3C" w14:paraId="660ABCD7" w14:textId="77777777" w:rsidTr="00D4706D">
        <w:trPr>
          <w:jc w:val="center"/>
        </w:trPr>
        <w:tc>
          <w:tcPr>
            <w:tcW w:w="2265" w:type="dxa"/>
            <w:tcBorders>
              <w:top w:val="single" w:sz="4" w:space="0" w:color="auto"/>
              <w:left w:val="nil"/>
              <w:bottom w:val="outset" w:sz="6" w:space="0" w:color="auto"/>
              <w:right w:val="nil"/>
            </w:tcBorders>
            <w:vAlign w:val="center"/>
          </w:tcPr>
          <w:p w14:paraId="2DC7439E" w14:textId="1F37B651" w:rsidR="00582888" w:rsidRPr="00582888" w:rsidRDefault="00D4706D" w:rsidP="0097495D">
            <w:pPr>
              <w:tabs>
                <w:tab w:val="left" w:pos="142"/>
              </w:tabs>
              <w:spacing w:after="0" w:line="240" w:lineRule="auto"/>
              <w:jc w:val="right"/>
              <w:rPr>
                <w:rFonts w:ascii="Arial" w:hAnsi="Arial" w:cs="Arial"/>
                <w:color w:val="000000" w:themeColor="text1"/>
                <w:sz w:val="24"/>
                <w:szCs w:val="24"/>
              </w:rPr>
            </w:pPr>
            <w:r w:rsidRPr="008B6F3C">
              <w:rPr>
                <w:rFonts w:ascii="Arial" w:hAnsi="Arial" w:cs="Arial"/>
                <w:color w:val="000000" w:themeColor="text1"/>
                <w:sz w:val="24"/>
                <w:szCs w:val="24"/>
              </w:rPr>
              <w:t>Parameters</w:t>
            </w:r>
          </w:p>
        </w:tc>
        <w:tc>
          <w:tcPr>
            <w:tcW w:w="90" w:type="dxa"/>
            <w:tcBorders>
              <w:top w:val="single" w:sz="4" w:space="0" w:color="auto"/>
              <w:left w:val="nil"/>
              <w:bottom w:val="outset" w:sz="6" w:space="0" w:color="auto"/>
              <w:right w:val="nil"/>
            </w:tcBorders>
            <w:vAlign w:val="center"/>
          </w:tcPr>
          <w:p w14:paraId="5079E0EF"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single" w:sz="4" w:space="0" w:color="auto"/>
              <w:left w:val="nil"/>
              <w:bottom w:val="outset" w:sz="6" w:space="0" w:color="auto"/>
              <w:right w:val="nil"/>
            </w:tcBorders>
            <w:noWrap/>
            <w:vAlign w:val="center"/>
          </w:tcPr>
          <w:p w14:paraId="6EB7172C"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50" w:type="dxa"/>
            <w:tcBorders>
              <w:top w:val="single" w:sz="4" w:space="0" w:color="auto"/>
              <w:left w:val="nil"/>
              <w:bottom w:val="outset" w:sz="6" w:space="0" w:color="auto"/>
              <w:right w:val="nil"/>
            </w:tcBorders>
            <w:vAlign w:val="center"/>
          </w:tcPr>
          <w:p w14:paraId="0100F7D6"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single" w:sz="4" w:space="0" w:color="auto"/>
              <w:left w:val="nil"/>
              <w:bottom w:val="outset" w:sz="6" w:space="0" w:color="auto"/>
              <w:right w:val="nil"/>
            </w:tcBorders>
            <w:vAlign w:val="center"/>
            <w:hideMark/>
          </w:tcPr>
          <w:p w14:paraId="1D30822B" w14:textId="17651DD4"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Water</w:t>
            </w:r>
          </w:p>
        </w:tc>
        <w:tc>
          <w:tcPr>
            <w:tcW w:w="1395" w:type="dxa"/>
            <w:tcBorders>
              <w:top w:val="single" w:sz="4" w:space="0" w:color="auto"/>
              <w:left w:val="nil"/>
              <w:bottom w:val="outset" w:sz="6" w:space="0" w:color="auto"/>
              <w:right w:val="nil"/>
            </w:tcBorders>
            <w:noWrap/>
            <w:vAlign w:val="center"/>
            <w:hideMark/>
          </w:tcPr>
          <w:p w14:paraId="68FE72A7" w14:textId="5F21A452"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Brij 700</w:t>
            </w:r>
          </w:p>
        </w:tc>
        <w:tc>
          <w:tcPr>
            <w:tcW w:w="150" w:type="dxa"/>
            <w:tcBorders>
              <w:top w:val="single" w:sz="4" w:space="0" w:color="auto"/>
              <w:left w:val="nil"/>
              <w:bottom w:val="outset" w:sz="6" w:space="0" w:color="auto"/>
              <w:right w:val="nil"/>
            </w:tcBorders>
            <w:vAlign w:val="center"/>
          </w:tcPr>
          <w:p w14:paraId="04815D81"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single" w:sz="4" w:space="0" w:color="auto"/>
              <w:left w:val="nil"/>
              <w:bottom w:val="outset" w:sz="6" w:space="0" w:color="auto"/>
              <w:right w:val="nil"/>
            </w:tcBorders>
            <w:vAlign w:val="center"/>
          </w:tcPr>
          <w:p w14:paraId="71ECDE26"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single" w:sz="4" w:space="0" w:color="auto"/>
              <w:left w:val="nil"/>
              <w:bottom w:val="outset" w:sz="6" w:space="0" w:color="auto"/>
              <w:right w:val="nil"/>
            </w:tcBorders>
            <w:vAlign w:val="center"/>
            <w:hideMark/>
          </w:tcPr>
          <w:p w14:paraId="2713522A" w14:textId="72FB1689"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SDS</w:t>
            </w:r>
          </w:p>
        </w:tc>
      </w:tr>
      <w:tr w:rsidR="00582888" w:rsidRPr="008B6F3C" w14:paraId="49A1C845" w14:textId="77777777" w:rsidTr="00582888">
        <w:trPr>
          <w:jc w:val="center"/>
        </w:trPr>
        <w:tc>
          <w:tcPr>
            <w:tcW w:w="2265" w:type="dxa"/>
            <w:vMerge w:val="restart"/>
            <w:tcBorders>
              <w:top w:val="nil"/>
              <w:left w:val="nil"/>
              <w:bottom w:val="outset" w:sz="6" w:space="0" w:color="auto"/>
              <w:right w:val="nil"/>
            </w:tcBorders>
            <w:vAlign w:val="center"/>
            <w:hideMark/>
          </w:tcPr>
          <w:p w14:paraId="44FB7DB7"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r w:rsidRPr="00582888">
              <w:rPr>
                <w:rFonts w:ascii="Arial" w:hAnsi="Arial" w:cs="Arial"/>
                <w:color w:val="000000" w:themeColor="text1"/>
                <w:sz w:val="24"/>
                <w:szCs w:val="24"/>
              </w:rPr>
              <w:t>Equation</w:t>
            </w:r>
          </w:p>
        </w:tc>
        <w:tc>
          <w:tcPr>
            <w:tcW w:w="90" w:type="dxa"/>
            <w:tcBorders>
              <w:top w:val="nil"/>
              <w:left w:val="nil"/>
              <w:bottom w:val="outset" w:sz="6" w:space="0" w:color="auto"/>
              <w:right w:val="nil"/>
            </w:tcBorders>
            <w:vAlign w:val="center"/>
          </w:tcPr>
          <w:p w14:paraId="7F12A7C0"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09BA5B87"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r w:rsidRPr="00582888">
              <w:rPr>
                <w:rFonts w:ascii="Arial" w:hAnsi="Arial" w:cs="Arial"/>
                <w:color w:val="000000" w:themeColor="text1"/>
                <w:sz w:val="24"/>
                <w:szCs w:val="24"/>
              </w:rPr>
              <w:t>Slope</w:t>
            </w:r>
          </w:p>
        </w:tc>
        <w:tc>
          <w:tcPr>
            <w:tcW w:w="50" w:type="dxa"/>
            <w:tcBorders>
              <w:top w:val="nil"/>
              <w:left w:val="nil"/>
              <w:bottom w:val="outset" w:sz="6" w:space="0" w:color="auto"/>
              <w:right w:val="nil"/>
            </w:tcBorders>
            <w:vAlign w:val="center"/>
          </w:tcPr>
          <w:p w14:paraId="4D55F760"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75FFF397"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221.16</w:t>
            </w:r>
          </w:p>
        </w:tc>
        <w:tc>
          <w:tcPr>
            <w:tcW w:w="1395" w:type="dxa"/>
            <w:tcBorders>
              <w:top w:val="nil"/>
              <w:left w:val="nil"/>
              <w:bottom w:val="outset" w:sz="6" w:space="0" w:color="auto"/>
              <w:right w:val="nil"/>
            </w:tcBorders>
            <w:noWrap/>
            <w:vAlign w:val="center"/>
            <w:hideMark/>
          </w:tcPr>
          <w:p w14:paraId="7730E043" w14:textId="212AC674" w:rsidR="00582888" w:rsidRPr="00582888" w:rsidRDefault="00D4706D"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43</w:t>
            </w:r>
            <w:r w:rsidR="00582888" w:rsidRPr="00582888">
              <w:rPr>
                <w:rFonts w:ascii="Arial" w:hAnsi="Arial" w:cs="Arial"/>
                <w:color w:val="000000" w:themeColor="text1"/>
                <w:sz w:val="24"/>
                <w:szCs w:val="24"/>
              </w:rPr>
              <w:t>2.93</w:t>
            </w:r>
          </w:p>
        </w:tc>
        <w:tc>
          <w:tcPr>
            <w:tcW w:w="150" w:type="dxa"/>
            <w:tcBorders>
              <w:top w:val="nil"/>
              <w:left w:val="nil"/>
              <w:bottom w:val="outset" w:sz="6" w:space="0" w:color="auto"/>
              <w:right w:val="nil"/>
            </w:tcBorders>
            <w:vAlign w:val="center"/>
          </w:tcPr>
          <w:p w14:paraId="291866A6"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2826AEF8"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6F133090"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174.56</w:t>
            </w:r>
          </w:p>
        </w:tc>
      </w:tr>
      <w:tr w:rsidR="00582888" w:rsidRPr="008B6F3C" w14:paraId="2BF2A1EB" w14:textId="77777777" w:rsidTr="00582888">
        <w:trPr>
          <w:jc w:val="center"/>
        </w:trPr>
        <w:tc>
          <w:tcPr>
            <w:tcW w:w="2265" w:type="dxa"/>
            <w:vMerge/>
            <w:tcBorders>
              <w:top w:val="nil"/>
              <w:left w:val="nil"/>
              <w:bottom w:val="outset" w:sz="6" w:space="0" w:color="auto"/>
              <w:right w:val="nil"/>
            </w:tcBorders>
            <w:vAlign w:val="center"/>
            <w:hideMark/>
          </w:tcPr>
          <w:p w14:paraId="5E8CCBCB"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5A730495"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0983C02B"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r w:rsidRPr="00582888">
              <w:rPr>
                <w:rFonts w:ascii="Arial" w:hAnsi="Arial" w:cs="Arial"/>
                <w:color w:val="000000" w:themeColor="text1"/>
                <w:sz w:val="24"/>
                <w:szCs w:val="24"/>
              </w:rPr>
              <w:t>Intercept</w:t>
            </w:r>
          </w:p>
        </w:tc>
        <w:tc>
          <w:tcPr>
            <w:tcW w:w="50" w:type="dxa"/>
            <w:tcBorders>
              <w:top w:val="nil"/>
              <w:left w:val="nil"/>
              <w:bottom w:val="outset" w:sz="6" w:space="0" w:color="auto"/>
              <w:right w:val="nil"/>
            </w:tcBorders>
            <w:vAlign w:val="center"/>
          </w:tcPr>
          <w:p w14:paraId="1E6FE4A6"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45A38288"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1.55</w:t>
            </w:r>
          </w:p>
        </w:tc>
        <w:tc>
          <w:tcPr>
            <w:tcW w:w="1395" w:type="dxa"/>
            <w:tcBorders>
              <w:top w:val="nil"/>
              <w:left w:val="nil"/>
              <w:bottom w:val="outset" w:sz="6" w:space="0" w:color="auto"/>
              <w:right w:val="nil"/>
            </w:tcBorders>
            <w:noWrap/>
            <w:vAlign w:val="center"/>
            <w:hideMark/>
          </w:tcPr>
          <w:p w14:paraId="2CD36729" w14:textId="38D6C12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5.25</w:t>
            </w:r>
          </w:p>
        </w:tc>
        <w:tc>
          <w:tcPr>
            <w:tcW w:w="150" w:type="dxa"/>
            <w:tcBorders>
              <w:top w:val="nil"/>
              <w:left w:val="nil"/>
              <w:bottom w:val="outset" w:sz="6" w:space="0" w:color="auto"/>
              <w:right w:val="nil"/>
            </w:tcBorders>
            <w:vAlign w:val="center"/>
          </w:tcPr>
          <w:p w14:paraId="45295BDF"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5EB65AE4"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14C9D7B7"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6.93</w:t>
            </w:r>
          </w:p>
        </w:tc>
      </w:tr>
      <w:tr w:rsidR="00582888" w:rsidRPr="008B6F3C" w14:paraId="681B92FF" w14:textId="77777777" w:rsidTr="00582888">
        <w:trPr>
          <w:jc w:val="center"/>
        </w:trPr>
        <w:tc>
          <w:tcPr>
            <w:tcW w:w="2265" w:type="dxa"/>
            <w:vMerge/>
            <w:tcBorders>
              <w:top w:val="nil"/>
              <w:left w:val="nil"/>
              <w:bottom w:val="outset" w:sz="6" w:space="0" w:color="auto"/>
              <w:right w:val="nil"/>
            </w:tcBorders>
            <w:vAlign w:val="center"/>
            <w:hideMark/>
          </w:tcPr>
          <w:p w14:paraId="163A8E5D"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5F743F07"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09A2E70F"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r w:rsidRPr="00582888">
              <w:rPr>
                <w:rFonts w:ascii="Arial" w:hAnsi="Arial" w:cs="Arial"/>
                <w:color w:val="000000" w:themeColor="text1"/>
                <w:sz w:val="24"/>
                <w:szCs w:val="24"/>
              </w:rPr>
              <w:t>(</w:t>
            </w:r>
            <w:proofErr w:type="gramStart"/>
            <w:r w:rsidRPr="00582888">
              <w:rPr>
                <w:rFonts w:ascii="Arial" w:hAnsi="Arial" w:cs="Arial"/>
                <w:color w:val="000000" w:themeColor="text1"/>
                <w:sz w:val="24"/>
                <w:szCs w:val="24"/>
              </w:rPr>
              <w:t>r</w:t>
            </w:r>
            <w:proofErr w:type="gramEnd"/>
            <w:r w:rsidRPr="00582888">
              <w:rPr>
                <w:rFonts w:ascii="Arial" w:hAnsi="Arial" w:cs="Arial"/>
                <w:color w:val="000000" w:themeColor="text1"/>
                <w:sz w:val="24"/>
                <w:szCs w:val="24"/>
                <w:vertAlign w:val="superscript"/>
              </w:rPr>
              <w:t>2</w:t>
            </w:r>
            <w:r w:rsidRPr="00582888">
              <w:rPr>
                <w:rFonts w:ascii="Arial" w:hAnsi="Arial" w:cs="Arial"/>
                <w:color w:val="000000" w:themeColor="text1"/>
                <w:sz w:val="24"/>
                <w:szCs w:val="24"/>
              </w:rPr>
              <w:t xml:space="preserve">) </w:t>
            </w:r>
            <w:r w:rsidRPr="00582888">
              <w:rPr>
                <w:rFonts w:ascii="Arial" w:hAnsi="Arial" w:cs="Arial"/>
                <w:color w:val="000000" w:themeColor="text1"/>
                <w:sz w:val="24"/>
                <w:szCs w:val="24"/>
                <w:vertAlign w:val="superscript"/>
              </w:rPr>
              <w:t>a</w:t>
            </w:r>
          </w:p>
        </w:tc>
        <w:tc>
          <w:tcPr>
            <w:tcW w:w="50" w:type="dxa"/>
            <w:tcBorders>
              <w:top w:val="nil"/>
              <w:left w:val="nil"/>
              <w:bottom w:val="outset" w:sz="6" w:space="0" w:color="auto"/>
              <w:right w:val="nil"/>
            </w:tcBorders>
            <w:vAlign w:val="center"/>
          </w:tcPr>
          <w:p w14:paraId="4986D30F"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545BD185"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0.999</w:t>
            </w:r>
          </w:p>
        </w:tc>
        <w:tc>
          <w:tcPr>
            <w:tcW w:w="1395" w:type="dxa"/>
            <w:tcBorders>
              <w:top w:val="nil"/>
              <w:left w:val="nil"/>
              <w:bottom w:val="outset" w:sz="6" w:space="0" w:color="auto"/>
              <w:right w:val="nil"/>
            </w:tcBorders>
            <w:noWrap/>
            <w:vAlign w:val="center"/>
            <w:hideMark/>
          </w:tcPr>
          <w:p w14:paraId="6181CACF"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0.998</w:t>
            </w:r>
          </w:p>
        </w:tc>
        <w:tc>
          <w:tcPr>
            <w:tcW w:w="150" w:type="dxa"/>
            <w:tcBorders>
              <w:top w:val="nil"/>
              <w:left w:val="nil"/>
              <w:bottom w:val="outset" w:sz="6" w:space="0" w:color="auto"/>
              <w:right w:val="nil"/>
            </w:tcBorders>
            <w:vAlign w:val="center"/>
          </w:tcPr>
          <w:p w14:paraId="4B4E4BD4"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15BFDBAF"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7C5B8FFA" w14:textId="7E7C4DD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0.99</w:t>
            </w:r>
            <w:r w:rsidRPr="008B6F3C">
              <w:rPr>
                <w:rFonts w:ascii="Arial" w:hAnsi="Arial" w:cs="Arial"/>
                <w:color w:val="000000" w:themeColor="text1"/>
                <w:sz w:val="24"/>
                <w:szCs w:val="24"/>
              </w:rPr>
              <w:t>6</w:t>
            </w:r>
          </w:p>
        </w:tc>
      </w:tr>
      <w:tr w:rsidR="00582888" w:rsidRPr="008B6F3C" w14:paraId="7DA474E0" w14:textId="77777777" w:rsidTr="00582888">
        <w:trPr>
          <w:jc w:val="center"/>
        </w:trPr>
        <w:tc>
          <w:tcPr>
            <w:tcW w:w="2265" w:type="dxa"/>
            <w:vMerge w:val="restart"/>
            <w:tcBorders>
              <w:top w:val="nil"/>
              <w:left w:val="nil"/>
              <w:bottom w:val="outset" w:sz="6" w:space="0" w:color="auto"/>
              <w:right w:val="nil"/>
            </w:tcBorders>
            <w:vAlign w:val="center"/>
            <w:hideMark/>
          </w:tcPr>
          <w:p w14:paraId="04E325CB"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r w:rsidRPr="00582888">
              <w:rPr>
                <w:rFonts w:ascii="Arial" w:hAnsi="Arial" w:cs="Arial"/>
                <w:color w:val="000000" w:themeColor="text1"/>
                <w:sz w:val="24"/>
                <w:szCs w:val="24"/>
              </w:rPr>
              <w:t>ANOVA 1</w:t>
            </w:r>
          </w:p>
        </w:tc>
        <w:tc>
          <w:tcPr>
            <w:tcW w:w="90" w:type="dxa"/>
            <w:tcBorders>
              <w:top w:val="nil"/>
              <w:left w:val="nil"/>
              <w:bottom w:val="outset" w:sz="6" w:space="0" w:color="auto"/>
              <w:right w:val="nil"/>
            </w:tcBorders>
            <w:vAlign w:val="center"/>
          </w:tcPr>
          <w:p w14:paraId="192D9877"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053EDE28"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r w:rsidRPr="00582888">
              <w:rPr>
                <w:rFonts w:ascii="Arial" w:hAnsi="Arial" w:cs="Arial"/>
                <w:color w:val="000000" w:themeColor="text1"/>
                <w:sz w:val="24"/>
                <w:szCs w:val="24"/>
              </w:rPr>
              <w:t>V</w:t>
            </w:r>
            <w:r w:rsidRPr="00582888">
              <w:rPr>
                <w:rFonts w:ascii="Arial" w:hAnsi="Arial" w:cs="Arial"/>
                <w:color w:val="000000" w:themeColor="text1"/>
                <w:sz w:val="24"/>
                <w:szCs w:val="24"/>
                <w:vertAlign w:val="subscript"/>
              </w:rPr>
              <w:t xml:space="preserve">REG </w:t>
            </w:r>
            <w:r w:rsidRPr="00582888">
              <w:rPr>
                <w:rFonts w:ascii="Arial" w:hAnsi="Arial" w:cs="Arial"/>
                <w:color w:val="000000" w:themeColor="text1"/>
                <w:sz w:val="24"/>
                <w:szCs w:val="24"/>
                <w:vertAlign w:val="superscript"/>
              </w:rPr>
              <w:t>b</w:t>
            </w:r>
          </w:p>
        </w:tc>
        <w:tc>
          <w:tcPr>
            <w:tcW w:w="50" w:type="dxa"/>
            <w:tcBorders>
              <w:top w:val="nil"/>
              <w:left w:val="nil"/>
              <w:bottom w:val="outset" w:sz="6" w:space="0" w:color="auto"/>
              <w:right w:val="nil"/>
            </w:tcBorders>
            <w:vAlign w:val="center"/>
          </w:tcPr>
          <w:p w14:paraId="57DD5E99"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62830B04"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1.60 10</w:t>
            </w:r>
            <w:r w:rsidRPr="00582888">
              <w:rPr>
                <w:rFonts w:ascii="Arial" w:hAnsi="Arial" w:cs="Arial"/>
                <w:color w:val="000000" w:themeColor="text1"/>
                <w:sz w:val="24"/>
                <w:szCs w:val="24"/>
                <w:vertAlign w:val="superscript"/>
              </w:rPr>
              <w:t>4</w:t>
            </w:r>
          </w:p>
        </w:tc>
        <w:tc>
          <w:tcPr>
            <w:tcW w:w="1395" w:type="dxa"/>
            <w:tcBorders>
              <w:top w:val="nil"/>
              <w:left w:val="nil"/>
              <w:bottom w:val="outset" w:sz="6" w:space="0" w:color="auto"/>
              <w:right w:val="nil"/>
            </w:tcBorders>
            <w:noWrap/>
            <w:vAlign w:val="center"/>
            <w:hideMark/>
          </w:tcPr>
          <w:p w14:paraId="584A86D2" w14:textId="78BE1B72"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2.08</w:t>
            </w:r>
            <w:r w:rsidR="00D4706D" w:rsidRPr="008B6F3C">
              <w:rPr>
                <w:rFonts w:ascii="Arial" w:hAnsi="Arial" w:cs="Arial"/>
                <w:color w:val="000000" w:themeColor="text1"/>
                <w:sz w:val="24"/>
                <w:szCs w:val="24"/>
              </w:rPr>
              <w:t xml:space="preserve"> </w:t>
            </w:r>
            <w:r w:rsidRPr="00582888">
              <w:rPr>
                <w:rFonts w:ascii="Arial" w:hAnsi="Arial" w:cs="Arial"/>
                <w:color w:val="000000" w:themeColor="text1"/>
                <w:sz w:val="24"/>
                <w:szCs w:val="24"/>
              </w:rPr>
              <w:t>10</w:t>
            </w:r>
            <w:r w:rsidR="00D4706D" w:rsidRPr="008B6F3C">
              <w:rPr>
                <w:rFonts w:ascii="Arial" w:hAnsi="Arial" w:cs="Arial"/>
                <w:color w:val="000000" w:themeColor="text1"/>
                <w:sz w:val="24"/>
                <w:szCs w:val="24"/>
                <w:vertAlign w:val="superscript"/>
              </w:rPr>
              <w:t>4</w:t>
            </w:r>
          </w:p>
        </w:tc>
        <w:tc>
          <w:tcPr>
            <w:tcW w:w="150" w:type="dxa"/>
            <w:tcBorders>
              <w:top w:val="nil"/>
              <w:left w:val="nil"/>
              <w:bottom w:val="outset" w:sz="6" w:space="0" w:color="auto"/>
              <w:right w:val="nil"/>
            </w:tcBorders>
            <w:vAlign w:val="center"/>
          </w:tcPr>
          <w:p w14:paraId="3E23157C"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62FBFECD"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786AE69F"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1.61 10</w:t>
            </w:r>
            <w:r w:rsidRPr="00582888">
              <w:rPr>
                <w:rFonts w:ascii="Arial" w:hAnsi="Arial" w:cs="Arial"/>
                <w:color w:val="000000" w:themeColor="text1"/>
                <w:sz w:val="24"/>
                <w:szCs w:val="24"/>
                <w:vertAlign w:val="superscript"/>
              </w:rPr>
              <w:t>5</w:t>
            </w:r>
          </w:p>
        </w:tc>
      </w:tr>
      <w:tr w:rsidR="00582888" w:rsidRPr="008B6F3C" w14:paraId="3E66E5F3" w14:textId="77777777" w:rsidTr="00582888">
        <w:trPr>
          <w:jc w:val="center"/>
        </w:trPr>
        <w:tc>
          <w:tcPr>
            <w:tcW w:w="2265" w:type="dxa"/>
            <w:vMerge/>
            <w:tcBorders>
              <w:top w:val="nil"/>
              <w:left w:val="nil"/>
              <w:bottom w:val="outset" w:sz="6" w:space="0" w:color="auto"/>
              <w:right w:val="nil"/>
            </w:tcBorders>
            <w:vAlign w:val="center"/>
            <w:hideMark/>
          </w:tcPr>
          <w:p w14:paraId="2924ABC3"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7EDE3160"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2D193267"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r w:rsidRPr="00582888">
              <w:rPr>
                <w:rFonts w:ascii="Arial" w:hAnsi="Arial" w:cs="Arial"/>
                <w:color w:val="000000" w:themeColor="text1"/>
                <w:sz w:val="24"/>
                <w:szCs w:val="24"/>
              </w:rPr>
              <w:t>V</w:t>
            </w:r>
            <w:r w:rsidRPr="00582888">
              <w:rPr>
                <w:rFonts w:ascii="Arial" w:hAnsi="Arial" w:cs="Arial"/>
                <w:color w:val="000000" w:themeColor="text1"/>
                <w:sz w:val="24"/>
                <w:szCs w:val="24"/>
                <w:vertAlign w:val="subscript"/>
              </w:rPr>
              <w:t xml:space="preserve">RES </w:t>
            </w:r>
            <w:r w:rsidRPr="00582888">
              <w:rPr>
                <w:rFonts w:ascii="Arial" w:hAnsi="Arial" w:cs="Arial"/>
                <w:color w:val="000000" w:themeColor="text1"/>
                <w:sz w:val="24"/>
                <w:szCs w:val="24"/>
                <w:vertAlign w:val="superscript"/>
              </w:rPr>
              <w:t>c</w:t>
            </w:r>
          </w:p>
        </w:tc>
        <w:tc>
          <w:tcPr>
            <w:tcW w:w="50" w:type="dxa"/>
            <w:tcBorders>
              <w:top w:val="nil"/>
              <w:left w:val="nil"/>
              <w:bottom w:val="outset" w:sz="6" w:space="0" w:color="auto"/>
              <w:right w:val="nil"/>
            </w:tcBorders>
            <w:vAlign w:val="center"/>
          </w:tcPr>
          <w:p w14:paraId="3AAF5D14"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7492A2ED"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63.24</w:t>
            </w:r>
          </w:p>
        </w:tc>
        <w:tc>
          <w:tcPr>
            <w:tcW w:w="1395" w:type="dxa"/>
            <w:tcBorders>
              <w:top w:val="nil"/>
              <w:left w:val="nil"/>
              <w:bottom w:val="outset" w:sz="6" w:space="0" w:color="auto"/>
              <w:right w:val="nil"/>
            </w:tcBorders>
            <w:noWrap/>
            <w:vAlign w:val="center"/>
            <w:hideMark/>
          </w:tcPr>
          <w:p w14:paraId="3881560F" w14:textId="6EC69950" w:rsidR="00582888" w:rsidRPr="00582888" w:rsidRDefault="00D4706D"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5</w:t>
            </w:r>
            <w:r w:rsidR="00582888" w:rsidRPr="00582888">
              <w:rPr>
                <w:rFonts w:ascii="Arial" w:hAnsi="Arial" w:cs="Arial"/>
                <w:color w:val="000000" w:themeColor="text1"/>
                <w:sz w:val="24"/>
                <w:szCs w:val="24"/>
              </w:rPr>
              <w:t>8.99</w:t>
            </w:r>
          </w:p>
        </w:tc>
        <w:tc>
          <w:tcPr>
            <w:tcW w:w="150" w:type="dxa"/>
            <w:tcBorders>
              <w:top w:val="nil"/>
              <w:left w:val="nil"/>
              <w:bottom w:val="outset" w:sz="6" w:space="0" w:color="auto"/>
              <w:right w:val="nil"/>
            </w:tcBorders>
            <w:vAlign w:val="center"/>
          </w:tcPr>
          <w:p w14:paraId="54CF4FF2"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303AD03B"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5B532EB0"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46.16</w:t>
            </w:r>
          </w:p>
        </w:tc>
      </w:tr>
      <w:tr w:rsidR="00582888" w:rsidRPr="008B6F3C" w14:paraId="3626D415" w14:textId="77777777" w:rsidTr="00582888">
        <w:trPr>
          <w:jc w:val="center"/>
        </w:trPr>
        <w:tc>
          <w:tcPr>
            <w:tcW w:w="2265" w:type="dxa"/>
            <w:vMerge/>
            <w:tcBorders>
              <w:top w:val="nil"/>
              <w:left w:val="nil"/>
              <w:bottom w:val="outset" w:sz="6" w:space="0" w:color="auto"/>
              <w:right w:val="nil"/>
            </w:tcBorders>
            <w:vAlign w:val="center"/>
            <w:hideMark/>
          </w:tcPr>
          <w:p w14:paraId="0C907FAF"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1E7F1F56" w14:textId="77777777" w:rsidR="00582888" w:rsidRPr="00582888" w:rsidRDefault="00582888" w:rsidP="0097495D">
            <w:pPr>
              <w:tabs>
                <w:tab w:val="left" w:pos="142"/>
              </w:tabs>
              <w:spacing w:after="0" w:line="240" w:lineRule="auto"/>
              <w:jc w:val="both"/>
              <w:rPr>
                <w:rFonts w:ascii="Arial" w:hAnsi="Arial" w:cs="Arial"/>
                <w:i/>
                <w:iCs/>
                <w:color w:val="000000" w:themeColor="text1"/>
                <w:sz w:val="24"/>
                <w:szCs w:val="24"/>
              </w:rPr>
            </w:pPr>
          </w:p>
        </w:tc>
        <w:tc>
          <w:tcPr>
            <w:tcW w:w="1830" w:type="dxa"/>
            <w:tcBorders>
              <w:top w:val="nil"/>
              <w:left w:val="nil"/>
              <w:bottom w:val="outset" w:sz="6" w:space="0" w:color="auto"/>
              <w:right w:val="nil"/>
            </w:tcBorders>
            <w:noWrap/>
            <w:vAlign w:val="center"/>
            <w:hideMark/>
          </w:tcPr>
          <w:p w14:paraId="0DE1FA04"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proofErr w:type="gramStart"/>
            <w:r w:rsidRPr="00582888">
              <w:rPr>
                <w:rFonts w:ascii="Arial" w:hAnsi="Arial" w:cs="Arial"/>
                <w:i/>
                <w:iCs/>
                <w:color w:val="000000" w:themeColor="text1"/>
                <w:sz w:val="24"/>
                <w:szCs w:val="24"/>
              </w:rPr>
              <w:t>p</w:t>
            </w:r>
            <w:proofErr w:type="gramEnd"/>
            <w:r w:rsidRPr="00582888">
              <w:rPr>
                <w:rFonts w:ascii="Arial" w:hAnsi="Arial" w:cs="Arial"/>
                <w:color w:val="000000" w:themeColor="text1"/>
                <w:sz w:val="24"/>
                <w:szCs w:val="24"/>
              </w:rPr>
              <w:t xml:space="preserve"> value (%) </w:t>
            </w:r>
            <w:r w:rsidRPr="00582888">
              <w:rPr>
                <w:rFonts w:ascii="Arial" w:hAnsi="Arial" w:cs="Arial"/>
                <w:color w:val="000000" w:themeColor="text1"/>
                <w:sz w:val="24"/>
                <w:szCs w:val="24"/>
                <w:vertAlign w:val="superscript"/>
              </w:rPr>
              <w:t>d</w:t>
            </w:r>
          </w:p>
        </w:tc>
        <w:tc>
          <w:tcPr>
            <w:tcW w:w="50" w:type="dxa"/>
            <w:tcBorders>
              <w:top w:val="nil"/>
              <w:left w:val="nil"/>
              <w:bottom w:val="outset" w:sz="6" w:space="0" w:color="auto"/>
              <w:right w:val="nil"/>
            </w:tcBorders>
            <w:vAlign w:val="center"/>
          </w:tcPr>
          <w:p w14:paraId="314121C7"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2AB99D38"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0.00</w:t>
            </w:r>
          </w:p>
        </w:tc>
        <w:tc>
          <w:tcPr>
            <w:tcW w:w="1395" w:type="dxa"/>
            <w:tcBorders>
              <w:top w:val="nil"/>
              <w:left w:val="nil"/>
              <w:bottom w:val="outset" w:sz="6" w:space="0" w:color="auto"/>
              <w:right w:val="nil"/>
            </w:tcBorders>
            <w:noWrap/>
            <w:vAlign w:val="center"/>
            <w:hideMark/>
          </w:tcPr>
          <w:p w14:paraId="2DD14396"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0.00</w:t>
            </w:r>
          </w:p>
        </w:tc>
        <w:tc>
          <w:tcPr>
            <w:tcW w:w="150" w:type="dxa"/>
            <w:tcBorders>
              <w:top w:val="nil"/>
              <w:left w:val="nil"/>
              <w:bottom w:val="outset" w:sz="6" w:space="0" w:color="auto"/>
              <w:right w:val="nil"/>
            </w:tcBorders>
            <w:vAlign w:val="center"/>
          </w:tcPr>
          <w:p w14:paraId="501AADF4"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2A904907"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7C4E4DC8"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0.00</w:t>
            </w:r>
          </w:p>
        </w:tc>
      </w:tr>
      <w:tr w:rsidR="00582888" w:rsidRPr="008B6F3C" w14:paraId="7C3F7232" w14:textId="77777777" w:rsidTr="00582888">
        <w:trPr>
          <w:jc w:val="center"/>
        </w:trPr>
        <w:tc>
          <w:tcPr>
            <w:tcW w:w="2265" w:type="dxa"/>
            <w:vMerge w:val="restart"/>
            <w:tcBorders>
              <w:top w:val="nil"/>
              <w:left w:val="nil"/>
              <w:bottom w:val="outset" w:sz="6" w:space="0" w:color="auto"/>
              <w:right w:val="nil"/>
            </w:tcBorders>
            <w:vAlign w:val="center"/>
            <w:hideMark/>
          </w:tcPr>
          <w:p w14:paraId="0AA3044C"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r w:rsidRPr="00582888">
              <w:rPr>
                <w:rFonts w:ascii="Arial" w:hAnsi="Arial" w:cs="Arial"/>
                <w:color w:val="000000" w:themeColor="text1"/>
                <w:sz w:val="24"/>
                <w:szCs w:val="24"/>
              </w:rPr>
              <w:t>ANOVA 2</w:t>
            </w:r>
          </w:p>
        </w:tc>
        <w:tc>
          <w:tcPr>
            <w:tcW w:w="90" w:type="dxa"/>
            <w:tcBorders>
              <w:top w:val="nil"/>
              <w:left w:val="nil"/>
              <w:bottom w:val="outset" w:sz="6" w:space="0" w:color="auto"/>
              <w:right w:val="nil"/>
            </w:tcBorders>
            <w:vAlign w:val="center"/>
          </w:tcPr>
          <w:p w14:paraId="2AE882D8"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34F06AE4"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r w:rsidRPr="00582888">
              <w:rPr>
                <w:rFonts w:ascii="Arial" w:hAnsi="Arial" w:cs="Arial"/>
                <w:color w:val="000000" w:themeColor="text1"/>
                <w:sz w:val="24"/>
                <w:szCs w:val="24"/>
              </w:rPr>
              <w:t>V</w:t>
            </w:r>
            <w:r w:rsidRPr="00582888">
              <w:rPr>
                <w:rFonts w:ascii="Arial" w:hAnsi="Arial" w:cs="Arial"/>
                <w:color w:val="000000" w:themeColor="text1"/>
                <w:sz w:val="24"/>
                <w:szCs w:val="24"/>
                <w:vertAlign w:val="subscript"/>
              </w:rPr>
              <w:t xml:space="preserve">LOF </w:t>
            </w:r>
            <w:r w:rsidRPr="00582888">
              <w:rPr>
                <w:rFonts w:ascii="Arial" w:hAnsi="Arial" w:cs="Arial"/>
                <w:color w:val="000000" w:themeColor="text1"/>
                <w:sz w:val="24"/>
                <w:szCs w:val="24"/>
                <w:vertAlign w:val="superscript"/>
              </w:rPr>
              <w:t>e</w:t>
            </w:r>
          </w:p>
        </w:tc>
        <w:tc>
          <w:tcPr>
            <w:tcW w:w="50" w:type="dxa"/>
            <w:tcBorders>
              <w:top w:val="nil"/>
              <w:left w:val="nil"/>
              <w:bottom w:val="outset" w:sz="6" w:space="0" w:color="auto"/>
              <w:right w:val="nil"/>
            </w:tcBorders>
            <w:vAlign w:val="center"/>
          </w:tcPr>
          <w:p w14:paraId="06417F2E"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19B8ACBA"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66.68</w:t>
            </w:r>
          </w:p>
        </w:tc>
        <w:tc>
          <w:tcPr>
            <w:tcW w:w="1395" w:type="dxa"/>
            <w:tcBorders>
              <w:top w:val="nil"/>
              <w:left w:val="nil"/>
              <w:bottom w:val="outset" w:sz="6" w:space="0" w:color="auto"/>
              <w:right w:val="nil"/>
            </w:tcBorders>
            <w:noWrap/>
            <w:vAlign w:val="center"/>
            <w:hideMark/>
          </w:tcPr>
          <w:p w14:paraId="5CC72B11" w14:textId="2A9EA977" w:rsidR="00582888" w:rsidRPr="00582888" w:rsidRDefault="00D4706D"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5</w:t>
            </w:r>
            <w:r w:rsidR="00582888" w:rsidRPr="00582888">
              <w:rPr>
                <w:rFonts w:ascii="Arial" w:hAnsi="Arial" w:cs="Arial"/>
                <w:color w:val="000000" w:themeColor="text1"/>
                <w:sz w:val="24"/>
                <w:szCs w:val="24"/>
              </w:rPr>
              <w:t>1.16</w:t>
            </w:r>
          </w:p>
        </w:tc>
        <w:tc>
          <w:tcPr>
            <w:tcW w:w="150" w:type="dxa"/>
            <w:tcBorders>
              <w:top w:val="nil"/>
              <w:left w:val="nil"/>
              <w:bottom w:val="outset" w:sz="6" w:space="0" w:color="auto"/>
              <w:right w:val="nil"/>
            </w:tcBorders>
            <w:vAlign w:val="center"/>
          </w:tcPr>
          <w:p w14:paraId="5FCC20A9"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350DEC68"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723312AB"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41.01</w:t>
            </w:r>
          </w:p>
        </w:tc>
      </w:tr>
      <w:tr w:rsidR="00582888" w:rsidRPr="008B6F3C" w14:paraId="6C563665" w14:textId="77777777" w:rsidTr="00582888">
        <w:trPr>
          <w:jc w:val="center"/>
        </w:trPr>
        <w:tc>
          <w:tcPr>
            <w:tcW w:w="2265" w:type="dxa"/>
            <w:vMerge/>
            <w:tcBorders>
              <w:top w:val="nil"/>
              <w:left w:val="nil"/>
              <w:bottom w:val="outset" w:sz="6" w:space="0" w:color="auto"/>
              <w:right w:val="nil"/>
            </w:tcBorders>
            <w:vAlign w:val="center"/>
            <w:hideMark/>
          </w:tcPr>
          <w:p w14:paraId="290CDA0F"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6D162885"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061D6391"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r w:rsidRPr="00582888">
              <w:rPr>
                <w:rFonts w:ascii="Arial" w:hAnsi="Arial" w:cs="Arial"/>
                <w:color w:val="000000" w:themeColor="text1"/>
                <w:sz w:val="24"/>
                <w:szCs w:val="24"/>
              </w:rPr>
              <w:t>V</w:t>
            </w:r>
            <w:r w:rsidRPr="00582888">
              <w:rPr>
                <w:rFonts w:ascii="Arial" w:hAnsi="Arial" w:cs="Arial"/>
                <w:color w:val="000000" w:themeColor="text1"/>
                <w:sz w:val="24"/>
                <w:szCs w:val="24"/>
                <w:vertAlign w:val="subscript"/>
              </w:rPr>
              <w:t xml:space="preserve">PE </w:t>
            </w:r>
            <w:r w:rsidRPr="00582888">
              <w:rPr>
                <w:rFonts w:ascii="Arial" w:hAnsi="Arial" w:cs="Arial"/>
                <w:color w:val="000000" w:themeColor="text1"/>
                <w:sz w:val="24"/>
                <w:szCs w:val="24"/>
                <w:vertAlign w:val="superscript"/>
              </w:rPr>
              <w:t>f</w:t>
            </w:r>
          </w:p>
        </w:tc>
        <w:tc>
          <w:tcPr>
            <w:tcW w:w="50" w:type="dxa"/>
            <w:tcBorders>
              <w:top w:val="nil"/>
              <w:left w:val="nil"/>
              <w:bottom w:val="outset" w:sz="6" w:space="0" w:color="auto"/>
              <w:right w:val="nil"/>
            </w:tcBorders>
            <w:vAlign w:val="center"/>
          </w:tcPr>
          <w:p w14:paraId="30815EDC"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6E20E5B3"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57.50</w:t>
            </w:r>
          </w:p>
        </w:tc>
        <w:tc>
          <w:tcPr>
            <w:tcW w:w="1395" w:type="dxa"/>
            <w:tcBorders>
              <w:top w:val="nil"/>
              <w:left w:val="nil"/>
              <w:bottom w:val="outset" w:sz="6" w:space="0" w:color="auto"/>
              <w:right w:val="nil"/>
            </w:tcBorders>
            <w:noWrap/>
            <w:vAlign w:val="center"/>
            <w:hideMark/>
          </w:tcPr>
          <w:p w14:paraId="7F1904AD" w14:textId="7CCCA1DF"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5</w:t>
            </w:r>
            <w:r w:rsidR="00D4706D" w:rsidRPr="008B6F3C">
              <w:rPr>
                <w:rFonts w:ascii="Arial" w:hAnsi="Arial" w:cs="Arial"/>
                <w:color w:val="000000" w:themeColor="text1"/>
                <w:sz w:val="24"/>
                <w:szCs w:val="24"/>
              </w:rPr>
              <w:t>2</w:t>
            </w:r>
            <w:r w:rsidRPr="00582888">
              <w:rPr>
                <w:rFonts w:ascii="Arial" w:hAnsi="Arial" w:cs="Arial"/>
                <w:color w:val="000000" w:themeColor="text1"/>
                <w:sz w:val="24"/>
                <w:szCs w:val="24"/>
              </w:rPr>
              <w:t>.47</w:t>
            </w:r>
          </w:p>
        </w:tc>
        <w:tc>
          <w:tcPr>
            <w:tcW w:w="150" w:type="dxa"/>
            <w:tcBorders>
              <w:top w:val="nil"/>
              <w:left w:val="nil"/>
              <w:bottom w:val="outset" w:sz="6" w:space="0" w:color="auto"/>
              <w:right w:val="nil"/>
            </w:tcBorders>
            <w:vAlign w:val="center"/>
          </w:tcPr>
          <w:p w14:paraId="7DD55C67"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7D46C97C"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1FAC93CF"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54.83</w:t>
            </w:r>
          </w:p>
        </w:tc>
      </w:tr>
      <w:tr w:rsidR="00582888" w:rsidRPr="008B6F3C" w14:paraId="52BAA9EF" w14:textId="77777777" w:rsidTr="00582888">
        <w:trPr>
          <w:jc w:val="center"/>
        </w:trPr>
        <w:tc>
          <w:tcPr>
            <w:tcW w:w="2265" w:type="dxa"/>
            <w:vMerge/>
            <w:tcBorders>
              <w:top w:val="nil"/>
              <w:left w:val="nil"/>
              <w:bottom w:val="outset" w:sz="6" w:space="0" w:color="auto"/>
              <w:right w:val="nil"/>
            </w:tcBorders>
            <w:vAlign w:val="center"/>
            <w:hideMark/>
          </w:tcPr>
          <w:p w14:paraId="4271B74E"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1F91F37F" w14:textId="77777777" w:rsidR="00582888" w:rsidRPr="00582888" w:rsidRDefault="00582888" w:rsidP="0097495D">
            <w:pPr>
              <w:tabs>
                <w:tab w:val="left" w:pos="142"/>
              </w:tabs>
              <w:spacing w:after="0" w:line="240" w:lineRule="auto"/>
              <w:jc w:val="both"/>
              <w:rPr>
                <w:rFonts w:ascii="Arial" w:hAnsi="Arial" w:cs="Arial"/>
                <w:i/>
                <w:iCs/>
                <w:color w:val="000000" w:themeColor="text1"/>
                <w:sz w:val="24"/>
                <w:szCs w:val="24"/>
              </w:rPr>
            </w:pPr>
          </w:p>
        </w:tc>
        <w:tc>
          <w:tcPr>
            <w:tcW w:w="1830" w:type="dxa"/>
            <w:tcBorders>
              <w:top w:val="nil"/>
              <w:left w:val="nil"/>
              <w:bottom w:val="outset" w:sz="6" w:space="0" w:color="auto"/>
              <w:right w:val="nil"/>
            </w:tcBorders>
            <w:noWrap/>
            <w:vAlign w:val="center"/>
            <w:hideMark/>
          </w:tcPr>
          <w:p w14:paraId="3D36FF8A"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roofErr w:type="gramStart"/>
            <w:r w:rsidRPr="00582888">
              <w:rPr>
                <w:rFonts w:ascii="Arial" w:hAnsi="Arial" w:cs="Arial"/>
                <w:i/>
                <w:iCs/>
                <w:color w:val="000000" w:themeColor="text1"/>
                <w:sz w:val="24"/>
                <w:szCs w:val="24"/>
              </w:rPr>
              <w:t>p</w:t>
            </w:r>
            <w:proofErr w:type="gramEnd"/>
            <w:r w:rsidRPr="00582888">
              <w:rPr>
                <w:rFonts w:ascii="Arial" w:hAnsi="Arial" w:cs="Arial"/>
                <w:color w:val="000000" w:themeColor="text1"/>
                <w:sz w:val="24"/>
                <w:szCs w:val="24"/>
              </w:rPr>
              <w:t xml:space="preserve"> value (%)</w:t>
            </w:r>
          </w:p>
        </w:tc>
        <w:tc>
          <w:tcPr>
            <w:tcW w:w="50" w:type="dxa"/>
            <w:tcBorders>
              <w:top w:val="nil"/>
              <w:left w:val="nil"/>
              <w:bottom w:val="outset" w:sz="6" w:space="0" w:color="auto"/>
              <w:right w:val="nil"/>
            </w:tcBorders>
            <w:vAlign w:val="center"/>
          </w:tcPr>
          <w:p w14:paraId="01F63803"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5DCF8DA0"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48.18</w:t>
            </w:r>
          </w:p>
        </w:tc>
        <w:tc>
          <w:tcPr>
            <w:tcW w:w="1395" w:type="dxa"/>
            <w:tcBorders>
              <w:top w:val="nil"/>
              <w:left w:val="nil"/>
              <w:bottom w:val="outset" w:sz="6" w:space="0" w:color="auto"/>
              <w:right w:val="nil"/>
            </w:tcBorders>
            <w:noWrap/>
            <w:vAlign w:val="center"/>
            <w:hideMark/>
          </w:tcPr>
          <w:p w14:paraId="7E79185A" w14:textId="516AD927" w:rsidR="00582888" w:rsidRPr="00582888" w:rsidRDefault="00D4706D"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5</w:t>
            </w:r>
            <w:r w:rsidR="00582888" w:rsidRPr="00582888">
              <w:rPr>
                <w:rFonts w:ascii="Arial" w:hAnsi="Arial" w:cs="Arial"/>
                <w:color w:val="000000" w:themeColor="text1"/>
                <w:sz w:val="24"/>
                <w:szCs w:val="24"/>
              </w:rPr>
              <w:t>0.28</w:t>
            </w:r>
          </w:p>
        </w:tc>
        <w:tc>
          <w:tcPr>
            <w:tcW w:w="150" w:type="dxa"/>
            <w:tcBorders>
              <w:top w:val="nil"/>
              <w:left w:val="nil"/>
              <w:bottom w:val="outset" w:sz="6" w:space="0" w:color="auto"/>
              <w:right w:val="nil"/>
            </w:tcBorders>
            <w:vAlign w:val="center"/>
          </w:tcPr>
          <w:p w14:paraId="06A834C0"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7DFC6D8F"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5803EF8C"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63.83</w:t>
            </w:r>
          </w:p>
        </w:tc>
      </w:tr>
      <w:tr w:rsidR="00582888" w:rsidRPr="008B6F3C" w14:paraId="6C67F1A8" w14:textId="77777777" w:rsidTr="00582888">
        <w:trPr>
          <w:jc w:val="center"/>
        </w:trPr>
        <w:tc>
          <w:tcPr>
            <w:tcW w:w="2265" w:type="dxa"/>
            <w:vMerge w:val="restart"/>
            <w:tcBorders>
              <w:top w:val="nil"/>
              <w:left w:val="nil"/>
              <w:bottom w:val="outset" w:sz="6" w:space="0" w:color="auto"/>
              <w:right w:val="nil"/>
            </w:tcBorders>
            <w:vAlign w:val="center"/>
            <w:hideMark/>
          </w:tcPr>
          <w:p w14:paraId="5E16277D"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r w:rsidRPr="00582888">
              <w:rPr>
                <w:rFonts w:ascii="Arial" w:hAnsi="Arial" w:cs="Arial"/>
                <w:color w:val="000000" w:themeColor="text1"/>
                <w:sz w:val="24"/>
                <w:szCs w:val="24"/>
              </w:rPr>
              <w:t>Intercept difference</w:t>
            </w:r>
          </w:p>
          <w:p w14:paraId="12F5D54F"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roofErr w:type="gramStart"/>
            <w:r w:rsidRPr="00582888">
              <w:rPr>
                <w:rFonts w:ascii="Arial" w:hAnsi="Arial" w:cs="Arial"/>
                <w:color w:val="000000" w:themeColor="text1"/>
                <w:sz w:val="24"/>
                <w:szCs w:val="24"/>
              </w:rPr>
              <w:t>to</w:t>
            </w:r>
            <w:proofErr w:type="gramEnd"/>
            <w:r w:rsidRPr="00582888">
              <w:rPr>
                <w:rFonts w:ascii="Arial" w:hAnsi="Arial" w:cs="Arial"/>
                <w:color w:val="000000" w:themeColor="text1"/>
                <w:sz w:val="24"/>
                <w:szCs w:val="24"/>
              </w:rPr>
              <w:t xml:space="preserve"> zero test</w:t>
            </w:r>
          </w:p>
        </w:tc>
        <w:tc>
          <w:tcPr>
            <w:tcW w:w="90" w:type="dxa"/>
            <w:tcBorders>
              <w:top w:val="nil"/>
              <w:left w:val="nil"/>
              <w:bottom w:val="outset" w:sz="6" w:space="0" w:color="auto"/>
              <w:right w:val="nil"/>
            </w:tcBorders>
            <w:vAlign w:val="center"/>
          </w:tcPr>
          <w:p w14:paraId="7C04E494"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62C1FA66"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r w:rsidRPr="00582888">
              <w:rPr>
                <w:rFonts w:ascii="Arial" w:hAnsi="Arial" w:cs="Arial"/>
                <w:color w:val="000000" w:themeColor="text1"/>
                <w:sz w:val="24"/>
                <w:szCs w:val="24"/>
              </w:rPr>
              <w:t xml:space="preserve">Intercept STD </w:t>
            </w:r>
            <w:r w:rsidRPr="00582888">
              <w:rPr>
                <w:rFonts w:ascii="Arial" w:hAnsi="Arial" w:cs="Arial"/>
                <w:color w:val="000000" w:themeColor="text1"/>
                <w:sz w:val="24"/>
                <w:szCs w:val="24"/>
                <w:vertAlign w:val="superscript"/>
              </w:rPr>
              <w:t>l</w:t>
            </w:r>
          </w:p>
        </w:tc>
        <w:tc>
          <w:tcPr>
            <w:tcW w:w="50" w:type="dxa"/>
            <w:tcBorders>
              <w:top w:val="nil"/>
              <w:left w:val="nil"/>
              <w:bottom w:val="outset" w:sz="6" w:space="0" w:color="auto"/>
              <w:right w:val="nil"/>
            </w:tcBorders>
            <w:vAlign w:val="center"/>
          </w:tcPr>
          <w:p w14:paraId="46B005FA"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69E22960"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3.40</w:t>
            </w:r>
          </w:p>
        </w:tc>
        <w:tc>
          <w:tcPr>
            <w:tcW w:w="1395" w:type="dxa"/>
            <w:tcBorders>
              <w:top w:val="nil"/>
              <w:left w:val="nil"/>
              <w:bottom w:val="outset" w:sz="6" w:space="0" w:color="auto"/>
              <w:right w:val="nil"/>
            </w:tcBorders>
            <w:noWrap/>
            <w:vAlign w:val="center"/>
            <w:hideMark/>
          </w:tcPr>
          <w:p w14:paraId="245A34BF" w14:textId="6EFB16C6"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4.36</w:t>
            </w:r>
          </w:p>
        </w:tc>
        <w:tc>
          <w:tcPr>
            <w:tcW w:w="150" w:type="dxa"/>
            <w:tcBorders>
              <w:top w:val="nil"/>
              <w:left w:val="nil"/>
              <w:bottom w:val="outset" w:sz="6" w:space="0" w:color="auto"/>
              <w:right w:val="nil"/>
            </w:tcBorders>
            <w:vAlign w:val="center"/>
          </w:tcPr>
          <w:p w14:paraId="33A65A4E"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0FE330CA"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19D36FAE"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5.17</w:t>
            </w:r>
          </w:p>
        </w:tc>
      </w:tr>
      <w:tr w:rsidR="00582888" w:rsidRPr="008B6F3C" w14:paraId="0C512283" w14:textId="77777777" w:rsidTr="00582888">
        <w:trPr>
          <w:jc w:val="center"/>
        </w:trPr>
        <w:tc>
          <w:tcPr>
            <w:tcW w:w="2265" w:type="dxa"/>
            <w:vMerge/>
            <w:tcBorders>
              <w:top w:val="nil"/>
              <w:left w:val="nil"/>
              <w:bottom w:val="outset" w:sz="6" w:space="0" w:color="auto"/>
              <w:right w:val="nil"/>
            </w:tcBorders>
            <w:vAlign w:val="center"/>
            <w:hideMark/>
          </w:tcPr>
          <w:p w14:paraId="6AAEAA59"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49C9FCF6" w14:textId="77777777" w:rsidR="00582888" w:rsidRPr="00582888" w:rsidRDefault="00582888" w:rsidP="0097495D">
            <w:pPr>
              <w:tabs>
                <w:tab w:val="left" w:pos="142"/>
              </w:tabs>
              <w:spacing w:after="0" w:line="240" w:lineRule="auto"/>
              <w:jc w:val="both"/>
              <w:rPr>
                <w:rFonts w:ascii="Arial" w:hAnsi="Arial" w:cs="Arial"/>
                <w:i/>
                <w:iCs/>
                <w:color w:val="000000" w:themeColor="text1"/>
                <w:sz w:val="24"/>
                <w:szCs w:val="24"/>
              </w:rPr>
            </w:pPr>
          </w:p>
        </w:tc>
        <w:tc>
          <w:tcPr>
            <w:tcW w:w="1830" w:type="dxa"/>
            <w:tcBorders>
              <w:top w:val="nil"/>
              <w:left w:val="nil"/>
              <w:bottom w:val="outset" w:sz="6" w:space="0" w:color="auto"/>
              <w:right w:val="nil"/>
            </w:tcBorders>
            <w:noWrap/>
            <w:vAlign w:val="center"/>
            <w:hideMark/>
          </w:tcPr>
          <w:p w14:paraId="64FA4108"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roofErr w:type="gramStart"/>
            <w:r w:rsidRPr="00582888">
              <w:rPr>
                <w:rFonts w:ascii="Arial" w:hAnsi="Arial" w:cs="Arial"/>
                <w:i/>
                <w:iCs/>
                <w:color w:val="000000" w:themeColor="text1"/>
                <w:sz w:val="24"/>
                <w:szCs w:val="24"/>
              </w:rPr>
              <w:t>p</w:t>
            </w:r>
            <w:proofErr w:type="gramEnd"/>
            <w:r w:rsidRPr="00582888">
              <w:rPr>
                <w:rFonts w:ascii="Arial" w:hAnsi="Arial" w:cs="Arial"/>
                <w:color w:val="000000" w:themeColor="text1"/>
                <w:sz w:val="24"/>
                <w:szCs w:val="24"/>
              </w:rPr>
              <w:t xml:space="preserve"> value (%)</w:t>
            </w:r>
          </w:p>
        </w:tc>
        <w:tc>
          <w:tcPr>
            <w:tcW w:w="50" w:type="dxa"/>
            <w:tcBorders>
              <w:top w:val="nil"/>
              <w:left w:val="nil"/>
              <w:bottom w:val="outset" w:sz="6" w:space="0" w:color="auto"/>
              <w:right w:val="nil"/>
            </w:tcBorders>
            <w:vAlign w:val="center"/>
          </w:tcPr>
          <w:p w14:paraId="6F9DBDAC"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118273A9"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67.77</w:t>
            </w:r>
          </w:p>
        </w:tc>
        <w:tc>
          <w:tcPr>
            <w:tcW w:w="1395" w:type="dxa"/>
            <w:tcBorders>
              <w:top w:val="nil"/>
              <w:left w:val="nil"/>
              <w:bottom w:val="outset" w:sz="6" w:space="0" w:color="auto"/>
              <w:right w:val="nil"/>
            </w:tcBorders>
            <w:noWrap/>
            <w:vAlign w:val="center"/>
            <w:hideMark/>
          </w:tcPr>
          <w:p w14:paraId="549BDDC1" w14:textId="38B98BEA" w:rsidR="00582888" w:rsidRPr="00582888" w:rsidRDefault="00D4706D"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4</w:t>
            </w:r>
            <w:r w:rsidR="00582888" w:rsidRPr="00582888">
              <w:rPr>
                <w:rFonts w:ascii="Arial" w:hAnsi="Arial" w:cs="Arial"/>
                <w:color w:val="000000" w:themeColor="text1"/>
                <w:sz w:val="24"/>
                <w:szCs w:val="24"/>
              </w:rPr>
              <w:t>3.01</w:t>
            </w:r>
          </w:p>
        </w:tc>
        <w:tc>
          <w:tcPr>
            <w:tcW w:w="150" w:type="dxa"/>
            <w:tcBorders>
              <w:top w:val="nil"/>
              <w:left w:val="nil"/>
              <w:bottom w:val="outset" w:sz="6" w:space="0" w:color="auto"/>
              <w:right w:val="nil"/>
            </w:tcBorders>
            <w:vAlign w:val="center"/>
          </w:tcPr>
          <w:p w14:paraId="7A971A43"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11D784CA"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140DE405"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50.85</w:t>
            </w:r>
          </w:p>
        </w:tc>
      </w:tr>
      <w:tr w:rsidR="00582888" w:rsidRPr="008B6F3C" w14:paraId="16097567" w14:textId="77777777" w:rsidTr="00582888">
        <w:trPr>
          <w:jc w:val="center"/>
        </w:trPr>
        <w:tc>
          <w:tcPr>
            <w:tcW w:w="2265" w:type="dxa"/>
            <w:vMerge/>
            <w:tcBorders>
              <w:top w:val="nil"/>
              <w:left w:val="nil"/>
              <w:bottom w:val="outset" w:sz="6" w:space="0" w:color="auto"/>
              <w:right w:val="nil"/>
            </w:tcBorders>
            <w:vAlign w:val="center"/>
            <w:hideMark/>
          </w:tcPr>
          <w:p w14:paraId="1FA5C40C"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355ECCA3"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10DD5F9C"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r w:rsidRPr="00582888">
              <w:rPr>
                <w:rFonts w:ascii="Arial" w:hAnsi="Arial" w:cs="Arial"/>
                <w:color w:val="000000" w:themeColor="text1"/>
                <w:sz w:val="24"/>
                <w:szCs w:val="24"/>
              </w:rPr>
              <w:t xml:space="preserve">Different to 0 </w:t>
            </w:r>
            <w:r w:rsidRPr="00582888">
              <w:rPr>
                <w:rFonts w:ascii="Arial" w:hAnsi="Arial" w:cs="Arial"/>
                <w:color w:val="000000" w:themeColor="text1"/>
                <w:sz w:val="24"/>
                <w:szCs w:val="24"/>
                <w:vertAlign w:val="superscript"/>
              </w:rPr>
              <w:t>m</w:t>
            </w:r>
          </w:p>
        </w:tc>
        <w:tc>
          <w:tcPr>
            <w:tcW w:w="50" w:type="dxa"/>
            <w:tcBorders>
              <w:top w:val="nil"/>
              <w:left w:val="nil"/>
              <w:bottom w:val="outset" w:sz="6" w:space="0" w:color="auto"/>
              <w:right w:val="nil"/>
            </w:tcBorders>
            <w:vAlign w:val="center"/>
          </w:tcPr>
          <w:p w14:paraId="17A9A7B6"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6293A1E5"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NO</w:t>
            </w:r>
          </w:p>
        </w:tc>
        <w:tc>
          <w:tcPr>
            <w:tcW w:w="1395" w:type="dxa"/>
            <w:tcBorders>
              <w:top w:val="nil"/>
              <w:left w:val="nil"/>
              <w:bottom w:val="outset" w:sz="6" w:space="0" w:color="auto"/>
              <w:right w:val="nil"/>
            </w:tcBorders>
            <w:noWrap/>
            <w:vAlign w:val="center"/>
            <w:hideMark/>
          </w:tcPr>
          <w:p w14:paraId="54B6B18C"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NO</w:t>
            </w:r>
          </w:p>
        </w:tc>
        <w:tc>
          <w:tcPr>
            <w:tcW w:w="150" w:type="dxa"/>
            <w:tcBorders>
              <w:top w:val="nil"/>
              <w:left w:val="nil"/>
              <w:bottom w:val="outset" w:sz="6" w:space="0" w:color="auto"/>
              <w:right w:val="nil"/>
            </w:tcBorders>
            <w:vAlign w:val="center"/>
          </w:tcPr>
          <w:p w14:paraId="7FC61C26"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6E32EB44"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32788D82"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NO</w:t>
            </w:r>
          </w:p>
        </w:tc>
      </w:tr>
      <w:tr w:rsidR="00582888" w:rsidRPr="008B6F3C" w14:paraId="7F7D41A2" w14:textId="77777777" w:rsidTr="00582888">
        <w:trPr>
          <w:jc w:val="center"/>
        </w:trPr>
        <w:tc>
          <w:tcPr>
            <w:tcW w:w="2265" w:type="dxa"/>
            <w:vMerge w:val="restart"/>
            <w:tcBorders>
              <w:top w:val="nil"/>
              <w:left w:val="nil"/>
              <w:bottom w:val="outset" w:sz="6" w:space="0" w:color="auto"/>
              <w:right w:val="nil"/>
            </w:tcBorders>
            <w:vAlign w:val="center"/>
            <w:hideMark/>
          </w:tcPr>
          <w:p w14:paraId="03E9AE8A"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r w:rsidRPr="00582888">
              <w:rPr>
                <w:rFonts w:ascii="Arial" w:hAnsi="Arial" w:cs="Arial"/>
                <w:color w:val="000000" w:themeColor="text1"/>
                <w:sz w:val="24"/>
                <w:szCs w:val="24"/>
              </w:rPr>
              <w:t>Performances</w:t>
            </w:r>
          </w:p>
        </w:tc>
        <w:tc>
          <w:tcPr>
            <w:tcW w:w="90" w:type="dxa"/>
            <w:tcBorders>
              <w:top w:val="nil"/>
              <w:left w:val="nil"/>
              <w:bottom w:val="outset" w:sz="6" w:space="0" w:color="auto"/>
              <w:right w:val="nil"/>
            </w:tcBorders>
            <w:vAlign w:val="center"/>
          </w:tcPr>
          <w:p w14:paraId="36D98780"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52300926" w14:textId="16DF5E4D"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r w:rsidRPr="00582888">
              <w:rPr>
                <w:rFonts w:ascii="Arial" w:hAnsi="Arial" w:cs="Arial"/>
                <w:color w:val="000000" w:themeColor="text1"/>
                <w:sz w:val="24"/>
                <w:szCs w:val="24"/>
              </w:rPr>
              <w:t>LDR (</w:t>
            </w:r>
            <w:bookmarkStart w:id="0" w:name="_Hlk187517048"/>
            <w:r w:rsidRPr="008B6F3C">
              <w:rPr>
                <w:rFonts w:ascii="Arial" w:hAnsi="Arial" w:cs="Arial"/>
                <w:color w:val="000000" w:themeColor="text1"/>
                <w:sz w:val="24"/>
                <w:szCs w:val="24"/>
              </w:rPr>
              <w:t>n</w:t>
            </w:r>
            <w:r w:rsidRPr="00582888">
              <w:rPr>
                <w:rFonts w:ascii="Arial" w:hAnsi="Arial" w:cs="Arial"/>
                <w:color w:val="000000" w:themeColor="text1"/>
                <w:sz w:val="24"/>
                <w:szCs w:val="24"/>
              </w:rPr>
              <w:t>g mL</w:t>
            </w:r>
            <w:bookmarkEnd w:id="0"/>
            <w:r w:rsidRPr="00582888">
              <w:rPr>
                <w:rFonts w:ascii="Arial" w:hAnsi="Arial" w:cs="Arial"/>
                <w:color w:val="000000" w:themeColor="text1"/>
                <w:sz w:val="24"/>
                <w:szCs w:val="24"/>
                <w:vertAlign w:val="superscript"/>
              </w:rPr>
              <w:t>-1</w:t>
            </w:r>
            <w:r w:rsidRPr="00582888">
              <w:rPr>
                <w:rFonts w:ascii="Arial" w:hAnsi="Arial" w:cs="Arial"/>
                <w:color w:val="000000" w:themeColor="text1"/>
                <w:sz w:val="24"/>
                <w:szCs w:val="24"/>
              </w:rPr>
              <w:t xml:space="preserve">) </w:t>
            </w:r>
            <w:r w:rsidRPr="00582888">
              <w:rPr>
                <w:rFonts w:ascii="Arial" w:hAnsi="Arial" w:cs="Arial"/>
                <w:color w:val="000000" w:themeColor="text1"/>
                <w:sz w:val="24"/>
                <w:szCs w:val="24"/>
                <w:vertAlign w:val="superscript"/>
              </w:rPr>
              <w:t>g</w:t>
            </w:r>
          </w:p>
        </w:tc>
        <w:tc>
          <w:tcPr>
            <w:tcW w:w="50" w:type="dxa"/>
            <w:tcBorders>
              <w:top w:val="nil"/>
              <w:left w:val="nil"/>
              <w:bottom w:val="outset" w:sz="6" w:space="0" w:color="auto"/>
              <w:right w:val="nil"/>
            </w:tcBorders>
            <w:vAlign w:val="center"/>
          </w:tcPr>
          <w:p w14:paraId="17DBD3DE"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675BB60D" w14:textId="2E3BF02C"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7B48A3">
              <w:rPr>
                <w:rFonts w:ascii="Arial" w:hAnsi="Arial" w:cs="Arial"/>
                <w:color w:val="000000" w:themeColor="text1"/>
                <w:sz w:val="24"/>
                <w:szCs w:val="24"/>
              </w:rPr>
              <w:t>0.1–300</w:t>
            </w:r>
          </w:p>
        </w:tc>
        <w:tc>
          <w:tcPr>
            <w:tcW w:w="1395" w:type="dxa"/>
            <w:tcBorders>
              <w:top w:val="nil"/>
              <w:left w:val="nil"/>
              <w:bottom w:val="outset" w:sz="6" w:space="0" w:color="auto"/>
              <w:right w:val="nil"/>
            </w:tcBorders>
            <w:noWrap/>
            <w:vAlign w:val="center"/>
            <w:hideMark/>
          </w:tcPr>
          <w:p w14:paraId="4463F8B9" w14:textId="6D879842"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7B48A3">
              <w:rPr>
                <w:rFonts w:ascii="Arial" w:hAnsi="Arial" w:cs="Arial"/>
                <w:color w:val="000000" w:themeColor="text1"/>
                <w:sz w:val="24"/>
                <w:szCs w:val="24"/>
              </w:rPr>
              <w:t>0.1–300</w:t>
            </w:r>
          </w:p>
        </w:tc>
        <w:tc>
          <w:tcPr>
            <w:tcW w:w="150" w:type="dxa"/>
            <w:tcBorders>
              <w:top w:val="nil"/>
              <w:left w:val="nil"/>
              <w:bottom w:val="outset" w:sz="6" w:space="0" w:color="auto"/>
              <w:right w:val="nil"/>
            </w:tcBorders>
            <w:vAlign w:val="center"/>
          </w:tcPr>
          <w:p w14:paraId="4A49AF8B"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07E03547"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3F6886BC" w14:textId="58EB397A"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7B48A3">
              <w:rPr>
                <w:rFonts w:ascii="Arial" w:hAnsi="Arial" w:cs="Arial"/>
                <w:color w:val="000000" w:themeColor="text1"/>
                <w:sz w:val="24"/>
                <w:szCs w:val="24"/>
              </w:rPr>
              <w:t>0.1–300</w:t>
            </w:r>
          </w:p>
        </w:tc>
      </w:tr>
      <w:tr w:rsidR="00582888" w:rsidRPr="008B6F3C" w14:paraId="6BF5FEAE" w14:textId="77777777" w:rsidTr="00582888">
        <w:trPr>
          <w:jc w:val="center"/>
        </w:trPr>
        <w:tc>
          <w:tcPr>
            <w:tcW w:w="2265" w:type="dxa"/>
            <w:vMerge/>
            <w:tcBorders>
              <w:top w:val="nil"/>
              <w:left w:val="nil"/>
              <w:bottom w:val="outset" w:sz="6" w:space="0" w:color="auto"/>
              <w:right w:val="nil"/>
            </w:tcBorders>
            <w:vAlign w:val="center"/>
            <w:hideMark/>
          </w:tcPr>
          <w:p w14:paraId="034BCD81"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0E1785D7"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37763085"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r w:rsidRPr="00582888">
              <w:rPr>
                <w:rFonts w:ascii="Arial" w:hAnsi="Arial" w:cs="Arial"/>
                <w:color w:val="000000" w:themeColor="text1"/>
                <w:sz w:val="24"/>
                <w:szCs w:val="24"/>
              </w:rPr>
              <w:t>LOD (ng mL</w:t>
            </w:r>
            <w:r w:rsidRPr="00582888">
              <w:rPr>
                <w:rFonts w:ascii="Arial" w:hAnsi="Arial" w:cs="Arial"/>
                <w:color w:val="000000" w:themeColor="text1"/>
                <w:sz w:val="24"/>
                <w:szCs w:val="24"/>
                <w:vertAlign w:val="superscript"/>
              </w:rPr>
              <w:t>-1</w:t>
            </w:r>
            <w:r w:rsidRPr="00582888">
              <w:rPr>
                <w:rFonts w:ascii="Arial" w:hAnsi="Arial" w:cs="Arial"/>
                <w:color w:val="000000" w:themeColor="text1"/>
                <w:sz w:val="24"/>
                <w:szCs w:val="24"/>
              </w:rPr>
              <w:t xml:space="preserve">) </w:t>
            </w:r>
            <w:r w:rsidRPr="00582888">
              <w:rPr>
                <w:rFonts w:ascii="Arial" w:hAnsi="Arial" w:cs="Arial"/>
                <w:color w:val="000000" w:themeColor="text1"/>
                <w:sz w:val="24"/>
                <w:szCs w:val="24"/>
                <w:vertAlign w:val="superscript"/>
              </w:rPr>
              <w:t>h</w:t>
            </w:r>
          </w:p>
        </w:tc>
        <w:tc>
          <w:tcPr>
            <w:tcW w:w="50" w:type="dxa"/>
            <w:tcBorders>
              <w:top w:val="nil"/>
              <w:left w:val="nil"/>
              <w:bottom w:val="outset" w:sz="6" w:space="0" w:color="auto"/>
              <w:right w:val="nil"/>
            </w:tcBorders>
            <w:vAlign w:val="center"/>
          </w:tcPr>
          <w:p w14:paraId="4C303DA0"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71B8FEC2" w14:textId="16A0BE89"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4</w:t>
            </w:r>
            <w:r w:rsidRPr="00582888">
              <w:rPr>
                <w:rFonts w:ascii="Arial" w:hAnsi="Arial" w:cs="Arial"/>
                <w:color w:val="000000" w:themeColor="text1"/>
                <w:sz w:val="24"/>
                <w:szCs w:val="24"/>
              </w:rPr>
              <w:t>.1</w:t>
            </w:r>
          </w:p>
        </w:tc>
        <w:tc>
          <w:tcPr>
            <w:tcW w:w="1395" w:type="dxa"/>
            <w:tcBorders>
              <w:top w:val="nil"/>
              <w:left w:val="nil"/>
              <w:bottom w:val="outset" w:sz="6" w:space="0" w:color="auto"/>
              <w:right w:val="nil"/>
            </w:tcBorders>
            <w:noWrap/>
            <w:vAlign w:val="center"/>
            <w:hideMark/>
          </w:tcPr>
          <w:p w14:paraId="61125E4C" w14:textId="14C51CF4"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1</w:t>
            </w:r>
            <w:r w:rsidRPr="00582888">
              <w:rPr>
                <w:rFonts w:ascii="Arial" w:hAnsi="Arial" w:cs="Arial"/>
                <w:color w:val="000000" w:themeColor="text1"/>
                <w:sz w:val="24"/>
                <w:szCs w:val="24"/>
              </w:rPr>
              <w:t>.7</w:t>
            </w:r>
          </w:p>
        </w:tc>
        <w:tc>
          <w:tcPr>
            <w:tcW w:w="150" w:type="dxa"/>
            <w:tcBorders>
              <w:top w:val="nil"/>
              <w:left w:val="nil"/>
              <w:bottom w:val="outset" w:sz="6" w:space="0" w:color="auto"/>
              <w:right w:val="nil"/>
            </w:tcBorders>
            <w:vAlign w:val="center"/>
          </w:tcPr>
          <w:p w14:paraId="18B87356"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772D6907"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242339FD" w14:textId="0BBFE932"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2</w:t>
            </w:r>
            <w:r w:rsidRPr="00582888">
              <w:rPr>
                <w:rFonts w:ascii="Arial" w:hAnsi="Arial" w:cs="Arial"/>
                <w:color w:val="000000" w:themeColor="text1"/>
                <w:sz w:val="24"/>
                <w:szCs w:val="24"/>
              </w:rPr>
              <w:t>.</w:t>
            </w:r>
            <w:r w:rsidRPr="008B6F3C">
              <w:rPr>
                <w:rFonts w:ascii="Arial" w:hAnsi="Arial" w:cs="Arial"/>
                <w:color w:val="000000" w:themeColor="text1"/>
                <w:sz w:val="24"/>
                <w:szCs w:val="24"/>
              </w:rPr>
              <w:t>4</w:t>
            </w:r>
          </w:p>
        </w:tc>
      </w:tr>
      <w:tr w:rsidR="00582888" w:rsidRPr="008B6F3C" w14:paraId="3831FEA0" w14:textId="77777777" w:rsidTr="00D4706D">
        <w:trPr>
          <w:jc w:val="center"/>
        </w:trPr>
        <w:tc>
          <w:tcPr>
            <w:tcW w:w="2265" w:type="dxa"/>
            <w:vMerge/>
            <w:tcBorders>
              <w:top w:val="nil"/>
              <w:left w:val="nil"/>
              <w:bottom w:val="outset" w:sz="6" w:space="0" w:color="auto"/>
              <w:right w:val="nil"/>
            </w:tcBorders>
            <w:vAlign w:val="center"/>
            <w:hideMark/>
          </w:tcPr>
          <w:p w14:paraId="57384C86"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25DC9F80"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nil"/>
              <w:left w:val="nil"/>
              <w:bottom w:val="outset" w:sz="6" w:space="0" w:color="auto"/>
              <w:right w:val="nil"/>
            </w:tcBorders>
            <w:noWrap/>
            <w:vAlign w:val="center"/>
            <w:hideMark/>
          </w:tcPr>
          <w:p w14:paraId="1BDFBDC8" w14:textId="2E605B2D"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r w:rsidRPr="00582888">
              <w:rPr>
                <w:rFonts w:ascii="Arial" w:hAnsi="Arial" w:cs="Arial"/>
                <w:color w:val="000000" w:themeColor="text1"/>
                <w:sz w:val="24"/>
                <w:szCs w:val="24"/>
              </w:rPr>
              <w:t>LOQ (ng</w:t>
            </w:r>
            <w:r w:rsidRPr="008B6F3C">
              <w:rPr>
                <w:rFonts w:ascii="Arial" w:hAnsi="Arial" w:cs="Arial"/>
                <w:color w:val="000000" w:themeColor="text1"/>
                <w:sz w:val="24"/>
                <w:szCs w:val="24"/>
              </w:rPr>
              <w:t xml:space="preserve"> </w:t>
            </w:r>
            <w:r w:rsidRPr="00582888">
              <w:rPr>
                <w:rFonts w:ascii="Arial" w:hAnsi="Arial" w:cs="Arial"/>
                <w:color w:val="000000" w:themeColor="text1"/>
                <w:sz w:val="24"/>
                <w:szCs w:val="24"/>
              </w:rPr>
              <w:t>mL</w:t>
            </w:r>
            <w:r w:rsidRPr="00582888">
              <w:rPr>
                <w:rFonts w:ascii="Arial" w:hAnsi="Arial" w:cs="Arial"/>
                <w:color w:val="000000" w:themeColor="text1"/>
                <w:sz w:val="24"/>
                <w:szCs w:val="24"/>
                <w:vertAlign w:val="superscript"/>
              </w:rPr>
              <w:t>-1</w:t>
            </w:r>
            <w:r w:rsidRPr="00582888">
              <w:rPr>
                <w:rFonts w:ascii="Arial" w:hAnsi="Arial" w:cs="Arial"/>
                <w:color w:val="000000" w:themeColor="text1"/>
                <w:sz w:val="24"/>
                <w:szCs w:val="24"/>
              </w:rPr>
              <w:t xml:space="preserve">) </w:t>
            </w:r>
            <w:r w:rsidRPr="00582888">
              <w:rPr>
                <w:rFonts w:ascii="Arial" w:hAnsi="Arial" w:cs="Arial"/>
                <w:color w:val="000000" w:themeColor="text1"/>
                <w:sz w:val="24"/>
                <w:szCs w:val="24"/>
                <w:vertAlign w:val="superscript"/>
              </w:rPr>
              <w:t>i</w:t>
            </w:r>
          </w:p>
        </w:tc>
        <w:tc>
          <w:tcPr>
            <w:tcW w:w="50" w:type="dxa"/>
            <w:tcBorders>
              <w:top w:val="nil"/>
              <w:left w:val="nil"/>
              <w:bottom w:val="outset" w:sz="6" w:space="0" w:color="auto"/>
              <w:right w:val="nil"/>
            </w:tcBorders>
            <w:vAlign w:val="center"/>
          </w:tcPr>
          <w:p w14:paraId="718051AF"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nil"/>
              <w:left w:val="nil"/>
              <w:bottom w:val="outset" w:sz="6" w:space="0" w:color="auto"/>
              <w:right w:val="nil"/>
            </w:tcBorders>
            <w:noWrap/>
            <w:vAlign w:val="center"/>
            <w:hideMark/>
          </w:tcPr>
          <w:p w14:paraId="62CA90F8" w14:textId="70FB61AF"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13</w:t>
            </w:r>
            <w:r w:rsidRPr="00582888">
              <w:rPr>
                <w:rFonts w:ascii="Arial" w:hAnsi="Arial" w:cs="Arial"/>
                <w:color w:val="000000" w:themeColor="text1"/>
                <w:sz w:val="24"/>
                <w:szCs w:val="24"/>
              </w:rPr>
              <w:t>.5</w:t>
            </w:r>
          </w:p>
        </w:tc>
        <w:tc>
          <w:tcPr>
            <w:tcW w:w="1395" w:type="dxa"/>
            <w:tcBorders>
              <w:top w:val="nil"/>
              <w:left w:val="nil"/>
              <w:bottom w:val="outset" w:sz="6" w:space="0" w:color="auto"/>
              <w:right w:val="nil"/>
            </w:tcBorders>
            <w:noWrap/>
            <w:vAlign w:val="center"/>
            <w:hideMark/>
          </w:tcPr>
          <w:p w14:paraId="1028779A" w14:textId="6AA25B52"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3</w:t>
            </w:r>
            <w:r w:rsidRPr="00582888">
              <w:rPr>
                <w:rFonts w:ascii="Arial" w:hAnsi="Arial" w:cs="Arial"/>
                <w:color w:val="000000" w:themeColor="text1"/>
                <w:sz w:val="24"/>
                <w:szCs w:val="24"/>
              </w:rPr>
              <w:t>.</w:t>
            </w:r>
            <w:r w:rsidRPr="008B6F3C">
              <w:rPr>
                <w:rFonts w:ascii="Arial" w:hAnsi="Arial" w:cs="Arial"/>
                <w:color w:val="000000" w:themeColor="text1"/>
                <w:sz w:val="24"/>
                <w:szCs w:val="24"/>
              </w:rPr>
              <w:t>3</w:t>
            </w:r>
          </w:p>
        </w:tc>
        <w:tc>
          <w:tcPr>
            <w:tcW w:w="150" w:type="dxa"/>
            <w:tcBorders>
              <w:top w:val="nil"/>
              <w:left w:val="nil"/>
              <w:bottom w:val="outset" w:sz="6" w:space="0" w:color="auto"/>
              <w:right w:val="nil"/>
            </w:tcBorders>
            <w:vAlign w:val="center"/>
          </w:tcPr>
          <w:p w14:paraId="7B810BEF"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20B3CA7C"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nil"/>
              <w:left w:val="nil"/>
              <w:bottom w:val="outset" w:sz="6" w:space="0" w:color="auto"/>
              <w:right w:val="nil"/>
            </w:tcBorders>
            <w:noWrap/>
            <w:vAlign w:val="center"/>
            <w:hideMark/>
          </w:tcPr>
          <w:p w14:paraId="2C6BB7DD" w14:textId="4735F1F1"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7</w:t>
            </w:r>
            <w:r w:rsidRPr="00582888">
              <w:rPr>
                <w:rFonts w:ascii="Arial" w:hAnsi="Arial" w:cs="Arial"/>
                <w:color w:val="000000" w:themeColor="text1"/>
                <w:sz w:val="24"/>
                <w:szCs w:val="24"/>
              </w:rPr>
              <w:t>.</w:t>
            </w:r>
            <w:r w:rsidRPr="008B6F3C">
              <w:rPr>
                <w:rFonts w:ascii="Arial" w:hAnsi="Arial" w:cs="Arial"/>
                <w:color w:val="000000" w:themeColor="text1"/>
                <w:sz w:val="24"/>
                <w:szCs w:val="24"/>
              </w:rPr>
              <w:t>1</w:t>
            </w:r>
          </w:p>
        </w:tc>
      </w:tr>
      <w:tr w:rsidR="00582888" w:rsidRPr="008B6F3C" w14:paraId="53427E2A" w14:textId="77777777" w:rsidTr="00D4706D">
        <w:trPr>
          <w:jc w:val="center"/>
        </w:trPr>
        <w:tc>
          <w:tcPr>
            <w:tcW w:w="2265" w:type="dxa"/>
            <w:vMerge/>
            <w:tcBorders>
              <w:top w:val="nil"/>
              <w:left w:val="nil"/>
              <w:bottom w:val="nil"/>
              <w:right w:val="nil"/>
            </w:tcBorders>
            <w:vAlign w:val="center"/>
            <w:hideMark/>
          </w:tcPr>
          <w:p w14:paraId="7102044F"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nil"/>
              <w:right w:val="nil"/>
            </w:tcBorders>
            <w:vAlign w:val="center"/>
          </w:tcPr>
          <w:p w14:paraId="756C2FC6"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outset" w:sz="6" w:space="0" w:color="auto"/>
              <w:left w:val="nil"/>
              <w:bottom w:val="single" w:sz="4" w:space="0" w:color="auto"/>
              <w:right w:val="nil"/>
            </w:tcBorders>
            <w:noWrap/>
            <w:vAlign w:val="center"/>
            <w:hideMark/>
          </w:tcPr>
          <w:p w14:paraId="5271C07B"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vertAlign w:val="superscript"/>
              </w:rPr>
            </w:pPr>
            <w:r w:rsidRPr="00582888">
              <w:rPr>
                <w:rFonts w:ascii="Arial" w:hAnsi="Arial" w:cs="Arial"/>
                <w:color w:val="000000" w:themeColor="text1"/>
                <w:sz w:val="24"/>
                <w:szCs w:val="24"/>
              </w:rPr>
              <w:t xml:space="preserve">IDP (%) </w:t>
            </w:r>
            <w:r w:rsidRPr="00582888">
              <w:rPr>
                <w:rFonts w:ascii="Arial" w:hAnsi="Arial" w:cs="Arial"/>
                <w:color w:val="000000" w:themeColor="text1"/>
                <w:sz w:val="24"/>
                <w:szCs w:val="24"/>
                <w:vertAlign w:val="superscript"/>
              </w:rPr>
              <w:t>j</w:t>
            </w:r>
          </w:p>
        </w:tc>
        <w:tc>
          <w:tcPr>
            <w:tcW w:w="50" w:type="dxa"/>
            <w:tcBorders>
              <w:top w:val="outset" w:sz="6" w:space="0" w:color="auto"/>
              <w:left w:val="nil"/>
              <w:bottom w:val="single" w:sz="4" w:space="0" w:color="auto"/>
              <w:right w:val="nil"/>
            </w:tcBorders>
            <w:vAlign w:val="center"/>
          </w:tcPr>
          <w:p w14:paraId="70F20AC5" w14:textId="77777777" w:rsidR="00582888" w:rsidRPr="00582888" w:rsidRDefault="00582888"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outset" w:sz="6" w:space="0" w:color="auto"/>
              <w:left w:val="nil"/>
              <w:bottom w:val="single" w:sz="4" w:space="0" w:color="auto"/>
              <w:right w:val="nil"/>
            </w:tcBorders>
            <w:noWrap/>
            <w:vAlign w:val="center"/>
            <w:hideMark/>
          </w:tcPr>
          <w:p w14:paraId="10940A7A"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582888">
              <w:rPr>
                <w:rFonts w:ascii="Arial" w:hAnsi="Arial" w:cs="Arial"/>
                <w:color w:val="000000" w:themeColor="text1"/>
                <w:sz w:val="24"/>
                <w:szCs w:val="24"/>
              </w:rPr>
              <w:t>4.5</w:t>
            </w:r>
          </w:p>
        </w:tc>
        <w:tc>
          <w:tcPr>
            <w:tcW w:w="1395" w:type="dxa"/>
            <w:tcBorders>
              <w:top w:val="outset" w:sz="6" w:space="0" w:color="auto"/>
              <w:left w:val="nil"/>
              <w:bottom w:val="single" w:sz="4" w:space="0" w:color="auto"/>
              <w:right w:val="nil"/>
            </w:tcBorders>
            <w:noWrap/>
            <w:vAlign w:val="center"/>
            <w:hideMark/>
          </w:tcPr>
          <w:p w14:paraId="1A6294CF" w14:textId="629FB489"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3</w:t>
            </w:r>
            <w:r w:rsidRPr="00582888">
              <w:rPr>
                <w:rFonts w:ascii="Arial" w:hAnsi="Arial" w:cs="Arial"/>
                <w:color w:val="000000" w:themeColor="text1"/>
                <w:sz w:val="24"/>
                <w:szCs w:val="24"/>
              </w:rPr>
              <w:t>.</w:t>
            </w:r>
            <w:r w:rsidRPr="008B6F3C">
              <w:rPr>
                <w:rFonts w:ascii="Arial" w:hAnsi="Arial" w:cs="Arial"/>
                <w:color w:val="000000" w:themeColor="text1"/>
                <w:sz w:val="24"/>
                <w:szCs w:val="24"/>
              </w:rPr>
              <w:t>3</w:t>
            </w:r>
          </w:p>
        </w:tc>
        <w:tc>
          <w:tcPr>
            <w:tcW w:w="150" w:type="dxa"/>
            <w:tcBorders>
              <w:top w:val="outset" w:sz="6" w:space="0" w:color="auto"/>
              <w:left w:val="nil"/>
              <w:bottom w:val="single" w:sz="4" w:space="0" w:color="auto"/>
              <w:right w:val="nil"/>
            </w:tcBorders>
            <w:vAlign w:val="center"/>
          </w:tcPr>
          <w:p w14:paraId="52F37C4D"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outset" w:sz="6" w:space="0" w:color="auto"/>
              <w:left w:val="nil"/>
              <w:bottom w:val="single" w:sz="4" w:space="0" w:color="auto"/>
              <w:right w:val="nil"/>
            </w:tcBorders>
            <w:vAlign w:val="center"/>
          </w:tcPr>
          <w:p w14:paraId="61F46B2A" w14:textId="77777777"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outset" w:sz="6" w:space="0" w:color="auto"/>
              <w:left w:val="nil"/>
              <w:bottom w:val="single" w:sz="4" w:space="0" w:color="auto"/>
              <w:right w:val="nil"/>
            </w:tcBorders>
            <w:noWrap/>
            <w:vAlign w:val="center"/>
            <w:hideMark/>
          </w:tcPr>
          <w:p w14:paraId="78C01840" w14:textId="44F0DA99" w:rsidR="00582888" w:rsidRPr="00582888" w:rsidRDefault="00582888"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2</w:t>
            </w:r>
            <w:r w:rsidRPr="00582888">
              <w:rPr>
                <w:rFonts w:ascii="Arial" w:hAnsi="Arial" w:cs="Arial"/>
                <w:color w:val="000000" w:themeColor="text1"/>
                <w:sz w:val="24"/>
                <w:szCs w:val="24"/>
              </w:rPr>
              <w:t>.</w:t>
            </w:r>
            <w:r w:rsidRPr="008B6F3C">
              <w:rPr>
                <w:rFonts w:ascii="Arial" w:hAnsi="Arial" w:cs="Arial"/>
                <w:color w:val="000000" w:themeColor="text1"/>
                <w:sz w:val="24"/>
                <w:szCs w:val="24"/>
              </w:rPr>
              <w:t>6</w:t>
            </w:r>
          </w:p>
        </w:tc>
      </w:tr>
      <w:tr w:rsidR="00D4706D" w:rsidRPr="008B6F3C" w14:paraId="3A95785A" w14:textId="77777777" w:rsidTr="00D4706D">
        <w:trPr>
          <w:jc w:val="center"/>
        </w:trPr>
        <w:tc>
          <w:tcPr>
            <w:tcW w:w="2265" w:type="dxa"/>
            <w:tcBorders>
              <w:top w:val="nil"/>
              <w:left w:val="nil"/>
              <w:bottom w:val="outset" w:sz="6" w:space="0" w:color="auto"/>
              <w:right w:val="nil"/>
            </w:tcBorders>
            <w:vAlign w:val="center"/>
          </w:tcPr>
          <w:p w14:paraId="346F2DAD" w14:textId="77777777" w:rsidR="00D4706D" w:rsidRPr="008B6F3C" w:rsidRDefault="00D4706D" w:rsidP="0097495D">
            <w:pPr>
              <w:tabs>
                <w:tab w:val="left" w:pos="142"/>
              </w:tabs>
              <w:spacing w:after="0" w:line="240" w:lineRule="auto"/>
              <w:jc w:val="both"/>
              <w:rPr>
                <w:rFonts w:ascii="Arial" w:hAnsi="Arial" w:cs="Arial"/>
                <w:color w:val="000000" w:themeColor="text1"/>
                <w:sz w:val="24"/>
                <w:szCs w:val="24"/>
              </w:rPr>
            </w:pPr>
          </w:p>
        </w:tc>
        <w:tc>
          <w:tcPr>
            <w:tcW w:w="90" w:type="dxa"/>
            <w:tcBorders>
              <w:top w:val="nil"/>
              <w:left w:val="nil"/>
              <w:bottom w:val="outset" w:sz="6" w:space="0" w:color="auto"/>
              <w:right w:val="nil"/>
            </w:tcBorders>
            <w:vAlign w:val="center"/>
          </w:tcPr>
          <w:p w14:paraId="283812F3" w14:textId="77777777" w:rsidR="00D4706D" w:rsidRPr="008B6F3C" w:rsidRDefault="00D4706D" w:rsidP="0097495D">
            <w:pPr>
              <w:tabs>
                <w:tab w:val="left" w:pos="142"/>
              </w:tabs>
              <w:spacing w:after="0" w:line="240" w:lineRule="auto"/>
              <w:jc w:val="both"/>
              <w:rPr>
                <w:rFonts w:ascii="Arial" w:hAnsi="Arial" w:cs="Arial"/>
                <w:color w:val="000000" w:themeColor="text1"/>
                <w:sz w:val="24"/>
                <w:szCs w:val="24"/>
              </w:rPr>
            </w:pPr>
          </w:p>
        </w:tc>
        <w:tc>
          <w:tcPr>
            <w:tcW w:w="1830" w:type="dxa"/>
            <w:tcBorders>
              <w:top w:val="single" w:sz="4" w:space="0" w:color="auto"/>
              <w:left w:val="nil"/>
              <w:bottom w:val="outset" w:sz="6" w:space="0" w:color="auto"/>
              <w:right w:val="nil"/>
            </w:tcBorders>
            <w:noWrap/>
            <w:vAlign w:val="center"/>
          </w:tcPr>
          <w:p w14:paraId="0A3BCA99" w14:textId="6C0FD4BF" w:rsidR="00D4706D" w:rsidRPr="008B6F3C" w:rsidRDefault="00D4706D" w:rsidP="0097495D">
            <w:pPr>
              <w:tabs>
                <w:tab w:val="left" w:pos="142"/>
              </w:tabs>
              <w:spacing w:after="0" w:line="240" w:lineRule="auto"/>
              <w:jc w:val="both"/>
              <w:rPr>
                <w:rFonts w:ascii="Arial" w:hAnsi="Arial" w:cs="Arial"/>
                <w:bCs/>
                <w:color w:val="000000" w:themeColor="text1"/>
                <w:sz w:val="24"/>
                <w:szCs w:val="24"/>
              </w:rPr>
            </w:pPr>
            <w:r w:rsidRPr="00A96042">
              <w:rPr>
                <w:rFonts w:ascii="Arial" w:hAnsi="Arial" w:cs="Arial"/>
                <w:bCs/>
                <w:color w:val="000000" w:themeColor="text1"/>
                <w:sz w:val="24"/>
                <w:szCs w:val="24"/>
              </w:rPr>
              <w:t>DSR (%)</w:t>
            </w:r>
          </w:p>
        </w:tc>
        <w:tc>
          <w:tcPr>
            <w:tcW w:w="50" w:type="dxa"/>
            <w:tcBorders>
              <w:top w:val="single" w:sz="4" w:space="0" w:color="auto"/>
              <w:left w:val="nil"/>
              <w:bottom w:val="outset" w:sz="6" w:space="0" w:color="auto"/>
              <w:right w:val="nil"/>
            </w:tcBorders>
            <w:vAlign w:val="center"/>
          </w:tcPr>
          <w:p w14:paraId="32D80CA6" w14:textId="77777777" w:rsidR="00D4706D" w:rsidRPr="008B6F3C" w:rsidRDefault="00D4706D" w:rsidP="0097495D">
            <w:pPr>
              <w:tabs>
                <w:tab w:val="left" w:pos="142"/>
              </w:tabs>
              <w:spacing w:after="0" w:line="240" w:lineRule="auto"/>
              <w:jc w:val="both"/>
              <w:rPr>
                <w:rFonts w:ascii="Arial" w:hAnsi="Arial" w:cs="Arial"/>
                <w:color w:val="000000" w:themeColor="text1"/>
                <w:sz w:val="24"/>
                <w:szCs w:val="24"/>
              </w:rPr>
            </w:pPr>
          </w:p>
        </w:tc>
        <w:tc>
          <w:tcPr>
            <w:tcW w:w="1410" w:type="dxa"/>
            <w:tcBorders>
              <w:top w:val="single" w:sz="4" w:space="0" w:color="auto"/>
              <w:left w:val="nil"/>
              <w:bottom w:val="outset" w:sz="6" w:space="0" w:color="auto"/>
              <w:right w:val="nil"/>
            </w:tcBorders>
            <w:noWrap/>
            <w:vAlign w:val="center"/>
          </w:tcPr>
          <w:p w14:paraId="256A1792" w14:textId="2F7AFDCF" w:rsidR="00D4706D" w:rsidRPr="008B6F3C" w:rsidRDefault="00D4706D"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0.02</w:t>
            </w:r>
          </w:p>
        </w:tc>
        <w:tc>
          <w:tcPr>
            <w:tcW w:w="1395" w:type="dxa"/>
            <w:tcBorders>
              <w:top w:val="single" w:sz="4" w:space="0" w:color="auto"/>
              <w:left w:val="nil"/>
              <w:bottom w:val="outset" w:sz="6" w:space="0" w:color="auto"/>
              <w:right w:val="nil"/>
            </w:tcBorders>
            <w:noWrap/>
            <w:vAlign w:val="center"/>
          </w:tcPr>
          <w:p w14:paraId="7216F8A7" w14:textId="5B6A54F9" w:rsidR="00D4706D" w:rsidRPr="008B6F3C" w:rsidRDefault="00D4706D"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1.35</w:t>
            </w:r>
          </w:p>
        </w:tc>
        <w:tc>
          <w:tcPr>
            <w:tcW w:w="150" w:type="dxa"/>
            <w:tcBorders>
              <w:top w:val="single" w:sz="4" w:space="0" w:color="auto"/>
              <w:left w:val="nil"/>
              <w:bottom w:val="outset" w:sz="6" w:space="0" w:color="auto"/>
              <w:right w:val="nil"/>
            </w:tcBorders>
            <w:vAlign w:val="center"/>
          </w:tcPr>
          <w:p w14:paraId="764E1CD8" w14:textId="77777777" w:rsidR="00D4706D" w:rsidRPr="008B6F3C" w:rsidRDefault="00D4706D" w:rsidP="0097495D">
            <w:pPr>
              <w:tabs>
                <w:tab w:val="left" w:pos="142"/>
              </w:tabs>
              <w:spacing w:after="0" w:line="240" w:lineRule="auto"/>
              <w:jc w:val="center"/>
              <w:rPr>
                <w:rFonts w:ascii="Arial" w:hAnsi="Arial" w:cs="Arial"/>
                <w:color w:val="000000" w:themeColor="text1"/>
                <w:sz w:val="24"/>
                <w:szCs w:val="24"/>
              </w:rPr>
            </w:pPr>
          </w:p>
        </w:tc>
        <w:tc>
          <w:tcPr>
            <w:tcW w:w="90" w:type="dxa"/>
            <w:tcBorders>
              <w:top w:val="single" w:sz="4" w:space="0" w:color="auto"/>
              <w:left w:val="nil"/>
              <w:bottom w:val="outset" w:sz="6" w:space="0" w:color="auto"/>
              <w:right w:val="nil"/>
            </w:tcBorders>
            <w:vAlign w:val="center"/>
          </w:tcPr>
          <w:p w14:paraId="2DB5862D" w14:textId="77777777" w:rsidR="00D4706D" w:rsidRPr="008B6F3C" w:rsidRDefault="00D4706D" w:rsidP="0097495D">
            <w:pPr>
              <w:tabs>
                <w:tab w:val="left" w:pos="142"/>
              </w:tabs>
              <w:spacing w:after="0" w:line="240" w:lineRule="auto"/>
              <w:jc w:val="center"/>
              <w:rPr>
                <w:rFonts w:ascii="Arial" w:hAnsi="Arial" w:cs="Arial"/>
                <w:color w:val="000000" w:themeColor="text1"/>
                <w:sz w:val="24"/>
                <w:szCs w:val="24"/>
              </w:rPr>
            </w:pPr>
          </w:p>
        </w:tc>
        <w:tc>
          <w:tcPr>
            <w:tcW w:w="1305" w:type="dxa"/>
            <w:tcBorders>
              <w:top w:val="single" w:sz="4" w:space="0" w:color="auto"/>
              <w:left w:val="nil"/>
              <w:bottom w:val="outset" w:sz="6" w:space="0" w:color="auto"/>
              <w:right w:val="nil"/>
            </w:tcBorders>
            <w:noWrap/>
            <w:vAlign w:val="center"/>
          </w:tcPr>
          <w:p w14:paraId="27E941FE" w14:textId="42DFFFEA" w:rsidR="00D4706D" w:rsidRPr="008B6F3C" w:rsidRDefault="00D4706D"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color w:val="000000" w:themeColor="text1"/>
                <w:sz w:val="24"/>
                <w:szCs w:val="24"/>
              </w:rPr>
              <w:t>0.80</w:t>
            </w:r>
          </w:p>
        </w:tc>
      </w:tr>
    </w:tbl>
    <w:p w14:paraId="3F6CA37D" w14:textId="77777777" w:rsidR="00582888" w:rsidRPr="00582888" w:rsidRDefault="00582888" w:rsidP="0097495D">
      <w:pPr>
        <w:tabs>
          <w:tab w:val="left" w:pos="142"/>
        </w:tabs>
        <w:spacing w:after="0" w:line="360" w:lineRule="auto"/>
        <w:jc w:val="both"/>
        <w:rPr>
          <w:rFonts w:ascii="Arial" w:hAnsi="Arial" w:cs="Arial"/>
          <w:bCs/>
          <w:color w:val="000000" w:themeColor="text1"/>
          <w:sz w:val="24"/>
          <w:szCs w:val="24"/>
        </w:rPr>
      </w:pPr>
      <w:r w:rsidRPr="00582888">
        <w:rPr>
          <w:rFonts w:ascii="Arial" w:hAnsi="Arial" w:cs="Arial"/>
          <w:bCs/>
          <w:color w:val="000000" w:themeColor="text1"/>
          <w:sz w:val="24"/>
          <w:szCs w:val="24"/>
          <w:vertAlign w:val="superscript"/>
        </w:rPr>
        <w:t xml:space="preserve">a </w:t>
      </w:r>
      <w:r w:rsidRPr="00582888">
        <w:rPr>
          <w:rFonts w:ascii="Arial" w:hAnsi="Arial" w:cs="Arial"/>
          <w:bCs/>
          <w:color w:val="000000" w:themeColor="text1"/>
          <w:sz w:val="24"/>
          <w:szCs w:val="24"/>
        </w:rPr>
        <w:t xml:space="preserve">Correction coefficient; </w:t>
      </w:r>
      <w:r w:rsidRPr="00582888">
        <w:rPr>
          <w:rFonts w:ascii="Arial" w:hAnsi="Arial" w:cs="Arial"/>
          <w:bCs/>
          <w:color w:val="000000" w:themeColor="text1"/>
          <w:sz w:val="24"/>
          <w:szCs w:val="24"/>
          <w:vertAlign w:val="superscript"/>
        </w:rPr>
        <w:t xml:space="preserve">b </w:t>
      </w:r>
      <w:r w:rsidRPr="00582888">
        <w:rPr>
          <w:rFonts w:ascii="Arial" w:hAnsi="Arial" w:cs="Arial"/>
          <w:bCs/>
          <w:color w:val="000000" w:themeColor="text1"/>
          <w:sz w:val="24"/>
          <w:szCs w:val="24"/>
        </w:rPr>
        <w:t xml:space="preserve">Regression variance; </w:t>
      </w:r>
      <w:r w:rsidRPr="00582888">
        <w:rPr>
          <w:rFonts w:ascii="Arial" w:hAnsi="Arial" w:cs="Arial"/>
          <w:bCs/>
          <w:color w:val="000000" w:themeColor="text1"/>
          <w:sz w:val="24"/>
          <w:szCs w:val="24"/>
          <w:vertAlign w:val="superscript"/>
        </w:rPr>
        <w:t xml:space="preserve">c </w:t>
      </w:r>
      <w:r w:rsidRPr="00582888">
        <w:rPr>
          <w:rFonts w:ascii="Arial" w:hAnsi="Arial" w:cs="Arial"/>
          <w:bCs/>
          <w:color w:val="000000" w:themeColor="text1"/>
          <w:sz w:val="24"/>
          <w:szCs w:val="24"/>
        </w:rPr>
        <w:t xml:space="preserve">Residual variance; </w:t>
      </w:r>
      <w:r w:rsidRPr="00582888">
        <w:rPr>
          <w:rFonts w:ascii="Arial" w:hAnsi="Arial" w:cs="Arial"/>
          <w:bCs/>
          <w:color w:val="000000" w:themeColor="text1"/>
          <w:sz w:val="24"/>
          <w:szCs w:val="24"/>
          <w:vertAlign w:val="superscript"/>
        </w:rPr>
        <w:t xml:space="preserve">d </w:t>
      </w:r>
      <w:r w:rsidRPr="00582888">
        <w:rPr>
          <w:rFonts w:ascii="Arial" w:hAnsi="Arial" w:cs="Arial"/>
          <w:bCs/>
          <w:color w:val="000000" w:themeColor="text1"/>
          <w:sz w:val="24"/>
          <w:szCs w:val="24"/>
        </w:rPr>
        <w:t>Probability (α = 5</w:t>
      </w:r>
      <w:r w:rsidRPr="00582888">
        <w:rPr>
          <w:rFonts w:ascii="Arial" w:eastAsia="MS Gothic" w:hAnsi="Arial" w:cs="Arial"/>
          <w:bCs/>
          <w:color w:val="000000" w:themeColor="text1"/>
          <w:sz w:val="24"/>
          <w:szCs w:val="24"/>
        </w:rPr>
        <w:t>％</w:t>
      </w:r>
      <w:r w:rsidRPr="00582888">
        <w:rPr>
          <w:rFonts w:ascii="Arial" w:hAnsi="Arial" w:cs="Arial"/>
          <w:bCs/>
          <w:color w:val="000000" w:themeColor="text1"/>
          <w:sz w:val="24"/>
          <w:szCs w:val="24"/>
        </w:rPr>
        <w:t xml:space="preserve">) of  the Student </w:t>
      </w:r>
      <w:r w:rsidRPr="00582888">
        <w:rPr>
          <w:rFonts w:ascii="Arial" w:hAnsi="Arial" w:cs="Arial"/>
          <w:bCs/>
          <w:i/>
          <w:iCs/>
          <w:color w:val="000000" w:themeColor="text1"/>
          <w:sz w:val="24"/>
          <w:szCs w:val="24"/>
        </w:rPr>
        <w:t>t</w:t>
      </w:r>
      <w:r w:rsidRPr="00582888">
        <w:rPr>
          <w:rFonts w:ascii="Arial" w:hAnsi="Arial" w:cs="Arial"/>
          <w:bCs/>
          <w:color w:val="000000" w:themeColor="text1"/>
          <w:sz w:val="24"/>
          <w:szCs w:val="24"/>
        </w:rPr>
        <w:t xml:space="preserve">-test; </w:t>
      </w:r>
      <w:r w:rsidRPr="00582888">
        <w:rPr>
          <w:rFonts w:ascii="Arial" w:hAnsi="Arial" w:cs="Arial"/>
          <w:bCs/>
          <w:color w:val="000000" w:themeColor="text1"/>
          <w:sz w:val="24"/>
          <w:szCs w:val="24"/>
          <w:vertAlign w:val="superscript"/>
        </w:rPr>
        <w:t>e</w:t>
      </w:r>
      <w:r w:rsidRPr="00582888">
        <w:rPr>
          <w:rFonts w:ascii="Arial" w:hAnsi="Arial" w:cs="Arial"/>
          <w:bCs/>
          <w:color w:val="000000" w:themeColor="text1"/>
          <w:sz w:val="24"/>
          <w:szCs w:val="24"/>
        </w:rPr>
        <w:t xml:space="preserve"> Lack of fit variance; </w:t>
      </w:r>
      <w:r w:rsidRPr="00582888">
        <w:rPr>
          <w:rFonts w:ascii="Arial" w:hAnsi="Arial" w:cs="Arial"/>
          <w:bCs/>
          <w:color w:val="000000" w:themeColor="text1"/>
          <w:sz w:val="24"/>
          <w:szCs w:val="24"/>
          <w:vertAlign w:val="superscript"/>
        </w:rPr>
        <w:t>f</w:t>
      </w:r>
      <w:r w:rsidRPr="00582888">
        <w:rPr>
          <w:rFonts w:ascii="Arial" w:hAnsi="Arial" w:cs="Arial"/>
          <w:bCs/>
          <w:color w:val="000000" w:themeColor="text1"/>
          <w:sz w:val="24"/>
          <w:szCs w:val="24"/>
        </w:rPr>
        <w:t xml:space="preserve"> Pure error variance; </w:t>
      </w:r>
      <w:r w:rsidRPr="00582888">
        <w:rPr>
          <w:rFonts w:ascii="Arial" w:hAnsi="Arial" w:cs="Arial"/>
          <w:bCs/>
          <w:color w:val="000000" w:themeColor="text1"/>
          <w:sz w:val="24"/>
          <w:szCs w:val="24"/>
          <w:vertAlign w:val="superscript"/>
        </w:rPr>
        <w:t>g</w:t>
      </w:r>
      <w:r w:rsidRPr="00582888">
        <w:rPr>
          <w:rFonts w:ascii="Arial" w:hAnsi="Arial" w:cs="Arial"/>
          <w:bCs/>
          <w:color w:val="000000" w:themeColor="text1"/>
          <w:sz w:val="24"/>
          <w:szCs w:val="24"/>
        </w:rPr>
        <w:t xml:space="preserve"> </w:t>
      </w:r>
      <w:r w:rsidRPr="00582888">
        <w:rPr>
          <w:rFonts w:ascii="Arial" w:hAnsi="Arial" w:cs="Arial"/>
          <w:color w:val="000000" w:themeColor="text1"/>
          <w:sz w:val="24"/>
          <w:szCs w:val="24"/>
        </w:rPr>
        <w:t>Linear dynamic range</w:t>
      </w:r>
      <w:r w:rsidRPr="00582888">
        <w:rPr>
          <w:rFonts w:ascii="Arial" w:hAnsi="Arial" w:cs="Arial"/>
          <w:bCs/>
          <w:color w:val="000000" w:themeColor="text1"/>
          <w:sz w:val="24"/>
          <w:szCs w:val="24"/>
        </w:rPr>
        <w:t xml:space="preserve">; </w:t>
      </w:r>
      <w:r w:rsidRPr="00582888">
        <w:rPr>
          <w:rFonts w:ascii="Arial" w:hAnsi="Arial" w:cs="Arial"/>
          <w:bCs/>
          <w:color w:val="000000" w:themeColor="text1"/>
          <w:sz w:val="24"/>
          <w:szCs w:val="24"/>
          <w:vertAlign w:val="superscript"/>
        </w:rPr>
        <w:t>h</w:t>
      </w:r>
      <w:r w:rsidRPr="00582888">
        <w:rPr>
          <w:rFonts w:ascii="Arial" w:hAnsi="Arial" w:cs="Arial"/>
          <w:bCs/>
          <w:color w:val="000000" w:themeColor="text1"/>
          <w:sz w:val="24"/>
          <w:szCs w:val="24"/>
        </w:rPr>
        <w:t xml:space="preserve"> Limit of detection,  defined as the concentration of analyte giving a signal-to-noise (SN</w:t>
      </w:r>
      <w:r w:rsidRPr="00582888">
        <w:rPr>
          <w:rFonts w:ascii="Arial" w:hAnsi="Arial" w:cs="Arial"/>
          <w:bCs/>
          <w:color w:val="000000" w:themeColor="text1"/>
          <w:sz w:val="24"/>
          <w:szCs w:val="24"/>
          <w:vertAlign w:val="superscript"/>
        </w:rPr>
        <w:t>-1</w:t>
      </w:r>
      <w:r w:rsidRPr="00582888">
        <w:rPr>
          <w:rFonts w:ascii="Arial" w:hAnsi="Arial" w:cs="Arial"/>
          <w:bCs/>
          <w:color w:val="000000" w:themeColor="text1"/>
          <w:sz w:val="24"/>
          <w:szCs w:val="24"/>
        </w:rPr>
        <w:t xml:space="preserve">) ratio of 3; </w:t>
      </w:r>
      <w:r w:rsidRPr="00582888">
        <w:rPr>
          <w:rFonts w:ascii="Arial" w:hAnsi="Arial" w:cs="Arial"/>
          <w:bCs/>
          <w:color w:val="000000" w:themeColor="text1"/>
          <w:sz w:val="24"/>
          <w:szCs w:val="24"/>
          <w:vertAlign w:val="superscript"/>
        </w:rPr>
        <w:t xml:space="preserve">i </w:t>
      </w:r>
      <w:r w:rsidRPr="00582888">
        <w:rPr>
          <w:rFonts w:ascii="Arial" w:hAnsi="Arial" w:cs="Arial"/>
          <w:bCs/>
          <w:color w:val="000000" w:themeColor="text1"/>
          <w:sz w:val="24"/>
          <w:szCs w:val="24"/>
        </w:rPr>
        <w:t>limit of quantification, defined as the concentration of analyte giving a signal-to-noise (SN</w:t>
      </w:r>
      <w:r w:rsidRPr="00582888">
        <w:rPr>
          <w:rFonts w:ascii="Arial" w:hAnsi="Arial" w:cs="Arial"/>
          <w:bCs/>
          <w:color w:val="000000" w:themeColor="text1"/>
          <w:sz w:val="24"/>
          <w:szCs w:val="24"/>
          <w:vertAlign w:val="superscript"/>
        </w:rPr>
        <w:t>-1</w:t>
      </w:r>
      <w:r w:rsidRPr="00582888">
        <w:rPr>
          <w:rFonts w:ascii="Arial" w:hAnsi="Arial" w:cs="Arial"/>
          <w:bCs/>
          <w:color w:val="000000" w:themeColor="text1"/>
          <w:sz w:val="24"/>
          <w:szCs w:val="24"/>
        </w:rPr>
        <w:t xml:space="preserve">) ratio of 10; </w:t>
      </w:r>
      <w:r w:rsidRPr="00582888">
        <w:rPr>
          <w:rFonts w:ascii="Arial" w:hAnsi="Arial" w:cs="Arial"/>
          <w:bCs/>
          <w:color w:val="000000" w:themeColor="text1"/>
          <w:sz w:val="24"/>
          <w:szCs w:val="24"/>
          <w:vertAlign w:val="superscript"/>
        </w:rPr>
        <w:t>j</w:t>
      </w:r>
      <w:r w:rsidRPr="00582888">
        <w:rPr>
          <w:rFonts w:ascii="Arial" w:hAnsi="Arial" w:cs="Arial"/>
          <w:bCs/>
          <w:color w:val="000000" w:themeColor="text1"/>
          <w:sz w:val="24"/>
          <w:szCs w:val="24"/>
        </w:rPr>
        <w:t xml:space="preserve"> </w:t>
      </w:r>
      <w:r w:rsidRPr="00582888">
        <w:rPr>
          <w:rFonts w:ascii="Arial" w:hAnsi="Arial" w:cs="Arial"/>
          <w:color w:val="000000" w:themeColor="text1"/>
          <w:sz w:val="24"/>
          <w:szCs w:val="24"/>
        </w:rPr>
        <w:t>inter-day precision</w:t>
      </w:r>
      <w:r w:rsidRPr="00582888">
        <w:rPr>
          <w:rFonts w:ascii="Arial" w:hAnsi="Arial" w:cs="Arial"/>
          <w:bCs/>
          <w:color w:val="000000" w:themeColor="text1"/>
          <w:sz w:val="24"/>
          <w:szCs w:val="24"/>
        </w:rPr>
        <w:t xml:space="preserve">; </w:t>
      </w:r>
      <w:r w:rsidRPr="00582888">
        <w:rPr>
          <w:rFonts w:ascii="Arial" w:hAnsi="Arial" w:cs="Arial"/>
          <w:bCs/>
          <w:color w:val="000000" w:themeColor="text1"/>
          <w:sz w:val="24"/>
          <w:szCs w:val="24"/>
          <w:vertAlign w:val="superscript"/>
        </w:rPr>
        <w:t>k</w:t>
      </w:r>
      <w:r w:rsidRPr="00582888">
        <w:rPr>
          <w:rFonts w:ascii="Arial" w:hAnsi="Arial" w:cs="Arial"/>
          <w:bCs/>
          <w:color w:val="000000" w:themeColor="text1"/>
          <w:sz w:val="24"/>
          <w:szCs w:val="24"/>
        </w:rPr>
        <w:t xml:space="preserve"> Limit of detection by </w:t>
      </w:r>
      <w:r w:rsidRPr="00582888">
        <w:rPr>
          <w:rFonts w:ascii="Arial" w:hAnsi="Arial" w:cs="Arial"/>
          <w:bCs/>
          <w:color w:val="000000" w:themeColor="text1"/>
          <w:sz w:val="24"/>
          <w:szCs w:val="24"/>
        </w:rPr>
        <w:lastRenderedPageBreak/>
        <w:t xml:space="preserve">fluorescence and Limit of detection by autofluorecence ration; </w:t>
      </w:r>
      <w:r w:rsidRPr="00582888">
        <w:rPr>
          <w:rFonts w:ascii="Arial" w:hAnsi="Arial" w:cs="Arial"/>
          <w:bCs/>
          <w:color w:val="000000" w:themeColor="text1"/>
          <w:sz w:val="24"/>
          <w:szCs w:val="24"/>
          <w:vertAlign w:val="superscript"/>
        </w:rPr>
        <w:t>l</w:t>
      </w:r>
      <w:r w:rsidRPr="00582888">
        <w:rPr>
          <w:rFonts w:ascii="Arial" w:hAnsi="Arial" w:cs="Arial"/>
          <w:bCs/>
          <w:color w:val="000000" w:themeColor="text1"/>
          <w:sz w:val="24"/>
          <w:szCs w:val="24"/>
        </w:rPr>
        <w:t xml:space="preserve"> Slope standard deviation;     </w:t>
      </w:r>
      <w:r w:rsidRPr="00582888">
        <w:rPr>
          <w:rFonts w:ascii="Arial" w:hAnsi="Arial" w:cs="Arial"/>
          <w:bCs/>
          <w:color w:val="000000" w:themeColor="text1"/>
          <w:sz w:val="24"/>
          <w:szCs w:val="24"/>
          <w:vertAlign w:val="superscript"/>
        </w:rPr>
        <w:t>m</w:t>
      </w:r>
      <w:r w:rsidRPr="00582888">
        <w:rPr>
          <w:rFonts w:ascii="Arial" w:hAnsi="Arial" w:cs="Arial"/>
          <w:bCs/>
          <w:color w:val="000000" w:themeColor="text1"/>
          <w:sz w:val="24"/>
          <w:szCs w:val="24"/>
        </w:rPr>
        <w:t xml:space="preserve"> </w:t>
      </w:r>
      <w:r w:rsidRPr="00582888">
        <w:rPr>
          <w:rFonts w:ascii="Arial" w:hAnsi="Arial" w:cs="Arial"/>
          <w:color w:val="000000" w:themeColor="text1"/>
          <w:sz w:val="24"/>
          <w:szCs w:val="24"/>
        </w:rPr>
        <w:t>Intercept difference to zero test</w:t>
      </w:r>
      <w:r w:rsidRPr="00582888">
        <w:rPr>
          <w:rFonts w:ascii="Arial" w:hAnsi="Arial" w:cs="Arial"/>
          <w:bCs/>
          <w:color w:val="000000" w:themeColor="text1"/>
          <w:sz w:val="24"/>
          <w:szCs w:val="24"/>
        </w:rPr>
        <w:t xml:space="preserve"> .</w:t>
      </w:r>
    </w:p>
    <w:p w14:paraId="2F9EE078" w14:textId="77777777" w:rsidR="00C6675E" w:rsidRPr="00C91B89" w:rsidRDefault="00C6675E" w:rsidP="0097495D">
      <w:pPr>
        <w:tabs>
          <w:tab w:val="left" w:pos="142"/>
        </w:tabs>
        <w:spacing w:after="0" w:line="360" w:lineRule="auto"/>
        <w:jc w:val="both"/>
        <w:rPr>
          <w:rFonts w:ascii="Arial" w:hAnsi="Arial" w:cs="Arial"/>
          <w:color w:val="000000" w:themeColor="text1"/>
          <w:sz w:val="24"/>
          <w:szCs w:val="24"/>
        </w:rPr>
      </w:pPr>
    </w:p>
    <w:p w14:paraId="4D226BD6" w14:textId="77777777" w:rsidR="00A60F7A" w:rsidRPr="008B6F3C" w:rsidRDefault="00A60F7A" w:rsidP="0097495D">
      <w:pPr>
        <w:tabs>
          <w:tab w:val="left" w:pos="142"/>
        </w:tabs>
        <w:spacing w:after="0" w:line="360" w:lineRule="auto"/>
        <w:jc w:val="both"/>
        <w:rPr>
          <w:rFonts w:ascii="Arial" w:hAnsi="Arial" w:cs="Arial"/>
          <w:b/>
          <w:bCs/>
          <w:color w:val="000000" w:themeColor="text1"/>
          <w:sz w:val="24"/>
          <w:szCs w:val="24"/>
        </w:rPr>
      </w:pPr>
      <w:r w:rsidRPr="008B6F3C">
        <w:rPr>
          <w:rFonts w:ascii="Arial" w:hAnsi="Arial" w:cs="Arial"/>
          <w:b/>
          <w:bCs/>
          <w:color w:val="000000" w:themeColor="text1"/>
          <w:sz w:val="24"/>
          <w:szCs w:val="24"/>
        </w:rPr>
        <w:t>3.7 Photostability of 5-HT in Micellar Media</w:t>
      </w:r>
    </w:p>
    <w:p w14:paraId="2AF28EAA" w14:textId="76EAC241" w:rsidR="00C91B89" w:rsidRPr="00C91B89" w:rsidRDefault="00C91B89" w:rsidP="0097495D">
      <w:pPr>
        <w:tabs>
          <w:tab w:val="left" w:pos="142"/>
        </w:tabs>
        <w:spacing w:after="0" w:line="360" w:lineRule="auto"/>
        <w:ind w:firstLine="708"/>
        <w:jc w:val="both"/>
        <w:rPr>
          <w:rFonts w:ascii="Arial" w:hAnsi="Arial" w:cs="Arial"/>
          <w:color w:val="000000" w:themeColor="text1"/>
          <w:sz w:val="24"/>
          <w:szCs w:val="24"/>
        </w:rPr>
      </w:pPr>
      <w:r w:rsidRPr="00C91B89">
        <w:rPr>
          <w:rFonts w:ascii="Arial" w:hAnsi="Arial" w:cs="Arial"/>
          <w:color w:val="000000" w:themeColor="text1"/>
          <w:sz w:val="24"/>
          <w:szCs w:val="24"/>
        </w:rPr>
        <w:t>The photostability of serotonin (5-HT) was assessed by monitoring fluorescence intensity at λ</w:t>
      </w:r>
      <w:r w:rsidRPr="00C91B89">
        <w:rPr>
          <w:rFonts w:ascii="Arial" w:hAnsi="Arial" w:cs="Arial"/>
          <w:color w:val="000000" w:themeColor="text1"/>
          <w:sz w:val="24"/>
          <w:szCs w:val="24"/>
          <w:vertAlign w:val="subscript"/>
        </w:rPr>
        <w:t>ex</w:t>
      </w:r>
      <w:r w:rsidRPr="00C91B89">
        <w:rPr>
          <w:rFonts w:ascii="Arial" w:hAnsi="Arial" w:cs="Arial"/>
          <w:color w:val="000000" w:themeColor="text1"/>
          <w:sz w:val="24"/>
          <w:szCs w:val="24"/>
        </w:rPr>
        <w:t> = 275 nm and λ</w:t>
      </w:r>
      <w:r w:rsidRPr="00C91B89">
        <w:rPr>
          <w:rFonts w:ascii="Arial" w:hAnsi="Arial" w:cs="Arial"/>
          <w:color w:val="000000" w:themeColor="text1"/>
          <w:sz w:val="24"/>
          <w:szCs w:val="24"/>
          <w:vertAlign w:val="subscript"/>
        </w:rPr>
        <w:t>em</w:t>
      </w:r>
      <w:r w:rsidRPr="00C91B89">
        <w:rPr>
          <w:rFonts w:ascii="Arial" w:hAnsi="Arial" w:cs="Arial"/>
          <w:color w:val="000000" w:themeColor="text1"/>
          <w:sz w:val="24"/>
          <w:szCs w:val="24"/>
        </w:rPr>
        <w:t xml:space="preserve"> = 340 nm under continuous irradiation in different micellar systems (Brij 700, SDS, CTAOH, </w:t>
      </w:r>
      <w:proofErr w:type="gramStart"/>
      <w:r w:rsidRPr="00C91B89">
        <w:rPr>
          <w:rFonts w:ascii="Arial" w:hAnsi="Arial" w:cs="Arial"/>
          <w:color w:val="000000" w:themeColor="text1"/>
          <w:sz w:val="24"/>
          <w:szCs w:val="24"/>
        </w:rPr>
        <w:t>CTAC;</w:t>
      </w:r>
      <w:proofErr w:type="gramEnd"/>
      <w:r w:rsidRPr="00C91B89">
        <w:rPr>
          <w:rFonts w:ascii="Arial" w:hAnsi="Arial" w:cs="Arial"/>
          <w:color w:val="000000" w:themeColor="text1"/>
          <w:sz w:val="24"/>
          <w:szCs w:val="24"/>
        </w:rPr>
        <w:t xml:space="preserve"> </w:t>
      </w:r>
      <w:r w:rsidRPr="00C91B89">
        <w:rPr>
          <w:rFonts w:ascii="Arial" w:hAnsi="Arial" w:cs="Arial"/>
          <w:color w:val="0070C0"/>
          <w:sz w:val="24"/>
          <w:szCs w:val="24"/>
        </w:rPr>
        <w:t>Figure 7</w:t>
      </w:r>
      <w:r w:rsidRPr="00C91B89">
        <w:rPr>
          <w:rFonts w:ascii="Arial" w:hAnsi="Arial" w:cs="Arial"/>
          <w:color w:val="000000" w:themeColor="text1"/>
          <w:sz w:val="24"/>
          <w:szCs w:val="24"/>
        </w:rPr>
        <w:t>). All media exhibited gradual fluorescence decay, reflecting partial photodegradation of 5-HT [</w:t>
      </w:r>
      <w:r w:rsidR="00C6675E" w:rsidRPr="008B6F3C">
        <w:rPr>
          <w:rFonts w:ascii="Arial" w:hAnsi="Arial" w:cs="Arial"/>
          <w:color w:val="0070C0"/>
          <w:sz w:val="24"/>
          <w:szCs w:val="24"/>
        </w:rPr>
        <w:t>40</w:t>
      </w:r>
      <w:r w:rsidRPr="00C91B89">
        <w:rPr>
          <w:rFonts w:ascii="Arial" w:hAnsi="Arial" w:cs="Arial"/>
          <w:color w:val="0070C0"/>
          <w:sz w:val="24"/>
          <w:szCs w:val="24"/>
        </w:rPr>
        <w:t>,</w:t>
      </w:r>
      <w:r w:rsidR="00F130DC" w:rsidRPr="008B6F3C">
        <w:rPr>
          <w:rFonts w:ascii="Arial" w:hAnsi="Arial" w:cs="Arial"/>
          <w:color w:val="0070C0"/>
          <w:sz w:val="24"/>
          <w:szCs w:val="24"/>
        </w:rPr>
        <w:t>41</w:t>
      </w:r>
      <w:r w:rsidRPr="00C91B89">
        <w:rPr>
          <w:rFonts w:ascii="Arial" w:hAnsi="Arial" w:cs="Arial"/>
          <w:color w:val="000000" w:themeColor="text1"/>
          <w:sz w:val="24"/>
          <w:szCs w:val="24"/>
        </w:rPr>
        <w:t>].</w:t>
      </w:r>
    </w:p>
    <w:p w14:paraId="5AE1AB47" w14:textId="77777777" w:rsidR="00E31A24" w:rsidRPr="008B6F3C" w:rsidRDefault="00E31A24" w:rsidP="0097495D">
      <w:pPr>
        <w:tabs>
          <w:tab w:val="left" w:pos="142"/>
        </w:tabs>
        <w:spacing w:after="0" w:line="360" w:lineRule="auto"/>
        <w:jc w:val="center"/>
        <w:rPr>
          <w:rFonts w:ascii="Arial" w:hAnsi="Arial" w:cs="Arial"/>
          <w:color w:val="000000" w:themeColor="text1"/>
          <w:sz w:val="24"/>
          <w:szCs w:val="24"/>
        </w:rPr>
        <w:sectPr w:rsidR="00E31A24" w:rsidRPr="008B6F3C" w:rsidSect="00E31A24">
          <w:type w:val="continuous"/>
          <w:pgSz w:w="11906" w:h="16838"/>
          <w:pgMar w:top="1417" w:right="1417" w:bottom="1417" w:left="1417" w:header="708" w:footer="708" w:gutter="0"/>
          <w:cols w:space="708"/>
          <w:docGrid w:linePitch="360"/>
        </w:sectPr>
      </w:pPr>
    </w:p>
    <w:p w14:paraId="25CA427B" w14:textId="2F3DD02F"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noProof/>
          <w:color w:val="000000" w:themeColor="text1"/>
          <w:sz w:val="24"/>
          <w:szCs w:val="24"/>
        </w:rPr>
        <w:drawing>
          <wp:inline distT="0" distB="0" distL="0" distR="0" wp14:anchorId="7168657A" wp14:editId="1BD30F03">
            <wp:extent cx="2885514" cy="2122476"/>
            <wp:effectExtent l="0" t="0" r="0" b="0"/>
            <wp:docPr id="11930477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47793" name=""/>
                    <pic:cNvPicPr/>
                  </pic:nvPicPr>
                  <pic:blipFill>
                    <a:blip r:embed="rId22"/>
                    <a:stretch>
                      <a:fillRect/>
                    </a:stretch>
                  </pic:blipFill>
                  <pic:spPr>
                    <a:xfrm>
                      <a:off x="0" y="0"/>
                      <a:ext cx="2900531" cy="2133522"/>
                    </a:xfrm>
                    <a:prstGeom prst="rect">
                      <a:avLst/>
                    </a:prstGeom>
                  </pic:spPr>
                </pic:pic>
              </a:graphicData>
            </a:graphic>
          </wp:inline>
        </w:drawing>
      </w:r>
    </w:p>
    <w:p w14:paraId="5603CA66" w14:textId="2D169D6C"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noProof/>
          <w:color w:val="000000" w:themeColor="text1"/>
          <w:sz w:val="24"/>
          <w:szCs w:val="24"/>
        </w:rPr>
        <w:drawing>
          <wp:inline distT="0" distB="0" distL="0" distR="0" wp14:anchorId="57A1F1B4" wp14:editId="7149A475">
            <wp:extent cx="2797275" cy="2089104"/>
            <wp:effectExtent l="0" t="0" r="3175" b="6985"/>
            <wp:docPr id="10614699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69923" name=""/>
                    <pic:cNvPicPr/>
                  </pic:nvPicPr>
                  <pic:blipFill>
                    <a:blip r:embed="rId23"/>
                    <a:stretch>
                      <a:fillRect/>
                    </a:stretch>
                  </pic:blipFill>
                  <pic:spPr>
                    <a:xfrm>
                      <a:off x="0" y="0"/>
                      <a:ext cx="2829807" cy="2113400"/>
                    </a:xfrm>
                    <a:prstGeom prst="rect">
                      <a:avLst/>
                    </a:prstGeom>
                  </pic:spPr>
                </pic:pic>
              </a:graphicData>
            </a:graphic>
          </wp:inline>
        </w:drawing>
      </w:r>
    </w:p>
    <w:p w14:paraId="1E74ACF8" w14:textId="77777777" w:rsidR="00E31A24" w:rsidRPr="008B6F3C" w:rsidRDefault="00E31A24" w:rsidP="0097495D">
      <w:pPr>
        <w:tabs>
          <w:tab w:val="left" w:pos="142"/>
        </w:tabs>
        <w:spacing w:after="0" w:line="240" w:lineRule="auto"/>
        <w:jc w:val="center"/>
        <w:rPr>
          <w:rFonts w:ascii="Arial" w:hAnsi="Arial" w:cs="Arial"/>
          <w:color w:val="000000" w:themeColor="text1"/>
          <w:sz w:val="24"/>
          <w:szCs w:val="24"/>
        </w:rPr>
        <w:sectPr w:rsidR="00E31A24" w:rsidRPr="008B6F3C" w:rsidSect="00E31A24">
          <w:type w:val="continuous"/>
          <w:pgSz w:w="11906" w:h="16838"/>
          <w:pgMar w:top="1417" w:right="1417" w:bottom="1417" w:left="1417" w:header="708" w:footer="708" w:gutter="0"/>
          <w:cols w:num="2" w:space="708"/>
          <w:docGrid w:linePitch="360"/>
        </w:sectPr>
      </w:pPr>
    </w:p>
    <w:p w14:paraId="63581673" w14:textId="3D5054F6" w:rsidR="00A96042" w:rsidRPr="008B6F3C" w:rsidRDefault="00A96042"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b/>
          <w:bCs/>
          <w:color w:val="000000" w:themeColor="text1"/>
          <w:sz w:val="24"/>
          <w:szCs w:val="24"/>
        </w:rPr>
        <w:t xml:space="preserve">Figure </w:t>
      </w:r>
      <w:proofErr w:type="gramStart"/>
      <w:r w:rsidRPr="008B6F3C">
        <w:rPr>
          <w:rFonts w:ascii="Arial" w:hAnsi="Arial" w:cs="Arial"/>
          <w:b/>
          <w:bCs/>
          <w:color w:val="000000" w:themeColor="text1"/>
          <w:sz w:val="24"/>
          <w:szCs w:val="24"/>
        </w:rPr>
        <w:t>7</w:t>
      </w:r>
      <w:r w:rsidRPr="008B6F3C">
        <w:rPr>
          <w:rFonts w:ascii="Arial" w:hAnsi="Arial" w:cs="Arial"/>
          <w:color w:val="000000" w:themeColor="text1"/>
          <w:sz w:val="24"/>
          <w:szCs w:val="24"/>
        </w:rPr>
        <w:t>:</w:t>
      </w:r>
      <w:proofErr w:type="gramEnd"/>
      <w:r w:rsidRPr="008B6F3C">
        <w:rPr>
          <w:rFonts w:ascii="Arial" w:hAnsi="Arial" w:cs="Arial"/>
          <w:color w:val="000000" w:themeColor="text1"/>
          <w:sz w:val="24"/>
          <w:szCs w:val="24"/>
        </w:rPr>
        <w:t xml:space="preserve"> Photolysis kinetics of 5-HT (10</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⁷ M) in micellar medium (A: Brij 700; B: SDS)</w:t>
      </w:r>
    </w:p>
    <w:p w14:paraId="2A551D81" w14:textId="77777777" w:rsidR="00E31A24" w:rsidRPr="008B6F3C" w:rsidRDefault="00E31A24" w:rsidP="0097495D">
      <w:pPr>
        <w:tabs>
          <w:tab w:val="left" w:pos="142"/>
        </w:tabs>
        <w:spacing w:after="0" w:line="240" w:lineRule="auto"/>
        <w:jc w:val="center"/>
        <w:rPr>
          <w:rFonts w:ascii="Arial" w:hAnsi="Arial" w:cs="Arial"/>
          <w:color w:val="000000" w:themeColor="text1"/>
          <w:sz w:val="24"/>
          <w:szCs w:val="24"/>
        </w:rPr>
      </w:pPr>
    </w:p>
    <w:p w14:paraId="3CA14289" w14:textId="08121511" w:rsidR="00C91B89" w:rsidRPr="00C91B89" w:rsidRDefault="00C91B89" w:rsidP="0097495D">
      <w:pPr>
        <w:tabs>
          <w:tab w:val="left" w:pos="142"/>
        </w:tabs>
        <w:spacing w:after="0" w:line="360" w:lineRule="auto"/>
        <w:jc w:val="both"/>
        <w:rPr>
          <w:rFonts w:ascii="Arial" w:hAnsi="Arial" w:cs="Arial"/>
          <w:color w:val="000000" w:themeColor="text1"/>
          <w:sz w:val="24"/>
          <w:szCs w:val="24"/>
        </w:rPr>
      </w:pPr>
      <w:r w:rsidRPr="00C91B89">
        <w:rPr>
          <w:rFonts w:ascii="Arial" w:hAnsi="Arial" w:cs="Arial"/>
          <w:color w:val="000000" w:themeColor="text1"/>
          <w:sz w:val="24"/>
          <w:szCs w:val="24"/>
        </w:rPr>
        <w:t>The degradation kinetics strongly depended on surfactant type. Nonionic surfactants, Brij 700 and CTAOH, and the anionic SDS followed second-order kinetics, while the cationic CTAC displayed zero-order behavior (</w:t>
      </w:r>
      <w:r w:rsidRPr="00C91B89">
        <w:rPr>
          <w:rFonts w:ascii="Arial" w:hAnsi="Arial" w:cs="Arial"/>
          <w:color w:val="0070C0"/>
          <w:sz w:val="24"/>
          <w:szCs w:val="24"/>
        </w:rPr>
        <w:t>Table 5</w:t>
      </w:r>
      <w:r w:rsidRPr="00C91B89">
        <w:rPr>
          <w:rFonts w:ascii="Arial" w:hAnsi="Arial" w:cs="Arial"/>
          <w:color w:val="000000" w:themeColor="text1"/>
          <w:sz w:val="24"/>
          <w:szCs w:val="24"/>
        </w:rPr>
        <w:t>). Apparent second-order rate constants (k) ranged from 1.25 × 10⁵ to 3.93 × 10⁵ L</w:t>
      </w:r>
      <w:r w:rsidR="00080FF5" w:rsidRPr="008B6F3C">
        <w:rPr>
          <w:rFonts w:ascii="Arial" w:hAnsi="Arial" w:cs="Arial"/>
          <w:color w:val="000000" w:themeColor="text1"/>
          <w:sz w:val="24"/>
          <w:szCs w:val="24"/>
        </w:rPr>
        <w:t xml:space="preserve"> </w:t>
      </w:r>
      <w:r w:rsidRPr="00C91B89">
        <w:rPr>
          <w:rFonts w:ascii="Arial" w:hAnsi="Arial" w:cs="Arial"/>
          <w:color w:val="000000" w:themeColor="text1"/>
          <w:sz w:val="24"/>
          <w:szCs w:val="24"/>
        </w:rPr>
        <w:t>mol</w:t>
      </w:r>
      <w:r w:rsidRPr="00C91B89">
        <w:rPr>
          <w:rFonts w:ascii="Cambria Math" w:hAnsi="Cambria Math" w:cs="Cambria Math"/>
          <w:color w:val="000000" w:themeColor="text1"/>
          <w:sz w:val="24"/>
          <w:szCs w:val="24"/>
        </w:rPr>
        <w:t>⁻</w:t>
      </w:r>
      <w:r w:rsidRPr="00C91B89">
        <w:rPr>
          <w:rFonts w:ascii="Arial" w:hAnsi="Arial" w:cs="Arial"/>
          <w:color w:val="000000" w:themeColor="text1"/>
          <w:sz w:val="24"/>
          <w:szCs w:val="24"/>
        </w:rPr>
        <w:t>¹</w:t>
      </w:r>
      <w:r w:rsidR="00080FF5" w:rsidRPr="008B6F3C">
        <w:rPr>
          <w:rFonts w:ascii="Arial" w:hAnsi="Arial" w:cs="Arial"/>
          <w:color w:val="000000" w:themeColor="text1"/>
          <w:sz w:val="24"/>
          <w:szCs w:val="24"/>
        </w:rPr>
        <w:t xml:space="preserve"> </w:t>
      </w:r>
      <w:r w:rsidRPr="00C91B89">
        <w:rPr>
          <w:rFonts w:ascii="Arial" w:hAnsi="Arial" w:cs="Arial"/>
          <w:color w:val="000000" w:themeColor="text1"/>
          <w:sz w:val="24"/>
          <w:szCs w:val="24"/>
        </w:rPr>
        <w:t>s</w:t>
      </w:r>
      <w:r w:rsidRPr="00C91B89">
        <w:rPr>
          <w:rFonts w:ascii="Cambria Math" w:hAnsi="Cambria Math" w:cs="Cambria Math"/>
          <w:color w:val="000000" w:themeColor="text1"/>
          <w:sz w:val="24"/>
          <w:szCs w:val="24"/>
        </w:rPr>
        <w:t>⁻</w:t>
      </w:r>
      <w:r w:rsidRPr="00C91B89">
        <w:rPr>
          <w:rFonts w:ascii="Arial" w:hAnsi="Arial" w:cs="Arial"/>
          <w:color w:val="000000" w:themeColor="text1"/>
          <w:sz w:val="24"/>
          <w:szCs w:val="24"/>
        </w:rPr>
        <w:t>¹, with corresponding half-lives (t</w:t>
      </w:r>
      <w:r w:rsidRPr="00C91B89">
        <w:rPr>
          <w:rFonts w:ascii="Cambria Math" w:hAnsi="Cambria Math" w:cs="Cambria Math"/>
          <w:color w:val="000000" w:themeColor="text1"/>
          <w:sz w:val="24"/>
          <w:szCs w:val="24"/>
        </w:rPr>
        <w:t>₁</w:t>
      </w:r>
      <w:r w:rsidRPr="00C91B89">
        <w:rPr>
          <w:rFonts w:ascii="Arial" w:hAnsi="Arial" w:cs="Arial"/>
          <w:color w:val="000000" w:themeColor="text1"/>
          <w:sz w:val="24"/>
          <w:szCs w:val="24"/>
        </w:rPr>
        <w:t>/</w:t>
      </w:r>
      <w:r w:rsidRPr="00C91B89">
        <w:rPr>
          <w:rFonts w:ascii="Cambria Math" w:hAnsi="Cambria Math" w:cs="Cambria Math"/>
          <w:color w:val="000000" w:themeColor="text1"/>
          <w:sz w:val="24"/>
          <w:szCs w:val="24"/>
        </w:rPr>
        <w:t>₂</w:t>
      </w:r>
      <w:r w:rsidRPr="00C91B89">
        <w:rPr>
          <w:rFonts w:ascii="Arial" w:hAnsi="Arial" w:cs="Arial"/>
          <w:color w:val="000000" w:themeColor="text1"/>
          <w:sz w:val="24"/>
          <w:szCs w:val="24"/>
        </w:rPr>
        <w:t>) spanning 26 s for SDS to 1932 s for CTAOH. For CTAC, the zero-order rate constant was 1.13 × 10</w:t>
      </w:r>
      <w:r w:rsidRPr="00C91B89">
        <w:rPr>
          <w:rFonts w:ascii="Cambria Math" w:hAnsi="Cambria Math" w:cs="Cambria Math"/>
          <w:color w:val="000000" w:themeColor="text1"/>
          <w:sz w:val="24"/>
          <w:szCs w:val="24"/>
        </w:rPr>
        <w:t>⁻</w:t>
      </w:r>
      <w:r w:rsidRPr="00C91B89">
        <w:rPr>
          <w:rFonts w:ascii="Arial" w:hAnsi="Arial" w:cs="Arial"/>
          <w:color w:val="000000" w:themeColor="text1"/>
          <w:sz w:val="24"/>
          <w:szCs w:val="24"/>
        </w:rPr>
        <w:t>¹⁰ s</w:t>
      </w:r>
      <w:r w:rsidRPr="00C91B89">
        <w:rPr>
          <w:rFonts w:ascii="Cambria Math" w:hAnsi="Cambria Math" w:cs="Cambria Math"/>
          <w:color w:val="000000" w:themeColor="text1"/>
          <w:sz w:val="24"/>
          <w:szCs w:val="24"/>
        </w:rPr>
        <w:t>⁻</w:t>
      </w:r>
      <w:r w:rsidRPr="00C91B89">
        <w:rPr>
          <w:rFonts w:ascii="Arial" w:hAnsi="Arial" w:cs="Arial"/>
          <w:color w:val="000000" w:themeColor="text1"/>
          <w:sz w:val="24"/>
          <w:szCs w:val="24"/>
        </w:rPr>
        <w:t>¹</w:t>
      </w:r>
      <w:r w:rsidR="00080FF5" w:rsidRPr="008B6F3C">
        <w:rPr>
          <w:rFonts w:ascii="Arial" w:hAnsi="Arial" w:cs="Arial"/>
          <w:color w:val="000000" w:themeColor="text1"/>
          <w:sz w:val="24"/>
          <w:szCs w:val="24"/>
        </w:rPr>
        <w:t xml:space="preserve"> </w:t>
      </w:r>
      <w:r w:rsidRPr="00C91B89">
        <w:rPr>
          <w:rFonts w:ascii="Arial" w:hAnsi="Arial" w:cs="Arial"/>
          <w:color w:val="000000" w:themeColor="text1"/>
          <w:sz w:val="24"/>
          <w:szCs w:val="24"/>
        </w:rPr>
        <w:t>L</w:t>
      </w:r>
      <w:r w:rsidR="00080FF5" w:rsidRPr="008B6F3C">
        <w:rPr>
          <w:rFonts w:ascii="Arial" w:hAnsi="Arial" w:cs="Arial"/>
          <w:color w:val="000000" w:themeColor="text1"/>
          <w:sz w:val="24"/>
          <w:szCs w:val="24"/>
        </w:rPr>
        <w:t xml:space="preserve"> </w:t>
      </w:r>
      <w:r w:rsidRPr="00C91B89">
        <w:rPr>
          <w:rFonts w:ascii="Arial" w:hAnsi="Arial" w:cs="Arial"/>
          <w:color w:val="000000" w:themeColor="text1"/>
          <w:sz w:val="24"/>
          <w:szCs w:val="24"/>
        </w:rPr>
        <w:t>mol</w:t>
      </w:r>
      <w:r w:rsidRPr="00C91B89">
        <w:rPr>
          <w:rFonts w:ascii="Cambria Math" w:hAnsi="Cambria Math" w:cs="Cambria Math"/>
          <w:color w:val="000000" w:themeColor="text1"/>
          <w:sz w:val="24"/>
          <w:szCs w:val="24"/>
        </w:rPr>
        <w:t>⁻</w:t>
      </w:r>
      <w:r w:rsidRPr="00C91B89">
        <w:rPr>
          <w:rFonts w:ascii="Arial" w:hAnsi="Arial" w:cs="Arial"/>
          <w:color w:val="000000" w:themeColor="text1"/>
          <w:sz w:val="24"/>
          <w:szCs w:val="24"/>
        </w:rPr>
        <w:t>¹, yielding a t</w:t>
      </w:r>
      <w:r w:rsidRPr="00C91B89">
        <w:rPr>
          <w:rFonts w:ascii="Cambria Math" w:hAnsi="Cambria Math" w:cs="Cambria Math"/>
          <w:color w:val="000000" w:themeColor="text1"/>
          <w:sz w:val="24"/>
          <w:szCs w:val="24"/>
        </w:rPr>
        <w:t>₁</w:t>
      </w:r>
      <w:r w:rsidRPr="00C91B89">
        <w:rPr>
          <w:rFonts w:ascii="Arial" w:hAnsi="Arial" w:cs="Arial"/>
          <w:color w:val="000000" w:themeColor="text1"/>
          <w:sz w:val="24"/>
          <w:szCs w:val="24"/>
        </w:rPr>
        <w:t>/</w:t>
      </w:r>
      <w:r w:rsidRPr="00C91B89">
        <w:rPr>
          <w:rFonts w:ascii="Cambria Math" w:hAnsi="Cambria Math" w:cs="Cambria Math"/>
          <w:color w:val="000000" w:themeColor="text1"/>
          <w:sz w:val="24"/>
          <w:szCs w:val="24"/>
        </w:rPr>
        <w:t>₂</w:t>
      </w:r>
      <w:r w:rsidRPr="00C91B89">
        <w:rPr>
          <w:rFonts w:ascii="Arial" w:hAnsi="Arial" w:cs="Arial"/>
          <w:color w:val="000000" w:themeColor="text1"/>
          <w:sz w:val="24"/>
          <w:szCs w:val="24"/>
        </w:rPr>
        <w:t xml:space="preserve"> of 44 s. CTAOH provided the greatest photostabilization, whereas SDS accelerated degradation.</w:t>
      </w:r>
    </w:p>
    <w:p w14:paraId="11825D56" w14:textId="7E28201D" w:rsidR="00C91B89" w:rsidRPr="00C91B89" w:rsidRDefault="00C91B89" w:rsidP="0097495D">
      <w:pPr>
        <w:tabs>
          <w:tab w:val="left" w:pos="142"/>
        </w:tabs>
        <w:spacing w:after="0" w:line="360" w:lineRule="auto"/>
        <w:jc w:val="both"/>
        <w:rPr>
          <w:rFonts w:ascii="Arial" w:hAnsi="Arial" w:cs="Arial"/>
          <w:color w:val="000000" w:themeColor="text1"/>
          <w:sz w:val="24"/>
          <w:szCs w:val="24"/>
        </w:rPr>
      </w:pPr>
      <w:r w:rsidRPr="00C91B89">
        <w:rPr>
          <w:rFonts w:ascii="Arial" w:hAnsi="Arial" w:cs="Arial"/>
          <w:color w:val="000000" w:themeColor="text1"/>
          <w:sz w:val="24"/>
          <w:szCs w:val="24"/>
        </w:rPr>
        <w:t>These differences can be attributed to the micellar microenvironment. Nonionic micelles effectively encapsulate 5-HT within their hydrophobic core and palisade layer, minimizing solvent exposure and photon-induced reactions [</w:t>
      </w:r>
      <w:r w:rsidR="00F130DC" w:rsidRPr="008B6F3C">
        <w:rPr>
          <w:rFonts w:ascii="Arial" w:hAnsi="Arial" w:cs="Arial"/>
          <w:color w:val="0070C0"/>
          <w:sz w:val="24"/>
          <w:szCs w:val="24"/>
        </w:rPr>
        <w:t>40</w:t>
      </w:r>
      <w:r w:rsidRPr="00C91B89">
        <w:rPr>
          <w:rFonts w:ascii="Arial" w:hAnsi="Arial" w:cs="Arial"/>
          <w:color w:val="0070C0"/>
          <w:sz w:val="24"/>
          <w:szCs w:val="24"/>
        </w:rPr>
        <w:t>,</w:t>
      </w:r>
      <w:r w:rsidR="00F130DC" w:rsidRPr="008B6F3C">
        <w:rPr>
          <w:rFonts w:ascii="Arial" w:hAnsi="Arial" w:cs="Arial"/>
          <w:color w:val="0070C0"/>
          <w:sz w:val="24"/>
          <w:szCs w:val="24"/>
        </w:rPr>
        <w:t>41</w:t>
      </w:r>
      <w:r w:rsidRPr="00C91B89">
        <w:rPr>
          <w:rFonts w:ascii="Arial" w:hAnsi="Arial" w:cs="Arial"/>
          <w:color w:val="000000" w:themeColor="text1"/>
          <w:sz w:val="24"/>
          <w:szCs w:val="24"/>
        </w:rPr>
        <w:t>]. In contrast, SDS allows partial exposure of serotonin to the aqueous phase, reducing protection and increasing photodegradation. CTAC’s zero-order kinetics likely result from surface adsorption and saturation of reactive sites at the micelle–water interface [</w:t>
      </w:r>
      <w:r w:rsidR="00F130DC" w:rsidRPr="008B6F3C">
        <w:rPr>
          <w:rFonts w:ascii="Arial" w:hAnsi="Arial" w:cs="Arial"/>
          <w:color w:val="0070C0"/>
          <w:sz w:val="24"/>
          <w:szCs w:val="24"/>
        </w:rPr>
        <w:t>42</w:t>
      </w:r>
      <w:r w:rsidRPr="00C91B89">
        <w:rPr>
          <w:rFonts w:ascii="Arial" w:hAnsi="Arial" w:cs="Arial"/>
          <w:color w:val="0070C0"/>
          <w:sz w:val="24"/>
          <w:szCs w:val="24"/>
        </w:rPr>
        <w:t>,</w:t>
      </w:r>
      <w:r w:rsidR="00F130DC" w:rsidRPr="008B6F3C">
        <w:rPr>
          <w:rFonts w:ascii="Arial" w:hAnsi="Arial" w:cs="Arial"/>
          <w:color w:val="0070C0"/>
          <w:sz w:val="24"/>
          <w:szCs w:val="24"/>
        </w:rPr>
        <w:t>43</w:t>
      </w:r>
      <w:r w:rsidRPr="00C91B89">
        <w:rPr>
          <w:rFonts w:ascii="Arial" w:hAnsi="Arial" w:cs="Arial"/>
          <w:color w:val="000000" w:themeColor="text1"/>
          <w:sz w:val="24"/>
          <w:szCs w:val="24"/>
        </w:rPr>
        <w:t>].</w:t>
      </w:r>
    </w:p>
    <w:p w14:paraId="51435E5E" w14:textId="642708DA" w:rsidR="00C91B89" w:rsidRPr="008B6F3C" w:rsidRDefault="00C91B89" w:rsidP="0097495D">
      <w:pPr>
        <w:tabs>
          <w:tab w:val="left" w:pos="142"/>
        </w:tabs>
        <w:spacing w:after="0" w:line="360" w:lineRule="auto"/>
        <w:jc w:val="both"/>
        <w:rPr>
          <w:rFonts w:ascii="Arial" w:hAnsi="Arial" w:cs="Arial"/>
          <w:color w:val="000000" w:themeColor="text1"/>
          <w:sz w:val="24"/>
          <w:szCs w:val="24"/>
        </w:rPr>
      </w:pPr>
      <w:r w:rsidRPr="00C91B89">
        <w:rPr>
          <w:rFonts w:ascii="Arial" w:hAnsi="Arial" w:cs="Arial"/>
          <w:color w:val="000000" w:themeColor="text1"/>
          <w:sz w:val="24"/>
          <w:szCs w:val="24"/>
        </w:rPr>
        <w:t xml:space="preserve">These findings emphasize that surfactant selection critically affects 5-HT photostability, directly influencing reproducibility and sensitivity in micelle-enhanced fluorescence </w:t>
      </w:r>
      <w:r w:rsidRPr="00C91B89">
        <w:rPr>
          <w:rFonts w:ascii="Arial" w:hAnsi="Arial" w:cs="Arial"/>
          <w:color w:val="000000" w:themeColor="text1"/>
          <w:sz w:val="24"/>
          <w:szCs w:val="24"/>
        </w:rPr>
        <w:lastRenderedPageBreak/>
        <w:t>assays. Nonionic surfactants such as Brij 700 or CTAOH are therefore preferred for stable, high-precision measurements in biological matrices [</w:t>
      </w:r>
      <w:r w:rsidR="00F130DC" w:rsidRPr="008B6F3C">
        <w:rPr>
          <w:rFonts w:ascii="Arial" w:hAnsi="Arial" w:cs="Arial"/>
          <w:color w:val="0070C0"/>
          <w:sz w:val="24"/>
          <w:szCs w:val="24"/>
        </w:rPr>
        <w:t>43</w:t>
      </w:r>
      <w:r w:rsidRPr="00C91B89">
        <w:rPr>
          <w:rFonts w:ascii="Arial" w:hAnsi="Arial" w:cs="Arial"/>
          <w:color w:val="0070C0"/>
          <w:sz w:val="24"/>
          <w:szCs w:val="24"/>
        </w:rPr>
        <w:t>–</w:t>
      </w:r>
      <w:r w:rsidR="00F130DC" w:rsidRPr="008B6F3C">
        <w:rPr>
          <w:rFonts w:ascii="Arial" w:hAnsi="Arial" w:cs="Arial"/>
          <w:color w:val="0070C0"/>
          <w:sz w:val="24"/>
          <w:szCs w:val="24"/>
        </w:rPr>
        <w:t>45</w:t>
      </w:r>
      <w:r w:rsidRPr="00C91B89">
        <w:rPr>
          <w:rFonts w:ascii="Arial" w:hAnsi="Arial" w:cs="Arial"/>
          <w:color w:val="000000" w:themeColor="text1"/>
          <w:sz w:val="24"/>
          <w:szCs w:val="24"/>
        </w:rPr>
        <w:t>].</w:t>
      </w:r>
    </w:p>
    <w:p w14:paraId="651D4BF0" w14:textId="77777777" w:rsidR="00E31A24" w:rsidRPr="008B6F3C" w:rsidRDefault="00E31A24" w:rsidP="0097495D">
      <w:pPr>
        <w:tabs>
          <w:tab w:val="left" w:pos="142"/>
        </w:tabs>
        <w:spacing w:after="0" w:line="240" w:lineRule="auto"/>
        <w:jc w:val="both"/>
        <w:rPr>
          <w:rFonts w:ascii="Arial" w:hAnsi="Arial" w:cs="Arial"/>
          <w:color w:val="000000" w:themeColor="text1"/>
          <w:sz w:val="24"/>
          <w:szCs w:val="24"/>
        </w:rPr>
      </w:pPr>
    </w:p>
    <w:p w14:paraId="7BFB51EC" w14:textId="047B8A4D" w:rsidR="001A4101" w:rsidRPr="001A4101" w:rsidRDefault="001A4101" w:rsidP="0097495D">
      <w:pPr>
        <w:tabs>
          <w:tab w:val="left" w:pos="142"/>
        </w:tabs>
        <w:spacing w:after="0" w:line="360" w:lineRule="auto"/>
        <w:ind w:firstLine="708"/>
        <w:jc w:val="both"/>
        <w:rPr>
          <w:rFonts w:ascii="Arial" w:hAnsi="Arial" w:cs="Arial"/>
          <w:color w:val="000000" w:themeColor="text1"/>
          <w:sz w:val="24"/>
          <w:szCs w:val="24"/>
        </w:rPr>
      </w:pPr>
      <w:r w:rsidRPr="001A4101">
        <w:rPr>
          <w:rFonts w:ascii="Arial" w:hAnsi="Arial" w:cs="Arial"/>
          <w:color w:val="000000" w:themeColor="text1"/>
          <w:sz w:val="24"/>
          <w:szCs w:val="24"/>
        </w:rPr>
        <w:t>The micelle-enhanced spectrofluorimetric (FLUO) method developed in this study was compared with classical chromatographic techniques</w:t>
      </w:r>
      <w:r w:rsidR="00080FF5" w:rsidRPr="008B6F3C">
        <w:rPr>
          <w:rFonts w:ascii="Arial" w:hAnsi="Arial" w:cs="Arial"/>
          <w:color w:val="000000" w:themeColor="text1"/>
          <w:sz w:val="24"/>
          <w:szCs w:val="24"/>
        </w:rPr>
        <w:t xml:space="preserve"> </w:t>
      </w:r>
      <w:r w:rsidRPr="001A4101">
        <w:rPr>
          <w:rFonts w:ascii="Arial" w:hAnsi="Arial" w:cs="Arial"/>
          <w:color w:val="000000" w:themeColor="text1"/>
          <w:sz w:val="24"/>
          <w:szCs w:val="24"/>
        </w:rPr>
        <w:t>high-performance liquid chromatography (HPLC) and gas chromatography (GC)</w:t>
      </w:r>
      <w:r w:rsidR="00080FF5" w:rsidRPr="008B6F3C">
        <w:rPr>
          <w:rFonts w:ascii="Arial" w:hAnsi="Arial" w:cs="Arial"/>
          <w:color w:val="000000" w:themeColor="text1"/>
          <w:sz w:val="24"/>
          <w:szCs w:val="24"/>
        </w:rPr>
        <w:t xml:space="preserve"> </w:t>
      </w:r>
      <w:r w:rsidRPr="001A4101">
        <w:rPr>
          <w:rFonts w:ascii="Arial" w:hAnsi="Arial" w:cs="Arial"/>
          <w:color w:val="000000" w:themeColor="text1"/>
          <w:sz w:val="24"/>
          <w:szCs w:val="24"/>
        </w:rPr>
        <w:t>for the quantification of serotonin (5-HT) in human urine.</w:t>
      </w:r>
    </w:p>
    <w:p w14:paraId="7382C311" w14:textId="4C358599" w:rsidR="001A4101" w:rsidRPr="001A4101" w:rsidRDefault="001A4101" w:rsidP="0097495D">
      <w:pPr>
        <w:tabs>
          <w:tab w:val="left" w:pos="142"/>
        </w:tabs>
        <w:spacing w:after="0" w:line="360" w:lineRule="auto"/>
        <w:jc w:val="both"/>
        <w:rPr>
          <w:rFonts w:ascii="Arial" w:hAnsi="Arial" w:cs="Arial"/>
          <w:color w:val="000000" w:themeColor="text1"/>
          <w:sz w:val="24"/>
          <w:szCs w:val="24"/>
        </w:rPr>
      </w:pPr>
      <w:r w:rsidRPr="001A4101">
        <w:rPr>
          <w:rFonts w:ascii="Arial" w:hAnsi="Arial" w:cs="Arial"/>
          <w:color w:val="000000" w:themeColor="text1"/>
          <w:sz w:val="24"/>
          <w:szCs w:val="24"/>
        </w:rPr>
        <w:t xml:space="preserve">The FLUO method offers distinct </w:t>
      </w:r>
      <w:proofErr w:type="gramStart"/>
      <w:r w:rsidRPr="001A4101">
        <w:rPr>
          <w:rFonts w:ascii="Arial" w:hAnsi="Arial" w:cs="Arial"/>
          <w:color w:val="000000" w:themeColor="text1"/>
          <w:sz w:val="24"/>
          <w:szCs w:val="24"/>
        </w:rPr>
        <w:t>advantages:</w:t>
      </w:r>
      <w:proofErr w:type="gramEnd"/>
      <w:r w:rsidRPr="001A4101">
        <w:rPr>
          <w:rFonts w:ascii="Arial" w:hAnsi="Arial" w:cs="Arial"/>
          <w:color w:val="000000" w:themeColor="text1"/>
          <w:sz w:val="24"/>
          <w:szCs w:val="24"/>
        </w:rPr>
        <w:t xml:space="preserve"> it requires no chromatographic separation, uses minimal sample volumes, and allows rapid analysis (10–15 min) while achieving detection limits comparable to HPLC. The use of nonionic (Brij 700) or anionic (SDS) micelles enhances solubilization and stabilization of 5-HT, reducing matrix effects and improving sensitivity [</w:t>
      </w:r>
      <w:r w:rsidR="00F130DC" w:rsidRPr="008B6F3C">
        <w:rPr>
          <w:rFonts w:ascii="Arial" w:hAnsi="Arial" w:cs="Arial"/>
          <w:color w:val="0070C0"/>
          <w:sz w:val="24"/>
          <w:szCs w:val="24"/>
        </w:rPr>
        <w:t>46</w:t>
      </w:r>
      <w:r w:rsidRPr="001A4101">
        <w:rPr>
          <w:rFonts w:ascii="Arial" w:hAnsi="Arial" w:cs="Arial"/>
          <w:color w:val="0070C0"/>
          <w:sz w:val="24"/>
          <w:szCs w:val="24"/>
        </w:rPr>
        <w:t>,</w:t>
      </w:r>
      <w:r w:rsidR="00F130DC" w:rsidRPr="008B6F3C">
        <w:rPr>
          <w:rFonts w:ascii="Arial" w:hAnsi="Arial" w:cs="Arial"/>
          <w:color w:val="0070C0"/>
          <w:sz w:val="24"/>
          <w:szCs w:val="24"/>
        </w:rPr>
        <w:t>47</w:t>
      </w:r>
      <w:r w:rsidRPr="001A4101">
        <w:rPr>
          <w:rFonts w:ascii="Arial" w:hAnsi="Arial" w:cs="Arial"/>
          <w:color w:val="000000" w:themeColor="text1"/>
          <w:sz w:val="24"/>
          <w:szCs w:val="24"/>
        </w:rPr>
        <w:t>]. These features make FLUO particularly suitable for trace-level detection in complex biological matrices.</w:t>
      </w:r>
    </w:p>
    <w:p w14:paraId="7A825896" w14:textId="44605BBA" w:rsidR="001A4101" w:rsidRPr="001A4101" w:rsidRDefault="001A4101" w:rsidP="0097495D">
      <w:pPr>
        <w:tabs>
          <w:tab w:val="left" w:pos="142"/>
        </w:tabs>
        <w:spacing w:after="0" w:line="360" w:lineRule="auto"/>
        <w:jc w:val="both"/>
        <w:rPr>
          <w:rFonts w:ascii="Arial" w:hAnsi="Arial" w:cs="Arial"/>
          <w:color w:val="000000" w:themeColor="text1"/>
          <w:sz w:val="24"/>
          <w:szCs w:val="24"/>
        </w:rPr>
      </w:pPr>
      <w:r w:rsidRPr="001A4101">
        <w:rPr>
          <w:rFonts w:ascii="Arial" w:hAnsi="Arial" w:cs="Arial"/>
          <w:color w:val="000000" w:themeColor="text1"/>
          <w:sz w:val="24"/>
          <w:szCs w:val="24"/>
        </w:rPr>
        <w:t>HPLC remains highly precise and selective, with detection limits similar to FLUO (LD ≈ 1–5 ng</w:t>
      </w:r>
      <w:r w:rsidR="00E16EA1" w:rsidRPr="008B6F3C">
        <w:rPr>
          <w:rFonts w:ascii="Arial" w:hAnsi="Arial" w:cs="Arial"/>
          <w:color w:val="000000" w:themeColor="text1"/>
          <w:sz w:val="24"/>
          <w:szCs w:val="24"/>
        </w:rPr>
        <w:t xml:space="preserve"> </w:t>
      </w:r>
      <w:r w:rsidRPr="001A4101">
        <w:rPr>
          <w:rFonts w:ascii="Arial" w:hAnsi="Arial" w:cs="Arial"/>
          <w:color w:val="000000" w:themeColor="text1"/>
          <w:sz w:val="24"/>
          <w:szCs w:val="24"/>
        </w:rPr>
        <w:t>mL</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¹), but involves more complex sample preparation, including extraction, filtration, and column separation, and longer analysis times (30–60 min). Although excellent for multi-analyte profiling, HPLC is less convenient for rapid, high-throughput analyses [</w:t>
      </w:r>
      <w:r w:rsidR="00F130DC" w:rsidRPr="008B6F3C">
        <w:rPr>
          <w:rFonts w:ascii="Arial" w:hAnsi="Arial" w:cs="Arial"/>
          <w:color w:val="0070C0"/>
          <w:sz w:val="24"/>
          <w:szCs w:val="24"/>
        </w:rPr>
        <w:t>48</w:t>
      </w:r>
      <w:r w:rsidRPr="001A4101">
        <w:rPr>
          <w:rFonts w:ascii="Arial" w:hAnsi="Arial" w:cs="Arial"/>
          <w:color w:val="0070C0"/>
          <w:sz w:val="24"/>
          <w:szCs w:val="24"/>
        </w:rPr>
        <w:t>,4</w:t>
      </w:r>
      <w:r w:rsidR="00F130DC" w:rsidRPr="008B6F3C">
        <w:rPr>
          <w:rFonts w:ascii="Arial" w:hAnsi="Arial" w:cs="Arial"/>
          <w:color w:val="0070C0"/>
          <w:sz w:val="24"/>
          <w:szCs w:val="24"/>
        </w:rPr>
        <w:t>9</w:t>
      </w:r>
      <w:r w:rsidRPr="001A4101">
        <w:rPr>
          <w:rFonts w:ascii="Arial" w:hAnsi="Arial" w:cs="Arial"/>
          <w:color w:val="000000" w:themeColor="text1"/>
          <w:sz w:val="24"/>
          <w:szCs w:val="24"/>
        </w:rPr>
        <w:t>].</w:t>
      </w:r>
    </w:p>
    <w:p w14:paraId="758D649B" w14:textId="3ED1F7AF" w:rsidR="001A4101" w:rsidRDefault="001A4101" w:rsidP="0097495D">
      <w:pPr>
        <w:tabs>
          <w:tab w:val="left" w:pos="142"/>
        </w:tabs>
        <w:spacing w:after="0" w:line="360" w:lineRule="auto"/>
        <w:jc w:val="both"/>
        <w:rPr>
          <w:rFonts w:ascii="Arial" w:hAnsi="Arial" w:cs="Arial"/>
          <w:color w:val="000000" w:themeColor="text1"/>
          <w:sz w:val="24"/>
          <w:szCs w:val="24"/>
        </w:rPr>
      </w:pPr>
      <w:r w:rsidRPr="001A4101">
        <w:rPr>
          <w:rFonts w:ascii="Arial" w:hAnsi="Arial" w:cs="Arial"/>
          <w:color w:val="000000" w:themeColor="text1"/>
          <w:sz w:val="24"/>
          <w:szCs w:val="24"/>
        </w:rPr>
        <w:t>GC, while applicable to derivatized neurotransmitters, typically exhibits higher detection limits (LD = 10–50 ng</w:t>
      </w:r>
      <w:r w:rsidR="00E16EA1" w:rsidRPr="008B6F3C">
        <w:rPr>
          <w:rFonts w:ascii="Arial" w:hAnsi="Arial" w:cs="Arial"/>
          <w:color w:val="000000" w:themeColor="text1"/>
          <w:sz w:val="24"/>
          <w:szCs w:val="24"/>
        </w:rPr>
        <w:t xml:space="preserve"> </w:t>
      </w:r>
      <w:r w:rsidRPr="001A4101">
        <w:rPr>
          <w:rFonts w:ascii="Arial" w:hAnsi="Arial" w:cs="Arial"/>
          <w:color w:val="000000" w:themeColor="text1"/>
          <w:sz w:val="24"/>
          <w:szCs w:val="24"/>
        </w:rPr>
        <w:t>mL</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¹) and requires labor-intensive sample derivatization and separation steps, which may compromise reproducibility [</w:t>
      </w:r>
      <w:r w:rsidR="00F130DC" w:rsidRPr="008B6F3C">
        <w:rPr>
          <w:rFonts w:ascii="Arial" w:hAnsi="Arial" w:cs="Arial"/>
          <w:color w:val="0070C0"/>
          <w:sz w:val="24"/>
          <w:szCs w:val="24"/>
        </w:rPr>
        <w:t>50</w:t>
      </w:r>
      <w:r w:rsidRPr="001A4101">
        <w:rPr>
          <w:rFonts w:ascii="Arial" w:hAnsi="Arial" w:cs="Arial"/>
          <w:color w:val="000000" w:themeColor="text1"/>
          <w:sz w:val="24"/>
          <w:szCs w:val="24"/>
        </w:rPr>
        <w:t>].</w:t>
      </w:r>
    </w:p>
    <w:p w14:paraId="059AB553" w14:textId="77777777" w:rsidR="00B761E7" w:rsidRPr="001A4101" w:rsidRDefault="00B761E7" w:rsidP="0097495D">
      <w:pPr>
        <w:tabs>
          <w:tab w:val="left" w:pos="142"/>
        </w:tabs>
        <w:spacing w:after="0" w:line="360" w:lineRule="auto"/>
        <w:jc w:val="both"/>
        <w:rPr>
          <w:rFonts w:ascii="Arial" w:hAnsi="Arial" w:cs="Arial"/>
          <w:color w:val="000000" w:themeColor="text1"/>
          <w:sz w:val="24"/>
          <w:szCs w:val="24"/>
        </w:rPr>
      </w:pPr>
    </w:p>
    <w:p w14:paraId="4C5980B9" w14:textId="77777777" w:rsidR="001A4101" w:rsidRPr="008B6F3C" w:rsidRDefault="001A4101" w:rsidP="0097495D">
      <w:pPr>
        <w:tabs>
          <w:tab w:val="left" w:pos="142"/>
        </w:tabs>
        <w:spacing w:after="0" w:line="240" w:lineRule="auto"/>
        <w:jc w:val="both"/>
        <w:rPr>
          <w:rFonts w:ascii="Arial" w:hAnsi="Arial" w:cs="Arial"/>
          <w:color w:val="000000" w:themeColor="text1"/>
          <w:sz w:val="24"/>
          <w:szCs w:val="24"/>
        </w:rPr>
      </w:pPr>
      <w:r w:rsidRPr="001A4101">
        <w:rPr>
          <w:rFonts w:ascii="Arial" w:hAnsi="Arial" w:cs="Arial"/>
          <w:b/>
          <w:bCs/>
          <w:color w:val="000000" w:themeColor="text1"/>
          <w:sz w:val="24"/>
          <w:szCs w:val="24"/>
        </w:rPr>
        <w:t>Table 4</w:t>
      </w:r>
      <w:r w:rsidRPr="001A4101">
        <w:rPr>
          <w:rFonts w:ascii="Arial" w:hAnsi="Arial" w:cs="Arial"/>
          <w:color w:val="000000" w:themeColor="text1"/>
          <w:sz w:val="24"/>
          <w:szCs w:val="24"/>
        </w:rPr>
        <w:t xml:space="preserve"> summarizes the comparative analytical performance of these methods for 5-HT determination in urine.</w:t>
      </w:r>
    </w:p>
    <w:p w14:paraId="0C865F18" w14:textId="77777777" w:rsidR="00397132" w:rsidRPr="001A4101" w:rsidRDefault="00397132" w:rsidP="0097495D">
      <w:pPr>
        <w:tabs>
          <w:tab w:val="left" w:pos="142"/>
        </w:tabs>
        <w:spacing w:after="0" w:line="240" w:lineRule="auto"/>
        <w:jc w:val="both"/>
        <w:rPr>
          <w:rFonts w:ascii="Arial" w:hAnsi="Arial" w:cs="Arial"/>
          <w:color w:val="000000" w:themeColor="text1"/>
          <w:sz w:val="24"/>
          <w:szCs w:val="24"/>
        </w:rPr>
      </w:pPr>
    </w:p>
    <w:tbl>
      <w:tblPr>
        <w:tblW w:w="10774" w:type="dxa"/>
        <w:tblCellSpacing w:w="15" w:type="dxa"/>
        <w:tblInd w:w="-851"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35"/>
        <w:gridCol w:w="709"/>
        <w:gridCol w:w="1275"/>
        <w:gridCol w:w="1095"/>
        <w:gridCol w:w="1074"/>
        <w:gridCol w:w="1092"/>
        <w:gridCol w:w="992"/>
        <w:gridCol w:w="2126"/>
        <w:gridCol w:w="1276"/>
      </w:tblGrid>
      <w:tr w:rsidR="00277805" w:rsidRPr="00277805" w14:paraId="6FF98B51" w14:textId="77777777" w:rsidTr="00277805">
        <w:trPr>
          <w:tblHeader/>
          <w:tblCellSpacing w:w="15" w:type="dxa"/>
        </w:trPr>
        <w:tc>
          <w:tcPr>
            <w:tcW w:w="1090" w:type="dxa"/>
            <w:tcBorders>
              <w:top w:val="nil"/>
              <w:bottom w:val="single" w:sz="4" w:space="0" w:color="auto"/>
            </w:tcBorders>
            <w:vAlign w:val="center"/>
            <w:hideMark/>
          </w:tcPr>
          <w:p w14:paraId="20AC2123" w14:textId="77777777" w:rsidR="001A4101" w:rsidRPr="001A4101" w:rsidRDefault="001A4101" w:rsidP="00277805">
            <w:pPr>
              <w:tabs>
                <w:tab w:val="left" w:pos="142"/>
              </w:tabs>
              <w:spacing w:after="0" w:line="240" w:lineRule="auto"/>
              <w:jc w:val="both"/>
              <w:rPr>
                <w:rFonts w:ascii="Arial" w:hAnsi="Arial" w:cs="Arial"/>
                <w:color w:val="000000" w:themeColor="text1"/>
              </w:rPr>
            </w:pPr>
            <w:r w:rsidRPr="001A4101">
              <w:rPr>
                <w:rFonts w:ascii="Arial" w:hAnsi="Arial" w:cs="Arial"/>
                <w:color w:val="000000" w:themeColor="text1"/>
              </w:rPr>
              <w:t>Method</w:t>
            </w:r>
          </w:p>
        </w:tc>
        <w:tc>
          <w:tcPr>
            <w:tcW w:w="679" w:type="dxa"/>
            <w:tcBorders>
              <w:top w:val="nil"/>
              <w:bottom w:val="single" w:sz="4" w:space="0" w:color="auto"/>
            </w:tcBorders>
            <w:vAlign w:val="center"/>
            <w:hideMark/>
          </w:tcPr>
          <w:p w14:paraId="067FECB9"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Matrix</w:t>
            </w:r>
          </w:p>
        </w:tc>
        <w:tc>
          <w:tcPr>
            <w:tcW w:w="1245" w:type="dxa"/>
            <w:tcBorders>
              <w:top w:val="nil"/>
              <w:bottom w:val="single" w:sz="4" w:space="0" w:color="auto"/>
            </w:tcBorders>
            <w:vAlign w:val="center"/>
            <w:hideMark/>
          </w:tcPr>
          <w:p w14:paraId="6B2B8F1D" w14:textId="77777777" w:rsidR="00080FF5" w:rsidRPr="00277805"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 xml:space="preserve">LD </w:t>
            </w:r>
          </w:p>
          <w:p w14:paraId="74A920BD" w14:textId="613C8E4A"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w:t>
            </w:r>
            <w:proofErr w:type="gramStart"/>
            <w:r w:rsidRPr="001A4101">
              <w:rPr>
                <w:rFonts w:ascii="Arial" w:hAnsi="Arial" w:cs="Arial"/>
                <w:color w:val="000000" w:themeColor="text1"/>
              </w:rPr>
              <w:t>ng</w:t>
            </w:r>
            <w:proofErr w:type="gramEnd"/>
            <w:r w:rsidR="00080FF5" w:rsidRPr="00277805">
              <w:rPr>
                <w:rFonts w:ascii="Arial" w:hAnsi="Arial" w:cs="Arial"/>
                <w:color w:val="000000" w:themeColor="text1"/>
              </w:rPr>
              <w:t xml:space="preserve"> </w:t>
            </w:r>
            <w:r w:rsidRPr="001A4101">
              <w:rPr>
                <w:rFonts w:ascii="Arial" w:hAnsi="Arial" w:cs="Arial"/>
                <w:color w:val="000000" w:themeColor="text1"/>
              </w:rPr>
              <w:t>mL</w:t>
            </w:r>
            <w:r w:rsidRPr="001A4101">
              <w:rPr>
                <w:rFonts w:ascii="Cambria Math" w:hAnsi="Cambria Math" w:cs="Cambria Math"/>
                <w:color w:val="000000" w:themeColor="text1"/>
              </w:rPr>
              <w:t>⁻</w:t>
            </w:r>
            <w:r w:rsidRPr="001A4101">
              <w:rPr>
                <w:rFonts w:ascii="Arial" w:hAnsi="Arial" w:cs="Arial"/>
                <w:color w:val="000000" w:themeColor="text1"/>
              </w:rPr>
              <w:t>¹)</w:t>
            </w:r>
          </w:p>
        </w:tc>
        <w:tc>
          <w:tcPr>
            <w:tcW w:w="1065" w:type="dxa"/>
            <w:tcBorders>
              <w:top w:val="nil"/>
              <w:bottom w:val="single" w:sz="4" w:space="0" w:color="auto"/>
            </w:tcBorders>
            <w:vAlign w:val="center"/>
            <w:hideMark/>
          </w:tcPr>
          <w:p w14:paraId="1759E0F5" w14:textId="6852803F"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Linear Range (ng</w:t>
            </w:r>
            <w:r w:rsidR="00080FF5" w:rsidRPr="00277805">
              <w:rPr>
                <w:rFonts w:ascii="Arial" w:hAnsi="Arial" w:cs="Arial"/>
                <w:color w:val="000000" w:themeColor="text1"/>
              </w:rPr>
              <w:t xml:space="preserve"> </w:t>
            </w:r>
            <w:r w:rsidRPr="001A4101">
              <w:rPr>
                <w:rFonts w:ascii="Arial" w:hAnsi="Arial" w:cs="Arial"/>
                <w:color w:val="000000" w:themeColor="text1"/>
              </w:rPr>
              <w:t>mL</w:t>
            </w:r>
            <w:r w:rsidRPr="001A4101">
              <w:rPr>
                <w:rFonts w:ascii="Cambria Math" w:hAnsi="Cambria Math" w:cs="Cambria Math"/>
                <w:color w:val="000000" w:themeColor="text1"/>
              </w:rPr>
              <w:t>⁻</w:t>
            </w:r>
            <w:r w:rsidRPr="001A4101">
              <w:rPr>
                <w:rFonts w:ascii="Arial" w:hAnsi="Arial" w:cs="Arial"/>
                <w:color w:val="000000" w:themeColor="text1"/>
              </w:rPr>
              <w:t>¹)</w:t>
            </w:r>
          </w:p>
        </w:tc>
        <w:tc>
          <w:tcPr>
            <w:tcW w:w="0" w:type="auto"/>
            <w:tcBorders>
              <w:top w:val="nil"/>
              <w:bottom w:val="single" w:sz="4" w:space="0" w:color="auto"/>
            </w:tcBorders>
            <w:vAlign w:val="center"/>
            <w:hideMark/>
          </w:tcPr>
          <w:p w14:paraId="6E17D8DD"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Recovery (%)</w:t>
            </w:r>
          </w:p>
        </w:tc>
        <w:tc>
          <w:tcPr>
            <w:tcW w:w="1062" w:type="dxa"/>
            <w:tcBorders>
              <w:top w:val="nil"/>
              <w:bottom w:val="single" w:sz="4" w:space="0" w:color="auto"/>
            </w:tcBorders>
            <w:vAlign w:val="center"/>
            <w:hideMark/>
          </w:tcPr>
          <w:p w14:paraId="23E78987"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RSD (%)</w:t>
            </w:r>
          </w:p>
        </w:tc>
        <w:tc>
          <w:tcPr>
            <w:tcW w:w="962" w:type="dxa"/>
            <w:tcBorders>
              <w:top w:val="nil"/>
              <w:bottom w:val="single" w:sz="4" w:space="0" w:color="auto"/>
            </w:tcBorders>
            <w:vAlign w:val="center"/>
            <w:hideMark/>
          </w:tcPr>
          <w:p w14:paraId="0493C19C" w14:textId="257B4582"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Analysis Time</w:t>
            </w:r>
            <w:r w:rsidR="00277805" w:rsidRPr="00277805">
              <w:rPr>
                <w:rFonts w:ascii="Arial" w:hAnsi="Arial" w:cs="Arial"/>
                <w:color w:val="000000" w:themeColor="text1"/>
              </w:rPr>
              <w:t xml:space="preserve"> (min)</w:t>
            </w:r>
          </w:p>
        </w:tc>
        <w:tc>
          <w:tcPr>
            <w:tcW w:w="2096" w:type="dxa"/>
            <w:tcBorders>
              <w:top w:val="nil"/>
              <w:bottom w:val="single" w:sz="4" w:space="0" w:color="auto"/>
            </w:tcBorders>
            <w:vAlign w:val="center"/>
            <w:hideMark/>
          </w:tcPr>
          <w:p w14:paraId="33772EAD"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Sample Preparation</w:t>
            </w:r>
          </w:p>
        </w:tc>
        <w:tc>
          <w:tcPr>
            <w:tcW w:w="1231" w:type="dxa"/>
            <w:tcBorders>
              <w:top w:val="nil"/>
              <w:bottom w:val="single" w:sz="4" w:space="0" w:color="auto"/>
            </w:tcBorders>
            <w:vAlign w:val="center"/>
            <w:hideMark/>
          </w:tcPr>
          <w:p w14:paraId="7E4674BE"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References</w:t>
            </w:r>
          </w:p>
        </w:tc>
      </w:tr>
      <w:tr w:rsidR="00B761E7" w:rsidRPr="00B761E7" w14:paraId="66AC76BC" w14:textId="77777777" w:rsidTr="00277805">
        <w:trPr>
          <w:tblCellSpacing w:w="15" w:type="dxa"/>
        </w:trPr>
        <w:tc>
          <w:tcPr>
            <w:tcW w:w="1090" w:type="dxa"/>
            <w:vAlign w:val="center"/>
            <w:hideMark/>
          </w:tcPr>
          <w:p w14:paraId="77587094" w14:textId="77777777" w:rsidR="00277805" w:rsidRDefault="001A4101" w:rsidP="00277805">
            <w:pPr>
              <w:tabs>
                <w:tab w:val="left" w:pos="142"/>
              </w:tabs>
              <w:spacing w:after="0" w:line="240" w:lineRule="auto"/>
              <w:jc w:val="both"/>
              <w:rPr>
                <w:rFonts w:ascii="Arial" w:hAnsi="Arial" w:cs="Arial"/>
                <w:color w:val="000000" w:themeColor="text1"/>
              </w:rPr>
            </w:pPr>
            <w:r w:rsidRPr="001A4101">
              <w:rPr>
                <w:rFonts w:ascii="Arial" w:hAnsi="Arial" w:cs="Arial"/>
                <w:color w:val="000000" w:themeColor="text1"/>
              </w:rPr>
              <w:t xml:space="preserve">FLUO </w:t>
            </w:r>
          </w:p>
          <w:p w14:paraId="53628AA6" w14:textId="16E3D31B" w:rsidR="001A4101" w:rsidRPr="001A4101" w:rsidRDefault="001A4101" w:rsidP="00277805">
            <w:pPr>
              <w:tabs>
                <w:tab w:val="left" w:pos="142"/>
              </w:tabs>
              <w:spacing w:after="0" w:line="240" w:lineRule="auto"/>
              <w:jc w:val="both"/>
              <w:rPr>
                <w:rFonts w:ascii="Arial" w:hAnsi="Arial" w:cs="Arial"/>
                <w:color w:val="000000" w:themeColor="text1"/>
              </w:rPr>
            </w:pPr>
            <w:r w:rsidRPr="001A4101">
              <w:rPr>
                <w:rFonts w:ascii="Arial" w:hAnsi="Arial" w:cs="Arial"/>
                <w:color w:val="000000" w:themeColor="text1"/>
              </w:rPr>
              <w:t>(Brij700</w:t>
            </w:r>
            <w:proofErr w:type="gramStart"/>
            <w:r w:rsidRPr="001A4101">
              <w:rPr>
                <w:rFonts w:ascii="Arial" w:hAnsi="Arial" w:cs="Arial"/>
                <w:color w:val="000000" w:themeColor="text1"/>
              </w:rPr>
              <w:t xml:space="preserve">/ </w:t>
            </w:r>
            <w:r w:rsidR="00277805">
              <w:rPr>
                <w:rFonts w:ascii="Arial" w:hAnsi="Arial" w:cs="Arial"/>
                <w:color w:val="000000" w:themeColor="text1"/>
              </w:rPr>
              <w:t xml:space="preserve"> </w:t>
            </w:r>
            <w:r w:rsidRPr="001A4101">
              <w:rPr>
                <w:rFonts w:ascii="Arial" w:hAnsi="Arial" w:cs="Arial"/>
                <w:color w:val="000000" w:themeColor="text1"/>
              </w:rPr>
              <w:t>SDS</w:t>
            </w:r>
            <w:proofErr w:type="gramEnd"/>
            <w:r w:rsidRPr="001A4101">
              <w:rPr>
                <w:rFonts w:ascii="Arial" w:hAnsi="Arial" w:cs="Arial"/>
                <w:color w:val="000000" w:themeColor="text1"/>
              </w:rPr>
              <w:t>)</w:t>
            </w:r>
          </w:p>
        </w:tc>
        <w:tc>
          <w:tcPr>
            <w:tcW w:w="679" w:type="dxa"/>
            <w:vAlign w:val="center"/>
            <w:hideMark/>
          </w:tcPr>
          <w:p w14:paraId="066DF5A0" w14:textId="514216C8" w:rsidR="001A4101" w:rsidRPr="001A4101" w:rsidRDefault="001A4101" w:rsidP="0097495D">
            <w:pPr>
              <w:tabs>
                <w:tab w:val="left" w:pos="142"/>
              </w:tabs>
              <w:spacing w:after="0" w:line="240" w:lineRule="auto"/>
              <w:jc w:val="center"/>
              <w:rPr>
                <w:rFonts w:ascii="Arial" w:hAnsi="Arial" w:cs="Arial"/>
                <w:color w:val="000000" w:themeColor="text1"/>
              </w:rPr>
            </w:pPr>
            <w:proofErr w:type="gramStart"/>
            <w:r w:rsidRPr="001A4101">
              <w:rPr>
                <w:rFonts w:ascii="Arial" w:hAnsi="Arial" w:cs="Arial"/>
                <w:color w:val="000000" w:themeColor="text1"/>
              </w:rPr>
              <w:t>urine</w:t>
            </w:r>
            <w:proofErr w:type="gramEnd"/>
          </w:p>
        </w:tc>
        <w:tc>
          <w:tcPr>
            <w:tcW w:w="1245" w:type="dxa"/>
            <w:vAlign w:val="center"/>
            <w:hideMark/>
          </w:tcPr>
          <w:p w14:paraId="43749D24"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2.5–5.4</w:t>
            </w:r>
          </w:p>
        </w:tc>
        <w:tc>
          <w:tcPr>
            <w:tcW w:w="1065" w:type="dxa"/>
            <w:vAlign w:val="center"/>
            <w:hideMark/>
          </w:tcPr>
          <w:p w14:paraId="6BBD59BF" w14:textId="783C73B8" w:rsidR="001A4101" w:rsidRPr="001A4101" w:rsidRDefault="00277805" w:rsidP="0097495D">
            <w:pPr>
              <w:tabs>
                <w:tab w:val="left" w:pos="142"/>
              </w:tabs>
              <w:spacing w:after="0" w:line="240" w:lineRule="auto"/>
              <w:jc w:val="center"/>
              <w:rPr>
                <w:rFonts w:ascii="Arial" w:hAnsi="Arial" w:cs="Arial"/>
                <w:color w:val="000000" w:themeColor="text1"/>
              </w:rPr>
            </w:pPr>
            <w:r>
              <w:rPr>
                <w:rFonts w:ascii="Arial" w:hAnsi="Arial" w:cs="Arial"/>
                <w:color w:val="000000" w:themeColor="text1"/>
              </w:rPr>
              <w:t>35</w:t>
            </w:r>
            <w:r w:rsidR="001A4101" w:rsidRPr="001A4101">
              <w:rPr>
                <w:rFonts w:ascii="Arial" w:hAnsi="Arial" w:cs="Arial"/>
                <w:color w:val="000000" w:themeColor="text1"/>
              </w:rPr>
              <w:t>–</w:t>
            </w:r>
            <w:r>
              <w:rPr>
                <w:rFonts w:ascii="Arial" w:hAnsi="Arial" w:cs="Arial"/>
                <w:color w:val="000000" w:themeColor="text1"/>
              </w:rPr>
              <w:t>265</w:t>
            </w:r>
          </w:p>
        </w:tc>
        <w:tc>
          <w:tcPr>
            <w:tcW w:w="0" w:type="auto"/>
            <w:vAlign w:val="center"/>
            <w:hideMark/>
          </w:tcPr>
          <w:p w14:paraId="5A28F543"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89–101</w:t>
            </w:r>
          </w:p>
        </w:tc>
        <w:tc>
          <w:tcPr>
            <w:tcW w:w="1062" w:type="dxa"/>
            <w:vAlign w:val="center"/>
            <w:hideMark/>
          </w:tcPr>
          <w:p w14:paraId="7055F55C"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0.6–1.5</w:t>
            </w:r>
          </w:p>
        </w:tc>
        <w:tc>
          <w:tcPr>
            <w:tcW w:w="962" w:type="dxa"/>
            <w:vAlign w:val="center"/>
            <w:hideMark/>
          </w:tcPr>
          <w:p w14:paraId="2CB2CB73" w14:textId="6B8A98CC"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10–15</w:t>
            </w:r>
          </w:p>
        </w:tc>
        <w:tc>
          <w:tcPr>
            <w:tcW w:w="2096" w:type="dxa"/>
            <w:vAlign w:val="center"/>
            <w:hideMark/>
          </w:tcPr>
          <w:p w14:paraId="6233CC86"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Simple deproteinization, no chromatography</w:t>
            </w:r>
          </w:p>
        </w:tc>
        <w:tc>
          <w:tcPr>
            <w:tcW w:w="1231" w:type="dxa"/>
            <w:vAlign w:val="center"/>
            <w:hideMark/>
          </w:tcPr>
          <w:p w14:paraId="783A1109" w14:textId="5FF0E693"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w:t>
            </w:r>
            <w:r w:rsidR="00080FF5" w:rsidRPr="00B761E7">
              <w:rPr>
                <w:rFonts w:ascii="Arial" w:hAnsi="Arial" w:cs="Arial"/>
                <w:color w:val="0070C0"/>
              </w:rPr>
              <w:t>46</w:t>
            </w:r>
            <w:r w:rsidRPr="001A4101">
              <w:rPr>
                <w:rFonts w:ascii="Arial" w:hAnsi="Arial" w:cs="Arial"/>
                <w:color w:val="0070C0"/>
              </w:rPr>
              <w:t>,</w:t>
            </w:r>
            <w:r w:rsidR="00080FF5" w:rsidRPr="00B761E7">
              <w:rPr>
                <w:rFonts w:ascii="Arial" w:hAnsi="Arial" w:cs="Arial"/>
                <w:color w:val="0070C0"/>
              </w:rPr>
              <w:t>47</w:t>
            </w:r>
            <w:r w:rsidRPr="001A4101">
              <w:rPr>
                <w:rFonts w:ascii="Arial" w:hAnsi="Arial" w:cs="Arial"/>
                <w:color w:val="000000" w:themeColor="text1"/>
              </w:rPr>
              <w:t>]</w:t>
            </w:r>
          </w:p>
        </w:tc>
      </w:tr>
      <w:tr w:rsidR="00B761E7" w:rsidRPr="00B761E7" w14:paraId="385E2CE8" w14:textId="77777777" w:rsidTr="00277805">
        <w:trPr>
          <w:tblCellSpacing w:w="15" w:type="dxa"/>
        </w:trPr>
        <w:tc>
          <w:tcPr>
            <w:tcW w:w="1090" w:type="dxa"/>
            <w:vAlign w:val="center"/>
            <w:hideMark/>
          </w:tcPr>
          <w:p w14:paraId="0153FCDE" w14:textId="77777777" w:rsidR="001A4101" w:rsidRPr="001A4101" w:rsidRDefault="001A4101" w:rsidP="00277805">
            <w:pPr>
              <w:tabs>
                <w:tab w:val="left" w:pos="142"/>
              </w:tabs>
              <w:spacing w:after="0" w:line="240" w:lineRule="auto"/>
              <w:jc w:val="both"/>
              <w:rPr>
                <w:rFonts w:ascii="Arial" w:hAnsi="Arial" w:cs="Arial"/>
                <w:color w:val="000000" w:themeColor="text1"/>
              </w:rPr>
            </w:pPr>
            <w:r w:rsidRPr="001A4101">
              <w:rPr>
                <w:rFonts w:ascii="Arial" w:hAnsi="Arial" w:cs="Arial"/>
                <w:color w:val="000000" w:themeColor="text1"/>
              </w:rPr>
              <w:t>HPLC</w:t>
            </w:r>
          </w:p>
        </w:tc>
        <w:tc>
          <w:tcPr>
            <w:tcW w:w="679" w:type="dxa"/>
            <w:vAlign w:val="center"/>
            <w:hideMark/>
          </w:tcPr>
          <w:p w14:paraId="0E1879B6" w14:textId="11F719F9" w:rsidR="001A4101" w:rsidRPr="001A4101" w:rsidRDefault="001A4101" w:rsidP="00277805">
            <w:pPr>
              <w:tabs>
                <w:tab w:val="left" w:pos="142"/>
              </w:tabs>
              <w:spacing w:after="0" w:line="240" w:lineRule="auto"/>
              <w:rPr>
                <w:rFonts w:ascii="Arial" w:hAnsi="Arial" w:cs="Arial"/>
                <w:color w:val="000000" w:themeColor="text1"/>
              </w:rPr>
            </w:pPr>
            <w:r w:rsidRPr="001A4101">
              <w:rPr>
                <w:rFonts w:ascii="Arial" w:hAnsi="Arial" w:cs="Arial"/>
                <w:color w:val="000000" w:themeColor="text1"/>
              </w:rPr>
              <w:t xml:space="preserve"> </w:t>
            </w:r>
            <w:proofErr w:type="gramStart"/>
            <w:r w:rsidRPr="001A4101">
              <w:rPr>
                <w:rFonts w:ascii="Arial" w:hAnsi="Arial" w:cs="Arial"/>
                <w:color w:val="000000" w:themeColor="text1"/>
              </w:rPr>
              <w:t>urine</w:t>
            </w:r>
            <w:proofErr w:type="gramEnd"/>
          </w:p>
        </w:tc>
        <w:tc>
          <w:tcPr>
            <w:tcW w:w="1245" w:type="dxa"/>
            <w:vAlign w:val="center"/>
            <w:hideMark/>
          </w:tcPr>
          <w:p w14:paraId="5C020346"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1–5</w:t>
            </w:r>
          </w:p>
        </w:tc>
        <w:tc>
          <w:tcPr>
            <w:tcW w:w="1065" w:type="dxa"/>
            <w:vAlign w:val="center"/>
            <w:hideMark/>
          </w:tcPr>
          <w:p w14:paraId="544476B2"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1–100</w:t>
            </w:r>
          </w:p>
        </w:tc>
        <w:tc>
          <w:tcPr>
            <w:tcW w:w="0" w:type="auto"/>
            <w:vAlign w:val="center"/>
            <w:hideMark/>
          </w:tcPr>
          <w:p w14:paraId="618A8026"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90–105</w:t>
            </w:r>
          </w:p>
        </w:tc>
        <w:tc>
          <w:tcPr>
            <w:tcW w:w="1062" w:type="dxa"/>
            <w:vAlign w:val="center"/>
            <w:hideMark/>
          </w:tcPr>
          <w:p w14:paraId="19632AD1"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1–3</w:t>
            </w:r>
          </w:p>
        </w:tc>
        <w:tc>
          <w:tcPr>
            <w:tcW w:w="962" w:type="dxa"/>
            <w:vAlign w:val="center"/>
            <w:hideMark/>
          </w:tcPr>
          <w:p w14:paraId="0C6E54D1" w14:textId="5C5A587E"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30–60</w:t>
            </w:r>
          </w:p>
        </w:tc>
        <w:tc>
          <w:tcPr>
            <w:tcW w:w="2096" w:type="dxa"/>
            <w:vAlign w:val="center"/>
            <w:hideMark/>
          </w:tcPr>
          <w:p w14:paraId="7FB894F0"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Extraction + filtration + column separation</w:t>
            </w:r>
          </w:p>
        </w:tc>
        <w:tc>
          <w:tcPr>
            <w:tcW w:w="1231" w:type="dxa"/>
            <w:vAlign w:val="center"/>
            <w:hideMark/>
          </w:tcPr>
          <w:p w14:paraId="6736B22C" w14:textId="2FB9EEAC"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w:t>
            </w:r>
            <w:r w:rsidR="00080FF5" w:rsidRPr="00B761E7">
              <w:rPr>
                <w:rFonts w:ascii="Arial" w:hAnsi="Arial" w:cs="Arial"/>
                <w:color w:val="0070C0"/>
              </w:rPr>
              <w:t>48</w:t>
            </w:r>
            <w:r w:rsidRPr="001A4101">
              <w:rPr>
                <w:rFonts w:ascii="Arial" w:hAnsi="Arial" w:cs="Arial"/>
                <w:color w:val="0070C0"/>
              </w:rPr>
              <w:t>,4</w:t>
            </w:r>
            <w:r w:rsidR="00080FF5" w:rsidRPr="00B761E7">
              <w:rPr>
                <w:rFonts w:ascii="Arial" w:hAnsi="Arial" w:cs="Arial"/>
                <w:color w:val="0070C0"/>
              </w:rPr>
              <w:t>9</w:t>
            </w:r>
            <w:r w:rsidRPr="001A4101">
              <w:rPr>
                <w:rFonts w:ascii="Arial" w:hAnsi="Arial" w:cs="Arial"/>
                <w:color w:val="000000" w:themeColor="text1"/>
              </w:rPr>
              <w:t>]</w:t>
            </w:r>
          </w:p>
        </w:tc>
      </w:tr>
      <w:tr w:rsidR="00B761E7" w:rsidRPr="00B761E7" w14:paraId="13A942C8" w14:textId="77777777" w:rsidTr="00277805">
        <w:trPr>
          <w:tblCellSpacing w:w="15" w:type="dxa"/>
        </w:trPr>
        <w:tc>
          <w:tcPr>
            <w:tcW w:w="1090" w:type="dxa"/>
            <w:vAlign w:val="center"/>
            <w:hideMark/>
          </w:tcPr>
          <w:p w14:paraId="0FEDA1D7" w14:textId="77777777" w:rsidR="001A4101" w:rsidRPr="001A4101" w:rsidRDefault="001A4101" w:rsidP="00277805">
            <w:pPr>
              <w:tabs>
                <w:tab w:val="left" w:pos="142"/>
              </w:tabs>
              <w:spacing w:after="0" w:line="240" w:lineRule="auto"/>
              <w:jc w:val="both"/>
              <w:rPr>
                <w:rFonts w:ascii="Arial" w:hAnsi="Arial" w:cs="Arial"/>
                <w:color w:val="000000" w:themeColor="text1"/>
              </w:rPr>
            </w:pPr>
            <w:r w:rsidRPr="001A4101">
              <w:rPr>
                <w:rFonts w:ascii="Arial" w:hAnsi="Arial" w:cs="Arial"/>
                <w:color w:val="000000" w:themeColor="text1"/>
              </w:rPr>
              <w:t>GC</w:t>
            </w:r>
          </w:p>
        </w:tc>
        <w:tc>
          <w:tcPr>
            <w:tcW w:w="679" w:type="dxa"/>
            <w:vAlign w:val="center"/>
            <w:hideMark/>
          </w:tcPr>
          <w:p w14:paraId="2A667B9D" w14:textId="22408B6C" w:rsidR="001A4101" w:rsidRPr="001A4101" w:rsidRDefault="001A4101" w:rsidP="00277805">
            <w:pPr>
              <w:tabs>
                <w:tab w:val="left" w:pos="142"/>
              </w:tabs>
              <w:spacing w:after="0" w:line="240" w:lineRule="auto"/>
              <w:rPr>
                <w:rFonts w:ascii="Arial" w:hAnsi="Arial" w:cs="Arial"/>
                <w:color w:val="000000" w:themeColor="text1"/>
              </w:rPr>
            </w:pPr>
            <w:proofErr w:type="gramStart"/>
            <w:r w:rsidRPr="001A4101">
              <w:rPr>
                <w:rFonts w:ascii="Arial" w:hAnsi="Arial" w:cs="Arial"/>
                <w:color w:val="000000" w:themeColor="text1"/>
              </w:rPr>
              <w:t>urine</w:t>
            </w:r>
            <w:proofErr w:type="gramEnd"/>
          </w:p>
        </w:tc>
        <w:tc>
          <w:tcPr>
            <w:tcW w:w="1245" w:type="dxa"/>
            <w:vAlign w:val="center"/>
            <w:hideMark/>
          </w:tcPr>
          <w:p w14:paraId="38A10CF4"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10–50</w:t>
            </w:r>
          </w:p>
        </w:tc>
        <w:tc>
          <w:tcPr>
            <w:tcW w:w="1065" w:type="dxa"/>
            <w:vAlign w:val="center"/>
            <w:hideMark/>
          </w:tcPr>
          <w:p w14:paraId="157ABB18"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5–200</w:t>
            </w:r>
          </w:p>
        </w:tc>
        <w:tc>
          <w:tcPr>
            <w:tcW w:w="0" w:type="auto"/>
            <w:vAlign w:val="center"/>
            <w:hideMark/>
          </w:tcPr>
          <w:p w14:paraId="20684204"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85–100</w:t>
            </w:r>
          </w:p>
        </w:tc>
        <w:tc>
          <w:tcPr>
            <w:tcW w:w="1062" w:type="dxa"/>
            <w:vAlign w:val="center"/>
            <w:hideMark/>
          </w:tcPr>
          <w:p w14:paraId="5AB95311"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1–5</w:t>
            </w:r>
          </w:p>
        </w:tc>
        <w:tc>
          <w:tcPr>
            <w:tcW w:w="962" w:type="dxa"/>
            <w:vAlign w:val="center"/>
            <w:hideMark/>
          </w:tcPr>
          <w:p w14:paraId="12B4952F" w14:textId="62A31576"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40–70</w:t>
            </w:r>
          </w:p>
        </w:tc>
        <w:tc>
          <w:tcPr>
            <w:tcW w:w="2096" w:type="dxa"/>
            <w:vAlign w:val="center"/>
            <w:hideMark/>
          </w:tcPr>
          <w:p w14:paraId="34CBF608" w14:textId="77777777"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Derivatization + extraction + separation</w:t>
            </w:r>
          </w:p>
        </w:tc>
        <w:tc>
          <w:tcPr>
            <w:tcW w:w="1231" w:type="dxa"/>
            <w:vAlign w:val="center"/>
            <w:hideMark/>
          </w:tcPr>
          <w:p w14:paraId="0FAA4F1A" w14:textId="0B06041F" w:rsidR="001A4101" w:rsidRPr="001A4101" w:rsidRDefault="001A4101" w:rsidP="0097495D">
            <w:pPr>
              <w:tabs>
                <w:tab w:val="left" w:pos="142"/>
              </w:tabs>
              <w:spacing w:after="0" w:line="240" w:lineRule="auto"/>
              <w:jc w:val="center"/>
              <w:rPr>
                <w:rFonts w:ascii="Arial" w:hAnsi="Arial" w:cs="Arial"/>
                <w:color w:val="000000" w:themeColor="text1"/>
              </w:rPr>
            </w:pPr>
            <w:r w:rsidRPr="001A4101">
              <w:rPr>
                <w:rFonts w:ascii="Arial" w:hAnsi="Arial" w:cs="Arial"/>
                <w:color w:val="000000" w:themeColor="text1"/>
              </w:rPr>
              <w:t>[</w:t>
            </w:r>
            <w:r w:rsidRPr="001A4101">
              <w:rPr>
                <w:rFonts w:ascii="Arial" w:hAnsi="Arial" w:cs="Arial"/>
                <w:color w:val="0070C0"/>
              </w:rPr>
              <w:t>5</w:t>
            </w:r>
            <w:r w:rsidR="00080FF5" w:rsidRPr="00B761E7">
              <w:rPr>
                <w:rFonts w:ascii="Arial" w:hAnsi="Arial" w:cs="Arial"/>
                <w:color w:val="0070C0"/>
              </w:rPr>
              <w:t>0</w:t>
            </w:r>
            <w:r w:rsidRPr="001A4101">
              <w:rPr>
                <w:rFonts w:ascii="Arial" w:hAnsi="Arial" w:cs="Arial"/>
                <w:color w:val="000000" w:themeColor="text1"/>
              </w:rPr>
              <w:t>]</w:t>
            </w:r>
          </w:p>
        </w:tc>
      </w:tr>
    </w:tbl>
    <w:p w14:paraId="2E938E69" w14:textId="77777777" w:rsidR="00F130DC" w:rsidRPr="008B6F3C" w:rsidRDefault="00F130DC" w:rsidP="0097495D">
      <w:pPr>
        <w:tabs>
          <w:tab w:val="left" w:pos="142"/>
        </w:tabs>
        <w:spacing w:after="0" w:line="360" w:lineRule="auto"/>
        <w:jc w:val="both"/>
        <w:rPr>
          <w:rFonts w:ascii="Arial" w:hAnsi="Arial" w:cs="Arial"/>
          <w:color w:val="000000" w:themeColor="text1"/>
          <w:sz w:val="24"/>
          <w:szCs w:val="24"/>
        </w:rPr>
      </w:pPr>
    </w:p>
    <w:p w14:paraId="5F73BE2F" w14:textId="390A7674" w:rsidR="001A4101" w:rsidRPr="008B6F3C" w:rsidRDefault="001A4101" w:rsidP="0097495D">
      <w:pPr>
        <w:tabs>
          <w:tab w:val="left" w:pos="142"/>
        </w:tabs>
        <w:spacing w:after="0" w:line="360" w:lineRule="auto"/>
        <w:jc w:val="both"/>
        <w:rPr>
          <w:rFonts w:ascii="Arial" w:hAnsi="Arial" w:cs="Arial"/>
          <w:color w:val="000000" w:themeColor="text1"/>
          <w:sz w:val="24"/>
          <w:szCs w:val="24"/>
        </w:rPr>
      </w:pPr>
      <w:r w:rsidRPr="001A4101">
        <w:rPr>
          <w:rFonts w:ascii="Arial" w:hAnsi="Arial" w:cs="Arial"/>
          <w:color w:val="000000" w:themeColor="text1"/>
          <w:sz w:val="24"/>
          <w:szCs w:val="24"/>
        </w:rPr>
        <w:lastRenderedPageBreak/>
        <w:t>Overall, micelle-enhanced spectrofluorimetry combines sensitivity, speed, and simplicity, making it a practical and cost-effective alternative to HPLC and GC for routine 5-HT monitoring. Micelles protect the fluorophore, reduce matrix interferences, and provide stable, reproducible signals. While HPLC remains superior for multi-analyte or structural analyses, and GC is suitable for derivatized analytes, the FLUO approach is particularly advantageous for rapid clinical and bioanalytical applications [</w:t>
      </w:r>
      <w:r w:rsidR="00F130DC" w:rsidRPr="008B6F3C">
        <w:rPr>
          <w:rFonts w:ascii="Arial" w:hAnsi="Arial" w:cs="Arial"/>
          <w:color w:val="0070C0"/>
          <w:sz w:val="24"/>
          <w:szCs w:val="24"/>
        </w:rPr>
        <w:t>46</w:t>
      </w:r>
      <w:r w:rsidRPr="001A4101">
        <w:rPr>
          <w:rFonts w:ascii="Arial" w:hAnsi="Arial" w:cs="Arial"/>
          <w:color w:val="0070C0"/>
          <w:sz w:val="24"/>
          <w:szCs w:val="24"/>
        </w:rPr>
        <w:t>–5</w:t>
      </w:r>
      <w:r w:rsidR="00F130DC" w:rsidRPr="008B6F3C">
        <w:rPr>
          <w:rFonts w:ascii="Arial" w:hAnsi="Arial" w:cs="Arial"/>
          <w:color w:val="0070C0"/>
          <w:sz w:val="24"/>
          <w:szCs w:val="24"/>
        </w:rPr>
        <w:t>0</w:t>
      </w:r>
      <w:r w:rsidRPr="001A4101">
        <w:rPr>
          <w:rFonts w:ascii="Arial" w:hAnsi="Arial" w:cs="Arial"/>
          <w:color w:val="000000" w:themeColor="text1"/>
          <w:sz w:val="24"/>
          <w:szCs w:val="24"/>
        </w:rPr>
        <w:t>].</w:t>
      </w:r>
    </w:p>
    <w:p w14:paraId="221C2220" w14:textId="77777777" w:rsidR="00E31A24" w:rsidRPr="001A4101" w:rsidRDefault="00E31A24" w:rsidP="0097495D">
      <w:pPr>
        <w:tabs>
          <w:tab w:val="left" w:pos="142"/>
        </w:tabs>
        <w:spacing w:after="0" w:line="240" w:lineRule="auto"/>
        <w:jc w:val="both"/>
        <w:rPr>
          <w:rFonts w:ascii="Arial" w:hAnsi="Arial" w:cs="Arial"/>
          <w:color w:val="000000" w:themeColor="text1"/>
          <w:sz w:val="24"/>
          <w:szCs w:val="24"/>
        </w:rPr>
      </w:pPr>
    </w:p>
    <w:p w14:paraId="089B7C3E" w14:textId="77777777" w:rsidR="001A4101" w:rsidRPr="001A4101" w:rsidRDefault="001A4101" w:rsidP="0097495D">
      <w:pPr>
        <w:tabs>
          <w:tab w:val="left" w:pos="142"/>
        </w:tabs>
        <w:spacing w:after="0" w:line="360" w:lineRule="auto"/>
        <w:jc w:val="both"/>
        <w:rPr>
          <w:rFonts w:ascii="Arial" w:hAnsi="Arial" w:cs="Arial"/>
          <w:b/>
          <w:bCs/>
          <w:color w:val="000000" w:themeColor="text1"/>
          <w:sz w:val="24"/>
          <w:szCs w:val="24"/>
        </w:rPr>
      </w:pPr>
      <w:r w:rsidRPr="001A4101">
        <w:rPr>
          <w:rFonts w:ascii="Arial" w:hAnsi="Arial" w:cs="Arial"/>
          <w:b/>
          <w:bCs/>
          <w:color w:val="000000" w:themeColor="text1"/>
          <w:sz w:val="24"/>
          <w:szCs w:val="24"/>
        </w:rPr>
        <w:t>3.8 Interference Study of 5-HT Fluorescence</w:t>
      </w:r>
    </w:p>
    <w:p w14:paraId="4FFA0427" w14:textId="77777777" w:rsidR="001A4101" w:rsidRPr="001A4101" w:rsidRDefault="001A4101" w:rsidP="0097495D">
      <w:pPr>
        <w:tabs>
          <w:tab w:val="left" w:pos="142"/>
        </w:tabs>
        <w:spacing w:after="0" w:line="360" w:lineRule="auto"/>
        <w:ind w:firstLine="708"/>
        <w:jc w:val="both"/>
        <w:rPr>
          <w:rFonts w:ascii="Arial" w:hAnsi="Arial" w:cs="Arial"/>
          <w:color w:val="000000" w:themeColor="text1"/>
          <w:sz w:val="24"/>
          <w:szCs w:val="24"/>
        </w:rPr>
      </w:pPr>
      <w:r w:rsidRPr="001A4101">
        <w:rPr>
          <w:rFonts w:ascii="Arial" w:hAnsi="Arial" w:cs="Arial"/>
          <w:color w:val="000000" w:themeColor="text1"/>
          <w:sz w:val="24"/>
          <w:szCs w:val="24"/>
        </w:rPr>
        <w:t>The potential impact of common biological and inorganic interferents on the fluorescence of serotonin (5-HT, 10</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⁷ M) was systematically evaluated. Two biogenic amines (histamine and putrescine) and typical inorganic ions (Na</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 K</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 Mg²</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 Ca²</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 Cl</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 SO</w:t>
      </w:r>
      <w:r w:rsidRPr="001A4101">
        <w:rPr>
          <w:rFonts w:ascii="Cambria Math" w:hAnsi="Cambria Math" w:cs="Cambria Math"/>
          <w:color w:val="000000" w:themeColor="text1"/>
          <w:sz w:val="24"/>
          <w:szCs w:val="24"/>
        </w:rPr>
        <w:t>₄</w:t>
      </w:r>
      <w:r w:rsidRPr="001A4101">
        <w:rPr>
          <w:rFonts w:ascii="Arial" w:hAnsi="Arial" w:cs="Arial"/>
          <w:color w:val="000000" w:themeColor="text1"/>
          <w:sz w:val="24"/>
          <w:szCs w:val="24"/>
        </w:rPr>
        <w:t>²</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 PO</w:t>
      </w:r>
      <w:r w:rsidRPr="001A4101">
        <w:rPr>
          <w:rFonts w:ascii="Cambria Math" w:hAnsi="Cambria Math" w:cs="Cambria Math"/>
          <w:color w:val="000000" w:themeColor="text1"/>
          <w:sz w:val="24"/>
          <w:szCs w:val="24"/>
        </w:rPr>
        <w:t>₄</w:t>
      </w:r>
      <w:r w:rsidRPr="001A4101">
        <w:rPr>
          <w:rFonts w:ascii="Arial" w:hAnsi="Arial" w:cs="Arial"/>
          <w:color w:val="000000" w:themeColor="text1"/>
          <w:sz w:val="24"/>
          <w:szCs w:val="24"/>
        </w:rPr>
        <w:t>³</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 xml:space="preserve">) were added to aqueous 5-HT solutions, and the relative fluorescence change was calculated </w:t>
      </w:r>
      <w:proofErr w:type="gramStart"/>
      <w:r w:rsidRPr="001A4101">
        <w:rPr>
          <w:rFonts w:ascii="Arial" w:hAnsi="Arial" w:cs="Arial"/>
          <w:color w:val="000000" w:themeColor="text1"/>
          <w:sz w:val="24"/>
          <w:szCs w:val="24"/>
        </w:rPr>
        <w:t>as:</w:t>
      </w:r>
      <w:proofErr w:type="gramEnd"/>
    </w:p>
    <w:p w14:paraId="17142368" w14:textId="003302A9" w:rsidR="001A4101" w:rsidRPr="001A4101" w:rsidRDefault="00F130DC" w:rsidP="0097495D">
      <w:pPr>
        <w:tabs>
          <w:tab w:val="left" w:pos="142"/>
        </w:tabs>
        <w:spacing w:after="0" w:line="360" w:lineRule="auto"/>
        <w:jc w:val="both"/>
        <w:rPr>
          <w:rFonts w:ascii="Arial" w:hAnsi="Arial" w:cs="Arial"/>
          <w:color w:val="000000" w:themeColor="text1"/>
          <w:sz w:val="24"/>
          <w:szCs w:val="24"/>
        </w:rPr>
      </w:pPr>
      <m:oMath>
        <m:r>
          <m:rPr>
            <m:sty m:val="p"/>
          </m:rPr>
          <w:rPr>
            <w:rFonts w:ascii="Cambria Math" w:hAnsi="Cambria Math" w:cs="Arial"/>
            <w:color w:val="000000" w:themeColor="text1"/>
            <w:sz w:val="24"/>
            <w:szCs w:val="24"/>
          </w:rPr>
          <m:t>∆F (%)=(</m:t>
        </m:r>
        <m:d>
          <m:dPr>
            <m:ctrlPr>
              <w:rPr>
                <w:rFonts w:ascii="Cambria Math" w:hAnsi="Cambria Math" w:cs="Arial"/>
                <w:color w:val="000000" w:themeColor="text1"/>
                <w:sz w:val="24"/>
                <w:szCs w:val="24"/>
              </w:rPr>
            </m:ctrlPr>
          </m:dPr>
          <m:e>
            <m:sSub>
              <m:sSubPr>
                <m:ctrlPr>
                  <w:rPr>
                    <w:rFonts w:ascii="Cambria Math" w:hAnsi="Cambria Math" w:cs="Arial"/>
                    <w:color w:val="000000" w:themeColor="text1"/>
                    <w:sz w:val="24"/>
                    <w:szCs w:val="24"/>
                  </w:rPr>
                </m:ctrlPr>
              </m:sSubPr>
              <m:e>
                <m:r>
                  <m:rPr>
                    <m:sty m:val="p"/>
                  </m:rPr>
                  <w:rPr>
                    <w:rFonts w:ascii="Cambria Math" w:hAnsi="Cambria Math" w:cs="Arial"/>
                    <w:color w:val="000000" w:themeColor="text1"/>
                    <w:sz w:val="24"/>
                    <w:szCs w:val="24"/>
                  </w:rPr>
                  <m:t>F</m:t>
                </m:r>
              </m:e>
              <m:sub>
                <m:r>
                  <m:rPr>
                    <m:sty m:val="p"/>
                  </m:rPr>
                  <w:rPr>
                    <w:rFonts w:ascii="Cambria Math" w:hAnsi="Cambria Math" w:cs="Arial"/>
                    <w:color w:val="000000" w:themeColor="text1"/>
                    <w:sz w:val="24"/>
                    <w:szCs w:val="24"/>
                  </w:rPr>
                  <m:t>0</m:t>
                </m:r>
              </m:sub>
            </m:sSub>
            <m:r>
              <m:rPr>
                <m:sty m:val="p"/>
              </m:rPr>
              <w:rPr>
                <w:rFonts w:ascii="Cambria Math" w:hAnsi="Cambria Math" w:cs="Arial"/>
                <w:color w:val="000000" w:themeColor="text1"/>
                <w:sz w:val="24"/>
                <w:szCs w:val="24"/>
              </w:rPr>
              <m:t>-F</m:t>
            </m:r>
          </m:e>
        </m:d>
      </m:oMath>
      <w:r w:rsidRPr="008B6F3C">
        <w:rPr>
          <w:rFonts w:ascii="Arial" w:hAnsi="Arial" w:cs="Arial"/>
          <w:color w:val="000000" w:themeColor="text1"/>
          <w:sz w:val="24"/>
          <w:szCs w:val="24"/>
        </w:rPr>
        <w:t>/</w:t>
      </w:r>
      <m:oMath>
        <m:sSub>
          <m:sSubPr>
            <m:ctrlPr>
              <w:rPr>
                <w:rFonts w:ascii="Cambria Math" w:hAnsi="Cambria Math" w:cs="Arial"/>
                <w:color w:val="000000" w:themeColor="text1"/>
                <w:sz w:val="24"/>
                <w:szCs w:val="24"/>
              </w:rPr>
            </m:ctrlPr>
          </m:sSubPr>
          <m:e>
            <m:r>
              <m:rPr>
                <m:sty m:val="p"/>
              </m:rPr>
              <w:rPr>
                <w:rFonts w:ascii="Cambria Math" w:hAnsi="Cambria Math" w:cs="Arial"/>
                <w:color w:val="000000" w:themeColor="text1"/>
                <w:sz w:val="24"/>
                <w:szCs w:val="24"/>
              </w:rPr>
              <m:t>F</m:t>
            </m:r>
          </m:e>
          <m:sub>
            <m:r>
              <m:rPr>
                <m:sty m:val="p"/>
              </m:rPr>
              <w:rPr>
                <w:rFonts w:ascii="Cambria Math" w:hAnsi="Cambria Math" w:cs="Arial"/>
                <w:color w:val="000000" w:themeColor="text1"/>
                <w:sz w:val="24"/>
                <w:szCs w:val="24"/>
              </w:rPr>
              <m:t>0</m:t>
            </m:r>
          </m:sub>
        </m:sSub>
      </m:oMath>
      <w:r w:rsidRPr="008B6F3C">
        <w:rPr>
          <w:rFonts w:ascii="Arial" w:hAnsi="Arial" w:cs="Arial"/>
          <w:color w:val="000000" w:themeColor="text1"/>
          <w:sz w:val="24"/>
          <w:szCs w:val="24"/>
        </w:rPr>
        <w:t>)</w:t>
      </w:r>
      <w:r w:rsidR="001A4101" w:rsidRPr="001A4101">
        <w:rPr>
          <w:rFonts w:ascii="Arial" w:hAnsi="Arial" w:cs="Arial"/>
          <w:color w:val="000000" w:themeColor="text1"/>
          <w:sz w:val="24"/>
          <w:szCs w:val="24"/>
        </w:rPr>
        <w:t>×100</w:t>
      </w:r>
      <w:r w:rsidRPr="008B6F3C">
        <w:rPr>
          <w:rFonts w:ascii="Arial" w:hAnsi="Arial" w:cs="Arial"/>
          <w:color w:val="000000" w:themeColor="text1"/>
          <w:sz w:val="24"/>
          <w:szCs w:val="24"/>
        </w:rPr>
        <w:t>.</w:t>
      </w:r>
      <w:r w:rsidR="00080FF5" w:rsidRPr="008B6F3C">
        <w:rPr>
          <w:rFonts w:ascii="Arial" w:hAnsi="Arial" w:cs="Arial"/>
          <w:color w:val="000000" w:themeColor="text1"/>
          <w:sz w:val="24"/>
          <w:szCs w:val="24"/>
        </w:rPr>
        <w:t xml:space="preserve"> </w:t>
      </w:r>
      <w:proofErr w:type="gramStart"/>
      <w:r w:rsidR="001A4101" w:rsidRPr="001A4101">
        <w:rPr>
          <w:rFonts w:ascii="Arial" w:hAnsi="Arial" w:cs="Arial"/>
          <w:color w:val="000000" w:themeColor="text1"/>
          <w:sz w:val="24"/>
          <w:szCs w:val="24"/>
        </w:rPr>
        <w:t>where</w:t>
      </w:r>
      <w:proofErr w:type="gramEnd"/>
      <w:r w:rsidR="001A4101" w:rsidRPr="001A4101">
        <w:rPr>
          <w:rFonts w:ascii="Arial" w:hAnsi="Arial" w:cs="Arial"/>
          <w:color w:val="000000" w:themeColor="text1"/>
          <w:sz w:val="24"/>
          <w:szCs w:val="24"/>
        </w:rPr>
        <w:t xml:space="preserve"> F</w:t>
      </w:r>
      <w:r w:rsidR="001A4101" w:rsidRPr="001A4101">
        <w:rPr>
          <w:rFonts w:ascii="Arial" w:hAnsi="Arial" w:cs="Arial"/>
          <w:color w:val="000000" w:themeColor="text1"/>
          <w:sz w:val="24"/>
          <w:szCs w:val="24"/>
          <w:vertAlign w:val="subscript"/>
        </w:rPr>
        <w:t>0</w:t>
      </w:r>
      <w:r w:rsidR="001A4101" w:rsidRPr="001A4101">
        <w:rPr>
          <w:rFonts w:ascii="Arial" w:hAnsi="Arial" w:cs="Arial"/>
          <w:color w:val="000000" w:themeColor="text1"/>
          <w:sz w:val="24"/>
          <w:szCs w:val="24"/>
        </w:rPr>
        <w:t>​ and F represent the fluorescence intensity in the absence and presence of the potential interferent, respectively. The tolerance limit (LT) was defined as ±5%, while the critical salt concentration (CSC) indicated the concentration at which significant fluorescence modification due to aggregation or electrostatic effects occurred.</w:t>
      </w:r>
    </w:p>
    <w:p w14:paraId="7A9EFDC8" w14:textId="77777777" w:rsidR="001A4101" w:rsidRPr="001A4101" w:rsidRDefault="001A4101" w:rsidP="0097495D">
      <w:pPr>
        <w:tabs>
          <w:tab w:val="left" w:pos="142"/>
        </w:tabs>
        <w:spacing w:after="0" w:line="240" w:lineRule="auto"/>
        <w:jc w:val="center"/>
        <w:rPr>
          <w:rFonts w:ascii="Arial" w:hAnsi="Arial" w:cs="Arial"/>
          <w:color w:val="000000" w:themeColor="text1"/>
          <w:sz w:val="24"/>
          <w:szCs w:val="24"/>
        </w:rPr>
      </w:pPr>
      <w:r w:rsidRPr="001A4101">
        <w:rPr>
          <w:rFonts w:ascii="Arial" w:hAnsi="Arial" w:cs="Arial"/>
          <w:b/>
          <w:bCs/>
          <w:color w:val="000000" w:themeColor="text1"/>
          <w:sz w:val="24"/>
          <w:szCs w:val="24"/>
        </w:rPr>
        <w:t>Table 5</w:t>
      </w:r>
      <w:r w:rsidRPr="001A4101">
        <w:rPr>
          <w:rFonts w:ascii="Arial" w:hAnsi="Arial" w:cs="Arial"/>
          <w:color w:val="000000" w:themeColor="text1"/>
          <w:sz w:val="24"/>
          <w:szCs w:val="24"/>
        </w:rPr>
        <w:t xml:space="preserve"> summarizes the CSC and LT values for tested species.</w:t>
      </w:r>
    </w:p>
    <w:p w14:paraId="73178962" w14:textId="77777777" w:rsidR="001A4101" w:rsidRPr="00A96042" w:rsidRDefault="001A4101" w:rsidP="0097495D">
      <w:pPr>
        <w:tabs>
          <w:tab w:val="left" w:pos="142"/>
        </w:tabs>
        <w:spacing w:after="0" w:line="240" w:lineRule="auto"/>
        <w:jc w:val="both"/>
        <w:rPr>
          <w:rFonts w:ascii="Arial" w:hAnsi="Arial" w:cs="Arial"/>
          <w:i/>
          <w:color w:val="000000" w:themeColor="text1"/>
          <w:sz w:val="24"/>
          <w:szCs w:val="24"/>
        </w:rPr>
      </w:pPr>
      <w:r w:rsidRPr="00A96042">
        <w:rPr>
          <w:rFonts w:ascii="Arial" w:hAnsi="Arial" w:cs="Arial"/>
          <w:i/>
          <w:color w:val="000000" w:themeColor="text1"/>
          <w:sz w:val="24"/>
          <w:szCs w:val="24"/>
        </w:rPr>
        <w:t xml:space="preserve"> </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490"/>
        <w:gridCol w:w="1621"/>
        <w:gridCol w:w="1418"/>
        <w:gridCol w:w="1984"/>
      </w:tblGrid>
      <w:tr w:rsidR="001A4101" w:rsidRPr="008B6F3C" w14:paraId="338F9E18" w14:textId="77777777" w:rsidTr="00E4029F">
        <w:trPr>
          <w:jc w:val="center"/>
        </w:trPr>
        <w:tc>
          <w:tcPr>
            <w:tcW w:w="2490" w:type="dxa"/>
            <w:tcBorders>
              <w:top w:val="outset" w:sz="6" w:space="0" w:color="auto"/>
              <w:left w:val="nil"/>
              <w:bottom w:val="outset" w:sz="6" w:space="0" w:color="auto"/>
              <w:right w:val="outset" w:sz="6" w:space="0" w:color="auto"/>
            </w:tcBorders>
            <w:hideMark/>
          </w:tcPr>
          <w:p w14:paraId="68FE6837" w14:textId="36F5DD5D" w:rsidR="001A4101" w:rsidRPr="00A96042" w:rsidRDefault="00265BD4" w:rsidP="0097495D">
            <w:pPr>
              <w:tabs>
                <w:tab w:val="left" w:pos="142"/>
              </w:tabs>
              <w:spacing w:after="0" w:line="240" w:lineRule="auto"/>
              <w:jc w:val="both"/>
              <w:rPr>
                <w:rFonts w:ascii="Arial" w:hAnsi="Arial" w:cs="Arial"/>
                <w:bCs/>
                <w:color w:val="000000" w:themeColor="text1"/>
                <w:sz w:val="24"/>
                <w:szCs w:val="24"/>
              </w:rPr>
            </w:pPr>
            <w:r w:rsidRPr="00265BD4">
              <w:rPr>
                <w:rFonts w:ascii="Arial" w:hAnsi="Arial" w:cs="Arial"/>
                <w:bCs/>
                <w:color w:val="000000" w:themeColor="text1"/>
                <w:sz w:val="24"/>
                <w:szCs w:val="24"/>
              </w:rPr>
              <w:t>Foreign species</w:t>
            </w:r>
          </w:p>
        </w:tc>
        <w:tc>
          <w:tcPr>
            <w:tcW w:w="1621" w:type="dxa"/>
            <w:tcBorders>
              <w:top w:val="outset" w:sz="6" w:space="0" w:color="auto"/>
              <w:left w:val="outset" w:sz="6" w:space="0" w:color="auto"/>
              <w:bottom w:val="outset" w:sz="6" w:space="0" w:color="auto"/>
              <w:right w:val="outset" w:sz="6" w:space="0" w:color="auto"/>
            </w:tcBorders>
            <w:vAlign w:val="center"/>
            <w:hideMark/>
          </w:tcPr>
          <w:p w14:paraId="02F0EA50"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proofErr w:type="gramStart"/>
            <w:r w:rsidRPr="00A96042">
              <w:rPr>
                <w:rFonts w:ascii="Arial" w:hAnsi="Arial" w:cs="Arial"/>
                <w:bCs/>
                <w:color w:val="000000" w:themeColor="text1"/>
                <w:sz w:val="24"/>
                <w:szCs w:val="24"/>
              </w:rPr>
              <w:t>λ</w:t>
            </w:r>
            <w:proofErr w:type="gramEnd"/>
            <w:r w:rsidRPr="00A96042">
              <w:rPr>
                <w:rFonts w:ascii="Arial" w:hAnsi="Arial" w:cs="Arial"/>
                <w:bCs/>
                <w:color w:val="000000" w:themeColor="text1"/>
                <w:sz w:val="24"/>
                <w:szCs w:val="24"/>
                <w:vertAlign w:val="subscript"/>
              </w:rPr>
              <w:t>ex</w:t>
            </w:r>
            <w:r w:rsidRPr="00A96042">
              <w:rPr>
                <w:rFonts w:ascii="Arial" w:hAnsi="Arial" w:cs="Arial"/>
                <w:bCs/>
                <w:color w:val="000000" w:themeColor="text1"/>
                <w:sz w:val="24"/>
                <w:szCs w:val="24"/>
              </w:rPr>
              <w:t xml:space="preserve"> / λ</w:t>
            </w:r>
            <w:r w:rsidRPr="00A96042">
              <w:rPr>
                <w:rFonts w:ascii="Arial" w:hAnsi="Arial" w:cs="Arial"/>
                <w:bCs/>
                <w:color w:val="000000" w:themeColor="text1"/>
                <w:sz w:val="24"/>
                <w:szCs w:val="24"/>
                <w:vertAlign w:val="subscript"/>
              </w:rPr>
              <w:t>em</w:t>
            </w:r>
            <w:r w:rsidRPr="00A96042">
              <w:rPr>
                <w:rFonts w:ascii="Arial" w:hAnsi="Arial" w:cs="Arial"/>
                <w:bCs/>
                <w:color w:val="000000" w:themeColor="text1"/>
                <w:sz w:val="24"/>
                <w:szCs w:val="24"/>
              </w:rPr>
              <w:t xml:space="preserve"> (nm) </w:t>
            </w:r>
            <w:r w:rsidRPr="00A96042">
              <w:rPr>
                <w:rFonts w:ascii="Arial" w:hAnsi="Arial" w:cs="Arial"/>
                <w:bCs/>
                <w:color w:val="000000" w:themeColor="text1"/>
                <w:sz w:val="24"/>
                <w:szCs w:val="24"/>
                <w:vertAlign w:val="superscript"/>
              </w:rPr>
              <w:t>a</w:t>
            </w:r>
          </w:p>
        </w:tc>
        <w:tc>
          <w:tcPr>
            <w:tcW w:w="1418" w:type="dxa"/>
            <w:tcBorders>
              <w:top w:val="outset" w:sz="6" w:space="0" w:color="auto"/>
              <w:left w:val="outset" w:sz="6" w:space="0" w:color="auto"/>
              <w:bottom w:val="outset" w:sz="6" w:space="0" w:color="auto"/>
              <w:right w:val="outset" w:sz="6" w:space="0" w:color="auto"/>
            </w:tcBorders>
            <w:vAlign w:val="center"/>
            <w:hideMark/>
          </w:tcPr>
          <w:p w14:paraId="6F59BADA"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proofErr w:type="gramStart"/>
            <w:r w:rsidRPr="00A96042">
              <w:rPr>
                <w:rFonts w:ascii="Arial" w:hAnsi="Arial" w:cs="Arial"/>
                <w:bCs/>
                <w:color w:val="000000" w:themeColor="text1"/>
                <w:sz w:val="24"/>
                <w:szCs w:val="24"/>
              </w:rPr>
              <w:t>csc</w:t>
            </w:r>
            <w:proofErr w:type="gramEnd"/>
            <w:r w:rsidRPr="00A96042">
              <w:rPr>
                <w:rFonts w:ascii="Arial" w:hAnsi="Arial" w:cs="Arial"/>
                <w:bCs/>
                <w:color w:val="000000" w:themeColor="text1"/>
                <w:sz w:val="24"/>
                <w:szCs w:val="24"/>
              </w:rPr>
              <w:t xml:space="preserve"> (M) </w:t>
            </w:r>
            <w:r w:rsidRPr="00A96042">
              <w:rPr>
                <w:rFonts w:ascii="Arial" w:hAnsi="Arial" w:cs="Arial"/>
                <w:bCs/>
                <w:color w:val="000000" w:themeColor="text1"/>
                <w:sz w:val="24"/>
                <w:szCs w:val="24"/>
                <w:vertAlign w:val="superscript"/>
              </w:rPr>
              <w:t>b</w:t>
            </w:r>
          </w:p>
        </w:tc>
        <w:tc>
          <w:tcPr>
            <w:tcW w:w="1984" w:type="dxa"/>
            <w:tcBorders>
              <w:top w:val="outset" w:sz="6" w:space="0" w:color="auto"/>
              <w:left w:val="outset" w:sz="6" w:space="0" w:color="auto"/>
              <w:bottom w:val="outset" w:sz="6" w:space="0" w:color="auto"/>
              <w:right w:val="nil"/>
            </w:tcBorders>
            <w:vAlign w:val="center"/>
            <w:hideMark/>
          </w:tcPr>
          <w:p w14:paraId="60623B73"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 xml:space="preserve">LT (M) </w:t>
            </w:r>
            <w:r w:rsidRPr="00A96042">
              <w:rPr>
                <w:rFonts w:ascii="Arial" w:hAnsi="Arial" w:cs="Arial"/>
                <w:bCs/>
                <w:color w:val="000000" w:themeColor="text1"/>
                <w:sz w:val="24"/>
                <w:szCs w:val="24"/>
                <w:vertAlign w:val="superscript"/>
              </w:rPr>
              <w:t>c</w:t>
            </w:r>
          </w:p>
        </w:tc>
      </w:tr>
      <w:tr w:rsidR="001A4101" w:rsidRPr="008B6F3C" w14:paraId="67D29F77" w14:textId="77777777" w:rsidTr="00E4029F">
        <w:trPr>
          <w:jc w:val="center"/>
        </w:trPr>
        <w:tc>
          <w:tcPr>
            <w:tcW w:w="2490" w:type="dxa"/>
            <w:tcBorders>
              <w:top w:val="nil"/>
              <w:left w:val="nil"/>
              <w:bottom w:val="outset" w:sz="6" w:space="0" w:color="auto"/>
              <w:right w:val="outset" w:sz="6" w:space="0" w:color="auto"/>
            </w:tcBorders>
            <w:hideMark/>
          </w:tcPr>
          <w:p w14:paraId="27B0C71A" w14:textId="77777777" w:rsidR="001A4101" w:rsidRPr="00A96042" w:rsidRDefault="001A4101" w:rsidP="0097495D">
            <w:pPr>
              <w:tabs>
                <w:tab w:val="left" w:pos="142"/>
              </w:tabs>
              <w:spacing w:after="0" w:line="240" w:lineRule="auto"/>
              <w:jc w:val="both"/>
              <w:rPr>
                <w:rFonts w:ascii="Arial" w:hAnsi="Arial" w:cs="Arial"/>
                <w:bCs/>
                <w:color w:val="000000" w:themeColor="text1"/>
                <w:sz w:val="24"/>
                <w:szCs w:val="24"/>
              </w:rPr>
            </w:pPr>
            <w:r w:rsidRPr="00A96042">
              <w:rPr>
                <w:rFonts w:ascii="Arial" w:hAnsi="Arial" w:cs="Arial"/>
                <w:bCs/>
                <w:color w:val="000000" w:themeColor="text1"/>
                <w:sz w:val="24"/>
                <w:szCs w:val="24"/>
              </w:rPr>
              <w:t>Mg</w:t>
            </w:r>
            <w:r w:rsidRPr="00A96042">
              <w:rPr>
                <w:rFonts w:ascii="Arial" w:hAnsi="Arial" w:cs="Arial"/>
                <w:bCs/>
                <w:color w:val="000000" w:themeColor="text1"/>
                <w:sz w:val="24"/>
                <w:szCs w:val="24"/>
                <w:vertAlign w:val="superscript"/>
              </w:rPr>
              <w:t>2+</w:t>
            </w:r>
            <w:r w:rsidRPr="00A96042">
              <w:rPr>
                <w:rFonts w:ascii="Arial" w:hAnsi="Arial" w:cs="Arial"/>
                <w:bCs/>
                <w:color w:val="000000" w:themeColor="text1"/>
                <w:sz w:val="24"/>
                <w:szCs w:val="24"/>
              </w:rPr>
              <w:t>, SO</w:t>
            </w:r>
            <w:r w:rsidRPr="00A96042">
              <w:rPr>
                <w:rFonts w:ascii="Arial" w:hAnsi="Arial" w:cs="Arial"/>
                <w:bCs/>
                <w:color w:val="000000" w:themeColor="text1"/>
                <w:sz w:val="24"/>
                <w:szCs w:val="24"/>
                <w:vertAlign w:val="subscript"/>
              </w:rPr>
              <w:t>4</w:t>
            </w:r>
            <w:r w:rsidRPr="00A96042">
              <w:rPr>
                <w:rFonts w:ascii="Arial" w:hAnsi="Arial" w:cs="Arial"/>
                <w:bCs/>
                <w:color w:val="000000" w:themeColor="text1"/>
                <w:sz w:val="24"/>
                <w:szCs w:val="24"/>
                <w:vertAlign w:val="superscript"/>
              </w:rPr>
              <w:t>2-</w:t>
            </w:r>
          </w:p>
        </w:tc>
        <w:tc>
          <w:tcPr>
            <w:tcW w:w="1621" w:type="dxa"/>
            <w:tcBorders>
              <w:top w:val="nil"/>
              <w:left w:val="outset" w:sz="6" w:space="0" w:color="auto"/>
              <w:bottom w:val="outset" w:sz="6" w:space="0" w:color="auto"/>
              <w:right w:val="outset" w:sz="6" w:space="0" w:color="auto"/>
            </w:tcBorders>
            <w:vAlign w:val="center"/>
            <w:hideMark/>
          </w:tcPr>
          <w:p w14:paraId="43D2F5C1"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277/342</w:t>
            </w:r>
          </w:p>
        </w:tc>
        <w:tc>
          <w:tcPr>
            <w:tcW w:w="1418" w:type="dxa"/>
            <w:tcBorders>
              <w:top w:val="nil"/>
              <w:left w:val="outset" w:sz="6" w:space="0" w:color="auto"/>
              <w:bottom w:val="outset" w:sz="6" w:space="0" w:color="auto"/>
              <w:right w:val="outset" w:sz="6" w:space="0" w:color="auto"/>
            </w:tcBorders>
            <w:vAlign w:val="center"/>
            <w:hideMark/>
          </w:tcPr>
          <w:p w14:paraId="0F2AC7A1"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0,00365</w:t>
            </w:r>
          </w:p>
        </w:tc>
        <w:tc>
          <w:tcPr>
            <w:tcW w:w="1984" w:type="dxa"/>
            <w:tcBorders>
              <w:top w:val="nil"/>
              <w:left w:val="outset" w:sz="6" w:space="0" w:color="auto"/>
              <w:bottom w:val="outset" w:sz="6" w:space="0" w:color="auto"/>
              <w:right w:val="nil"/>
            </w:tcBorders>
            <w:vAlign w:val="center"/>
            <w:hideMark/>
          </w:tcPr>
          <w:p w14:paraId="77392F25"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 xml:space="preserve">1,5x10 </w:t>
            </w:r>
            <w:r w:rsidRPr="00A96042">
              <w:rPr>
                <w:rFonts w:ascii="Arial" w:hAnsi="Arial" w:cs="Arial"/>
                <w:bCs/>
                <w:color w:val="000000" w:themeColor="text1"/>
                <w:sz w:val="24"/>
                <w:szCs w:val="24"/>
                <w:vertAlign w:val="superscript"/>
              </w:rPr>
              <w:t>-</w:t>
            </w:r>
            <w:r w:rsidRPr="00A96042">
              <w:rPr>
                <w:rFonts w:ascii="Arial" w:hAnsi="Arial" w:cs="Arial"/>
                <w:bCs/>
                <w:color w:val="000000" w:themeColor="text1"/>
                <w:sz w:val="24"/>
                <w:szCs w:val="24"/>
              </w:rPr>
              <w:t xml:space="preserve"> </w:t>
            </w:r>
            <w:r w:rsidRPr="00A96042">
              <w:rPr>
                <w:rFonts w:ascii="Arial" w:hAnsi="Arial" w:cs="Arial"/>
                <w:bCs/>
                <w:color w:val="000000" w:themeColor="text1"/>
                <w:sz w:val="24"/>
                <w:szCs w:val="24"/>
                <w:vertAlign w:val="superscript"/>
              </w:rPr>
              <w:t>5</w:t>
            </w:r>
          </w:p>
        </w:tc>
      </w:tr>
      <w:tr w:rsidR="001A4101" w:rsidRPr="008B6F3C" w14:paraId="0AA68E79" w14:textId="77777777" w:rsidTr="00E4029F">
        <w:trPr>
          <w:jc w:val="center"/>
        </w:trPr>
        <w:tc>
          <w:tcPr>
            <w:tcW w:w="2490" w:type="dxa"/>
            <w:tcBorders>
              <w:top w:val="nil"/>
              <w:left w:val="nil"/>
              <w:bottom w:val="outset" w:sz="6" w:space="0" w:color="auto"/>
              <w:right w:val="outset" w:sz="6" w:space="0" w:color="auto"/>
            </w:tcBorders>
            <w:hideMark/>
          </w:tcPr>
          <w:p w14:paraId="163C9058" w14:textId="77777777" w:rsidR="001A4101" w:rsidRPr="00A96042" w:rsidRDefault="001A4101" w:rsidP="0097495D">
            <w:pPr>
              <w:tabs>
                <w:tab w:val="left" w:pos="142"/>
              </w:tabs>
              <w:spacing w:after="0" w:line="240" w:lineRule="auto"/>
              <w:jc w:val="both"/>
              <w:rPr>
                <w:rFonts w:ascii="Arial" w:hAnsi="Arial" w:cs="Arial"/>
                <w:bCs/>
                <w:color w:val="000000" w:themeColor="text1"/>
                <w:sz w:val="24"/>
                <w:szCs w:val="24"/>
              </w:rPr>
            </w:pPr>
            <w:r w:rsidRPr="00A96042">
              <w:rPr>
                <w:rFonts w:ascii="Arial" w:hAnsi="Arial" w:cs="Arial"/>
                <w:bCs/>
                <w:color w:val="000000" w:themeColor="text1"/>
                <w:sz w:val="24"/>
                <w:szCs w:val="24"/>
              </w:rPr>
              <w:t>Histamine</w:t>
            </w:r>
          </w:p>
        </w:tc>
        <w:tc>
          <w:tcPr>
            <w:tcW w:w="1621" w:type="dxa"/>
            <w:tcBorders>
              <w:top w:val="nil"/>
              <w:left w:val="outset" w:sz="6" w:space="0" w:color="auto"/>
              <w:bottom w:val="outset" w:sz="6" w:space="0" w:color="auto"/>
              <w:right w:val="outset" w:sz="6" w:space="0" w:color="auto"/>
            </w:tcBorders>
            <w:vAlign w:val="center"/>
            <w:hideMark/>
          </w:tcPr>
          <w:p w14:paraId="2C7A39F7"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275/340</w:t>
            </w:r>
          </w:p>
        </w:tc>
        <w:tc>
          <w:tcPr>
            <w:tcW w:w="1418" w:type="dxa"/>
            <w:tcBorders>
              <w:top w:val="nil"/>
              <w:left w:val="outset" w:sz="6" w:space="0" w:color="auto"/>
              <w:bottom w:val="outset" w:sz="6" w:space="0" w:color="auto"/>
              <w:right w:val="outset" w:sz="6" w:space="0" w:color="auto"/>
            </w:tcBorders>
            <w:vAlign w:val="center"/>
            <w:hideMark/>
          </w:tcPr>
          <w:p w14:paraId="680E82D5"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w:t>
            </w:r>
          </w:p>
        </w:tc>
        <w:tc>
          <w:tcPr>
            <w:tcW w:w="1984" w:type="dxa"/>
            <w:tcBorders>
              <w:top w:val="nil"/>
              <w:left w:val="outset" w:sz="6" w:space="0" w:color="auto"/>
              <w:bottom w:val="outset" w:sz="6" w:space="0" w:color="auto"/>
              <w:right w:val="nil"/>
            </w:tcBorders>
            <w:vAlign w:val="center"/>
            <w:hideMark/>
          </w:tcPr>
          <w:p w14:paraId="0FBE17DF"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0,001</w:t>
            </w:r>
          </w:p>
        </w:tc>
      </w:tr>
      <w:tr w:rsidR="001A4101" w:rsidRPr="008B6F3C" w14:paraId="7A816787" w14:textId="77777777" w:rsidTr="00E4029F">
        <w:trPr>
          <w:jc w:val="center"/>
        </w:trPr>
        <w:tc>
          <w:tcPr>
            <w:tcW w:w="2490" w:type="dxa"/>
            <w:tcBorders>
              <w:top w:val="nil"/>
              <w:left w:val="nil"/>
              <w:bottom w:val="outset" w:sz="6" w:space="0" w:color="auto"/>
              <w:right w:val="outset" w:sz="6" w:space="0" w:color="auto"/>
            </w:tcBorders>
            <w:hideMark/>
          </w:tcPr>
          <w:p w14:paraId="32B45DDF" w14:textId="77777777" w:rsidR="001A4101" w:rsidRPr="00A96042" w:rsidRDefault="001A4101" w:rsidP="0097495D">
            <w:pPr>
              <w:tabs>
                <w:tab w:val="left" w:pos="142"/>
              </w:tabs>
              <w:spacing w:after="0" w:line="240" w:lineRule="auto"/>
              <w:jc w:val="both"/>
              <w:rPr>
                <w:rFonts w:ascii="Arial" w:hAnsi="Arial" w:cs="Arial"/>
                <w:bCs/>
                <w:color w:val="000000" w:themeColor="text1"/>
                <w:sz w:val="24"/>
                <w:szCs w:val="24"/>
              </w:rPr>
            </w:pPr>
            <w:r w:rsidRPr="00A96042">
              <w:rPr>
                <w:rFonts w:ascii="Arial" w:hAnsi="Arial" w:cs="Arial"/>
                <w:bCs/>
                <w:color w:val="000000" w:themeColor="text1"/>
                <w:sz w:val="24"/>
                <w:szCs w:val="24"/>
              </w:rPr>
              <w:t>3Ca</w:t>
            </w:r>
            <w:r w:rsidRPr="00A96042">
              <w:rPr>
                <w:rFonts w:ascii="Arial" w:hAnsi="Arial" w:cs="Arial"/>
                <w:bCs/>
                <w:color w:val="000000" w:themeColor="text1"/>
                <w:sz w:val="24"/>
                <w:szCs w:val="24"/>
                <w:vertAlign w:val="superscript"/>
              </w:rPr>
              <w:t>2+</w:t>
            </w:r>
            <w:r w:rsidRPr="00A96042">
              <w:rPr>
                <w:rFonts w:ascii="Arial" w:hAnsi="Arial" w:cs="Arial"/>
                <w:bCs/>
                <w:color w:val="000000" w:themeColor="text1"/>
                <w:sz w:val="24"/>
                <w:szCs w:val="24"/>
              </w:rPr>
              <w:t>,2(PO</w:t>
            </w:r>
            <w:r w:rsidRPr="00A96042">
              <w:rPr>
                <w:rFonts w:ascii="Arial" w:hAnsi="Arial" w:cs="Arial"/>
                <w:bCs/>
                <w:color w:val="000000" w:themeColor="text1"/>
                <w:sz w:val="24"/>
                <w:szCs w:val="24"/>
                <w:vertAlign w:val="subscript"/>
              </w:rPr>
              <w:t>4</w:t>
            </w:r>
            <w:r w:rsidRPr="00A96042">
              <w:rPr>
                <w:rFonts w:ascii="Arial" w:hAnsi="Arial" w:cs="Arial"/>
                <w:bCs/>
                <w:color w:val="000000" w:themeColor="text1"/>
                <w:sz w:val="24"/>
                <w:szCs w:val="24"/>
                <w:vertAlign w:val="superscript"/>
              </w:rPr>
              <w:t>3−</w:t>
            </w:r>
            <w:r w:rsidRPr="00A96042">
              <w:rPr>
                <w:rFonts w:ascii="Arial" w:hAnsi="Arial" w:cs="Arial"/>
                <w:bCs/>
                <w:color w:val="000000" w:themeColor="text1"/>
                <w:sz w:val="24"/>
                <w:szCs w:val="24"/>
              </w:rPr>
              <w:t>)</w:t>
            </w:r>
          </w:p>
        </w:tc>
        <w:tc>
          <w:tcPr>
            <w:tcW w:w="1621" w:type="dxa"/>
            <w:tcBorders>
              <w:top w:val="nil"/>
              <w:left w:val="outset" w:sz="6" w:space="0" w:color="auto"/>
              <w:bottom w:val="outset" w:sz="6" w:space="0" w:color="auto"/>
              <w:right w:val="outset" w:sz="6" w:space="0" w:color="auto"/>
            </w:tcBorders>
            <w:vAlign w:val="center"/>
            <w:hideMark/>
          </w:tcPr>
          <w:p w14:paraId="4C820A67"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294/362</w:t>
            </w:r>
          </w:p>
        </w:tc>
        <w:tc>
          <w:tcPr>
            <w:tcW w:w="1418" w:type="dxa"/>
            <w:tcBorders>
              <w:top w:val="nil"/>
              <w:left w:val="outset" w:sz="6" w:space="0" w:color="auto"/>
              <w:bottom w:val="outset" w:sz="6" w:space="0" w:color="auto"/>
              <w:right w:val="outset" w:sz="6" w:space="0" w:color="auto"/>
            </w:tcBorders>
            <w:vAlign w:val="center"/>
            <w:hideMark/>
          </w:tcPr>
          <w:p w14:paraId="33D5FBD1"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0,14546</w:t>
            </w:r>
          </w:p>
        </w:tc>
        <w:tc>
          <w:tcPr>
            <w:tcW w:w="1984" w:type="dxa"/>
            <w:tcBorders>
              <w:top w:val="nil"/>
              <w:left w:val="outset" w:sz="6" w:space="0" w:color="auto"/>
              <w:bottom w:val="outset" w:sz="6" w:space="0" w:color="auto"/>
              <w:right w:val="nil"/>
            </w:tcBorders>
            <w:vAlign w:val="center"/>
            <w:hideMark/>
          </w:tcPr>
          <w:p w14:paraId="332A5812"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0,0013</w:t>
            </w:r>
          </w:p>
        </w:tc>
      </w:tr>
      <w:tr w:rsidR="001A4101" w:rsidRPr="008B6F3C" w14:paraId="20EA7008" w14:textId="77777777" w:rsidTr="00E4029F">
        <w:trPr>
          <w:jc w:val="center"/>
        </w:trPr>
        <w:tc>
          <w:tcPr>
            <w:tcW w:w="2490" w:type="dxa"/>
            <w:tcBorders>
              <w:top w:val="nil"/>
              <w:left w:val="nil"/>
              <w:bottom w:val="outset" w:sz="6" w:space="0" w:color="auto"/>
              <w:right w:val="outset" w:sz="6" w:space="0" w:color="auto"/>
            </w:tcBorders>
            <w:hideMark/>
          </w:tcPr>
          <w:p w14:paraId="516DA0B3" w14:textId="77777777" w:rsidR="001A4101" w:rsidRPr="00A96042" w:rsidRDefault="001A4101" w:rsidP="0097495D">
            <w:pPr>
              <w:tabs>
                <w:tab w:val="left" w:pos="142"/>
              </w:tabs>
              <w:spacing w:after="0" w:line="240" w:lineRule="auto"/>
              <w:jc w:val="both"/>
              <w:rPr>
                <w:rFonts w:ascii="Arial" w:hAnsi="Arial" w:cs="Arial"/>
                <w:bCs/>
                <w:color w:val="000000" w:themeColor="text1"/>
                <w:sz w:val="24"/>
                <w:szCs w:val="24"/>
              </w:rPr>
            </w:pPr>
            <w:r w:rsidRPr="00A96042">
              <w:rPr>
                <w:rFonts w:ascii="Arial" w:hAnsi="Arial" w:cs="Arial"/>
                <w:bCs/>
                <w:color w:val="000000" w:themeColor="text1"/>
                <w:sz w:val="24"/>
                <w:szCs w:val="24"/>
              </w:rPr>
              <w:t>Putrescine</w:t>
            </w:r>
          </w:p>
        </w:tc>
        <w:tc>
          <w:tcPr>
            <w:tcW w:w="1621" w:type="dxa"/>
            <w:tcBorders>
              <w:top w:val="nil"/>
              <w:left w:val="outset" w:sz="6" w:space="0" w:color="auto"/>
              <w:bottom w:val="outset" w:sz="6" w:space="0" w:color="auto"/>
              <w:right w:val="outset" w:sz="6" w:space="0" w:color="auto"/>
            </w:tcBorders>
            <w:vAlign w:val="center"/>
            <w:hideMark/>
          </w:tcPr>
          <w:p w14:paraId="75BADA33"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275/340</w:t>
            </w:r>
          </w:p>
        </w:tc>
        <w:tc>
          <w:tcPr>
            <w:tcW w:w="1418" w:type="dxa"/>
            <w:tcBorders>
              <w:top w:val="nil"/>
              <w:left w:val="outset" w:sz="6" w:space="0" w:color="auto"/>
              <w:bottom w:val="outset" w:sz="6" w:space="0" w:color="auto"/>
              <w:right w:val="outset" w:sz="6" w:space="0" w:color="auto"/>
            </w:tcBorders>
            <w:vAlign w:val="center"/>
            <w:hideMark/>
          </w:tcPr>
          <w:p w14:paraId="1C51DB4E"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w:t>
            </w:r>
          </w:p>
        </w:tc>
        <w:tc>
          <w:tcPr>
            <w:tcW w:w="1984" w:type="dxa"/>
            <w:tcBorders>
              <w:top w:val="nil"/>
              <w:left w:val="outset" w:sz="6" w:space="0" w:color="auto"/>
              <w:bottom w:val="outset" w:sz="6" w:space="0" w:color="auto"/>
              <w:right w:val="nil"/>
            </w:tcBorders>
            <w:vAlign w:val="center"/>
            <w:hideMark/>
          </w:tcPr>
          <w:p w14:paraId="0B56EDB8"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0,002</w:t>
            </w:r>
          </w:p>
        </w:tc>
      </w:tr>
      <w:tr w:rsidR="001A4101" w:rsidRPr="008B6F3C" w14:paraId="212993EE" w14:textId="77777777" w:rsidTr="00E4029F">
        <w:trPr>
          <w:jc w:val="center"/>
        </w:trPr>
        <w:tc>
          <w:tcPr>
            <w:tcW w:w="2490" w:type="dxa"/>
            <w:tcBorders>
              <w:top w:val="nil"/>
              <w:left w:val="nil"/>
              <w:bottom w:val="outset" w:sz="6" w:space="0" w:color="auto"/>
              <w:right w:val="outset" w:sz="6" w:space="0" w:color="auto"/>
            </w:tcBorders>
            <w:hideMark/>
          </w:tcPr>
          <w:p w14:paraId="5CD8A19F" w14:textId="77777777" w:rsidR="001A4101" w:rsidRPr="00A96042" w:rsidRDefault="001A4101" w:rsidP="0097495D">
            <w:pPr>
              <w:tabs>
                <w:tab w:val="left" w:pos="142"/>
              </w:tabs>
              <w:spacing w:after="0" w:line="240" w:lineRule="auto"/>
              <w:jc w:val="both"/>
              <w:rPr>
                <w:rFonts w:ascii="Arial" w:hAnsi="Arial" w:cs="Arial"/>
                <w:bCs/>
                <w:color w:val="000000" w:themeColor="text1"/>
                <w:sz w:val="24"/>
                <w:szCs w:val="24"/>
              </w:rPr>
            </w:pPr>
            <w:r w:rsidRPr="00A96042">
              <w:rPr>
                <w:rFonts w:ascii="Arial" w:hAnsi="Arial" w:cs="Arial"/>
                <w:bCs/>
                <w:color w:val="000000" w:themeColor="text1"/>
                <w:sz w:val="24"/>
                <w:szCs w:val="24"/>
              </w:rPr>
              <w:t>K</w:t>
            </w:r>
            <w:r w:rsidRPr="00A96042">
              <w:rPr>
                <w:rFonts w:ascii="Arial" w:hAnsi="Arial" w:cs="Arial"/>
                <w:bCs/>
                <w:color w:val="000000" w:themeColor="text1"/>
                <w:sz w:val="24"/>
                <w:szCs w:val="24"/>
                <w:vertAlign w:val="superscript"/>
              </w:rPr>
              <w:t>+</w:t>
            </w:r>
            <w:r w:rsidRPr="00A96042">
              <w:rPr>
                <w:rFonts w:ascii="Arial" w:hAnsi="Arial" w:cs="Arial"/>
                <w:bCs/>
                <w:color w:val="000000" w:themeColor="text1"/>
                <w:sz w:val="24"/>
                <w:szCs w:val="24"/>
              </w:rPr>
              <w:t>, NO</w:t>
            </w:r>
            <w:r w:rsidRPr="00A96042">
              <w:rPr>
                <w:rFonts w:ascii="Arial" w:hAnsi="Arial" w:cs="Arial"/>
                <w:bCs/>
                <w:color w:val="000000" w:themeColor="text1"/>
                <w:sz w:val="24"/>
                <w:szCs w:val="24"/>
                <w:vertAlign w:val="superscript"/>
              </w:rPr>
              <w:t>3-</w:t>
            </w:r>
          </w:p>
        </w:tc>
        <w:tc>
          <w:tcPr>
            <w:tcW w:w="1621" w:type="dxa"/>
            <w:tcBorders>
              <w:top w:val="nil"/>
              <w:left w:val="outset" w:sz="6" w:space="0" w:color="auto"/>
              <w:bottom w:val="outset" w:sz="6" w:space="0" w:color="auto"/>
              <w:right w:val="outset" w:sz="6" w:space="0" w:color="auto"/>
            </w:tcBorders>
            <w:vAlign w:val="center"/>
            <w:hideMark/>
          </w:tcPr>
          <w:p w14:paraId="7DBD2BDF"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274/347</w:t>
            </w:r>
          </w:p>
        </w:tc>
        <w:tc>
          <w:tcPr>
            <w:tcW w:w="1418" w:type="dxa"/>
            <w:tcBorders>
              <w:top w:val="nil"/>
              <w:left w:val="outset" w:sz="6" w:space="0" w:color="auto"/>
              <w:bottom w:val="outset" w:sz="6" w:space="0" w:color="auto"/>
              <w:right w:val="outset" w:sz="6" w:space="0" w:color="auto"/>
            </w:tcBorders>
            <w:vAlign w:val="center"/>
            <w:hideMark/>
          </w:tcPr>
          <w:p w14:paraId="5D49056B"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0,0012</w:t>
            </w:r>
          </w:p>
        </w:tc>
        <w:tc>
          <w:tcPr>
            <w:tcW w:w="1984" w:type="dxa"/>
            <w:tcBorders>
              <w:top w:val="nil"/>
              <w:left w:val="outset" w:sz="6" w:space="0" w:color="auto"/>
              <w:bottom w:val="outset" w:sz="6" w:space="0" w:color="auto"/>
              <w:right w:val="nil"/>
            </w:tcBorders>
            <w:vAlign w:val="center"/>
            <w:hideMark/>
          </w:tcPr>
          <w:p w14:paraId="5561BA01"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0,011</w:t>
            </w:r>
          </w:p>
        </w:tc>
      </w:tr>
      <w:tr w:rsidR="001A4101" w:rsidRPr="008B6F3C" w14:paraId="2CBE81FF" w14:textId="77777777" w:rsidTr="00E4029F">
        <w:trPr>
          <w:jc w:val="center"/>
        </w:trPr>
        <w:tc>
          <w:tcPr>
            <w:tcW w:w="2490" w:type="dxa"/>
            <w:tcBorders>
              <w:top w:val="nil"/>
              <w:left w:val="nil"/>
              <w:bottom w:val="outset" w:sz="6" w:space="0" w:color="auto"/>
              <w:right w:val="outset" w:sz="6" w:space="0" w:color="auto"/>
            </w:tcBorders>
            <w:hideMark/>
          </w:tcPr>
          <w:p w14:paraId="531CC396" w14:textId="77777777" w:rsidR="001A4101" w:rsidRPr="00A96042" w:rsidRDefault="001A4101" w:rsidP="0097495D">
            <w:pPr>
              <w:tabs>
                <w:tab w:val="left" w:pos="142"/>
              </w:tabs>
              <w:spacing w:after="0" w:line="240" w:lineRule="auto"/>
              <w:jc w:val="both"/>
              <w:rPr>
                <w:rFonts w:ascii="Arial" w:hAnsi="Arial" w:cs="Arial"/>
                <w:bCs/>
                <w:color w:val="000000" w:themeColor="text1"/>
                <w:sz w:val="24"/>
                <w:szCs w:val="24"/>
              </w:rPr>
            </w:pPr>
            <w:r w:rsidRPr="00A96042">
              <w:rPr>
                <w:rFonts w:ascii="Arial" w:hAnsi="Arial" w:cs="Arial"/>
                <w:bCs/>
                <w:color w:val="000000" w:themeColor="text1"/>
                <w:sz w:val="24"/>
                <w:szCs w:val="24"/>
              </w:rPr>
              <w:t>Na</w:t>
            </w:r>
            <w:proofErr w:type="gramStart"/>
            <w:r w:rsidRPr="00A96042">
              <w:rPr>
                <w:rFonts w:ascii="Arial" w:hAnsi="Arial" w:cs="Arial"/>
                <w:bCs/>
                <w:color w:val="000000" w:themeColor="text1"/>
                <w:sz w:val="24"/>
                <w:szCs w:val="24"/>
                <w:vertAlign w:val="superscript"/>
              </w:rPr>
              <w:t>+</w:t>
            </w:r>
            <w:r w:rsidRPr="00A96042">
              <w:rPr>
                <w:rFonts w:ascii="Arial" w:hAnsi="Arial" w:cs="Arial"/>
                <w:bCs/>
                <w:color w:val="000000" w:themeColor="text1"/>
                <w:sz w:val="24"/>
                <w:szCs w:val="24"/>
              </w:rPr>
              <w:t>,Cl</w:t>
            </w:r>
            <w:proofErr w:type="gramEnd"/>
            <w:r w:rsidRPr="00A96042">
              <w:rPr>
                <w:rFonts w:ascii="Arial" w:hAnsi="Arial" w:cs="Arial"/>
                <w:bCs/>
                <w:color w:val="000000" w:themeColor="text1"/>
                <w:sz w:val="24"/>
                <w:szCs w:val="24"/>
                <w:vertAlign w:val="superscript"/>
              </w:rPr>
              <w:t>-</w:t>
            </w:r>
          </w:p>
        </w:tc>
        <w:tc>
          <w:tcPr>
            <w:tcW w:w="1621" w:type="dxa"/>
            <w:tcBorders>
              <w:top w:val="nil"/>
              <w:left w:val="outset" w:sz="6" w:space="0" w:color="auto"/>
              <w:bottom w:val="outset" w:sz="6" w:space="0" w:color="auto"/>
              <w:right w:val="outset" w:sz="6" w:space="0" w:color="auto"/>
            </w:tcBorders>
            <w:vAlign w:val="center"/>
            <w:hideMark/>
          </w:tcPr>
          <w:p w14:paraId="11883F31"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277/339</w:t>
            </w:r>
          </w:p>
        </w:tc>
        <w:tc>
          <w:tcPr>
            <w:tcW w:w="1418" w:type="dxa"/>
            <w:tcBorders>
              <w:top w:val="nil"/>
              <w:left w:val="outset" w:sz="6" w:space="0" w:color="auto"/>
              <w:bottom w:val="outset" w:sz="6" w:space="0" w:color="auto"/>
              <w:right w:val="outset" w:sz="6" w:space="0" w:color="auto"/>
            </w:tcBorders>
            <w:vAlign w:val="center"/>
            <w:hideMark/>
          </w:tcPr>
          <w:p w14:paraId="32ECEB48"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0,00476</w:t>
            </w:r>
          </w:p>
        </w:tc>
        <w:tc>
          <w:tcPr>
            <w:tcW w:w="1984" w:type="dxa"/>
            <w:tcBorders>
              <w:top w:val="nil"/>
              <w:left w:val="outset" w:sz="6" w:space="0" w:color="auto"/>
              <w:bottom w:val="outset" w:sz="6" w:space="0" w:color="auto"/>
              <w:right w:val="nil"/>
            </w:tcBorders>
            <w:vAlign w:val="center"/>
            <w:hideMark/>
          </w:tcPr>
          <w:p w14:paraId="460AF0A3" w14:textId="77777777" w:rsidR="001A4101" w:rsidRPr="00A96042" w:rsidRDefault="001A4101" w:rsidP="0097495D">
            <w:pPr>
              <w:tabs>
                <w:tab w:val="left" w:pos="142"/>
              </w:tabs>
              <w:spacing w:after="0" w:line="240" w:lineRule="auto"/>
              <w:jc w:val="center"/>
              <w:rPr>
                <w:rFonts w:ascii="Arial" w:hAnsi="Arial" w:cs="Arial"/>
                <w:bCs/>
                <w:color w:val="000000" w:themeColor="text1"/>
                <w:sz w:val="24"/>
                <w:szCs w:val="24"/>
              </w:rPr>
            </w:pPr>
            <w:r w:rsidRPr="00A96042">
              <w:rPr>
                <w:rFonts w:ascii="Arial" w:hAnsi="Arial" w:cs="Arial"/>
                <w:bCs/>
                <w:color w:val="000000" w:themeColor="text1"/>
                <w:sz w:val="24"/>
                <w:szCs w:val="24"/>
              </w:rPr>
              <w:t>0,011</w:t>
            </w:r>
          </w:p>
        </w:tc>
      </w:tr>
    </w:tbl>
    <w:p w14:paraId="52B1EEEA" w14:textId="4C85BB73" w:rsidR="001A4101" w:rsidRPr="008B6F3C" w:rsidRDefault="00C25C48" w:rsidP="0097495D">
      <w:pPr>
        <w:tabs>
          <w:tab w:val="left" w:pos="142"/>
        </w:tabs>
        <w:spacing w:after="0" w:line="240" w:lineRule="auto"/>
        <w:jc w:val="center"/>
        <w:rPr>
          <w:rFonts w:ascii="Arial" w:hAnsi="Arial" w:cs="Arial"/>
          <w:bCs/>
          <w:iCs/>
          <w:color w:val="000000" w:themeColor="text1"/>
          <w:sz w:val="24"/>
          <w:szCs w:val="24"/>
        </w:rPr>
      </w:pPr>
      <w:proofErr w:type="gramStart"/>
      <w:r w:rsidRPr="008B6F3C">
        <w:rPr>
          <w:rFonts w:ascii="Arial" w:hAnsi="Arial" w:cs="Arial"/>
          <w:bCs/>
          <w:iCs/>
          <w:color w:val="000000" w:themeColor="text1"/>
          <w:sz w:val="24"/>
          <w:szCs w:val="24"/>
          <w:vertAlign w:val="superscript"/>
        </w:rPr>
        <w:t>a</w:t>
      </w:r>
      <w:proofErr w:type="gramEnd"/>
      <w:r w:rsidRPr="008B6F3C">
        <w:rPr>
          <w:rFonts w:ascii="Arial" w:hAnsi="Arial" w:cs="Arial"/>
          <w:bCs/>
          <w:iCs/>
          <w:color w:val="000000" w:themeColor="text1"/>
          <w:sz w:val="24"/>
          <w:szCs w:val="24"/>
        </w:rPr>
        <w:t xml:space="preserve"> Excitation and emission wavelengths; </w:t>
      </w:r>
      <w:r w:rsidRPr="008B6F3C">
        <w:rPr>
          <w:rFonts w:ascii="Arial" w:hAnsi="Arial" w:cs="Arial"/>
          <w:bCs/>
          <w:iCs/>
          <w:color w:val="000000" w:themeColor="text1"/>
          <w:sz w:val="24"/>
          <w:szCs w:val="24"/>
          <w:vertAlign w:val="superscript"/>
        </w:rPr>
        <w:t>b</w:t>
      </w:r>
      <w:r w:rsidRPr="008B6F3C">
        <w:rPr>
          <w:rFonts w:ascii="Arial" w:hAnsi="Arial" w:cs="Arial"/>
          <w:bCs/>
          <w:iCs/>
          <w:color w:val="000000" w:themeColor="text1"/>
          <w:sz w:val="24"/>
          <w:szCs w:val="24"/>
        </w:rPr>
        <w:t xml:space="preserve"> Critical salt concentration; </w:t>
      </w:r>
      <w:r w:rsidRPr="008B6F3C">
        <w:rPr>
          <w:rFonts w:ascii="Arial" w:hAnsi="Arial" w:cs="Arial"/>
          <w:bCs/>
          <w:iCs/>
          <w:color w:val="000000" w:themeColor="text1"/>
          <w:sz w:val="24"/>
          <w:szCs w:val="24"/>
          <w:vertAlign w:val="superscript"/>
        </w:rPr>
        <w:t>c</w:t>
      </w:r>
      <w:r w:rsidRPr="008B6F3C">
        <w:rPr>
          <w:rFonts w:ascii="Arial" w:hAnsi="Arial" w:cs="Arial"/>
          <w:bCs/>
          <w:iCs/>
          <w:color w:val="000000" w:themeColor="text1"/>
          <w:sz w:val="24"/>
          <w:szCs w:val="24"/>
        </w:rPr>
        <w:t xml:space="preserve"> Tolerance limit</w:t>
      </w:r>
    </w:p>
    <w:p w14:paraId="4058FD6B" w14:textId="77777777" w:rsidR="00C25C48" w:rsidRPr="008B6F3C" w:rsidRDefault="00C25C48" w:rsidP="0097495D">
      <w:pPr>
        <w:tabs>
          <w:tab w:val="left" w:pos="142"/>
        </w:tabs>
        <w:spacing w:after="0" w:line="240" w:lineRule="auto"/>
        <w:jc w:val="both"/>
        <w:rPr>
          <w:rFonts w:ascii="Arial" w:hAnsi="Arial" w:cs="Arial"/>
          <w:bCs/>
          <w:iCs/>
          <w:color w:val="000000" w:themeColor="text1"/>
          <w:sz w:val="24"/>
          <w:szCs w:val="24"/>
        </w:rPr>
      </w:pPr>
    </w:p>
    <w:p w14:paraId="2E98DBAB" w14:textId="51DF130A" w:rsidR="001A4101" w:rsidRPr="001A4101" w:rsidRDefault="001A4101" w:rsidP="0097495D">
      <w:pPr>
        <w:tabs>
          <w:tab w:val="left" w:pos="142"/>
        </w:tabs>
        <w:spacing w:after="0" w:line="360" w:lineRule="auto"/>
        <w:jc w:val="both"/>
        <w:rPr>
          <w:rFonts w:ascii="Arial" w:hAnsi="Arial" w:cs="Arial"/>
          <w:color w:val="000000" w:themeColor="text1"/>
          <w:sz w:val="24"/>
          <w:szCs w:val="24"/>
        </w:rPr>
      </w:pPr>
      <w:r w:rsidRPr="001A4101">
        <w:rPr>
          <w:rFonts w:ascii="Arial" w:hAnsi="Arial" w:cs="Arial"/>
          <w:color w:val="000000" w:themeColor="text1"/>
          <w:sz w:val="24"/>
          <w:szCs w:val="24"/>
        </w:rPr>
        <w:t>The results reveal that divalent cations, particularly Mg²</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 exert the strongest interference, with an LT of 1.5×10</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⁵ M, consistent with their high charge density and strong electrostatic interactions with the indole moiety of serotonin [</w:t>
      </w:r>
      <w:r w:rsidR="00C25C48" w:rsidRPr="008B6F3C">
        <w:rPr>
          <w:rFonts w:ascii="Arial" w:hAnsi="Arial" w:cs="Arial"/>
          <w:color w:val="0070C0"/>
          <w:sz w:val="24"/>
          <w:szCs w:val="24"/>
        </w:rPr>
        <w:t>5</w:t>
      </w:r>
      <w:r w:rsidRPr="001A4101">
        <w:rPr>
          <w:rFonts w:ascii="Arial" w:hAnsi="Arial" w:cs="Arial"/>
          <w:color w:val="0070C0"/>
          <w:sz w:val="24"/>
          <w:szCs w:val="24"/>
        </w:rPr>
        <w:t>1</w:t>
      </w:r>
      <w:r w:rsidRPr="001A4101">
        <w:rPr>
          <w:rFonts w:ascii="Arial" w:hAnsi="Arial" w:cs="Arial"/>
          <w:color w:val="000000" w:themeColor="text1"/>
          <w:sz w:val="24"/>
          <w:szCs w:val="24"/>
        </w:rPr>
        <w:t>]. Monovalent salts such as NaCl and KNO</w:t>
      </w:r>
      <w:r w:rsidRPr="001A4101">
        <w:rPr>
          <w:rFonts w:ascii="Cambria Math" w:hAnsi="Cambria Math" w:cs="Cambria Math"/>
          <w:color w:val="000000" w:themeColor="text1"/>
          <w:sz w:val="24"/>
          <w:szCs w:val="24"/>
        </w:rPr>
        <w:t>₃</w:t>
      </w:r>
      <w:r w:rsidRPr="001A4101">
        <w:rPr>
          <w:rFonts w:ascii="Arial" w:hAnsi="Arial" w:cs="Arial"/>
          <w:color w:val="000000" w:themeColor="text1"/>
          <w:sz w:val="24"/>
          <w:szCs w:val="24"/>
        </w:rPr>
        <w:t xml:space="preserve"> showed minor effects up to millimolar concentrations, although CSC values suggest that aggregation or ionic shielding may occur at higher ionic strength, consistent with micellar and ionic strength studies reported in the literature [</w:t>
      </w:r>
      <w:r w:rsidR="00C25C48" w:rsidRPr="008B6F3C">
        <w:rPr>
          <w:rFonts w:ascii="Arial" w:hAnsi="Arial" w:cs="Arial"/>
          <w:color w:val="0070C0"/>
          <w:sz w:val="24"/>
          <w:szCs w:val="24"/>
        </w:rPr>
        <w:t>5</w:t>
      </w:r>
      <w:r w:rsidRPr="001A4101">
        <w:rPr>
          <w:rFonts w:ascii="Arial" w:hAnsi="Arial" w:cs="Arial"/>
          <w:color w:val="0070C0"/>
          <w:sz w:val="24"/>
          <w:szCs w:val="24"/>
        </w:rPr>
        <w:t>2,</w:t>
      </w:r>
      <w:r w:rsidR="00C25C48" w:rsidRPr="008B6F3C">
        <w:rPr>
          <w:rFonts w:ascii="Arial" w:hAnsi="Arial" w:cs="Arial"/>
          <w:color w:val="0070C0"/>
          <w:sz w:val="24"/>
          <w:szCs w:val="24"/>
        </w:rPr>
        <w:t>5</w:t>
      </w:r>
      <w:r w:rsidRPr="001A4101">
        <w:rPr>
          <w:rFonts w:ascii="Arial" w:hAnsi="Arial" w:cs="Arial"/>
          <w:color w:val="0070C0"/>
          <w:sz w:val="24"/>
          <w:szCs w:val="24"/>
        </w:rPr>
        <w:t>3</w:t>
      </w:r>
      <w:r w:rsidRPr="001A4101">
        <w:rPr>
          <w:rFonts w:ascii="Arial" w:hAnsi="Arial" w:cs="Arial"/>
          <w:color w:val="000000" w:themeColor="text1"/>
          <w:sz w:val="24"/>
          <w:szCs w:val="24"/>
        </w:rPr>
        <w:t xml:space="preserve">]. Biogenic amines (histamine, putrescine) produced only negligible </w:t>
      </w:r>
      <w:r w:rsidRPr="001A4101">
        <w:rPr>
          <w:rFonts w:ascii="Arial" w:hAnsi="Arial" w:cs="Arial"/>
          <w:color w:val="000000" w:themeColor="text1"/>
          <w:sz w:val="24"/>
          <w:szCs w:val="24"/>
        </w:rPr>
        <w:lastRenderedPageBreak/>
        <w:t>fluorescence attenuation, indicating limited competition for microenvironmental binding or quenching. No significant shifts in excitation or emission maxima were observed, confirming the structural integrity of the fluorophore in the presence of physiological interferents.</w:t>
      </w:r>
    </w:p>
    <w:p w14:paraId="1F10C16B" w14:textId="355FC266" w:rsidR="007B2353" w:rsidRPr="008B6F3C" w:rsidRDefault="001A4101" w:rsidP="0097495D">
      <w:pPr>
        <w:tabs>
          <w:tab w:val="left" w:pos="142"/>
        </w:tabs>
        <w:spacing w:after="0" w:line="360" w:lineRule="auto"/>
        <w:jc w:val="both"/>
        <w:rPr>
          <w:rFonts w:ascii="Arial" w:hAnsi="Arial" w:cs="Arial"/>
          <w:color w:val="000000" w:themeColor="text1"/>
          <w:sz w:val="24"/>
          <w:szCs w:val="24"/>
        </w:rPr>
      </w:pPr>
      <w:r w:rsidRPr="001A4101">
        <w:rPr>
          <w:rFonts w:ascii="Arial" w:hAnsi="Arial" w:cs="Arial"/>
          <w:color w:val="000000" w:themeColor="text1"/>
          <w:sz w:val="24"/>
          <w:szCs w:val="24"/>
        </w:rPr>
        <w:t>Overall, these findings demonstrate that 5-HT fluorescence in aqueous and micellar media is largely robust under typical biological conditions. Divalent cations, especially Mg²</w:t>
      </w:r>
      <w:r w:rsidRPr="001A4101">
        <w:rPr>
          <w:rFonts w:ascii="Cambria Math" w:hAnsi="Cambria Math" w:cs="Cambria Math"/>
          <w:color w:val="000000" w:themeColor="text1"/>
          <w:sz w:val="24"/>
          <w:szCs w:val="24"/>
        </w:rPr>
        <w:t>⁺</w:t>
      </w:r>
      <w:r w:rsidRPr="001A4101">
        <w:rPr>
          <w:rFonts w:ascii="Arial" w:hAnsi="Arial" w:cs="Arial"/>
          <w:color w:val="000000" w:themeColor="text1"/>
          <w:sz w:val="24"/>
          <w:szCs w:val="24"/>
        </w:rPr>
        <w:t>, should be considered when analyzing samples with unusually high ionic content. The observed tolerance and CSC values are in agreement with prior reports showing that electrostatic interactions and partial aggregation can influence fluorescence intensity without altering spectral properties [</w:t>
      </w:r>
      <w:r w:rsidR="00C25C48" w:rsidRPr="008B6F3C">
        <w:rPr>
          <w:rFonts w:ascii="Arial" w:hAnsi="Arial" w:cs="Arial"/>
          <w:color w:val="0070C0"/>
          <w:sz w:val="24"/>
          <w:szCs w:val="24"/>
        </w:rPr>
        <w:t>5</w:t>
      </w:r>
      <w:r w:rsidRPr="001A4101">
        <w:rPr>
          <w:rFonts w:ascii="Arial" w:hAnsi="Arial" w:cs="Arial"/>
          <w:color w:val="0070C0"/>
          <w:sz w:val="24"/>
          <w:szCs w:val="24"/>
        </w:rPr>
        <w:t>1–</w:t>
      </w:r>
      <w:r w:rsidR="00C25C48" w:rsidRPr="008B6F3C">
        <w:rPr>
          <w:rFonts w:ascii="Arial" w:hAnsi="Arial" w:cs="Arial"/>
          <w:color w:val="0070C0"/>
          <w:sz w:val="24"/>
          <w:szCs w:val="24"/>
        </w:rPr>
        <w:t>5</w:t>
      </w:r>
      <w:r w:rsidRPr="001A4101">
        <w:rPr>
          <w:rFonts w:ascii="Arial" w:hAnsi="Arial" w:cs="Arial"/>
          <w:color w:val="0070C0"/>
          <w:sz w:val="24"/>
          <w:szCs w:val="24"/>
        </w:rPr>
        <w:t>3</w:t>
      </w:r>
      <w:r w:rsidRPr="001A4101">
        <w:rPr>
          <w:rFonts w:ascii="Arial" w:hAnsi="Arial" w:cs="Arial"/>
          <w:color w:val="000000" w:themeColor="text1"/>
          <w:sz w:val="24"/>
          <w:szCs w:val="24"/>
        </w:rPr>
        <w:t>]. This robustness further supports the suitability of micelle-enhanced fluorescence for sensitive and reliable serotonin quantification in complex biological matrices.</w:t>
      </w:r>
    </w:p>
    <w:p w14:paraId="7933958A" w14:textId="77777777" w:rsidR="00E31A24" w:rsidRPr="001A4101" w:rsidRDefault="00E31A24" w:rsidP="0097495D">
      <w:pPr>
        <w:tabs>
          <w:tab w:val="left" w:pos="142"/>
        </w:tabs>
        <w:spacing w:after="0" w:line="240" w:lineRule="auto"/>
        <w:jc w:val="both"/>
        <w:rPr>
          <w:rFonts w:ascii="Arial" w:hAnsi="Arial" w:cs="Arial"/>
          <w:color w:val="000000" w:themeColor="text1"/>
          <w:sz w:val="24"/>
          <w:szCs w:val="24"/>
        </w:rPr>
      </w:pPr>
    </w:p>
    <w:p w14:paraId="6B7B7108" w14:textId="77777777" w:rsidR="001A4101" w:rsidRPr="001A4101" w:rsidRDefault="001A4101" w:rsidP="0097495D">
      <w:pPr>
        <w:tabs>
          <w:tab w:val="left" w:pos="142"/>
        </w:tabs>
        <w:spacing w:after="0" w:line="360" w:lineRule="auto"/>
        <w:jc w:val="both"/>
        <w:rPr>
          <w:rFonts w:ascii="Arial" w:hAnsi="Arial" w:cs="Arial"/>
          <w:b/>
          <w:bCs/>
          <w:color w:val="000000" w:themeColor="text1"/>
          <w:sz w:val="24"/>
          <w:szCs w:val="24"/>
        </w:rPr>
      </w:pPr>
      <w:r w:rsidRPr="001A4101">
        <w:rPr>
          <w:rFonts w:ascii="Arial" w:hAnsi="Arial" w:cs="Arial"/>
          <w:b/>
          <w:bCs/>
          <w:color w:val="000000" w:themeColor="text1"/>
          <w:sz w:val="24"/>
          <w:szCs w:val="24"/>
        </w:rPr>
        <w:t>3.9 Application to Human Urine Samples</w:t>
      </w:r>
    </w:p>
    <w:p w14:paraId="322E0FB5" w14:textId="77777777" w:rsidR="007B2353" w:rsidRPr="007B2353" w:rsidRDefault="007B2353" w:rsidP="0097495D">
      <w:pPr>
        <w:tabs>
          <w:tab w:val="left" w:pos="142"/>
        </w:tabs>
        <w:spacing w:after="0" w:line="360" w:lineRule="auto"/>
        <w:jc w:val="both"/>
        <w:rPr>
          <w:rFonts w:ascii="Arial" w:hAnsi="Arial" w:cs="Arial"/>
          <w:color w:val="000000" w:themeColor="text1"/>
          <w:sz w:val="24"/>
          <w:szCs w:val="24"/>
        </w:rPr>
      </w:pPr>
      <w:r w:rsidRPr="007B2353">
        <w:rPr>
          <w:rFonts w:ascii="Arial" w:hAnsi="Arial" w:cs="Arial"/>
          <w:color w:val="000000" w:themeColor="text1"/>
          <w:sz w:val="24"/>
          <w:szCs w:val="24"/>
        </w:rPr>
        <w:t>The proposed micelle-enhanced spectrofluorimetric method was successfully applied to the determination of 5-HT in urine samples obtained from healthy volunteers. Samples were pretreated using either liquid–liquid extraction (LLE) or solid-phase extraction (SPE), followed by pH adjustment to 12 to ensure optimal fluorescence response and analytical recovery. Brij 700 and SDS were selected as micellar systems based on their superior fluorescence enhancement and analytical performance.</w:t>
      </w:r>
    </w:p>
    <w:p w14:paraId="2C1D6913" w14:textId="77777777" w:rsidR="007B2353" w:rsidRPr="007B2353" w:rsidRDefault="007B2353" w:rsidP="0097495D">
      <w:pPr>
        <w:tabs>
          <w:tab w:val="left" w:pos="142"/>
        </w:tabs>
        <w:spacing w:after="0" w:line="360" w:lineRule="auto"/>
        <w:jc w:val="both"/>
        <w:rPr>
          <w:rFonts w:ascii="Arial" w:hAnsi="Arial" w:cs="Arial"/>
          <w:color w:val="000000" w:themeColor="text1"/>
          <w:sz w:val="24"/>
          <w:szCs w:val="24"/>
        </w:rPr>
      </w:pPr>
      <w:r w:rsidRPr="007B2353">
        <w:rPr>
          <w:rFonts w:ascii="Arial" w:hAnsi="Arial" w:cs="Arial"/>
          <w:color w:val="000000" w:themeColor="text1"/>
          <w:sz w:val="24"/>
          <w:szCs w:val="24"/>
        </w:rPr>
        <w:t>Standard addition calibration (</w:t>
      </w:r>
      <w:r w:rsidRPr="007B2353">
        <w:rPr>
          <w:rFonts w:ascii="Arial" w:hAnsi="Arial" w:cs="Arial"/>
          <w:color w:val="0070C0"/>
          <w:sz w:val="24"/>
          <w:szCs w:val="24"/>
        </w:rPr>
        <w:t>Figure 8</w:t>
      </w:r>
      <w:r w:rsidRPr="007B2353">
        <w:rPr>
          <w:rFonts w:ascii="Arial" w:hAnsi="Arial" w:cs="Arial"/>
          <w:color w:val="000000" w:themeColor="text1"/>
          <w:sz w:val="24"/>
          <w:szCs w:val="24"/>
        </w:rPr>
        <w:t>) exhibited excellent linearity over the concentration range 0.2–1.5 × 10</w:t>
      </w:r>
      <w:r w:rsidRPr="007B2353">
        <w:rPr>
          <w:rFonts w:ascii="Cambria Math" w:hAnsi="Cambria Math" w:cs="Cambria Math"/>
          <w:color w:val="000000" w:themeColor="text1"/>
          <w:sz w:val="24"/>
          <w:szCs w:val="24"/>
        </w:rPr>
        <w:t>⁻</w:t>
      </w:r>
      <w:r w:rsidRPr="007B2353">
        <w:rPr>
          <w:rFonts w:ascii="Arial" w:hAnsi="Arial" w:cs="Arial"/>
          <w:color w:val="000000" w:themeColor="text1"/>
          <w:sz w:val="24"/>
          <w:szCs w:val="24"/>
        </w:rPr>
        <w:t>⁷ M (R² &gt; 0.998), confirming negligible matrix effects and the suitability of the method for complex biological matrices.</w:t>
      </w:r>
    </w:p>
    <w:p w14:paraId="7F54BAF7" w14:textId="77777777" w:rsidR="007B2353" w:rsidRPr="008B6F3C" w:rsidRDefault="007B2353" w:rsidP="0097495D">
      <w:pPr>
        <w:tabs>
          <w:tab w:val="left" w:pos="142"/>
        </w:tabs>
        <w:spacing w:after="0" w:line="360" w:lineRule="auto"/>
        <w:jc w:val="both"/>
        <w:rPr>
          <w:rFonts w:ascii="Arial" w:hAnsi="Arial" w:cs="Arial"/>
          <w:color w:val="000000" w:themeColor="text1"/>
          <w:sz w:val="24"/>
          <w:szCs w:val="24"/>
        </w:rPr>
      </w:pPr>
      <w:r w:rsidRPr="007B2353">
        <w:rPr>
          <w:rFonts w:ascii="Arial" w:hAnsi="Arial" w:cs="Arial"/>
          <w:color w:val="000000" w:themeColor="text1"/>
          <w:sz w:val="24"/>
          <w:szCs w:val="24"/>
        </w:rPr>
        <w:t xml:space="preserve">As shown in </w:t>
      </w:r>
      <w:r w:rsidRPr="007B2353">
        <w:rPr>
          <w:rFonts w:ascii="Arial" w:hAnsi="Arial" w:cs="Arial"/>
          <w:color w:val="0070C0"/>
          <w:sz w:val="24"/>
          <w:szCs w:val="24"/>
        </w:rPr>
        <w:t>Table 6</w:t>
      </w:r>
      <w:r w:rsidRPr="007B2353">
        <w:rPr>
          <w:rFonts w:ascii="Arial" w:hAnsi="Arial" w:cs="Arial"/>
          <w:color w:val="000000" w:themeColor="text1"/>
          <w:sz w:val="24"/>
          <w:szCs w:val="24"/>
        </w:rPr>
        <w:t xml:space="preserve">, recovery values depended slightly on the extraction procedure. LLE with chloroform yielded recoveries between 89.0% and 96.5%, with a mean recovery of 93.2 ± 4.6% and an intraday RSD of 1.53%, indicating acceptable but slightly lower extraction efficiency. In contrast, SPE using </w:t>
      </w:r>
      <w:proofErr w:type="gramStart"/>
      <w:r w:rsidRPr="007B2353">
        <w:rPr>
          <w:rFonts w:ascii="Arial" w:hAnsi="Arial" w:cs="Arial"/>
          <w:color w:val="000000" w:themeColor="text1"/>
          <w:sz w:val="24"/>
          <w:szCs w:val="24"/>
        </w:rPr>
        <w:t>MeOH:</w:t>
      </w:r>
      <w:proofErr w:type="gramEnd"/>
      <w:r w:rsidRPr="007B2353">
        <w:rPr>
          <w:rFonts w:ascii="Arial" w:hAnsi="Arial" w:cs="Arial"/>
          <w:color w:val="000000" w:themeColor="text1"/>
          <w:sz w:val="24"/>
          <w:szCs w:val="24"/>
        </w:rPr>
        <w:t>H</w:t>
      </w:r>
      <w:r w:rsidRPr="007B2353">
        <w:rPr>
          <w:rFonts w:ascii="Cambria Math" w:hAnsi="Cambria Math" w:cs="Cambria Math"/>
          <w:color w:val="000000" w:themeColor="text1"/>
          <w:sz w:val="24"/>
          <w:szCs w:val="24"/>
        </w:rPr>
        <w:t>₂</w:t>
      </w:r>
      <w:r w:rsidRPr="007B2353">
        <w:rPr>
          <w:rFonts w:ascii="Arial" w:hAnsi="Arial" w:cs="Arial"/>
          <w:color w:val="000000" w:themeColor="text1"/>
          <w:sz w:val="24"/>
          <w:szCs w:val="24"/>
        </w:rPr>
        <w:t>O (1:1) provided the highest analytical performance, with recoveries ranging from 95.0% to 101.0% and a mean value of 98.2 ± 0.6%. Although the reported intraday RSD was 3.64%, precision remained within acceptable analytical limits (&lt;5%). SPE with chloroform also showed satisfactory performance, with recoveries between 93.0% and 98.0% (mean 95.5 ± 1.2%) and an intraday RSD of 1.26%.</w:t>
      </w:r>
    </w:p>
    <w:p w14:paraId="72223BDB" w14:textId="29146585" w:rsidR="007B2353" w:rsidRPr="007B2353" w:rsidRDefault="007B2353"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Statistical evaluation (</w:t>
      </w:r>
      <w:r w:rsidRPr="008B6F3C">
        <w:rPr>
          <w:rFonts w:ascii="Arial" w:hAnsi="Arial" w:cs="Arial"/>
          <w:color w:val="0070C0"/>
          <w:sz w:val="24"/>
          <w:szCs w:val="24"/>
        </w:rPr>
        <w:t>Table 7</w:t>
      </w:r>
      <w:r w:rsidRPr="008B6F3C">
        <w:rPr>
          <w:rFonts w:ascii="Arial" w:hAnsi="Arial" w:cs="Arial"/>
          <w:color w:val="000000" w:themeColor="text1"/>
          <w:sz w:val="24"/>
          <w:szCs w:val="24"/>
        </w:rPr>
        <w:t>) further confirmed method accuracy and precision. Student’s t-test showed that calculated t</w:t>
      </w:r>
      <w:r w:rsidRPr="008B6F3C">
        <w:rPr>
          <w:rFonts w:ascii="Arial" w:hAnsi="Arial" w:cs="Arial"/>
          <w:color w:val="000000" w:themeColor="text1"/>
          <w:sz w:val="24"/>
          <w:szCs w:val="24"/>
          <w:vertAlign w:val="subscript"/>
        </w:rPr>
        <w:t>DIFF</w:t>
      </w:r>
      <w:r w:rsidRPr="008B6F3C">
        <w:rPr>
          <w:rFonts w:ascii="Arial" w:hAnsi="Arial" w:cs="Arial"/>
          <w:color w:val="000000" w:themeColor="text1"/>
          <w:sz w:val="24"/>
          <w:szCs w:val="24"/>
        </w:rPr>
        <w:t xml:space="preserve"> values (0.28 and 1.40) were lower than the </w:t>
      </w:r>
      <w:r w:rsidRPr="008B6F3C">
        <w:rPr>
          <w:rFonts w:ascii="Arial" w:hAnsi="Arial" w:cs="Arial"/>
          <w:color w:val="000000" w:themeColor="text1"/>
          <w:sz w:val="24"/>
          <w:szCs w:val="24"/>
        </w:rPr>
        <w:lastRenderedPageBreak/>
        <w:t>corresponding tabulated t-values at the 5% confidence level (3.47 and 2.51), indicating that the mean recoveries were not significantly different from 100%. Repeatability was validated by intraday RSD values below 5%, while interday RSD values of 4.3% and 3.7% confirmed satisfactory reproducibility over five consecutive days. These results demonstrate that both accuracy and precision meet accepted bioanalytical validation criteria.</w:t>
      </w:r>
    </w:p>
    <w:p w14:paraId="292B2651" w14:textId="67B52EB8" w:rsidR="003E773F" w:rsidRPr="008B6F3C" w:rsidRDefault="00CD1B48" w:rsidP="0097495D">
      <w:pPr>
        <w:tabs>
          <w:tab w:val="left" w:pos="142"/>
        </w:tabs>
        <w:spacing w:after="0" w:line="360" w:lineRule="auto"/>
        <w:jc w:val="center"/>
        <w:rPr>
          <w:rFonts w:ascii="Arial" w:hAnsi="Arial" w:cs="Arial"/>
          <w:color w:val="000000" w:themeColor="text1"/>
          <w:sz w:val="24"/>
          <w:szCs w:val="24"/>
        </w:rPr>
      </w:pPr>
      <w:r w:rsidRPr="008B6F3C">
        <w:rPr>
          <w:rFonts w:ascii="Arial" w:hAnsi="Arial" w:cs="Arial"/>
          <w:noProof/>
          <w:color w:val="000000" w:themeColor="text1"/>
          <w:sz w:val="24"/>
          <w:szCs w:val="24"/>
        </w:rPr>
        <w:drawing>
          <wp:inline distT="0" distB="0" distL="0" distR="0" wp14:anchorId="2E23330E" wp14:editId="176A6519">
            <wp:extent cx="3477110" cy="2610214"/>
            <wp:effectExtent l="0" t="0" r="9525" b="0"/>
            <wp:docPr id="2002341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4193" name=""/>
                    <pic:cNvPicPr/>
                  </pic:nvPicPr>
                  <pic:blipFill>
                    <a:blip r:embed="rId24"/>
                    <a:stretch>
                      <a:fillRect/>
                    </a:stretch>
                  </pic:blipFill>
                  <pic:spPr>
                    <a:xfrm>
                      <a:off x="0" y="0"/>
                      <a:ext cx="3477110" cy="2610214"/>
                    </a:xfrm>
                    <a:prstGeom prst="rect">
                      <a:avLst/>
                    </a:prstGeom>
                  </pic:spPr>
                </pic:pic>
              </a:graphicData>
            </a:graphic>
          </wp:inline>
        </w:drawing>
      </w:r>
    </w:p>
    <w:p w14:paraId="47127535" w14:textId="05B8446B" w:rsidR="003E773F" w:rsidRPr="008B6F3C" w:rsidRDefault="003E773F" w:rsidP="0097495D">
      <w:pPr>
        <w:tabs>
          <w:tab w:val="left" w:pos="142"/>
        </w:tabs>
        <w:spacing w:after="0" w:line="240" w:lineRule="auto"/>
        <w:jc w:val="center"/>
        <w:rPr>
          <w:rFonts w:ascii="Arial" w:hAnsi="Arial" w:cs="Arial"/>
          <w:color w:val="000000" w:themeColor="text1"/>
          <w:sz w:val="24"/>
          <w:szCs w:val="24"/>
        </w:rPr>
      </w:pPr>
      <w:r w:rsidRPr="003E773F">
        <w:rPr>
          <w:rFonts w:ascii="Arial" w:hAnsi="Arial" w:cs="Arial"/>
          <w:b/>
          <w:bCs/>
          <w:color w:val="000000" w:themeColor="text1"/>
          <w:sz w:val="24"/>
          <w:szCs w:val="24"/>
        </w:rPr>
        <w:t>Fi</w:t>
      </w:r>
      <w:r w:rsidRPr="008B6F3C">
        <w:rPr>
          <w:rFonts w:ascii="Arial" w:hAnsi="Arial" w:cs="Arial"/>
          <w:b/>
          <w:bCs/>
          <w:color w:val="000000" w:themeColor="text1"/>
          <w:sz w:val="24"/>
          <w:szCs w:val="24"/>
        </w:rPr>
        <w:t>gure 8</w:t>
      </w:r>
      <w:r w:rsidRPr="003E773F">
        <w:rPr>
          <w:rFonts w:ascii="Arial" w:hAnsi="Arial" w:cs="Arial"/>
          <w:b/>
          <w:bCs/>
          <w:color w:val="000000" w:themeColor="text1"/>
          <w:sz w:val="24"/>
          <w:szCs w:val="24"/>
        </w:rPr>
        <w:t xml:space="preserve"> </w:t>
      </w:r>
      <w:r w:rsidRPr="003E773F">
        <w:rPr>
          <w:rFonts w:ascii="Arial" w:hAnsi="Arial" w:cs="Arial"/>
          <w:color w:val="000000" w:themeColor="text1"/>
          <w:sz w:val="24"/>
          <w:szCs w:val="24"/>
        </w:rPr>
        <w:t xml:space="preserve">Reference calibration and standard addition curves of </w:t>
      </w:r>
      <w:r w:rsidRPr="008B6F3C">
        <w:rPr>
          <w:rFonts w:ascii="Arial" w:hAnsi="Arial" w:cs="Arial"/>
          <w:color w:val="000000" w:themeColor="text1"/>
          <w:sz w:val="24"/>
          <w:szCs w:val="24"/>
        </w:rPr>
        <w:t>5-HT</w:t>
      </w:r>
      <w:r w:rsidRPr="003E773F">
        <w:rPr>
          <w:rFonts w:ascii="Arial" w:hAnsi="Arial" w:cs="Arial"/>
          <w:color w:val="000000" w:themeColor="text1"/>
          <w:sz w:val="24"/>
          <w:szCs w:val="24"/>
        </w:rPr>
        <w:t xml:space="preserve"> by the </w:t>
      </w:r>
      <w:r w:rsidRPr="008B6F3C">
        <w:rPr>
          <w:rFonts w:ascii="Arial" w:hAnsi="Arial" w:cs="Arial"/>
          <w:color w:val="000000" w:themeColor="text1"/>
          <w:sz w:val="24"/>
          <w:szCs w:val="24"/>
        </w:rPr>
        <w:t>fluorescence</w:t>
      </w:r>
      <w:r w:rsidRPr="003E773F">
        <w:rPr>
          <w:rFonts w:ascii="Arial" w:hAnsi="Arial" w:cs="Arial"/>
          <w:color w:val="000000" w:themeColor="text1"/>
          <w:sz w:val="24"/>
          <w:szCs w:val="24"/>
        </w:rPr>
        <w:t xml:space="preserve"> method.</w:t>
      </w:r>
    </w:p>
    <w:p w14:paraId="666CEC19" w14:textId="77777777" w:rsidR="007B2353" w:rsidRDefault="007B2353" w:rsidP="0097495D">
      <w:pPr>
        <w:tabs>
          <w:tab w:val="left" w:pos="142"/>
        </w:tabs>
        <w:spacing w:after="0" w:line="240" w:lineRule="auto"/>
        <w:jc w:val="center"/>
        <w:rPr>
          <w:rFonts w:ascii="Arial" w:hAnsi="Arial" w:cs="Arial"/>
          <w:color w:val="000000" w:themeColor="text1"/>
          <w:sz w:val="24"/>
          <w:szCs w:val="24"/>
        </w:rPr>
      </w:pPr>
    </w:p>
    <w:p w14:paraId="79AED0EE" w14:textId="77777777" w:rsidR="00277805" w:rsidRDefault="00277805" w:rsidP="0097495D">
      <w:pPr>
        <w:tabs>
          <w:tab w:val="left" w:pos="142"/>
        </w:tabs>
        <w:spacing w:after="0" w:line="240" w:lineRule="auto"/>
        <w:jc w:val="center"/>
        <w:rPr>
          <w:rFonts w:ascii="Arial" w:hAnsi="Arial" w:cs="Arial"/>
          <w:color w:val="000000" w:themeColor="text1"/>
          <w:sz w:val="24"/>
          <w:szCs w:val="24"/>
        </w:rPr>
      </w:pPr>
    </w:p>
    <w:p w14:paraId="7D3230E6" w14:textId="77777777" w:rsidR="00277805" w:rsidRDefault="00277805" w:rsidP="0097495D">
      <w:pPr>
        <w:tabs>
          <w:tab w:val="left" w:pos="142"/>
        </w:tabs>
        <w:spacing w:after="0" w:line="240" w:lineRule="auto"/>
        <w:jc w:val="center"/>
        <w:rPr>
          <w:rFonts w:ascii="Arial" w:hAnsi="Arial" w:cs="Arial"/>
          <w:color w:val="000000" w:themeColor="text1"/>
          <w:sz w:val="24"/>
          <w:szCs w:val="24"/>
        </w:rPr>
      </w:pPr>
    </w:p>
    <w:p w14:paraId="328A9C66" w14:textId="77777777" w:rsidR="00277805" w:rsidRDefault="00277805" w:rsidP="0097495D">
      <w:pPr>
        <w:tabs>
          <w:tab w:val="left" w:pos="142"/>
        </w:tabs>
        <w:spacing w:after="0" w:line="240" w:lineRule="auto"/>
        <w:jc w:val="center"/>
        <w:rPr>
          <w:rFonts w:ascii="Arial" w:hAnsi="Arial" w:cs="Arial"/>
          <w:color w:val="000000" w:themeColor="text1"/>
          <w:sz w:val="24"/>
          <w:szCs w:val="24"/>
        </w:rPr>
      </w:pPr>
    </w:p>
    <w:p w14:paraId="0612BFCB" w14:textId="77777777" w:rsidR="00277805" w:rsidRDefault="00277805" w:rsidP="0097495D">
      <w:pPr>
        <w:tabs>
          <w:tab w:val="left" w:pos="142"/>
        </w:tabs>
        <w:spacing w:after="0" w:line="240" w:lineRule="auto"/>
        <w:jc w:val="center"/>
        <w:rPr>
          <w:rFonts w:ascii="Arial" w:hAnsi="Arial" w:cs="Arial"/>
          <w:color w:val="000000" w:themeColor="text1"/>
          <w:sz w:val="24"/>
          <w:szCs w:val="24"/>
        </w:rPr>
      </w:pPr>
    </w:p>
    <w:p w14:paraId="7EEEE109" w14:textId="77777777" w:rsidR="00277805" w:rsidRDefault="00277805" w:rsidP="0097495D">
      <w:pPr>
        <w:tabs>
          <w:tab w:val="left" w:pos="142"/>
        </w:tabs>
        <w:spacing w:after="0" w:line="240" w:lineRule="auto"/>
        <w:jc w:val="center"/>
        <w:rPr>
          <w:rFonts w:ascii="Arial" w:hAnsi="Arial" w:cs="Arial"/>
          <w:color w:val="000000" w:themeColor="text1"/>
          <w:sz w:val="24"/>
          <w:szCs w:val="24"/>
        </w:rPr>
      </w:pPr>
    </w:p>
    <w:p w14:paraId="76BB0051" w14:textId="77777777" w:rsidR="00277805" w:rsidRPr="008B6F3C" w:rsidRDefault="00277805" w:rsidP="0097495D">
      <w:pPr>
        <w:tabs>
          <w:tab w:val="left" w:pos="142"/>
        </w:tabs>
        <w:spacing w:after="0" w:line="240" w:lineRule="auto"/>
        <w:jc w:val="center"/>
        <w:rPr>
          <w:rFonts w:ascii="Arial" w:hAnsi="Arial" w:cs="Arial"/>
          <w:color w:val="000000" w:themeColor="text1"/>
          <w:sz w:val="24"/>
          <w:szCs w:val="24"/>
        </w:rPr>
      </w:pPr>
    </w:p>
    <w:p w14:paraId="15979762" w14:textId="5A7F65A7" w:rsidR="00855FA4" w:rsidRPr="008B6F3C" w:rsidRDefault="00855FA4" w:rsidP="0097495D">
      <w:pPr>
        <w:tabs>
          <w:tab w:val="left" w:pos="142"/>
        </w:tabs>
        <w:spacing w:after="0" w:line="240" w:lineRule="auto"/>
        <w:jc w:val="center"/>
        <w:rPr>
          <w:rFonts w:ascii="Arial" w:hAnsi="Arial" w:cs="Arial"/>
          <w:color w:val="000000" w:themeColor="text1"/>
          <w:sz w:val="24"/>
          <w:szCs w:val="24"/>
        </w:rPr>
      </w:pPr>
      <w:r w:rsidRPr="008B6F3C">
        <w:rPr>
          <w:rFonts w:ascii="Arial" w:hAnsi="Arial" w:cs="Arial"/>
          <w:b/>
          <w:bCs/>
          <w:color w:val="000000" w:themeColor="text1"/>
          <w:sz w:val="24"/>
          <w:szCs w:val="24"/>
        </w:rPr>
        <w:t>Table 6</w:t>
      </w:r>
      <w:r w:rsidRPr="008B6F3C">
        <w:rPr>
          <w:rFonts w:ascii="Arial" w:hAnsi="Arial" w:cs="Arial"/>
          <w:color w:val="000000" w:themeColor="text1"/>
          <w:sz w:val="24"/>
          <w:szCs w:val="24"/>
        </w:rPr>
        <w:t xml:space="preserve">. Determination of </w:t>
      </w:r>
      <w:r w:rsidR="007B2353" w:rsidRPr="008B6F3C">
        <w:rPr>
          <w:rFonts w:ascii="Arial" w:hAnsi="Arial" w:cs="Arial"/>
          <w:color w:val="000000" w:themeColor="text1"/>
          <w:sz w:val="24"/>
          <w:szCs w:val="24"/>
        </w:rPr>
        <w:t>5-HT</w:t>
      </w:r>
      <w:r w:rsidRPr="008B6F3C">
        <w:rPr>
          <w:rFonts w:ascii="Arial" w:hAnsi="Arial" w:cs="Arial"/>
          <w:color w:val="000000" w:themeColor="text1"/>
          <w:sz w:val="24"/>
          <w:szCs w:val="24"/>
        </w:rPr>
        <w:t xml:space="preserve"> in urine samples by standard addition</w:t>
      </w:r>
    </w:p>
    <w:p w14:paraId="16A2BB7A" w14:textId="154D06A5" w:rsidR="005A071C" w:rsidRPr="003E773F" w:rsidRDefault="005A071C" w:rsidP="0097495D">
      <w:pPr>
        <w:tabs>
          <w:tab w:val="left" w:pos="142"/>
        </w:tabs>
        <w:spacing w:after="0" w:line="360" w:lineRule="auto"/>
        <w:jc w:val="center"/>
        <w:rPr>
          <w:rFonts w:ascii="Arial" w:hAnsi="Arial" w:cs="Arial"/>
          <w:b/>
          <w:bCs/>
          <w:color w:val="000000" w:themeColor="text1"/>
          <w:sz w:val="24"/>
          <w:szCs w:val="24"/>
        </w:rPr>
      </w:pPr>
    </w:p>
    <w:tbl>
      <w:tblPr>
        <w:tblW w:w="10775" w:type="dxa"/>
        <w:jc w:val="center"/>
        <w:tblLayout w:type="fixed"/>
        <w:tblCellMar>
          <w:top w:w="15" w:type="dxa"/>
          <w:left w:w="15" w:type="dxa"/>
          <w:bottom w:w="15" w:type="dxa"/>
          <w:right w:w="15" w:type="dxa"/>
        </w:tblCellMar>
        <w:tblLook w:val="04A0" w:firstRow="1" w:lastRow="0" w:firstColumn="1" w:lastColumn="0" w:noHBand="0" w:noVBand="1"/>
      </w:tblPr>
      <w:tblGrid>
        <w:gridCol w:w="2553"/>
        <w:gridCol w:w="973"/>
        <w:gridCol w:w="2004"/>
        <w:gridCol w:w="1559"/>
        <w:gridCol w:w="2126"/>
        <w:gridCol w:w="1560"/>
      </w:tblGrid>
      <w:tr w:rsidR="007B2353" w:rsidRPr="00277805" w14:paraId="23F01AAC" w14:textId="77777777" w:rsidTr="00277805">
        <w:trPr>
          <w:jc w:val="center"/>
        </w:trPr>
        <w:tc>
          <w:tcPr>
            <w:tcW w:w="2553" w:type="dxa"/>
            <w:tcBorders>
              <w:top w:val="single" w:sz="4" w:space="0" w:color="auto"/>
              <w:left w:val="nil"/>
              <w:bottom w:val="outset" w:sz="6" w:space="0" w:color="auto"/>
              <w:right w:val="nil"/>
            </w:tcBorders>
            <w:vAlign w:val="center"/>
            <w:hideMark/>
          </w:tcPr>
          <w:p w14:paraId="0D8A0C2F" w14:textId="39393257" w:rsidR="003E773F" w:rsidRPr="003E773F" w:rsidRDefault="007F0AD2" w:rsidP="00277805">
            <w:pPr>
              <w:tabs>
                <w:tab w:val="left" w:pos="142"/>
              </w:tabs>
              <w:spacing w:after="0" w:line="240" w:lineRule="auto"/>
              <w:jc w:val="center"/>
              <w:rPr>
                <w:rFonts w:ascii="Arial" w:hAnsi="Arial" w:cs="Arial"/>
              </w:rPr>
            </w:pPr>
            <w:r w:rsidRPr="001A4101">
              <w:rPr>
                <w:rFonts w:ascii="Arial" w:hAnsi="Arial" w:cs="Arial"/>
              </w:rPr>
              <w:t>Sample Preparation</w:t>
            </w:r>
          </w:p>
        </w:tc>
        <w:tc>
          <w:tcPr>
            <w:tcW w:w="973" w:type="dxa"/>
            <w:tcBorders>
              <w:top w:val="single" w:sz="4" w:space="0" w:color="auto"/>
              <w:left w:val="nil"/>
              <w:bottom w:val="outset" w:sz="6" w:space="0" w:color="auto"/>
              <w:right w:val="nil"/>
            </w:tcBorders>
            <w:vAlign w:val="center"/>
            <w:hideMark/>
          </w:tcPr>
          <w:p w14:paraId="04022A5D" w14:textId="37FD953C" w:rsidR="003E773F" w:rsidRPr="003E773F" w:rsidRDefault="003E773F" w:rsidP="00277805">
            <w:pPr>
              <w:tabs>
                <w:tab w:val="left" w:pos="142"/>
              </w:tabs>
              <w:spacing w:after="0" w:line="240" w:lineRule="auto"/>
              <w:jc w:val="center"/>
              <w:rPr>
                <w:rFonts w:ascii="Arial" w:hAnsi="Arial" w:cs="Arial"/>
              </w:rPr>
            </w:pPr>
            <w:r w:rsidRPr="003E773F">
              <w:rPr>
                <w:rFonts w:ascii="Arial" w:hAnsi="Arial" w:cs="Arial"/>
              </w:rPr>
              <w:t xml:space="preserve">Added </w:t>
            </w:r>
            <w:r w:rsidRPr="003E773F">
              <w:rPr>
                <w:rFonts w:ascii="Arial" w:hAnsi="Arial" w:cs="Arial"/>
              </w:rPr>
              <w:br/>
              <w:t>(</w:t>
            </w:r>
            <w:r w:rsidR="007B2353" w:rsidRPr="00277805">
              <w:rPr>
                <w:rFonts w:ascii="Arial" w:hAnsi="Arial" w:cs="Arial"/>
              </w:rPr>
              <w:t>n</w:t>
            </w:r>
            <w:r w:rsidRPr="003E773F">
              <w:rPr>
                <w:rFonts w:ascii="Arial" w:hAnsi="Arial" w:cs="Arial"/>
              </w:rPr>
              <w:t>g</w:t>
            </w:r>
            <w:r w:rsidR="007F0AD2" w:rsidRPr="00277805">
              <w:rPr>
                <w:rFonts w:ascii="Arial" w:hAnsi="Arial" w:cs="Arial"/>
              </w:rPr>
              <w:t xml:space="preserve"> </w:t>
            </w:r>
            <w:r w:rsidRPr="003E773F">
              <w:rPr>
                <w:rFonts w:ascii="Arial" w:hAnsi="Arial" w:cs="Arial"/>
              </w:rPr>
              <w:t>mL</w:t>
            </w:r>
            <w:r w:rsidRPr="003E773F">
              <w:rPr>
                <w:rFonts w:ascii="Arial" w:hAnsi="Arial" w:cs="Arial"/>
                <w:vertAlign w:val="superscript"/>
              </w:rPr>
              <w:t>-1</w:t>
            </w:r>
            <w:r w:rsidRPr="003E773F">
              <w:rPr>
                <w:rFonts w:ascii="Arial" w:hAnsi="Arial" w:cs="Arial"/>
              </w:rPr>
              <w:t>)</w:t>
            </w:r>
          </w:p>
        </w:tc>
        <w:tc>
          <w:tcPr>
            <w:tcW w:w="2004" w:type="dxa"/>
            <w:tcBorders>
              <w:top w:val="single" w:sz="4" w:space="0" w:color="auto"/>
              <w:left w:val="nil"/>
              <w:bottom w:val="outset" w:sz="6" w:space="0" w:color="auto"/>
              <w:right w:val="nil"/>
            </w:tcBorders>
            <w:vAlign w:val="center"/>
            <w:hideMark/>
          </w:tcPr>
          <w:p w14:paraId="621FE99B" w14:textId="4057F1B6" w:rsidR="003E773F" w:rsidRPr="003E773F" w:rsidRDefault="003E773F" w:rsidP="00277805">
            <w:pPr>
              <w:tabs>
                <w:tab w:val="left" w:pos="142"/>
              </w:tabs>
              <w:spacing w:after="0" w:line="240" w:lineRule="auto"/>
              <w:jc w:val="center"/>
              <w:rPr>
                <w:rFonts w:ascii="Arial" w:hAnsi="Arial" w:cs="Arial"/>
              </w:rPr>
            </w:pPr>
            <w:r w:rsidRPr="003E773F">
              <w:rPr>
                <w:rFonts w:ascii="Arial" w:hAnsi="Arial" w:cs="Arial"/>
              </w:rPr>
              <w:t xml:space="preserve">Found </w:t>
            </w:r>
            <w:r w:rsidRPr="003E773F">
              <w:rPr>
                <w:rFonts w:ascii="Arial" w:hAnsi="Arial" w:cs="Arial"/>
              </w:rPr>
              <w:br/>
              <w:t>(</w:t>
            </w:r>
            <w:r w:rsidR="007F0AD2" w:rsidRPr="00277805">
              <w:rPr>
                <w:rFonts w:ascii="Arial" w:hAnsi="Arial" w:cs="Arial"/>
              </w:rPr>
              <w:t>n</w:t>
            </w:r>
            <w:r w:rsidRPr="003E773F">
              <w:rPr>
                <w:rFonts w:ascii="Arial" w:hAnsi="Arial" w:cs="Arial"/>
              </w:rPr>
              <w:t>g</w:t>
            </w:r>
            <w:r w:rsidR="007F0AD2" w:rsidRPr="00277805">
              <w:rPr>
                <w:rFonts w:ascii="Arial" w:hAnsi="Arial" w:cs="Arial"/>
              </w:rPr>
              <w:t xml:space="preserve"> </w:t>
            </w:r>
            <w:r w:rsidRPr="003E773F">
              <w:rPr>
                <w:rFonts w:ascii="Arial" w:hAnsi="Arial" w:cs="Arial"/>
              </w:rPr>
              <w:t>mL</w:t>
            </w:r>
            <w:r w:rsidRPr="003E773F">
              <w:rPr>
                <w:rFonts w:ascii="Arial" w:hAnsi="Arial" w:cs="Arial"/>
                <w:vertAlign w:val="superscript"/>
              </w:rPr>
              <w:t>-1</w:t>
            </w:r>
            <w:r w:rsidRPr="003E773F">
              <w:rPr>
                <w:rFonts w:ascii="Arial" w:hAnsi="Arial" w:cs="Arial"/>
              </w:rPr>
              <w:t>)</w:t>
            </w:r>
          </w:p>
        </w:tc>
        <w:tc>
          <w:tcPr>
            <w:tcW w:w="1559" w:type="dxa"/>
            <w:tcBorders>
              <w:top w:val="single" w:sz="4" w:space="0" w:color="auto"/>
              <w:left w:val="nil"/>
              <w:bottom w:val="outset" w:sz="6" w:space="0" w:color="auto"/>
              <w:right w:val="nil"/>
            </w:tcBorders>
            <w:vAlign w:val="center"/>
            <w:hideMark/>
          </w:tcPr>
          <w:p w14:paraId="7D51C582" w14:textId="77777777" w:rsidR="003E773F" w:rsidRPr="003E773F" w:rsidRDefault="003E773F" w:rsidP="00277805">
            <w:pPr>
              <w:tabs>
                <w:tab w:val="left" w:pos="142"/>
              </w:tabs>
              <w:spacing w:after="0" w:line="240" w:lineRule="auto"/>
              <w:jc w:val="center"/>
              <w:rPr>
                <w:rFonts w:ascii="Arial" w:hAnsi="Arial" w:cs="Arial"/>
              </w:rPr>
            </w:pPr>
            <w:r w:rsidRPr="003E773F">
              <w:rPr>
                <w:rFonts w:ascii="Arial" w:hAnsi="Arial" w:cs="Arial"/>
              </w:rPr>
              <w:t>Recovery (%)</w:t>
            </w:r>
          </w:p>
        </w:tc>
        <w:tc>
          <w:tcPr>
            <w:tcW w:w="2126" w:type="dxa"/>
            <w:tcBorders>
              <w:top w:val="single" w:sz="4" w:space="0" w:color="auto"/>
              <w:left w:val="nil"/>
              <w:bottom w:val="outset" w:sz="6" w:space="0" w:color="auto"/>
              <w:right w:val="nil"/>
            </w:tcBorders>
            <w:vAlign w:val="center"/>
            <w:hideMark/>
          </w:tcPr>
          <w:p w14:paraId="69C6E530" w14:textId="77777777" w:rsidR="00855FA4" w:rsidRPr="00277805" w:rsidRDefault="003E773F" w:rsidP="00277805">
            <w:pPr>
              <w:tabs>
                <w:tab w:val="left" w:pos="142"/>
              </w:tabs>
              <w:spacing w:after="0" w:line="240" w:lineRule="auto"/>
              <w:jc w:val="center"/>
              <w:rPr>
                <w:rFonts w:ascii="Arial" w:hAnsi="Arial" w:cs="Arial"/>
              </w:rPr>
            </w:pPr>
            <w:r w:rsidRPr="003E773F">
              <w:rPr>
                <w:rFonts w:ascii="Arial" w:hAnsi="Arial" w:cs="Arial"/>
              </w:rPr>
              <w:t xml:space="preserve">Mean recovery (%) </w:t>
            </w:r>
          </w:p>
          <w:p w14:paraId="45130323" w14:textId="0DD970BE" w:rsidR="003E773F" w:rsidRPr="003E773F" w:rsidRDefault="003E773F" w:rsidP="00277805">
            <w:pPr>
              <w:tabs>
                <w:tab w:val="left" w:pos="142"/>
              </w:tabs>
              <w:spacing w:after="0" w:line="240" w:lineRule="auto"/>
              <w:jc w:val="center"/>
              <w:rPr>
                <w:rFonts w:ascii="Arial" w:hAnsi="Arial" w:cs="Arial"/>
              </w:rPr>
            </w:pPr>
            <w:r w:rsidRPr="003E773F">
              <w:rPr>
                <w:rFonts w:ascii="Arial" w:hAnsi="Arial" w:cs="Arial"/>
              </w:rPr>
              <w:t>(</w:t>
            </w:r>
            <w:proofErr w:type="gramStart"/>
            <w:r w:rsidRPr="003E773F">
              <w:rPr>
                <w:rFonts w:ascii="Arial" w:hAnsi="Arial" w:cs="Arial"/>
              </w:rPr>
              <w:t>n</w:t>
            </w:r>
            <w:proofErr w:type="gramEnd"/>
            <w:r w:rsidRPr="003E773F">
              <w:rPr>
                <w:rFonts w:ascii="Arial" w:hAnsi="Arial" w:cs="Arial"/>
              </w:rPr>
              <w:t xml:space="preserve"> = 5)</w:t>
            </w:r>
          </w:p>
        </w:tc>
        <w:tc>
          <w:tcPr>
            <w:tcW w:w="1560" w:type="dxa"/>
            <w:tcBorders>
              <w:top w:val="single" w:sz="4" w:space="0" w:color="auto"/>
              <w:left w:val="nil"/>
              <w:bottom w:val="outset" w:sz="6" w:space="0" w:color="auto"/>
              <w:right w:val="nil"/>
            </w:tcBorders>
            <w:vAlign w:val="center"/>
            <w:hideMark/>
          </w:tcPr>
          <w:p w14:paraId="056C39BF" w14:textId="77777777" w:rsidR="003E773F" w:rsidRPr="003E773F" w:rsidRDefault="003E773F" w:rsidP="00277805">
            <w:pPr>
              <w:tabs>
                <w:tab w:val="left" w:pos="142"/>
              </w:tabs>
              <w:spacing w:after="0" w:line="240" w:lineRule="auto"/>
              <w:jc w:val="center"/>
              <w:rPr>
                <w:rFonts w:ascii="Arial" w:hAnsi="Arial" w:cs="Arial"/>
              </w:rPr>
            </w:pPr>
            <w:r w:rsidRPr="003E773F">
              <w:rPr>
                <w:rFonts w:ascii="Arial" w:hAnsi="Arial" w:cs="Arial"/>
              </w:rPr>
              <w:t>IntraD-RDS (%)</w:t>
            </w:r>
          </w:p>
        </w:tc>
      </w:tr>
      <w:tr w:rsidR="007B2353" w:rsidRPr="00277805" w14:paraId="4AEC913C" w14:textId="77777777" w:rsidTr="00277805">
        <w:trPr>
          <w:jc w:val="center"/>
        </w:trPr>
        <w:tc>
          <w:tcPr>
            <w:tcW w:w="2553" w:type="dxa"/>
            <w:vMerge w:val="restart"/>
            <w:tcBorders>
              <w:top w:val="nil"/>
              <w:left w:val="nil"/>
              <w:bottom w:val="nil"/>
              <w:right w:val="nil"/>
            </w:tcBorders>
            <w:vAlign w:val="center"/>
            <w:hideMark/>
          </w:tcPr>
          <w:p w14:paraId="4D3BFA7F" w14:textId="59809017"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LLE / Chloroform</w:t>
            </w:r>
          </w:p>
        </w:tc>
        <w:tc>
          <w:tcPr>
            <w:tcW w:w="973" w:type="dxa"/>
            <w:tcBorders>
              <w:top w:val="nil"/>
              <w:left w:val="nil"/>
              <w:bottom w:val="nil"/>
              <w:right w:val="nil"/>
            </w:tcBorders>
            <w:vAlign w:val="bottom"/>
            <w:hideMark/>
          </w:tcPr>
          <w:p w14:paraId="1105B4F4" w14:textId="526B238A"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22.5</w:t>
            </w:r>
          </w:p>
        </w:tc>
        <w:tc>
          <w:tcPr>
            <w:tcW w:w="2004" w:type="dxa"/>
            <w:tcBorders>
              <w:top w:val="nil"/>
              <w:left w:val="nil"/>
              <w:bottom w:val="nil"/>
              <w:right w:val="nil"/>
            </w:tcBorders>
            <w:vAlign w:val="bottom"/>
            <w:hideMark/>
          </w:tcPr>
          <w:p w14:paraId="22FBADD0" w14:textId="564E0A7A"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2</w:t>
            </w:r>
            <w:r w:rsidR="002E5F2A" w:rsidRPr="00277805">
              <w:rPr>
                <w:rFonts w:ascii="Arial" w:hAnsi="Arial" w:cs="Arial"/>
              </w:rPr>
              <w:t>0</w:t>
            </w:r>
            <w:r w:rsidRPr="00277805">
              <w:rPr>
                <w:rFonts w:ascii="Arial" w:hAnsi="Arial" w:cs="Arial"/>
              </w:rPr>
              <w:t>.5</w:t>
            </w:r>
            <w:r w:rsidRPr="003E773F">
              <w:rPr>
                <w:rFonts w:ascii="Arial" w:hAnsi="Arial" w:cs="Arial"/>
              </w:rPr>
              <w:t xml:space="preserve"> ± 0.11</w:t>
            </w:r>
          </w:p>
        </w:tc>
        <w:tc>
          <w:tcPr>
            <w:tcW w:w="1559" w:type="dxa"/>
            <w:tcBorders>
              <w:top w:val="nil"/>
              <w:left w:val="nil"/>
              <w:bottom w:val="nil"/>
              <w:right w:val="nil"/>
            </w:tcBorders>
            <w:hideMark/>
          </w:tcPr>
          <w:p w14:paraId="2C47CEBE" w14:textId="4340481A"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89.0</w:t>
            </w:r>
            <w:r w:rsidR="00593F6E" w:rsidRPr="00277805">
              <w:rPr>
                <w:rFonts w:ascii="Arial" w:hAnsi="Arial" w:cs="Arial"/>
              </w:rPr>
              <w:t xml:space="preserve"> </w:t>
            </w:r>
            <w:r w:rsidR="00593F6E" w:rsidRPr="003E773F">
              <w:rPr>
                <w:rFonts w:ascii="Arial" w:hAnsi="Arial" w:cs="Arial"/>
              </w:rPr>
              <w:t>± 0.11</w:t>
            </w:r>
          </w:p>
        </w:tc>
        <w:tc>
          <w:tcPr>
            <w:tcW w:w="2126" w:type="dxa"/>
            <w:vMerge w:val="restart"/>
            <w:tcBorders>
              <w:top w:val="nil"/>
              <w:left w:val="nil"/>
              <w:bottom w:val="outset" w:sz="6" w:space="0" w:color="auto"/>
              <w:right w:val="nil"/>
            </w:tcBorders>
            <w:vAlign w:val="center"/>
            <w:hideMark/>
          </w:tcPr>
          <w:p w14:paraId="59D3221E" w14:textId="0398BB10"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93.2 ± 4.6</w:t>
            </w:r>
          </w:p>
        </w:tc>
        <w:tc>
          <w:tcPr>
            <w:tcW w:w="1560" w:type="dxa"/>
            <w:vMerge w:val="restart"/>
            <w:tcBorders>
              <w:top w:val="nil"/>
              <w:left w:val="nil"/>
              <w:bottom w:val="outset" w:sz="6" w:space="0" w:color="auto"/>
              <w:right w:val="nil"/>
            </w:tcBorders>
            <w:vAlign w:val="center"/>
            <w:hideMark/>
          </w:tcPr>
          <w:p w14:paraId="13D0C399" w14:textId="03648606"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1</w:t>
            </w:r>
            <w:r w:rsidRPr="003E773F">
              <w:rPr>
                <w:rFonts w:ascii="Arial" w:hAnsi="Arial" w:cs="Arial"/>
              </w:rPr>
              <w:t>.</w:t>
            </w:r>
            <w:r w:rsidRPr="00277805">
              <w:rPr>
                <w:rFonts w:ascii="Arial" w:hAnsi="Arial" w:cs="Arial"/>
              </w:rPr>
              <w:t>5</w:t>
            </w:r>
            <w:r w:rsidRPr="003E773F">
              <w:rPr>
                <w:rFonts w:ascii="Arial" w:hAnsi="Arial" w:cs="Arial"/>
              </w:rPr>
              <w:t>3</w:t>
            </w:r>
          </w:p>
        </w:tc>
      </w:tr>
      <w:tr w:rsidR="007B2353" w:rsidRPr="00277805" w14:paraId="7216752A" w14:textId="77777777" w:rsidTr="00277805">
        <w:trPr>
          <w:jc w:val="center"/>
        </w:trPr>
        <w:tc>
          <w:tcPr>
            <w:tcW w:w="2553" w:type="dxa"/>
            <w:vMerge/>
            <w:tcBorders>
              <w:top w:val="nil"/>
              <w:left w:val="nil"/>
              <w:bottom w:val="nil"/>
              <w:right w:val="nil"/>
            </w:tcBorders>
            <w:vAlign w:val="center"/>
            <w:hideMark/>
          </w:tcPr>
          <w:p w14:paraId="708C7DAA"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hideMark/>
          </w:tcPr>
          <w:p w14:paraId="58BDDEEA" w14:textId="7FB143BD"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43.9</w:t>
            </w:r>
          </w:p>
        </w:tc>
        <w:tc>
          <w:tcPr>
            <w:tcW w:w="2004" w:type="dxa"/>
            <w:tcBorders>
              <w:top w:val="nil"/>
              <w:left w:val="nil"/>
              <w:bottom w:val="nil"/>
              <w:right w:val="nil"/>
            </w:tcBorders>
            <w:vAlign w:val="bottom"/>
            <w:hideMark/>
          </w:tcPr>
          <w:p w14:paraId="071D901A" w14:textId="6DF81E38"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40</w:t>
            </w:r>
            <w:r w:rsidR="00855FA4" w:rsidRPr="003E773F">
              <w:rPr>
                <w:rFonts w:ascii="Arial" w:hAnsi="Arial" w:cs="Arial"/>
              </w:rPr>
              <w:t>,12 ± 0.15</w:t>
            </w:r>
          </w:p>
        </w:tc>
        <w:tc>
          <w:tcPr>
            <w:tcW w:w="1559" w:type="dxa"/>
            <w:tcBorders>
              <w:top w:val="nil"/>
              <w:left w:val="nil"/>
              <w:bottom w:val="nil"/>
              <w:right w:val="nil"/>
            </w:tcBorders>
            <w:hideMark/>
          </w:tcPr>
          <w:p w14:paraId="142DE7CD" w14:textId="574019B2"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92</w:t>
            </w:r>
            <w:r w:rsidR="00855FA4" w:rsidRPr="001A4101">
              <w:rPr>
                <w:rFonts w:ascii="Arial" w:hAnsi="Arial" w:cs="Arial"/>
              </w:rPr>
              <w:t>.0</w:t>
            </w:r>
            <w:r w:rsidR="00593F6E" w:rsidRPr="00277805">
              <w:rPr>
                <w:rFonts w:ascii="Arial" w:hAnsi="Arial" w:cs="Arial"/>
              </w:rPr>
              <w:t xml:space="preserve"> </w:t>
            </w:r>
            <w:r w:rsidR="00593F6E" w:rsidRPr="003E773F">
              <w:rPr>
                <w:rFonts w:ascii="Arial" w:hAnsi="Arial" w:cs="Arial"/>
              </w:rPr>
              <w:t>± 0.</w:t>
            </w:r>
            <w:r w:rsidR="00593F6E" w:rsidRPr="00277805">
              <w:rPr>
                <w:rFonts w:ascii="Arial" w:hAnsi="Arial" w:cs="Arial"/>
              </w:rPr>
              <w:t>5</w:t>
            </w:r>
            <w:r w:rsidR="00593F6E" w:rsidRPr="003E773F">
              <w:rPr>
                <w:rFonts w:ascii="Arial" w:hAnsi="Arial" w:cs="Arial"/>
              </w:rPr>
              <w:t>1</w:t>
            </w:r>
          </w:p>
        </w:tc>
        <w:tc>
          <w:tcPr>
            <w:tcW w:w="2126" w:type="dxa"/>
            <w:vMerge/>
            <w:tcBorders>
              <w:top w:val="nil"/>
              <w:left w:val="nil"/>
              <w:bottom w:val="outset" w:sz="6" w:space="0" w:color="auto"/>
              <w:right w:val="nil"/>
            </w:tcBorders>
            <w:vAlign w:val="center"/>
            <w:hideMark/>
          </w:tcPr>
          <w:p w14:paraId="40225959"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hideMark/>
          </w:tcPr>
          <w:p w14:paraId="00CA75D1" w14:textId="77777777" w:rsidR="00855FA4" w:rsidRPr="003E773F" w:rsidRDefault="00855FA4" w:rsidP="00277805">
            <w:pPr>
              <w:tabs>
                <w:tab w:val="left" w:pos="142"/>
              </w:tabs>
              <w:spacing w:after="0" w:line="240" w:lineRule="auto"/>
              <w:jc w:val="center"/>
              <w:rPr>
                <w:rFonts w:ascii="Arial" w:hAnsi="Arial" w:cs="Arial"/>
              </w:rPr>
            </w:pPr>
          </w:p>
        </w:tc>
      </w:tr>
      <w:tr w:rsidR="007B2353" w:rsidRPr="00277805" w14:paraId="7931E034" w14:textId="77777777" w:rsidTr="00277805">
        <w:trPr>
          <w:jc w:val="center"/>
        </w:trPr>
        <w:tc>
          <w:tcPr>
            <w:tcW w:w="2553" w:type="dxa"/>
            <w:vMerge/>
            <w:tcBorders>
              <w:top w:val="nil"/>
              <w:left w:val="nil"/>
              <w:bottom w:val="nil"/>
              <w:right w:val="nil"/>
            </w:tcBorders>
            <w:vAlign w:val="center"/>
            <w:hideMark/>
          </w:tcPr>
          <w:p w14:paraId="6299CCD6"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hideMark/>
          </w:tcPr>
          <w:p w14:paraId="4154076E" w14:textId="3129FFAF"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65.0</w:t>
            </w:r>
          </w:p>
        </w:tc>
        <w:tc>
          <w:tcPr>
            <w:tcW w:w="2004" w:type="dxa"/>
            <w:tcBorders>
              <w:top w:val="nil"/>
              <w:left w:val="nil"/>
              <w:bottom w:val="nil"/>
              <w:right w:val="nil"/>
            </w:tcBorders>
            <w:vAlign w:val="bottom"/>
            <w:hideMark/>
          </w:tcPr>
          <w:p w14:paraId="4FADF10F" w14:textId="62AC30B2"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6</w:t>
            </w:r>
            <w:r w:rsidR="00855FA4" w:rsidRPr="003E773F">
              <w:rPr>
                <w:rFonts w:ascii="Arial" w:hAnsi="Arial" w:cs="Arial"/>
              </w:rPr>
              <w:t>0,33 ±0.13</w:t>
            </w:r>
          </w:p>
        </w:tc>
        <w:tc>
          <w:tcPr>
            <w:tcW w:w="1559" w:type="dxa"/>
            <w:tcBorders>
              <w:top w:val="nil"/>
              <w:left w:val="nil"/>
              <w:bottom w:val="nil"/>
              <w:right w:val="nil"/>
            </w:tcBorders>
            <w:hideMark/>
          </w:tcPr>
          <w:p w14:paraId="5F05AE14" w14:textId="0C0DDB23"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93</w:t>
            </w:r>
            <w:r w:rsidR="00855FA4" w:rsidRPr="001A4101">
              <w:rPr>
                <w:rFonts w:ascii="Arial" w:hAnsi="Arial" w:cs="Arial"/>
              </w:rPr>
              <w:t>.0</w:t>
            </w:r>
            <w:r w:rsidR="00593F6E" w:rsidRPr="00277805">
              <w:rPr>
                <w:rFonts w:ascii="Arial" w:hAnsi="Arial" w:cs="Arial"/>
              </w:rPr>
              <w:t xml:space="preserve"> </w:t>
            </w:r>
            <w:r w:rsidR="00593F6E" w:rsidRPr="003E773F">
              <w:rPr>
                <w:rFonts w:ascii="Arial" w:hAnsi="Arial" w:cs="Arial"/>
              </w:rPr>
              <w:t xml:space="preserve">± </w:t>
            </w:r>
            <w:r w:rsidR="00593F6E" w:rsidRPr="00277805">
              <w:rPr>
                <w:rFonts w:ascii="Arial" w:hAnsi="Arial" w:cs="Arial"/>
              </w:rPr>
              <w:t>1</w:t>
            </w:r>
            <w:r w:rsidR="00593F6E" w:rsidRPr="003E773F">
              <w:rPr>
                <w:rFonts w:ascii="Arial" w:hAnsi="Arial" w:cs="Arial"/>
              </w:rPr>
              <w:t>.</w:t>
            </w:r>
            <w:r w:rsidR="00593F6E" w:rsidRPr="00277805">
              <w:rPr>
                <w:rFonts w:ascii="Arial" w:hAnsi="Arial" w:cs="Arial"/>
              </w:rPr>
              <w:t>4</w:t>
            </w:r>
            <w:r w:rsidR="00593F6E" w:rsidRPr="003E773F">
              <w:rPr>
                <w:rFonts w:ascii="Arial" w:hAnsi="Arial" w:cs="Arial"/>
              </w:rPr>
              <w:t>1</w:t>
            </w:r>
          </w:p>
        </w:tc>
        <w:tc>
          <w:tcPr>
            <w:tcW w:w="2126" w:type="dxa"/>
            <w:vMerge/>
            <w:tcBorders>
              <w:top w:val="nil"/>
              <w:left w:val="nil"/>
              <w:bottom w:val="outset" w:sz="6" w:space="0" w:color="auto"/>
              <w:right w:val="nil"/>
            </w:tcBorders>
            <w:vAlign w:val="center"/>
            <w:hideMark/>
          </w:tcPr>
          <w:p w14:paraId="77F4291A"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hideMark/>
          </w:tcPr>
          <w:p w14:paraId="6CD9C39A" w14:textId="77777777" w:rsidR="00855FA4" w:rsidRPr="003E773F" w:rsidRDefault="00855FA4" w:rsidP="00277805">
            <w:pPr>
              <w:tabs>
                <w:tab w:val="left" w:pos="142"/>
              </w:tabs>
              <w:spacing w:after="0" w:line="240" w:lineRule="auto"/>
              <w:jc w:val="center"/>
              <w:rPr>
                <w:rFonts w:ascii="Arial" w:hAnsi="Arial" w:cs="Arial"/>
              </w:rPr>
            </w:pPr>
          </w:p>
        </w:tc>
      </w:tr>
      <w:tr w:rsidR="007B2353" w:rsidRPr="00277805" w14:paraId="502395E3" w14:textId="77777777" w:rsidTr="00277805">
        <w:trPr>
          <w:jc w:val="center"/>
        </w:trPr>
        <w:tc>
          <w:tcPr>
            <w:tcW w:w="2553" w:type="dxa"/>
            <w:vMerge/>
            <w:tcBorders>
              <w:top w:val="nil"/>
              <w:left w:val="nil"/>
              <w:bottom w:val="nil"/>
              <w:right w:val="nil"/>
            </w:tcBorders>
            <w:vAlign w:val="center"/>
            <w:hideMark/>
          </w:tcPr>
          <w:p w14:paraId="09733570"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hideMark/>
          </w:tcPr>
          <w:p w14:paraId="23D5B79F" w14:textId="2E366E77" w:rsidR="00855FA4" w:rsidRPr="003E773F" w:rsidRDefault="00855FA4" w:rsidP="00277805">
            <w:pPr>
              <w:tabs>
                <w:tab w:val="left" w:pos="142"/>
              </w:tabs>
              <w:spacing w:after="0" w:line="240" w:lineRule="auto"/>
              <w:rPr>
                <w:rFonts w:ascii="Arial" w:hAnsi="Arial" w:cs="Arial"/>
              </w:rPr>
            </w:pPr>
            <w:r w:rsidRPr="00277805">
              <w:rPr>
                <w:rFonts w:ascii="Arial" w:hAnsi="Arial" w:cs="Arial"/>
              </w:rPr>
              <w:t xml:space="preserve">       86.3</w:t>
            </w:r>
          </w:p>
        </w:tc>
        <w:tc>
          <w:tcPr>
            <w:tcW w:w="2004" w:type="dxa"/>
            <w:tcBorders>
              <w:top w:val="nil"/>
              <w:left w:val="nil"/>
              <w:bottom w:val="nil"/>
              <w:right w:val="nil"/>
            </w:tcBorders>
            <w:vAlign w:val="bottom"/>
            <w:hideMark/>
          </w:tcPr>
          <w:p w14:paraId="58F20F80" w14:textId="11A1230E"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83</w:t>
            </w:r>
            <w:r w:rsidR="00855FA4" w:rsidRPr="003E773F">
              <w:rPr>
                <w:rFonts w:ascii="Arial" w:hAnsi="Arial" w:cs="Arial"/>
              </w:rPr>
              <w:t>,</w:t>
            </w:r>
            <w:r w:rsidRPr="00277805">
              <w:rPr>
                <w:rFonts w:ascii="Arial" w:hAnsi="Arial" w:cs="Arial"/>
              </w:rPr>
              <w:t>28</w:t>
            </w:r>
            <w:r w:rsidR="00855FA4" w:rsidRPr="003E773F">
              <w:rPr>
                <w:rFonts w:ascii="Arial" w:hAnsi="Arial" w:cs="Arial"/>
              </w:rPr>
              <w:t xml:space="preserve"> ± 0.14</w:t>
            </w:r>
          </w:p>
        </w:tc>
        <w:tc>
          <w:tcPr>
            <w:tcW w:w="1559" w:type="dxa"/>
            <w:tcBorders>
              <w:top w:val="nil"/>
              <w:left w:val="nil"/>
              <w:bottom w:val="nil"/>
              <w:right w:val="nil"/>
            </w:tcBorders>
            <w:hideMark/>
          </w:tcPr>
          <w:p w14:paraId="594978F1" w14:textId="01947CD5"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96.5</w:t>
            </w:r>
            <w:r w:rsidR="00593F6E" w:rsidRPr="00277805">
              <w:rPr>
                <w:rFonts w:ascii="Arial" w:hAnsi="Arial" w:cs="Arial"/>
              </w:rPr>
              <w:t xml:space="preserve"> </w:t>
            </w:r>
            <w:r w:rsidR="00593F6E" w:rsidRPr="003E773F">
              <w:rPr>
                <w:rFonts w:ascii="Arial" w:hAnsi="Arial" w:cs="Arial"/>
              </w:rPr>
              <w:t xml:space="preserve">± </w:t>
            </w:r>
            <w:r w:rsidR="00593F6E" w:rsidRPr="00277805">
              <w:rPr>
                <w:rFonts w:ascii="Arial" w:hAnsi="Arial" w:cs="Arial"/>
              </w:rPr>
              <w:t>2</w:t>
            </w:r>
            <w:r w:rsidR="00593F6E" w:rsidRPr="003E773F">
              <w:rPr>
                <w:rFonts w:ascii="Arial" w:hAnsi="Arial" w:cs="Arial"/>
              </w:rPr>
              <w:t>.1</w:t>
            </w:r>
            <w:r w:rsidR="00593F6E" w:rsidRPr="00277805">
              <w:rPr>
                <w:rFonts w:ascii="Arial" w:hAnsi="Arial" w:cs="Arial"/>
              </w:rPr>
              <w:t>0</w:t>
            </w:r>
          </w:p>
        </w:tc>
        <w:tc>
          <w:tcPr>
            <w:tcW w:w="2126" w:type="dxa"/>
            <w:vMerge/>
            <w:tcBorders>
              <w:top w:val="nil"/>
              <w:left w:val="nil"/>
              <w:bottom w:val="outset" w:sz="6" w:space="0" w:color="auto"/>
              <w:right w:val="nil"/>
            </w:tcBorders>
            <w:vAlign w:val="center"/>
            <w:hideMark/>
          </w:tcPr>
          <w:p w14:paraId="72B18E6A"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hideMark/>
          </w:tcPr>
          <w:p w14:paraId="20B162AF" w14:textId="77777777" w:rsidR="00855FA4" w:rsidRPr="003E773F" w:rsidRDefault="00855FA4" w:rsidP="00277805">
            <w:pPr>
              <w:tabs>
                <w:tab w:val="left" w:pos="142"/>
              </w:tabs>
              <w:spacing w:after="0" w:line="240" w:lineRule="auto"/>
              <w:jc w:val="center"/>
              <w:rPr>
                <w:rFonts w:ascii="Arial" w:hAnsi="Arial" w:cs="Arial"/>
              </w:rPr>
            </w:pPr>
          </w:p>
        </w:tc>
      </w:tr>
      <w:tr w:rsidR="007B2353" w:rsidRPr="00277805" w14:paraId="06632A2F" w14:textId="77777777" w:rsidTr="00277805">
        <w:trPr>
          <w:jc w:val="center"/>
        </w:trPr>
        <w:tc>
          <w:tcPr>
            <w:tcW w:w="2553" w:type="dxa"/>
            <w:vMerge/>
            <w:tcBorders>
              <w:top w:val="nil"/>
              <w:left w:val="nil"/>
              <w:bottom w:val="nil"/>
              <w:right w:val="nil"/>
            </w:tcBorders>
            <w:vAlign w:val="center"/>
            <w:hideMark/>
          </w:tcPr>
          <w:p w14:paraId="0039F5CB"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outset" w:sz="6" w:space="0" w:color="auto"/>
              <w:right w:val="nil"/>
            </w:tcBorders>
            <w:vAlign w:val="bottom"/>
            <w:hideMark/>
          </w:tcPr>
          <w:p w14:paraId="4A97156F" w14:textId="24B5669E" w:rsidR="00855FA4" w:rsidRPr="003E773F" w:rsidRDefault="00855FA4" w:rsidP="00277805">
            <w:pPr>
              <w:tabs>
                <w:tab w:val="left" w:pos="142"/>
              </w:tabs>
              <w:spacing w:after="0" w:line="240" w:lineRule="auto"/>
              <w:rPr>
                <w:rFonts w:ascii="Arial" w:hAnsi="Arial" w:cs="Arial"/>
              </w:rPr>
            </w:pPr>
            <w:r w:rsidRPr="00277805">
              <w:rPr>
                <w:rFonts w:ascii="Arial" w:hAnsi="Arial" w:cs="Arial"/>
              </w:rPr>
              <w:t xml:space="preserve">     107.6</w:t>
            </w:r>
          </w:p>
        </w:tc>
        <w:tc>
          <w:tcPr>
            <w:tcW w:w="2004" w:type="dxa"/>
            <w:tcBorders>
              <w:top w:val="nil"/>
              <w:left w:val="nil"/>
              <w:bottom w:val="outset" w:sz="6" w:space="0" w:color="auto"/>
              <w:right w:val="nil"/>
            </w:tcBorders>
            <w:vAlign w:val="bottom"/>
            <w:hideMark/>
          </w:tcPr>
          <w:p w14:paraId="211E0F01" w14:textId="47E427C9"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96</w:t>
            </w:r>
            <w:r w:rsidR="00855FA4" w:rsidRPr="003E773F">
              <w:rPr>
                <w:rFonts w:ascii="Arial" w:hAnsi="Arial" w:cs="Arial"/>
              </w:rPr>
              <w:t>,61 ± 0.23</w:t>
            </w:r>
          </w:p>
        </w:tc>
        <w:tc>
          <w:tcPr>
            <w:tcW w:w="1559" w:type="dxa"/>
            <w:tcBorders>
              <w:top w:val="nil"/>
              <w:left w:val="nil"/>
              <w:bottom w:val="outset" w:sz="6" w:space="0" w:color="auto"/>
              <w:right w:val="nil"/>
            </w:tcBorders>
            <w:hideMark/>
          </w:tcPr>
          <w:p w14:paraId="19326CC3" w14:textId="007C2128"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90</w:t>
            </w:r>
            <w:r w:rsidR="00855FA4" w:rsidRPr="001A4101">
              <w:rPr>
                <w:rFonts w:ascii="Arial" w:hAnsi="Arial" w:cs="Arial"/>
              </w:rPr>
              <w:t>.0</w:t>
            </w:r>
            <w:r w:rsidR="00593F6E" w:rsidRPr="00277805">
              <w:rPr>
                <w:rFonts w:ascii="Arial" w:hAnsi="Arial" w:cs="Arial"/>
              </w:rPr>
              <w:t xml:space="preserve"> </w:t>
            </w:r>
            <w:r w:rsidR="00593F6E" w:rsidRPr="003E773F">
              <w:rPr>
                <w:rFonts w:ascii="Arial" w:hAnsi="Arial" w:cs="Arial"/>
              </w:rPr>
              <w:t>± 0.</w:t>
            </w:r>
            <w:r w:rsidR="00593F6E" w:rsidRPr="00277805">
              <w:rPr>
                <w:rFonts w:ascii="Arial" w:hAnsi="Arial" w:cs="Arial"/>
              </w:rPr>
              <w:t>5</w:t>
            </w:r>
            <w:r w:rsidR="00593F6E" w:rsidRPr="003E773F">
              <w:rPr>
                <w:rFonts w:ascii="Arial" w:hAnsi="Arial" w:cs="Arial"/>
              </w:rPr>
              <w:t>1</w:t>
            </w:r>
          </w:p>
        </w:tc>
        <w:tc>
          <w:tcPr>
            <w:tcW w:w="2126" w:type="dxa"/>
            <w:vMerge/>
            <w:tcBorders>
              <w:top w:val="nil"/>
              <w:left w:val="nil"/>
              <w:bottom w:val="outset" w:sz="6" w:space="0" w:color="auto"/>
              <w:right w:val="nil"/>
            </w:tcBorders>
            <w:vAlign w:val="center"/>
            <w:hideMark/>
          </w:tcPr>
          <w:p w14:paraId="3E832EAF"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hideMark/>
          </w:tcPr>
          <w:p w14:paraId="49A2D21B" w14:textId="77777777" w:rsidR="00855FA4" w:rsidRPr="003E773F" w:rsidRDefault="00855FA4" w:rsidP="00277805">
            <w:pPr>
              <w:tabs>
                <w:tab w:val="left" w:pos="142"/>
              </w:tabs>
              <w:spacing w:after="0" w:line="240" w:lineRule="auto"/>
              <w:jc w:val="center"/>
              <w:rPr>
                <w:rFonts w:ascii="Arial" w:hAnsi="Arial" w:cs="Arial"/>
              </w:rPr>
            </w:pPr>
          </w:p>
        </w:tc>
      </w:tr>
      <w:tr w:rsidR="007B2353" w:rsidRPr="00277805" w14:paraId="009B50D9" w14:textId="77777777" w:rsidTr="00277805">
        <w:trPr>
          <w:jc w:val="center"/>
        </w:trPr>
        <w:tc>
          <w:tcPr>
            <w:tcW w:w="2553" w:type="dxa"/>
            <w:vMerge w:val="restart"/>
            <w:tcBorders>
              <w:top w:val="nil"/>
              <w:left w:val="nil"/>
              <w:bottom w:val="nil"/>
              <w:right w:val="nil"/>
            </w:tcBorders>
            <w:vAlign w:val="center"/>
            <w:hideMark/>
          </w:tcPr>
          <w:p w14:paraId="2555EE6B" w14:textId="7E5253E1"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 xml:space="preserve">SPE / </w:t>
            </w:r>
            <w:proofErr w:type="gramStart"/>
            <w:r w:rsidRPr="001A4101">
              <w:rPr>
                <w:rFonts w:ascii="Arial" w:hAnsi="Arial" w:cs="Arial"/>
              </w:rPr>
              <w:t>MeOH:</w:t>
            </w:r>
            <w:proofErr w:type="gramEnd"/>
            <w:r w:rsidRPr="001A4101">
              <w:rPr>
                <w:rFonts w:ascii="Arial" w:hAnsi="Arial" w:cs="Arial"/>
              </w:rPr>
              <w:t>H</w:t>
            </w:r>
            <w:r w:rsidRPr="001A4101">
              <w:rPr>
                <w:rFonts w:ascii="Cambria Math" w:hAnsi="Cambria Math" w:cs="Cambria Math"/>
              </w:rPr>
              <w:t>₂</w:t>
            </w:r>
            <w:r w:rsidRPr="001A4101">
              <w:rPr>
                <w:rFonts w:ascii="Arial" w:hAnsi="Arial" w:cs="Arial"/>
              </w:rPr>
              <w:t>O (1:1)</w:t>
            </w:r>
          </w:p>
        </w:tc>
        <w:tc>
          <w:tcPr>
            <w:tcW w:w="973" w:type="dxa"/>
            <w:tcBorders>
              <w:top w:val="nil"/>
              <w:left w:val="nil"/>
              <w:bottom w:val="nil"/>
              <w:right w:val="nil"/>
            </w:tcBorders>
            <w:vAlign w:val="bottom"/>
            <w:hideMark/>
          </w:tcPr>
          <w:p w14:paraId="6CA85230" w14:textId="4A0645AB"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22.5</w:t>
            </w:r>
          </w:p>
        </w:tc>
        <w:tc>
          <w:tcPr>
            <w:tcW w:w="2004" w:type="dxa"/>
            <w:tcBorders>
              <w:top w:val="nil"/>
              <w:left w:val="nil"/>
              <w:bottom w:val="nil"/>
              <w:right w:val="nil"/>
            </w:tcBorders>
            <w:vAlign w:val="bottom"/>
            <w:hideMark/>
          </w:tcPr>
          <w:p w14:paraId="1065FB0B" w14:textId="1727A15E"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21</w:t>
            </w:r>
            <w:r w:rsidR="00855FA4" w:rsidRPr="003E773F">
              <w:rPr>
                <w:rFonts w:ascii="Arial" w:hAnsi="Arial" w:cs="Arial"/>
              </w:rPr>
              <w:t>,</w:t>
            </w:r>
            <w:r w:rsidRPr="00277805">
              <w:rPr>
                <w:rFonts w:ascii="Arial" w:hAnsi="Arial" w:cs="Arial"/>
              </w:rPr>
              <w:t>37</w:t>
            </w:r>
            <w:r w:rsidR="00855FA4" w:rsidRPr="003E773F">
              <w:rPr>
                <w:rFonts w:ascii="Arial" w:hAnsi="Arial" w:cs="Arial"/>
              </w:rPr>
              <w:t xml:space="preserve"> ± 0.04</w:t>
            </w:r>
          </w:p>
        </w:tc>
        <w:tc>
          <w:tcPr>
            <w:tcW w:w="1559" w:type="dxa"/>
            <w:tcBorders>
              <w:top w:val="nil"/>
              <w:left w:val="nil"/>
              <w:bottom w:val="nil"/>
              <w:right w:val="nil"/>
            </w:tcBorders>
            <w:hideMark/>
          </w:tcPr>
          <w:p w14:paraId="335C955C" w14:textId="0E8CF337"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95.0</w:t>
            </w:r>
            <w:r w:rsidR="00593F6E" w:rsidRPr="00277805">
              <w:rPr>
                <w:rFonts w:ascii="Arial" w:hAnsi="Arial" w:cs="Arial"/>
              </w:rPr>
              <w:t xml:space="preserve"> </w:t>
            </w:r>
            <w:r w:rsidR="00593F6E" w:rsidRPr="003E773F">
              <w:rPr>
                <w:rFonts w:ascii="Arial" w:hAnsi="Arial" w:cs="Arial"/>
              </w:rPr>
              <w:t xml:space="preserve">± </w:t>
            </w:r>
            <w:r w:rsidR="002E5F2A" w:rsidRPr="00277805">
              <w:rPr>
                <w:rFonts w:ascii="Arial" w:hAnsi="Arial" w:cs="Arial"/>
              </w:rPr>
              <w:t>1.</w:t>
            </w:r>
            <w:r w:rsidR="00593F6E" w:rsidRPr="00277805">
              <w:rPr>
                <w:rFonts w:ascii="Arial" w:hAnsi="Arial" w:cs="Arial"/>
              </w:rPr>
              <w:t>5</w:t>
            </w:r>
            <w:r w:rsidR="002E5F2A" w:rsidRPr="00277805">
              <w:rPr>
                <w:rFonts w:ascii="Arial" w:hAnsi="Arial" w:cs="Arial"/>
              </w:rPr>
              <w:t>2</w:t>
            </w:r>
          </w:p>
        </w:tc>
        <w:tc>
          <w:tcPr>
            <w:tcW w:w="2126" w:type="dxa"/>
            <w:vMerge w:val="restart"/>
            <w:tcBorders>
              <w:top w:val="nil"/>
              <w:left w:val="nil"/>
              <w:bottom w:val="outset" w:sz="6" w:space="0" w:color="auto"/>
              <w:right w:val="nil"/>
            </w:tcBorders>
            <w:vAlign w:val="center"/>
            <w:hideMark/>
          </w:tcPr>
          <w:p w14:paraId="01DAC564" w14:textId="09C827BD"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98.2 ± 0.6</w:t>
            </w:r>
          </w:p>
        </w:tc>
        <w:tc>
          <w:tcPr>
            <w:tcW w:w="1560" w:type="dxa"/>
            <w:vMerge w:val="restart"/>
            <w:tcBorders>
              <w:top w:val="nil"/>
              <w:left w:val="nil"/>
              <w:bottom w:val="outset" w:sz="6" w:space="0" w:color="auto"/>
              <w:right w:val="nil"/>
            </w:tcBorders>
            <w:vAlign w:val="center"/>
            <w:hideMark/>
          </w:tcPr>
          <w:p w14:paraId="40D32E12" w14:textId="4F937F19" w:rsidR="00855FA4" w:rsidRPr="003E773F" w:rsidRDefault="00855FA4" w:rsidP="00277805">
            <w:pPr>
              <w:tabs>
                <w:tab w:val="left" w:pos="142"/>
              </w:tabs>
              <w:spacing w:after="0" w:line="240" w:lineRule="auto"/>
              <w:jc w:val="center"/>
              <w:rPr>
                <w:rFonts w:ascii="Arial" w:hAnsi="Arial" w:cs="Arial"/>
              </w:rPr>
            </w:pPr>
            <w:r w:rsidRPr="003E773F">
              <w:rPr>
                <w:rFonts w:ascii="Arial" w:hAnsi="Arial" w:cs="Arial"/>
              </w:rPr>
              <w:t>3.</w:t>
            </w:r>
            <w:r w:rsidRPr="00277805">
              <w:rPr>
                <w:rFonts w:ascii="Arial" w:hAnsi="Arial" w:cs="Arial"/>
              </w:rPr>
              <w:t>6</w:t>
            </w:r>
            <w:r w:rsidRPr="003E773F">
              <w:rPr>
                <w:rFonts w:ascii="Arial" w:hAnsi="Arial" w:cs="Arial"/>
              </w:rPr>
              <w:t>4</w:t>
            </w:r>
          </w:p>
        </w:tc>
      </w:tr>
      <w:tr w:rsidR="007B2353" w:rsidRPr="00277805" w14:paraId="4FB5919D" w14:textId="77777777" w:rsidTr="00277805">
        <w:trPr>
          <w:jc w:val="center"/>
        </w:trPr>
        <w:tc>
          <w:tcPr>
            <w:tcW w:w="2553" w:type="dxa"/>
            <w:vMerge/>
            <w:tcBorders>
              <w:top w:val="nil"/>
              <w:left w:val="nil"/>
              <w:bottom w:val="nil"/>
              <w:right w:val="nil"/>
            </w:tcBorders>
            <w:vAlign w:val="center"/>
            <w:hideMark/>
          </w:tcPr>
          <w:p w14:paraId="617932F4"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hideMark/>
          </w:tcPr>
          <w:p w14:paraId="01A4953C" w14:textId="6A6EC07C"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43.9</w:t>
            </w:r>
          </w:p>
        </w:tc>
        <w:tc>
          <w:tcPr>
            <w:tcW w:w="2004" w:type="dxa"/>
            <w:tcBorders>
              <w:top w:val="nil"/>
              <w:left w:val="nil"/>
              <w:bottom w:val="nil"/>
              <w:right w:val="nil"/>
            </w:tcBorders>
            <w:vAlign w:val="bottom"/>
            <w:hideMark/>
          </w:tcPr>
          <w:p w14:paraId="21FDCE87" w14:textId="5A97535F"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43</w:t>
            </w:r>
            <w:r w:rsidR="00855FA4" w:rsidRPr="003E773F">
              <w:rPr>
                <w:rFonts w:ascii="Arial" w:hAnsi="Arial" w:cs="Arial"/>
              </w:rPr>
              <w:t>,</w:t>
            </w:r>
            <w:r w:rsidRPr="00277805">
              <w:rPr>
                <w:rFonts w:ascii="Arial" w:hAnsi="Arial" w:cs="Arial"/>
              </w:rPr>
              <w:t>46</w:t>
            </w:r>
            <w:r w:rsidR="00855FA4" w:rsidRPr="003E773F">
              <w:rPr>
                <w:rFonts w:ascii="Arial" w:hAnsi="Arial" w:cs="Arial"/>
              </w:rPr>
              <w:t xml:space="preserve"> ± 0.02</w:t>
            </w:r>
          </w:p>
        </w:tc>
        <w:tc>
          <w:tcPr>
            <w:tcW w:w="1559" w:type="dxa"/>
            <w:tcBorders>
              <w:top w:val="nil"/>
              <w:left w:val="nil"/>
              <w:bottom w:val="nil"/>
              <w:right w:val="nil"/>
            </w:tcBorders>
            <w:hideMark/>
          </w:tcPr>
          <w:p w14:paraId="20E8DF92" w14:textId="23B61193"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99</w:t>
            </w:r>
            <w:r w:rsidR="00855FA4" w:rsidRPr="001A4101">
              <w:rPr>
                <w:rFonts w:ascii="Arial" w:hAnsi="Arial" w:cs="Arial"/>
              </w:rPr>
              <w:t>.0</w:t>
            </w:r>
            <w:r w:rsidR="00593F6E" w:rsidRPr="00277805">
              <w:rPr>
                <w:rFonts w:ascii="Arial" w:hAnsi="Arial" w:cs="Arial"/>
              </w:rPr>
              <w:t xml:space="preserve"> </w:t>
            </w:r>
            <w:r w:rsidR="00593F6E" w:rsidRPr="003E773F">
              <w:rPr>
                <w:rFonts w:ascii="Arial" w:hAnsi="Arial" w:cs="Arial"/>
              </w:rPr>
              <w:t xml:space="preserve">± </w:t>
            </w:r>
            <w:r w:rsidRPr="00277805">
              <w:rPr>
                <w:rFonts w:ascii="Arial" w:hAnsi="Arial" w:cs="Arial"/>
              </w:rPr>
              <w:t>2</w:t>
            </w:r>
            <w:r w:rsidR="00593F6E" w:rsidRPr="003E773F">
              <w:rPr>
                <w:rFonts w:ascii="Arial" w:hAnsi="Arial" w:cs="Arial"/>
              </w:rPr>
              <w:t>.</w:t>
            </w:r>
            <w:r w:rsidRPr="00277805">
              <w:rPr>
                <w:rFonts w:ascii="Arial" w:hAnsi="Arial" w:cs="Arial"/>
              </w:rPr>
              <w:t>2</w:t>
            </w:r>
            <w:r w:rsidR="00593F6E" w:rsidRPr="003E773F">
              <w:rPr>
                <w:rFonts w:ascii="Arial" w:hAnsi="Arial" w:cs="Arial"/>
              </w:rPr>
              <w:t>1</w:t>
            </w:r>
          </w:p>
        </w:tc>
        <w:tc>
          <w:tcPr>
            <w:tcW w:w="2126" w:type="dxa"/>
            <w:vMerge/>
            <w:tcBorders>
              <w:top w:val="nil"/>
              <w:left w:val="nil"/>
              <w:bottom w:val="outset" w:sz="6" w:space="0" w:color="auto"/>
              <w:right w:val="nil"/>
            </w:tcBorders>
            <w:vAlign w:val="center"/>
            <w:hideMark/>
          </w:tcPr>
          <w:p w14:paraId="20D5B0CE"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hideMark/>
          </w:tcPr>
          <w:p w14:paraId="40EC98FA" w14:textId="77777777" w:rsidR="00855FA4" w:rsidRPr="003E773F" w:rsidRDefault="00855FA4" w:rsidP="00277805">
            <w:pPr>
              <w:tabs>
                <w:tab w:val="left" w:pos="142"/>
              </w:tabs>
              <w:spacing w:after="0" w:line="240" w:lineRule="auto"/>
              <w:jc w:val="center"/>
              <w:rPr>
                <w:rFonts w:ascii="Arial" w:hAnsi="Arial" w:cs="Arial"/>
              </w:rPr>
            </w:pPr>
          </w:p>
        </w:tc>
      </w:tr>
      <w:tr w:rsidR="007B2353" w:rsidRPr="00277805" w14:paraId="55DC22A8" w14:textId="77777777" w:rsidTr="00277805">
        <w:trPr>
          <w:jc w:val="center"/>
        </w:trPr>
        <w:tc>
          <w:tcPr>
            <w:tcW w:w="2553" w:type="dxa"/>
            <w:vMerge/>
            <w:tcBorders>
              <w:top w:val="nil"/>
              <w:left w:val="nil"/>
              <w:bottom w:val="nil"/>
              <w:right w:val="nil"/>
            </w:tcBorders>
            <w:vAlign w:val="center"/>
            <w:hideMark/>
          </w:tcPr>
          <w:p w14:paraId="03A00DA7"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hideMark/>
          </w:tcPr>
          <w:p w14:paraId="2E387C70" w14:textId="3606FC1A"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65.0</w:t>
            </w:r>
          </w:p>
        </w:tc>
        <w:tc>
          <w:tcPr>
            <w:tcW w:w="2004" w:type="dxa"/>
            <w:tcBorders>
              <w:top w:val="nil"/>
              <w:left w:val="nil"/>
              <w:bottom w:val="nil"/>
              <w:right w:val="nil"/>
            </w:tcBorders>
            <w:vAlign w:val="bottom"/>
            <w:hideMark/>
          </w:tcPr>
          <w:p w14:paraId="480A9414" w14:textId="1CB7FECA"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65</w:t>
            </w:r>
            <w:r w:rsidR="00855FA4" w:rsidRPr="003E773F">
              <w:rPr>
                <w:rFonts w:ascii="Arial" w:hAnsi="Arial" w:cs="Arial"/>
              </w:rPr>
              <w:t>,</w:t>
            </w:r>
            <w:r w:rsidRPr="00277805">
              <w:rPr>
                <w:rFonts w:ascii="Arial" w:hAnsi="Arial" w:cs="Arial"/>
              </w:rPr>
              <w:t>65</w:t>
            </w:r>
            <w:r w:rsidR="00855FA4" w:rsidRPr="003E773F">
              <w:rPr>
                <w:rFonts w:ascii="Arial" w:hAnsi="Arial" w:cs="Arial"/>
              </w:rPr>
              <w:t xml:space="preserve"> ± 0.02</w:t>
            </w:r>
          </w:p>
        </w:tc>
        <w:tc>
          <w:tcPr>
            <w:tcW w:w="1559" w:type="dxa"/>
            <w:tcBorders>
              <w:top w:val="nil"/>
              <w:left w:val="nil"/>
              <w:bottom w:val="nil"/>
              <w:right w:val="nil"/>
            </w:tcBorders>
            <w:hideMark/>
          </w:tcPr>
          <w:p w14:paraId="58DF905E" w14:textId="31C2D3F8"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101.0</w:t>
            </w:r>
            <w:r w:rsidR="00593F6E" w:rsidRPr="00277805">
              <w:rPr>
                <w:rFonts w:ascii="Arial" w:hAnsi="Arial" w:cs="Arial"/>
              </w:rPr>
              <w:t xml:space="preserve"> </w:t>
            </w:r>
            <w:r w:rsidR="00593F6E" w:rsidRPr="003E773F">
              <w:rPr>
                <w:rFonts w:ascii="Arial" w:hAnsi="Arial" w:cs="Arial"/>
              </w:rPr>
              <w:t>± 0.</w:t>
            </w:r>
            <w:r w:rsidR="002E5F2A" w:rsidRPr="00277805">
              <w:rPr>
                <w:rFonts w:ascii="Arial" w:hAnsi="Arial" w:cs="Arial"/>
              </w:rPr>
              <w:t>32</w:t>
            </w:r>
          </w:p>
        </w:tc>
        <w:tc>
          <w:tcPr>
            <w:tcW w:w="2126" w:type="dxa"/>
            <w:vMerge/>
            <w:tcBorders>
              <w:top w:val="nil"/>
              <w:left w:val="nil"/>
              <w:bottom w:val="outset" w:sz="6" w:space="0" w:color="auto"/>
              <w:right w:val="nil"/>
            </w:tcBorders>
            <w:vAlign w:val="center"/>
            <w:hideMark/>
          </w:tcPr>
          <w:p w14:paraId="13B23C78"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hideMark/>
          </w:tcPr>
          <w:p w14:paraId="37C684A9" w14:textId="77777777" w:rsidR="00855FA4" w:rsidRPr="003E773F" w:rsidRDefault="00855FA4" w:rsidP="00277805">
            <w:pPr>
              <w:tabs>
                <w:tab w:val="left" w:pos="142"/>
              </w:tabs>
              <w:spacing w:after="0" w:line="240" w:lineRule="auto"/>
              <w:jc w:val="center"/>
              <w:rPr>
                <w:rFonts w:ascii="Arial" w:hAnsi="Arial" w:cs="Arial"/>
              </w:rPr>
            </w:pPr>
          </w:p>
        </w:tc>
      </w:tr>
      <w:tr w:rsidR="007B2353" w:rsidRPr="00277805" w14:paraId="10FCFAF7" w14:textId="77777777" w:rsidTr="00277805">
        <w:trPr>
          <w:jc w:val="center"/>
        </w:trPr>
        <w:tc>
          <w:tcPr>
            <w:tcW w:w="2553" w:type="dxa"/>
            <w:vMerge/>
            <w:tcBorders>
              <w:top w:val="nil"/>
              <w:left w:val="nil"/>
              <w:bottom w:val="nil"/>
              <w:right w:val="nil"/>
            </w:tcBorders>
            <w:vAlign w:val="center"/>
            <w:hideMark/>
          </w:tcPr>
          <w:p w14:paraId="792A6A02"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hideMark/>
          </w:tcPr>
          <w:p w14:paraId="6B31CCE7" w14:textId="5865C135"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86.3</w:t>
            </w:r>
          </w:p>
        </w:tc>
        <w:tc>
          <w:tcPr>
            <w:tcW w:w="2004" w:type="dxa"/>
            <w:tcBorders>
              <w:top w:val="nil"/>
              <w:left w:val="nil"/>
              <w:bottom w:val="nil"/>
              <w:right w:val="nil"/>
            </w:tcBorders>
            <w:vAlign w:val="bottom"/>
            <w:hideMark/>
          </w:tcPr>
          <w:p w14:paraId="708EB59F" w14:textId="08A42741"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84</w:t>
            </w:r>
            <w:r w:rsidR="00855FA4" w:rsidRPr="003E773F">
              <w:rPr>
                <w:rFonts w:ascii="Arial" w:hAnsi="Arial" w:cs="Arial"/>
              </w:rPr>
              <w:t>,</w:t>
            </w:r>
            <w:r w:rsidRPr="00277805">
              <w:rPr>
                <w:rFonts w:ascii="Arial" w:hAnsi="Arial" w:cs="Arial"/>
              </w:rPr>
              <w:t>57</w:t>
            </w:r>
            <w:r w:rsidR="00855FA4" w:rsidRPr="003E773F">
              <w:rPr>
                <w:rFonts w:ascii="Arial" w:hAnsi="Arial" w:cs="Arial"/>
              </w:rPr>
              <w:t xml:space="preserve"> ± 0.02</w:t>
            </w:r>
          </w:p>
        </w:tc>
        <w:tc>
          <w:tcPr>
            <w:tcW w:w="1559" w:type="dxa"/>
            <w:tcBorders>
              <w:top w:val="nil"/>
              <w:left w:val="nil"/>
              <w:bottom w:val="nil"/>
              <w:right w:val="nil"/>
            </w:tcBorders>
            <w:hideMark/>
          </w:tcPr>
          <w:p w14:paraId="2DDA90C5" w14:textId="03E6E902"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98</w:t>
            </w:r>
            <w:r w:rsidR="00855FA4" w:rsidRPr="001A4101">
              <w:rPr>
                <w:rFonts w:ascii="Arial" w:hAnsi="Arial" w:cs="Arial"/>
              </w:rPr>
              <w:t>.0</w:t>
            </w:r>
            <w:r w:rsidR="00593F6E" w:rsidRPr="00277805">
              <w:rPr>
                <w:rFonts w:ascii="Arial" w:hAnsi="Arial" w:cs="Arial"/>
              </w:rPr>
              <w:t xml:space="preserve"> </w:t>
            </w:r>
            <w:r w:rsidR="00593F6E" w:rsidRPr="003E773F">
              <w:rPr>
                <w:rFonts w:ascii="Arial" w:hAnsi="Arial" w:cs="Arial"/>
              </w:rPr>
              <w:t xml:space="preserve">± </w:t>
            </w:r>
            <w:r w:rsidRPr="00277805">
              <w:rPr>
                <w:rFonts w:ascii="Arial" w:hAnsi="Arial" w:cs="Arial"/>
              </w:rPr>
              <w:t>1</w:t>
            </w:r>
            <w:r w:rsidR="00593F6E" w:rsidRPr="003E773F">
              <w:rPr>
                <w:rFonts w:ascii="Arial" w:hAnsi="Arial" w:cs="Arial"/>
              </w:rPr>
              <w:t>.</w:t>
            </w:r>
            <w:r w:rsidRPr="00277805">
              <w:rPr>
                <w:rFonts w:ascii="Arial" w:hAnsi="Arial" w:cs="Arial"/>
              </w:rPr>
              <w:t>34</w:t>
            </w:r>
          </w:p>
        </w:tc>
        <w:tc>
          <w:tcPr>
            <w:tcW w:w="2126" w:type="dxa"/>
            <w:vMerge/>
            <w:tcBorders>
              <w:top w:val="nil"/>
              <w:left w:val="nil"/>
              <w:bottom w:val="outset" w:sz="6" w:space="0" w:color="auto"/>
              <w:right w:val="nil"/>
            </w:tcBorders>
            <w:vAlign w:val="center"/>
            <w:hideMark/>
          </w:tcPr>
          <w:p w14:paraId="34F0A0B8"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hideMark/>
          </w:tcPr>
          <w:p w14:paraId="0E5293CE" w14:textId="77777777" w:rsidR="00855FA4" w:rsidRPr="003E773F" w:rsidRDefault="00855FA4" w:rsidP="00277805">
            <w:pPr>
              <w:tabs>
                <w:tab w:val="left" w:pos="142"/>
              </w:tabs>
              <w:spacing w:after="0" w:line="240" w:lineRule="auto"/>
              <w:jc w:val="center"/>
              <w:rPr>
                <w:rFonts w:ascii="Arial" w:hAnsi="Arial" w:cs="Arial"/>
              </w:rPr>
            </w:pPr>
          </w:p>
        </w:tc>
      </w:tr>
      <w:tr w:rsidR="007B2353" w:rsidRPr="00277805" w14:paraId="4191CDAF" w14:textId="77777777" w:rsidTr="00277805">
        <w:trPr>
          <w:jc w:val="center"/>
        </w:trPr>
        <w:tc>
          <w:tcPr>
            <w:tcW w:w="2553" w:type="dxa"/>
            <w:vMerge/>
            <w:tcBorders>
              <w:top w:val="nil"/>
              <w:left w:val="nil"/>
              <w:bottom w:val="nil"/>
              <w:right w:val="nil"/>
            </w:tcBorders>
            <w:vAlign w:val="center"/>
            <w:hideMark/>
          </w:tcPr>
          <w:p w14:paraId="543480E3"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outset" w:sz="6" w:space="0" w:color="auto"/>
              <w:right w:val="nil"/>
            </w:tcBorders>
            <w:vAlign w:val="bottom"/>
            <w:hideMark/>
          </w:tcPr>
          <w:p w14:paraId="7D417647" w14:textId="0A578228" w:rsidR="00855FA4" w:rsidRPr="003E773F" w:rsidRDefault="00593F6E" w:rsidP="00277805">
            <w:pPr>
              <w:tabs>
                <w:tab w:val="left" w:pos="142"/>
              </w:tabs>
              <w:spacing w:after="0" w:line="240" w:lineRule="auto"/>
              <w:rPr>
                <w:rFonts w:ascii="Arial" w:hAnsi="Arial" w:cs="Arial"/>
              </w:rPr>
            </w:pPr>
            <w:r w:rsidRPr="00277805">
              <w:rPr>
                <w:rFonts w:ascii="Arial" w:hAnsi="Arial" w:cs="Arial"/>
              </w:rPr>
              <w:t xml:space="preserve">    </w:t>
            </w:r>
            <w:r w:rsidR="00855FA4" w:rsidRPr="00277805">
              <w:rPr>
                <w:rFonts w:ascii="Arial" w:hAnsi="Arial" w:cs="Arial"/>
              </w:rPr>
              <w:t xml:space="preserve"> 107.6</w:t>
            </w:r>
          </w:p>
        </w:tc>
        <w:tc>
          <w:tcPr>
            <w:tcW w:w="2004" w:type="dxa"/>
            <w:tcBorders>
              <w:top w:val="nil"/>
              <w:left w:val="nil"/>
              <w:bottom w:val="outset" w:sz="6" w:space="0" w:color="auto"/>
              <w:right w:val="nil"/>
            </w:tcBorders>
            <w:vAlign w:val="bottom"/>
            <w:hideMark/>
          </w:tcPr>
          <w:p w14:paraId="53637E9F" w14:textId="06BB4559"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103</w:t>
            </w:r>
            <w:r w:rsidR="00855FA4" w:rsidRPr="003E773F">
              <w:rPr>
                <w:rFonts w:ascii="Arial" w:hAnsi="Arial" w:cs="Arial"/>
              </w:rPr>
              <w:t>,</w:t>
            </w:r>
            <w:r w:rsidRPr="00277805">
              <w:rPr>
                <w:rFonts w:ascii="Arial" w:hAnsi="Arial" w:cs="Arial"/>
              </w:rPr>
              <w:t>30</w:t>
            </w:r>
            <w:r w:rsidR="00855FA4" w:rsidRPr="003E773F">
              <w:rPr>
                <w:rFonts w:ascii="Arial" w:hAnsi="Arial" w:cs="Arial"/>
              </w:rPr>
              <w:t xml:space="preserve"> ± 0.02</w:t>
            </w:r>
          </w:p>
        </w:tc>
        <w:tc>
          <w:tcPr>
            <w:tcW w:w="1559" w:type="dxa"/>
            <w:tcBorders>
              <w:top w:val="nil"/>
              <w:left w:val="nil"/>
              <w:bottom w:val="outset" w:sz="6" w:space="0" w:color="auto"/>
              <w:right w:val="nil"/>
            </w:tcBorders>
            <w:hideMark/>
          </w:tcPr>
          <w:p w14:paraId="2AFD8B48" w14:textId="3E648A76"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9</w:t>
            </w:r>
            <w:r w:rsidR="002E5F2A" w:rsidRPr="00277805">
              <w:rPr>
                <w:rFonts w:ascii="Arial" w:hAnsi="Arial" w:cs="Arial"/>
              </w:rPr>
              <w:t>6</w:t>
            </w:r>
            <w:r w:rsidRPr="001A4101">
              <w:rPr>
                <w:rFonts w:ascii="Arial" w:hAnsi="Arial" w:cs="Arial"/>
              </w:rPr>
              <w:t>.0</w:t>
            </w:r>
            <w:r w:rsidR="00593F6E" w:rsidRPr="003E773F">
              <w:rPr>
                <w:rFonts w:ascii="Arial" w:hAnsi="Arial" w:cs="Arial"/>
              </w:rPr>
              <w:t>± 0.</w:t>
            </w:r>
            <w:r w:rsidR="002E5F2A" w:rsidRPr="00277805">
              <w:rPr>
                <w:rFonts w:ascii="Arial" w:hAnsi="Arial" w:cs="Arial"/>
              </w:rPr>
              <w:t>34</w:t>
            </w:r>
          </w:p>
        </w:tc>
        <w:tc>
          <w:tcPr>
            <w:tcW w:w="2126" w:type="dxa"/>
            <w:vMerge/>
            <w:tcBorders>
              <w:top w:val="nil"/>
              <w:left w:val="nil"/>
              <w:bottom w:val="outset" w:sz="6" w:space="0" w:color="auto"/>
              <w:right w:val="nil"/>
            </w:tcBorders>
            <w:vAlign w:val="center"/>
            <w:hideMark/>
          </w:tcPr>
          <w:p w14:paraId="5BD503C0"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outset" w:sz="6" w:space="0" w:color="auto"/>
              <w:right w:val="nil"/>
            </w:tcBorders>
            <w:vAlign w:val="center"/>
            <w:hideMark/>
          </w:tcPr>
          <w:p w14:paraId="15FDB83E" w14:textId="77777777" w:rsidR="00855FA4" w:rsidRPr="003E773F" w:rsidRDefault="00855FA4" w:rsidP="00277805">
            <w:pPr>
              <w:tabs>
                <w:tab w:val="left" w:pos="142"/>
              </w:tabs>
              <w:spacing w:after="0" w:line="240" w:lineRule="auto"/>
              <w:jc w:val="center"/>
              <w:rPr>
                <w:rFonts w:ascii="Arial" w:hAnsi="Arial" w:cs="Arial"/>
              </w:rPr>
            </w:pPr>
          </w:p>
        </w:tc>
      </w:tr>
      <w:tr w:rsidR="007B2353" w:rsidRPr="00277805" w14:paraId="31DC8D28" w14:textId="77777777" w:rsidTr="00277805">
        <w:trPr>
          <w:jc w:val="center"/>
        </w:trPr>
        <w:tc>
          <w:tcPr>
            <w:tcW w:w="2553" w:type="dxa"/>
            <w:vMerge w:val="restart"/>
            <w:tcBorders>
              <w:top w:val="nil"/>
              <w:left w:val="nil"/>
              <w:bottom w:val="nil"/>
              <w:right w:val="nil"/>
            </w:tcBorders>
            <w:vAlign w:val="center"/>
            <w:hideMark/>
          </w:tcPr>
          <w:p w14:paraId="118C7E08" w14:textId="11ADF548"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SPE / Chloroform</w:t>
            </w:r>
          </w:p>
        </w:tc>
        <w:tc>
          <w:tcPr>
            <w:tcW w:w="973" w:type="dxa"/>
            <w:tcBorders>
              <w:top w:val="nil"/>
              <w:left w:val="nil"/>
              <w:bottom w:val="nil"/>
              <w:right w:val="nil"/>
            </w:tcBorders>
            <w:vAlign w:val="bottom"/>
            <w:hideMark/>
          </w:tcPr>
          <w:p w14:paraId="55CBA902" w14:textId="48D1A7D9"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22.5</w:t>
            </w:r>
          </w:p>
        </w:tc>
        <w:tc>
          <w:tcPr>
            <w:tcW w:w="2004" w:type="dxa"/>
            <w:tcBorders>
              <w:top w:val="nil"/>
              <w:left w:val="nil"/>
              <w:bottom w:val="nil"/>
              <w:right w:val="nil"/>
            </w:tcBorders>
            <w:vAlign w:val="bottom"/>
            <w:hideMark/>
          </w:tcPr>
          <w:p w14:paraId="011FA319" w14:textId="2E88BAC4"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2</w:t>
            </w:r>
            <w:r w:rsidR="00855FA4" w:rsidRPr="003E773F">
              <w:rPr>
                <w:rFonts w:ascii="Arial" w:hAnsi="Arial" w:cs="Arial"/>
              </w:rPr>
              <w:t>0,</w:t>
            </w:r>
            <w:r w:rsidRPr="00277805">
              <w:rPr>
                <w:rFonts w:ascii="Arial" w:hAnsi="Arial" w:cs="Arial"/>
              </w:rPr>
              <w:t>92</w:t>
            </w:r>
            <w:r w:rsidR="00855FA4" w:rsidRPr="003E773F">
              <w:rPr>
                <w:rFonts w:ascii="Arial" w:hAnsi="Arial" w:cs="Arial"/>
              </w:rPr>
              <w:t xml:space="preserve"> ± 0.08</w:t>
            </w:r>
          </w:p>
        </w:tc>
        <w:tc>
          <w:tcPr>
            <w:tcW w:w="1559" w:type="dxa"/>
            <w:tcBorders>
              <w:top w:val="nil"/>
              <w:left w:val="nil"/>
              <w:bottom w:val="nil"/>
              <w:right w:val="nil"/>
            </w:tcBorders>
            <w:hideMark/>
          </w:tcPr>
          <w:p w14:paraId="35C0A2BE" w14:textId="6CAD0662"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93.0</w:t>
            </w:r>
            <w:r w:rsidR="00593F6E" w:rsidRPr="00277805">
              <w:rPr>
                <w:rFonts w:ascii="Arial" w:hAnsi="Arial" w:cs="Arial"/>
              </w:rPr>
              <w:t xml:space="preserve"> </w:t>
            </w:r>
            <w:r w:rsidR="00593F6E" w:rsidRPr="003E773F">
              <w:rPr>
                <w:rFonts w:ascii="Arial" w:hAnsi="Arial" w:cs="Arial"/>
              </w:rPr>
              <w:t xml:space="preserve">± </w:t>
            </w:r>
            <w:r w:rsidR="002E5F2A" w:rsidRPr="00277805">
              <w:rPr>
                <w:rFonts w:ascii="Arial" w:hAnsi="Arial" w:cs="Arial"/>
              </w:rPr>
              <w:t>2</w:t>
            </w:r>
            <w:r w:rsidR="00593F6E" w:rsidRPr="003E773F">
              <w:rPr>
                <w:rFonts w:ascii="Arial" w:hAnsi="Arial" w:cs="Arial"/>
              </w:rPr>
              <w:t>.</w:t>
            </w:r>
            <w:r w:rsidR="002E5F2A" w:rsidRPr="00277805">
              <w:rPr>
                <w:rFonts w:ascii="Arial" w:hAnsi="Arial" w:cs="Arial"/>
              </w:rPr>
              <w:t>10</w:t>
            </w:r>
          </w:p>
        </w:tc>
        <w:tc>
          <w:tcPr>
            <w:tcW w:w="2126" w:type="dxa"/>
            <w:vMerge w:val="restart"/>
            <w:tcBorders>
              <w:top w:val="outset" w:sz="6" w:space="0" w:color="auto"/>
              <w:left w:val="nil"/>
              <w:bottom w:val="single" w:sz="4" w:space="0" w:color="auto"/>
              <w:right w:val="nil"/>
            </w:tcBorders>
            <w:vAlign w:val="center"/>
            <w:hideMark/>
          </w:tcPr>
          <w:p w14:paraId="3A301064" w14:textId="68BAF133"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95.5 ± 1.2</w:t>
            </w:r>
          </w:p>
        </w:tc>
        <w:tc>
          <w:tcPr>
            <w:tcW w:w="1560" w:type="dxa"/>
            <w:vMerge w:val="restart"/>
            <w:tcBorders>
              <w:top w:val="outset" w:sz="6" w:space="0" w:color="auto"/>
              <w:left w:val="nil"/>
              <w:bottom w:val="single" w:sz="4" w:space="0" w:color="auto"/>
              <w:right w:val="nil"/>
            </w:tcBorders>
            <w:vAlign w:val="center"/>
            <w:hideMark/>
          </w:tcPr>
          <w:p w14:paraId="60F1A890" w14:textId="4E6D19DD"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1</w:t>
            </w:r>
            <w:r w:rsidRPr="003E773F">
              <w:rPr>
                <w:rFonts w:ascii="Arial" w:hAnsi="Arial" w:cs="Arial"/>
              </w:rPr>
              <w:t>.</w:t>
            </w:r>
            <w:r w:rsidRPr="00277805">
              <w:rPr>
                <w:rFonts w:ascii="Arial" w:hAnsi="Arial" w:cs="Arial"/>
              </w:rPr>
              <w:t>2</w:t>
            </w:r>
            <w:r w:rsidRPr="003E773F">
              <w:rPr>
                <w:rFonts w:ascii="Arial" w:hAnsi="Arial" w:cs="Arial"/>
              </w:rPr>
              <w:t>6</w:t>
            </w:r>
          </w:p>
        </w:tc>
      </w:tr>
      <w:tr w:rsidR="007B2353" w:rsidRPr="00277805" w14:paraId="4FCB26F1" w14:textId="77777777" w:rsidTr="00277805">
        <w:trPr>
          <w:jc w:val="center"/>
        </w:trPr>
        <w:tc>
          <w:tcPr>
            <w:tcW w:w="2553" w:type="dxa"/>
            <w:vMerge/>
            <w:tcBorders>
              <w:top w:val="nil"/>
              <w:left w:val="nil"/>
              <w:bottom w:val="nil"/>
              <w:right w:val="nil"/>
            </w:tcBorders>
            <w:vAlign w:val="center"/>
            <w:hideMark/>
          </w:tcPr>
          <w:p w14:paraId="75200022"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hideMark/>
          </w:tcPr>
          <w:p w14:paraId="67B218ED" w14:textId="4742DD36"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43.9</w:t>
            </w:r>
          </w:p>
        </w:tc>
        <w:tc>
          <w:tcPr>
            <w:tcW w:w="2004" w:type="dxa"/>
            <w:tcBorders>
              <w:top w:val="nil"/>
              <w:left w:val="nil"/>
              <w:bottom w:val="nil"/>
              <w:right w:val="nil"/>
            </w:tcBorders>
            <w:vAlign w:val="bottom"/>
            <w:hideMark/>
          </w:tcPr>
          <w:p w14:paraId="3673309D" w14:textId="3BD676EB"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42</w:t>
            </w:r>
            <w:r w:rsidR="00855FA4" w:rsidRPr="003E773F">
              <w:rPr>
                <w:rFonts w:ascii="Arial" w:hAnsi="Arial" w:cs="Arial"/>
              </w:rPr>
              <w:t>,16 ± 0.08</w:t>
            </w:r>
          </w:p>
        </w:tc>
        <w:tc>
          <w:tcPr>
            <w:tcW w:w="1559" w:type="dxa"/>
            <w:tcBorders>
              <w:top w:val="nil"/>
              <w:left w:val="nil"/>
              <w:bottom w:val="nil"/>
              <w:right w:val="nil"/>
            </w:tcBorders>
            <w:hideMark/>
          </w:tcPr>
          <w:p w14:paraId="7C1CBBD1" w14:textId="26DD9A7C"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9</w:t>
            </w:r>
            <w:r w:rsidR="002E5F2A" w:rsidRPr="00277805">
              <w:rPr>
                <w:rFonts w:ascii="Arial" w:hAnsi="Arial" w:cs="Arial"/>
              </w:rPr>
              <w:t>6</w:t>
            </w:r>
            <w:r w:rsidRPr="001A4101">
              <w:rPr>
                <w:rFonts w:ascii="Arial" w:hAnsi="Arial" w:cs="Arial"/>
              </w:rPr>
              <w:t>.0</w:t>
            </w:r>
            <w:r w:rsidR="00593F6E" w:rsidRPr="00277805">
              <w:rPr>
                <w:rFonts w:ascii="Arial" w:hAnsi="Arial" w:cs="Arial"/>
              </w:rPr>
              <w:t xml:space="preserve"> </w:t>
            </w:r>
            <w:r w:rsidR="00593F6E" w:rsidRPr="003E773F">
              <w:rPr>
                <w:rFonts w:ascii="Arial" w:hAnsi="Arial" w:cs="Arial"/>
              </w:rPr>
              <w:t xml:space="preserve">± </w:t>
            </w:r>
            <w:r w:rsidR="002E5F2A" w:rsidRPr="00277805">
              <w:rPr>
                <w:rFonts w:ascii="Arial" w:hAnsi="Arial" w:cs="Arial"/>
              </w:rPr>
              <w:t>1</w:t>
            </w:r>
            <w:r w:rsidR="00593F6E" w:rsidRPr="003E773F">
              <w:rPr>
                <w:rFonts w:ascii="Arial" w:hAnsi="Arial" w:cs="Arial"/>
              </w:rPr>
              <w:t>.</w:t>
            </w:r>
            <w:r w:rsidR="002E5F2A" w:rsidRPr="00277805">
              <w:rPr>
                <w:rFonts w:ascii="Arial" w:hAnsi="Arial" w:cs="Arial"/>
              </w:rPr>
              <w:t>1</w:t>
            </w:r>
            <w:r w:rsidR="00593F6E" w:rsidRPr="003E773F">
              <w:rPr>
                <w:rFonts w:ascii="Arial" w:hAnsi="Arial" w:cs="Arial"/>
              </w:rPr>
              <w:t>1</w:t>
            </w:r>
          </w:p>
        </w:tc>
        <w:tc>
          <w:tcPr>
            <w:tcW w:w="2126" w:type="dxa"/>
            <w:vMerge/>
            <w:tcBorders>
              <w:top w:val="nil"/>
              <w:left w:val="nil"/>
              <w:bottom w:val="single" w:sz="4" w:space="0" w:color="auto"/>
              <w:right w:val="nil"/>
            </w:tcBorders>
            <w:vAlign w:val="center"/>
            <w:hideMark/>
          </w:tcPr>
          <w:p w14:paraId="755E3762"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single" w:sz="4" w:space="0" w:color="auto"/>
              <w:right w:val="nil"/>
            </w:tcBorders>
            <w:vAlign w:val="center"/>
            <w:hideMark/>
          </w:tcPr>
          <w:p w14:paraId="3A7FB18C" w14:textId="77777777" w:rsidR="00855FA4" w:rsidRPr="003E773F" w:rsidRDefault="00855FA4" w:rsidP="00277805">
            <w:pPr>
              <w:tabs>
                <w:tab w:val="left" w:pos="142"/>
              </w:tabs>
              <w:spacing w:after="0" w:line="240" w:lineRule="auto"/>
              <w:jc w:val="center"/>
              <w:rPr>
                <w:rFonts w:ascii="Arial" w:hAnsi="Arial" w:cs="Arial"/>
              </w:rPr>
            </w:pPr>
          </w:p>
        </w:tc>
      </w:tr>
      <w:tr w:rsidR="007B2353" w:rsidRPr="00277805" w14:paraId="1FC976B5" w14:textId="77777777" w:rsidTr="00277805">
        <w:trPr>
          <w:jc w:val="center"/>
        </w:trPr>
        <w:tc>
          <w:tcPr>
            <w:tcW w:w="2553" w:type="dxa"/>
            <w:vMerge/>
            <w:tcBorders>
              <w:top w:val="nil"/>
              <w:left w:val="nil"/>
              <w:bottom w:val="nil"/>
              <w:right w:val="nil"/>
            </w:tcBorders>
            <w:vAlign w:val="center"/>
            <w:hideMark/>
          </w:tcPr>
          <w:p w14:paraId="3FA1D8A6"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hideMark/>
          </w:tcPr>
          <w:p w14:paraId="3F011DC3" w14:textId="43C62E0B"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65.0</w:t>
            </w:r>
          </w:p>
        </w:tc>
        <w:tc>
          <w:tcPr>
            <w:tcW w:w="2004" w:type="dxa"/>
            <w:tcBorders>
              <w:top w:val="nil"/>
              <w:left w:val="nil"/>
              <w:bottom w:val="nil"/>
              <w:right w:val="nil"/>
            </w:tcBorders>
            <w:vAlign w:val="bottom"/>
            <w:hideMark/>
          </w:tcPr>
          <w:p w14:paraId="28DFAA4B" w14:textId="29586627"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63</w:t>
            </w:r>
            <w:r w:rsidR="00855FA4" w:rsidRPr="003E773F">
              <w:rPr>
                <w:rFonts w:ascii="Arial" w:hAnsi="Arial" w:cs="Arial"/>
              </w:rPr>
              <w:t>,27 ± 0.09</w:t>
            </w:r>
          </w:p>
        </w:tc>
        <w:tc>
          <w:tcPr>
            <w:tcW w:w="1559" w:type="dxa"/>
            <w:tcBorders>
              <w:top w:val="nil"/>
              <w:left w:val="nil"/>
              <w:bottom w:val="nil"/>
              <w:right w:val="nil"/>
            </w:tcBorders>
            <w:hideMark/>
          </w:tcPr>
          <w:p w14:paraId="2794BAAB" w14:textId="76955D5A"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98.0</w:t>
            </w:r>
            <w:r w:rsidR="00593F6E" w:rsidRPr="00277805">
              <w:rPr>
                <w:rFonts w:ascii="Arial" w:hAnsi="Arial" w:cs="Arial"/>
              </w:rPr>
              <w:t xml:space="preserve"> </w:t>
            </w:r>
            <w:r w:rsidR="00593F6E" w:rsidRPr="003E773F">
              <w:rPr>
                <w:rFonts w:ascii="Arial" w:hAnsi="Arial" w:cs="Arial"/>
              </w:rPr>
              <w:t>± 0.</w:t>
            </w:r>
            <w:r w:rsidR="002E5F2A" w:rsidRPr="00277805">
              <w:rPr>
                <w:rFonts w:ascii="Arial" w:hAnsi="Arial" w:cs="Arial"/>
              </w:rPr>
              <w:t>63</w:t>
            </w:r>
          </w:p>
        </w:tc>
        <w:tc>
          <w:tcPr>
            <w:tcW w:w="2126" w:type="dxa"/>
            <w:vMerge/>
            <w:tcBorders>
              <w:top w:val="nil"/>
              <w:left w:val="nil"/>
              <w:bottom w:val="single" w:sz="4" w:space="0" w:color="auto"/>
              <w:right w:val="nil"/>
            </w:tcBorders>
            <w:vAlign w:val="center"/>
            <w:hideMark/>
          </w:tcPr>
          <w:p w14:paraId="0FC9E72C"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single" w:sz="4" w:space="0" w:color="auto"/>
              <w:right w:val="nil"/>
            </w:tcBorders>
            <w:vAlign w:val="center"/>
            <w:hideMark/>
          </w:tcPr>
          <w:p w14:paraId="4FB64D8A" w14:textId="77777777" w:rsidR="00855FA4" w:rsidRPr="003E773F" w:rsidRDefault="00855FA4" w:rsidP="00277805">
            <w:pPr>
              <w:tabs>
                <w:tab w:val="left" w:pos="142"/>
              </w:tabs>
              <w:spacing w:after="0" w:line="240" w:lineRule="auto"/>
              <w:jc w:val="center"/>
              <w:rPr>
                <w:rFonts w:ascii="Arial" w:hAnsi="Arial" w:cs="Arial"/>
              </w:rPr>
            </w:pPr>
          </w:p>
        </w:tc>
      </w:tr>
      <w:tr w:rsidR="007B2353" w:rsidRPr="00277805" w14:paraId="56610E5E" w14:textId="77777777" w:rsidTr="00277805">
        <w:trPr>
          <w:jc w:val="center"/>
        </w:trPr>
        <w:tc>
          <w:tcPr>
            <w:tcW w:w="2553" w:type="dxa"/>
            <w:vMerge/>
            <w:tcBorders>
              <w:top w:val="nil"/>
              <w:left w:val="nil"/>
              <w:bottom w:val="nil"/>
              <w:right w:val="nil"/>
            </w:tcBorders>
            <w:vAlign w:val="center"/>
            <w:hideMark/>
          </w:tcPr>
          <w:p w14:paraId="0EDBD3DA"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nil"/>
              <w:right w:val="nil"/>
            </w:tcBorders>
            <w:vAlign w:val="bottom"/>
            <w:hideMark/>
          </w:tcPr>
          <w:p w14:paraId="225AFA5C" w14:textId="6EA1A6FF"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 xml:space="preserve">       86.3</w:t>
            </w:r>
          </w:p>
        </w:tc>
        <w:tc>
          <w:tcPr>
            <w:tcW w:w="2004" w:type="dxa"/>
            <w:tcBorders>
              <w:top w:val="nil"/>
              <w:left w:val="nil"/>
              <w:bottom w:val="nil"/>
              <w:right w:val="nil"/>
            </w:tcBorders>
            <w:vAlign w:val="bottom"/>
            <w:hideMark/>
          </w:tcPr>
          <w:p w14:paraId="17435CB0" w14:textId="2AC2ACD2"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83</w:t>
            </w:r>
            <w:r w:rsidR="00855FA4" w:rsidRPr="003E773F">
              <w:rPr>
                <w:rFonts w:ascii="Arial" w:hAnsi="Arial" w:cs="Arial"/>
              </w:rPr>
              <w:t>,</w:t>
            </w:r>
            <w:r w:rsidRPr="00277805">
              <w:rPr>
                <w:rFonts w:ascii="Arial" w:hAnsi="Arial" w:cs="Arial"/>
              </w:rPr>
              <w:t>71</w:t>
            </w:r>
            <w:r w:rsidR="00855FA4" w:rsidRPr="003E773F">
              <w:rPr>
                <w:rFonts w:ascii="Arial" w:hAnsi="Arial" w:cs="Arial"/>
              </w:rPr>
              <w:t xml:space="preserve"> ± 0.13</w:t>
            </w:r>
          </w:p>
        </w:tc>
        <w:tc>
          <w:tcPr>
            <w:tcW w:w="1559" w:type="dxa"/>
            <w:tcBorders>
              <w:top w:val="nil"/>
              <w:left w:val="nil"/>
              <w:bottom w:val="nil"/>
              <w:right w:val="nil"/>
            </w:tcBorders>
            <w:hideMark/>
          </w:tcPr>
          <w:p w14:paraId="0E47876F" w14:textId="21565BE7"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9</w:t>
            </w:r>
            <w:r w:rsidR="002E5F2A" w:rsidRPr="00277805">
              <w:rPr>
                <w:rFonts w:ascii="Arial" w:hAnsi="Arial" w:cs="Arial"/>
              </w:rPr>
              <w:t>7</w:t>
            </w:r>
            <w:r w:rsidRPr="001A4101">
              <w:rPr>
                <w:rFonts w:ascii="Arial" w:hAnsi="Arial" w:cs="Arial"/>
              </w:rPr>
              <w:t>.0</w:t>
            </w:r>
            <w:r w:rsidR="00593F6E" w:rsidRPr="00277805">
              <w:rPr>
                <w:rFonts w:ascii="Arial" w:hAnsi="Arial" w:cs="Arial"/>
              </w:rPr>
              <w:t xml:space="preserve"> </w:t>
            </w:r>
            <w:r w:rsidR="00593F6E" w:rsidRPr="003E773F">
              <w:rPr>
                <w:rFonts w:ascii="Arial" w:hAnsi="Arial" w:cs="Arial"/>
              </w:rPr>
              <w:t xml:space="preserve">± </w:t>
            </w:r>
            <w:r w:rsidR="002E5F2A" w:rsidRPr="00277805">
              <w:rPr>
                <w:rFonts w:ascii="Arial" w:hAnsi="Arial" w:cs="Arial"/>
              </w:rPr>
              <w:t>1</w:t>
            </w:r>
            <w:r w:rsidR="00593F6E" w:rsidRPr="003E773F">
              <w:rPr>
                <w:rFonts w:ascii="Arial" w:hAnsi="Arial" w:cs="Arial"/>
              </w:rPr>
              <w:t>.</w:t>
            </w:r>
            <w:r w:rsidR="002E5F2A" w:rsidRPr="00277805">
              <w:rPr>
                <w:rFonts w:ascii="Arial" w:hAnsi="Arial" w:cs="Arial"/>
              </w:rPr>
              <w:t>23</w:t>
            </w:r>
          </w:p>
        </w:tc>
        <w:tc>
          <w:tcPr>
            <w:tcW w:w="2126" w:type="dxa"/>
            <w:vMerge/>
            <w:tcBorders>
              <w:top w:val="nil"/>
              <w:left w:val="nil"/>
              <w:bottom w:val="single" w:sz="4" w:space="0" w:color="auto"/>
              <w:right w:val="nil"/>
            </w:tcBorders>
            <w:vAlign w:val="center"/>
            <w:hideMark/>
          </w:tcPr>
          <w:p w14:paraId="69236957"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single" w:sz="4" w:space="0" w:color="auto"/>
              <w:right w:val="nil"/>
            </w:tcBorders>
            <w:vAlign w:val="center"/>
            <w:hideMark/>
          </w:tcPr>
          <w:p w14:paraId="0E8D1B68" w14:textId="77777777" w:rsidR="00855FA4" w:rsidRPr="003E773F" w:rsidRDefault="00855FA4" w:rsidP="00277805">
            <w:pPr>
              <w:tabs>
                <w:tab w:val="left" w:pos="142"/>
              </w:tabs>
              <w:spacing w:after="0" w:line="240" w:lineRule="auto"/>
              <w:jc w:val="center"/>
              <w:rPr>
                <w:rFonts w:ascii="Arial" w:hAnsi="Arial" w:cs="Arial"/>
              </w:rPr>
            </w:pPr>
          </w:p>
        </w:tc>
      </w:tr>
      <w:tr w:rsidR="007B2353" w:rsidRPr="00277805" w14:paraId="654E5EF8" w14:textId="77777777" w:rsidTr="00277805">
        <w:trPr>
          <w:jc w:val="center"/>
        </w:trPr>
        <w:tc>
          <w:tcPr>
            <w:tcW w:w="2553" w:type="dxa"/>
            <w:vMerge/>
            <w:tcBorders>
              <w:top w:val="nil"/>
              <w:left w:val="nil"/>
              <w:bottom w:val="single" w:sz="4" w:space="0" w:color="auto"/>
              <w:right w:val="nil"/>
            </w:tcBorders>
            <w:vAlign w:val="center"/>
            <w:hideMark/>
          </w:tcPr>
          <w:p w14:paraId="6470FEB8" w14:textId="77777777" w:rsidR="00855FA4" w:rsidRPr="003E773F" w:rsidRDefault="00855FA4" w:rsidP="00277805">
            <w:pPr>
              <w:tabs>
                <w:tab w:val="left" w:pos="142"/>
              </w:tabs>
              <w:spacing w:after="0" w:line="240" w:lineRule="auto"/>
              <w:jc w:val="center"/>
              <w:rPr>
                <w:rFonts w:ascii="Arial" w:hAnsi="Arial" w:cs="Arial"/>
              </w:rPr>
            </w:pPr>
          </w:p>
        </w:tc>
        <w:tc>
          <w:tcPr>
            <w:tcW w:w="973" w:type="dxa"/>
            <w:tcBorders>
              <w:top w:val="nil"/>
              <w:left w:val="nil"/>
              <w:bottom w:val="single" w:sz="4" w:space="0" w:color="auto"/>
              <w:right w:val="nil"/>
            </w:tcBorders>
            <w:vAlign w:val="bottom"/>
            <w:hideMark/>
          </w:tcPr>
          <w:p w14:paraId="5DE8B920" w14:textId="260E34CD" w:rsidR="00855FA4" w:rsidRPr="003E773F" w:rsidRDefault="00855FA4" w:rsidP="00277805">
            <w:pPr>
              <w:tabs>
                <w:tab w:val="left" w:pos="142"/>
              </w:tabs>
              <w:spacing w:after="0" w:line="240" w:lineRule="auto"/>
              <w:jc w:val="center"/>
              <w:rPr>
                <w:rFonts w:ascii="Arial" w:hAnsi="Arial" w:cs="Arial"/>
              </w:rPr>
            </w:pPr>
            <w:r w:rsidRPr="00277805">
              <w:rPr>
                <w:rFonts w:ascii="Arial" w:hAnsi="Arial" w:cs="Arial"/>
              </w:rPr>
              <w:t xml:space="preserve">     107.6</w:t>
            </w:r>
          </w:p>
        </w:tc>
        <w:tc>
          <w:tcPr>
            <w:tcW w:w="2004" w:type="dxa"/>
            <w:tcBorders>
              <w:top w:val="nil"/>
              <w:left w:val="nil"/>
              <w:bottom w:val="single" w:sz="4" w:space="0" w:color="auto"/>
              <w:right w:val="nil"/>
            </w:tcBorders>
            <w:vAlign w:val="bottom"/>
            <w:hideMark/>
          </w:tcPr>
          <w:p w14:paraId="4412EA20" w14:textId="2E57B7B9" w:rsidR="00855FA4" w:rsidRPr="003E773F" w:rsidRDefault="002E5F2A" w:rsidP="00277805">
            <w:pPr>
              <w:tabs>
                <w:tab w:val="left" w:pos="142"/>
              </w:tabs>
              <w:spacing w:after="0" w:line="240" w:lineRule="auto"/>
              <w:jc w:val="center"/>
              <w:rPr>
                <w:rFonts w:ascii="Arial" w:hAnsi="Arial" w:cs="Arial"/>
              </w:rPr>
            </w:pPr>
            <w:r w:rsidRPr="00277805">
              <w:rPr>
                <w:rFonts w:ascii="Arial" w:hAnsi="Arial" w:cs="Arial"/>
              </w:rPr>
              <w:t>1</w:t>
            </w:r>
            <w:r w:rsidR="00855FA4" w:rsidRPr="003E773F">
              <w:rPr>
                <w:rFonts w:ascii="Arial" w:hAnsi="Arial" w:cs="Arial"/>
              </w:rPr>
              <w:t>0</w:t>
            </w:r>
            <w:r w:rsidRPr="00277805">
              <w:rPr>
                <w:rFonts w:ascii="Arial" w:hAnsi="Arial" w:cs="Arial"/>
              </w:rPr>
              <w:t>5</w:t>
            </w:r>
            <w:r w:rsidR="00855FA4" w:rsidRPr="003E773F">
              <w:rPr>
                <w:rFonts w:ascii="Arial" w:hAnsi="Arial" w:cs="Arial"/>
              </w:rPr>
              <w:t>,46 ± 0.17</w:t>
            </w:r>
          </w:p>
        </w:tc>
        <w:tc>
          <w:tcPr>
            <w:tcW w:w="1559" w:type="dxa"/>
            <w:tcBorders>
              <w:top w:val="nil"/>
              <w:left w:val="nil"/>
              <w:bottom w:val="single" w:sz="4" w:space="0" w:color="auto"/>
              <w:right w:val="nil"/>
            </w:tcBorders>
            <w:hideMark/>
          </w:tcPr>
          <w:p w14:paraId="24AC9DE0" w14:textId="5659FCD3" w:rsidR="00855FA4" w:rsidRPr="003E773F" w:rsidRDefault="00855FA4" w:rsidP="00277805">
            <w:pPr>
              <w:tabs>
                <w:tab w:val="left" w:pos="142"/>
              </w:tabs>
              <w:spacing w:after="0" w:line="240" w:lineRule="auto"/>
              <w:jc w:val="center"/>
              <w:rPr>
                <w:rFonts w:ascii="Arial" w:hAnsi="Arial" w:cs="Arial"/>
              </w:rPr>
            </w:pPr>
            <w:r w:rsidRPr="001A4101">
              <w:rPr>
                <w:rFonts w:ascii="Arial" w:hAnsi="Arial" w:cs="Arial"/>
              </w:rPr>
              <w:t>9</w:t>
            </w:r>
            <w:r w:rsidR="002E5F2A" w:rsidRPr="00277805">
              <w:rPr>
                <w:rFonts w:ascii="Arial" w:hAnsi="Arial" w:cs="Arial"/>
              </w:rPr>
              <w:t>8</w:t>
            </w:r>
            <w:r w:rsidRPr="001A4101">
              <w:rPr>
                <w:rFonts w:ascii="Arial" w:hAnsi="Arial" w:cs="Arial"/>
              </w:rPr>
              <w:t>.0</w:t>
            </w:r>
            <w:r w:rsidR="00593F6E" w:rsidRPr="00277805">
              <w:rPr>
                <w:rFonts w:ascii="Arial" w:hAnsi="Arial" w:cs="Arial"/>
              </w:rPr>
              <w:t xml:space="preserve"> </w:t>
            </w:r>
            <w:r w:rsidR="00593F6E" w:rsidRPr="003E773F">
              <w:rPr>
                <w:rFonts w:ascii="Arial" w:hAnsi="Arial" w:cs="Arial"/>
              </w:rPr>
              <w:t xml:space="preserve">± </w:t>
            </w:r>
            <w:r w:rsidR="002E5F2A" w:rsidRPr="00277805">
              <w:rPr>
                <w:rFonts w:ascii="Arial" w:hAnsi="Arial" w:cs="Arial"/>
              </w:rPr>
              <w:t>2</w:t>
            </w:r>
            <w:r w:rsidR="00593F6E" w:rsidRPr="003E773F">
              <w:rPr>
                <w:rFonts w:ascii="Arial" w:hAnsi="Arial" w:cs="Arial"/>
              </w:rPr>
              <w:t>.</w:t>
            </w:r>
            <w:r w:rsidR="00593F6E" w:rsidRPr="00277805">
              <w:rPr>
                <w:rFonts w:ascii="Arial" w:hAnsi="Arial" w:cs="Arial"/>
              </w:rPr>
              <w:t>5</w:t>
            </w:r>
            <w:r w:rsidR="00593F6E" w:rsidRPr="003E773F">
              <w:rPr>
                <w:rFonts w:ascii="Arial" w:hAnsi="Arial" w:cs="Arial"/>
              </w:rPr>
              <w:t>1</w:t>
            </w:r>
          </w:p>
        </w:tc>
        <w:tc>
          <w:tcPr>
            <w:tcW w:w="2126" w:type="dxa"/>
            <w:vMerge/>
            <w:tcBorders>
              <w:top w:val="nil"/>
              <w:left w:val="nil"/>
              <w:bottom w:val="single" w:sz="4" w:space="0" w:color="auto"/>
              <w:right w:val="nil"/>
            </w:tcBorders>
            <w:vAlign w:val="center"/>
            <w:hideMark/>
          </w:tcPr>
          <w:p w14:paraId="0D316276" w14:textId="77777777" w:rsidR="00855FA4" w:rsidRPr="003E773F" w:rsidRDefault="00855FA4" w:rsidP="00277805">
            <w:pPr>
              <w:tabs>
                <w:tab w:val="left" w:pos="142"/>
              </w:tabs>
              <w:spacing w:after="0" w:line="240" w:lineRule="auto"/>
              <w:jc w:val="center"/>
              <w:rPr>
                <w:rFonts w:ascii="Arial" w:hAnsi="Arial" w:cs="Arial"/>
              </w:rPr>
            </w:pPr>
          </w:p>
        </w:tc>
        <w:tc>
          <w:tcPr>
            <w:tcW w:w="1560" w:type="dxa"/>
            <w:vMerge/>
            <w:tcBorders>
              <w:top w:val="nil"/>
              <w:left w:val="nil"/>
              <w:bottom w:val="single" w:sz="4" w:space="0" w:color="auto"/>
              <w:right w:val="nil"/>
            </w:tcBorders>
            <w:vAlign w:val="center"/>
            <w:hideMark/>
          </w:tcPr>
          <w:p w14:paraId="3A9AF24E" w14:textId="77777777" w:rsidR="00855FA4" w:rsidRPr="003E773F" w:rsidRDefault="00855FA4" w:rsidP="00277805">
            <w:pPr>
              <w:tabs>
                <w:tab w:val="left" w:pos="142"/>
              </w:tabs>
              <w:spacing w:after="0" w:line="240" w:lineRule="auto"/>
              <w:jc w:val="center"/>
              <w:rPr>
                <w:rFonts w:ascii="Arial" w:hAnsi="Arial" w:cs="Arial"/>
              </w:rPr>
            </w:pPr>
          </w:p>
        </w:tc>
      </w:tr>
    </w:tbl>
    <w:p w14:paraId="316F240F" w14:textId="77777777" w:rsidR="00E31A24" w:rsidRPr="008B6F3C" w:rsidRDefault="00E31A24" w:rsidP="0097495D">
      <w:pPr>
        <w:tabs>
          <w:tab w:val="left" w:pos="142"/>
        </w:tabs>
        <w:spacing w:after="0" w:line="240" w:lineRule="auto"/>
        <w:jc w:val="center"/>
        <w:rPr>
          <w:rFonts w:ascii="Arial" w:hAnsi="Arial" w:cs="Arial"/>
          <w:b/>
          <w:bCs/>
          <w:color w:val="000000" w:themeColor="text1"/>
          <w:sz w:val="24"/>
          <w:szCs w:val="24"/>
        </w:rPr>
      </w:pPr>
    </w:p>
    <w:p w14:paraId="24E8D0BB" w14:textId="7FA64A84" w:rsidR="00855FA4" w:rsidRPr="008B6F3C" w:rsidRDefault="00855FA4" w:rsidP="0097495D">
      <w:pPr>
        <w:tabs>
          <w:tab w:val="left" w:pos="142"/>
        </w:tabs>
        <w:spacing w:after="0" w:line="240" w:lineRule="auto"/>
        <w:jc w:val="both"/>
        <w:rPr>
          <w:rFonts w:ascii="Arial" w:hAnsi="Arial" w:cs="Arial"/>
          <w:color w:val="000000" w:themeColor="text1"/>
          <w:sz w:val="24"/>
          <w:szCs w:val="24"/>
        </w:rPr>
      </w:pPr>
      <w:r w:rsidRPr="00855FA4">
        <w:rPr>
          <w:rFonts w:ascii="Arial" w:hAnsi="Arial" w:cs="Arial"/>
          <w:b/>
          <w:bCs/>
          <w:color w:val="000000" w:themeColor="text1"/>
          <w:sz w:val="24"/>
          <w:szCs w:val="24"/>
        </w:rPr>
        <w:t xml:space="preserve">Table </w:t>
      </w:r>
      <w:r w:rsidR="00593F6E" w:rsidRPr="008B6F3C">
        <w:rPr>
          <w:rFonts w:ascii="Arial" w:hAnsi="Arial" w:cs="Arial"/>
          <w:b/>
          <w:bCs/>
          <w:color w:val="000000" w:themeColor="text1"/>
          <w:sz w:val="24"/>
          <w:szCs w:val="24"/>
        </w:rPr>
        <w:t>7</w:t>
      </w:r>
      <w:r w:rsidRPr="00855FA4">
        <w:rPr>
          <w:rFonts w:ascii="Arial" w:hAnsi="Arial" w:cs="Arial"/>
          <w:b/>
          <w:bCs/>
          <w:color w:val="000000" w:themeColor="text1"/>
          <w:sz w:val="24"/>
          <w:szCs w:val="24"/>
        </w:rPr>
        <w:t xml:space="preserve">. </w:t>
      </w:r>
      <w:r w:rsidRPr="00855FA4">
        <w:rPr>
          <w:rFonts w:ascii="Arial" w:hAnsi="Arial" w:cs="Arial"/>
          <w:bCs/>
          <w:color w:val="000000" w:themeColor="text1"/>
          <w:sz w:val="24"/>
          <w:szCs w:val="24"/>
        </w:rPr>
        <w:t>Evaluation</w:t>
      </w:r>
      <w:r w:rsidRPr="00855FA4">
        <w:rPr>
          <w:rFonts w:ascii="Arial" w:hAnsi="Arial" w:cs="Arial"/>
          <w:b/>
          <w:bCs/>
          <w:color w:val="000000" w:themeColor="text1"/>
          <w:sz w:val="24"/>
          <w:szCs w:val="24"/>
        </w:rPr>
        <w:t xml:space="preserve"> </w:t>
      </w:r>
      <w:r w:rsidRPr="00855FA4">
        <w:rPr>
          <w:rFonts w:ascii="Arial" w:hAnsi="Arial" w:cs="Arial"/>
          <w:color w:val="000000" w:themeColor="text1"/>
          <w:sz w:val="24"/>
          <w:szCs w:val="24"/>
        </w:rPr>
        <w:t xml:space="preserve">of the </w:t>
      </w:r>
      <w:r w:rsidRPr="008B6F3C">
        <w:rPr>
          <w:rFonts w:ascii="Arial" w:hAnsi="Arial" w:cs="Arial"/>
          <w:color w:val="000000" w:themeColor="text1"/>
          <w:sz w:val="24"/>
          <w:szCs w:val="24"/>
        </w:rPr>
        <w:t>fluorescence</w:t>
      </w:r>
      <w:r w:rsidRPr="00855FA4">
        <w:rPr>
          <w:rFonts w:ascii="Arial" w:hAnsi="Arial" w:cs="Arial"/>
          <w:color w:val="000000" w:themeColor="text1"/>
          <w:sz w:val="24"/>
          <w:szCs w:val="24"/>
        </w:rPr>
        <w:t xml:space="preserve"> method performances for the determination of </w:t>
      </w:r>
      <w:r w:rsidRPr="008B6F3C">
        <w:rPr>
          <w:rFonts w:ascii="Arial" w:hAnsi="Arial" w:cs="Arial"/>
          <w:color w:val="000000" w:themeColor="text1"/>
          <w:sz w:val="24"/>
          <w:szCs w:val="24"/>
        </w:rPr>
        <w:t>5-HT</w:t>
      </w:r>
      <w:r w:rsidRPr="00855FA4">
        <w:rPr>
          <w:rFonts w:ascii="Arial" w:hAnsi="Arial" w:cs="Arial"/>
          <w:color w:val="000000" w:themeColor="text1"/>
          <w:sz w:val="24"/>
          <w:szCs w:val="24"/>
        </w:rPr>
        <w:t>.</w:t>
      </w:r>
    </w:p>
    <w:p w14:paraId="3AABA00D" w14:textId="77777777" w:rsidR="00855FA4" w:rsidRPr="008B6F3C" w:rsidRDefault="00855FA4" w:rsidP="0097495D">
      <w:pPr>
        <w:tabs>
          <w:tab w:val="left" w:pos="142"/>
        </w:tabs>
        <w:spacing w:after="0" w:line="240" w:lineRule="auto"/>
        <w:jc w:val="both"/>
        <w:rPr>
          <w:rFonts w:ascii="Arial" w:hAnsi="Arial" w:cs="Arial"/>
          <w:color w:val="000000" w:themeColor="text1"/>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253"/>
        <w:gridCol w:w="142"/>
        <w:gridCol w:w="1442"/>
        <w:gridCol w:w="1000"/>
        <w:gridCol w:w="109"/>
        <w:gridCol w:w="283"/>
        <w:gridCol w:w="993"/>
      </w:tblGrid>
      <w:tr w:rsidR="00593F6E" w:rsidRPr="00277805" w14:paraId="324E3C95" w14:textId="77777777" w:rsidTr="00277805">
        <w:trPr>
          <w:jc w:val="center"/>
        </w:trPr>
        <w:tc>
          <w:tcPr>
            <w:tcW w:w="4253" w:type="dxa"/>
            <w:tcBorders>
              <w:top w:val="outset" w:sz="6" w:space="0" w:color="auto"/>
              <w:left w:val="nil"/>
              <w:bottom w:val="single" w:sz="4" w:space="0" w:color="auto"/>
              <w:right w:val="nil"/>
            </w:tcBorders>
            <w:vAlign w:val="center"/>
            <w:hideMark/>
          </w:tcPr>
          <w:p w14:paraId="4620B7EA" w14:textId="12817112" w:rsidR="00593F6E" w:rsidRPr="00855FA4" w:rsidRDefault="00593F6E" w:rsidP="0097495D">
            <w:pPr>
              <w:tabs>
                <w:tab w:val="left" w:pos="142"/>
              </w:tabs>
              <w:spacing w:after="0" w:line="240" w:lineRule="auto"/>
              <w:rPr>
                <w:rFonts w:ascii="Arial" w:hAnsi="Arial" w:cs="Arial"/>
                <w:color w:val="000000" w:themeColor="text1"/>
              </w:rPr>
            </w:pPr>
            <w:r w:rsidRPr="00855FA4">
              <w:rPr>
                <w:rFonts w:ascii="Arial" w:hAnsi="Arial" w:cs="Arial"/>
                <w:color w:val="000000" w:themeColor="text1"/>
              </w:rPr>
              <w:t>Parameters</w:t>
            </w:r>
          </w:p>
        </w:tc>
        <w:tc>
          <w:tcPr>
            <w:tcW w:w="142" w:type="dxa"/>
            <w:tcBorders>
              <w:top w:val="outset" w:sz="6" w:space="0" w:color="auto"/>
              <w:left w:val="nil"/>
              <w:bottom w:val="single" w:sz="4" w:space="0" w:color="auto"/>
              <w:right w:val="nil"/>
            </w:tcBorders>
            <w:vAlign w:val="center"/>
          </w:tcPr>
          <w:p w14:paraId="703C53C9" w14:textId="77777777" w:rsidR="00593F6E" w:rsidRPr="00855FA4" w:rsidRDefault="00593F6E" w:rsidP="0097495D">
            <w:pPr>
              <w:tabs>
                <w:tab w:val="left" w:pos="142"/>
              </w:tabs>
              <w:spacing w:after="0" w:line="240" w:lineRule="auto"/>
              <w:jc w:val="both"/>
              <w:rPr>
                <w:rFonts w:ascii="Arial" w:hAnsi="Arial" w:cs="Arial"/>
                <w:color w:val="000000" w:themeColor="text1"/>
              </w:rPr>
            </w:pPr>
          </w:p>
        </w:tc>
        <w:tc>
          <w:tcPr>
            <w:tcW w:w="3827" w:type="dxa"/>
            <w:gridSpan w:val="5"/>
            <w:tcBorders>
              <w:top w:val="outset" w:sz="6" w:space="0" w:color="auto"/>
              <w:left w:val="nil"/>
              <w:bottom w:val="single" w:sz="4" w:space="0" w:color="auto"/>
            </w:tcBorders>
            <w:vAlign w:val="center"/>
          </w:tcPr>
          <w:p w14:paraId="4D96EEA6" w14:textId="28BF8110" w:rsidR="00593F6E" w:rsidRPr="00855FA4" w:rsidRDefault="00593F6E" w:rsidP="0097495D">
            <w:pPr>
              <w:tabs>
                <w:tab w:val="left" w:pos="142"/>
              </w:tabs>
              <w:spacing w:after="0" w:line="240" w:lineRule="auto"/>
              <w:jc w:val="center"/>
              <w:rPr>
                <w:rFonts w:ascii="Arial" w:hAnsi="Arial" w:cs="Arial"/>
                <w:color w:val="000000" w:themeColor="text1"/>
              </w:rPr>
            </w:pPr>
            <w:r w:rsidRPr="00277805">
              <w:rPr>
                <w:rFonts w:ascii="Arial" w:hAnsi="Arial" w:cs="Arial"/>
                <w:color w:val="000000" w:themeColor="text1"/>
              </w:rPr>
              <w:t>5-HT</w:t>
            </w:r>
          </w:p>
        </w:tc>
      </w:tr>
      <w:tr w:rsidR="00593F6E" w:rsidRPr="00277805" w14:paraId="6061A1BE" w14:textId="77777777" w:rsidTr="00277805">
        <w:trPr>
          <w:jc w:val="center"/>
        </w:trPr>
        <w:tc>
          <w:tcPr>
            <w:tcW w:w="4253" w:type="dxa"/>
            <w:tcBorders>
              <w:top w:val="single" w:sz="4" w:space="0" w:color="auto"/>
              <w:left w:val="nil"/>
              <w:right w:val="nil"/>
            </w:tcBorders>
            <w:vAlign w:val="center"/>
            <w:hideMark/>
          </w:tcPr>
          <w:p w14:paraId="7E76F7A4" w14:textId="5735EDDD" w:rsidR="00855FA4" w:rsidRPr="00855FA4" w:rsidRDefault="00855FA4" w:rsidP="0097495D">
            <w:pPr>
              <w:tabs>
                <w:tab w:val="left" w:pos="142"/>
              </w:tabs>
              <w:spacing w:after="0" w:line="240" w:lineRule="auto"/>
              <w:rPr>
                <w:rFonts w:ascii="Arial" w:hAnsi="Arial" w:cs="Arial"/>
                <w:color w:val="000000" w:themeColor="text1"/>
              </w:rPr>
            </w:pPr>
            <w:r w:rsidRPr="00855FA4">
              <w:rPr>
                <w:rFonts w:ascii="Arial" w:hAnsi="Arial" w:cs="Arial"/>
                <w:color w:val="000000" w:themeColor="text1"/>
              </w:rPr>
              <w:t>Accuracy, attested by :</w:t>
            </w:r>
          </w:p>
        </w:tc>
        <w:tc>
          <w:tcPr>
            <w:tcW w:w="142" w:type="dxa"/>
            <w:tcBorders>
              <w:top w:val="single" w:sz="4" w:space="0" w:color="auto"/>
              <w:left w:val="nil"/>
              <w:right w:val="nil"/>
            </w:tcBorders>
            <w:vAlign w:val="center"/>
          </w:tcPr>
          <w:p w14:paraId="350754C7"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442" w:type="dxa"/>
            <w:tcBorders>
              <w:top w:val="single" w:sz="4" w:space="0" w:color="auto"/>
              <w:left w:val="nil"/>
              <w:right w:val="nil"/>
            </w:tcBorders>
            <w:vAlign w:val="center"/>
          </w:tcPr>
          <w:p w14:paraId="754C160E"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000" w:type="dxa"/>
            <w:tcBorders>
              <w:top w:val="single" w:sz="4" w:space="0" w:color="auto"/>
              <w:left w:val="nil"/>
              <w:right w:val="nil"/>
            </w:tcBorders>
            <w:vAlign w:val="center"/>
            <w:hideMark/>
          </w:tcPr>
          <w:p w14:paraId="02F70708"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YES</w:t>
            </w:r>
          </w:p>
        </w:tc>
        <w:tc>
          <w:tcPr>
            <w:tcW w:w="109" w:type="dxa"/>
            <w:tcBorders>
              <w:top w:val="single" w:sz="4" w:space="0" w:color="auto"/>
              <w:left w:val="nil"/>
              <w:right w:val="nil"/>
            </w:tcBorders>
            <w:vAlign w:val="center"/>
          </w:tcPr>
          <w:p w14:paraId="59D57FC4"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283" w:type="dxa"/>
            <w:tcBorders>
              <w:top w:val="single" w:sz="4" w:space="0" w:color="auto"/>
              <w:left w:val="nil"/>
              <w:right w:val="nil"/>
            </w:tcBorders>
            <w:vAlign w:val="center"/>
          </w:tcPr>
          <w:p w14:paraId="6E937571"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993" w:type="dxa"/>
            <w:tcBorders>
              <w:top w:val="single" w:sz="4" w:space="0" w:color="auto"/>
              <w:left w:val="nil"/>
              <w:right w:val="nil"/>
            </w:tcBorders>
            <w:vAlign w:val="center"/>
            <w:hideMark/>
          </w:tcPr>
          <w:p w14:paraId="2A0D6ED5"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YES</w:t>
            </w:r>
          </w:p>
        </w:tc>
      </w:tr>
      <w:tr w:rsidR="00593F6E" w:rsidRPr="00277805" w14:paraId="048F8F63" w14:textId="77777777" w:rsidTr="00277805">
        <w:trPr>
          <w:jc w:val="center"/>
        </w:trPr>
        <w:tc>
          <w:tcPr>
            <w:tcW w:w="4253" w:type="dxa"/>
            <w:tcBorders>
              <w:left w:val="nil"/>
              <w:right w:val="nil"/>
            </w:tcBorders>
            <w:vAlign w:val="center"/>
            <w:hideMark/>
          </w:tcPr>
          <w:p w14:paraId="1C86D0FD" w14:textId="593C1081" w:rsidR="00855FA4" w:rsidRPr="00855FA4" w:rsidRDefault="00855FA4" w:rsidP="0097495D">
            <w:pPr>
              <w:tabs>
                <w:tab w:val="left" w:pos="142"/>
              </w:tabs>
              <w:spacing w:after="0" w:line="240" w:lineRule="auto"/>
              <w:rPr>
                <w:rFonts w:ascii="Arial" w:hAnsi="Arial" w:cs="Arial"/>
                <w:color w:val="000000" w:themeColor="text1"/>
              </w:rPr>
            </w:pPr>
            <w:proofErr w:type="gramStart"/>
            <w:r w:rsidRPr="00855FA4">
              <w:rPr>
                <w:rFonts w:ascii="Arial" w:hAnsi="Arial" w:cs="Arial"/>
                <w:color w:val="000000" w:themeColor="text1"/>
              </w:rPr>
              <w:t>t</w:t>
            </w:r>
            <w:r w:rsidRPr="00855FA4">
              <w:rPr>
                <w:rFonts w:ascii="Arial" w:hAnsi="Arial" w:cs="Arial"/>
                <w:color w:val="000000" w:themeColor="text1"/>
                <w:vertAlign w:val="subscript"/>
              </w:rPr>
              <w:t>DIFF</w:t>
            </w:r>
            <w:proofErr w:type="gramEnd"/>
            <w:r w:rsidRPr="00855FA4">
              <w:rPr>
                <w:rFonts w:ascii="Arial" w:hAnsi="Arial" w:cs="Arial"/>
                <w:color w:val="000000" w:themeColor="text1"/>
                <w:vertAlign w:val="subscript"/>
              </w:rPr>
              <w:t xml:space="preserve"> </w:t>
            </w:r>
            <w:r w:rsidRPr="00855FA4">
              <w:rPr>
                <w:rFonts w:ascii="Arial" w:hAnsi="Arial" w:cs="Arial"/>
                <w:color w:val="000000" w:themeColor="text1"/>
                <w:vertAlign w:val="superscript"/>
              </w:rPr>
              <w:t>a</w:t>
            </w:r>
          </w:p>
        </w:tc>
        <w:tc>
          <w:tcPr>
            <w:tcW w:w="142" w:type="dxa"/>
            <w:tcBorders>
              <w:left w:val="nil"/>
              <w:right w:val="nil"/>
            </w:tcBorders>
            <w:vAlign w:val="center"/>
          </w:tcPr>
          <w:p w14:paraId="7B0C4104"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442" w:type="dxa"/>
            <w:tcBorders>
              <w:left w:val="nil"/>
              <w:right w:val="nil"/>
            </w:tcBorders>
            <w:vAlign w:val="center"/>
          </w:tcPr>
          <w:p w14:paraId="20271EC1"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000" w:type="dxa"/>
            <w:tcBorders>
              <w:left w:val="nil"/>
              <w:right w:val="nil"/>
            </w:tcBorders>
            <w:vAlign w:val="center"/>
            <w:hideMark/>
          </w:tcPr>
          <w:p w14:paraId="17D3A5F6" w14:textId="2FE0EA80"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0.</w:t>
            </w:r>
            <w:r w:rsidR="00593F6E" w:rsidRPr="00277805">
              <w:rPr>
                <w:rFonts w:ascii="Arial" w:hAnsi="Arial" w:cs="Arial"/>
                <w:color w:val="000000" w:themeColor="text1"/>
              </w:rPr>
              <w:t>2</w:t>
            </w:r>
            <w:r w:rsidRPr="00855FA4">
              <w:rPr>
                <w:rFonts w:ascii="Arial" w:hAnsi="Arial" w:cs="Arial"/>
                <w:color w:val="000000" w:themeColor="text1"/>
              </w:rPr>
              <w:t>8</w:t>
            </w:r>
          </w:p>
        </w:tc>
        <w:tc>
          <w:tcPr>
            <w:tcW w:w="109" w:type="dxa"/>
            <w:tcBorders>
              <w:left w:val="nil"/>
              <w:right w:val="nil"/>
            </w:tcBorders>
            <w:vAlign w:val="center"/>
          </w:tcPr>
          <w:p w14:paraId="2D928BA9"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14:paraId="6A049C32"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hideMark/>
          </w:tcPr>
          <w:p w14:paraId="4DE92725" w14:textId="7066475D"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1.</w:t>
            </w:r>
            <w:r w:rsidR="00593F6E" w:rsidRPr="00277805">
              <w:rPr>
                <w:rFonts w:ascii="Arial" w:hAnsi="Arial" w:cs="Arial"/>
                <w:color w:val="000000" w:themeColor="text1"/>
              </w:rPr>
              <w:t>4</w:t>
            </w:r>
            <w:r w:rsidRPr="00855FA4">
              <w:rPr>
                <w:rFonts w:ascii="Arial" w:hAnsi="Arial" w:cs="Arial"/>
                <w:color w:val="000000" w:themeColor="text1"/>
              </w:rPr>
              <w:t>0</w:t>
            </w:r>
          </w:p>
        </w:tc>
      </w:tr>
      <w:tr w:rsidR="00593F6E" w:rsidRPr="00277805" w14:paraId="2AC15C01" w14:textId="77777777" w:rsidTr="00277805">
        <w:trPr>
          <w:jc w:val="center"/>
        </w:trPr>
        <w:tc>
          <w:tcPr>
            <w:tcW w:w="4253" w:type="dxa"/>
            <w:tcBorders>
              <w:left w:val="nil"/>
              <w:right w:val="nil"/>
            </w:tcBorders>
            <w:vAlign w:val="center"/>
            <w:hideMark/>
          </w:tcPr>
          <w:p w14:paraId="127C6D62" w14:textId="5A6CA1E8" w:rsidR="00855FA4" w:rsidRPr="00855FA4" w:rsidRDefault="00855FA4" w:rsidP="0097495D">
            <w:pPr>
              <w:tabs>
                <w:tab w:val="left" w:pos="142"/>
              </w:tabs>
              <w:spacing w:after="0" w:line="240" w:lineRule="auto"/>
              <w:rPr>
                <w:rFonts w:ascii="Arial" w:hAnsi="Arial" w:cs="Arial"/>
                <w:color w:val="000000" w:themeColor="text1"/>
              </w:rPr>
            </w:pPr>
            <w:proofErr w:type="gramStart"/>
            <w:r w:rsidRPr="00855FA4">
              <w:rPr>
                <w:rFonts w:ascii="Arial" w:hAnsi="Arial" w:cs="Arial"/>
                <w:color w:val="000000" w:themeColor="text1"/>
              </w:rPr>
              <w:t>t</w:t>
            </w:r>
            <w:r w:rsidRPr="00855FA4">
              <w:rPr>
                <w:rFonts w:ascii="Arial" w:hAnsi="Arial" w:cs="Arial"/>
                <w:color w:val="000000" w:themeColor="text1"/>
                <w:vertAlign w:val="subscript"/>
              </w:rPr>
              <w:t>TAB</w:t>
            </w:r>
            <w:proofErr w:type="gramEnd"/>
            <w:r w:rsidRPr="00855FA4">
              <w:rPr>
                <w:rFonts w:ascii="Arial" w:hAnsi="Arial" w:cs="Arial"/>
                <w:color w:val="000000" w:themeColor="text1"/>
              </w:rPr>
              <w:t xml:space="preserve"> (5%) </w:t>
            </w:r>
            <w:r w:rsidRPr="00855FA4">
              <w:rPr>
                <w:rFonts w:ascii="Arial" w:hAnsi="Arial" w:cs="Arial"/>
                <w:color w:val="000000" w:themeColor="text1"/>
                <w:vertAlign w:val="superscript"/>
              </w:rPr>
              <w:t>b</w:t>
            </w:r>
          </w:p>
        </w:tc>
        <w:tc>
          <w:tcPr>
            <w:tcW w:w="142" w:type="dxa"/>
            <w:tcBorders>
              <w:left w:val="nil"/>
              <w:right w:val="nil"/>
            </w:tcBorders>
            <w:vAlign w:val="center"/>
          </w:tcPr>
          <w:p w14:paraId="4A7D06B8"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442" w:type="dxa"/>
            <w:tcBorders>
              <w:left w:val="nil"/>
              <w:right w:val="nil"/>
            </w:tcBorders>
            <w:vAlign w:val="center"/>
          </w:tcPr>
          <w:p w14:paraId="39778A93"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000" w:type="dxa"/>
            <w:tcBorders>
              <w:left w:val="nil"/>
              <w:right w:val="nil"/>
            </w:tcBorders>
            <w:vAlign w:val="center"/>
            <w:hideMark/>
          </w:tcPr>
          <w:p w14:paraId="3A0BF90D" w14:textId="0D2D7C62" w:rsidR="00855FA4" w:rsidRPr="00855FA4" w:rsidRDefault="00593F6E" w:rsidP="0097495D">
            <w:pPr>
              <w:tabs>
                <w:tab w:val="left" w:pos="142"/>
              </w:tabs>
              <w:spacing w:after="0" w:line="240" w:lineRule="auto"/>
              <w:jc w:val="both"/>
              <w:rPr>
                <w:rFonts w:ascii="Arial" w:hAnsi="Arial" w:cs="Arial"/>
                <w:color w:val="000000" w:themeColor="text1"/>
              </w:rPr>
            </w:pPr>
            <w:r w:rsidRPr="00277805">
              <w:rPr>
                <w:rFonts w:ascii="Arial" w:hAnsi="Arial" w:cs="Arial"/>
                <w:color w:val="000000" w:themeColor="text1"/>
              </w:rPr>
              <w:t>3</w:t>
            </w:r>
            <w:r w:rsidR="00855FA4" w:rsidRPr="00855FA4">
              <w:rPr>
                <w:rFonts w:ascii="Arial" w:hAnsi="Arial" w:cs="Arial"/>
                <w:color w:val="000000" w:themeColor="text1"/>
              </w:rPr>
              <w:t>.</w:t>
            </w:r>
            <w:r w:rsidRPr="00277805">
              <w:rPr>
                <w:rFonts w:ascii="Arial" w:hAnsi="Arial" w:cs="Arial"/>
                <w:color w:val="000000" w:themeColor="text1"/>
              </w:rPr>
              <w:t>4</w:t>
            </w:r>
            <w:r w:rsidR="00855FA4" w:rsidRPr="00855FA4">
              <w:rPr>
                <w:rFonts w:ascii="Arial" w:hAnsi="Arial" w:cs="Arial"/>
                <w:color w:val="000000" w:themeColor="text1"/>
              </w:rPr>
              <w:t>7</w:t>
            </w:r>
          </w:p>
        </w:tc>
        <w:tc>
          <w:tcPr>
            <w:tcW w:w="109" w:type="dxa"/>
            <w:tcBorders>
              <w:left w:val="nil"/>
              <w:right w:val="nil"/>
            </w:tcBorders>
            <w:vAlign w:val="center"/>
          </w:tcPr>
          <w:p w14:paraId="785E44C8"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14:paraId="53819D6C"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hideMark/>
          </w:tcPr>
          <w:p w14:paraId="2E812050" w14:textId="2B8AF78F"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2.</w:t>
            </w:r>
            <w:r w:rsidR="00593F6E" w:rsidRPr="00277805">
              <w:rPr>
                <w:rFonts w:ascii="Arial" w:hAnsi="Arial" w:cs="Arial"/>
                <w:color w:val="000000" w:themeColor="text1"/>
              </w:rPr>
              <w:t>5</w:t>
            </w:r>
            <w:r w:rsidRPr="00855FA4">
              <w:rPr>
                <w:rFonts w:ascii="Arial" w:hAnsi="Arial" w:cs="Arial"/>
                <w:color w:val="000000" w:themeColor="text1"/>
              </w:rPr>
              <w:t>1</w:t>
            </w:r>
          </w:p>
        </w:tc>
      </w:tr>
      <w:tr w:rsidR="00593F6E" w:rsidRPr="00277805" w14:paraId="3317F206" w14:textId="77777777" w:rsidTr="00277805">
        <w:trPr>
          <w:jc w:val="center"/>
        </w:trPr>
        <w:tc>
          <w:tcPr>
            <w:tcW w:w="4253" w:type="dxa"/>
            <w:tcBorders>
              <w:left w:val="nil"/>
              <w:right w:val="nil"/>
            </w:tcBorders>
            <w:vAlign w:val="center"/>
            <w:hideMark/>
          </w:tcPr>
          <w:p w14:paraId="56F35C04" w14:textId="610CE27F" w:rsidR="00855FA4" w:rsidRPr="00855FA4" w:rsidRDefault="00855FA4" w:rsidP="0097495D">
            <w:pPr>
              <w:tabs>
                <w:tab w:val="left" w:pos="142"/>
              </w:tabs>
              <w:spacing w:after="0" w:line="240" w:lineRule="auto"/>
              <w:rPr>
                <w:rFonts w:ascii="Arial" w:hAnsi="Arial" w:cs="Arial"/>
                <w:color w:val="000000" w:themeColor="text1"/>
              </w:rPr>
            </w:pPr>
            <w:r w:rsidRPr="00855FA4">
              <w:rPr>
                <w:rFonts w:ascii="Arial" w:hAnsi="Arial" w:cs="Arial"/>
                <w:color w:val="000000" w:themeColor="text1"/>
              </w:rPr>
              <w:t>Mean recovery (Table 4) significantly different from 100 %</w:t>
            </w:r>
          </w:p>
        </w:tc>
        <w:tc>
          <w:tcPr>
            <w:tcW w:w="142" w:type="dxa"/>
            <w:tcBorders>
              <w:left w:val="nil"/>
              <w:right w:val="nil"/>
            </w:tcBorders>
            <w:vAlign w:val="center"/>
          </w:tcPr>
          <w:p w14:paraId="511DF47F"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442" w:type="dxa"/>
            <w:tcBorders>
              <w:left w:val="nil"/>
              <w:right w:val="nil"/>
            </w:tcBorders>
            <w:vAlign w:val="center"/>
          </w:tcPr>
          <w:p w14:paraId="05398D53"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000" w:type="dxa"/>
            <w:tcBorders>
              <w:left w:val="nil"/>
              <w:right w:val="nil"/>
            </w:tcBorders>
            <w:vAlign w:val="center"/>
            <w:hideMark/>
          </w:tcPr>
          <w:p w14:paraId="0BEF4CD2"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NO</w:t>
            </w:r>
          </w:p>
        </w:tc>
        <w:tc>
          <w:tcPr>
            <w:tcW w:w="109" w:type="dxa"/>
            <w:tcBorders>
              <w:left w:val="nil"/>
              <w:right w:val="nil"/>
            </w:tcBorders>
            <w:vAlign w:val="center"/>
          </w:tcPr>
          <w:p w14:paraId="7662D972"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14:paraId="493CDD5B"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hideMark/>
          </w:tcPr>
          <w:p w14:paraId="3F04B81C"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NO</w:t>
            </w:r>
          </w:p>
        </w:tc>
      </w:tr>
      <w:tr w:rsidR="00593F6E" w:rsidRPr="00277805" w14:paraId="2CF32EE9" w14:textId="77777777" w:rsidTr="00277805">
        <w:trPr>
          <w:jc w:val="center"/>
        </w:trPr>
        <w:tc>
          <w:tcPr>
            <w:tcW w:w="4253" w:type="dxa"/>
            <w:tcBorders>
              <w:left w:val="nil"/>
              <w:right w:val="nil"/>
            </w:tcBorders>
            <w:vAlign w:val="center"/>
            <w:hideMark/>
          </w:tcPr>
          <w:p w14:paraId="38ACA094" w14:textId="0924AB11" w:rsidR="00855FA4" w:rsidRPr="00855FA4" w:rsidRDefault="00855FA4" w:rsidP="0097495D">
            <w:pPr>
              <w:tabs>
                <w:tab w:val="left" w:pos="142"/>
              </w:tabs>
              <w:spacing w:after="0" w:line="240" w:lineRule="auto"/>
              <w:rPr>
                <w:rFonts w:ascii="Arial" w:hAnsi="Arial" w:cs="Arial"/>
                <w:color w:val="000000" w:themeColor="text1"/>
              </w:rPr>
            </w:pPr>
            <w:proofErr w:type="gramStart"/>
            <w:r w:rsidRPr="00855FA4">
              <w:rPr>
                <w:rFonts w:ascii="Arial" w:hAnsi="Arial" w:cs="Arial"/>
                <w:color w:val="000000" w:themeColor="text1"/>
              </w:rPr>
              <w:t>Repeatability:</w:t>
            </w:r>
            <w:proofErr w:type="gramEnd"/>
            <w:r w:rsidRPr="00855FA4">
              <w:rPr>
                <w:rFonts w:ascii="Arial" w:hAnsi="Arial" w:cs="Arial"/>
                <w:color w:val="000000" w:themeColor="text1"/>
              </w:rPr>
              <w:t xml:space="preserve"> Attested by mean </w:t>
            </w:r>
            <w:r w:rsidR="00593F6E" w:rsidRPr="00277805">
              <w:rPr>
                <w:rFonts w:ascii="Arial" w:hAnsi="Arial" w:cs="Arial"/>
                <w:color w:val="000000" w:themeColor="text1"/>
              </w:rPr>
              <w:t xml:space="preserve">       </w:t>
            </w:r>
            <w:r w:rsidRPr="00855FA4">
              <w:rPr>
                <w:rFonts w:ascii="Arial" w:hAnsi="Arial" w:cs="Arial"/>
                <w:color w:val="000000" w:themeColor="text1"/>
              </w:rPr>
              <w:t xml:space="preserve">IntraD-RSD </w:t>
            </w:r>
            <w:r w:rsidRPr="00855FA4">
              <w:rPr>
                <w:rFonts w:ascii="Arial" w:hAnsi="Arial" w:cs="Arial"/>
                <w:color w:val="000000" w:themeColor="text1"/>
                <w:vertAlign w:val="superscript"/>
              </w:rPr>
              <w:t xml:space="preserve">c </w:t>
            </w:r>
            <w:r w:rsidRPr="00855FA4">
              <w:rPr>
                <w:rFonts w:ascii="Arial" w:hAnsi="Arial" w:cs="Arial"/>
                <w:color w:val="000000" w:themeColor="text1"/>
              </w:rPr>
              <w:t>&lt; 5%; (Table 4)</w:t>
            </w:r>
          </w:p>
        </w:tc>
        <w:tc>
          <w:tcPr>
            <w:tcW w:w="142" w:type="dxa"/>
            <w:tcBorders>
              <w:left w:val="nil"/>
              <w:right w:val="nil"/>
            </w:tcBorders>
            <w:vAlign w:val="center"/>
          </w:tcPr>
          <w:p w14:paraId="519923C8"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442" w:type="dxa"/>
            <w:tcBorders>
              <w:left w:val="nil"/>
              <w:right w:val="nil"/>
            </w:tcBorders>
            <w:vAlign w:val="center"/>
          </w:tcPr>
          <w:p w14:paraId="7AFE9D93"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000" w:type="dxa"/>
            <w:tcBorders>
              <w:left w:val="nil"/>
              <w:right w:val="nil"/>
            </w:tcBorders>
            <w:vAlign w:val="center"/>
            <w:hideMark/>
          </w:tcPr>
          <w:p w14:paraId="14EFFC27"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YES</w:t>
            </w:r>
          </w:p>
        </w:tc>
        <w:tc>
          <w:tcPr>
            <w:tcW w:w="109" w:type="dxa"/>
            <w:tcBorders>
              <w:left w:val="nil"/>
              <w:right w:val="nil"/>
            </w:tcBorders>
            <w:vAlign w:val="center"/>
          </w:tcPr>
          <w:p w14:paraId="55A91F6F"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14:paraId="5427D92A"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hideMark/>
          </w:tcPr>
          <w:p w14:paraId="17C2F30E"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YES</w:t>
            </w:r>
          </w:p>
        </w:tc>
      </w:tr>
      <w:tr w:rsidR="00593F6E" w:rsidRPr="00277805" w14:paraId="44EF3645" w14:textId="77777777" w:rsidTr="00277805">
        <w:trPr>
          <w:jc w:val="center"/>
        </w:trPr>
        <w:tc>
          <w:tcPr>
            <w:tcW w:w="4253" w:type="dxa"/>
            <w:tcBorders>
              <w:left w:val="nil"/>
              <w:right w:val="nil"/>
            </w:tcBorders>
            <w:vAlign w:val="center"/>
            <w:hideMark/>
          </w:tcPr>
          <w:p w14:paraId="085B7DC9" w14:textId="0A660393" w:rsidR="00855FA4" w:rsidRPr="00855FA4" w:rsidRDefault="00855FA4" w:rsidP="0097495D">
            <w:pPr>
              <w:tabs>
                <w:tab w:val="left" w:pos="142"/>
              </w:tabs>
              <w:spacing w:after="0" w:line="240" w:lineRule="auto"/>
              <w:rPr>
                <w:rFonts w:ascii="Arial" w:hAnsi="Arial" w:cs="Arial"/>
                <w:color w:val="000000" w:themeColor="text1"/>
              </w:rPr>
            </w:pPr>
            <w:r w:rsidRPr="00855FA4">
              <w:rPr>
                <w:rFonts w:ascii="Arial" w:hAnsi="Arial" w:cs="Arial"/>
                <w:color w:val="000000" w:themeColor="text1"/>
              </w:rPr>
              <w:t>Reproductibility</w:t>
            </w:r>
          </w:p>
        </w:tc>
        <w:tc>
          <w:tcPr>
            <w:tcW w:w="142" w:type="dxa"/>
            <w:tcBorders>
              <w:left w:val="nil"/>
              <w:right w:val="nil"/>
            </w:tcBorders>
            <w:vAlign w:val="center"/>
          </w:tcPr>
          <w:p w14:paraId="38F53307"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442" w:type="dxa"/>
            <w:tcBorders>
              <w:left w:val="nil"/>
              <w:right w:val="nil"/>
            </w:tcBorders>
            <w:vAlign w:val="center"/>
          </w:tcPr>
          <w:p w14:paraId="31B3776C"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000" w:type="dxa"/>
            <w:tcBorders>
              <w:left w:val="nil"/>
              <w:right w:val="nil"/>
            </w:tcBorders>
            <w:vAlign w:val="center"/>
            <w:hideMark/>
          </w:tcPr>
          <w:p w14:paraId="4CF948F1"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YES</w:t>
            </w:r>
          </w:p>
        </w:tc>
        <w:tc>
          <w:tcPr>
            <w:tcW w:w="109" w:type="dxa"/>
            <w:tcBorders>
              <w:left w:val="nil"/>
              <w:right w:val="nil"/>
            </w:tcBorders>
            <w:vAlign w:val="center"/>
          </w:tcPr>
          <w:p w14:paraId="1270362C"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14:paraId="75DAE9AF"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hideMark/>
          </w:tcPr>
          <w:p w14:paraId="6A43C526"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YES</w:t>
            </w:r>
          </w:p>
        </w:tc>
      </w:tr>
      <w:tr w:rsidR="00593F6E" w:rsidRPr="00277805" w14:paraId="050EFF34" w14:textId="77777777" w:rsidTr="00277805">
        <w:trPr>
          <w:jc w:val="center"/>
        </w:trPr>
        <w:tc>
          <w:tcPr>
            <w:tcW w:w="4253" w:type="dxa"/>
            <w:tcBorders>
              <w:left w:val="nil"/>
              <w:right w:val="nil"/>
            </w:tcBorders>
            <w:vAlign w:val="center"/>
            <w:hideMark/>
          </w:tcPr>
          <w:p w14:paraId="2801CB63" w14:textId="544A66D5" w:rsidR="00855FA4" w:rsidRPr="00855FA4" w:rsidRDefault="00855FA4" w:rsidP="0097495D">
            <w:pPr>
              <w:tabs>
                <w:tab w:val="left" w:pos="142"/>
              </w:tabs>
              <w:spacing w:after="0" w:line="240" w:lineRule="auto"/>
              <w:rPr>
                <w:rFonts w:ascii="Arial" w:hAnsi="Arial" w:cs="Arial"/>
                <w:color w:val="000000" w:themeColor="text1"/>
              </w:rPr>
            </w:pPr>
            <w:r w:rsidRPr="00855FA4">
              <w:rPr>
                <w:rFonts w:ascii="Arial" w:hAnsi="Arial" w:cs="Arial"/>
                <w:color w:val="000000" w:themeColor="text1"/>
              </w:rPr>
              <w:t xml:space="preserve">Attested by : InterD-RSD </w:t>
            </w:r>
            <w:r w:rsidRPr="00855FA4">
              <w:rPr>
                <w:rFonts w:ascii="Arial" w:hAnsi="Arial" w:cs="Arial"/>
                <w:color w:val="000000" w:themeColor="text1"/>
                <w:vertAlign w:val="superscript"/>
              </w:rPr>
              <w:t>d</w:t>
            </w:r>
            <w:r w:rsidRPr="00855FA4">
              <w:rPr>
                <w:rFonts w:ascii="Arial" w:hAnsi="Arial" w:cs="Arial"/>
                <w:color w:val="000000" w:themeColor="text1"/>
              </w:rPr>
              <w:t xml:space="preserve"> &lt; 5%</w:t>
            </w:r>
          </w:p>
        </w:tc>
        <w:tc>
          <w:tcPr>
            <w:tcW w:w="142" w:type="dxa"/>
            <w:tcBorders>
              <w:left w:val="nil"/>
              <w:right w:val="nil"/>
            </w:tcBorders>
            <w:vAlign w:val="center"/>
          </w:tcPr>
          <w:p w14:paraId="67E45207"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442" w:type="dxa"/>
            <w:tcBorders>
              <w:left w:val="nil"/>
              <w:right w:val="nil"/>
            </w:tcBorders>
            <w:vAlign w:val="center"/>
          </w:tcPr>
          <w:p w14:paraId="3D2BD82B"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000" w:type="dxa"/>
            <w:tcBorders>
              <w:left w:val="nil"/>
              <w:right w:val="nil"/>
            </w:tcBorders>
            <w:vAlign w:val="center"/>
            <w:hideMark/>
          </w:tcPr>
          <w:p w14:paraId="5610CC9A"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4.3</w:t>
            </w:r>
          </w:p>
        </w:tc>
        <w:tc>
          <w:tcPr>
            <w:tcW w:w="109" w:type="dxa"/>
            <w:tcBorders>
              <w:left w:val="nil"/>
              <w:right w:val="nil"/>
            </w:tcBorders>
            <w:vAlign w:val="center"/>
          </w:tcPr>
          <w:p w14:paraId="5D8607C3"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283" w:type="dxa"/>
            <w:tcBorders>
              <w:left w:val="nil"/>
              <w:right w:val="nil"/>
            </w:tcBorders>
            <w:vAlign w:val="center"/>
          </w:tcPr>
          <w:p w14:paraId="79E4992E"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993" w:type="dxa"/>
            <w:tcBorders>
              <w:left w:val="nil"/>
              <w:right w:val="nil"/>
            </w:tcBorders>
            <w:vAlign w:val="center"/>
            <w:hideMark/>
          </w:tcPr>
          <w:p w14:paraId="51D575A4"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3.7</w:t>
            </w:r>
          </w:p>
        </w:tc>
      </w:tr>
      <w:tr w:rsidR="00593F6E" w:rsidRPr="00277805" w14:paraId="1D860CDE" w14:textId="77777777" w:rsidTr="00277805">
        <w:trPr>
          <w:jc w:val="center"/>
        </w:trPr>
        <w:tc>
          <w:tcPr>
            <w:tcW w:w="4253" w:type="dxa"/>
            <w:tcBorders>
              <w:left w:val="nil"/>
              <w:bottom w:val="outset" w:sz="6" w:space="0" w:color="auto"/>
              <w:right w:val="nil"/>
            </w:tcBorders>
            <w:vAlign w:val="center"/>
            <w:hideMark/>
          </w:tcPr>
          <w:p w14:paraId="2B613393" w14:textId="2E594D30" w:rsidR="00855FA4" w:rsidRPr="00855FA4" w:rsidRDefault="00855FA4" w:rsidP="0097495D">
            <w:pPr>
              <w:tabs>
                <w:tab w:val="left" w:pos="142"/>
              </w:tabs>
              <w:spacing w:after="0" w:line="240" w:lineRule="auto"/>
              <w:rPr>
                <w:rFonts w:ascii="Arial" w:hAnsi="Arial" w:cs="Arial"/>
                <w:color w:val="000000" w:themeColor="text1"/>
              </w:rPr>
            </w:pPr>
            <w:r w:rsidRPr="00855FA4">
              <w:rPr>
                <w:rFonts w:ascii="Arial" w:hAnsi="Arial" w:cs="Arial"/>
                <w:color w:val="000000" w:themeColor="text1"/>
              </w:rPr>
              <w:t>Precision (repeatability + reproductibility)</w:t>
            </w:r>
          </w:p>
        </w:tc>
        <w:tc>
          <w:tcPr>
            <w:tcW w:w="142" w:type="dxa"/>
            <w:tcBorders>
              <w:left w:val="nil"/>
              <w:bottom w:val="outset" w:sz="6" w:space="0" w:color="auto"/>
              <w:right w:val="nil"/>
            </w:tcBorders>
            <w:vAlign w:val="center"/>
          </w:tcPr>
          <w:p w14:paraId="4B046565"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442" w:type="dxa"/>
            <w:tcBorders>
              <w:left w:val="nil"/>
              <w:bottom w:val="outset" w:sz="6" w:space="0" w:color="auto"/>
              <w:right w:val="nil"/>
            </w:tcBorders>
            <w:vAlign w:val="center"/>
          </w:tcPr>
          <w:p w14:paraId="02B2A91D"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1000" w:type="dxa"/>
            <w:tcBorders>
              <w:left w:val="nil"/>
              <w:bottom w:val="outset" w:sz="6" w:space="0" w:color="auto"/>
              <w:right w:val="nil"/>
            </w:tcBorders>
            <w:vAlign w:val="center"/>
            <w:hideMark/>
          </w:tcPr>
          <w:p w14:paraId="1B0E73B6"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YES</w:t>
            </w:r>
          </w:p>
        </w:tc>
        <w:tc>
          <w:tcPr>
            <w:tcW w:w="109" w:type="dxa"/>
            <w:tcBorders>
              <w:left w:val="nil"/>
              <w:bottom w:val="outset" w:sz="6" w:space="0" w:color="auto"/>
              <w:right w:val="nil"/>
            </w:tcBorders>
            <w:vAlign w:val="center"/>
          </w:tcPr>
          <w:p w14:paraId="1479CD1C"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283" w:type="dxa"/>
            <w:tcBorders>
              <w:left w:val="nil"/>
              <w:bottom w:val="outset" w:sz="6" w:space="0" w:color="auto"/>
              <w:right w:val="nil"/>
            </w:tcBorders>
            <w:vAlign w:val="center"/>
          </w:tcPr>
          <w:p w14:paraId="1FBE7A4C" w14:textId="77777777" w:rsidR="00855FA4" w:rsidRPr="00855FA4" w:rsidRDefault="00855FA4" w:rsidP="0097495D">
            <w:pPr>
              <w:tabs>
                <w:tab w:val="left" w:pos="142"/>
              </w:tabs>
              <w:spacing w:after="0" w:line="240" w:lineRule="auto"/>
              <w:jc w:val="both"/>
              <w:rPr>
                <w:rFonts w:ascii="Arial" w:hAnsi="Arial" w:cs="Arial"/>
                <w:color w:val="000000" w:themeColor="text1"/>
              </w:rPr>
            </w:pPr>
          </w:p>
        </w:tc>
        <w:tc>
          <w:tcPr>
            <w:tcW w:w="993" w:type="dxa"/>
            <w:tcBorders>
              <w:left w:val="nil"/>
              <w:bottom w:val="outset" w:sz="6" w:space="0" w:color="auto"/>
              <w:right w:val="nil"/>
            </w:tcBorders>
            <w:vAlign w:val="center"/>
            <w:hideMark/>
          </w:tcPr>
          <w:p w14:paraId="69668841" w14:textId="77777777" w:rsidR="00855FA4" w:rsidRPr="00855FA4" w:rsidRDefault="00855FA4" w:rsidP="0097495D">
            <w:pPr>
              <w:tabs>
                <w:tab w:val="left" w:pos="142"/>
              </w:tabs>
              <w:spacing w:after="0" w:line="240" w:lineRule="auto"/>
              <w:jc w:val="both"/>
              <w:rPr>
                <w:rFonts w:ascii="Arial" w:hAnsi="Arial" w:cs="Arial"/>
                <w:color w:val="000000" w:themeColor="text1"/>
              </w:rPr>
            </w:pPr>
            <w:r w:rsidRPr="00855FA4">
              <w:rPr>
                <w:rFonts w:ascii="Arial" w:hAnsi="Arial" w:cs="Arial"/>
                <w:color w:val="000000" w:themeColor="text1"/>
              </w:rPr>
              <w:t>YES</w:t>
            </w:r>
          </w:p>
        </w:tc>
      </w:tr>
    </w:tbl>
    <w:p w14:paraId="1ABE4DF7" w14:textId="77777777" w:rsidR="00855FA4" w:rsidRPr="00855FA4" w:rsidRDefault="00855FA4" w:rsidP="0097495D">
      <w:pPr>
        <w:tabs>
          <w:tab w:val="left" w:pos="142"/>
        </w:tabs>
        <w:spacing w:after="0" w:line="240" w:lineRule="auto"/>
        <w:jc w:val="both"/>
        <w:rPr>
          <w:rFonts w:ascii="Arial" w:hAnsi="Arial" w:cs="Arial"/>
          <w:b/>
          <w:bCs/>
          <w:color w:val="000000" w:themeColor="text1"/>
          <w:sz w:val="24"/>
          <w:szCs w:val="24"/>
        </w:rPr>
      </w:pPr>
    </w:p>
    <w:p w14:paraId="0F64A0C9" w14:textId="7745B0FE" w:rsidR="00855FA4" w:rsidRPr="00855FA4" w:rsidRDefault="00855FA4" w:rsidP="0097495D">
      <w:pPr>
        <w:tabs>
          <w:tab w:val="left" w:pos="142"/>
        </w:tabs>
        <w:spacing w:after="0" w:line="240" w:lineRule="auto"/>
        <w:jc w:val="both"/>
        <w:rPr>
          <w:rFonts w:ascii="Arial" w:hAnsi="Arial" w:cs="Arial"/>
          <w:color w:val="000000" w:themeColor="text1"/>
          <w:sz w:val="24"/>
          <w:szCs w:val="24"/>
        </w:rPr>
      </w:pPr>
      <w:proofErr w:type="gramStart"/>
      <w:r w:rsidRPr="00855FA4">
        <w:rPr>
          <w:rFonts w:ascii="Arial" w:hAnsi="Arial" w:cs="Arial"/>
          <w:color w:val="000000" w:themeColor="text1"/>
          <w:sz w:val="24"/>
          <w:szCs w:val="24"/>
          <w:vertAlign w:val="superscript"/>
        </w:rPr>
        <w:t>a</w:t>
      </w:r>
      <w:proofErr w:type="gramEnd"/>
      <w:r w:rsidRPr="00855FA4">
        <w:rPr>
          <w:rFonts w:ascii="Arial" w:hAnsi="Arial" w:cs="Arial"/>
          <w:bCs/>
          <w:color w:val="000000" w:themeColor="text1"/>
          <w:sz w:val="24"/>
          <w:szCs w:val="24"/>
          <w:vertAlign w:val="superscript"/>
        </w:rPr>
        <w:t xml:space="preserve"> </w:t>
      </w:r>
      <w:r w:rsidRPr="00855FA4">
        <w:rPr>
          <w:rFonts w:ascii="Arial" w:hAnsi="Arial" w:cs="Arial"/>
          <w:bCs/>
          <w:color w:val="000000" w:themeColor="text1"/>
          <w:sz w:val="24"/>
          <w:szCs w:val="24"/>
        </w:rPr>
        <w:t xml:space="preserve">Difference Student </w:t>
      </w:r>
      <w:r w:rsidRPr="00855FA4">
        <w:rPr>
          <w:rFonts w:ascii="Arial" w:hAnsi="Arial" w:cs="Arial"/>
          <w:bCs/>
          <w:iCs/>
          <w:color w:val="000000" w:themeColor="text1"/>
          <w:sz w:val="24"/>
          <w:szCs w:val="24"/>
        </w:rPr>
        <w:t>t</w:t>
      </w:r>
      <w:r w:rsidRPr="00855FA4">
        <w:rPr>
          <w:rFonts w:ascii="Arial" w:hAnsi="Arial" w:cs="Arial"/>
          <w:bCs/>
          <w:color w:val="000000" w:themeColor="text1"/>
          <w:sz w:val="24"/>
          <w:szCs w:val="24"/>
        </w:rPr>
        <w:t xml:space="preserve">-test; </w:t>
      </w:r>
      <w:r w:rsidRPr="00855FA4">
        <w:rPr>
          <w:rFonts w:ascii="Arial" w:hAnsi="Arial" w:cs="Arial"/>
          <w:bCs/>
          <w:color w:val="000000" w:themeColor="text1"/>
          <w:sz w:val="24"/>
          <w:szCs w:val="24"/>
          <w:vertAlign w:val="superscript"/>
        </w:rPr>
        <w:t>b</w:t>
      </w:r>
      <w:r w:rsidRPr="00855FA4">
        <w:rPr>
          <w:rFonts w:ascii="Arial" w:hAnsi="Arial" w:cs="Arial"/>
          <w:bCs/>
          <w:color w:val="000000" w:themeColor="text1"/>
          <w:sz w:val="24"/>
          <w:szCs w:val="24"/>
        </w:rPr>
        <w:t xml:space="preserve"> Tabulated t value; </w:t>
      </w:r>
      <w:r w:rsidRPr="00855FA4">
        <w:rPr>
          <w:rFonts w:ascii="Arial" w:hAnsi="Arial" w:cs="Arial"/>
          <w:color w:val="000000" w:themeColor="text1"/>
          <w:sz w:val="24"/>
          <w:szCs w:val="24"/>
          <w:vertAlign w:val="superscript"/>
        </w:rPr>
        <w:t>c</w:t>
      </w:r>
      <w:r w:rsidRPr="00855FA4">
        <w:rPr>
          <w:rFonts w:ascii="Arial" w:hAnsi="Arial" w:cs="Arial"/>
          <w:color w:val="000000" w:themeColor="text1"/>
          <w:sz w:val="24"/>
          <w:szCs w:val="24"/>
        </w:rPr>
        <w:t xml:space="preserve"> intraday relative standard deviation, from recovery. </w:t>
      </w:r>
      <w:proofErr w:type="gramStart"/>
      <w:r w:rsidRPr="00855FA4">
        <w:rPr>
          <w:rFonts w:ascii="Arial" w:hAnsi="Arial" w:cs="Arial"/>
          <w:color w:val="000000" w:themeColor="text1"/>
          <w:sz w:val="24"/>
          <w:szCs w:val="24"/>
          <w:vertAlign w:val="superscript"/>
        </w:rPr>
        <w:t>d</w:t>
      </w:r>
      <w:proofErr w:type="gramEnd"/>
      <w:r w:rsidRPr="00855FA4">
        <w:rPr>
          <w:rFonts w:ascii="Arial" w:hAnsi="Arial" w:cs="Arial"/>
          <w:color w:val="000000" w:themeColor="text1"/>
          <w:sz w:val="24"/>
          <w:szCs w:val="24"/>
        </w:rPr>
        <w:t xml:space="preserve"> Interday relative standard deviation, for five days.</w:t>
      </w:r>
    </w:p>
    <w:p w14:paraId="68377B23" w14:textId="77777777" w:rsidR="00E31A24" w:rsidRPr="008B6F3C" w:rsidRDefault="00E31A24" w:rsidP="0097495D">
      <w:pPr>
        <w:tabs>
          <w:tab w:val="left" w:pos="142"/>
        </w:tabs>
        <w:spacing w:after="0" w:line="240" w:lineRule="auto"/>
        <w:jc w:val="both"/>
        <w:rPr>
          <w:rFonts w:ascii="Arial" w:hAnsi="Arial" w:cs="Arial"/>
          <w:color w:val="000000" w:themeColor="text1"/>
          <w:sz w:val="24"/>
          <w:szCs w:val="24"/>
        </w:rPr>
      </w:pPr>
    </w:p>
    <w:p w14:paraId="2951A043" w14:textId="06C48C0C" w:rsidR="00E31A24" w:rsidRPr="008B6F3C" w:rsidRDefault="007B2353" w:rsidP="0097495D">
      <w:pPr>
        <w:tabs>
          <w:tab w:val="left" w:pos="142"/>
        </w:tabs>
        <w:spacing w:after="0" w:line="360" w:lineRule="auto"/>
        <w:jc w:val="both"/>
        <w:rPr>
          <w:rFonts w:ascii="Arial" w:hAnsi="Arial" w:cs="Arial"/>
          <w:color w:val="000000" w:themeColor="text1"/>
          <w:sz w:val="24"/>
          <w:szCs w:val="24"/>
        </w:rPr>
      </w:pPr>
      <w:r w:rsidRPr="008B6F3C">
        <w:rPr>
          <w:rFonts w:ascii="Arial" w:hAnsi="Arial" w:cs="Arial"/>
          <w:color w:val="000000" w:themeColor="text1"/>
          <w:sz w:val="24"/>
          <w:szCs w:val="24"/>
        </w:rPr>
        <w:t>Overall, the micellar environment ensured effective solubilization and stabilization of 5-HT, minimized matrix interferences, and enabled quantification at the ng mL</w:t>
      </w:r>
      <w:r w:rsidRPr="008B6F3C">
        <w:rPr>
          <w:rFonts w:ascii="Cambria Math" w:hAnsi="Cambria Math" w:cs="Cambria Math"/>
          <w:color w:val="000000" w:themeColor="text1"/>
          <w:sz w:val="24"/>
          <w:szCs w:val="24"/>
        </w:rPr>
        <w:t>⁻</w:t>
      </w:r>
      <w:r w:rsidRPr="008B6F3C">
        <w:rPr>
          <w:rFonts w:ascii="Arial" w:hAnsi="Arial" w:cs="Arial"/>
          <w:color w:val="000000" w:themeColor="text1"/>
          <w:sz w:val="24"/>
          <w:szCs w:val="24"/>
        </w:rPr>
        <w:t>¹ level without chromatographic separation. Compared with conventional chromatographic methods, the proposed approach provides comparable recovery and precision while significantly reducing analysis time, instrumentation requirements, and procedural complexity. These characteristics make the method particularly suitable for routine clinical and bioanalytical monitoring of serotonin in human urine.</w:t>
      </w:r>
    </w:p>
    <w:p w14:paraId="69A66A90" w14:textId="77777777" w:rsidR="007B2353" w:rsidRPr="001A4101" w:rsidRDefault="007B2353" w:rsidP="0097495D">
      <w:pPr>
        <w:tabs>
          <w:tab w:val="left" w:pos="142"/>
        </w:tabs>
        <w:spacing w:after="0" w:line="360" w:lineRule="auto"/>
        <w:jc w:val="both"/>
        <w:rPr>
          <w:rFonts w:ascii="Arial" w:hAnsi="Arial" w:cs="Arial"/>
          <w:color w:val="000000" w:themeColor="text1"/>
          <w:sz w:val="24"/>
          <w:szCs w:val="24"/>
        </w:rPr>
      </w:pPr>
    </w:p>
    <w:p w14:paraId="05A1DB6D" w14:textId="6575A29F" w:rsidR="00080FF5" w:rsidRPr="008B6F3C" w:rsidRDefault="004040E9" w:rsidP="0097495D">
      <w:pPr>
        <w:tabs>
          <w:tab w:val="left" w:pos="142"/>
        </w:tabs>
        <w:spacing w:after="0" w:line="360" w:lineRule="auto"/>
        <w:jc w:val="both"/>
        <w:rPr>
          <w:rFonts w:ascii="Arial" w:hAnsi="Arial" w:cs="Arial"/>
          <w:b/>
          <w:bCs/>
          <w:color w:val="000000" w:themeColor="text1"/>
          <w:sz w:val="24"/>
          <w:szCs w:val="24"/>
        </w:rPr>
      </w:pPr>
      <w:r w:rsidRPr="008B6F3C">
        <w:rPr>
          <w:rFonts w:ascii="Arial" w:hAnsi="Arial" w:cs="Arial"/>
          <w:b/>
          <w:bCs/>
          <w:color w:val="000000" w:themeColor="text1"/>
          <w:sz w:val="24"/>
          <w:szCs w:val="24"/>
        </w:rPr>
        <w:t>CONCLUSION</w:t>
      </w:r>
    </w:p>
    <w:p w14:paraId="04E51251" w14:textId="77777777" w:rsidR="00B32422" w:rsidRPr="00B32422" w:rsidRDefault="00B32422" w:rsidP="0097495D">
      <w:pPr>
        <w:tabs>
          <w:tab w:val="left" w:pos="142"/>
        </w:tabs>
        <w:spacing w:after="0" w:line="360" w:lineRule="auto"/>
        <w:jc w:val="both"/>
        <w:rPr>
          <w:rFonts w:ascii="Arial" w:hAnsi="Arial" w:cs="Arial"/>
          <w:color w:val="000000" w:themeColor="text1"/>
          <w:sz w:val="24"/>
          <w:szCs w:val="24"/>
        </w:rPr>
      </w:pPr>
      <w:r w:rsidRPr="00B32422">
        <w:rPr>
          <w:rFonts w:ascii="Arial" w:hAnsi="Arial" w:cs="Arial"/>
          <w:color w:val="000000" w:themeColor="text1"/>
          <w:sz w:val="24"/>
          <w:szCs w:val="24"/>
        </w:rPr>
        <w:t>A robust micelle-enhanced spectrofluorimetric method was developed and validated for the direct quantification of serotonin (5-hydroxytryptamine, 5-HT) in aqueous solutions and human urine. Systematic optimization demonstrated that Brij 700 and SDS micelles significantly enhance 5-HT fluorescence, providing superior analytical performance. The method exhibits broad pH stability, excellent photostability in the presence of protective micelles, and high selectivity toward biogenic amines and common inorganic ions.</w:t>
      </w:r>
    </w:p>
    <w:p w14:paraId="62FC5F1A" w14:textId="77777777" w:rsidR="00B32422" w:rsidRPr="00B32422" w:rsidRDefault="00B32422" w:rsidP="0097495D">
      <w:pPr>
        <w:tabs>
          <w:tab w:val="left" w:pos="142"/>
        </w:tabs>
        <w:spacing w:after="0" w:line="360" w:lineRule="auto"/>
        <w:jc w:val="both"/>
        <w:rPr>
          <w:rFonts w:ascii="Arial" w:hAnsi="Arial" w:cs="Arial"/>
          <w:color w:val="000000" w:themeColor="text1"/>
          <w:sz w:val="24"/>
          <w:szCs w:val="24"/>
        </w:rPr>
      </w:pPr>
      <w:r w:rsidRPr="00B32422">
        <w:rPr>
          <w:rFonts w:ascii="Arial" w:hAnsi="Arial" w:cs="Arial"/>
          <w:color w:val="000000" w:themeColor="text1"/>
          <w:sz w:val="24"/>
          <w:szCs w:val="24"/>
        </w:rPr>
        <w:t xml:space="preserve">Application to human urine samples, after liquid–liquid or solid-phase extraction, resulted in high and reproducible recoveries (89–101%) with intra-day relative standard deviations of 1.26–3.64% and inter-day RSDs of 3.7–4.3%, confirming precision and </w:t>
      </w:r>
      <w:r w:rsidRPr="00B32422">
        <w:rPr>
          <w:rFonts w:ascii="Arial" w:hAnsi="Arial" w:cs="Arial"/>
          <w:color w:val="000000" w:themeColor="text1"/>
          <w:sz w:val="24"/>
          <w:szCs w:val="24"/>
        </w:rPr>
        <w:lastRenderedPageBreak/>
        <w:t>accuracy. Detection limits reached the ng/mL range without requiring chromatographic separation, enabling rapid and cost-effective analysis of serotonin in complex biological matrices.</w:t>
      </w:r>
    </w:p>
    <w:p w14:paraId="06D952B3" w14:textId="77777777" w:rsidR="00B32422" w:rsidRPr="00B32422" w:rsidRDefault="00B32422" w:rsidP="0097495D">
      <w:pPr>
        <w:tabs>
          <w:tab w:val="left" w:pos="142"/>
        </w:tabs>
        <w:spacing w:after="0" w:line="360" w:lineRule="auto"/>
        <w:jc w:val="both"/>
        <w:rPr>
          <w:rFonts w:ascii="Arial" w:hAnsi="Arial" w:cs="Arial"/>
          <w:color w:val="000000" w:themeColor="text1"/>
          <w:sz w:val="24"/>
          <w:szCs w:val="24"/>
        </w:rPr>
      </w:pPr>
      <w:r w:rsidRPr="00B32422">
        <w:rPr>
          <w:rFonts w:ascii="Arial" w:hAnsi="Arial" w:cs="Arial"/>
          <w:color w:val="000000" w:themeColor="text1"/>
          <w:sz w:val="24"/>
          <w:szCs w:val="24"/>
        </w:rPr>
        <w:t>These results confirm that micelle-enhanced fluorescence is a reliable, sensitive, and practical tool for clinical and bioanalytical monitoring of serotonin.</w:t>
      </w:r>
    </w:p>
    <w:p w14:paraId="1532100A" w14:textId="77777777" w:rsidR="007F4289" w:rsidRPr="008B6F3C" w:rsidRDefault="007F4289" w:rsidP="0097495D">
      <w:pPr>
        <w:tabs>
          <w:tab w:val="left" w:pos="142"/>
        </w:tabs>
        <w:spacing w:after="0" w:line="360" w:lineRule="auto"/>
        <w:jc w:val="both"/>
        <w:rPr>
          <w:rFonts w:ascii="Arial" w:hAnsi="Arial" w:cs="Arial"/>
          <w:color w:val="000000" w:themeColor="text1"/>
          <w:sz w:val="24"/>
          <w:szCs w:val="24"/>
        </w:rPr>
      </w:pPr>
    </w:p>
    <w:p w14:paraId="2D22805B" w14:textId="77777777" w:rsidR="004040E9" w:rsidRPr="004040E9" w:rsidRDefault="004040E9" w:rsidP="004040E9">
      <w:pPr>
        <w:tabs>
          <w:tab w:val="left" w:pos="142"/>
        </w:tabs>
        <w:spacing w:after="0" w:line="360" w:lineRule="auto"/>
        <w:jc w:val="both"/>
        <w:rPr>
          <w:rFonts w:ascii="Arial" w:hAnsi="Arial" w:cs="Arial"/>
          <w:color w:val="000000" w:themeColor="text1"/>
          <w:sz w:val="24"/>
          <w:szCs w:val="24"/>
        </w:rPr>
      </w:pPr>
      <w:r w:rsidRPr="004040E9">
        <w:rPr>
          <w:rFonts w:ascii="Arial" w:hAnsi="Arial" w:cs="Arial"/>
          <w:b/>
          <w:bCs/>
          <w:color w:val="000000" w:themeColor="text1"/>
          <w:sz w:val="24"/>
          <w:szCs w:val="24"/>
        </w:rPr>
        <w:t xml:space="preserve">DISCLAIMER </w:t>
      </w:r>
    </w:p>
    <w:p w14:paraId="5E21E086" w14:textId="7B04443B" w:rsidR="004040E9" w:rsidRDefault="004040E9" w:rsidP="004040E9">
      <w:pPr>
        <w:tabs>
          <w:tab w:val="left" w:pos="142"/>
        </w:tabs>
        <w:spacing w:after="0" w:line="360" w:lineRule="auto"/>
        <w:jc w:val="both"/>
        <w:rPr>
          <w:rFonts w:ascii="Arial" w:hAnsi="Arial" w:cs="Arial"/>
          <w:color w:val="000000" w:themeColor="text1"/>
          <w:sz w:val="24"/>
          <w:szCs w:val="24"/>
        </w:rPr>
      </w:pPr>
      <w:r w:rsidRPr="004040E9">
        <w:rPr>
          <w:rFonts w:ascii="Arial" w:hAnsi="Arial" w:cs="Arial"/>
          <w:color w:val="000000" w:themeColor="text1"/>
          <w:sz w:val="24"/>
          <w:szCs w:val="24"/>
        </w:rPr>
        <w:t xml:space="preserve">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 </w:t>
      </w:r>
    </w:p>
    <w:p w14:paraId="35ABEC31" w14:textId="77777777" w:rsidR="004040E9" w:rsidRPr="004040E9" w:rsidRDefault="004040E9" w:rsidP="004040E9">
      <w:pPr>
        <w:tabs>
          <w:tab w:val="left" w:pos="142"/>
        </w:tabs>
        <w:spacing w:after="0" w:line="360" w:lineRule="auto"/>
        <w:jc w:val="both"/>
        <w:rPr>
          <w:rFonts w:ascii="Arial" w:hAnsi="Arial" w:cs="Arial"/>
          <w:color w:val="000000" w:themeColor="text1"/>
          <w:sz w:val="24"/>
          <w:szCs w:val="24"/>
        </w:rPr>
      </w:pPr>
    </w:p>
    <w:p w14:paraId="2F31CC7A" w14:textId="77777777" w:rsidR="00544129" w:rsidRDefault="00544129" w:rsidP="0097495D">
      <w:pPr>
        <w:tabs>
          <w:tab w:val="left" w:pos="142"/>
        </w:tabs>
        <w:spacing w:after="0" w:line="360" w:lineRule="auto"/>
        <w:jc w:val="both"/>
        <w:rPr>
          <w:rFonts w:ascii="Arial" w:hAnsi="Arial" w:cs="Arial"/>
          <w:color w:val="000000" w:themeColor="text1"/>
          <w:sz w:val="24"/>
          <w:szCs w:val="24"/>
        </w:rPr>
      </w:pPr>
      <w:bookmarkStart w:id="1" w:name="_GoBack"/>
      <w:bookmarkEnd w:id="1"/>
    </w:p>
    <w:p w14:paraId="5767880A" w14:textId="153EA6A9" w:rsidR="00544129" w:rsidRPr="008B6F3C" w:rsidRDefault="004040E9" w:rsidP="0097495D">
      <w:pPr>
        <w:tabs>
          <w:tab w:val="left" w:pos="142"/>
        </w:tabs>
        <w:spacing w:after="0" w:line="360" w:lineRule="auto"/>
        <w:jc w:val="both"/>
        <w:rPr>
          <w:rFonts w:ascii="Arial" w:hAnsi="Arial" w:cs="Arial"/>
          <w:b/>
          <w:bCs/>
          <w:color w:val="000000" w:themeColor="text1"/>
          <w:sz w:val="24"/>
          <w:szCs w:val="24"/>
        </w:rPr>
      </w:pPr>
      <w:r w:rsidRPr="008B6F3C">
        <w:rPr>
          <w:rFonts w:ascii="Arial" w:hAnsi="Arial" w:cs="Arial"/>
          <w:b/>
          <w:bCs/>
          <w:color w:val="000000" w:themeColor="text1"/>
          <w:sz w:val="24"/>
          <w:szCs w:val="24"/>
        </w:rPr>
        <w:t>REFERENCES</w:t>
      </w:r>
    </w:p>
    <w:p w14:paraId="68691424" w14:textId="77777777" w:rsidR="0097495D" w:rsidRPr="008B6F3C" w:rsidRDefault="000F304F" w:rsidP="0097495D">
      <w:pPr>
        <w:pStyle w:val="ListParagraph"/>
        <w:numPr>
          <w:ilvl w:val="0"/>
          <w:numId w:val="31"/>
        </w:numPr>
        <w:tabs>
          <w:tab w:val="left" w:pos="142"/>
        </w:tabs>
        <w:spacing w:after="0" w:line="360" w:lineRule="auto"/>
        <w:ind w:left="284" w:hanging="284"/>
        <w:jc w:val="both"/>
        <w:rPr>
          <w:rFonts w:ascii="Arial" w:hAnsi="Arial" w:cs="Arial"/>
          <w:color w:val="007BB8"/>
          <w:sz w:val="24"/>
          <w:szCs w:val="24"/>
        </w:rPr>
      </w:pPr>
      <w:r w:rsidRPr="008B6F3C">
        <w:rPr>
          <w:rFonts w:ascii="Arial" w:hAnsi="Arial" w:cs="Arial"/>
          <w:color w:val="000000" w:themeColor="text1"/>
          <w:sz w:val="24"/>
          <w:szCs w:val="24"/>
        </w:rPr>
        <w:t>Yan J, Kuzhiumparambil U, Bandodkar S, Solowij N, Fu S. Development and validation of a simple, rapid and sensitive LC</w:t>
      </w:r>
      <w:r w:rsidRPr="008B6F3C">
        <w:rPr>
          <w:rFonts w:ascii="Arial" w:hAnsi="Arial" w:cs="Arial"/>
          <w:color w:val="000000" w:themeColor="text1"/>
          <w:sz w:val="24"/>
          <w:szCs w:val="24"/>
        </w:rPr>
        <w:noBreakHyphen/>
        <w:t xml:space="preserve">MS/MS method for the measurement of urinary neurotransmitters and their metabolites. Anal Bioanal Chem. </w:t>
      </w:r>
      <w:proofErr w:type="gramStart"/>
      <w:r w:rsidRPr="008B6F3C">
        <w:rPr>
          <w:rFonts w:ascii="Arial" w:hAnsi="Arial" w:cs="Arial"/>
          <w:color w:val="000000" w:themeColor="text1"/>
          <w:sz w:val="24"/>
          <w:szCs w:val="24"/>
        </w:rPr>
        <w:t>2017;</w:t>
      </w:r>
      <w:proofErr w:type="gramEnd"/>
      <w:r w:rsidRPr="008B6F3C">
        <w:rPr>
          <w:rFonts w:ascii="Arial" w:hAnsi="Arial" w:cs="Arial"/>
          <w:color w:val="000000" w:themeColor="text1"/>
          <w:sz w:val="24"/>
          <w:szCs w:val="24"/>
        </w:rPr>
        <w:t>409(30):7191</w:t>
      </w:r>
      <w:r w:rsidRPr="008B6F3C">
        <w:rPr>
          <w:rFonts w:ascii="Arial" w:hAnsi="Arial" w:cs="Arial"/>
          <w:color w:val="000000" w:themeColor="text1"/>
          <w:sz w:val="24"/>
          <w:szCs w:val="24"/>
        </w:rPr>
        <w:noBreakHyphen/>
        <w:t xml:space="preserve">7199. </w:t>
      </w:r>
      <w:r w:rsidRPr="008B6F3C">
        <w:rPr>
          <w:rFonts w:ascii="Arial" w:hAnsi="Arial" w:cs="Arial"/>
          <w:color w:val="007BB8"/>
          <w:sz w:val="24"/>
          <w:szCs w:val="24"/>
        </w:rPr>
        <w:t>https://doi.org/10.1007/s00216</w:t>
      </w:r>
      <w:r w:rsidRPr="008B6F3C">
        <w:rPr>
          <w:rFonts w:ascii="Arial" w:hAnsi="Arial" w:cs="Arial"/>
          <w:color w:val="007BB8"/>
          <w:sz w:val="24"/>
          <w:szCs w:val="24"/>
        </w:rPr>
        <w:noBreakHyphen/>
        <w:t>017</w:t>
      </w:r>
      <w:r w:rsidRPr="008B6F3C">
        <w:rPr>
          <w:rFonts w:ascii="Arial" w:hAnsi="Arial" w:cs="Arial"/>
          <w:color w:val="007BB8"/>
          <w:sz w:val="24"/>
          <w:szCs w:val="24"/>
        </w:rPr>
        <w:noBreakHyphen/>
        <w:t>0681</w:t>
      </w:r>
      <w:r w:rsidRPr="008B6F3C">
        <w:rPr>
          <w:rFonts w:ascii="Arial" w:hAnsi="Arial" w:cs="Arial"/>
          <w:color w:val="007BB8"/>
          <w:sz w:val="24"/>
          <w:szCs w:val="24"/>
        </w:rPr>
        <w:noBreakHyphen/>
        <w:t>3</w:t>
      </w:r>
    </w:p>
    <w:p w14:paraId="253AB667" w14:textId="77777777" w:rsidR="0097495D" w:rsidRPr="008B6F3C" w:rsidRDefault="000F304F" w:rsidP="0097495D">
      <w:pPr>
        <w:pStyle w:val="ListParagraph"/>
        <w:numPr>
          <w:ilvl w:val="0"/>
          <w:numId w:val="31"/>
        </w:numPr>
        <w:tabs>
          <w:tab w:val="left" w:pos="142"/>
        </w:tabs>
        <w:spacing w:after="0" w:line="360" w:lineRule="auto"/>
        <w:ind w:left="284" w:hanging="284"/>
        <w:jc w:val="both"/>
        <w:rPr>
          <w:rFonts w:ascii="Arial" w:hAnsi="Arial" w:cs="Arial"/>
          <w:color w:val="007BB8"/>
          <w:sz w:val="24"/>
          <w:szCs w:val="24"/>
        </w:rPr>
      </w:pPr>
      <w:r w:rsidRPr="000F304F">
        <w:rPr>
          <w:rFonts w:ascii="Arial" w:hAnsi="Arial" w:cs="Arial"/>
          <w:color w:val="000000" w:themeColor="text1"/>
          <w:sz w:val="24"/>
          <w:szCs w:val="24"/>
        </w:rPr>
        <w:t>Moriarty M, Lee A, O’Connell B, Kelleher D, Keeley H, Furey A. Development of an LC</w:t>
      </w:r>
      <w:r w:rsidRPr="000F304F">
        <w:rPr>
          <w:rFonts w:ascii="Arial" w:hAnsi="Arial" w:cs="Arial"/>
          <w:color w:val="000000" w:themeColor="text1"/>
          <w:sz w:val="24"/>
          <w:szCs w:val="24"/>
        </w:rPr>
        <w:noBreakHyphen/>
        <w:t xml:space="preserve">MS/MS method for the analysis of serotonin and related compounds in urine and the identification of a potential biomarker for attention deficit hyperactivity/hyperkinetic disorder. Anal Bioanal Chem. </w:t>
      </w:r>
      <w:proofErr w:type="gramStart"/>
      <w:r w:rsidRPr="000F304F">
        <w:rPr>
          <w:rFonts w:ascii="Arial" w:hAnsi="Arial" w:cs="Arial"/>
          <w:color w:val="000000" w:themeColor="text1"/>
          <w:sz w:val="24"/>
          <w:szCs w:val="24"/>
        </w:rPr>
        <w:t>2011;</w:t>
      </w:r>
      <w:proofErr w:type="gramEnd"/>
      <w:r w:rsidRPr="000F304F">
        <w:rPr>
          <w:rFonts w:ascii="Arial" w:hAnsi="Arial" w:cs="Arial"/>
          <w:color w:val="000000" w:themeColor="text1"/>
          <w:sz w:val="24"/>
          <w:szCs w:val="24"/>
        </w:rPr>
        <w:t>401(8):2481</w:t>
      </w:r>
      <w:r w:rsidRPr="000F304F">
        <w:rPr>
          <w:rFonts w:ascii="Arial" w:hAnsi="Arial" w:cs="Arial"/>
          <w:color w:val="000000" w:themeColor="text1"/>
          <w:sz w:val="24"/>
          <w:szCs w:val="24"/>
        </w:rPr>
        <w:noBreakHyphen/>
        <w:t xml:space="preserve">2493. </w:t>
      </w:r>
      <w:r w:rsidRPr="000F304F">
        <w:rPr>
          <w:rFonts w:ascii="Arial" w:hAnsi="Arial" w:cs="Arial"/>
          <w:color w:val="007BB8"/>
          <w:sz w:val="24"/>
          <w:szCs w:val="24"/>
        </w:rPr>
        <w:t>https://doi.org/10.1007/s00216</w:t>
      </w:r>
      <w:r w:rsidRPr="000F304F">
        <w:rPr>
          <w:rFonts w:ascii="Arial" w:hAnsi="Arial" w:cs="Arial"/>
          <w:color w:val="007BB8"/>
          <w:sz w:val="24"/>
          <w:szCs w:val="24"/>
        </w:rPr>
        <w:noBreakHyphen/>
        <w:t>011</w:t>
      </w:r>
      <w:r w:rsidRPr="000F304F">
        <w:rPr>
          <w:rFonts w:ascii="Arial" w:hAnsi="Arial" w:cs="Arial"/>
          <w:color w:val="007BB8"/>
          <w:sz w:val="24"/>
          <w:szCs w:val="24"/>
        </w:rPr>
        <w:noBreakHyphen/>
        <w:t>5322</w:t>
      </w:r>
      <w:r w:rsidRPr="000F304F">
        <w:rPr>
          <w:rFonts w:ascii="Arial" w:hAnsi="Arial" w:cs="Arial"/>
          <w:color w:val="007BB8"/>
          <w:sz w:val="24"/>
          <w:szCs w:val="24"/>
        </w:rPr>
        <w:noBreakHyphen/>
        <w:t>7</w:t>
      </w:r>
    </w:p>
    <w:p w14:paraId="6A176159" w14:textId="77777777" w:rsidR="0097495D" w:rsidRPr="008B6F3C" w:rsidRDefault="000F304F" w:rsidP="0097495D">
      <w:pPr>
        <w:pStyle w:val="ListParagraph"/>
        <w:numPr>
          <w:ilvl w:val="0"/>
          <w:numId w:val="31"/>
        </w:numPr>
        <w:tabs>
          <w:tab w:val="left" w:pos="142"/>
        </w:tabs>
        <w:spacing w:after="0" w:line="360" w:lineRule="auto"/>
        <w:ind w:left="284" w:hanging="284"/>
        <w:jc w:val="both"/>
        <w:rPr>
          <w:rFonts w:ascii="Arial" w:hAnsi="Arial" w:cs="Arial"/>
          <w:color w:val="007BB8"/>
          <w:sz w:val="24"/>
          <w:szCs w:val="24"/>
        </w:rPr>
      </w:pPr>
      <w:r w:rsidRPr="000F304F">
        <w:rPr>
          <w:rFonts w:ascii="Arial" w:hAnsi="Arial" w:cs="Arial"/>
          <w:color w:val="000000" w:themeColor="text1"/>
          <w:sz w:val="24"/>
          <w:szCs w:val="24"/>
        </w:rPr>
        <w:t>Shen Y, Luo X, Li H, Chen Z, Guan Q, Cheng L. Simple and reliable serotonin assay in human serum by LC</w:t>
      </w:r>
      <w:r w:rsidRPr="000F304F">
        <w:rPr>
          <w:rFonts w:ascii="Arial" w:hAnsi="Arial" w:cs="Arial"/>
          <w:color w:val="000000" w:themeColor="text1"/>
          <w:sz w:val="24"/>
          <w:szCs w:val="24"/>
        </w:rPr>
        <w:noBreakHyphen/>
        <w:t xml:space="preserve">MS/MS with protein precipitation for clinical testing in carcinoid tumors. J Chromatogr B Analyt Technol Biomed Life Sci. </w:t>
      </w:r>
      <w:proofErr w:type="gramStart"/>
      <w:r w:rsidRPr="000F304F">
        <w:rPr>
          <w:rFonts w:ascii="Arial" w:hAnsi="Arial" w:cs="Arial"/>
          <w:color w:val="000000" w:themeColor="text1"/>
          <w:sz w:val="24"/>
          <w:szCs w:val="24"/>
        </w:rPr>
        <w:t>2020;</w:t>
      </w:r>
      <w:proofErr w:type="gramEnd"/>
      <w:r w:rsidRPr="000F304F">
        <w:rPr>
          <w:rFonts w:ascii="Arial" w:hAnsi="Arial" w:cs="Arial"/>
          <w:color w:val="000000" w:themeColor="text1"/>
          <w:sz w:val="24"/>
          <w:szCs w:val="24"/>
        </w:rPr>
        <w:t xml:space="preserve">1158:122395. </w:t>
      </w:r>
      <w:r w:rsidRPr="000F304F">
        <w:rPr>
          <w:rFonts w:ascii="Arial" w:hAnsi="Arial" w:cs="Arial"/>
          <w:color w:val="007BB8"/>
          <w:sz w:val="24"/>
          <w:szCs w:val="24"/>
        </w:rPr>
        <w:t>https://doi.org/10.1016/j.jchromb.2020.122395</w:t>
      </w:r>
    </w:p>
    <w:p w14:paraId="52CAD41C" w14:textId="77777777" w:rsidR="0097495D" w:rsidRPr="008B6F3C" w:rsidRDefault="000F304F" w:rsidP="0097495D">
      <w:pPr>
        <w:pStyle w:val="ListParagraph"/>
        <w:numPr>
          <w:ilvl w:val="0"/>
          <w:numId w:val="31"/>
        </w:numPr>
        <w:tabs>
          <w:tab w:val="left" w:pos="142"/>
        </w:tabs>
        <w:spacing w:after="0" w:line="360" w:lineRule="auto"/>
        <w:ind w:left="284" w:hanging="284"/>
        <w:jc w:val="both"/>
        <w:rPr>
          <w:rFonts w:ascii="Arial" w:hAnsi="Arial" w:cs="Arial"/>
          <w:color w:val="000000" w:themeColor="text1"/>
          <w:sz w:val="24"/>
          <w:szCs w:val="24"/>
        </w:rPr>
      </w:pPr>
      <w:r w:rsidRPr="000F304F">
        <w:rPr>
          <w:rFonts w:ascii="Arial" w:hAnsi="Arial" w:cs="Arial"/>
          <w:color w:val="000000" w:themeColor="text1"/>
          <w:sz w:val="24"/>
          <w:szCs w:val="24"/>
        </w:rPr>
        <w:t>Bracamonte AG, Veglia AV. Spectrofluorimetric determination of serotonin and 5</w:t>
      </w:r>
      <w:r w:rsidRPr="000F304F">
        <w:rPr>
          <w:rFonts w:ascii="Arial" w:hAnsi="Arial" w:cs="Arial"/>
          <w:color w:val="000000" w:themeColor="text1"/>
          <w:sz w:val="24"/>
          <w:szCs w:val="24"/>
        </w:rPr>
        <w:noBreakHyphen/>
        <w:t xml:space="preserve">hydroxyindoleacetic acid in urine with different cyclodextrin media. Talanta. </w:t>
      </w:r>
      <w:proofErr w:type="gramStart"/>
      <w:r w:rsidRPr="000F304F">
        <w:rPr>
          <w:rFonts w:ascii="Arial" w:hAnsi="Arial" w:cs="Arial"/>
          <w:color w:val="000000" w:themeColor="text1"/>
          <w:sz w:val="24"/>
          <w:szCs w:val="24"/>
        </w:rPr>
        <w:t>2011;</w:t>
      </w:r>
      <w:proofErr w:type="gramEnd"/>
      <w:r w:rsidRPr="000F304F">
        <w:rPr>
          <w:rFonts w:ascii="Arial" w:hAnsi="Arial" w:cs="Arial"/>
          <w:color w:val="000000" w:themeColor="text1"/>
          <w:sz w:val="24"/>
          <w:szCs w:val="24"/>
        </w:rPr>
        <w:t>83(3):1006</w:t>
      </w:r>
      <w:r w:rsidRPr="000F304F">
        <w:rPr>
          <w:rFonts w:ascii="Arial" w:hAnsi="Arial" w:cs="Arial"/>
          <w:color w:val="000000" w:themeColor="text1"/>
          <w:sz w:val="24"/>
          <w:szCs w:val="24"/>
        </w:rPr>
        <w:noBreakHyphen/>
        <w:t xml:space="preserve">1013. </w:t>
      </w:r>
      <w:r w:rsidRPr="000F304F">
        <w:rPr>
          <w:rFonts w:ascii="Arial" w:hAnsi="Arial" w:cs="Arial"/>
          <w:color w:val="007BB8"/>
          <w:sz w:val="24"/>
          <w:szCs w:val="24"/>
        </w:rPr>
        <w:t>https://doi.org/10.1016/j.talanta.2010.11.013</w:t>
      </w:r>
    </w:p>
    <w:p w14:paraId="4F175B3F" w14:textId="77777777" w:rsidR="0097495D" w:rsidRPr="008B6F3C" w:rsidRDefault="000F304F" w:rsidP="0097495D">
      <w:pPr>
        <w:pStyle w:val="ListParagraph"/>
        <w:numPr>
          <w:ilvl w:val="0"/>
          <w:numId w:val="31"/>
        </w:numPr>
        <w:tabs>
          <w:tab w:val="left" w:pos="142"/>
        </w:tabs>
        <w:spacing w:after="0" w:line="360" w:lineRule="auto"/>
        <w:ind w:left="284" w:hanging="284"/>
        <w:jc w:val="both"/>
        <w:rPr>
          <w:rFonts w:ascii="Arial" w:hAnsi="Arial" w:cs="Arial"/>
          <w:color w:val="007BB8"/>
          <w:sz w:val="24"/>
          <w:szCs w:val="24"/>
        </w:rPr>
      </w:pPr>
      <w:r w:rsidRPr="000F304F">
        <w:rPr>
          <w:rFonts w:ascii="Arial" w:hAnsi="Arial" w:cs="Arial"/>
          <w:color w:val="000000" w:themeColor="text1"/>
          <w:sz w:val="24"/>
          <w:szCs w:val="24"/>
        </w:rPr>
        <w:lastRenderedPageBreak/>
        <w:t xml:space="preserve">Khonté A, Thiaré DD, Diop C, Cissé L, Delattre F, Coly A. New spectrofluorimetric method for determining </w:t>
      </w:r>
      <w:proofErr w:type="gramStart"/>
      <w:r w:rsidRPr="000F304F">
        <w:rPr>
          <w:rFonts w:ascii="Arial" w:hAnsi="Arial" w:cs="Arial"/>
          <w:color w:val="000000" w:themeColor="text1"/>
          <w:sz w:val="24"/>
          <w:szCs w:val="24"/>
        </w:rPr>
        <w:t>serotonin:</w:t>
      </w:r>
      <w:proofErr w:type="gramEnd"/>
      <w:r w:rsidRPr="000F304F">
        <w:rPr>
          <w:rFonts w:ascii="Arial" w:hAnsi="Arial" w:cs="Arial"/>
          <w:color w:val="000000" w:themeColor="text1"/>
          <w:sz w:val="24"/>
          <w:szCs w:val="24"/>
        </w:rPr>
        <w:t xml:space="preserve"> application to human urine. Int J Chem. </w:t>
      </w:r>
      <w:proofErr w:type="gramStart"/>
      <w:r w:rsidRPr="000F304F">
        <w:rPr>
          <w:rFonts w:ascii="Arial" w:hAnsi="Arial" w:cs="Arial"/>
          <w:color w:val="000000" w:themeColor="text1"/>
          <w:sz w:val="24"/>
          <w:szCs w:val="24"/>
        </w:rPr>
        <w:t>2015;</w:t>
      </w:r>
      <w:proofErr w:type="gramEnd"/>
      <w:r w:rsidRPr="000F304F">
        <w:rPr>
          <w:rFonts w:ascii="Arial" w:hAnsi="Arial" w:cs="Arial"/>
          <w:color w:val="000000" w:themeColor="text1"/>
          <w:sz w:val="24"/>
          <w:szCs w:val="24"/>
        </w:rPr>
        <w:t>7(2):85</w:t>
      </w:r>
      <w:r w:rsidRPr="000F304F">
        <w:rPr>
          <w:rFonts w:ascii="Arial" w:hAnsi="Arial" w:cs="Arial"/>
          <w:color w:val="000000" w:themeColor="text1"/>
          <w:sz w:val="24"/>
          <w:szCs w:val="24"/>
        </w:rPr>
        <w:noBreakHyphen/>
        <w:t xml:space="preserve">93. </w:t>
      </w:r>
      <w:r w:rsidRPr="000F304F">
        <w:rPr>
          <w:rFonts w:ascii="Arial" w:hAnsi="Arial" w:cs="Arial"/>
          <w:color w:val="007BB8"/>
          <w:sz w:val="24"/>
          <w:szCs w:val="24"/>
        </w:rPr>
        <w:t>https://doi.org/10.5539/ijc.v7n2p85</w:t>
      </w:r>
    </w:p>
    <w:p w14:paraId="013E4D4B" w14:textId="77777777" w:rsidR="0097495D" w:rsidRPr="008B6F3C" w:rsidRDefault="000F304F" w:rsidP="0097495D">
      <w:pPr>
        <w:pStyle w:val="ListParagraph"/>
        <w:numPr>
          <w:ilvl w:val="0"/>
          <w:numId w:val="31"/>
        </w:numPr>
        <w:tabs>
          <w:tab w:val="left" w:pos="142"/>
        </w:tabs>
        <w:spacing w:after="0" w:line="360" w:lineRule="auto"/>
        <w:ind w:left="284" w:hanging="284"/>
        <w:jc w:val="both"/>
        <w:rPr>
          <w:rFonts w:ascii="Arial" w:hAnsi="Arial" w:cs="Arial"/>
          <w:color w:val="007BB8"/>
          <w:sz w:val="24"/>
          <w:szCs w:val="24"/>
        </w:rPr>
      </w:pPr>
      <w:r w:rsidRPr="000F304F">
        <w:rPr>
          <w:rFonts w:ascii="Arial" w:hAnsi="Arial" w:cs="Arial"/>
          <w:color w:val="000000" w:themeColor="text1"/>
          <w:sz w:val="24"/>
          <w:szCs w:val="24"/>
        </w:rPr>
        <w:t>Peng Q, Jiang C. A new spectrofluorimetric method for determination of trace amounts of 5</w:t>
      </w:r>
      <w:r w:rsidRPr="000F304F">
        <w:rPr>
          <w:rFonts w:ascii="Arial" w:hAnsi="Arial" w:cs="Arial"/>
          <w:color w:val="000000" w:themeColor="text1"/>
          <w:sz w:val="24"/>
          <w:szCs w:val="24"/>
        </w:rPr>
        <w:noBreakHyphen/>
        <w:t xml:space="preserve">hydroxytryptamine in human urine and serum. J Fluoresc. </w:t>
      </w:r>
      <w:proofErr w:type="gramStart"/>
      <w:r w:rsidRPr="000F304F">
        <w:rPr>
          <w:rFonts w:ascii="Arial" w:hAnsi="Arial" w:cs="Arial"/>
          <w:color w:val="000000" w:themeColor="text1"/>
          <w:sz w:val="24"/>
          <w:szCs w:val="24"/>
        </w:rPr>
        <w:t>2007;</w:t>
      </w:r>
      <w:proofErr w:type="gramEnd"/>
      <w:r w:rsidRPr="000F304F">
        <w:rPr>
          <w:rFonts w:ascii="Arial" w:hAnsi="Arial" w:cs="Arial"/>
          <w:color w:val="000000" w:themeColor="text1"/>
          <w:sz w:val="24"/>
          <w:szCs w:val="24"/>
        </w:rPr>
        <w:t>17(3):339</w:t>
      </w:r>
      <w:r w:rsidRPr="000F304F">
        <w:rPr>
          <w:rFonts w:ascii="Arial" w:hAnsi="Arial" w:cs="Arial"/>
          <w:color w:val="000000" w:themeColor="text1"/>
          <w:sz w:val="24"/>
          <w:szCs w:val="24"/>
        </w:rPr>
        <w:noBreakHyphen/>
        <w:t xml:space="preserve">343. </w:t>
      </w:r>
      <w:r w:rsidRPr="000F304F">
        <w:rPr>
          <w:rFonts w:ascii="Arial" w:hAnsi="Arial" w:cs="Arial"/>
          <w:color w:val="007BB8"/>
          <w:sz w:val="24"/>
          <w:szCs w:val="24"/>
        </w:rPr>
        <w:t>https://doi.org/10.1007/s10895</w:t>
      </w:r>
      <w:r w:rsidRPr="000F304F">
        <w:rPr>
          <w:rFonts w:ascii="Arial" w:hAnsi="Arial" w:cs="Arial"/>
          <w:color w:val="007BB8"/>
          <w:sz w:val="24"/>
          <w:szCs w:val="24"/>
        </w:rPr>
        <w:noBreakHyphen/>
        <w:t>007</w:t>
      </w:r>
      <w:r w:rsidRPr="000F304F">
        <w:rPr>
          <w:rFonts w:ascii="Arial" w:hAnsi="Arial" w:cs="Arial"/>
          <w:color w:val="007BB8"/>
          <w:sz w:val="24"/>
          <w:szCs w:val="24"/>
        </w:rPr>
        <w:noBreakHyphen/>
        <w:t>0177</w:t>
      </w:r>
      <w:r w:rsidRPr="000F304F">
        <w:rPr>
          <w:rFonts w:ascii="Arial" w:hAnsi="Arial" w:cs="Arial"/>
          <w:color w:val="007BB8"/>
          <w:sz w:val="24"/>
          <w:szCs w:val="24"/>
        </w:rPr>
        <w:noBreakHyphen/>
        <w:t>1</w:t>
      </w:r>
    </w:p>
    <w:p w14:paraId="7CF8624F" w14:textId="77777777" w:rsidR="0097495D" w:rsidRPr="008B6F3C" w:rsidRDefault="000F304F" w:rsidP="0097495D">
      <w:pPr>
        <w:pStyle w:val="ListParagraph"/>
        <w:numPr>
          <w:ilvl w:val="0"/>
          <w:numId w:val="31"/>
        </w:numPr>
        <w:tabs>
          <w:tab w:val="left" w:pos="142"/>
        </w:tabs>
        <w:spacing w:after="0" w:line="360" w:lineRule="auto"/>
        <w:ind w:left="284" w:hanging="284"/>
        <w:jc w:val="both"/>
        <w:rPr>
          <w:rFonts w:ascii="Arial" w:hAnsi="Arial" w:cs="Arial"/>
          <w:color w:val="007BB8"/>
          <w:sz w:val="24"/>
          <w:szCs w:val="24"/>
        </w:rPr>
      </w:pPr>
      <w:r w:rsidRPr="000F304F">
        <w:rPr>
          <w:rFonts w:ascii="Arial" w:hAnsi="Arial" w:cs="Arial"/>
          <w:color w:val="000000" w:themeColor="text1"/>
          <w:sz w:val="24"/>
          <w:szCs w:val="24"/>
        </w:rPr>
        <w:t>Cao LW. Determination of catecholamines and serotonin by micellar electrokinetic chromatography with laser</w:t>
      </w:r>
      <w:r w:rsidRPr="000F304F">
        <w:rPr>
          <w:rFonts w:ascii="Arial" w:hAnsi="Arial" w:cs="Arial"/>
          <w:color w:val="000000" w:themeColor="text1"/>
          <w:sz w:val="24"/>
          <w:szCs w:val="24"/>
        </w:rPr>
        <w:noBreakHyphen/>
        <w:t xml:space="preserve">induced fluorescence detection. Biomed Chromatogr. </w:t>
      </w:r>
      <w:proofErr w:type="gramStart"/>
      <w:r w:rsidRPr="000F304F">
        <w:rPr>
          <w:rFonts w:ascii="Arial" w:hAnsi="Arial" w:cs="Arial"/>
          <w:color w:val="000000" w:themeColor="text1"/>
          <w:sz w:val="24"/>
          <w:szCs w:val="24"/>
        </w:rPr>
        <w:t>2007;</w:t>
      </w:r>
      <w:proofErr w:type="gramEnd"/>
      <w:r w:rsidRPr="000F304F">
        <w:rPr>
          <w:rFonts w:ascii="Arial" w:hAnsi="Arial" w:cs="Arial"/>
          <w:color w:val="000000" w:themeColor="text1"/>
          <w:sz w:val="24"/>
          <w:szCs w:val="24"/>
        </w:rPr>
        <w:t>21(7):708</w:t>
      </w:r>
      <w:r w:rsidRPr="000F304F">
        <w:rPr>
          <w:rFonts w:ascii="Arial" w:hAnsi="Arial" w:cs="Arial"/>
          <w:color w:val="000000" w:themeColor="text1"/>
          <w:sz w:val="24"/>
          <w:szCs w:val="24"/>
        </w:rPr>
        <w:noBreakHyphen/>
        <w:t xml:space="preserve">715. </w:t>
      </w:r>
      <w:r w:rsidRPr="000F304F">
        <w:rPr>
          <w:rFonts w:ascii="Arial" w:hAnsi="Arial" w:cs="Arial"/>
          <w:color w:val="007BB8"/>
          <w:sz w:val="24"/>
          <w:szCs w:val="24"/>
        </w:rPr>
        <w:t>https://doi.org/10.1002/bmc.809</w:t>
      </w:r>
    </w:p>
    <w:p w14:paraId="1FAFEA0B" w14:textId="77777777" w:rsidR="0097495D" w:rsidRPr="008B6F3C" w:rsidRDefault="000F304F" w:rsidP="0097495D">
      <w:pPr>
        <w:pStyle w:val="ListParagraph"/>
        <w:numPr>
          <w:ilvl w:val="0"/>
          <w:numId w:val="31"/>
        </w:numPr>
        <w:tabs>
          <w:tab w:val="left" w:pos="142"/>
        </w:tabs>
        <w:spacing w:after="0" w:line="360" w:lineRule="auto"/>
        <w:ind w:left="284" w:hanging="284"/>
        <w:jc w:val="both"/>
        <w:rPr>
          <w:rFonts w:ascii="Arial" w:hAnsi="Arial" w:cs="Arial"/>
          <w:color w:val="007BB8"/>
          <w:sz w:val="24"/>
          <w:szCs w:val="24"/>
        </w:rPr>
      </w:pPr>
      <w:r w:rsidRPr="000F304F">
        <w:rPr>
          <w:rFonts w:ascii="Arial" w:hAnsi="Arial" w:cs="Arial"/>
          <w:color w:val="000000" w:themeColor="text1"/>
          <w:sz w:val="24"/>
          <w:szCs w:val="24"/>
        </w:rPr>
        <w:t>Salim MM, El</w:t>
      </w:r>
      <w:r w:rsidRPr="000F304F">
        <w:rPr>
          <w:rFonts w:ascii="Arial" w:hAnsi="Arial" w:cs="Arial"/>
          <w:color w:val="000000" w:themeColor="text1"/>
          <w:sz w:val="24"/>
          <w:szCs w:val="24"/>
        </w:rPr>
        <w:noBreakHyphen/>
        <w:t>Enany N, Belal F, Walash MI, Patonay G. Micelle</w:t>
      </w:r>
      <w:r w:rsidRPr="000F304F">
        <w:rPr>
          <w:rFonts w:ascii="Arial" w:hAnsi="Arial" w:cs="Arial"/>
          <w:color w:val="000000" w:themeColor="text1"/>
          <w:sz w:val="24"/>
          <w:szCs w:val="24"/>
        </w:rPr>
        <w:noBreakHyphen/>
        <w:t>enhanced spectrofluorimetric method for determination of sitagliptin and identification of potential alkaline degradation products using LC</w:t>
      </w:r>
      <w:r w:rsidRPr="000F304F">
        <w:rPr>
          <w:rFonts w:ascii="Arial" w:hAnsi="Arial" w:cs="Arial"/>
          <w:color w:val="000000" w:themeColor="text1"/>
          <w:sz w:val="24"/>
          <w:szCs w:val="24"/>
        </w:rPr>
        <w:noBreakHyphen/>
        <w:t xml:space="preserve">MS. Luminescence. </w:t>
      </w:r>
      <w:proofErr w:type="gramStart"/>
      <w:r w:rsidRPr="000F304F">
        <w:rPr>
          <w:rFonts w:ascii="Arial" w:hAnsi="Arial" w:cs="Arial"/>
          <w:color w:val="000000" w:themeColor="text1"/>
          <w:sz w:val="24"/>
          <w:szCs w:val="24"/>
        </w:rPr>
        <w:t>2014;</w:t>
      </w:r>
      <w:proofErr w:type="gramEnd"/>
      <w:r w:rsidRPr="000F304F">
        <w:rPr>
          <w:rFonts w:ascii="Arial" w:hAnsi="Arial" w:cs="Arial"/>
          <w:color w:val="000000" w:themeColor="text1"/>
          <w:sz w:val="24"/>
          <w:szCs w:val="24"/>
        </w:rPr>
        <w:t>29(1):65</w:t>
      </w:r>
      <w:r w:rsidRPr="000F304F">
        <w:rPr>
          <w:rFonts w:ascii="Arial" w:hAnsi="Arial" w:cs="Arial"/>
          <w:color w:val="000000" w:themeColor="text1"/>
          <w:sz w:val="24"/>
          <w:szCs w:val="24"/>
        </w:rPr>
        <w:noBreakHyphen/>
        <w:t xml:space="preserve">73. </w:t>
      </w:r>
      <w:r w:rsidRPr="000F304F">
        <w:rPr>
          <w:rFonts w:ascii="Arial" w:hAnsi="Arial" w:cs="Arial"/>
          <w:color w:val="007BB8"/>
          <w:sz w:val="24"/>
          <w:szCs w:val="24"/>
        </w:rPr>
        <w:t>https://doi.org/10.1002/bio.2503</w:t>
      </w:r>
    </w:p>
    <w:p w14:paraId="33F7A272" w14:textId="77777777" w:rsidR="0097495D" w:rsidRPr="008B6F3C" w:rsidRDefault="000F304F" w:rsidP="0097495D">
      <w:pPr>
        <w:pStyle w:val="ListParagraph"/>
        <w:numPr>
          <w:ilvl w:val="0"/>
          <w:numId w:val="31"/>
        </w:numPr>
        <w:tabs>
          <w:tab w:val="left" w:pos="142"/>
        </w:tabs>
        <w:spacing w:after="0" w:line="360" w:lineRule="auto"/>
        <w:ind w:left="284" w:hanging="284"/>
        <w:jc w:val="both"/>
        <w:rPr>
          <w:rFonts w:ascii="Arial" w:hAnsi="Arial" w:cs="Arial"/>
          <w:color w:val="007BB8"/>
          <w:sz w:val="24"/>
          <w:szCs w:val="24"/>
        </w:rPr>
      </w:pPr>
      <w:r w:rsidRPr="000F304F">
        <w:rPr>
          <w:rFonts w:ascii="Arial" w:hAnsi="Arial" w:cs="Arial"/>
          <w:color w:val="000000" w:themeColor="text1"/>
          <w:sz w:val="24"/>
          <w:szCs w:val="24"/>
        </w:rPr>
        <w:t>Agrawal N, Esteve</w:t>
      </w:r>
      <w:r w:rsidRPr="000F304F">
        <w:rPr>
          <w:rFonts w:ascii="Arial" w:hAnsi="Arial" w:cs="Arial"/>
          <w:color w:val="000000" w:themeColor="text1"/>
          <w:sz w:val="24"/>
          <w:szCs w:val="24"/>
        </w:rPr>
        <w:noBreakHyphen/>
        <w:t>Romero J, Bose D, Dubey NP, Peris</w:t>
      </w:r>
      <w:r w:rsidRPr="000F304F">
        <w:rPr>
          <w:rFonts w:ascii="Arial" w:hAnsi="Arial" w:cs="Arial"/>
          <w:color w:val="000000" w:themeColor="text1"/>
          <w:sz w:val="24"/>
          <w:szCs w:val="24"/>
        </w:rPr>
        <w:noBreakHyphen/>
        <w:t>Vicente J, Carda</w:t>
      </w:r>
      <w:r w:rsidRPr="000F304F">
        <w:rPr>
          <w:rFonts w:ascii="Arial" w:hAnsi="Arial" w:cs="Arial"/>
          <w:color w:val="000000" w:themeColor="text1"/>
          <w:sz w:val="24"/>
          <w:szCs w:val="24"/>
        </w:rPr>
        <w:noBreakHyphen/>
        <w:t xml:space="preserve">Broch S. Determination of selective serotonin reuptake inhibitors in plasma and urine by micellar liquid chromatography coupled to fluorescence detection. J Chromatogr B Analyt Technol Biomed Life Sci. </w:t>
      </w:r>
      <w:proofErr w:type="gramStart"/>
      <w:r w:rsidRPr="000F304F">
        <w:rPr>
          <w:rFonts w:ascii="Arial" w:hAnsi="Arial" w:cs="Arial"/>
          <w:color w:val="000000" w:themeColor="text1"/>
          <w:sz w:val="24"/>
          <w:szCs w:val="24"/>
        </w:rPr>
        <w:t>2014;</w:t>
      </w:r>
      <w:proofErr w:type="gramEnd"/>
      <w:r w:rsidRPr="000F304F">
        <w:rPr>
          <w:rFonts w:ascii="Arial" w:hAnsi="Arial" w:cs="Arial"/>
          <w:color w:val="000000" w:themeColor="text1"/>
          <w:sz w:val="24"/>
          <w:szCs w:val="24"/>
        </w:rPr>
        <w:t>965:142</w:t>
      </w:r>
      <w:r w:rsidRPr="000F304F">
        <w:rPr>
          <w:rFonts w:ascii="Arial" w:hAnsi="Arial" w:cs="Arial"/>
          <w:color w:val="000000" w:themeColor="text1"/>
          <w:sz w:val="24"/>
          <w:szCs w:val="24"/>
        </w:rPr>
        <w:noBreakHyphen/>
        <w:t xml:space="preserve">149. </w:t>
      </w:r>
      <w:r w:rsidRPr="000F304F">
        <w:rPr>
          <w:rFonts w:ascii="Arial" w:hAnsi="Arial" w:cs="Arial"/>
          <w:color w:val="007BB8"/>
          <w:sz w:val="24"/>
          <w:szCs w:val="24"/>
        </w:rPr>
        <w:t>https://doi.org/10.1016/j.jchromb.2014.06.026</w:t>
      </w:r>
    </w:p>
    <w:p w14:paraId="03A6CAA1"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70C0"/>
          <w:sz w:val="24"/>
          <w:szCs w:val="24"/>
        </w:rPr>
      </w:pPr>
      <w:r w:rsidRPr="000F304F">
        <w:rPr>
          <w:rFonts w:ascii="Arial" w:hAnsi="Arial" w:cs="Arial"/>
          <w:color w:val="000000" w:themeColor="text1"/>
          <w:sz w:val="24"/>
          <w:szCs w:val="24"/>
        </w:rPr>
        <w:t>Wang H, Walaszczyk EJ, Li K, Chung</w:t>
      </w:r>
      <w:r w:rsidRPr="000F304F">
        <w:rPr>
          <w:rFonts w:ascii="Arial" w:hAnsi="Arial" w:cs="Arial"/>
          <w:color w:val="000000" w:themeColor="text1"/>
          <w:sz w:val="24"/>
          <w:szCs w:val="24"/>
        </w:rPr>
        <w:noBreakHyphen/>
        <w:t>Davidson YW, Li W. High</w:t>
      </w:r>
      <w:r w:rsidRPr="000F304F">
        <w:rPr>
          <w:rFonts w:ascii="Arial" w:hAnsi="Arial" w:cs="Arial"/>
          <w:color w:val="000000" w:themeColor="text1"/>
          <w:sz w:val="24"/>
          <w:szCs w:val="24"/>
        </w:rPr>
        <w:noBreakHyphen/>
        <w:t>performance liquid chromatography with fluorescence detection and ultra</w:t>
      </w:r>
      <w:r w:rsidRPr="000F304F">
        <w:rPr>
          <w:rFonts w:ascii="Arial" w:hAnsi="Arial" w:cs="Arial"/>
          <w:color w:val="000000" w:themeColor="text1"/>
          <w:sz w:val="24"/>
          <w:szCs w:val="24"/>
        </w:rPr>
        <w:noBreakHyphen/>
        <w:t xml:space="preserve">performance liquid chromatography with electrospray tandem mass spectrometry method for determination of indoleamine neurotransmitters and metabolites. Anal Chim Acta. </w:t>
      </w:r>
      <w:proofErr w:type="gramStart"/>
      <w:r w:rsidRPr="000F304F">
        <w:rPr>
          <w:rFonts w:ascii="Arial" w:hAnsi="Arial" w:cs="Arial"/>
          <w:color w:val="000000" w:themeColor="text1"/>
          <w:sz w:val="24"/>
          <w:szCs w:val="24"/>
        </w:rPr>
        <w:t>2012;</w:t>
      </w:r>
      <w:proofErr w:type="gramEnd"/>
      <w:r w:rsidRPr="000F304F">
        <w:rPr>
          <w:rFonts w:ascii="Arial" w:hAnsi="Arial" w:cs="Arial"/>
          <w:color w:val="000000" w:themeColor="text1"/>
          <w:sz w:val="24"/>
          <w:szCs w:val="24"/>
        </w:rPr>
        <w:t>721:147</w:t>
      </w:r>
      <w:r w:rsidRPr="000F304F">
        <w:rPr>
          <w:rFonts w:ascii="Arial" w:hAnsi="Arial" w:cs="Arial"/>
          <w:color w:val="000000" w:themeColor="text1"/>
          <w:sz w:val="24"/>
          <w:szCs w:val="24"/>
        </w:rPr>
        <w:noBreakHyphen/>
        <w:t xml:space="preserve">153. </w:t>
      </w:r>
      <w:r w:rsidRPr="000F304F">
        <w:rPr>
          <w:rFonts w:ascii="Arial" w:hAnsi="Arial" w:cs="Arial"/>
          <w:color w:val="0070C0"/>
          <w:sz w:val="24"/>
          <w:szCs w:val="24"/>
        </w:rPr>
        <w:t>https://doi.org/10.1016/j.aca.2012.01.025</w:t>
      </w:r>
    </w:p>
    <w:p w14:paraId="6EF73D52"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Umeda S, Stagliano GW, Borenstein MR, Raffa RB. A reverse</w:t>
      </w:r>
      <w:r w:rsidRPr="000F304F">
        <w:rPr>
          <w:rFonts w:ascii="Arial" w:hAnsi="Arial" w:cs="Arial"/>
          <w:color w:val="000000" w:themeColor="text1"/>
          <w:sz w:val="24"/>
          <w:szCs w:val="24"/>
        </w:rPr>
        <w:noBreakHyphen/>
        <w:t>phase HPLC and fluorescence detection method for measurement of 5</w:t>
      </w:r>
      <w:r w:rsidRPr="000F304F">
        <w:rPr>
          <w:rFonts w:ascii="Arial" w:hAnsi="Arial" w:cs="Arial"/>
          <w:color w:val="000000" w:themeColor="text1"/>
          <w:sz w:val="24"/>
          <w:szCs w:val="24"/>
        </w:rPr>
        <w:noBreakHyphen/>
        <w:t xml:space="preserve">hydroxytryptamine in planaria. J Pharmacol Toxicol Methods. </w:t>
      </w:r>
      <w:proofErr w:type="gramStart"/>
      <w:r w:rsidRPr="000F304F">
        <w:rPr>
          <w:rFonts w:ascii="Arial" w:hAnsi="Arial" w:cs="Arial"/>
          <w:color w:val="000000" w:themeColor="text1"/>
          <w:sz w:val="24"/>
          <w:szCs w:val="24"/>
        </w:rPr>
        <w:t>2005;</w:t>
      </w:r>
      <w:proofErr w:type="gramEnd"/>
      <w:r w:rsidRPr="000F304F">
        <w:rPr>
          <w:rFonts w:ascii="Arial" w:hAnsi="Arial" w:cs="Arial"/>
          <w:color w:val="000000" w:themeColor="text1"/>
          <w:sz w:val="24"/>
          <w:szCs w:val="24"/>
        </w:rPr>
        <w:t>51(1):73</w:t>
      </w:r>
      <w:r w:rsidRPr="000F304F">
        <w:rPr>
          <w:rFonts w:ascii="Arial" w:hAnsi="Arial" w:cs="Arial"/>
          <w:color w:val="000000" w:themeColor="text1"/>
          <w:sz w:val="24"/>
          <w:szCs w:val="24"/>
        </w:rPr>
        <w:noBreakHyphen/>
        <w:t xml:space="preserve">76. </w:t>
      </w:r>
      <w:r w:rsidRPr="000F304F">
        <w:rPr>
          <w:rFonts w:ascii="Arial" w:hAnsi="Arial" w:cs="Arial"/>
          <w:color w:val="0070C0"/>
          <w:sz w:val="24"/>
          <w:szCs w:val="24"/>
        </w:rPr>
        <w:t>https://doi.org/10.1016/j.vascn.2004.07.002</w:t>
      </w:r>
    </w:p>
    <w:p w14:paraId="2C5B537E"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Waters Corporation. Measurement of urinary serotonin using mixed</w:t>
      </w:r>
      <w:r w:rsidRPr="000F304F">
        <w:rPr>
          <w:rFonts w:ascii="Arial" w:hAnsi="Arial" w:cs="Arial"/>
          <w:color w:val="000000" w:themeColor="text1"/>
          <w:sz w:val="24"/>
          <w:szCs w:val="24"/>
        </w:rPr>
        <w:noBreakHyphen/>
        <w:t>mode SPE and high</w:t>
      </w:r>
      <w:r w:rsidRPr="000F304F">
        <w:rPr>
          <w:rFonts w:ascii="Arial" w:hAnsi="Arial" w:cs="Arial"/>
          <w:color w:val="000000" w:themeColor="text1"/>
          <w:sz w:val="24"/>
          <w:szCs w:val="24"/>
        </w:rPr>
        <w:noBreakHyphen/>
        <w:t xml:space="preserve">strength silica PFP column. Waters Tech Note. 2014. </w:t>
      </w:r>
      <w:hyperlink r:id="rId25" w:tgtFrame="_new" w:history="1">
        <w:r w:rsidRPr="000F304F">
          <w:rPr>
            <w:rStyle w:val="Hyperlink"/>
            <w:rFonts w:ascii="Arial" w:hAnsi="Arial" w:cs="Arial"/>
            <w:sz w:val="24"/>
            <w:szCs w:val="24"/>
            <w:u w:val="none"/>
          </w:rPr>
          <w:t>https://www.waters.com</w:t>
        </w:r>
      </w:hyperlink>
    </w:p>
    <w:p w14:paraId="601C04C2"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 xml:space="preserve"> International Conference on Harmonisation. ICH Q2(R1) Validation of Analytical </w:t>
      </w:r>
      <w:proofErr w:type="gramStart"/>
      <w:r w:rsidRPr="000F304F">
        <w:rPr>
          <w:rFonts w:ascii="Arial" w:hAnsi="Arial" w:cs="Arial"/>
          <w:color w:val="000000" w:themeColor="text1"/>
          <w:sz w:val="24"/>
          <w:szCs w:val="24"/>
        </w:rPr>
        <w:t>Procedures:</w:t>
      </w:r>
      <w:proofErr w:type="gramEnd"/>
      <w:r w:rsidRPr="000F304F">
        <w:rPr>
          <w:rFonts w:ascii="Arial" w:hAnsi="Arial" w:cs="Arial"/>
          <w:color w:val="000000" w:themeColor="text1"/>
          <w:sz w:val="24"/>
          <w:szCs w:val="24"/>
        </w:rPr>
        <w:t xml:space="preserve"> Text and Methodology. </w:t>
      </w:r>
      <w:proofErr w:type="gramStart"/>
      <w:r w:rsidRPr="000F304F">
        <w:rPr>
          <w:rFonts w:ascii="Arial" w:hAnsi="Arial" w:cs="Arial"/>
          <w:color w:val="000000" w:themeColor="text1"/>
          <w:sz w:val="24"/>
          <w:szCs w:val="24"/>
        </w:rPr>
        <w:t>Geneva:</w:t>
      </w:r>
      <w:proofErr w:type="gramEnd"/>
      <w:r w:rsidRPr="000F304F">
        <w:rPr>
          <w:rFonts w:ascii="Arial" w:hAnsi="Arial" w:cs="Arial"/>
          <w:color w:val="000000" w:themeColor="text1"/>
          <w:sz w:val="24"/>
          <w:szCs w:val="24"/>
        </w:rPr>
        <w:t xml:space="preserve"> ICH; 2005. </w:t>
      </w:r>
      <w:hyperlink r:id="rId26" w:tgtFrame="_new" w:history="1">
        <w:r w:rsidRPr="000F304F">
          <w:rPr>
            <w:rStyle w:val="Hyperlink"/>
            <w:rFonts w:ascii="Arial" w:hAnsi="Arial" w:cs="Arial"/>
            <w:sz w:val="24"/>
            <w:szCs w:val="24"/>
            <w:u w:val="none"/>
          </w:rPr>
          <w:t>https://www.ich.org</w:t>
        </w:r>
      </w:hyperlink>
    </w:p>
    <w:p w14:paraId="007CA6B7" w14:textId="77777777" w:rsidR="0097495D" w:rsidRPr="008B6F3C" w:rsidRDefault="000F304F" w:rsidP="00F67992">
      <w:pPr>
        <w:pStyle w:val="ListParagraph"/>
        <w:numPr>
          <w:ilvl w:val="0"/>
          <w:numId w:val="31"/>
        </w:numPr>
        <w:tabs>
          <w:tab w:val="left" w:pos="142"/>
        </w:tabs>
        <w:spacing w:after="0" w:line="360" w:lineRule="auto"/>
        <w:ind w:left="0" w:firstLine="0"/>
        <w:jc w:val="both"/>
        <w:rPr>
          <w:rFonts w:ascii="Arial" w:hAnsi="Arial" w:cs="Arial"/>
          <w:color w:val="0070C0"/>
          <w:sz w:val="24"/>
          <w:szCs w:val="24"/>
        </w:rPr>
      </w:pPr>
      <w:r w:rsidRPr="000F304F">
        <w:rPr>
          <w:rFonts w:ascii="Arial" w:hAnsi="Arial" w:cs="Arial"/>
          <w:color w:val="000000" w:themeColor="text1"/>
          <w:sz w:val="24"/>
          <w:szCs w:val="24"/>
        </w:rPr>
        <w:t>Lettieri M, Scarano S, Caponi L, Roda B, Rossi M. Serotonin</w:t>
      </w:r>
      <w:r w:rsidRPr="000F304F">
        <w:rPr>
          <w:rFonts w:ascii="Arial" w:hAnsi="Arial" w:cs="Arial"/>
          <w:color w:val="000000" w:themeColor="text1"/>
          <w:sz w:val="24"/>
          <w:szCs w:val="24"/>
        </w:rPr>
        <w:noBreakHyphen/>
        <w:t xml:space="preserve">derived </w:t>
      </w:r>
      <w:proofErr w:type="gramStart"/>
      <w:r w:rsidRPr="000F304F">
        <w:rPr>
          <w:rFonts w:ascii="Arial" w:hAnsi="Arial" w:cs="Arial"/>
          <w:color w:val="000000" w:themeColor="text1"/>
          <w:sz w:val="24"/>
          <w:szCs w:val="24"/>
        </w:rPr>
        <w:t>fluorophore:</w:t>
      </w:r>
      <w:proofErr w:type="gramEnd"/>
      <w:r w:rsidRPr="000F304F">
        <w:rPr>
          <w:rFonts w:ascii="Arial" w:hAnsi="Arial" w:cs="Arial"/>
          <w:color w:val="000000" w:themeColor="text1"/>
          <w:sz w:val="24"/>
          <w:szCs w:val="24"/>
        </w:rPr>
        <w:t xml:space="preserve"> a novel fluorescent biomaterial for copper detection in urine. Sensors. </w:t>
      </w:r>
      <w:proofErr w:type="gramStart"/>
      <w:r w:rsidRPr="000F304F">
        <w:rPr>
          <w:rFonts w:ascii="Arial" w:hAnsi="Arial" w:cs="Arial"/>
          <w:color w:val="000000" w:themeColor="text1"/>
          <w:sz w:val="24"/>
          <w:szCs w:val="24"/>
        </w:rPr>
        <w:t>2023;</w:t>
      </w:r>
      <w:proofErr w:type="gramEnd"/>
      <w:r w:rsidRPr="000F304F">
        <w:rPr>
          <w:rFonts w:ascii="Arial" w:hAnsi="Arial" w:cs="Arial"/>
          <w:color w:val="000000" w:themeColor="text1"/>
          <w:sz w:val="24"/>
          <w:szCs w:val="24"/>
        </w:rPr>
        <w:t xml:space="preserve">23(6):3030. </w:t>
      </w:r>
      <w:r w:rsidRPr="000F304F">
        <w:rPr>
          <w:rFonts w:ascii="Arial" w:hAnsi="Arial" w:cs="Arial"/>
          <w:color w:val="0070C0"/>
          <w:sz w:val="24"/>
          <w:szCs w:val="24"/>
        </w:rPr>
        <w:t>https://doi.org/10.3390/s23063030</w:t>
      </w:r>
    </w:p>
    <w:p w14:paraId="558E8A3E"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lastRenderedPageBreak/>
        <w:t xml:space="preserve">Lakowicz JR. Principles of Fluorescence Spectroscopy. 3rd ed. </w:t>
      </w:r>
      <w:proofErr w:type="gramStart"/>
      <w:r w:rsidRPr="000F304F">
        <w:rPr>
          <w:rFonts w:ascii="Arial" w:hAnsi="Arial" w:cs="Arial"/>
          <w:color w:val="000000" w:themeColor="text1"/>
          <w:sz w:val="24"/>
          <w:szCs w:val="24"/>
        </w:rPr>
        <w:t>Springer;</w:t>
      </w:r>
      <w:proofErr w:type="gramEnd"/>
      <w:r w:rsidRPr="000F304F">
        <w:rPr>
          <w:rFonts w:ascii="Arial" w:hAnsi="Arial" w:cs="Arial"/>
          <w:color w:val="000000" w:themeColor="text1"/>
          <w:sz w:val="24"/>
          <w:szCs w:val="24"/>
        </w:rPr>
        <w:t xml:space="preserve"> 2006. </w:t>
      </w:r>
      <w:hyperlink r:id="rId27" w:tgtFrame="_new" w:history="1">
        <w:r w:rsidRPr="000F304F">
          <w:rPr>
            <w:rStyle w:val="Hyperlink"/>
            <w:rFonts w:ascii="Arial" w:hAnsi="Arial" w:cs="Arial"/>
            <w:sz w:val="24"/>
            <w:szCs w:val="24"/>
            <w:u w:val="none"/>
          </w:rPr>
          <w:t>https://www.springer.com</w:t>
        </w:r>
      </w:hyperlink>
    </w:p>
    <w:p w14:paraId="03839B20"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Valeur B, Berberan</w:t>
      </w:r>
      <w:r w:rsidRPr="000F304F">
        <w:rPr>
          <w:rFonts w:ascii="Arial" w:hAnsi="Arial" w:cs="Arial"/>
          <w:color w:val="000000" w:themeColor="text1"/>
          <w:sz w:val="24"/>
          <w:szCs w:val="24"/>
        </w:rPr>
        <w:noBreakHyphen/>
        <w:t xml:space="preserve">Santos MN. Molecular </w:t>
      </w:r>
      <w:proofErr w:type="gramStart"/>
      <w:r w:rsidRPr="000F304F">
        <w:rPr>
          <w:rFonts w:ascii="Arial" w:hAnsi="Arial" w:cs="Arial"/>
          <w:color w:val="000000" w:themeColor="text1"/>
          <w:sz w:val="24"/>
          <w:szCs w:val="24"/>
        </w:rPr>
        <w:t>Fluorescence:</w:t>
      </w:r>
      <w:proofErr w:type="gramEnd"/>
      <w:r w:rsidRPr="000F304F">
        <w:rPr>
          <w:rFonts w:ascii="Arial" w:hAnsi="Arial" w:cs="Arial"/>
          <w:color w:val="000000" w:themeColor="text1"/>
          <w:sz w:val="24"/>
          <w:szCs w:val="24"/>
        </w:rPr>
        <w:t xml:space="preserve"> Principles and Applications. 2nd ed. Wiley</w:t>
      </w:r>
      <w:r w:rsidRPr="000F304F">
        <w:rPr>
          <w:rFonts w:ascii="Arial" w:hAnsi="Arial" w:cs="Arial"/>
          <w:color w:val="000000" w:themeColor="text1"/>
          <w:sz w:val="24"/>
          <w:szCs w:val="24"/>
        </w:rPr>
        <w:noBreakHyphen/>
      </w:r>
      <w:proofErr w:type="gramStart"/>
      <w:r w:rsidRPr="000F304F">
        <w:rPr>
          <w:rFonts w:ascii="Arial" w:hAnsi="Arial" w:cs="Arial"/>
          <w:color w:val="000000" w:themeColor="text1"/>
          <w:sz w:val="24"/>
          <w:szCs w:val="24"/>
        </w:rPr>
        <w:t>VCH;</w:t>
      </w:r>
      <w:proofErr w:type="gramEnd"/>
      <w:r w:rsidRPr="000F304F">
        <w:rPr>
          <w:rFonts w:ascii="Arial" w:hAnsi="Arial" w:cs="Arial"/>
          <w:color w:val="000000" w:themeColor="text1"/>
          <w:sz w:val="24"/>
          <w:szCs w:val="24"/>
        </w:rPr>
        <w:t xml:space="preserve"> 2012. </w:t>
      </w:r>
      <w:hyperlink r:id="rId28" w:tgtFrame="_new" w:history="1">
        <w:r w:rsidRPr="000F304F">
          <w:rPr>
            <w:rStyle w:val="Hyperlink"/>
            <w:rFonts w:ascii="Arial" w:hAnsi="Arial" w:cs="Arial"/>
            <w:sz w:val="24"/>
            <w:szCs w:val="24"/>
            <w:u w:val="none"/>
          </w:rPr>
          <w:t>https://www.wiley.com</w:t>
        </w:r>
      </w:hyperlink>
    </w:p>
    <w:p w14:paraId="1D4CFD80" w14:textId="77777777" w:rsidR="0097495D" w:rsidRPr="008B6F3C" w:rsidRDefault="000F304F" w:rsidP="00F67992">
      <w:pPr>
        <w:pStyle w:val="ListParagraph"/>
        <w:numPr>
          <w:ilvl w:val="0"/>
          <w:numId w:val="31"/>
        </w:numPr>
        <w:tabs>
          <w:tab w:val="left" w:pos="142"/>
        </w:tabs>
        <w:spacing w:after="0" w:line="360" w:lineRule="auto"/>
        <w:ind w:left="0" w:firstLine="0"/>
        <w:jc w:val="both"/>
        <w:rPr>
          <w:rFonts w:ascii="Arial" w:hAnsi="Arial" w:cs="Arial"/>
          <w:color w:val="0070C0"/>
          <w:sz w:val="24"/>
          <w:szCs w:val="24"/>
        </w:rPr>
      </w:pPr>
      <w:r w:rsidRPr="000F304F">
        <w:rPr>
          <w:rFonts w:ascii="Arial" w:hAnsi="Arial" w:cs="Arial"/>
          <w:color w:val="000000" w:themeColor="text1"/>
          <w:sz w:val="24"/>
          <w:szCs w:val="24"/>
        </w:rPr>
        <w:t xml:space="preserve">Darwish HW. Micellar enhanced spectrofluorimetric methods for pharmaceutical </w:t>
      </w:r>
      <w:proofErr w:type="gramStart"/>
      <w:r w:rsidRPr="000F304F">
        <w:rPr>
          <w:rFonts w:ascii="Arial" w:hAnsi="Arial" w:cs="Arial"/>
          <w:color w:val="000000" w:themeColor="text1"/>
          <w:sz w:val="24"/>
          <w:szCs w:val="24"/>
        </w:rPr>
        <w:t>analysis:</w:t>
      </w:r>
      <w:proofErr w:type="gramEnd"/>
      <w:r w:rsidRPr="000F304F">
        <w:rPr>
          <w:rFonts w:ascii="Arial" w:hAnsi="Arial" w:cs="Arial"/>
          <w:color w:val="000000" w:themeColor="text1"/>
          <w:sz w:val="24"/>
          <w:szCs w:val="24"/>
        </w:rPr>
        <w:t xml:space="preserve"> current status and trends. Anal Chim Acta. </w:t>
      </w:r>
      <w:proofErr w:type="gramStart"/>
      <w:r w:rsidRPr="000F304F">
        <w:rPr>
          <w:rFonts w:ascii="Arial" w:hAnsi="Arial" w:cs="Arial"/>
          <w:color w:val="000000" w:themeColor="text1"/>
          <w:sz w:val="24"/>
          <w:szCs w:val="24"/>
        </w:rPr>
        <w:t>2021;</w:t>
      </w:r>
      <w:proofErr w:type="gramEnd"/>
      <w:r w:rsidRPr="000F304F">
        <w:rPr>
          <w:rFonts w:ascii="Arial" w:hAnsi="Arial" w:cs="Arial"/>
          <w:color w:val="000000" w:themeColor="text1"/>
          <w:sz w:val="24"/>
          <w:szCs w:val="24"/>
        </w:rPr>
        <w:t xml:space="preserve">1158:338451. </w:t>
      </w:r>
      <w:r w:rsidRPr="000F304F">
        <w:rPr>
          <w:rFonts w:ascii="Arial" w:hAnsi="Arial" w:cs="Arial"/>
          <w:color w:val="0070C0"/>
          <w:sz w:val="24"/>
          <w:szCs w:val="24"/>
        </w:rPr>
        <w:t>https://doi.org/10.1016/j.aca.2021.338451</w:t>
      </w:r>
    </w:p>
    <w:p w14:paraId="2AF9C02F"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Khoder MIM, Belal F, El</w:t>
      </w:r>
      <w:r w:rsidRPr="000F304F">
        <w:rPr>
          <w:rFonts w:ascii="Arial" w:hAnsi="Arial" w:cs="Arial"/>
          <w:color w:val="000000" w:themeColor="text1"/>
          <w:sz w:val="24"/>
          <w:szCs w:val="24"/>
        </w:rPr>
        <w:noBreakHyphen/>
        <w:t xml:space="preserve">Kosasy AM. Recent applications of micellar spectrofluorimetry in drug analysis. J Fluoresc. </w:t>
      </w:r>
      <w:proofErr w:type="gramStart"/>
      <w:r w:rsidRPr="000F304F">
        <w:rPr>
          <w:rFonts w:ascii="Arial" w:hAnsi="Arial" w:cs="Arial"/>
          <w:color w:val="000000" w:themeColor="text1"/>
          <w:sz w:val="24"/>
          <w:szCs w:val="24"/>
        </w:rPr>
        <w:t>2022;</w:t>
      </w:r>
      <w:proofErr w:type="gramEnd"/>
      <w:r w:rsidRPr="000F304F">
        <w:rPr>
          <w:rFonts w:ascii="Arial" w:hAnsi="Arial" w:cs="Arial"/>
          <w:color w:val="000000" w:themeColor="text1"/>
          <w:sz w:val="24"/>
          <w:szCs w:val="24"/>
        </w:rPr>
        <w:t>32:1231</w:t>
      </w:r>
      <w:r w:rsidRPr="000F304F">
        <w:rPr>
          <w:rFonts w:ascii="Arial" w:hAnsi="Arial" w:cs="Arial"/>
          <w:color w:val="000000" w:themeColor="text1"/>
          <w:sz w:val="24"/>
          <w:szCs w:val="24"/>
        </w:rPr>
        <w:noBreakHyphen/>
        <w:t xml:space="preserve">1248. </w:t>
      </w:r>
      <w:r w:rsidRPr="000F304F">
        <w:rPr>
          <w:rFonts w:ascii="Arial" w:hAnsi="Arial" w:cs="Arial"/>
          <w:color w:val="0070C0"/>
          <w:sz w:val="24"/>
          <w:szCs w:val="24"/>
        </w:rPr>
        <w:t>https://doi.org/10.1007/s10895</w:t>
      </w:r>
      <w:r w:rsidRPr="000F304F">
        <w:rPr>
          <w:rFonts w:ascii="Arial" w:hAnsi="Arial" w:cs="Arial"/>
          <w:color w:val="0070C0"/>
          <w:sz w:val="24"/>
          <w:szCs w:val="24"/>
        </w:rPr>
        <w:noBreakHyphen/>
        <w:t>022</w:t>
      </w:r>
      <w:r w:rsidRPr="000F304F">
        <w:rPr>
          <w:rFonts w:ascii="Arial" w:hAnsi="Arial" w:cs="Arial"/>
          <w:color w:val="0070C0"/>
          <w:sz w:val="24"/>
          <w:szCs w:val="24"/>
        </w:rPr>
        <w:noBreakHyphen/>
        <w:t>02938</w:t>
      </w:r>
      <w:r w:rsidRPr="000F304F">
        <w:rPr>
          <w:rFonts w:ascii="Arial" w:hAnsi="Arial" w:cs="Arial"/>
          <w:color w:val="0070C0"/>
          <w:sz w:val="24"/>
          <w:szCs w:val="24"/>
        </w:rPr>
        <w:noBreakHyphen/>
        <w:t>1</w:t>
      </w:r>
    </w:p>
    <w:p w14:paraId="13EFB999"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70C0"/>
          <w:sz w:val="24"/>
          <w:szCs w:val="24"/>
        </w:rPr>
      </w:pPr>
      <w:r w:rsidRPr="000F304F">
        <w:rPr>
          <w:rFonts w:ascii="Arial" w:hAnsi="Arial" w:cs="Arial"/>
          <w:color w:val="000000" w:themeColor="text1"/>
          <w:sz w:val="24"/>
          <w:szCs w:val="24"/>
        </w:rPr>
        <w:t>El</w:t>
      </w:r>
      <w:r w:rsidRPr="000F304F">
        <w:rPr>
          <w:rFonts w:ascii="Arial" w:hAnsi="Arial" w:cs="Arial"/>
          <w:color w:val="000000" w:themeColor="text1"/>
          <w:sz w:val="24"/>
          <w:szCs w:val="24"/>
        </w:rPr>
        <w:noBreakHyphen/>
        <w:t>Kosasy AM, Hussein LA, Sedki NG, Salama NN. Micelle</w:t>
      </w:r>
      <w:r w:rsidRPr="000F304F">
        <w:rPr>
          <w:rFonts w:ascii="Arial" w:hAnsi="Arial" w:cs="Arial"/>
          <w:color w:val="000000" w:themeColor="text1"/>
          <w:sz w:val="24"/>
          <w:szCs w:val="24"/>
        </w:rPr>
        <w:noBreakHyphen/>
        <w:t xml:space="preserve">enhanced spectrofluorimetric determination of pharmaceutical compounds. J Pharm Biomed Anal. </w:t>
      </w:r>
      <w:proofErr w:type="gramStart"/>
      <w:r w:rsidRPr="000F304F">
        <w:rPr>
          <w:rFonts w:ascii="Arial" w:hAnsi="Arial" w:cs="Arial"/>
          <w:color w:val="000000" w:themeColor="text1"/>
          <w:sz w:val="24"/>
          <w:szCs w:val="24"/>
        </w:rPr>
        <w:t>2016;</w:t>
      </w:r>
      <w:proofErr w:type="gramEnd"/>
      <w:r w:rsidRPr="000F304F">
        <w:rPr>
          <w:rFonts w:ascii="Arial" w:hAnsi="Arial" w:cs="Arial"/>
          <w:color w:val="000000" w:themeColor="text1"/>
          <w:sz w:val="24"/>
          <w:szCs w:val="24"/>
        </w:rPr>
        <w:t>123:28</w:t>
      </w:r>
      <w:r w:rsidRPr="000F304F">
        <w:rPr>
          <w:rFonts w:ascii="Arial" w:hAnsi="Arial" w:cs="Arial"/>
          <w:color w:val="000000" w:themeColor="text1"/>
          <w:sz w:val="24"/>
          <w:szCs w:val="24"/>
        </w:rPr>
        <w:noBreakHyphen/>
        <w:t xml:space="preserve">36. </w:t>
      </w:r>
      <w:r w:rsidRPr="000F304F">
        <w:rPr>
          <w:rFonts w:ascii="Arial" w:hAnsi="Arial" w:cs="Arial"/>
          <w:color w:val="0070C0"/>
          <w:sz w:val="24"/>
          <w:szCs w:val="24"/>
        </w:rPr>
        <w:t>https://doi.org/10.1016/j.jpba.2016.01.027</w:t>
      </w:r>
    </w:p>
    <w:p w14:paraId="68D5233D"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Manzoori JL, Amjadi M. Spectrofluorimetric and micelle</w:t>
      </w:r>
      <w:r w:rsidRPr="000F304F">
        <w:rPr>
          <w:rFonts w:ascii="Arial" w:hAnsi="Arial" w:cs="Arial"/>
          <w:color w:val="000000" w:themeColor="text1"/>
          <w:sz w:val="24"/>
          <w:szCs w:val="24"/>
        </w:rPr>
        <w:noBreakHyphen/>
        <w:t xml:space="preserve">enhanced spectrofluorimetric methods for the determination of gemfibrozil in pharmaceutical preparations. J Pharm Biomed Anal. </w:t>
      </w:r>
      <w:proofErr w:type="gramStart"/>
      <w:r w:rsidRPr="000F304F">
        <w:rPr>
          <w:rFonts w:ascii="Arial" w:hAnsi="Arial" w:cs="Arial"/>
          <w:color w:val="000000" w:themeColor="text1"/>
          <w:sz w:val="24"/>
          <w:szCs w:val="24"/>
        </w:rPr>
        <w:t>2003;</w:t>
      </w:r>
      <w:proofErr w:type="gramEnd"/>
      <w:r w:rsidRPr="000F304F">
        <w:rPr>
          <w:rFonts w:ascii="Arial" w:hAnsi="Arial" w:cs="Arial"/>
          <w:color w:val="000000" w:themeColor="text1"/>
          <w:sz w:val="24"/>
          <w:szCs w:val="24"/>
        </w:rPr>
        <w:t>31(3):507</w:t>
      </w:r>
      <w:r w:rsidRPr="000F304F">
        <w:rPr>
          <w:rFonts w:ascii="Arial" w:hAnsi="Arial" w:cs="Arial"/>
          <w:color w:val="000000" w:themeColor="text1"/>
          <w:sz w:val="24"/>
          <w:szCs w:val="24"/>
        </w:rPr>
        <w:noBreakHyphen/>
        <w:t xml:space="preserve">513. </w:t>
      </w:r>
      <w:r w:rsidRPr="000F304F">
        <w:rPr>
          <w:rFonts w:ascii="Arial" w:hAnsi="Arial" w:cs="Arial"/>
          <w:color w:val="0070C0"/>
          <w:sz w:val="24"/>
          <w:szCs w:val="24"/>
        </w:rPr>
        <w:t>https://doi.org/10.1016/S0731</w:t>
      </w:r>
      <w:r w:rsidRPr="000F304F">
        <w:rPr>
          <w:rFonts w:ascii="Arial" w:hAnsi="Arial" w:cs="Arial"/>
          <w:color w:val="0070C0"/>
          <w:sz w:val="24"/>
          <w:szCs w:val="24"/>
        </w:rPr>
        <w:noBreakHyphen/>
        <w:t>7085(02)00679</w:t>
      </w:r>
      <w:r w:rsidRPr="000F304F">
        <w:rPr>
          <w:rFonts w:ascii="Arial" w:hAnsi="Arial" w:cs="Arial"/>
          <w:color w:val="0070C0"/>
          <w:sz w:val="24"/>
          <w:szCs w:val="24"/>
        </w:rPr>
        <w:noBreakHyphen/>
        <w:t xml:space="preserve">9 </w:t>
      </w:r>
    </w:p>
    <w:p w14:paraId="0BC5DC39"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70C0"/>
          <w:sz w:val="24"/>
          <w:szCs w:val="24"/>
        </w:rPr>
      </w:pPr>
      <w:r w:rsidRPr="000F304F">
        <w:rPr>
          <w:rFonts w:ascii="Arial" w:hAnsi="Arial" w:cs="Arial"/>
          <w:color w:val="000000" w:themeColor="text1"/>
          <w:sz w:val="24"/>
          <w:szCs w:val="24"/>
        </w:rPr>
        <w:t xml:space="preserve"> Alarfaj NA, Aly FA. Micelle</w:t>
      </w:r>
      <w:r w:rsidRPr="000F304F">
        <w:rPr>
          <w:rFonts w:ascii="Arial" w:hAnsi="Arial" w:cs="Arial"/>
          <w:color w:val="000000" w:themeColor="text1"/>
          <w:sz w:val="24"/>
          <w:szCs w:val="24"/>
        </w:rPr>
        <w:noBreakHyphen/>
        <w:t>enhanced spectrofluorimetric method for determination of cholesterol</w:t>
      </w:r>
      <w:r w:rsidRPr="000F304F">
        <w:rPr>
          <w:rFonts w:ascii="Arial" w:hAnsi="Arial" w:cs="Arial"/>
          <w:color w:val="000000" w:themeColor="text1"/>
          <w:sz w:val="24"/>
          <w:szCs w:val="24"/>
        </w:rPr>
        <w:noBreakHyphen/>
        <w:t xml:space="preserve">reducing drug ezetimibe in dosage forms. J Fluoresc. </w:t>
      </w:r>
      <w:proofErr w:type="gramStart"/>
      <w:r w:rsidRPr="000F304F">
        <w:rPr>
          <w:rFonts w:ascii="Arial" w:hAnsi="Arial" w:cs="Arial"/>
          <w:color w:val="000000" w:themeColor="text1"/>
          <w:sz w:val="24"/>
          <w:szCs w:val="24"/>
        </w:rPr>
        <w:t>2012;</w:t>
      </w:r>
      <w:proofErr w:type="gramEnd"/>
      <w:r w:rsidRPr="000F304F">
        <w:rPr>
          <w:rFonts w:ascii="Arial" w:hAnsi="Arial" w:cs="Arial"/>
          <w:color w:val="000000" w:themeColor="text1"/>
          <w:sz w:val="24"/>
          <w:szCs w:val="24"/>
        </w:rPr>
        <w:t>22(1):9</w:t>
      </w:r>
      <w:r w:rsidRPr="000F304F">
        <w:rPr>
          <w:rFonts w:ascii="Arial" w:hAnsi="Arial" w:cs="Arial"/>
          <w:color w:val="000000" w:themeColor="text1"/>
          <w:sz w:val="24"/>
          <w:szCs w:val="24"/>
        </w:rPr>
        <w:noBreakHyphen/>
        <w:t xml:space="preserve">15. </w:t>
      </w:r>
      <w:r w:rsidRPr="000F304F">
        <w:rPr>
          <w:rFonts w:ascii="Arial" w:hAnsi="Arial" w:cs="Arial"/>
          <w:color w:val="0070C0"/>
          <w:sz w:val="24"/>
          <w:szCs w:val="24"/>
        </w:rPr>
        <w:t>https://doi.org/10.1007/s10895</w:t>
      </w:r>
      <w:r w:rsidRPr="000F304F">
        <w:rPr>
          <w:rFonts w:ascii="Arial" w:hAnsi="Arial" w:cs="Arial"/>
          <w:color w:val="0070C0"/>
          <w:sz w:val="24"/>
          <w:szCs w:val="24"/>
        </w:rPr>
        <w:noBreakHyphen/>
        <w:t>011</w:t>
      </w:r>
      <w:r w:rsidRPr="000F304F">
        <w:rPr>
          <w:rFonts w:ascii="Arial" w:hAnsi="Arial" w:cs="Arial"/>
          <w:color w:val="0070C0"/>
          <w:sz w:val="24"/>
          <w:szCs w:val="24"/>
        </w:rPr>
        <w:noBreakHyphen/>
        <w:t>0952</w:t>
      </w:r>
      <w:r w:rsidRPr="000F304F">
        <w:rPr>
          <w:rFonts w:ascii="Arial" w:hAnsi="Arial" w:cs="Arial"/>
          <w:color w:val="0070C0"/>
          <w:sz w:val="24"/>
          <w:szCs w:val="24"/>
        </w:rPr>
        <w:noBreakHyphen/>
        <w:t>x</w:t>
      </w:r>
    </w:p>
    <w:p w14:paraId="46905AAB"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70C0"/>
          <w:sz w:val="24"/>
          <w:szCs w:val="24"/>
        </w:rPr>
      </w:pPr>
      <w:r w:rsidRPr="000F304F">
        <w:rPr>
          <w:rFonts w:ascii="Arial" w:hAnsi="Arial" w:cs="Arial"/>
          <w:color w:val="000000" w:themeColor="text1"/>
          <w:sz w:val="24"/>
          <w:szCs w:val="24"/>
        </w:rPr>
        <w:t>Belal F, Sharaf El</w:t>
      </w:r>
      <w:r w:rsidRPr="000F304F">
        <w:rPr>
          <w:rFonts w:ascii="Arial" w:hAnsi="Arial" w:cs="Arial"/>
          <w:color w:val="000000" w:themeColor="text1"/>
          <w:sz w:val="24"/>
          <w:szCs w:val="24"/>
        </w:rPr>
        <w:noBreakHyphen/>
        <w:t>Din M, Tolba MM, Elmansi H, Alaa H. Micelle</w:t>
      </w:r>
      <w:r w:rsidRPr="000F304F">
        <w:rPr>
          <w:rFonts w:ascii="Arial" w:hAnsi="Arial" w:cs="Arial"/>
          <w:color w:val="000000" w:themeColor="text1"/>
          <w:sz w:val="24"/>
          <w:szCs w:val="24"/>
        </w:rPr>
        <w:noBreakHyphen/>
        <w:t xml:space="preserve">enhanced spectrofluorimetric method for determination of lacidipine in tablet </w:t>
      </w:r>
      <w:proofErr w:type="gramStart"/>
      <w:r w:rsidRPr="000F304F">
        <w:rPr>
          <w:rFonts w:ascii="Arial" w:hAnsi="Arial" w:cs="Arial"/>
          <w:color w:val="000000" w:themeColor="text1"/>
          <w:sz w:val="24"/>
          <w:szCs w:val="24"/>
        </w:rPr>
        <w:t>form;</w:t>
      </w:r>
      <w:proofErr w:type="gramEnd"/>
      <w:r w:rsidRPr="000F304F">
        <w:rPr>
          <w:rFonts w:ascii="Arial" w:hAnsi="Arial" w:cs="Arial"/>
          <w:color w:val="000000" w:themeColor="text1"/>
          <w:sz w:val="24"/>
          <w:szCs w:val="24"/>
        </w:rPr>
        <w:t xml:space="preserve"> application to content uniformity testing. Luminescence. </w:t>
      </w:r>
      <w:proofErr w:type="gramStart"/>
      <w:r w:rsidRPr="000F304F">
        <w:rPr>
          <w:rFonts w:ascii="Arial" w:hAnsi="Arial" w:cs="Arial"/>
          <w:color w:val="000000" w:themeColor="text1"/>
          <w:sz w:val="24"/>
          <w:szCs w:val="24"/>
        </w:rPr>
        <w:t>2015;</w:t>
      </w:r>
      <w:proofErr w:type="gramEnd"/>
      <w:r w:rsidRPr="000F304F">
        <w:rPr>
          <w:rFonts w:ascii="Arial" w:hAnsi="Arial" w:cs="Arial"/>
          <w:color w:val="000000" w:themeColor="text1"/>
          <w:sz w:val="24"/>
          <w:szCs w:val="24"/>
        </w:rPr>
        <w:t>30(6):805</w:t>
      </w:r>
      <w:r w:rsidRPr="000F304F">
        <w:rPr>
          <w:rFonts w:ascii="Arial" w:hAnsi="Arial" w:cs="Arial"/>
          <w:color w:val="000000" w:themeColor="text1"/>
          <w:sz w:val="24"/>
          <w:szCs w:val="24"/>
        </w:rPr>
        <w:noBreakHyphen/>
        <w:t xml:space="preserve">811. </w:t>
      </w:r>
      <w:r w:rsidRPr="000F304F">
        <w:rPr>
          <w:rFonts w:ascii="Arial" w:hAnsi="Arial" w:cs="Arial"/>
          <w:color w:val="0070C0"/>
          <w:sz w:val="24"/>
          <w:szCs w:val="24"/>
        </w:rPr>
        <w:t xml:space="preserve">https://doi.org/10.1002/bio.2823 </w:t>
      </w:r>
    </w:p>
    <w:p w14:paraId="6276B280"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70C0"/>
          <w:sz w:val="24"/>
          <w:szCs w:val="24"/>
        </w:rPr>
      </w:pPr>
      <w:r w:rsidRPr="000F304F">
        <w:rPr>
          <w:rFonts w:ascii="Arial" w:hAnsi="Arial" w:cs="Arial"/>
          <w:color w:val="000000" w:themeColor="text1"/>
          <w:sz w:val="24"/>
          <w:szCs w:val="24"/>
        </w:rPr>
        <w:t>Sultan MA, Abou El</w:t>
      </w:r>
      <w:r w:rsidRPr="000F304F">
        <w:rPr>
          <w:rFonts w:ascii="Arial" w:hAnsi="Arial" w:cs="Arial"/>
          <w:color w:val="000000" w:themeColor="text1"/>
          <w:sz w:val="24"/>
          <w:szCs w:val="24"/>
        </w:rPr>
        <w:noBreakHyphen/>
        <w:t>Alamin MM, Wark AW, Azab MM. Stability</w:t>
      </w:r>
      <w:r w:rsidRPr="000F304F">
        <w:rPr>
          <w:rFonts w:ascii="Arial" w:hAnsi="Arial" w:cs="Arial"/>
          <w:color w:val="000000" w:themeColor="text1"/>
          <w:sz w:val="24"/>
          <w:szCs w:val="24"/>
        </w:rPr>
        <w:noBreakHyphen/>
        <w:t>indicating micellar enhanced spectro</w:t>
      </w:r>
      <w:r w:rsidRPr="000F304F">
        <w:rPr>
          <w:rFonts w:ascii="Arial" w:hAnsi="Arial" w:cs="Arial"/>
          <w:color w:val="000000" w:themeColor="text1"/>
          <w:sz w:val="24"/>
          <w:szCs w:val="24"/>
        </w:rPr>
        <w:noBreakHyphen/>
        <w:t xml:space="preserve">fluorometric determination of Daclatasvir in its tablet and spiked human plasma. Spectrochim Acta A Mol Biomol Spectrosc. </w:t>
      </w:r>
      <w:proofErr w:type="gramStart"/>
      <w:r w:rsidRPr="000F304F">
        <w:rPr>
          <w:rFonts w:ascii="Arial" w:hAnsi="Arial" w:cs="Arial"/>
          <w:color w:val="000000" w:themeColor="text1"/>
          <w:sz w:val="24"/>
          <w:szCs w:val="24"/>
        </w:rPr>
        <w:t>2019;</w:t>
      </w:r>
      <w:proofErr w:type="gramEnd"/>
      <w:r w:rsidRPr="000F304F">
        <w:rPr>
          <w:rFonts w:ascii="Arial" w:hAnsi="Arial" w:cs="Arial"/>
          <w:color w:val="000000" w:themeColor="text1"/>
          <w:sz w:val="24"/>
          <w:szCs w:val="24"/>
        </w:rPr>
        <w:t>211:52</w:t>
      </w:r>
      <w:r w:rsidRPr="000F304F">
        <w:rPr>
          <w:rFonts w:ascii="Arial" w:hAnsi="Arial" w:cs="Arial"/>
          <w:color w:val="000000" w:themeColor="text1"/>
          <w:sz w:val="24"/>
          <w:szCs w:val="24"/>
        </w:rPr>
        <w:noBreakHyphen/>
        <w:t xml:space="preserve">58. </w:t>
      </w:r>
      <w:r w:rsidRPr="000F304F">
        <w:rPr>
          <w:rFonts w:ascii="Arial" w:hAnsi="Arial" w:cs="Arial"/>
          <w:color w:val="0070C0"/>
          <w:sz w:val="24"/>
          <w:szCs w:val="24"/>
        </w:rPr>
        <w:t xml:space="preserve">https://doi.org/10.1016/j.saa.2018.11.023 </w:t>
      </w:r>
    </w:p>
    <w:p w14:paraId="2B40F7B7"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70C0"/>
          <w:sz w:val="24"/>
          <w:szCs w:val="24"/>
        </w:rPr>
      </w:pPr>
      <w:r w:rsidRPr="000F304F">
        <w:rPr>
          <w:rFonts w:ascii="Arial" w:hAnsi="Arial" w:cs="Arial"/>
          <w:color w:val="000000" w:themeColor="text1"/>
          <w:sz w:val="24"/>
          <w:szCs w:val="24"/>
        </w:rPr>
        <w:t>El</w:t>
      </w:r>
      <w:r w:rsidRPr="000F304F">
        <w:rPr>
          <w:rFonts w:ascii="Arial" w:hAnsi="Arial" w:cs="Arial"/>
          <w:color w:val="000000" w:themeColor="text1"/>
          <w:sz w:val="24"/>
          <w:szCs w:val="24"/>
        </w:rPr>
        <w:noBreakHyphen/>
        <w:t xml:space="preserve">Kosasy AM, Hussein LA, Sedki NG, Salama NN. Micelle enhanced and native spectrofluorimetric methods for determination of sertindole using sodium dodecyl sulfate as sensitizing agent. Spectrochim Acta A Mol Biomol Spectrosc. </w:t>
      </w:r>
      <w:proofErr w:type="gramStart"/>
      <w:r w:rsidRPr="000F304F">
        <w:rPr>
          <w:rFonts w:ascii="Arial" w:hAnsi="Arial" w:cs="Arial"/>
          <w:color w:val="000000" w:themeColor="text1"/>
          <w:sz w:val="24"/>
          <w:szCs w:val="24"/>
        </w:rPr>
        <w:t>2016;</w:t>
      </w:r>
      <w:proofErr w:type="gramEnd"/>
      <w:r w:rsidRPr="000F304F">
        <w:rPr>
          <w:rFonts w:ascii="Arial" w:hAnsi="Arial" w:cs="Arial"/>
          <w:color w:val="000000" w:themeColor="text1"/>
          <w:sz w:val="24"/>
          <w:szCs w:val="24"/>
        </w:rPr>
        <w:t>156:176</w:t>
      </w:r>
      <w:r w:rsidRPr="000F304F">
        <w:rPr>
          <w:rFonts w:ascii="Arial" w:hAnsi="Arial" w:cs="Arial"/>
          <w:color w:val="000000" w:themeColor="text1"/>
          <w:sz w:val="24"/>
          <w:szCs w:val="24"/>
        </w:rPr>
        <w:noBreakHyphen/>
        <w:t xml:space="preserve">184. </w:t>
      </w:r>
      <w:r w:rsidRPr="000F304F">
        <w:rPr>
          <w:rFonts w:ascii="Arial" w:hAnsi="Arial" w:cs="Arial"/>
          <w:color w:val="0070C0"/>
          <w:sz w:val="24"/>
          <w:szCs w:val="24"/>
        </w:rPr>
        <w:t>https://doi.org/10.1016/j.saa.2015.08.040</w:t>
      </w:r>
    </w:p>
    <w:p w14:paraId="19B9F54D"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Agrawal N, Esteve</w:t>
      </w:r>
      <w:r w:rsidRPr="000F304F">
        <w:rPr>
          <w:rFonts w:ascii="Arial" w:hAnsi="Arial" w:cs="Arial"/>
          <w:color w:val="000000" w:themeColor="text1"/>
          <w:sz w:val="24"/>
          <w:szCs w:val="24"/>
        </w:rPr>
        <w:noBreakHyphen/>
        <w:t>Romero J, Bose D, Dubey NP, Peris</w:t>
      </w:r>
      <w:r w:rsidRPr="000F304F">
        <w:rPr>
          <w:rFonts w:ascii="Arial" w:hAnsi="Arial" w:cs="Arial"/>
          <w:color w:val="000000" w:themeColor="text1"/>
          <w:sz w:val="24"/>
          <w:szCs w:val="24"/>
        </w:rPr>
        <w:noBreakHyphen/>
        <w:t>Vicente J, Carda</w:t>
      </w:r>
      <w:r w:rsidRPr="000F304F">
        <w:rPr>
          <w:rFonts w:ascii="Arial" w:hAnsi="Arial" w:cs="Arial"/>
          <w:color w:val="000000" w:themeColor="text1"/>
          <w:sz w:val="24"/>
          <w:szCs w:val="24"/>
        </w:rPr>
        <w:noBreakHyphen/>
        <w:t xml:space="preserve">Broch S. Determination of selective serotonin reuptake inhibitors by micellar liquid </w:t>
      </w:r>
      <w:r w:rsidRPr="000F304F">
        <w:rPr>
          <w:rFonts w:ascii="Arial" w:hAnsi="Arial" w:cs="Arial"/>
          <w:color w:val="000000" w:themeColor="text1"/>
          <w:sz w:val="24"/>
          <w:szCs w:val="24"/>
        </w:rPr>
        <w:lastRenderedPageBreak/>
        <w:t xml:space="preserve">chromatography with fluorescence detection. J Chromatogr B Analyt Technol Biomed Life Sci. </w:t>
      </w:r>
      <w:proofErr w:type="gramStart"/>
      <w:r w:rsidRPr="000F304F">
        <w:rPr>
          <w:rFonts w:ascii="Arial" w:hAnsi="Arial" w:cs="Arial"/>
          <w:color w:val="000000" w:themeColor="text1"/>
          <w:sz w:val="24"/>
          <w:szCs w:val="24"/>
        </w:rPr>
        <w:t>2014;</w:t>
      </w:r>
      <w:proofErr w:type="gramEnd"/>
      <w:r w:rsidRPr="000F304F">
        <w:rPr>
          <w:rFonts w:ascii="Arial" w:hAnsi="Arial" w:cs="Arial"/>
          <w:color w:val="000000" w:themeColor="text1"/>
          <w:sz w:val="24"/>
          <w:szCs w:val="24"/>
        </w:rPr>
        <w:t>965:142</w:t>
      </w:r>
      <w:r w:rsidRPr="000F304F">
        <w:rPr>
          <w:rFonts w:ascii="Arial" w:hAnsi="Arial" w:cs="Arial"/>
          <w:color w:val="000000" w:themeColor="text1"/>
          <w:sz w:val="24"/>
          <w:szCs w:val="24"/>
        </w:rPr>
        <w:noBreakHyphen/>
        <w:t xml:space="preserve">149. </w:t>
      </w:r>
      <w:r w:rsidRPr="000F304F">
        <w:rPr>
          <w:rFonts w:ascii="Arial" w:hAnsi="Arial" w:cs="Arial"/>
          <w:color w:val="0070C0"/>
          <w:sz w:val="24"/>
          <w:szCs w:val="24"/>
        </w:rPr>
        <w:t xml:space="preserve">https://doi.org/10.1016/j.jchromb.2014.06.026 </w:t>
      </w:r>
    </w:p>
    <w:p w14:paraId="323E2086"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70C0"/>
          <w:sz w:val="24"/>
          <w:szCs w:val="24"/>
        </w:rPr>
      </w:pPr>
      <w:r w:rsidRPr="000F304F">
        <w:rPr>
          <w:rFonts w:ascii="Arial" w:hAnsi="Arial" w:cs="Arial"/>
          <w:color w:val="000000" w:themeColor="text1"/>
          <w:sz w:val="24"/>
          <w:szCs w:val="24"/>
        </w:rPr>
        <w:t>Cao LW. Determination of catecholamines and serotonin by micellar electrokinetic chromatography with laser</w:t>
      </w:r>
      <w:r w:rsidRPr="000F304F">
        <w:rPr>
          <w:rFonts w:ascii="Arial" w:hAnsi="Arial" w:cs="Arial"/>
          <w:color w:val="000000" w:themeColor="text1"/>
          <w:sz w:val="24"/>
          <w:szCs w:val="24"/>
        </w:rPr>
        <w:noBreakHyphen/>
        <w:t xml:space="preserve">induced fluorescence detection. Biomed Chromatogr. </w:t>
      </w:r>
      <w:proofErr w:type="gramStart"/>
      <w:r w:rsidRPr="000F304F">
        <w:rPr>
          <w:rFonts w:ascii="Arial" w:hAnsi="Arial" w:cs="Arial"/>
          <w:color w:val="000000" w:themeColor="text1"/>
          <w:sz w:val="24"/>
          <w:szCs w:val="24"/>
        </w:rPr>
        <w:t>2007;</w:t>
      </w:r>
      <w:proofErr w:type="gramEnd"/>
      <w:r w:rsidRPr="000F304F">
        <w:rPr>
          <w:rFonts w:ascii="Arial" w:hAnsi="Arial" w:cs="Arial"/>
          <w:color w:val="000000" w:themeColor="text1"/>
          <w:sz w:val="24"/>
          <w:szCs w:val="24"/>
        </w:rPr>
        <w:t>21(7):708</w:t>
      </w:r>
      <w:r w:rsidRPr="000F304F">
        <w:rPr>
          <w:rFonts w:ascii="Arial" w:hAnsi="Arial" w:cs="Arial"/>
          <w:color w:val="000000" w:themeColor="text1"/>
          <w:sz w:val="24"/>
          <w:szCs w:val="24"/>
        </w:rPr>
        <w:noBreakHyphen/>
        <w:t xml:space="preserve">715. </w:t>
      </w:r>
      <w:r w:rsidRPr="000F304F">
        <w:rPr>
          <w:rFonts w:ascii="Arial" w:hAnsi="Arial" w:cs="Arial"/>
          <w:color w:val="0070C0"/>
          <w:sz w:val="24"/>
          <w:szCs w:val="24"/>
        </w:rPr>
        <w:t>https://doi.org/10.1002/bmc.809</w:t>
      </w:r>
    </w:p>
    <w:p w14:paraId="0A455651"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Waters Corporation. Measurement of urinary serotonin using mixed</w:t>
      </w:r>
      <w:r w:rsidRPr="000F304F">
        <w:rPr>
          <w:rFonts w:ascii="Arial" w:hAnsi="Arial" w:cs="Arial"/>
          <w:color w:val="000000" w:themeColor="text1"/>
          <w:sz w:val="24"/>
          <w:szCs w:val="24"/>
        </w:rPr>
        <w:noBreakHyphen/>
        <w:t>mode SPE and high</w:t>
      </w:r>
      <w:r w:rsidRPr="000F304F">
        <w:rPr>
          <w:rFonts w:ascii="Arial" w:hAnsi="Arial" w:cs="Arial"/>
          <w:color w:val="000000" w:themeColor="text1"/>
          <w:sz w:val="24"/>
          <w:szCs w:val="24"/>
        </w:rPr>
        <w:noBreakHyphen/>
        <w:t xml:space="preserve">strength silica PFP column. Waters Tech Note. 2014. </w:t>
      </w:r>
      <w:hyperlink r:id="rId29" w:tgtFrame="_new" w:history="1">
        <w:r w:rsidRPr="000F304F">
          <w:rPr>
            <w:rStyle w:val="Hyperlink"/>
            <w:rFonts w:ascii="Arial" w:hAnsi="Arial" w:cs="Arial"/>
            <w:sz w:val="24"/>
            <w:szCs w:val="24"/>
            <w:u w:val="none"/>
          </w:rPr>
          <w:t>https://www.waters.com</w:t>
        </w:r>
      </w:hyperlink>
    </w:p>
    <w:p w14:paraId="6B8A98EA"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 xml:space="preserve"> Chemchem M, Chemchem A, Aydıner B, Seferoğlu Z. Recent advances in colorimetric and fluorometric sensing of neurotransmitters by organic scaffolds. Eur J Med Chem. </w:t>
      </w:r>
      <w:proofErr w:type="gramStart"/>
      <w:r w:rsidRPr="000F304F">
        <w:rPr>
          <w:rFonts w:ascii="Arial" w:hAnsi="Arial" w:cs="Arial"/>
          <w:color w:val="000000" w:themeColor="text1"/>
          <w:sz w:val="24"/>
          <w:szCs w:val="24"/>
        </w:rPr>
        <w:t>2022;</w:t>
      </w:r>
      <w:proofErr w:type="gramEnd"/>
      <w:r w:rsidRPr="000F304F">
        <w:rPr>
          <w:rFonts w:ascii="Arial" w:hAnsi="Arial" w:cs="Arial"/>
          <w:color w:val="000000" w:themeColor="text1"/>
          <w:sz w:val="24"/>
          <w:szCs w:val="24"/>
        </w:rPr>
        <w:t xml:space="preserve">244:114820. </w:t>
      </w:r>
      <w:r w:rsidRPr="000F304F">
        <w:rPr>
          <w:rFonts w:ascii="Arial" w:hAnsi="Arial" w:cs="Arial"/>
          <w:color w:val="0070C0"/>
          <w:sz w:val="24"/>
          <w:szCs w:val="24"/>
        </w:rPr>
        <w:t>https://doi.org/10.1016/j.ejmech.2022.114820</w:t>
      </w:r>
    </w:p>
    <w:p w14:paraId="45BF01D4" w14:textId="65B444B3"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Ocaña JA, Barragán FJ, Callejón M. Spectrofluorimetric and micelle</w:t>
      </w:r>
      <w:r w:rsidRPr="000F304F">
        <w:rPr>
          <w:rFonts w:ascii="Arial" w:hAnsi="Arial" w:cs="Arial"/>
          <w:color w:val="000000" w:themeColor="text1"/>
          <w:sz w:val="24"/>
          <w:szCs w:val="24"/>
        </w:rPr>
        <w:noBreakHyphen/>
        <w:t xml:space="preserve">enhanced spectrofluorimetric determination of gatifloxacin in human urine and serum. J Pharm Biomed Anal. </w:t>
      </w:r>
      <w:proofErr w:type="gramStart"/>
      <w:r w:rsidRPr="000F304F">
        <w:rPr>
          <w:rFonts w:ascii="Arial" w:hAnsi="Arial" w:cs="Arial"/>
          <w:color w:val="000000" w:themeColor="text1"/>
          <w:sz w:val="24"/>
          <w:szCs w:val="24"/>
        </w:rPr>
        <w:t>2005;</w:t>
      </w:r>
      <w:proofErr w:type="gramEnd"/>
      <w:r w:rsidRPr="000F304F">
        <w:rPr>
          <w:rFonts w:ascii="Arial" w:hAnsi="Arial" w:cs="Arial"/>
          <w:color w:val="000000" w:themeColor="text1"/>
          <w:sz w:val="24"/>
          <w:szCs w:val="24"/>
        </w:rPr>
        <w:t>37(2):327</w:t>
      </w:r>
      <w:r w:rsidRPr="000F304F">
        <w:rPr>
          <w:rFonts w:ascii="Arial" w:hAnsi="Arial" w:cs="Arial"/>
          <w:color w:val="000000" w:themeColor="text1"/>
          <w:sz w:val="24"/>
          <w:szCs w:val="24"/>
        </w:rPr>
        <w:noBreakHyphen/>
        <w:t xml:space="preserve">332. </w:t>
      </w:r>
      <w:hyperlink r:id="rId30" w:history="1">
        <w:r w:rsidR="0097495D" w:rsidRPr="000F304F">
          <w:rPr>
            <w:rStyle w:val="Hyperlink"/>
            <w:rFonts w:ascii="Arial" w:hAnsi="Arial" w:cs="Arial"/>
            <w:sz w:val="24"/>
            <w:szCs w:val="24"/>
            <w:u w:val="none"/>
          </w:rPr>
          <w:t>https://doi.org/10.1016/j.jpba.2004.10.027</w:t>
        </w:r>
      </w:hyperlink>
    </w:p>
    <w:p w14:paraId="501D21F0" w14:textId="5C47FDC0"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El</w:t>
      </w:r>
      <w:r w:rsidRPr="000F304F">
        <w:rPr>
          <w:rFonts w:ascii="Arial" w:hAnsi="Arial" w:cs="Arial"/>
          <w:color w:val="000000" w:themeColor="text1"/>
          <w:sz w:val="24"/>
          <w:szCs w:val="24"/>
        </w:rPr>
        <w:noBreakHyphen/>
        <w:t xml:space="preserve">Kosasy AM, Hussein LA, Sedki NG, Salama NN. Micelle enhanced and native spectrofluorimetric methods for determination of sertindole using sodium dodecyl sulfate as sensitizing agent. Spectrochim Acta A Mol Biomol Spectrosc. </w:t>
      </w:r>
      <w:proofErr w:type="gramStart"/>
      <w:r w:rsidRPr="000F304F">
        <w:rPr>
          <w:rFonts w:ascii="Arial" w:hAnsi="Arial" w:cs="Arial"/>
          <w:color w:val="000000" w:themeColor="text1"/>
          <w:sz w:val="24"/>
          <w:szCs w:val="24"/>
        </w:rPr>
        <w:t>2016;</w:t>
      </w:r>
      <w:proofErr w:type="gramEnd"/>
      <w:r w:rsidRPr="000F304F">
        <w:rPr>
          <w:rFonts w:ascii="Arial" w:hAnsi="Arial" w:cs="Arial"/>
          <w:color w:val="000000" w:themeColor="text1"/>
          <w:sz w:val="24"/>
          <w:szCs w:val="24"/>
        </w:rPr>
        <w:t>156:176</w:t>
      </w:r>
      <w:r w:rsidRPr="000F304F">
        <w:rPr>
          <w:rFonts w:ascii="Arial" w:hAnsi="Arial" w:cs="Arial"/>
          <w:color w:val="000000" w:themeColor="text1"/>
          <w:sz w:val="24"/>
          <w:szCs w:val="24"/>
        </w:rPr>
        <w:noBreakHyphen/>
        <w:t xml:space="preserve">184. </w:t>
      </w:r>
      <w:hyperlink r:id="rId31" w:history="1">
        <w:r w:rsidR="0097495D" w:rsidRPr="000F304F">
          <w:rPr>
            <w:rStyle w:val="Hyperlink"/>
            <w:rFonts w:ascii="Arial" w:hAnsi="Arial" w:cs="Arial"/>
            <w:sz w:val="24"/>
            <w:szCs w:val="24"/>
            <w:u w:val="none"/>
          </w:rPr>
          <w:t>https://doi.org/10.1016/j.saa.2015.08.040</w:t>
        </w:r>
      </w:hyperlink>
    </w:p>
    <w:p w14:paraId="48B40488" w14:textId="5EB27152"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Belal F, Sharaf El</w:t>
      </w:r>
      <w:r w:rsidRPr="000F304F">
        <w:rPr>
          <w:rFonts w:ascii="Arial" w:hAnsi="Arial" w:cs="Arial"/>
          <w:color w:val="000000" w:themeColor="text1"/>
          <w:sz w:val="24"/>
          <w:szCs w:val="24"/>
        </w:rPr>
        <w:noBreakHyphen/>
        <w:t>Din M, Tolba MM, Elmansi H, Alaa H. Micelle</w:t>
      </w:r>
      <w:r w:rsidRPr="000F304F">
        <w:rPr>
          <w:rFonts w:ascii="Arial" w:hAnsi="Arial" w:cs="Arial"/>
          <w:color w:val="000000" w:themeColor="text1"/>
          <w:sz w:val="24"/>
          <w:szCs w:val="24"/>
        </w:rPr>
        <w:noBreakHyphen/>
        <w:t xml:space="preserve">enhanced spectrofluorimetric method for determination of lacidipine in tablet </w:t>
      </w:r>
      <w:proofErr w:type="gramStart"/>
      <w:r w:rsidRPr="000F304F">
        <w:rPr>
          <w:rFonts w:ascii="Arial" w:hAnsi="Arial" w:cs="Arial"/>
          <w:color w:val="000000" w:themeColor="text1"/>
          <w:sz w:val="24"/>
          <w:szCs w:val="24"/>
        </w:rPr>
        <w:t>form;</w:t>
      </w:r>
      <w:proofErr w:type="gramEnd"/>
      <w:r w:rsidRPr="000F304F">
        <w:rPr>
          <w:rFonts w:ascii="Arial" w:hAnsi="Arial" w:cs="Arial"/>
          <w:color w:val="000000" w:themeColor="text1"/>
          <w:sz w:val="24"/>
          <w:szCs w:val="24"/>
        </w:rPr>
        <w:t xml:space="preserve"> application to content uniformity testing. Luminescence. </w:t>
      </w:r>
      <w:proofErr w:type="gramStart"/>
      <w:r w:rsidRPr="000F304F">
        <w:rPr>
          <w:rFonts w:ascii="Arial" w:hAnsi="Arial" w:cs="Arial"/>
          <w:color w:val="000000" w:themeColor="text1"/>
          <w:sz w:val="24"/>
          <w:szCs w:val="24"/>
        </w:rPr>
        <w:t>2015;</w:t>
      </w:r>
      <w:proofErr w:type="gramEnd"/>
      <w:r w:rsidRPr="000F304F">
        <w:rPr>
          <w:rFonts w:ascii="Arial" w:hAnsi="Arial" w:cs="Arial"/>
          <w:color w:val="000000" w:themeColor="text1"/>
          <w:sz w:val="24"/>
          <w:szCs w:val="24"/>
        </w:rPr>
        <w:t>30(6):805</w:t>
      </w:r>
      <w:r w:rsidRPr="000F304F">
        <w:rPr>
          <w:rFonts w:ascii="Arial" w:hAnsi="Arial" w:cs="Arial"/>
          <w:color w:val="000000" w:themeColor="text1"/>
          <w:sz w:val="24"/>
          <w:szCs w:val="24"/>
        </w:rPr>
        <w:noBreakHyphen/>
        <w:t xml:space="preserve">811. </w:t>
      </w:r>
      <w:hyperlink r:id="rId32" w:history="1">
        <w:r w:rsidR="0097495D" w:rsidRPr="000F304F">
          <w:rPr>
            <w:rStyle w:val="Hyperlink"/>
            <w:rFonts w:ascii="Arial" w:hAnsi="Arial" w:cs="Arial"/>
            <w:sz w:val="24"/>
            <w:szCs w:val="24"/>
            <w:u w:val="none"/>
          </w:rPr>
          <w:t>https://doi.org/10.1002/bio.2823</w:t>
        </w:r>
      </w:hyperlink>
    </w:p>
    <w:p w14:paraId="550FD267" w14:textId="6E657D15" w:rsidR="0097495D" w:rsidRPr="008B6F3C" w:rsidRDefault="000F304F" w:rsidP="00450E4A">
      <w:pPr>
        <w:pStyle w:val="ListParagraph"/>
        <w:numPr>
          <w:ilvl w:val="0"/>
          <w:numId w:val="31"/>
        </w:numPr>
        <w:tabs>
          <w:tab w:val="left" w:pos="142"/>
          <w:tab w:val="left" w:pos="284"/>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Salim MM, El</w:t>
      </w:r>
      <w:r w:rsidRPr="000F304F">
        <w:rPr>
          <w:rFonts w:ascii="Arial" w:hAnsi="Arial" w:cs="Arial"/>
          <w:color w:val="000000" w:themeColor="text1"/>
          <w:sz w:val="24"/>
          <w:szCs w:val="24"/>
        </w:rPr>
        <w:noBreakHyphen/>
        <w:t>Enany N, Belal F, Walash MI, Patonay G. Micelle</w:t>
      </w:r>
      <w:r w:rsidRPr="000F304F">
        <w:rPr>
          <w:rFonts w:ascii="Arial" w:hAnsi="Arial" w:cs="Arial"/>
          <w:color w:val="000000" w:themeColor="text1"/>
          <w:sz w:val="24"/>
          <w:szCs w:val="24"/>
        </w:rPr>
        <w:noBreakHyphen/>
        <w:t>enhanced spectrofluorimetric method for determination of sitagliptin and identification of potential alkaline degradation products using LC</w:t>
      </w:r>
      <w:r w:rsidRPr="000F304F">
        <w:rPr>
          <w:rFonts w:ascii="Arial" w:hAnsi="Arial" w:cs="Arial"/>
          <w:color w:val="000000" w:themeColor="text1"/>
          <w:sz w:val="24"/>
          <w:szCs w:val="24"/>
        </w:rPr>
        <w:noBreakHyphen/>
        <w:t xml:space="preserve">MS. Luminescence. </w:t>
      </w:r>
      <w:proofErr w:type="gramStart"/>
      <w:r w:rsidRPr="000F304F">
        <w:rPr>
          <w:rFonts w:ascii="Arial" w:hAnsi="Arial" w:cs="Arial"/>
          <w:color w:val="000000" w:themeColor="text1"/>
          <w:sz w:val="24"/>
          <w:szCs w:val="24"/>
        </w:rPr>
        <w:t>2014;</w:t>
      </w:r>
      <w:proofErr w:type="gramEnd"/>
      <w:r w:rsidRPr="000F304F">
        <w:rPr>
          <w:rFonts w:ascii="Arial" w:hAnsi="Arial" w:cs="Arial"/>
          <w:color w:val="000000" w:themeColor="text1"/>
          <w:sz w:val="24"/>
          <w:szCs w:val="24"/>
        </w:rPr>
        <w:t>29(1):65</w:t>
      </w:r>
      <w:r w:rsidRPr="000F304F">
        <w:rPr>
          <w:rFonts w:ascii="Arial" w:hAnsi="Arial" w:cs="Arial"/>
          <w:color w:val="000000" w:themeColor="text1"/>
          <w:sz w:val="24"/>
          <w:szCs w:val="24"/>
        </w:rPr>
        <w:noBreakHyphen/>
        <w:t xml:space="preserve">73. </w:t>
      </w:r>
      <w:hyperlink r:id="rId33" w:history="1">
        <w:r w:rsidR="0097495D" w:rsidRPr="000F304F">
          <w:rPr>
            <w:rStyle w:val="Hyperlink"/>
            <w:rFonts w:ascii="Arial" w:hAnsi="Arial" w:cs="Arial"/>
            <w:sz w:val="24"/>
            <w:szCs w:val="24"/>
            <w:u w:val="none"/>
          </w:rPr>
          <w:t>https://doi.org/10.1002/bio.2503</w:t>
        </w:r>
      </w:hyperlink>
    </w:p>
    <w:p w14:paraId="40B698F6" w14:textId="613E5E54"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Abdel</w:t>
      </w:r>
      <w:r w:rsidRPr="000F304F">
        <w:rPr>
          <w:rFonts w:ascii="Arial" w:hAnsi="Arial" w:cs="Arial"/>
          <w:color w:val="000000" w:themeColor="text1"/>
          <w:sz w:val="24"/>
          <w:szCs w:val="24"/>
        </w:rPr>
        <w:noBreakHyphen/>
        <w:t>Maaboud I Mohamed I, Omar MA, Hammad MA, Mohamed AA. Spectrofluorimetric and micelle</w:t>
      </w:r>
      <w:r w:rsidRPr="000F304F">
        <w:rPr>
          <w:rFonts w:ascii="Arial" w:hAnsi="Arial" w:cs="Arial"/>
          <w:color w:val="000000" w:themeColor="text1"/>
          <w:sz w:val="24"/>
          <w:szCs w:val="24"/>
        </w:rPr>
        <w:noBreakHyphen/>
        <w:t xml:space="preserve">enhanced spectrofluorimetric methods for determination of Felodipine and Nimodipine in pharmaceutical preparations and human plasma. Spectrochim Acta A Mol Biomol Spectrosc. </w:t>
      </w:r>
      <w:proofErr w:type="gramStart"/>
      <w:r w:rsidRPr="000F304F">
        <w:rPr>
          <w:rFonts w:ascii="Arial" w:hAnsi="Arial" w:cs="Arial"/>
          <w:color w:val="000000" w:themeColor="text1"/>
          <w:sz w:val="24"/>
          <w:szCs w:val="24"/>
        </w:rPr>
        <w:t>2015;</w:t>
      </w:r>
      <w:proofErr w:type="gramEnd"/>
      <w:r w:rsidRPr="000F304F">
        <w:rPr>
          <w:rFonts w:ascii="Arial" w:hAnsi="Arial" w:cs="Arial"/>
          <w:color w:val="000000" w:themeColor="text1"/>
          <w:sz w:val="24"/>
          <w:szCs w:val="24"/>
        </w:rPr>
        <w:t>149:934</w:t>
      </w:r>
      <w:r w:rsidRPr="000F304F">
        <w:rPr>
          <w:rFonts w:ascii="Arial" w:hAnsi="Arial" w:cs="Arial"/>
          <w:color w:val="000000" w:themeColor="text1"/>
          <w:sz w:val="24"/>
          <w:szCs w:val="24"/>
        </w:rPr>
        <w:noBreakHyphen/>
        <w:t xml:space="preserve">940. </w:t>
      </w:r>
      <w:hyperlink r:id="rId34" w:history="1">
        <w:r w:rsidR="0097495D" w:rsidRPr="000F304F">
          <w:rPr>
            <w:rStyle w:val="Hyperlink"/>
            <w:rFonts w:ascii="Arial" w:hAnsi="Arial" w:cs="Arial"/>
            <w:sz w:val="24"/>
            <w:szCs w:val="24"/>
            <w:u w:val="none"/>
          </w:rPr>
          <w:t>https://doi.org/10.1016/j.saa.2015.05.026</w:t>
        </w:r>
      </w:hyperlink>
    </w:p>
    <w:p w14:paraId="1BE694E7" w14:textId="5310EC24"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Magdy G, Belal FF, Abdel</w:t>
      </w:r>
      <w:r w:rsidRPr="000F304F">
        <w:rPr>
          <w:rFonts w:ascii="Arial" w:hAnsi="Arial" w:cs="Arial"/>
          <w:color w:val="000000" w:themeColor="text1"/>
          <w:sz w:val="24"/>
          <w:szCs w:val="24"/>
        </w:rPr>
        <w:noBreakHyphen/>
        <w:t>Megied AM, Abdel Hakiem AF. Micelle</w:t>
      </w:r>
      <w:r w:rsidRPr="000F304F">
        <w:rPr>
          <w:rFonts w:ascii="Arial" w:hAnsi="Arial" w:cs="Arial"/>
          <w:color w:val="000000" w:themeColor="text1"/>
          <w:sz w:val="24"/>
          <w:szCs w:val="24"/>
        </w:rPr>
        <w:noBreakHyphen/>
        <w:t xml:space="preserve">enhanced conventional and synchronous spectrofluorimetric methods for the simultaneous determination of lesinurad and </w:t>
      </w:r>
      <w:proofErr w:type="gramStart"/>
      <w:r w:rsidRPr="000F304F">
        <w:rPr>
          <w:rFonts w:ascii="Arial" w:hAnsi="Arial" w:cs="Arial"/>
          <w:color w:val="000000" w:themeColor="text1"/>
          <w:sz w:val="24"/>
          <w:szCs w:val="24"/>
        </w:rPr>
        <w:t>febuxostat:</w:t>
      </w:r>
      <w:proofErr w:type="gramEnd"/>
      <w:r w:rsidRPr="000F304F">
        <w:rPr>
          <w:rFonts w:ascii="Arial" w:hAnsi="Arial" w:cs="Arial"/>
          <w:color w:val="000000" w:themeColor="text1"/>
          <w:sz w:val="24"/>
          <w:szCs w:val="24"/>
        </w:rPr>
        <w:t xml:space="preserve"> application to human plasma. Spectrochim </w:t>
      </w:r>
      <w:r w:rsidRPr="000F304F">
        <w:rPr>
          <w:rFonts w:ascii="Arial" w:hAnsi="Arial" w:cs="Arial"/>
          <w:color w:val="000000" w:themeColor="text1"/>
          <w:sz w:val="24"/>
          <w:szCs w:val="24"/>
        </w:rPr>
        <w:lastRenderedPageBreak/>
        <w:t xml:space="preserve">Acta A Mol Biomol Spectrosc. </w:t>
      </w:r>
      <w:proofErr w:type="gramStart"/>
      <w:r w:rsidRPr="000F304F">
        <w:rPr>
          <w:rFonts w:ascii="Arial" w:hAnsi="Arial" w:cs="Arial"/>
          <w:color w:val="000000" w:themeColor="text1"/>
          <w:sz w:val="24"/>
          <w:szCs w:val="24"/>
        </w:rPr>
        <w:t>2021;</w:t>
      </w:r>
      <w:proofErr w:type="gramEnd"/>
      <w:r w:rsidRPr="000F304F">
        <w:rPr>
          <w:rFonts w:ascii="Arial" w:hAnsi="Arial" w:cs="Arial"/>
          <w:color w:val="000000" w:themeColor="text1"/>
          <w:sz w:val="24"/>
          <w:szCs w:val="24"/>
        </w:rPr>
        <w:t xml:space="preserve">248:119239. </w:t>
      </w:r>
      <w:hyperlink r:id="rId35" w:history="1">
        <w:r w:rsidR="0097495D" w:rsidRPr="000F304F">
          <w:rPr>
            <w:rStyle w:val="Hyperlink"/>
            <w:rFonts w:ascii="Arial" w:hAnsi="Arial" w:cs="Arial"/>
            <w:sz w:val="24"/>
            <w:szCs w:val="24"/>
            <w:u w:val="none"/>
          </w:rPr>
          <w:t>https://doi.org/10.1016/j.saa.2020.119239</w:t>
        </w:r>
      </w:hyperlink>
    </w:p>
    <w:p w14:paraId="20521658" w14:textId="2478EBA4"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 xml:space="preserve">Claude B, Nehmé R, Morin P. Analysis of urinary neurotransmitters by capillary </w:t>
      </w:r>
      <w:proofErr w:type="gramStart"/>
      <w:r w:rsidRPr="000F304F">
        <w:rPr>
          <w:rFonts w:ascii="Arial" w:hAnsi="Arial" w:cs="Arial"/>
          <w:color w:val="000000" w:themeColor="text1"/>
          <w:sz w:val="24"/>
          <w:szCs w:val="24"/>
        </w:rPr>
        <w:t>electrophoresis:</w:t>
      </w:r>
      <w:proofErr w:type="gramEnd"/>
      <w:r w:rsidRPr="000F304F">
        <w:rPr>
          <w:rFonts w:ascii="Arial" w:hAnsi="Arial" w:cs="Arial"/>
          <w:color w:val="000000" w:themeColor="text1"/>
          <w:sz w:val="24"/>
          <w:szCs w:val="24"/>
        </w:rPr>
        <w:t xml:space="preserve"> use of field</w:t>
      </w:r>
      <w:r w:rsidRPr="000F304F">
        <w:rPr>
          <w:rFonts w:ascii="Arial" w:hAnsi="Arial" w:cs="Arial"/>
          <w:color w:val="000000" w:themeColor="text1"/>
          <w:sz w:val="24"/>
          <w:szCs w:val="24"/>
        </w:rPr>
        <w:noBreakHyphen/>
        <w:t xml:space="preserve">amplified sample injection and molecular imprinted polymer solid phase extraction. Anal Chim Acta. </w:t>
      </w:r>
      <w:proofErr w:type="gramStart"/>
      <w:r w:rsidRPr="000F304F">
        <w:rPr>
          <w:rFonts w:ascii="Arial" w:hAnsi="Arial" w:cs="Arial"/>
          <w:color w:val="000000" w:themeColor="text1"/>
          <w:sz w:val="24"/>
          <w:szCs w:val="24"/>
        </w:rPr>
        <w:t>2011;</w:t>
      </w:r>
      <w:proofErr w:type="gramEnd"/>
      <w:r w:rsidRPr="000F304F">
        <w:rPr>
          <w:rFonts w:ascii="Arial" w:hAnsi="Arial" w:cs="Arial"/>
          <w:color w:val="000000" w:themeColor="text1"/>
          <w:sz w:val="24"/>
          <w:szCs w:val="24"/>
        </w:rPr>
        <w:t>699(2):242</w:t>
      </w:r>
      <w:r w:rsidRPr="000F304F">
        <w:rPr>
          <w:rFonts w:ascii="Arial" w:hAnsi="Arial" w:cs="Arial"/>
          <w:color w:val="000000" w:themeColor="text1"/>
          <w:sz w:val="24"/>
          <w:szCs w:val="24"/>
        </w:rPr>
        <w:noBreakHyphen/>
        <w:t xml:space="preserve">248. </w:t>
      </w:r>
      <w:hyperlink r:id="rId36" w:history="1">
        <w:r w:rsidR="0097495D" w:rsidRPr="000F304F">
          <w:rPr>
            <w:rStyle w:val="Hyperlink"/>
            <w:rFonts w:ascii="Arial" w:hAnsi="Arial" w:cs="Arial"/>
            <w:sz w:val="24"/>
            <w:szCs w:val="24"/>
            <w:u w:val="none"/>
          </w:rPr>
          <w:t>https://doi.org/10.1016/j.aca.2011.05.014</w:t>
        </w:r>
      </w:hyperlink>
    </w:p>
    <w:p w14:paraId="18B5A58F" w14:textId="3C909024"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Soleymani J, Hamzehloo A, Razzaghi</w:t>
      </w:r>
      <w:r w:rsidRPr="000F304F">
        <w:rPr>
          <w:rFonts w:ascii="Arial" w:hAnsi="Arial" w:cs="Arial"/>
          <w:color w:val="000000" w:themeColor="text1"/>
          <w:sz w:val="24"/>
          <w:szCs w:val="24"/>
        </w:rPr>
        <w:noBreakHyphen/>
        <w:t xml:space="preserve">Asl N. Advanced materials for optical sensing of </w:t>
      </w:r>
      <w:proofErr w:type="gramStart"/>
      <w:r w:rsidRPr="000F304F">
        <w:rPr>
          <w:rFonts w:ascii="Arial" w:hAnsi="Arial" w:cs="Arial"/>
          <w:color w:val="000000" w:themeColor="text1"/>
          <w:sz w:val="24"/>
          <w:szCs w:val="24"/>
        </w:rPr>
        <w:t>neurotransmitters:</w:t>
      </w:r>
      <w:proofErr w:type="gramEnd"/>
      <w:r w:rsidRPr="000F304F">
        <w:rPr>
          <w:rFonts w:ascii="Arial" w:hAnsi="Arial" w:cs="Arial"/>
          <w:color w:val="000000" w:themeColor="text1"/>
          <w:sz w:val="24"/>
          <w:szCs w:val="24"/>
        </w:rPr>
        <w:t xml:space="preserve"> trends and analytical performance. Trends Anal Chem. </w:t>
      </w:r>
      <w:proofErr w:type="gramStart"/>
      <w:r w:rsidRPr="000F304F">
        <w:rPr>
          <w:rFonts w:ascii="Arial" w:hAnsi="Arial" w:cs="Arial"/>
          <w:color w:val="000000" w:themeColor="text1"/>
          <w:sz w:val="24"/>
          <w:szCs w:val="24"/>
        </w:rPr>
        <w:t>2023;</w:t>
      </w:r>
      <w:proofErr w:type="gramEnd"/>
      <w:r w:rsidRPr="000F304F">
        <w:rPr>
          <w:rFonts w:ascii="Arial" w:hAnsi="Arial" w:cs="Arial"/>
          <w:color w:val="000000" w:themeColor="text1"/>
          <w:sz w:val="24"/>
          <w:szCs w:val="24"/>
        </w:rPr>
        <w:t>72:27</w:t>
      </w:r>
      <w:r w:rsidRPr="000F304F">
        <w:rPr>
          <w:rFonts w:ascii="Arial" w:hAnsi="Arial" w:cs="Arial"/>
          <w:color w:val="000000" w:themeColor="text1"/>
          <w:sz w:val="24"/>
          <w:szCs w:val="24"/>
        </w:rPr>
        <w:noBreakHyphen/>
        <w:t xml:space="preserve">44. </w:t>
      </w:r>
    </w:p>
    <w:p w14:paraId="3D2B7A74" w14:textId="5A62886F"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Yan J, Kuzhiumparambil U, Bandodkar S, Solowij N, Fu S. Comparison of LC</w:t>
      </w:r>
      <w:r w:rsidRPr="000F304F">
        <w:rPr>
          <w:rFonts w:ascii="Arial" w:hAnsi="Arial" w:cs="Arial"/>
          <w:color w:val="000000" w:themeColor="text1"/>
          <w:sz w:val="24"/>
          <w:szCs w:val="24"/>
        </w:rPr>
        <w:noBreakHyphen/>
        <w:t xml:space="preserve">MS/MS and other sensitive analytical techniques for urinary </w:t>
      </w:r>
      <w:proofErr w:type="gramStart"/>
      <w:r w:rsidRPr="000F304F">
        <w:rPr>
          <w:rFonts w:ascii="Arial" w:hAnsi="Arial" w:cs="Arial"/>
          <w:color w:val="000000" w:themeColor="text1"/>
          <w:sz w:val="24"/>
          <w:szCs w:val="24"/>
        </w:rPr>
        <w:t>neurotransmitters:</w:t>
      </w:r>
      <w:proofErr w:type="gramEnd"/>
      <w:r w:rsidRPr="000F304F">
        <w:rPr>
          <w:rFonts w:ascii="Arial" w:hAnsi="Arial" w:cs="Arial"/>
          <w:color w:val="000000" w:themeColor="text1"/>
          <w:sz w:val="24"/>
          <w:szCs w:val="24"/>
        </w:rPr>
        <w:t xml:space="preserve"> implications for clinical bioanalysis. Anal Bioanal Chem. </w:t>
      </w:r>
      <w:proofErr w:type="gramStart"/>
      <w:r w:rsidRPr="000F304F">
        <w:rPr>
          <w:rFonts w:ascii="Arial" w:hAnsi="Arial" w:cs="Arial"/>
          <w:color w:val="000000" w:themeColor="text1"/>
          <w:sz w:val="24"/>
          <w:szCs w:val="24"/>
        </w:rPr>
        <w:t>2017;</w:t>
      </w:r>
      <w:proofErr w:type="gramEnd"/>
      <w:r w:rsidRPr="000F304F">
        <w:rPr>
          <w:rFonts w:ascii="Arial" w:hAnsi="Arial" w:cs="Arial"/>
          <w:color w:val="000000" w:themeColor="text1"/>
          <w:sz w:val="24"/>
          <w:szCs w:val="24"/>
        </w:rPr>
        <w:t>409:7191</w:t>
      </w:r>
      <w:r w:rsidRPr="000F304F">
        <w:rPr>
          <w:rFonts w:ascii="Arial" w:hAnsi="Arial" w:cs="Arial"/>
          <w:color w:val="000000" w:themeColor="text1"/>
          <w:sz w:val="24"/>
          <w:szCs w:val="24"/>
        </w:rPr>
        <w:noBreakHyphen/>
        <w:t xml:space="preserve">7199. </w:t>
      </w:r>
      <w:hyperlink r:id="rId37" w:history="1">
        <w:r w:rsidR="0097495D" w:rsidRPr="000F304F">
          <w:rPr>
            <w:rStyle w:val="Hyperlink"/>
            <w:rFonts w:ascii="Arial" w:hAnsi="Arial" w:cs="Arial"/>
            <w:sz w:val="24"/>
            <w:szCs w:val="24"/>
            <w:u w:val="none"/>
          </w:rPr>
          <w:t>https://doi.org/10.1007/s00216</w:t>
        </w:r>
        <w:r w:rsidR="0097495D" w:rsidRPr="000F304F">
          <w:rPr>
            <w:rStyle w:val="Hyperlink"/>
            <w:rFonts w:ascii="Arial" w:hAnsi="Arial" w:cs="Arial"/>
            <w:sz w:val="24"/>
            <w:szCs w:val="24"/>
            <w:u w:val="none"/>
          </w:rPr>
          <w:noBreakHyphen/>
          <w:t>017</w:t>
        </w:r>
        <w:r w:rsidR="0097495D" w:rsidRPr="000F304F">
          <w:rPr>
            <w:rStyle w:val="Hyperlink"/>
            <w:rFonts w:ascii="Arial" w:hAnsi="Arial" w:cs="Arial"/>
            <w:sz w:val="24"/>
            <w:szCs w:val="24"/>
            <w:u w:val="none"/>
          </w:rPr>
          <w:noBreakHyphen/>
          <w:t>0681</w:t>
        </w:r>
        <w:r w:rsidR="0097495D" w:rsidRPr="000F304F">
          <w:rPr>
            <w:rStyle w:val="Hyperlink"/>
            <w:rFonts w:ascii="Arial" w:hAnsi="Arial" w:cs="Arial"/>
            <w:sz w:val="24"/>
            <w:szCs w:val="24"/>
            <w:u w:val="none"/>
          </w:rPr>
          <w:noBreakHyphen/>
          <w:t>3</w:t>
        </w:r>
      </w:hyperlink>
    </w:p>
    <w:p w14:paraId="4FC9922E"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Waters Corporation. Advances in mixed</w:t>
      </w:r>
      <w:r w:rsidRPr="000F304F">
        <w:rPr>
          <w:rFonts w:ascii="Arial" w:hAnsi="Arial" w:cs="Arial"/>
          <w:color w:val="000000" w:themeColor="text1"/>
          <w:sz w:val="24"/>
          <w:szCs w:val="24"/>
        </w:rPr>
        <w:noBreakHyphen/>
        <w:t>mode SPE and high</w:t>
      </w:r>
      <w:r w:rsidRPr="000F304F">
        <w:rPr>
          <w:rFonts w:ascii="Arial" w:hAnsi="Arial" w:cs="Arial"/>
          <w:color w:val="000000" w:themeColor="text1"/>
          <w:sz w:val="24"/>
          <w:szCs w:val="24"/>
        </w:rPr>
        <w:noBreakHyphen/>
        <w:t xml:space="preserve">strength silica columns for urinary analyte determination. Waters Tech Note. 2014. </w:t>
      </w:r>
      <w:hyperlink r:id="rId38" w:tgtFrame="_new" w:history="1">
        <w:r w:rsidRPr="000F304F">
          <w:rPr>
            <w:rStyle w:val="Hyperlink"/>
            <w:rFonts w:ascii="Arial" w:hAnsi="Arial" w:cs="Arial"/>
            <w:sz w:val="24"/>
            <w:szCs w:val="24"/>
          </w:rPr>
          <w:t>https://www.waters.com</w:t>
        </w:r>
      </w:hyperlink>
    </w:p>
    <w:p w14:paraId="3FDBC92F"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 xml:space="preserve">Peng Q, Jiang C, Effects of micellar environments on fluorescence and analytical sensitivity in biological matrices. J Fluoresc. </w:t>
      </w:r>
      <w:proofErr w:type="gramStart"/>
      <w:r w:rsidRPr="000F304F">
        <w:rPr>
          <w:rFonts w:ascii="Arial" w:hAnsi="Arial" w:cs="Arial"/>
          <w:color w:val="000000" w:themeColor="text1"/>
          <w:sz w:val="24"/>
          <w:szCs w:val="24"/>
        </w:rPr>
        <w:t>2007;</w:t>
      </w:r>
      <w:proofErr w:type="gramEnd"/>
      <w:r w:rsidRPr="000F304F">
        <w:rPr>
          <w:rFonts w:ascii="Arial" w:hAnsi="Arial" w:cs="Arial"/>
          <w:color w:val="000000" w:themeColor="text1"/>
          <w:sz w:val="24"/>
          <w:szCs w:val="24"/>
        </w:rPr>
        <w:t>17(3):339</w:t>
      </w:r>
      <w:r w:rsidRPr="000F304F">
        <w:rPr>
          <w:rFonts w:ascii="Arial" w:hAnsi="Arial" w:cs="Arial"/>
          <w:color w:val="000000" w:themeColor="text1"/>
          <w:sz w:val="24"/>
          <w:szCs w:val="24"/>
        </w:rPr>
        <w:noBreakHyphen/>
        <w:t xml:space="preserve">343. </w:t>
      </w:r>
      <w:hyperlink r:id="rId39" w:history="1">
        <w:r w:rsidR="0097495D" w:rsidRPr="000F304F">
          <w:rPr>
            <w:rStyle w:val="Hyperlink"/>
            <w:rFonts w:ascii="Arial" w:hAnsi="Arial" w:cs="Arial"/>
            <w:sz w:val="24"/>
            <w:szCs w:val="24"/>
            <w:u w:val="none"/>
          </w:rPr>
          <w:t>https://doi.org/10.1007/s10895</w:t>
        </w:r>
        <w:r w:rsidR="0097495D" w:rsidRPr="000F304F">
          <w:rPr>
            <w:rStyle w:val="Hyperlink"/>
            <w:rFonts w:ascii="Arial" w:hAnsi="Arial" w:cs="Arial"/>
            <w:sz w:val="24"/>
            <w:szCs w:val="24"/>
            <w:u w:val="none"/>
          </w:rPr>
          <w:noBreakHyphen/>
          <w:t>007</w:t>
        </w:r>
        <w:r w:rsidR="0097495D" w:rsidRPr="000F304F">
          <w:rPr>
            <w:rStyle w:val="Hyperlink"/>
            <w:rFonts w:ascii="Arial" w:hAnsi="Arial" w:cs="Arial"/>
            <w:sz w:val="24"/>
            <w:szCs w:val="24"/>
            <w:u w:val="none"/>
          </w:rPr>
          <w:noBreakHyphen/>
          <w:t>0177</w:t>
        </w:r>
        <w:r w:rsidR="0097495D" w:rsidRPr="000F304F">
          <w:rPr>
            <w:rStyle w:val="Hyperlink"/>
            <w:rFonts w:ascii="Arial" w:hAnsi="Arial" w:cs="Arial"/>
            <w:sz w:val="24"/>
            <w:szCs w:val="24"/>
            <w:u w:val="none"/>
          </w:rPr>
          <w:noBreakHyphen/>
          <w:t>1</w:t>
        </w:r>
      </w:hyperlink>
    </w:p>
    <w:p w14:paraId="25A96786" w14:textId="107E9AF5"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 xml:space="preserve">Khonté A, Thiaré DD, Diop C, Cissé L, Delattre F, Coly A. Fluorescence optimization factors for serotonin analysis in </w:t>
      </w:r>
      <w:proofErr w:type="gramStart"/>
      <w:r w:rsidRPr="000F304F">
        <w:rPr>
          <w:rFonts w:ascii="Arial" w:hAnsi="Arial" w:cs="Arial"/>
          <w:color w:val="000000" w:themeColor="text1"/>
          <w:sz w:val="24"/>
          <w:szCs w:val="24"/>
        </w:rPr>
        <w:t>urine;</w:t>
      </w:r>
      <w:proofErr w:type="gramEnd"/>
      <w:r w:rsidRPr="000F304F">
        <w:rPr>
          <w:rFonts w:ascii="Arial" w:hAnsi="Arial" w:cs="Arial"/>
          <w:color w:val="000000" w:themeColor="text1"/>
          <w:sz w:val="24"/>
          <w:szCs w:val="24"/>
        </w:rPr>
        <w:t xml:space="preserve"> effects of pH and salts on signal enhancement and matrix effects. Int J Chem. </w:t>
      </w:r>
      <w:proofErr w:type="gramStart"/>
      <w:r w:rsidRPr="000F304F">
        <w:rPr>
          <w:rFonts w:ascii="Arial" w:hAnsi="Arial" w:cs="Arial"/>
          <w:color w:val="000000" w:themeColor="text1"/>
          <w:sz w:val="24"/>
          <w:szCs w:val="24"/>
        </w:rPr>
        <w:t>2015;</w:t>
      </w:r>
      <w:proofErr w:type="gramEnd"/>
      <w:r w:rsidRPr="000F304F">
        <w:rPr>
          <w:rFonts w:ascii="Arial" w:hAnsi="Arial" w:cs="Arial"/>
          <w:color w:val="000000" w:themeColor="text1"/>
          <w:sz w:val="24"/>
          <w:szCs w:val="24"/>
        </w:rPr>
        <w:t>7:85</w:t>
      </w:r>
      <w:r w:rsidRPr="000F304F">
        <w:rPr>
          <w:rFonts w:ascii="Arial" w:hAnsi="Arial" w:cs="Arial"/>
          <w:color w:val="000000" w:themeColor="text1"/>
          <w:sz w:val="24"/>
          <w:szCs w:val="24"/>
        </w:rPr>
        <w:noBreakHyphen/>
        <w:t xml:space="preserve">93. </w:t>
      </w:r>
      <w:hyperlink r:id="rId40" w:history="1">
        <w:r w:rsidR="0097495D" w:rsidRPr="000F304F">
          <w:rPr>
            <w:rStyle w:val="Hyperlink"/>
            <w:rFonts w:ascii="Arial" w:hAnsi="Arial" w:cs="Arial"/>
            <w:sz w:val="24"/>
            <w:szCs w:val="24"/>
            <w:u w:val="none"/>
          </w:rPr>
          <w:t>https://doi.org/10.5539/ijc.v7n2p85</w:t>
        </w:r>
      </w:hyperlink>
    </w:p>
    <w:p w14:paraId="3BA3BD52"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 xml:space="preserve">International Conference on Harmonisation. ICH Q2(R1) Validation of Analytical </w:t>
      </w:r>
      <w:proofErr w:type="gramStart"/>
      <w:r w:rsidRPr="000F304F">
        <w:rPr>
          <w:rFonts w:ascii="Arial" w:hAnsi="Arial" w:cs="Arial"/>
          <w:color w:val="000000" w:themeColor="text1"/>
          <w:sz w:val="24"/>
          <w:szCs w:val="24"/>
        </w:rPr>
        <w:t>Procedures:</w:t>
      </w:r>
      <w:proofErr w:type="gramEnd"/>
      <w:r w:rsidRPr="000F304F">
        <w:rPr>
          <w:rFonts w:ascii="Arial" w:hAnsi="Arial" w:cs="Arial"/>
          <w:color w:val="000000" w:themeColor="text1"/>
          <w:sz w:val="24"/>
          <w:szCs w:val="24"/>
        </w:rPr>
        <w:t xml:space="preserve"> Text and Methodology. </w:t>
      </w:r>
      <w:proofErr w:type="gramStart"/>
      <w:r w:rsidRPr="000F304F">
        <w:rPr>
          <w:rFonts w:ascii="Arial" w:hAnsi="Arial" w:cs="Arial"/>
          <w:color w:val="000000" w:themeColor="text1"/>
          <w:sz w:val="24"/>
          <w:szCs w:val="24"/>
        </w:rPr>
        <w:t>Geneva:</w:t>
      </w:r>
      <w:proofErr w:type="gramEnd"/>
      <w:r w:rsidRPr="000F304F">
        <w:rPr>
          <w:rFonts w:ascii="Arial" w:hAnsi="Arial" w:cs="Arial"/>
          <w:color w:val="000000" w:themeColor="text1"/>
          <w:sz w:val="24"/>
          <w:szCs w:val="24"/>
        </w:rPr>
        <w:t xml:space="preserve"> ICH; 2005. </w:t>
      </w:r>
      <w:hyperlink r:id="rId41" w:tgtFrame="_new" w:history="1">
        <w:r w:rsidRPr="000F304F">
          <w:rPr>
            <w:rStyle w:val="Hyperlink"/>
            <w:rFonts w:ascii="Arial" w:hAnsi="Arial" w:cs="Arial"/>
            <w:sz w:val="24"/>
            <w:szCs w:val="24"/>
          </w:rPr>
          <w:t>https://www.ich.org</w:t>
        </w:r>
      </w:hyperlink>
    </w:p>
    <w:p w14:paraId="2FA75AC9"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 xml:space="preserve">Lakowicz JR. Principles of Fluorescence Spectroscopy. 3rd ed. </w:t>
      </w:r>
      <w:proofErr w:type="gramStart"/>
      <w:r w:rsidRPr="000F304F">
        <w:rPr>
          <w:rFonts w:ascii="Arial" w:hAnsi="Arial" w:cs="Arial"/>
          <w:color w:val="000000" w:themeColor="text1"/>
          <w:sz w:val="24"/>
          <w:szCs w:val="24"/>
        </w:rPr>
        <w:t>Springer;</w:t>
      </w:r>
      <w:proofErr w:type="gramEnd"/>
      <w:r w:rsidRPr="000F304F">
        <w:rPr>
          <w:rFonts w:ascii="Arial" w:hAnsi="Arial" w:cs="Arial"/>
          <w:color w:val="000000" w:themeColor="text1"/>
          <w:sz w:val="24"/>
          <w:szCs w:val="24"/>
        </w:rPr>
        <w:t xml:space="preserve"> 2006. </w:t>
      </w:r>
      <w:hyperlink r:id="rId42" w:tgtFrame="_new" w:history="1">
        <w:r w:rsidRPr="000F304F">
          <w:rPr>
            <w:rStyle w:val="Hyperlink"/>
            <w:rFonts w:ascii="Arial" w:hAnsi="Arial" w:cs="Arial"/>
            <w:sz w:val="24"/>
            <w:szCs w:val="24"/>
            <w:u w:val="none"/>
          </w:rPr>
          <w:t>https://www.springer.com</w:t>
        </w:r>
      </w:hyperlink>
    </w:p>
    <w:p w14:paraId="60444700"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Valeur B, Berberan</w:t>
      </w:r>
      <w:r w:rsidRPr="000F304F">
        <w:rPr>
          <w:rFonts w:ascii="Arial" w:hAnsi="Arial" w:cs="Arial"/>
          <w:color w:val="000000" w:themeColor="text1"/>
          <w:sz w:val="24"/>
          <w:szCs w:val="24"/>
        </w:rPr>
        <w:noBreakHyphen/>
        <w:t xml:space="preserve">Santos MN. Molecular </w:t>
      </w:r>
      <w:proofErr w:type="gramStart"/>
      <w:r w:rsidRPr="000F304F">
        <w:rPr>
          <w:rFonts w:ascii="Arial" w:hAnsi="Arial" w:cs="Arial"/>
          <w:color w:val="000000" w:themeColor="text1"/>
          <w:sz w:val="24"/>
          <w:szCs w:val="24"/>
        </w:rPr>
        <w:t>Fluorescence:</w:t>
      </w:r>
      <w:proofErr w:type="gramEnd"/>
      <w:r w:rsidRPr="000F304F">
        <w:rPr>
          <w:rFonts w:ascii="Arial" w:hAnsi="Arial" w:cs="Arial"/>
          <w:color w:val="000000" w:themeColor="text1"/>
          <w:sz w:val="24"/>
          <w:szCs w:val="24"/>
        </w:rPr>
        <w:t xml:space="preserve"> Principles and Applications. 2nd ed. Wiley</w:t>
      </w:r>
      <w:r w:rsidRPr="000F304F">
        <w:rPr>
          <w:rFonts w:ascii="Arial" w:hAnsi="Arial" w:cs="Arial"/>
          <w:color w:val="000000" w:themeColor="text1"/>
          <w:sz w:val="24"/>
          <w:szCs w:val="24"/>
        </w:rPr>
        <w:noBreakHyphen/>
      </w:r>
      <w:proofErr w:type="gramStart"/>
      <w:r w:rsidRPr="000F304F">
        <w:rPr>
          <w:rFonts w:ascii="Arial" w:hAnsi="Arial" w:cs="Arial"/>
          <w:color w:val="000000" w:themeColor="text1"/>
          <w:sz w:val="24"/>
          <w:szCs w:val="24"/>
        </w:rPr>
        <w:t>VCH;</w:t>
      </w:r>
      <w:proofErr w:type="gramEnd"/>
      <w:r w:rsidRPr="000F304F">
        <w:rPr>
          <w:rFonts w:ascii="Arial" w:hAnsi="Arial" w:cs="Arial"/>
          <w:color w:val="000000" w:themeColor="text1"/>
          <w:sz w:val="24"/>
          <w:szCs w:val="24"/>
        </w:rPr>
        <w:t xml:space="preserve"> 2012. </w:t>
      </w:r>
      <w:hyperlink r:id="rId43" w:tgtFrame="_new" w:history="1">
        <w:r w:rsidRPr="000F304F">
          <w:rPr>
            <w:rStyle w:val="Hyperlink"/>
            <w:rFonts w:ascii="Arial" w:hAnsi="Arial" w:cs="Arial"/>
            <w:sz w:val="24"/>
            <w:szCs w:val="24"/>
            <w:u w:val="none"/>
          </w:rPr>
          <w:t>https://www.wiley.com</w:t>
        </w:r>
      </w:hyperlink>
    </w:p>
    <w:p w14:paraId="3C651EB9" w14:textId="78B9C3DE"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 xml:space="preserve">Darwish HW. Micellar enhanced spectrofluorimetric methods for pharmaceutical </w:t>
      </w:r>
      <w:proofErr w:type="gramStart"/>
      <w:r w:rsidRPr="000F304F">
        <w:rPr>
          <w:rFonts w:ascii="Arial" w:hAnsi="Arial" w:cs="Arial"/>
          <w:color w:val="000000" w:themeColor="text1"/>
          <w:sz w:val="24"/>
          <w:szCs w:val="24"/>
        </w:rPr>
        <w:t>analysis:</w:t>
      </w:r>
      <w:proofErr w:type="gramEnd"/>
      <w:r w:rsidRPr="000F304F">
        <w:rPr>
          <w:rFonts w:ascii="Arial" w:hAnsi="Arial" w:cs="Arial"/>
          <w:color w:val="000000" w:themeColor="text1"/>
          <w:sz w:val="24"/>
          <w:szCs w:val="24"/>
        </w:rPr>
        <w:t xml:space="preserve"> current status and trends. Anal Chim Acta. </w:t>
      </w:r>
      <w:proofErr w:type="gramStart"/>
      <w:r w:rsidRPr="000F304F">
        <w:rPr>
          <w:rFonts w:ascii="Arial" w:hAnsi="Arial" w:cs="Arial"/>
          <w:color w:val="000000" w:themeColor="text1"/>
          <w:sz w:val="24"/>
          <w:szCs w:val="24"/>
        </w:rPr>
        <w:t>2021;</w:t>
      </w:r>
      <w:proofErr w:type="gramEnd"/>
      <w:r w:rsidRPr="000F304F">
        <w:rPr>
          <w:rFonts w:ascii="Arial" w:hAnsi="Arial" w:cs="Arial"/>
          <w:color w:val="000000" w:themeColor="text1"/>
          <w:sz w:val="24"/>
          <w:szCs w:val="24"/>
        </w:rPr>
        <w:t xml:space="preserve">1158:338451. </w:t>
      </w:r>
      <w:hyperlink r:id="rId44" w:history="1">
        <w:r w:rsidR="0097495D" w:rsidRPr="000F304F">
          <w:rPr>
            <w:rStyle w:val="Hyperlink"/>
            <w:rFonts w:ascii="Arial" w:hAnsi="Arial" w:cs="Arial"/>
            <w:sz w:val="24"/>
            <w:szCs w:val="24"/>
            <w:u w:val="none"/>
          </w:rPr>
          <w:t>https://doi.org/10.1016/j.aca.2021.338451</w:t>
        </w:r>
      </w:hyperlink>
    </w:p>
    <w:p w14:paraId="112FC2FB" w14:textId="43CD6B7E"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lastRenderedPageBreak/>
        <w:t>Khoder MIM, Belal F, El</w:t>
      </w:r>
      <w:r w:rsidRPr="000F304F">
        <w:rPr>
          <w:rFonts w:ascii="Arial" w:hAnsi="Arial" w:cs="Arial"/>
          <w:color w:val="000000" w:themeColor="text1"/>
          <w:sz w:val="24"/>
          <w:szCs w:val="24"/>
        </w:rPr>
        <w:noBreakHyphen/>
        <w:t xml:space="preserve">Kosasy AM. Recent applications of micellar spectrofluorimetry in drug analysis. J Fluoresc. </w:t>
      </w:r>
      <w:proofErr w:type="gramStart"/>
      <w:r w:rsidRPr="000F304F">
        <w:rPr>
          <w:rFonts w:ascii="Arial" w:hAnsi="Arial" w:cs="Arial"/>
          <w:color w:val="000000" w:themeColor="text1"/>
          <w:sz w:val="24"/>
          <w:szCs w:val="24"/>
        </w:rPr>
        <w:t>2022;</w:t>
      </w:r>
      <w:proofErr w:type="gramEnd"/>
      <w:r w:rsidRPr="000F304F">
        <w:rPr>
          <w:rFonts w:ascii="Arial" w:hAnsi="Arial" w:cs="Arial"/>
          <w:color w:val="000000" w:themeColor="text1"/>
          <w:sz w:val="24"/>
          <w:szCs w:val="24"/>
        </w:rPr>
        <w:t>32:1231</w:t>
      </w:r>
      <w:r w:rsidRPr="000F304F">
        <w:rPr>
          <w:rFonts w:ascii="Arial" w:hAnsi="Arial" w:cs="Arial"/>
          <w:color w:val="000000" w:themeColor="text1"/>
          <w:sz w:val="24"/>
          <w:szCs w:val="24"/>
        </w:rPr>
        <w:noBreakHyphen/>
        <w:t xml:space="preserve">1248. </w:t>
      </w:r>
      <w:hyperlink r:id="rId45" w:history="1">
        <w:r w:rsidR="0097495D" w:rsidRPr="000F304F">
          <w:rPr>
            <w:rStyle w:val="Hyperlink"/>
            <w:rFonts w:ascii="Arial" w:hAnsi="Arial" w:cs="Arial"/>
            <w:sz w:val="24"/>
            <w:szCs w:val="24"/>
            <w:u w:val="none"/>
          </w:rPr>
          <w:t>https://doi.org/10.1007/s10895</w:t>
        </w:r>
        <w:r w:rsidR="0097495D" w:rsidRPr="000F304F">
          <w:rPr>
            <w:rStyle w:val="Hyperlink"/>
            <w:rFonts w:ascii="Arial" w:hAnsi="Arial" w:cs="Arial"/>
            <w:sz w:val="24"/>
            <w:szCs w:val="24"/>
            <w:u w:val="none"/>
          </w:rPr>
          <w:noBreakHyphen/>
          <w:t>022</w:t>
        </w:r>
        <w:r w:rsidR="0097495D" w:rsidRPr="000F304F">
          <w:rPr>
            <w:rStyle w:val="Hyperlink"/>
            <w:rFonts w:ascii="Arial" w:hAnsi="Arial" w:cs="Arial"/>
            <w:sz w:val="24"/>
            <w:szCs w:val="24"/>
            <w:u w:val="none"/>
          </w:rPr>
          <w:noBreakHyphen/>
          <w:t>02938</w:t>
        </w:r>
        <w:r w:rsidR="0097495D" w:rsidRPr="000F304F">
          <w:rPr>
            <w:rStyle w:val="Hyperlink"/>
            <w:rFonts w:ascii="Arial" w:hAnsi="Arial" w:cs="Arial"/>
            <w:sz w:val="24"/>
            <w:szCs w:val="24"/>
            <w:u w:val="none"/>
          </w:rPr>
          <w:noBreakHyphen/>
          <w:t>1</w:t>
        </w:r>
      </w:hyperlink>
    </w:p>
    <w:p w14:paraId="444CF90B" w14:textId="77777777"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Agrawal N, Esteve</w:t>
      </w:r>
      <w:r w:rsidRPr="000F304F">
        <w:rPr>
          <w:rFonts w:ascii="Arial" w:hAnsi="Arial" w:cs="Arial"/>
          <w:color w:val="000000" w:themeColor="text1"/>
          <w:sz w:val="24"/>
          <w:szCs w:val="24"/>
        </w:rPr>
        <w:noBreakHyphen/>
        <w:t>Romero J, Bose D, Dubey NP, Peris</w:t>
      </w:r>
      <w:r w:rsidRPr="000F304F">
        <w:rPr>
          <w:rFonts w:ascii="Arial" w:hAnsi="Arial" w:cs="Arial"/>
          <w:color w:val="000000" w:themeColor="text1"/>
          <w:sz w:val="24"/>
          <w:szCs w:val="24"/>
        </w:rPr>
        <w:noBreakHyphen/>
        <w:t>Vicente J, Carda</w:t>
      </w:r>
      <w:r w:rsidRPr="000F304F">
        <w:rPr>
          <w:rFonts w:ascii="Arial" w:hAnsi="Arial" w:cs="Arial"/>
          <w:color w:val="000000" w:themeColor="text1"/>
          <w:sz w:val="24"/>
          <w:szCs w:val="24"/>
        </w:rPr>
        <w:noBreakHyphen/>
        <w:t xml:space="preserve">Broch S. Determination of selective serotonin reuptake inhibitors in plasma and urine by micellar liquid chromatography with fluorescence detection. J Chromatogr B Analyt Technol Biomed Life Sci. </w:t>
      </w:r>
      <w:proofErr w:type="gramStart"/>
      <w:r w:rsidRPr="000F304F">
        <w:rPr>
          <w:rFonts w:ascii="Arial" w:hAnsi="Arial" w:cs="Arial"/>
          <w:color w:val="000000" w:themeColor="text1"/>
          <w:sz w:val="24"/>
          <w:szCs w:val="24"/>
        </w:rPr>
        <w:t>2014;</w:t>
      </w:r>
      <w:proofErr w:type="gramEnd"/>
      <w:r w:rsidRPr="000F304F">
        <w:rPr>
          <w:rFonts w:ascii="Arial" w:hAnsi="Arial" w:cs="Arial"/>
          <w:color w:val="000000" w:themeColor="text1"/>
          <w:sz w:val="24"/>
          <w:szCs w:val="24"/>
        </w:rPr>
        <w:t>965:142</w:t>
      </w:r>
      <w:r w:rsidRPr="000F304F">
        <w:rPr>
          <w:rFonts w:ascii="Arial" w:hAnsi="Arial" w:cs="Arial"/>
          <w:color w:val="000000" w:themeColor="text1"/>
          <w:sz w:val="24"/>
          <w:szCs w:val="24"/>
        </w:rPr>
        <w:noBreakHyphen/>
        <w:t xml:space="preserve">149. </w:t>
      </w:r>
      <w:r w:rsidRPr="000F304F">
        <w:rPr>
          <w:rFonts w:ascii="Arial" w:hAnsi="Arial" w:cs="Arial"/>
          <w:color w:val="0070C0"/>
          <w:sz w:val="24"/>
          <w:szCs w:val="24"/>
        </w:rPr>
        <w:t>https://doi.org/10.1016/j.jchromb.2014.06.026</w:t>
      </w:r>
    </w:p>
    <w:p w14:paraId="0F1CFC38" w14:textId="0C1ADEEC"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Umeda S, Stagliano GW, Borenstein MR, Raffa RB. Representative LC</w:t>
      </w:r>
      <w:r w:rsidRPr="000F304F">
        <w:rPr>
          <w:rFonts w:ascii="Arial" w:hAnsi="Arial" w:cs="Arial"/>
          <w:color w:val="000000" w:themeColor="text1"/>
          <w:sz w:val="24"/>
          <w:szCs w:val="24"/>
        </w:rPr>
        <w:noBreakHyphen/>
        <w:t>fluorescence method for 5</w:t>
      </w:r>
      <w:r w:rsidRPr="000F304F">
        <w:rPr>
          <w:rFonts w:ascii="Arial" w:hAnsi="Arial" w:cs="Arial"/>
          <w:color w:val="000000" w:themeColor="text1"/>
          <w:sz w:val="24"/>
          <w:szCs w:val="24"/>
        </w:rPr>
        <w:noBreakHyphen/>
        <w:t xml:space="preserve">HT measurement in biological </w:t>
      </w:r>
      <w:proofErr w:type="gramStart"/>
      <w:r w:rsidRPr="000F304F">
        <w:rPr>
          <w:rFonts w:ascii="Arial" w:hAnsi="Arial" w:cs="Arial"/>
          <w:color w:val="000000" w:themeColor="text1"/>
          <w:sz w:val="24"/>
          <w:szCs w:val="24"/>
        </w:rPr>
        <w:t>models;</w:t>
      </w:r>
      <w:proofErr w:type="gramEnd"/>
      <w:r w:rsidRPr="000F304F">
        <w:rPr>
          <w:rFonts w:ascii="Arial" w:hAnsi="Arial" w:cs="Arial"/>
          <w:color w:val="000000" w:themeColor="text1"/>
          <w:sz w:val="24"/>
          <w:szCs w:val="24"/>
        </w:rPr>
        <w:t xml:space="preserve"> comparison with spectrofluorimetric techniques. J Pharmacol Toxicol Methods. </w:t>
      </w:r>
      <w:proofErr w:type="gramStart"/>
      <w:r w:rsidRPr="000F304F">
        <w:rPr>
          <w:rFonts w:ascii="Arial" w:hAnsi="Arial" w:cs="Arial"/>
          <w:color w:val="000000" w:themeColor="text1"/>
          <w:sz w:val="24"/>
          <w:szCs w:val="24"/>
        </w:rPr>
        <w:t>2005;</w:t>
      </w:r>
      <w:proofErr w:type="gramEnd"/>
      <w:r w:rsidRPr="000F304F">
        <w:rPr>
          <w:rFonts w:ascii="Arial" w:hAnsi="Arial" w:cs="Arial"/>
          <w:color w:val="000000" w:themeColor="text1"/>
          <w:sz w:val="24"/>
          <w:szCs w:val="24"/>
        </w:rPr>
        <w:t>51:73</w:t>
      </w:r>
      <w:r w:rsidRPr="000F304F">
        <w:rPr>
          <w:rFonts w:ascii="Arial" w:hAnsi="Arial" w:cs="Arial"/>
          <w:color w:val="000000" w:themeColor="text1"/>
          <w:sz w:val="24"/>
          <w:szCs w:val="24"/>
        </w:rPr>
        <w:noBreakHyphen/>
        <w:t xml:space="preserve">76. </w:t>
      </w:r>
      <w:hyperlink r:id="rId46" w:history="1">
        <w:r w:rsidR="0097495D" w:rsidRPr="000F304F">
          <w:rPr>
            <w:rStyle w:val="Hyperlink"/>
            <w:rFonts w:ascii="Arial" w:hAnsi="Arial" w:cs="Arial"/>
            <w:sz w:val="24"/>
            <w:szCs w:val="24"/>
            <w:u w:val="none"/>
          </w:rPr>
          <w:t>https://doi.org/10.1016/j.vascn.2004.07.002</w:t>
        </w:r>
      </w:hyperlink>
    </w:p>
    <w:p w14:paraId="511CD9A5" w14:textId="1C10BC3D"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 xml:space="preserve">Claude B, Nehmé R, Morin P. Capillary electrophoresis approaches for urinary neurotransmitter analysis and signal enhancement. Anal Chim Acta. </w:t>
      </w:r>
      <w:proofErr w:type="gramStart"/>
      <w:r w:rsidRPr="000F304F">
        <w:rPr>
          <w:rFonts w:ascii="Arial" w:hAnsi="Arial" w:cs="Arial"/>
          <w:color w:val="000000" w:themeColor="text1"/>
          <w:sz w:val="24"/>
          <w:szCs w:val="24"/>
        </w:rPr>
        <w:t>2011;</w:t>
      </w:r>
      <w:proofErr w:type="gramEnd"/>
      <w:r w:rsidRPr="000F304F">
        <w:rPr>
          <w:rFonts w:ascii="Arial" w:hAnsi="Arial" w:cs="Arial"/>
          <w:color w:val="000000" w:themeColor="text1"/>
          <w:sz w:val="24"/>
          <w:szCs w:val="24"/>
        </w:rPr>
        <w:t>699:242</w:t>
      </w:r>
      <w:r w:rsidRPr="000F304F">
        <w:rPr>
          <w:rFonts w:ascii="Arial" w:hAnsi="Arial" w:cs="Arial"/>
          <w:color w:val="000000" w:themeColor="text1"/>
          <w:sz w:val="24"/>
          <w:szCs w:val="24"/>
        </w:rPr>
        <w:noBreakHyphen/>
        <w:t xml:space="preserve">248. </w:t>
      </w:r>
      <w:hyperlink r:id="rId47" w:history="1">
        <w:r w:rsidR="0097495D" w:rsidRPr="000F304F">
          <w:rPr>
            <w:rStyle w:val="Hyperlink"/>
            <w:rFonts w:ascii="Arial" w:hAnsi="Arial" w:cs="Arial"/>
            <w:sz w:val="24"/>
            <w:szCs w:val="24"/>
            <w:u w:val="none"/>
          </w:rPr>
          <w:t>https://doi.org/10.1016/j.aca.2011.05.014</w:t>
        </w:r>
      </w:hyperlink>
    </w:p>
    <w:p w14:paraId="00498FA3" w14:textId="725AE3E9"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Soleymani J, Hamzehloo A, Razzaghi</w:t>
      </w:r>
      <w:r w:rsidRPr="000F304F">
        <w:rPr>
          <w:rFonts w:ascii="Arial" w:hAnsi="Arial" w:cs="Arial"/>
          <w:color w:val="000000" w:themeColor="text1"/>
          <w:sz w:val="24"/>
          <w:szCs w:val="24"/>
        </w:rPr>
        <w:noBreakHyphen/>
        <w:t xml:space="preserve">Asl N. Optical sensing strategies for trace analytes in complex </w:t>
      </w:r>
      <w:proofErr w:type="gramStart"/>
      <w:r w:rsidRPr="000F304F">
        <w:rPr>
          <w:rFonts w:ascii="Arial" w:hAnsi="Arial" w:cs="Arial"/>
          <w:color w:val="000000" w:themeColor="text1"/>
          <w:sz w:val="24"/>
          <w:szCs w:val="24"/>
        </w:rPr>
        <w:t>matrices:</w:t>
      </w:r>
      <w:proofErr w:type="gramEnd"/>
      <w:r w:rsidRPr="000F304F">
        <w:rPr>
          <w:rFonts w:ascii="Arial" w:hAnsi="Arial" w:cs="Arial"/>
          <w:color w:val="000000" w:themeColor="text1"/>
          <w:sz w:val="24"/>
          <w:szCs w:val="24"/>
        </w:rPr>
        <w:t xml:space="preserve"> fluorescence and micelle techniques. Trends Anal Chem. </w:t>
      </w:r>
      <w:proofErr w:type="gramStart"/>
      <w:r w:rsidRPr="000F304F">
        <w:rPr>
          <w:rFonts w:ascii="Arial" w:hAnsi="Arial" w:cs="Arial"/>
          <w:color w:val="000000" w:themeColor="text1"/>
          <w:sz w:val="24"/>
          <w:szCs w:val="24"/>
        </w:rPr>
        <w:t>2023;</w:t>
      </w:r>
      <w:proofErr w:type="gramEnd"/>
      <w:r w:rsidRPr="000F304F">
        <w:rPr>
          <w:rFonts w:ascii="Arial" w:hAnsi="Arial" w:cs="Arial"/>
          <w:color w:val="000000" w:themeColor="text1"/>
          <w:sz w:val="24"/>
          <w:szCs w:val="24"/>
        </w:rPr>
        <w:t>72:27</w:t>
      </w:r>
      <w:r w:rsidRPr="000F304F">
        <w:rPr>
          <w:rFonts w:ascii="Arial" w:hAnsi="Arial" w:cs="Arial"/>
          <w:color w:val="000000" w:themeColor="text1"/>
          <w:sz w:val="24"/>
          <w:szCs w:val="24"/>
        </w:rPr>
        <w:noBreakHyphen/>
        <w:t xml:space="preserve">44. </w:t>
      </w:r>
      <w:hyperlink r:id="rId48" w:history="1">
        <w:r w:rsidR="0097495D" w:rsidRPr="000F304F">
          <w:rPr>
            <w:rStyle w:val="Hyperlink"/>
            <w:rFonts w:ascii="Arial" w:hAnsi="Arial" w:cs="Arial"/>
            <w:sz w:val="24"/>
            <w:szCs w:val="24"/>
            <w:u w:val="none"/>
          </w:rPr>
          <w:t>https://doi.org/10.1016/j.trac.2022.116399</w:t>
        </w:r>
      </w:hyperlink>
    </w:p>
    <w:p w14:paraId="7918F1B7" w14:textId="5B2B68D8" w:rsidR="0097495D" w:rsidRPr="008B6F3C" w:rsidRDefault="000F304F" w:rsidP="00450E4A">
      <w:pPr>
        <w:pStyle w:val="ListParagraph"/>
        <w:numPr>
          <w:ilvl w:val="0"/>
          <w:numId w:val="31"/>
        </w:numPr>
        <w:tabs>
          <w:tab w:val="left" w:pos="142"/>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Salim MM, El</w:t>
      </w:r>
      <w:r w:rsidRPr="000F304F">
        <w:rPr>
          <w:rFonts w:ascii="Arial" w:hAnsi="Arial" w:cs="Arial"/>
          <w:color w:val="000000" w:themeColor="text1"/>
          <w:sz w:val="24"/>
          <w:szCs w:val="24"/>
        </w:rPr>
        <w:noBreakHyphen/>
        <w:t>Enany N, Belal F, Walash MI, Patonay G. Sensitivity enhancement in micelle</w:t>
      </w:r>
      <w:r w:rsidRPr="000F304F">
        <w:rPr>
          <w:rFonts w:ascii="Arial" w:hAnsi="Arial" w:cs="Arial"/>
          <w:color w:val="000000" w:themeColor="text1"/>
          <w:sz w:val="24"/>
          <w:szCs w:val="24"/>
        </w:rPr>
        <w:noBreakHyphen/>
        <w:t>fluorescence analysis and LC</w:t>
      </w:r>
      <w:r w:rsidRPr="000F304F">
        <w:rPr>
          <w:rFonts w:ascii="Arial" w:hAnsi="Arial" w:cs="Arial"/>
          <w:color w:val="000000" w:themeColor="text1"/>
          <w:sz w:val="24"/>
          <w:szCs w:val="24"/>
        </w:rPr>
        <w:noBreakHyphen/>
        <w:t xml:space="preserve">MS hybrid approaches. Luminescence. </w:t>
      </w:r>
      <w:proofErr w:type="gramStart"/>
      <w:r w:rsidRPr="000F304F">
        <w:rPr>
          <w:rFonts w:ascii="Arial" w:hAnsi="Arial" w:cs="Arial"/>
          <w:color w:val="000000" w:themeColor="text1"/>
          <w:sz w:val="24"/>
          <w:szCs w:val="24"/>
        </w:rPr>
        <w:t>2014;</w:t>
      </w:r>
      <w:proofErr w:type="gramEnd"/>
      <w:r w:rsidRPr="000F304F">
        <w:rPr>
          <w:rFonts w:ascii="Arial" w:hAnsi="Arial" w:cs="Arial"/>
          <w:color w:val="000000" w:themeColor="text1"/>
          <w:sz w:val="24"/>
          <w:szCs w:val="24"/>
        </w:rPr>
        <w:t>29:65</w:t>
      </w:r>
      <w:r w:rsidRPr="000F304F">
        <w:rPr>
          <w:rFonts w:ascii="Arial" w:hAnsi="Arial" w:cs="Arial"/>
          <w:color w:val="000000" w:themeColor="text1"/>
          <w:sz w:val="24"/>
          <w:szCs w:val="24"/>
        </w:rPr>
        <w:noBreakHyphen/>
        <w:t xml:space="preserve">73. </w:t>
      </w:r>
      <w:hyperlink r:id="rId49" w:history="1">
        <w:r w:rsidR="0097495D" w:rsidRPr="000F304F">
          <w:rPr>
            <w:rStyle w:val="Hyperlink"/>
            <w:rFonts w:ascii="Arial" w:hAnsi="Arial" w:cs="Arial"/>
            <w:sz w:val="24"/>
            <w:szCs w:val="24"/>
            <w:u w:val="none"/>
          </w:rPr>
          <w:t>https://doi.org/10.1002/bio.2503</w:t>
        </w:r>
      </w:hyperlink>
    </w:p>
    <w:p w14:paraId="13D2085B" w14:textId="1B68A2ED" w:rsidR="0097495D" w:rsidRPr="008B6F3C" w:rsidRDefault="000F304F" w:rsidP="00450E4A">
      <w:pPr>
        <w:pStyle w:val="ListParagraph"/>
        <w:numPr>
          <w:ilvl w:val="0"/>
          <w:numId w:val="31"/>
        </w:numPr>
        <w:tabs>
          <w:tab w:val="left" w:pos="142"/>
          <w:tab w:val="left" w:pos="284"/>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Abdel</w:t>
      </w:r>
      <w:r w:rsidRPr="000F304F">
        <w:rPr>
          <w:rFonts w:ascii="Arial" w:hAnsi="Arial" w:cs="Arial"/>
          <w:color w:val="000000" w:themeColor="text1"/>
          <w:sz w:val="24"/>
          <w:szCs w:val="24"/>
        </w:rPr>
        <w:noBreakHyphen/>
        <w:t xml:space="preserve">Maaboud I Mohamed I, Omar MA, Hammad MA, Mohamed AA. Fluorescence enhancement strategies using micellar pseudophases in bioanalysis. Spectrochim Acta A Mol Biomol Spectrosc. </w:t>
      </w:r>
      <w:proofErr w:type="gramStart"/>
      <w:r w:rsidRPr="000F304F">
        <w:rPr>
          <w:rFonts w:ascii="Arial" w:hAnsi="Arial" w:cs="Arial"/>
          <w:color w:val="000000" w:themeColor="text1"/>
          <w:sz w:val="24"/>
          <w:szCs w:val="24"/>
        </w:rPr>
        <w:t>2015;</w:t>
      </w:r>
      <w:proofErr w:type="gramEnd"/>
      <w:r w:rsidRPr="000F304F">
        <w:rPr>
          <w:rFonts w:ascii="Arial" w:hAnsi="Arial" w:cs="Arial"/>
          <w:color w:val="000000" w:themeColor="text1"/>
          <w:sz w:val="24"/>
          <w:szCs w:val="24"/>
        </w:rPr>
        <w:t>149:934</w:t>
      </w:r>
      <w:r w:rsidRPr="000F304F">
        <w:rPr>
          <w:rFonts w:ascii="Arial" w:hAnsi="Arial" w:cs="Arial"/>
          <w:color w:val="000000" w:themeColor="text1"/>
          <w:sz w:val="24"/>
          <w:szCs w:val="24"/>
        </w:rPr>
        <w:noBreakHyphen/>
        <w:t xml:space="preserve">940. </w:t>
      </w:r>
      <w:hyperlink r:id="rId50" w:history="1">
        <w:r w:rsidR="0097495D" w:rsidRPr="000F304F">
          <w:rPr>
            <w:rStyle w:val="Hyperlink"/>
            <w:rFonts w:ascii="Arial" w:hAnsi="Arial" w:cs="Arial"/>
            <w:sz w:val="24"/>
            <w:szCs w:val="24"/>
            <w:u w:val="none"/>
          </w:rPr>
          <w:t>https://doi.org/10.1016/j.saa.2015.05.026</w:t>
        </w:r>
      </w:hyperlink>
    </w:p>
    <w:p w14:paraId="241E9746" w14:textId="62E652B0" w:rsidR="0097495D" w:rsidRPr="008B6F3C" w:rsidRDefault="000F304F" w:rsidP="00450E4A">
      <w:pPr>
        <w:pStyle w:val="ListParagraph"/>
        <w:numPr>
          <w:ilvl w:val="0"/>
          <w:numId w:val="31"/>
        </w:numPr>
        <w:tabs>
          <w:tab w:val="left" w:pos="142"/>
          <w:tab w:val="left" w:pos="284"/>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Magdy G, Belal FF, Abdel</w:t>
      </w:r>
      <w:r w:rsidRPr="000F304F">
        <w:rPr>
          <w:rFonts w:ascii="Arial" w:hAnsi="Arial" w:cs="Arial"/>
          <w:color w:val="000000" w:themeColor="text1"/>
          <w:sz w:val="24"/>
          <w:szCs w:val="24"/>
        </w:rPr>
        <w:noBreakHyphen/>
        <w:t xml:space="preserve">Megied AM, Abdel Hakiem AF. Method validation in micelle enhanced and synchronous spectrofluorimetry for drugs in plasma. Spectrochim Acta A Mol Biomol Spectrosc. </w:t>
      </w:r>
      <w:proofErr w:type="gramStart"/>
      <w:r w:rsidRPr="000F304F">
        <w:rPr>
          <w:rFonts w:ascii="Arial" w:hAnsi="Arial" w:cs="Arial"/>
          <w:color w:val="000000" w:themeColor="text1"/>
          <w:sz w:val="24"/>
          <w:szCs w:val="24"/>
        </w:rPr>
        <w:t>2021;</w:t>
      </w:r>
      <w:proofErr w:type="gramEnd"/>
      <w:r w:rsidRPr="000F304F">
        <w:rPr>
          <w:rFonts w:ascii="Arial" w:hAnsi="Arial" w:cs="Arial"/>
          <w:color w:val="000000" w:themeColor="text1"/>
          <w:sz w:val="24"/>
          <w:szCs w:val="24"/>
        </w:rPr>
        <w:t xml:space="preserve">248:119239. </w:t>
      </w:r>
      <w:hyperlink r:id="rId51" w:history="1">
        <w:r w:rsidR="0097495D" w:rsidRPr="000F304F">
          <w:rPr>
            <w:rStyle w:val="Hyperlink"/>
            <w:rFonts w:ascii="Arial" w:hAnsi="Arial" w:cs="Arial"/>
            <w:sz w:val="24"/>
            <w:szCs w:val="24"/>
            <w:u w:val="none"/>
          </w:rPr>
          <w:t>https://doi.org/10.1016/j.saa.2020.119239</w:t>
        </w:r>
      </w:hyperlink>
    </w:p>
    <w:p w14:paraId="24E9ECCA" w14:textId="4C6DD6FC" w:rsidR="000F304F" w:rsidRPr="008B6F3C" w:rsidRDefault="000F304F" w:rsidP="00450E4A">
      <w:pPr>
        <w:pStyle w:val="ListParagraph"/>
        <w:numPr>
          <w:ilvl w:val="0"/>
          <w:numId w:val="31"/>
        </w:numPr>
        <w:tabs>
          <w:tab w:val="left" w:pos="142"/>
          <w:tab w:val="left" w:pos="284"/>
          <w:tab w:val="left" w:pos="426"/>
        </w:tabs>
        <w:spacing w:after="0" w:line="360" w:lineRule="auto"/>
        <w:ind w:left="0" w:firstLine="0"/>
        <w:jc w:val="both"/>
        <w:rPr>
          <w:rFonts w:ascii="Arial" w:hAnsi="Arial" w:cs="Arial"/>
          <w:color w:val="000000" w:themeColor="text1"/>
          <w:sz w:val="24"/>
          <w:szCs w:val="24"/>
        </w:rPr>
      </w:pPr>
      <w:r w:rsidRPr="000F304F">
        <w:rPr>
          <w:rFonts w:ascii="Arial" w:hAnsi="Arial" w:cs="Arial"/>
          <w:color w:val="000000" w:themeColor="text1"/>
          <w:sz w:val="24"/>
          <w:szCs w:val="24"/>
        </w:rPr>
        <w:t xml:space="preserve">Darwish HW. Trends and advances in micellar spectrofluorimetric bioanalysis of trace compounds. Anal Chim Acta. </w:t>
      </w:r>
      <w:proofErr w:type="gramStart"/>
      <w:r w:rsidRPr="000F304F">
        <w:rPr>
          <w:rFonts w:ascii="Arial" w:hAnsi="Arial" w:cs="Arial"/>
          <w:color w:val="000000" w:themeColor="text1"/>
          <w:sz w:val="24"/>
          <w:szCs w:val="24"/>
        </w:rPr>
        <w:t>2021;</w:t>
      </w:r>
      <w:proofErr w:type="gramEnd"/>
      <w:r w:rsidRPr="000F304F">
        <w:rPr>
          <w:rFonts w:ascii="Arial" w:hAnsi="Arial" w:cs="Arial"/>
          <w:color w:val="000000" w:themeColor="text1"/>
          <w:sz w:val="24"/>
          <w:szCs w:val="24"/>
        </w:rPr>
        <w:t xml:space="preserve">1158:338451. </w:t>
      </w:r>
      <w:hyperlink r:id="rId52" w:history="1">
        <w:r w:rsidR="0097495D" w:rsidRPr="000F304F">
          <w:rPr>
            <w:rStyle w:val="Hyperlink"/>
            <w:rFonts w:ascii="Arial" w:hAnsi="Arial" w:cs="Arial"/>
            <w:sz w:val="24"/>
            <w:szCs w:val="24"/>
            <w:u w:val="none"/>
          </w:rPr>
          <w:t>https://doi.org/10.1016/j.aca.2021.338451</w:t>
        </w:r>
      </w:hyperlink>
    </w:p>
    <w:p w14:paraId="2006715C" w14:textId="77777777" w:rsidR="0097495D" w:rsidRPr="000F304F" w:rsidRDefault="0097495D" w:rsidP="0097495D">
      <w:pPr>
        <w:pStyle w:val="ListParagraph"/>
        <w:tabs>
          <w:tab w:val="left" w:pos="142"/>
        </w:tabs>
        <w:spacing w:after="0" w:line="360" w:lineRule="auto"/>
        <w:jc w:val="both"/>
        <w:rPr>
          <w:rFonts w:ascii="Arial" w:hAnsi="Arial" w:cs="Arial"/>
          <w:color w:val="000000" w:themeColor="text1"/>
          <w:sz w:val="24"/>
          <w:szCs w:val="24"/>
        </w:rPr>
      </w:pPr>
    </w:p>
    <w:p w14:paraId="0664657D" w14:textId="77777777" w:rsidR="000F304F" w:rsidRPr="008B6F3C" w:rsidRDefault="000F304F" w:rsidP="0097495D">
      <w:pPr>
        <w:tabs>
          <w:tab w:val="left" w:pos="142"/>
        </w:tabs>
        <w:spacing w:after="0" w:line="360" w:lineRule="auto"/>
        <w:jc w:val="both"/>
        <w:rPr>
          <w:rFonts w:ascii="Arial" w:hAnsi="Arial" w:cs="Arial"/>
          <w:b/>
          <w:bCs/>
          <w:color w:val="000000" w:themeColor="text1"/>
          <w:sz w:val="24"/>
          <w:szCs w:val="24"/>
        </w:rPr>
      </w:pPr>
    </w:p>
    <w:sectPr w:rsidR="000F304F" w:rsidRPr="008B6F3C" w:rsidSect="00E31A2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F28F4" w14:textId="77777777" w:rsidR="00245649" w:rsidRDefault="00245649" w:rsidP="00B761E7">
      <w:pPr>
        <w:spacing w:after="0" w:line="240" w:lineRule="auto"/>
      </w:pPr>
      <w:r>
        <w:separator/>
      </w:r>
    </w:p>
  </w:endnote>
  <w:endnote w:type="continuationSeparator" w:id="0">
    <w:p w14:paraId="440AF260" w14:textId="77777777" w:rsidR="00245649" w:rsidRDefault="00245649" w:rsidP="00B76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99B7E" w14:textId="77777777" w:rsidR="00457EE4" w:rsidRDefault="00457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97616" w14:textId="77777777" w:rsidR="00B761E7" w:rsidRPr="00B761E7" w:rsidRDefault="00B761E7">
    <w:pPr>
      <w:pStyle w:val="Footer"/>
      <w:jc w:val="center"/>
      <w:rPr>
        <w:rFonts w:ascii="Arial" w:hAnsi="Arial" w:cs="Arial"/>
        <w:caps/>
      </w:rPr>
    </w:pPr>
    <w:r w:rsidRPr="00B761E7">
      <w:rPr>
        <w:rFonts w:ascii="Arial" w:hAnsi="Arial" w:cs="Arial"/>
        <w:caps/>
      </w:rPr>
      <w:fldChar w:fldCharType="begin"/>
    </w:r>
    <w:r w:rsidRPr="00B761E7">
      <w:rPr>
        <w:rFonts w:ascii="Arial" w:hAnsi="Arial" w:cs="Arial"/>
        <w:caps/>
      </w:rPr>
      <w:instrText>PAGE   \* MERGEFORMAT</w:instrText>
    </w:r>
    <w:r w:rsidRPr="00B761E7">
      <w:rPr>
        <w:rFonts w:ascii="Arial" w:hAnsi="Arial" w:cs="Arial"/>
        <w:caps/>
      </w:rPr>
      <w:fldChar w:fldCharType="separate"/>
    </w:r>
    <w:r w:rsidRPr="00B761E7">
      <w:rPr>
        <w:rFonts w:ascii="Arial" w:hAnsi="Arial" w:cs="Arial"/>
        <w:caps/>
      </w:rPr>
      <w:t>2</w:t>
    </w:r>
    <w:r w:rsidRPr="00B761E7">
      <w:rPr>
        <w:rFonts w:ascii="Arial" w:hAnsi="Arial" w:cs="Arial"/>
        <w:caps/>
      </w:rPr>
      <w:fldChar w:fldCharType="end"/>
    </w:r>
  </w:p>
  <w:p w14:paraId="512CEAD0" w14:textId="77777777" w:rsidR="00B761E7" w:rsidRDefault="00B761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B0AF0" w14:textId="77777777" w:rsidR="00457EE4" w:rsidRDefault="00457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3A373" w14:textId="77777777" w:rsidR="00245649" w:rsidRDefault="00245649" w:rsidP="00B761E7">
      <w:pPr>
        <w:spacing w:after="0" w:line="240" w:lineRule="auto"/>
      </w:pPr>
      <w:r>
        <w:separator/>
      </w:r>
    </w:p>
  </w:footnote>
  <w:footnote w:type="continuationSeparator" w:id="0">
    <w:p w14:paraId="56489968" w14:textId="77777777" w:rsidR="00245649" w:rsidRDefault="00245649" w:rsidP="00B76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38FE" w14:textId="5C23E50B" w:rsidR="00457EE4" w:rsidRDefault="00457EE4">
    <w:pPr>
      <w:pStyle w:val="Header"/>
    </w:pPr>
    <w:r>
      <w:rPr>
        <w:noProof/>
      </w:rPr>
      <w:pict w14:anchorId="7AD86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6642"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9A53" w14:textId="38253680" w:rsidR="00457EE4" w:rsidRDefault="00457EE4">
    <w:pPr>
      <w:pStyle w:val="Header"/>
    </w:pPr>
    <w:r>
      <w:rPr>
        <w:noProof/>
      </w:rPr>
      <w:pict w14:anchorId="0F472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6643"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CC4DB" w14:textId="40271E18" w:rsidR="00457EE4" w:rsidRDefault="00457EE4">
    <w:pPr>
      <w:pStyle w:val="Header"/>
    </w:pPr>
    <w:r>
      <w:rPr>
        <w:noProof/>
      </w:rPr>
      <w:pict w14:anchorId="29F1E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486641"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13F78"/>
    <w:multiLevelType w:val="multilevel"/>
    <w:tmpl w:val="2A183F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6039"/>
    <w:multiLevelType w:val="multilevel"/>
    <w:tmpl w:val="53A0B47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BA12F1"/>
    <w:multiLevelType w:val="multilevel"/>
    <w:tmpl w:val="ACBE8A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94090"/>
    <w:multiLevelType w:val="multilevel"/>
    <w:tmpl w:val="2D406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6A732A"/>
    <w:multiLevelType w:val="multilevel"/>
    <w:tmpl w:val="B270082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448C5"/>
    <w:multiLevelType w:val="multilevel"/>
    <w:tmpl w:val="CEEE3E5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D4C10"/>
    <w:multiLevelType w:val="multilevel"/>
    <w:tmpl w:val="9E92E42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C3988"/>
    <w:multiLevelType w:val="multilevel"/>
    <w:tmpl w:val="C766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14ADF"/>
    <w:multiLevelType w:val="multilevel"/>
    <w:tmpl w:val="2E98CE82"/>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F2724"/>
    <w:multiLevelType w:val="multilevel"/>
    <w:tmpl w:val="8A682A96"/>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F247F"/>
    <w:multiLevelType w:val="multilevel"/>
    <w:tmpl w:val="8CD431D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9B6817"/>
    <w:multiLevelType w:val="multilevel"/>
    <w:tmpl w:val="2CCE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B7407"/>
    <w:multiLevelType w:val="multilevel"/>
    <w:tmpl w:val="E7F0A2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434043"/>
    <w:multiLevelType w:val="multilevel"/>
    <w:tmpl w:val="2BAA8B4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777D66"/>
    <w:multiLevelType w:val="multilevel"/>
    <w:tmpl w:val="0DA4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F55065"/>
    <w:multiLevelType w:val="multilevel"/>
    <w:tmpl w:val="F800CBBA"/>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5731DB"/>
    <w:multiLevelType w:val="multilevel"/>
    <w:tmpl w:val="DB6E942E"/>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273D95"/>
    <w:multiLevelType w:val="multilevel"/>
    <w:tmpl w:val="960EFD4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844680"/>
    <w:multiLevelType w:val="multilevel"/>
    <w:tmpl w:val="CBB8ED0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DB57E2"/>
    <w:multiLevelType w:val="multilevel"/>
    <w:tmpl w:val="6EE4857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4E44ED"/>
    <w:multiLevelType w:val="multilevel"/>
    <w:tmpl w:val="D3DC5A50"/>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807F6C"/>
    <w:multiLevelType w:val="multilevel"/>
    <w:tmpl w:val="4816DD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DB37AC"/>
    <w:multiLevelType w:val="multilevel"/>
    <w:tmpl w:val="EC82E5EA"/>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9603A7"/>
    <w:multiLevelType w:val="hybridMultilevel"/>
    <w:tmpl w:val="A490BF78"/>
    <w:lvl w:ilvl="0" w:tplc="0A50EC56">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E8A7173"/>
    <w:multiLevelType w:val="multilevel"/>
    <w:tmpl w:val="1F44D2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06088B"/>
    <w:multiLevelType w:val="multilevel"/>
    <w:tmpl w:val="C9985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245B4D"/>
    <w:multiLevelType w:val="multilevel"/>
    <w:tmpl w:val="A844D4A8"/>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EE28FB"/>
    <w:multiLevelType w:val="multilevel"/>
    <w:tmpl w:val="D51E77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222A8"/>
    <w:multiLevelType w:val="multilevel"/>
    <w:tmpl w:val="957412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26239A"/>
    <w:multiLevelType w:val="multilevel"/>
    <w:tmpl w:val="03BA57F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1F2E93"/>
    <w:multiLevelType w:val="multilevel"/>
    <w:tmpl w:val="DF8E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30"/>
  </w:num>
  <w:num w:numId="4">
    <w:abstractNumId w:val="14"/>
  </w:num>
  <w:num w:numId="5">
    <w:abstractNumId w:val="3"/>
  </w:num>
  <w:num w:numId="6">
    <w:abstractNumId w:val="25"/>
  </w:num>
  <w:num w:numId="7">
    <w:abstractNumId w:val="24"/>
  </w:num>
  <w:num w:numId="8">
    <w:abstractNumId w:val="0"/>
  </w:num>
  <w:num w:numId="9">
    <w:abstractNumId w:val="27"/>
  </w:num>
  <w:num w:numId="10">
    <w:abstractNumId w:val="28"/>
  </w:num>
  <w:num w:numId="11">
    <w:abstractNumId w:val="29"/>
  </w:num>
  <w:num w:numId="12">
    <w:abstractNumId w:val="21"/>
  </w:num>
  <w:num w:numId="13">
    <w:abstractNumId w:val="4"/>
  </w:num>
  <w:num w:numId="14">
    <w:abstractNumId w:val="12"/>
  </w:num>
  <w:num w:numId="15">
    <w:abstractNumId w:val="2"/>
  </w:num>
  <w:num w:numId="16">
    <w:abstractNumId w:val="19"/>
  </w:num>
  <w:num w:numId="17">
    <w:abstractNumId w:val="9"/>
  </w:num>
  <w:num w:numId="18">
    <w:abstractNumId w:val="5"/>
  </w:num>
  <w:num w:numId="19">
    <w:abstractNumId w:val="18"/>
  </w:num>
  <w:num w:numId="20">
    <w:abstractNumId w:val="1"/>
  </w:num>
  <w:num w:numId="21">
    <w:abstractNumId w:val="10"/>
  </w:num>
  <w:num w:numId="22">
    <w:abstractNumId w:val="22"/>
  </w:num>
  <w:num w:numId="23">
    <w:abstractNumId w:val="13"/>
  </w:num>
  <w:num w:numId="24">
    <w:abstractNumId w:val="16"/>
  </w:num>
  <w:num w:numId="25">
    <w:abstractNumId w:val="17"/>
  </w:num>
  <w:num w:numId="26">
    <w:abstractNumId w:val="15"/>
  </w:num>
  <w:num w:numId="27">
    <w:abstractNumId w:val="8"/>
  </w:num>
  <w:num w:numId="28">
    <w:abstractNumId w:val="6"/>
  </w:num>
  <w:num w:numId="29">
    <w:abstractNumId w:val="26"/>
  </w:num>
  <w:num w:numId="30">
    <w:abstractNumId w:val="2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4C"/>
    <w:rsid w:val="00041318"/>
    <w:rsid w:val="00080FF5"/>
    <w:rsid w:val="000F304F"/>
    <w:rsid w:val="0014612E"/>
    <w:rsid w:val="001A4101"/>
    <w:rsid w:val="00213C08"/>
    <w:rsid w:val="00245649"/>
    <w:rsid w:val="00265BD4"/>
    <w:rsid w:val="00277805"/>
    <w:rsid w:val="00296121"/>
    <w:rsid w:val="002E5F2A"/>
    <w:rsid w:val="0034640F"/>
    <w:rsid w:val="00397132"/>
    <w:rsid w:val="003D60F0"/>
    <w:rsid w:val="003E773F"/>
    <w:rsid w:val="003F2CBD"/>
    <w:rsid w:val="004040E9"/>
    <w:rsid w:val="00420CAE"/>
    <w:rsid w:val="00450E4A"/>
    <w:rsid w:val="00457EE4"/>
    <w:rsid w:val="0047303F"/>
    <w:rsid w:val="004B20CF"/>
    <w:rsid w:val="00541B9B"/>
    <w:rsid w:val="00544129"/>
    <w:rsid w:val="00582888"/>
    <w:rsid w:val="00593F6E"/>
    <w:rsid w:val="005A071C"/>
    <w:rsid w:val="005C6150"/>
    <w:rsid w:val="006C0215"/>
    <w:rsid w:val="006E75FE"/>
    <w:rsid w:val="00700936"/>
    <w:rsid w:val="00776B4C"/>
    <w:rsid w:val="007B2353"/>
    <w:rsid w:val="007B48A3"/>
    <w:rsid w:val="007C103A"/>
    <w:rsid w:val="007F0AD2"/>
    <w:rsid w:val="007F4289"/>
    <w:rsid w:val="00855FA4"/>
    <w:rsid w:val="008B6F3C"/>
    <w:rsid w:val="00922BA5"/>
    <w:rsid w:val="0097495D"/>
    <w:rsid w:val="00A60F7A"/>
    <w:rsid w:val="00A96042"/>
    <w:rsid w:val="00AC1AE1"/>
    <w:rsid w:val="00B32422"/>
    <w:rsid w:val="00B761E7"/>
    <w:rsid w:val="00C04E90"/>
    <w:rsid w:val="00C23F7F"/>
    <w:rsid w:val="00C25C48"/>
    <w:rsid w:val="00C6675E"/>
    <w:rsid w:val="00C91B89"/>
    <w:rsid w:val="00CC66E4"/>
    <w:rsid w:val="00CD04A5"/>
    <w:rsid w:val="00CD1B48"/>
    <w:rsid w:val="00D4706D"/>
    <w:rsid w:val="00E16EA1"/>
    <w:rsid w:val="00E31A24"/>
    <w:rsid w:val="00EA2C5E"/>
    <w:rsid w:val="00EA7060"/>
    <w:rsid w:val="00EE6593"/>
    <w:rsid w:val="00EE712C"/>
    <w:rsid w:val="00F130DC"/>
    <w:rsid w:val="00F527FA"/>
    <w:rsid w:val="00F67992"/>
    <w:rsid w:val="00F96B90"/>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C7FB63"/>
  <w15:chartTrackingRefBased/>
  <w15:docId w15:val="{07E4C7E2-6C3D-4BC7-A657-5D573A41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B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6B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6B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6B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6B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6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B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6B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6B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6B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6B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6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B4C"/>
    <w:rPr>
      <w:rFonts w:eastAsiaTheme="majorEastAsia" w:cstheme="majorBidi"/>
      <w:color w:val="272727" w:themeColor="text1" w:themeTint="D8"/>
    </w:rPr>
  </w:style>
  <w:style w:type="paragraph" w:styleId="Title">
    <w:name w:val="Title"/>
    <w:basedOn w:val="Normal"/>
    <w:next w:val="Normal"/>
    <w:link w:val="TitleChar"/>
    <w:uiPriority w:val="10"/>
    <w:qFormat/>
    <w:rsid w:val="00776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B4C"/>
    <w:pPr>
      <w:spacing w:before="160"/>
      <w:jc w:val="center"/>
    </w:pPr>
    <w:rPr>
      <w:i/>
      <w:iCs/>
      <w:color w:val="404040" w:themeColor="text1" w:themeTint="BF"/>
    </w:rPr>
  </w:style>
  <w:style w:type="character" w:customStyle="1" w:styleId="QuoteChar">
    <w:name w:val="Quote Char"/>
    <w:basedOn w:val="DefaultParagraphFont"/>
    <w:link w:val="Quote"/>
    <w:uiPriority w:val="29"/>
    <w:rsid w:val="00776B4C"/>
    <w:rPr>
      <w:i/>
      <w:iCs/>
      <w:color w:val="404040" w:themeColor="text1" w:themeTint="BF"/>
    </w:rPr>
  </w:style>
  <w:style w:type="paragraph" w:styleId="ListParagraph">
    <w:name w:val="List Paragraph"/>
    <w:basedOn w:val="Normal"/>
    <w:uiPriority w:val="34"/>
    <w:qFormat/>
    <w:rsid w:val="00776B4C"/>
    <w:pPr>
      <w:ind w:left="720"/>
      <w:contextualSpacing/>
    </w:pPr>
  </w:style>
  <w:style w:type="character" w:styleId="IntenseEmphasis">
    <w:name w:val="Intense Emphasis"/>
    <w:basedOn w:val="DefaultParagraphFont"/>
    <w:uiPriority w:val="21"/>
    <w:qFormat/>
    <w:rsid w:val="00776B4C"/>
    <w:rPr>
      <w:i/>
      <w:iCs/>
      <w:color w:val="2F5496" w:themeColor="accent1" w:themeShade="BF"/>
    </w:rPr>
  </w:style>
  <w:style w:type="paragraph" w:styleId="IntenseQuote">
    <w:name w:val="Intense Quote"/>
    <w:basedOn w:val="Normal"/>
    <w:next w:val="Normal"/>
    <w:link w:val="IntenseQuoteChar"/>
    <w:uiPriority w:val="30"/>
    <w:qFormat/>
    <w:rsid w:val="00776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6B4C"/>
    <w:rPr>
      <w:i/>
      <w:iCs/>
      <w:color w:val="2F5496" w:themeColor="accent1" w:themeShade="BF"/>
    </w:rPr>
  </w:style>
  <w:style w:type="character" w:styleId="IntenseReference">
    <w:name w:val="Intense Reference"/>
    <w:basedOn w:val="DefaultParagraphFont"/>
    <w:uiPriority w:val="32"/>
    <w:qFormat/>
    <w:rsid w:val="00776B4C"/>
    <w:rPr>
      <w:b/>
      <w:bCs/>
      <w:smallCaps/>
      <w:color w:val="2F5496" w:themeColor="accent1" w:themeShade="BF"/>
      <w:spacing w:val="5"/>
    </w:rPr>
  </w:style>
  <w:style w:type="character" w:styleId="PlaceholderText">
    <w:name w:val="Placeholder Text"/>
    <w:basedOn w:val="DefaultParagraphFont"/>
    <w:uiPriority w:val="99"/>
    <w:semiHidden/>
    <w:rsid w:val="00A96042"/>
    <w:rPr>
      <w:color w:val="666666"/>
    </w:rPr>
  </w:style>
  <w:style w:type="character" w:styleId="Hyperlink">
    <w:name w:val="Hyperlink"/>
    <w:basedOn w:val="DefaultParagraphFont"/>
    <w:uiPriority w:val="99"/>
    <w:unhideWhenUsed/>
    <w:rsid w:val="000F304F"/>
    <w:rPr>
      <w:color w:val="0563C1" w:themeColor="hyperlink"/>
      <w:u w:val="single"/>
    </w:rPr>
  </w:style>
  <w:style w:type="character" w:styleId="UnresolvedMention">
    <w:name w:val="Unresolved Mention"/>
    <w:basedOn w:val="DefaultParagraphFont"/>
    <w:uiPriority w:val="99"/>
    <w:semiHidden/>
    <w:unhideWhenUsed/>
    <w:rsid w:val="000F304F"/>
    <w:rPr>
      <w:color w:val="605E5C"/>
      <w:shd w:val="clear" w:color="auto" w:fill="E1DFDD"/>
    </w:rPr>
  </w:style>
  <w:style w:type="paragraph" w:styleId="Header">
    <w:name w:val="header"/>
    <w:basedOn w:val="Normal"/>
    <w:link w:val="HeaderChar"/>
    <w:uiPriority w:val="99"/>
    <w:unhideWhenUsed/>
    <w:rsid w:val="00B761E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61E7"/>
  </w:style>
  <w:style w:type="paragraph" w:styleId="Footer">
    <w:name w:val="footer"/>
    <w:basedOn w:val="Normal"/>
    <w:link w:val="FooterChar"/>
    <w:uiPriority w:val="99"/>
    <w:unhideWhenUsed/>
    <w:rsid w:val="00B761E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6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eader" Target="header3.xml"/><Relationship Id="rId26" Type="http://schemas.openxmlformats.org/officeDocument/2006/relationships/hyperlink" Target="https://www.ich.org" TargetMode="External"/><Relationship Id="rId39" Type="http://schemas.openxmlformats.org/officeDocument/2006/relationships/hyperlink" Target="https://doi.org/10.1007/s1089500701771" TargetMode="External"/><Relationship Id="rId21" Type="http://schemas.openxmlformats.org/officeDocument/2006/relationships/image" Target="media/image9.png"/><Relationship Id="rId34" Type="http://schemas.openxmlformats.org/officeDocument/2006/relationships/hyperlink" Target="https://doi.org/10.1016/j.saa.2015.05.026" TargetMode="External"/><Relationship Id="rId42" Type="http://schemas.openxmlformats.org/officeDocument/2006/relationships/hyperlink" Target="https://www.springer.com" TargetMode="External"/><Relationship Id="rId47" Type="http://schemas.openxmlformats.org/officeDocument/2006/relationships/hyperlink" Target="https://doi.org/10.1016/j.aca.2011.05.014" TargetMode="External"/><Relationship Id="rId50" Type="http://schemas.openxmlformats.org/officeDocument/2006/relationships/hyperlink" Target="https://doi.org/10.1016/j.saa.2015.05.026"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1.xml"/><Relationship Id="rId29" Type="http://schemas.openxmlformats.org/officeDocument/2006/relationships/hyperlink" Target="https://www.waters.com" TargetMode="Externa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hyperlink" Target="https://doi.org/10.1002/bio.2823" TargetMode="External"/><Relationship Id="rId37" Type="http://schemas.openxmlformats.org/officeDocument/2006/relationships/hyperlink" Target="https://doi.org/10.1007/s0021601706813" TargetMode="External"/><Relationship Id="rId40" Type="http://schemas.openxmlformats.org/officeDocument/2006/relationships/hyperlink" Target="https://doi.org/10.5539/ijc.v7n2p85" TargetMode="External"/><Relationship Id="rId45" Type="http://schemas.openxmlformats.org/officeDocument/2006/relationships/hyperlink" Target="https://doi.org/10.1007/s10895022029381"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footer" Target="footer3.xml"/><Relationship Id="rId31" Type="http://schemas.openxmlformats.org/officeDocument/2006/relationships/hyperlink" Target="https://doi.org/10.1016/j.saa.2015.08.040" TargetMode="External"/><Relationship Id="rId44" Type="http://schemas.openxmlformats.org/officeDocument/2006/relationships/hyperlink" Target="https://doi.org/10.1016/j.aca.2021.338451" TargetMode="External"/><Relationship Id="rId52" Type="http://schemas.openxmlformats.org/officeDocument/2006/relationships/hyperlink" Target="https://doi.org/10.1016/j.aca.2021.33845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hyperlink" Target="https://www.springer.com" TargetMode="External"/><Relationship Id="rId30" Type="http://schemas.openxmlformats.org/officeDocument/2006/relationships/hyperlink" Target="https://doi.org/10.1016/j.jpba.2004.10.027" TargetMode="External"/><Relationship Id="rId35" Type="http://schemas.openxmlformats.org/officeDocument/2006/relationships/hyperlink" Target="https://doi.org/10.1016/j.saa.2020.119239" TargetMode="External"/><Relationship Id="rId43" Type="http://schemas.openxmlformats.org/officeDocument/2006/relationships/hyperlink" Target="https://www.wiley.com" TargetMode="External"/><Relationship Id="rId48" Type="http://schemas.openxmlformats.org/officeDocument/2006/relationships/hyperlink" Target="https://doi.org/10.1016/j.trac.2022.116399" TargetMode="External"/><Relationship Id="rId8" Type="http://schemas.openxmlformats.org/officeDocument/2006/relationships/image" Target="media/image2.png"/><Relationship Id="rId51" Type="http://schemas.openxmlformats.org/officeDocument/2006/relationships/hyperlink" Target="https://doi.org/10.1016/j.saa.2020.119239" TargetMode="Externa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hyperlink" Target="https://www.waters.com" TargetMode="External"/><Relationship Id="rId33" Type="http://schemas.openxmlformats.org/officeDocument/2006/relationships/hyperlink" Target="https://doi.org/10.1002/bio.2503" TargetMode="External"/><Relationship Id="rId38" Type="http://schemas.openxmlformats.org/officeDocument/2006/relationships/hyperlink" Target="https://www.waters.com" TargetMode="External"/><Relationship Id="rId46" Type="http://schemas.openxmlformats.org/officeDocument/2006/relationships/hyperlink" Target="https://doi.org/10.1016/j.vascn.2004.07.002" TargetMode="External"/><Relationship Id="rId20" Type="http://schemas.openxmlformats.org/officeDocument/2006/relationships/image" Target="media/image8.png"/><Relationship Id="rId41" Type="http://schemas.openxmlformats.org/officeDocument/2006/relationships/hyperlink" Target="https://www.ich.or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2.xml"/><Relationship Id="rId23" Type="http://schemas.openxmlformats.org/officeDocument/2006/relationships/image" Target="media/image11.png"/><Relationship Id="rId28" Type="http://schemas.openxmlformats.org/officeDocument/2006/relationships/hyperlink" Target="https://www.wiley.com" TargetMode="External"/><Relationship Id="rId36" Type="http://schemas.openxmlformats.org/officeDocument/2006/relationships/hyperlink" Target="https://doi.org/10.1016/j.aca.2011.05.014" TargetMode="External"/><Relationship Id="rId49" Type="http://schemas.openxmlformats.org/officeDocument/2006/relationships/hyperlink" Target="https://doi.org/10.1002/bio.250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1477</TotalTime>
  <Pages>27</Pages>
  <Words>8389</Words>
  <Characters>47820</Characters>
  <Application>Microsoft Office Word</Application>
  <DocSecurity>0</DocSecurity>
  <Lines>398</Lines>
  <Paragraphs>112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Abdourahmane Khonté</dc:creator>
  <cp:keywords/>
  <dc:description/>
  <cp:lastModifiedBy>SDI 1084</cp:lastModifiedBy>
  <cp:revision>21</cp:revision>
  <dcterms:created xsi:type="dcterms:W3CDTF">2026-02-24T16:24:00Z</dcterms:created>
  <dcterms:modified xsi:type="dcterms:W3CDTF">2026-02-26T10:48:00Z</dcterms:modified>
</cp:coreProperties>
</file>