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8432F" w14:textId="08E7EA41" w:rsidR="00E40965" w:rsidRDefault="00E40965" w:rsidP="00B13501"/>
    <w:p w14:paraId="70627839" w14:textId="77777777" w:rsidR="0027101C" w:rsidRDefault="0027101C" w:rsidP="00B13501"/>
    <w:p w14:paraId="5A6B95D2" w14:textId="202F1D63" w:rsidR="00B13501" w:rsidRPr="00957E94" w:rsidRDefault="00944F9C" w:rsidP="00B13501">
      <w:pPr>
        <w:widowControl/>
        <w:suppressAutoHyphens w:val="0"/>
        <w:overflowPunct/>
        <w:autoSpaceDE/>
        <w:autoSpaceDN/>
        <w:adjustRightInd/>
        <w:spacing w:before="100" w:beforeAutospacing="1" w:after="100" w:afterAutospacing="1"/>
        <w:jc w:val="center"/>
        <w:textAlignment w:val="auto"/>
        <w:outlineLvl w:val="1"/>
        <w:rPr>
          <w:b/>
          <w:bCs/>
          <w:kern w:val="0"/>
          <w:sz w:val="32"/>
          <w:szCs w:val="32"/>
          <w:lang w:val="en-GB" w:eastAsia="en-US"/>
        </w:rPr>
      </w:pPr>
      <w:r w:rsidRPr="00957E94">
        <w:rPr>
          <w:b/>
          <w:bCs/>
          <w:kern w:val="0"/>
          <w:sz w:val="32"/>
          <w:szCs w:val="32"/>
          <w:lang w:val="en-GB" w:eastAsia="en-US"/>
        </w:rPr>
        <w:t>Impact of Emergency Preparedness on Emergency Response of Healthcare Workers in a Public Hospital in Rivers State</w:t>
      </w:r>
    </w:p>
    <w:p w14:paraId="3893B4B9" w14:textId="320EB7C0" w:rsidR="00A95EC6" w:rsidRDefault="00A95EC6" w:rsidP="00B13501">
      <w:pPr>
        <w:widowControl/>
        <w:suppressAutoHyphens w:val="0"/>
        <w:overflowPunct/>
        <w:autoSpaceDE/>
        <w:autoSpaceDN/>
        <w:adjustRightInd/>
        <w:jc w:val="center"/>
        <w:textAlignment w:val="auto"/>
        <w:outlineLvl w:val="1"/>
        <w:rPr>
          <w:kern w:val="0"/>
          <w:lang w:val="en-GB" w:eastAsia="en-US"/>
        </w:rPr>
      </w:pPr>
    </w:p>
    <w:p w14:paraId="79AC1AE3" w14:textId="77777777" w:rsidR="00A60015" w:rsidRPr="00957E94" w:rsidRDefault="00A60015" w:rsidP="00B13501">
      <w:pPr>
        <w:widowControl/>
        <w:suppressAutoHyphens w:val="0"/>
        <w:overflowPunct/>
        <w:autoSpaceDE/>
        <w:autoSpaceDN/>
        <w:adjustRightInd/>
        <w:jc w:val="center"/>
        <w:textAlignment w:val="auto"/>
        <w:outlineLvl w:val="1"/>
        <w:rPr>
          <w:kern w:val="0"/>
          <w:lang w:val="en-GB" w:eastAsia="en-US"/>
        </w:rPr>
      </w:pPr>
      <w:bookmarkStart w:id="0" w:name="_GoBack"/>
      <w:bookmarkEnd w:id="0"/>
    </w:p>
    <w:p w14:paraId="6C5F8F4C" w14:textId="0E493B27" w:rsidR="00B13501" w:rsidRPr="00B13501" w:rsidRDefault="00B13501" w:rsidP="00B13501">
      <w:pPr>
        <w:widowControl/>
        <w:suppressAutoHyphens w:val="0"/>
        <w:overflowPunct/>
        <w:autoSpaceDE/>
        <w:autoSpaceDN/>
        <w:adjustRightInd/>
        <w:jc w:val="center"/>
        <w:textAlignment w:val="auto"/>
        <w:outlineLvl w:val="1"/>
        <w:rPr>
          <w:b/>
          <w:bCs/>
          <w:kern w:val="0"/>
          <w:lang w:val="en-GB" w:eastAsia="en-US"/>
        </w:rPr>
      </w:pPr>
      <w:r w:rsidRPr="00B13501">
        <w:rPr>
          <w:b/>
          <w:bCs/>
          <w:kern w:val="0"/>
          <w:lang w:val="en-GB" w:eastAsia="en-US"/>
        </w:rPr>
        <w:t xml:space="preserve">Abstract </w:t>
      </w:r>
    </w:p>
    <w:p w14:paraId="29095A09" w14:textId="412FA5A6" w:rsidR="00B13501" w:rsidRPr="00B13501" w:rsidRDefault="005563AE" w:rsidP="00B13501">
      <w:pPr>
        <w:widowControl/>
        <w:suppressAutoHyphens w:val="0"/>
        <w:overflowPunct/>
        <w:autoSpaceDE/>
        <w:autoSpaceDN/>
        <w:adjustRightInd/>
        <w:spacing w:after="160"/>
        <w:jc w:val="both"/>
        <w:textAlignment w:val="auto"/>
        <w:rPr>
          <w:color w:val="000000"/>
        </w:rPr>
      </w:pPr>
      <w:r>
        <w:rPr>
          <w:color w:val="000000"/>
        </w:rPr>
        <w:t xml:space="preserve">This research was conducted to examine the impact of emergency preparedness on the emergency response of a public hospital in Rivers State. Emergency preparedness was defined by factors such as emergency training, planning, logistics, the triage system, and surge capacity, while emergency response was assessed through promptness and responsiveness. The study employed cross-sectional and inferential research designs. Purposive sampling was used to select government-owned hospitals in the State, specifically the University of Port-Harcourt Teaching Hospital, Rivers State. Data collection involved questionnaires and checklists. Analyses included descriptive statistics, correlation, and regression. Descriptive results showed a moderate level of emergency preparedness in the sampled hospital across emergency training, planning, logistics availability, triage system, and surge capacity, with mean scores of 3.29, 3.85, 3.30, 3.20, and 3.44, respectively. Conversely, emergency response was high among healthcare workers regarding promptness and responsiveness, with mean scores of 3.91 and 4.10. Regression analysis revealed that emergency planning (β = 0.866, p &lt; 0.0001) and the emergency triage system (β = 0.625, p = 0.015) significantly and positively influenced promptness. However, emergency training (β = -0.461, p &lt; 0.0001) had a significant negative effect on promptness, while logistics (β = 0.217, p = 0.346) and surge capacity (β = -0.146, p = 0.447) did not significantly affect promptness. Additionally, emergency training (β = 0.373, p &lt; 0.0001), planning (β = 0.403, p = 0.001), logistics (β = -0.835, p &lt; 0.0001), triage system (β = 0.413, p = 0.043), and surge capacity (β = 0.315, p = 0.042) significantly impacted responsiveness. In conclusion, the hospital demonstrated a good level of emergency preparedness and response, although logistics and surge capacity did not significantly influence promptness. It is recommended that hospital management focus on enhancing surge capacity and logistics, as these are the only emergency preparedness factors that did not significantly </w:t>
      </w:r>
      <w:r w:rsidR="000E6C72">
        <w:rPr>
          <w:color w:val="000000"/>
        </w:rPr>
        <w:t>impact promptness</w:t>
      </w:r>
      <w:r>
        <w:rPr>
          <w:color w:val="000000"/>
        </w:rPr>
        <w:t>.</w:t>
      </w:r>
    </w:p>
    <w:p w14:paraId="66CFD5D2"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outlineLvl w:val="1"/>
        <w:rPr>
          <w:b/>
          <w:bCs/>
          <w:kern w:val="0"/>
          <w:lang w:val="en-GB" w:eastAsia="en-US"/>
        </w:rPr>
      </w:pPr>
      <w:r w:rsidRPr="00B13501">
        <w:rPr>
          <w:b/>
          <w:color w:val="000000"/>
        </w:rPr>
        <w:t>Key Words: Emergency Preparedness, Emergency Response, Public Hospital, Rivers State.</w:t>
      </w:r>
    </w:p>
    <w:p w14:paraId="4E4ACF3A" w14:textId="06D6521E" w:rsidR="00B13501" w:rsidRPr="00944F9C" w:rsidRDefault="00B13501" w:rsidP="00944F9C">
      <w:pPr>
        <w:pStyle w:val="ListParagraph"/>
        <w:widowControl/>
        <w:numPr>
          <w:ilvl w:val="0"/>
          <w:numId w:val="3"/>
        </w:numPr>
        <w:suppressAutoHyphens w:val="0"/>
        <w:overflowPunct/>
        <w:autoSpaceDE/>
        <w:autoSpaceDN/>
        <w:adjustRightInd/>
        <w:spacing w:before="100" w:beforeAutospacing="1" w:after="100" w:afterAutospacing="1"/>
        <w:jc w:val="both"/>
        <w:textAlignment w:val="auto"/>
        <w:outlineLvl w:val="1"/>
        <w:rPr>
          <w:b/>
          <w:bCs/>
          <w:kern w:val="0"/>
          <w:lang w:val="en-GB" w:eastAsia="en-US"/>
        </w:rPr>
      </w:pPr>
      <w:r w:rsidRPr="00944F9C">
        <w:rPr>
          <w:b/>
          <w:bCs/>
          <w:kern w:val="0"/>
          <w:lang w:val="en-GB" w:eastAsia="en-US"/>
        </w:rPr>
        <w:t xml:space="preserve">Introduction </w:t>
      </w:r>
    </w:p>
    <w:p w14:paraId="26FCBA2A" w14:textId="35254FFE"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An emergency may occur from natural disasters like earthquake, drought, flood, cyclone, high winds, cloud burst, heat waves, landslide, forest fire, hail storm, locust, volcanic eruption, etc. or human failures like structural fault, waste water treatment, power disruption and disrupted lift operation, water crisis or accidents like fire, tilting cranes or even act of terrorism like bomb threat, chemical poisoning etc (</w:t>
      </w:r>
      <w:proofErr w:type="spellStart"/>
      <w:r w:rsidRPr="00B13501">
        <w:rPr>
          <w:rFonts w:eastAsia="Calibri"/>
          <w:kern w:val="0"/>
          <w:lang w:val="en-GB" w:eastAsia="en-US"/>
        </w:rPr>
        <w:t>Bengel</w:t>
      </w:r>
      <w:proofErr w:type="spellEnd"/>
      <w:r w:rsidRPr="00B13501">
        <w:rPr>
          <w:rFonts w:eastAsia="Calibri"/>
          <w:kern w:val="0"/>
          <w:lang w:val="en-GB" w:eastAsia="en-US"/>
        </w:rPr>
        <w:t xml:space="preserve">, 2018).  Successful emergency management of Hospitals depend on prompt and correct decisions of the staff and their immediate actions during the first minutes of the incident. In an emergency, the healthcare workers and visitors are on their own until first responders arrive. First responders may include Police, Fire Brigade, Medical Team, </w:t>
      </w:r>
      <w:proofErr w:type="spellStart"/>
      <w:r w:rsidRPr="00B13501">
        <w:rPr>
          <w:rFonts w:eastAsia="Calibri"/>
          <w:kern w:val="0"/>
          <w:lang w:val="en-GB" w:eastAsia="en-US"/>
        </w:rPr>
        <w:t>Neighbors</w:t>
      </w:r>
      <w:proofErr w:type="spellEnd"/>
      <w:r w:rsidRPr="00B13501">
        <w:rPr>
          <w:rFonts w:eastAsia="Calibri"/>
          <w:kern w:val="0"/>
          <w:lang w:val="en-GB" w:eastAsia="en-US"/>
        </w:rPr>
        <w:t>, Security Personnel and designated Emergency Officials, etc. In most cases, Police and Fire Brigade are expected to arrive first (</w:t>
      </w:r>
      <w:proofErr w:type="spellStart"/>
      <w:r w:rsidRPr="00B13501">
        <w:rPr>
          <w:rFonts w:eastAsia="Calibri"/>
          <w:kern w:val="0"/>
          <w:lang w:val="en-GB" w:eastAsia="en-US"/>
        </w:rPr>
        <w:t>Bengel</w:t>
      </w:r>
      <w:proofErr w:type="spellEnd"/>
      <w:r w:rsidRPr="00B13501">
        <w:rPr>
          <w:rFonts w:eastAsia="Calibri"/>
          <w:kern w:val="0"/>
          <w:lang w:val="en-GB" w:eastAsia="en-US"/>
        </w:rPr>
        <w:t>, 2018). Emergency management of hospitals in the urban areas is particularly complex owing to urbanization and its associated impacts which often increase the exposure of people and economic assets to hazards thereby creating new patterns of risks (</w:t>
      </w:r>
      <w:proofErr w:type="spellStart"/>
      <w:r w:rsidRPr="00B13501">
        <w:rPr>
          <w:rFonts w:eastAsia="Calibri"/>
          <w:kern w:val="0"/>
          <w:lang w:val="en-GB" w:eastAsia="en-US"/>
        </w:rPr>
        <w:t>Menya</w:t>
      </w:r>
      <w:proofErr w:type="spellEnd"/>
      <w:r w:rsidRPr="00B13501">
        <w:rPr>
          <w:rFonts w:eastAsia="Calibri"/>
          <w:kern w:val="0"/>
          <w:lang w:val="en-GB" w:eastAsia="en-US"/>
        </w:rPr>
        <w:t xml:space="preserve"> &amp; </w:t>
      </w:r>
      <w:proofErr w:type="spellStart"/>
      <w:r w:rsidRPr="00B13501">
        <w:rPr>
          <w:rFonts w:eastAsia="Calibri"/>
          <w:kern w:val="0"/>
          <w:lang w:val="en-GB" w:eastAsia="en-US"/>
        </w:rPr>
        <w:t>K’Akumu</w:t>
      </w:r>
      <w:proofErr w:type="spellEnd"/>
      <w:r w:rsidRPr="00B13501">
        <w:rPr>
          <w:rFonts w:eastAsia="Calibri"/>
          <w:kern w:val="0"/>
          <w:lang w:val="en-GB" w:eastAsia="en-US"/>
        </w:rPr>
        <w:t xml:space="preserve">, 2016). Continuous increase in pressure has significantly contributed to the recurrence of disasters and the emergence of new patterns and this is a </w:t>
      </w:r>
      <w:r w:rsidRPr="00B13501">
        <w:rPr>
          <w:rFonts w:eastAsia="Calibri"/>
          <w:kern w:val="0"/>
          <w:lang w:val="en-GB" w:eastAsia="en-US"/>
        </w:rPr>
        <w:lastRenderedPageBreak/>
        <w:t>common occurrence in cities across the world. This is one of the most serious problems not only in developing countries but also in developed worlds (</w:t>
      </w:r>
      <w:proofErr w:type="spellStart"/>
      <w:r w:rsidRPr="00B13501">
        <w:rPr>
          <w:rFonts w:eastAsia="Calibri"/>
          <w:kern w:val="0"/>
          <w:lang w:val="en-GB" w:eastAsia="en-US"/>
        </w:rPr>
        <w:t>Menya</w:t>
      </w:r>
      <w:proofErr w:type="spellEnd"/>
      <w:r w:rsidRPr="00B13501">
        <w:rPr>
          <w:rFonts w:eastAsia="Calibri"/>
          <w:kern w:val="0"/>
          <w:lang w:val="en-GB" w:eastAsia="en-US"/>
        </w:rPr>
        <w:t xml:space="preserve"> &amp; </w:t>
      </w:r>
      <w:proofErr w:type="spellStart"/>
      <w:r w:rsidRPr="00B13501">
        <w:rPr>
          <w:rFonts w:eastAsia="Calibri"/>
          <w:kern w:val="0"/>
          <w:lang w:val="en-GB" w:eastAsia="en-US"/>
        </w:rPr>
        <w:t>K’Akumu</w:t>
      </w:r>
      <w:proofErr w:type="spellEnd"/>
      <w:r w:rsidRPr="00B13501">
        <w:rPr>
          <w:rFonts w:eastAsia="Calibri"/>
          <w:kern w:val="0"/>
          <w:lang w:val="en-GB" w:eastAsia="en-US"/>
        </w:rPr>
        <w:t>, 2016).</w:t>
      </w:r>
    </w:p>
    <w:p w14:paraId="2EF883B4" w14:textId="77777777" w:rsidR="00C365C0" w:rsidRDefault="00B13501" w:rsidP="00B13501">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B13501">
        <w:rPr>
          <w:rFonts w:eastAsia="Calibri"/>
          <w:kern w:val="0"/>
          <w:lang w:val="en-GB" w:eastAsia="en-US"/>
        </w:rPr>
        <w:t>Because of the unique nature of activities and operations of hospitals and medical centres globally, they are among the sectors that are faced with two main types of emergencies, internal and external emergencies (</w:t>
      </w:r>
      <w:proofErr w:type="spellStart"/>
      <w:r w:rsidRPr="00B13501">
        <w:rPr>
          <w:rFonts w:eastAsia="Calibri"/>
          <w:kern w:val="0"/>
          <w:lang w:val="en-GB" w:eastAsia="en-US"/>
        </w:rPr>
        <w:t>Menya</w:t>
      </w:r>
      <w:proofErr w:type="spellEnd"/>
      <w:r w:rsidRPr="00B13501">
        <w:rPr>
          <w:rFonts w:eastAsia="Calibri"/>
          <w:kern w:val="0"/>
          <w:lang w:val="en-GB" w:eastAsia="en-US"/>
        </w:rPr>
        <w:t xml:space="preserve"> &amp; </w:t>
      </w:r>
      <w:proofErr w:type="spellStart"/>
      <w:r w:rsidRPr="00B13501">
        <w:rPr>
          <w:rFonts w:eastAsia="Calibri"/>
          <w:kern w:val="0"/>
          <w:lang w:val="en-GB" w:eastAsia="en-US"/>
        </w:rPr>
        <w:t>K’Akumu</w:t>
      </w:r>
      <w:proofErr w:type="spellEnd"/>
      <w:r w:rsidRPr="00B13501">
        <w:rPr>
          <w:rFonts w:eastAsia="Calibri"/>
          <w:kern w:val="0"/>
          <w:lang w:val="en-GB" w:eastAsia="en-US"/>
        </w:rPr>
        <w:t xml:space="preserve">, 2016). Internal emergencies are the events or situations that occur within the walls of the hospital which directly affect or hamper the operation of the hospital such as fire incidents, bomb threats, active shooters, power outages, radiation exposure etc, while external emergency is the crisis that occurs outside the hospital but the hospitals' </w:t>
      </w:r>
      <w:proofErr w:type="spellStart"/>
      <w:r w:rsidRPr="00B13501">
        <w:rPr>
          <w:rFonts w:eastAsia="Calibri"/>
          <w:kern w:val="0"/>
          <w:lang w:val="en-GB" w:eastAsia="en-US"/>
        </w:rPr>
        <w:t>person</w:t>
      </w:r>
      <w:r w:rsidR="003D63DD">
        <w:rPr>
          <w:rFonts w:eastAsia="Calibri"/>
          <w:kern w:val="0"/>
          <w:lang w:val="en-GB" w:eastAsia="en-US"/>
        </w:rPr>
        <w:t>ne</w:t>
      </w:r>
      <w:r w:rsidRPr="00B13501">
        <w:rPr>
          <w:rFonts w:eastAsia="Calibri"/>
          <w:kern w:val="0"/>
          <w:lang w:val="en-GB" w:eastAsia="en-US"/>
        </w:rPr>
        <w:t>ls</w:t>
      </w:r>
      <w:proofErr w:type="spellEnd"/>
      <w:r w:rsidRPr="00B13501">
        <w:rPr>
          <w:rFonts w:eastAsia="Calibri"/>
          <w:kern w:val="0"/>
          <w:lang w:val="en-GB" w:eastAsia="en-US"/>
        </w:rPr>
        <w:t xml:space="preserve"> are supposed to </w:t>
      </w:r>
      <w:r w:rsidR="003D63DD" w:rsidRPr="00B13501">
        <w:rPr>
          <w:rFonts w:eastAsia="Calibri"/>
          <w:kern w:val="0"/>
          <w:lang w:val="en-GB" w:eastAsia="en-US"/>
        </w:rPr>
        <w:t>respond</w:t>
      </w:r>
      <w:r w:rsidRPr="00B13501">
        <w:rPr>
          <w:rFonts w:eastAsia="Calibri"/>
          <w:kern w:val="0"/>
          <w:lang w:val="en-GB" w:eastAsia="en-US"/>
        </w:rPr>
        <w:t xml:space="preserve"> directly to prevent loss of life that may arise from the crises. Examples include but are not limited to aircraft crashes, train crashes, bus crashes, structural collapse, explosions, natural disasters and emergencies at other facilities (</w:t>
      </w:r>
      <w:proofErr w:type="spellStart"/>
      <w:r w:rsidRPr="00B13501">
        <w:rPr>
          <w:rFonts w:eastAsia="Calibri"/>
          <w:kern w:val="0"/>
          <w:lang w:val="en-GB" w:eastAsia="en-US"/>
        </w:rPr>
        <w:t>Menya</w:t>
      </w:r>
      <w:proofErr w:type="spellEnd"/>
      <w:r w:rsidRPr="00B13501">
        <w:rPr>
          <w:rFonts w:eastAsia="Calibri"/>
          <w:kern w:val="0"/>
          <w:lang w:val="en-GB" w:eastAsia="en-US"/>
        </w:rPr>
        <w:t xml:space="preserve"> &amp; </w:t>
      </w:r>
      <w:proofErr w:type="spellStart"/>
      <w:r w:rsidRPr="00B13501">
        <w:rPr>
          <w:rFonts w:eastAsia="Calibri"/>
          <w:kern w:val="0"/>
          <w:lang w:val="en-GB" w:eastAsia="en-US"/>
        </w:rPr>
        <w:t>K’Akumu</w:t>
      </w:r>
      <w:proofErr w:type="spellEnd"/>
      <w:r w:rsidRPr="00B13501">
        <w:rPr>
          <w:rFonts w:eastAsia="Calibri"/>
          <w:kern w:val="0"/>
          <w:lang w:val="en-GB" w:eastAsia="en-US"/>
        </w:rPr>
        <w:t xml:space="preserve">, 2016). </w:t>
      </w:r>
    </w:p>
    <w:p w14:paraId="487EABC8" w14:textId="0EE14BBD"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B13501">
        <w:rPr>
          <w:rFonts w:eastAsia="Calibri"/>
          <w:kern w:val="0"/>
          <w:lang w:val="en-GB" w:eastAsia="en-US"/>
        </w:rPr>
        <w:t xml:space="preserve">In </w:t>
      </w:r>
      <w:r w:rsidRPr="006B5523">
        <w:rPr>
          <w:rFonts w:eastAsia="Calibri"/>
          <w:kern w:val="0"/>
          <w:lang w:val="en-GB" w:eastAsia="en-US"/>
        </w:rPr>
        <w:t xml:space="preserve">this current study, the main focus is on the external emergency preparedness and response </w:t>
      </w:r>
      <w:r w:rsidR="000E6C72" w:rsidRPr="006B5523">
        <w:rPr>
          <w:rFonts w:eastAsia="Calibri"/>
          <w:kern w:val="0"/>
          <w:lang w:val="en-GB" w:eastAsia="en-US"/>
        </w:rPr>
        <w:t>of hospitals</w:t>
      </w:r>
      <w:r w:rsidRPr="006B5523">
        <w:rPr>
          <w:rFonts w:eastAsia="Calibri"/>
          <w:kern w:val="0"/>
          <w:lang w:val="en-GB" w:eastAsia="en-US"/>
        </w:rPr>
        <w:t xml:space="preserve"> with particular interest in public-owned hospital sited within Rivers State, Nigeria.</w:t>
      </w:r>
      <w:r w:rsidRPr="00B13501">
        <w:rPr>
          <w:rFonts w:eastAsia="Calibri"/>
          <w:kern w:val="0"/>
          <w:lang w:val="en-GB" w:eastAsia="en-US"/>
        </w:rPr>
        <w:t xml:space="preserve"> Thus, to effectively </w:t>
      </w:r>
      <w:r w:rsidRPr="00B13501">
        <w:rPr>
          <w:kern w:val="0"/>
          <w:lang w:val="en-GB" w:eastAsia="en-US"/>
        </w:rPr>
        <w:t xml:space="preserve">evaluate the readiness of any hospital to external crises, it is important to consider factors such as managing medical assessment and treatment for large numbers of patients, effectively handling contaminated patients, recognizing and managing consequences of bioterrorism, protecting employees and patients, and ensuring continuity of everyday emergency care.  To enhance the response of </w:t>
      </w:r>
      <w:r w:rsidRPr="00B13501">
        <w:rPr>
          <w:rFonts w:eastAsia="Calibri"/>
          <w:kern w:val="0"/>
          <w:lang w:val="en-GB" w:eastAsia="en-US"/>
        </w:rPr>
        <w:t>hospitals to emergencies, the hospital must have a safety policy, emergency response procedure and elaborate evacuation plan specific to the people at different emergenc</w:t>
      </w:r>
      <w:r w:rsidR="003D63DD">
        <w:rPr>
          <w:rFonts w:eastAsia="Calibri"/>
          <w:kern w:val="0"/>
          <w:lang w:val="en-GB" w:eastAsia="en-US"/>
        </w:rPr>
        <w:t>ies</w:t>
      </w:r>
      <w:r w:rsidRPr="00B13501">
        <w:rPr>
          <w:rFonts w:eastAsia="Calibri"/>
          <w:kern w:val="0"/>
          <w:lang w:val="en-GB" w:eastAsia="en-US"/>
        </w:rPr>
        <w:t xml:space="preserve"> based on the design and layout of their locations such as buildings, roads, staircases, roofs, open landscape and the people available for response during an emergency. </w:t>
      </w:r>
    </w:p>
    <w:p w14:paraId="3E90FF48" w14:textId="09654BD3"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kern w:val="0"/>
          <w:lang w:val="en-GB" w:eastAsia="en-US"/>
        </w:rPr>
      </w:pPr>
      <w:r w:rsidRPr="00B13501">
        <w:rPr>
          <w:kern w:val="0"/>
          <w:lang w:val="en-GB" w:eastAsia="en-US"/>
        </w:rPr>
        <w:t xml:space="preserve">Emergency preparedness in healthcare facilities is a critical aspect that requires thorough assessment to ensure the safety and well-being of patients, staff, and the community during times of crisis (York &amp; Macalister, 2015). Hospitals should have a comprehensive plan in place to effectively respond to various types of emergencies, including man-made incidents, unintentional accidents, and weather-related events. This plan </w:t>
      </w:r>
      <w:r w:rsidR="006B5523">
        <w:rPr>
          <w:kern w:val="0"/>
          <w:lang w:val="en-GB" w:eastAsia="en-US"/>
        </w:rPr>
        <w:t>e</w:t>
      </w:r>
      <w:r w:rsidRPr="00B13501">
        <w:rPr>
          <w:kern w:val="0"/>
          <w:lang w:val="en-GB" w:eastAsia="en-US"/>
        </w:rPr>
        <w:t>ncompass</w:t>
      </w:r>
      <w:r w:rsidR="006B5523">
        <w:rPr>
          <w:kern w:val="0"/>
          <w:lang w:val="en-GB" w:eastAsia="en-US"/>
        </w:rPr>
        <w:t>es</w:t>
      </w:r>
      <w:r w:rsidRPr="00B13501">
        <w:rPr>
          <w:kern w:val="0"/>
          <w:lang w:val="en-GB" w:eastAsia="en-US"/>
        </w:rPr>
        <w:t xml:space="preserve"> an all-hazards approach, which involves conducting an annual hazard vulnerability analysis to identify potential risks and vulnerabilities. Additionally, hospitals must consider both internal and external emergencies and develop appropriate response programs for each. Furthermore, while there is often a greater emphasis on preparedness for external emergencies, such as terrorist acts or natural disasters, it is crucial for hospitals to also prioritize preparedness for internal emergencies within their facility. This includes having robust programs in place for fire safety, bomb threats, and other internal inciden</w:t>
      </w:r>
      <w:r w:rsidR="006B5523">
        <w:rPr>
          <w:kern w:val="0"/>
          <w:lang w:val="en-GB" w:eastAsia="en-US"/>
        </w:rPr>
        <w:t>ts</w:t>
      </w:r>
      <w:r w:rsidRPr="00B13501">
        <w:rPr>
          <w:kern w:val="0"/>
          <w:lang w:val="en-GB" w:eastAsia="en-US"/>
        </w:rPr>
        <w:t xml:space="preserve">. </w:t>
      </w:r>
    </w:p>
    <w:p w14:paraId="5B9E4F03"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B13501">
        <w:rPr>
          <w:kern w:val="0"/>
          <w:lang w:val="en-GB" w:eastAsia="en-US"/>
        </w:rPr>
        <w:t xml:space="preserve">To ensure effective emergency preparedness and response, hospitals must actively involve regulatory and accrediting agencies in their planning and management efforts. These agencies play a key role in providing guidance and oversight to help healthcare facilities meet regulatory standards and ensure they are adequately prepared to handle both internal and external emergencies. Furthermore, hospitals must also consider the legal aspects of emergency preparedness. They should assess potential legal issues that may arise during or after an emergency, such as negligence, discrimination, and criminal culpability (Hodge </w:t>
      </w:r>
      <w:r w:rsidRPr="00B13501">
        <w:rPr>
          <w:i/>
          <w:iCs/>
          <w:kern w:val="0"/>
          <w:lang w:val="en-GB" w:eastAsia="en-US"/>
        </w:rPr>
        <w:t>et al.,</w:t>
      </w:r>
      <w:r w:rsidRPr="00B13501">
        <w:rPr>
          <w:kern w:val="0"/>
          <w:lang w:val="en-GB" w:eastAsia="en-US"/>
        </w:rPr>
        <w:t xml:space="preserve"> 2009). Hospitals need to prioritize emergency preparedness and have robust programs in place to effectively respond to internal and external emergencies. The actual emergency response programs of healthcare facilities indicate that much more effort has gone into a prepared response to external emergencies than to internal emergencies. However, healthcare facilities need to allocate equal attention and resources to preparedness for internal emergencies.</w:t>
      </w:r>
      <w:r w:rsidRPr="00B13501">
        <w:rPr>
          <w:rFonts w:eastAsia="Calibri"/>
          <w:kern w:val="0"/>
          <w:lang w:val="en-GB" w:eastAsia="en-US"/>
        </w:rPr>
        <w:t xml:space="preserve"> The planning and management of emergency incidents and conditions in healthcare organizations come in various forms, including intentional acts, unintentional accidents, and weather-related events (</w:t>
      </w:r>
      <w:proofErr w:type="spellStart"/>
      <w:r w:rsidRPr="00B13501">
        <w:rPr>
          <w:rFonts w:eastAsia="Calibri"/>
          <w:kern w:val="0"/>
          <w:lang w:val="en-GB" w:eastAsia="en-US"/>
        </w:rPr>
        <w:t>Menya</w:t>
      </w:r>
      <w:proofErr w:type="spellEnd"/>
      <w:r w:rsidRPr="00B13501">
        <w:rPr>
          <w:rFonts w:eastAsia="Calibri"/>
          <w:kern w:val="0"/>
          <w:lang w:val="en-GB" w:eastAsia="en-US"/>
        </w:rPr>
        <w:t xml:space="preserve"> &amp; </w:t>
      </w:r>
      <w:proofErr w:type="spellStart"/>
      <w:r w:rsidRPr="00B13501">
        <w:rPr>
          <w:rFonts w:eastAsia="Calibri"/>
          <w:kern w:val="0"/>
          <w:lang w:val="en-GB" w:eastAsia="en-US"/>
        </w:rPr>
        <w:t>K’Akumu</w:t>
      </w:r>
      <w:proofErr w:type="spellEnd"/>
      <w:r w:rsidRPr="00B13501">
        <w:rPr>
          <w:rFonts w:eastAsia="Calibri"/>
          <w:kern w:val="0"/>
          <w:lang w:val="en-GB" w:eastAsia="en-US"/>
        </w:rPr>
        <w:t>, 2016).</w:t>
      </w:r>
    </w:p>
    <w:p w14:paraId="634A0878" w14:textId="0DFBF630"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lastRenderedPageBreak/>
        <w:t xml:space="preserve">In Nigeria, poor preparedness and response to emergency situations mainly flood situations and fire outbreaks have devastated almost the major markets within some cities including recurrent outbreaks in residential and industrial land-uses. Lives and properties worth billions of naira were lost over the years. For instance, in Kano state, a total of 936 deaths were recorded as a result of emergency fire outbreaks between 2008 and 2012 due to poor level of preparedness and response to emergency situation by the traders and hospitals workers (Isa </w:t>
      </w:r>
      <w:r w:rsidRPr="00B13501">
        <w:rPr>
          <w:rFonts w:eastAsia="Calibri"/>
          <w:i/>
          <w:iCs/>
          <w:kern w:val="0"/>
          <w:lang w:val="en-GB" w:eastAsia="en-US"/>
        </w:rPr>
        <w:t>et al.,</w:t>
      </w:r>
      <w:r w:rsidRPr="00B13501">
        <w:rPr>
          <w:rFonts w:eastAsia="Calibri"/>
          <w:kern w:val="0"/>
          <w:lang w:val="en-GB" w:eastAsia="en-US"/>
        </w:rPr>
        <w:t xml:space="preserve"> 2016). In South Africa, a total of about 35,000 hospital emergencies were reported in 2018, with the majority of them being fire incidents that originate</w:t>
      </w:r>
      <w:r w:rsidR="00BA4AA6">
        <w:rPr>
          <w:rFonts w:eastAsia="Calibri"/>
          <w:kern w:val="0"/>
          <w:lang w:val="en-GB" w:eastAsia="en-US"/>
        </w:rPr>
        <w:t>d</w:t>
      </w:r>
      <w:r w:rsidRPr="00B13501">
        <w:rPr>
          <w:rFonts w:eastAsia="Calibri"/>
          <w:kern w:val="0"/>
          <w:lang w:val="en-GB" w:eastAsia="en-US"/>
        </w:rPr>
        <w:t xml:space="preserve"> from open flames during bush burnings. These emergencies resulted to about 380 fatalities and more than ZAR 2.3 billion (Zuid-</w:t>
      </w:r>
      <w:proofErr w:type="spellStart"/>
      <w:r w:rsidRPr="00B13501">
        <w:rPr>
          <w:rFonts w:eastAsia="Calibri"/>
          <w:kern w:val="0"/>
          <w:lang w:val="en-GB" w:eastAsia="en-US"/>
        </w:rPr>
        <w:t>Afrikaanse</w:t>
      </w:r>
      <w:proofErr w:type="spellEnd"/>
      <w:r w:rsidRPr="00B13501">
        <w:rPr>
          <w:rFonts w:eastAsia="Calibri"/>
          <w:kern w:val="0"/>
          <w:lang w:val="en-GB" w:eastAsia="en-US"/>
        </w:rPr>
        <w:t xml:space="preserve"> Rand) of financial losses. In 2018, more than 40,000 emergencies were reported and the poor preparedness and response to these emergencies resulted in 376 fatalities and about ZAR 4 billion in financial loss, again with open flames during waste, grass or bush burnings identified as the source of most of the fires (Strydom &amp; Savage, 2020). The year 2019 experienced similar statistics with a high number of fatalities caused by emergencies mostly fires and road crash accidents and a large financial loss.</w:t>
      </w:r>
    </w:p>
    <w:p w14:paraId="2A33D064" w14:textId="4F746C83" w:rsidR="00B13501" w:rsidRPr="00B13501" w:rsidRDefault="00B13501" w:rsidP="00B13501">
      <w:pPr>
        <w:widowControl/>
        <w:suppressAutoHyphens w:val="0"/>
        <w:overflowPunct/>
        <w:autoSpaceDE/>
        <w:autoSpaceDN/>
        <w:adjustRightInd/>
        <w:spacing w:after="200"/>
        <w:jc w:val="both"/>
        <w:textAlignment w:val="auto"/>
        <w:rPr>
          <w:rFonts w:eastAsia="Calibri"/>
          <w:kern w:val="0"/>
          <w:lang w:val="en-GB" w:eastAsia="en-US"/>
        </w:rPr>
      </w:pPr>
      <w:r w:rsidRPr="00B13501">
        <w:rPr>
          <w:kern w:val="0"/>
          <w:lang w:val="en-GB" w:eastAsia="en-US"/>
        </w:rPr>
        <w:t>The consequences of inadequate emergency preparedness and response in hospitals can be severe and far-reaching. Hospitals play a crucial role in a coordinated response system during emergencies and disasters; thus, inadequate preparedness and response could lead to the loss of lives, arising from poor management and allocation of emergency resources effectively (</w:t>
      </w:r>
      <w:bookmarkStart w:id="1" w:name="_Hlk158532373"/>
      <w:proofErr w:type="spellStart"/>
      <w:r w:rsidRPr="00B13501">
        <w:rPr>
          <w:kern w:val="0"/>
          <w:lang w:val="en-GB" w:eastAsia="en-US"/>
        </w:rPr>
        <w:t>Khirekar</w:t>
      </w:r>
      <w:proofErr w:type="spellEnd"/>
      <w:r w:rsidRPr="00B13501">
        <w:rPr>
          <w:kern w:val="0"/>
          <w:lang w:val="en-GB" w:eastAsia="en-US"/>
        </w:rPr>
        <w:t xml:space="preserve">, </w:t>
      </w:r>
      <w:r w:rsidRPr="00B13501">
        <w:rPr>
          <w:i/>
          <w:iCs/>
          <w:kern w:val="0"/>
          <w:lang w:val="en-GB" w:eastAsia="en-US"/>
        </w:rPr>
        <w:t>et al.,</w:t>
      </w:r>
      <w:r w:rsidRPr="00B13501">
        <w:rPr>
          <w:kern w:val="0"/>
          <w:lang w:val="en-GB" w:eastAsia="en-US"/>
        </w:rPr>
        <w:t xml:space="preserve"> 2023</w:t>
      </w:r>
      <w:bookmarkEnd w:id="1"/>
      <w:r w:rsidRPr="00B13501">
        <w:rPr>
          <w:kern w:val="0"/>
          <w:lang w:val="en-GB" w:eastAsia="en-US"/>
        </w:rPr>
        <w:t>). Furthermore, a lack of comprehensive planning for large-scale events and insufficient collaboration on emergency preparedness and response can significantly impact a hospital's ability to mitigate, respond to, and recover from natural and human-made emergencies and disasters. In addition, inadequate emergency preparedness can lead to the loss of trust in local authorities, expose patients and health workers to further risks, and result in severe social consequences (</w:t>
      </w:r>
      <w:bookmarkStart w:id="2" w:name="_Hlk158532387"/>
      <w:proofErr w:type="spellStart"/>
      <w:r w:rsidRPr="00B13501">
        <w:rPr>
          <w:kern w:val="0"/>
          <w:lang w:val="en-GB" w:eastAsia="en-US"/>
        </w:rPr>
        <w:t>Tekeli-Yesil</w:t>
      </w:r>
      <w:proofErr w:type="spellEnd"/>
      <w:r w:rsidRPr="00B13501">
        <w:rPr>
          <w:kern w:val="0"/>
          <w:lang w:val="en-GB" w:eastAsia="en-US"/>
        </w:rPr>
        <w:t xml:space="preserve"> &amp; Kiran, 2020</w:t>
      </w:r>
      <w:bookmarkEnd w:id="2"/>
      <w:r w:rsidRPr="00B13501">
        <w:rPr>
          <w:kern w:val="0"/>
          <w:lang w:val="en-GB" w:eastAsia="en-US"/>
        </w:rPr>
        <w:t xml:space="preserve">). Therefore, hospitals need to ensure that they are well-prepared to effectively respond to a wide range of emergencies and disasters to safeguard the health and well-being of their communities. It is on this baseline and standpoint that this current study </w:t>
      </w:r>
      <w:r w:rsidR="00BA4AA6">
        <w:rPr>
          <w:kern w:val="0"/>
          <w:lang w:val="en-GB" w:eastAsia="en-US"/>
        </w:rPr>
        <w:t>was</w:t>
      </w:r>
      <w:r w:rsidRPr="00B13501">
        <w:rPr>
          <w:kern w:val="0"/>
          <w:lang w:val="en-GB" w:eastAsia="en-US"/>
        </w:rPr>
        <w:t xml:space="preserve"> designed to assess the impact of external emergency preparedness on response of healthcare workers in government-owned hospitals in the Rivers State</w:t>
      </w:r>
      <w:r w:rsidRPr="00B13501">
        <w:rPr>
          <w:sz w:val="16"/>
          <w:szCs w:val="16"/>
        </w:rPr>
        <w:t>.</w:t>
      </w:r>
      <w:r w:rsidRPr="00B13501">
        <w:rPr>
          <w:kern w:val="0"/>
          <w:lang w:val="en-GB" w:eastAsia="en-US"/>
        </w:rPr>
        <w:t xml:space="preserve">  Therefore, this current paper aims to investigate the impact of emergency preparedness on the emergency response of healthcare workers in a government-owned Hospital in Rivers State. The objectives are to</w:t>
      </w:r>
      <w:r w:rsidR="00BA4AA6">
        <w:rPr>
          <w:kern w:val="0"/>
          <w:lang w:val="en-GB" w:eastAsia="en-US"/>
        </w:rPr>
        <w:t>:</w:t>
      </w:r>
      <w:r w:rsidRPr="00B13501">
        <w:rPr>
          <w:kern w:val="0"/>
          <w:lang w:val="en-GB" w:eastAsia="en-US"/>
        </w:rPr>
        <w:t xml:space="preserve"> </w:t>
      </w:r>
      <w:bookmarkStart w:id="3" w:name="_Hlk188333422"/>
      <w:r w:rsidRPr="00B13501">
        <w:rPr>
          <w:kern w:val="0"/>
          <w:lang w:val="en-GB" w:eastAsia="en-US"/>
        </w:rPr>
        <w:t xml:space="preserve">one, </w:t>
      </w:r>
      <w:r w:rsidRPr="00B13501">
        <w:rPr>
          <w:rFonts w:eastAsia="Calibri"/>
          <w:kern w:val="0"/>
          <w:lang w:val="en-GB" w:eastAsia="en-US"/>
        </w:rPr>
        <w:t>determine the level of emergency preparedness (training, planning, logistics, surge capacity and triage) of the sampled hospital</w:t>
      </w:r>
      <w:bookmarkEnd w:id="3"/>
      <w:r w:rsidR="00BA4AA6">
        <w:rPr>
          <w:rFonts w:eastAsia="Calibri"/>
          <w:kern w:val="0"/>
          <w:lang w:val="en-GB" w:eastAsia="en-US"/>
        </w:rPr>
        <w:t xml:space="preserve">; </w:t>
      </w:r>
      <w:r w:rsidRPr="00B13501">
        <w:rPr>
          <w:rFonts w:eastAsia="Calibri"/>
          <w:kern w:val="0"/>
          <w:lang w:val="en-GB" w:eastAsia="en-US"/>
        </w:rPr>
        <w:t>two, evaluate the level of emergency response (promptness and responsiveness) of the healthcare workers in the sampled hospital</w:t>
      </w:r>
      <w:r w:rsidR="00BA4AA6">
        <w:rPr>
          <w:rFonts w:eastAsia="Calibri"/>
          <w:kern w:val="0"/>
          <w:lang w:val="en-GB" w:eastAsia="en-US"/>
        </w:rPr>
        <w:t xml:space="preserve">; </w:t>
      </w:r>
      <w:r w:rsidRPr="00B13501">
        <w:rPr>
          <w:rFonts w:eastAsia="Calibri"/>
          <w:kern w:val="0"/>
          <w:lang w:val="en-GB" w:eastAsia="en-US"/>
        </w:rPr>
        <w:t>and three, carry out multiple regression analysis to investigate the impact of emergency preparedness on the response of the healthcare workers in the sampled hospital.</w:t>
      </w:r>
    </w:p>
    <w:p w14:paraId="20CE5C47" w14:textId="77777777" w:rsidR="00B13501" w:rsidRPr="00B13501" w:rsidRDefault="00B13501" w:rsidP="00B13501">
      <w:pPr>
        <w:widowControl/>
        <w:suppressAutoHyphens w:val="0"/>
        <w:overflowPunct/>
        <w:autoSpaceDE/>
        <w:autoSpaceDN/>
        <w:adjustRightInd/>
        <w:spacing w:after="200"/>
        <w:jc w:val="both"/>
        <w:textAlignment w:val="auto"/>
        <w:rPr>
          <w:rFonts w:eastAsia="Calibri"/>
          <w:kern w:val="0"/>
          <w:lang w:val="en-GB" w:eastAsia="en-US"/>
        </w:rPr>
      </w:pPr>
    </w:p>
    <w:p w14:paraId="27B6E25E" w14:textId="4073C72A" w:rsidR="00B13501" w:rsidRPr="00B13501" w:rsidRDefault="00B13501" w:rsidP="00B13501">
      <w:pPr>
        <w:widowControl/>
        <w:suppressAutoHyphens w:val="0"/>
        <w:overflowPunct/>
        <w:autoSpaceDE/>
        <w:autoSpaceDN/>
        <w:adjustRightInd/>
        <w:spacing w:after="200"/>
        <w:jc w:val="both"/>
        <w:textAlignment w:val="auto"/>
        <w:rPr>
          <w:rFonts w:eastAsia="Calibri"/>
          <w:b/>
          <w:kern w:val="0"/>
          <w:lang w:val="en-GB" w:eastAsia="en-US"/>
        </w:rPr>
      </w:pPr>
      <w:r w:rsidRPr="00B13501">
        <w:rPr>
          <w:rFonts w:eastAsia="Calibri"/>
          <w:b/>
          <w:kern w:val="0"/>
          <w:lang w:val="en-GB" w:eastAsia="en-US"/>
        </w:rPr>
        <w:t xml:space="preserve">2. Methodology </w:t>
      </w:r>
    </w:p>
    <w:p w14:paraId="2E16EA12" w14:textId="77777777" w:rsidR="00B13501" w:rsidRPr="00B13501" w:rsidRDefault="00B13501" w:rsidP="00B13501">
      <w:pPr>
        <w:widowControl/>
        <w:suppressAutoHyphens w:val="0"/>
        <w:overflowPunct/>
        <w:autoSpaceDE/>
        <w:autoSpaceDN/>
        <w:adjustRightInd/>
        <w:spacing w:after="200"/>
        <w:jc w:val="both"/>
        <w:textAlignment w:val="auto"/>
        <w:rPr>
          <w:rFonts w:eastAsia="Calibri"/>
          <w:b/>
          <w:kern w:val="0"/>
          <w:lang w:val="en-GB" w:eastAsia="en-US"/>
        </w:rPr>
      </w:pPr>
      <w:r w:rsidRPr="00B13501">
        <w:rPr>
          <w:rFonts w:eastAsia="Calibri"/>
          <w:b/>
          <w:kern w:val="0"/>
          <w:lang w:val="en-GB" w:eastAsia="en-US"/>
        </w:rPr>
        <w:t xml:space="preserve">2.1 Research Design </w:t>
      </w:r>
    </w:p>
    <w:p w14:paraId="401E77AD" w14:textId="63DD1C34" w:rsidR="00B13501" w:rsidRPr="00B13501" w:rsidRDefault="00B13501" w:rsidP="00B13501">
      <w:pPr>
        <w:widowControl/>
        <w:suppressAutoHyphens w:val="0"/>
        <w:overflowPunct/>
        <w:autoSpaceDE/>
        <w:autoSpaceDN/>
        <w:adjustRightInd/>
        <w:spacing w:after="160"/>
        <w:jc w:val="both"/>
        <w:textAlignment w:val="auto"/>
        <w:rPr>
          <w:rFonts w:eastAsia="Calibri"/>
          <w:b/>
          <w:kern w:val="0"/>
          <w:lang w:val="en-GB" w:eastAsia="en-US"/>
        </w:rPr>
      </w:pPr>
      <w:r w:rsidRPr="00B13501">
        <w:rPr>
          <w:rFonts w:eastAsia="Calibri"/>
          <w:kern w:val="0"/>
          <w:lang w:val="en-GB" w:eastAsia="en-US"/>
        </w:rPr>
        <w:t xml:space="preserve">The research design adopted in this study was a combination of cross-sectional descriptive and inferential design. </w:t>
      </w:r>
      <w:r w:rsidRPr="00B13501">
        <w:rPr>
          <w:rFonts w:eastAsia="Calibri"/>
          <w:color w:val="000000"/>
          <w:kern w:val="0"/>
          <w:lang w:val="en-GB" w:eastAsia="en-US"/>
        </w:rPr>
        <w:t xml:space="preserve">A cross-sectional design was adopted to determine the level of </w:t>
      </w:r>
      <w:r w:rsidRPr="00FC4ADC">
        <w:rPr>
          <w:rFonts w:eastAsia="Calibri"/>
          <w:color w:val="000000"/>
          <w:kern w:val="0"/>
          <w:lang w:val="en-GB" w:eastAsia="en-US"/>
        </w:rPr>
        <w:t>external emergency preparedness of the hospital and also the level of response of the healthcare workers in the hospital to</w:t>
      </w:r>
      <w:r w:rsidRPr="00B13501">
        <w:rPr>
          <w:rFonts w:eastAsia="Calibri"/>
          <w:color w:val="000000"/>
          <w:kern w:val="0"/>
          <w:lang w:val="en-GB" w:eastAsia="en-US"/>
        </w:rPr>
        <w:t xml:space="preserve"> emergencies. This research design is appropriate and also suitable for this section</w:t>
      </w:r>
      <w:r w:rsidR="00E33E28">
        <w:rPr>
          <w:rFonts w:eastAsia="Calibri"/>
          <w:color w:val="000000"/>
          <w:kern w:val="0"/>
          <w:lang w:val="en-GB" w:eastAsia="en-US"/>
        </w:rPr>
        <w:t>.</w:t>
      </w:r>
      <w:r w:rsidRPr="00B13501">
        <w:rPr>
          <w:rFonts w:eastAsia="Calibri"/>
          <w:kern w:val="0"/>
          <w:lang w:val="en-GB" w:eastAsia="en-US"/>
        </w:rPr>
        <w:t xml:space="preserve"> </w:t>
      </w:r>
      <w:r w:rsidR="00E33E28">
        <w:rPr>
          <w:rFonts w:eastAsia="Calibri"/>
          <w:kern w:val="0"/>
          <w:lang w:val="en-GB" w:eastAsia="en-US"/>
        </w:rPr>
        <w:t>T</w:t>
      </w:r>
      <w:r w:rsidRPr="00B13501">
        <w:rPr>
          <w:rFonts w:eastAsia="Calibri"/>
          <w:kern w:val="0"/>
          <w:lang w:val="en-GB" w:eastAsia="en-US"/>
        </w:rPr>
        <w:t>he cross-sectional descriptive design focus</w:t>
      </w:r>
      <w:r w:rsidR="00E33E28">
        <w:rPr>
          <w:rFonts w:eastAsia="Calibri"/>
          <w:kern w:val="0"/>
          <w:lang w:val="en-GB" w:eastAsia="en-US"/>
        </w:rPr>
        <w:t xml:space="preserve">ed </w:t>
      </w:r>
      <w:r w:rsidRPr="00B13501">
        <w:rPr>
          <w:rFonts w:eastAsia="Calibri"/>
          <w:kern w:val="0"/>
          <w:lang w:val="en-GB" w:eastAsia="en-US"/>
        </w:rPr>
        <w:t>on assessing and evaluating the opinion, response, outcome, exposures or perception of the study participants</w:t>
      </w:r>
      <w:r w:rsidR="00E33E28">
        <w:rPr>
          <w:rFonts w:eastAsia="Calibri"/>
          <w:kern w:val="0"/>
          <w:lang w:val="en-GB" w:eastAsia="en-US"/>
        </w:rPr>
        <w:t>.</w:t>
      </w:r>
      <w:r w:rsidRPr="00B13501">
        <w:rPr>
          <w:rFonts w:eastAsia="Calibri"/>
          <w:kern w:val="0"/>
          <w:lang w:val="en-GB" w:eastAsia="en-US"/>
        </w:rPr>
        <w:t xml:space="preserve"> </w:t>
      </w:r>
      <w:r w:rsidR="00E33E28">
        <w:rPr>
          <w:rFonts w:eastAsia="Calibri"/>
          <w:kern w:val="0"/>
          <w:lang w:val="en-GB" w:eastAsia="en-US"/>
        </w:rPr>
        <w:t>It involved the use of</w:t>
      </w:r>
      <w:r w:rsidRPr="00B13501">
        <w:rPr>
          <w:rFonts w:eastAsia="Calibri"/>
          <w:kern w:val="0"/>
          <w:lang w:val="en-GB" w:eastAsia="en-US"/>
        </w:rPr>
        <w:t xml:space="preserve"> quantitative data obtained from respondents and thereby determining the degree or level of the opinion, response, outcome, and exposure or perception of the respondent</w:t>
      </w:r>
      <w:r w:rsidR="00E33E28">
        <w:rPr>
          <w:rFonts w:eastAsia="Calibri"/>
          <w:kern w:val="0"/>
          <w:lang w:val="en-GB" w:eastAsia="en-US"/>
        </w:rPr>
        <w:t xml:space="preserve"> </w:t>
      </w:r>
      <w:r w:rsidRPr="00B13501">
        <w:rPr>
          <w:rFonts w:eastAsia="Calibri"/>
          <w:kern w:val="0"/>
          <w:lang w:val="en-GB" w:eastAsia="en-US"/>
        </w:rPr>
        <w:t>without expressing any form of relationship between the variables being studied. A</w:t>
      </w:r>
      <w:r w:rsidR="00E33E28">
        <w:rPr>
          <w:rFonts w:eastAsia="Calibri"/>
          <w:kern w:val="0"/>
          <w:lang w:val="en-GB" w:eastAsia="en-US"/>
        </w:rPr>
        <w:t xml:space="preserve">lso, </w:t>
      </w:r>
      <w:r w:rsidRPr="00B13501">
        <w:rPr>
          <w:rFonts w:eastAsia="Calibri"/>
          <w:kern w:val="0"/>
          <w:lang w:val="en-GB" w:eastAsia="en-US"/>
        </w:rPr>
        <w:t xml:space="preserve">inferential design was adopted for this study to ascertain the impact of the emergency preparedness </w:t>
      </w:r>
      <w:r w:rsidRPr="00B13501">
        <w:rPr>
          <w:rFonts w:eastAsia="Calibri"/>
          <w:kern w:val="0"/>
          <w:lang w:val="en-GB" w:eastAsia="en-US"/>
        </w:rPr>
        <w:lastRenderedPageBreak/>
        <w:t>variables on response variables. This research design is also appropriate and suitable because it measure</w:t>
      </w:r>
      <w:r w:rsidR="00D07B09">
        <w:rPr>
          <w:rFonts w:eastAsia="Calibri"/>
          <w:kern w:val="0"/>
          <w:lang w:val="en-GB" w:eastAsia="en-US"/>
        </w:rPr>
        <w:t xml:space="preserve">d </w:t>
      </w:r>
      <w:r w:rsidRPr="00B13501">
        <w:rPr>
          <w:rFonts w:eastAsia="Calibri"/>
          <w:kern w:val="0"/>
          <w:lang w:val="en-GB" w:eastAsia="en-US"/>
        </w:rPr>
        <w:t>the nature and extent of the impact of an independent variable or variables on the dependent variable. In this current study, the independent variable is emergency preparedness</w:t>
      </w:r>
      <w:r w:rsidR="00293676">
        <w:rPr>
          <w:rFonts w:eastAsia="Calibri"/>
          <w:kern w:val="0"/>
          <w:lang w:val="en-GB" w:eastAsia="en-US"/>
        </w:rPr>
        <w:t>.</w:t>
      </w:r>
      <w:r w:rsidRPr="00B13501">
        <w:rPr>
          <w:rFonts w:eastAsia="Calibri"/>
          <w:kern w:val="0"/>
          <w:lang w:val="en-GB" w:eastAsia="en-US"/>
        </w:rPr>
        <w:t xml:space="preserve"> </w:t>
      </w:r>
      <w:r w:rsidR="00293676">
        <w:rPr>
          <w:rFonts w:eastAsia="Calibri"/>
          <w:kern w:val="0"/>
          <w:lang w:val="en-GB" w:eastAsia="en-US"/>
        </w:rPr>
        <w:t>The m</w:t>
      </w:r>
      <w:r w:rsidRPr="00B13501">
        <w:rPr>
          <w:rFonts w:eastAsia="Calibri"/>
          <w:kern w:val="0"/>
          <w:lang w:val="en-GB" w:eastAsia="en-US"/>
        </w:rPr>
        <w:t xml:space="preserve">easures used </w:t>
      </w:r>
      <w:r w:rsidR="00F012E6">
        <w:rPr>
          <w:rFonts w:eastAsia="Calibri"/>
          <w:kern w:val="0"/>
          <w:lang w:val="en-GB" w:eastAsia="en-US"/>
        </w:rPr>
        <w:t>are</w:t>
      </w:r>
      <w:r w:rsidR="00293676">
        <w:rPr>
          <w:rFonts w:eastAsia="Calibri"/>
          <w:kern w:val="0"/>
          <w:lang w:val="en-GB" w:eastAsia="en-US"/>
        </w:rPr>
        <w:t>:</w:t>
      </w:r>
      <w:r w:rsidRPr="00B13501">
        <w:rPr>
          <w:rFonts w:eastAsia="Calibri"/>
          <w:kern w:val="0"/>
          <w:lang w:val="en-GB" w:eastAsia="en-US"/>
        </w:rPr>
        <w:t xml:space="preserve"> emergency training, emergency planning, </w:t>
      </w:r>
      <w:r w:rsidR="00F012E6">
        <w:rPr>
          <w:rFonts w:eastAsia="Calibri"/>
          <w:kern w:val="0"/>
          <w:lang w:val="en-GB" w:eastAsia="en-US"/>
        </w:rPr>
        <w:t>l</w:t>
      </w:r>
      <w:r w:rsidRPr="00B13501">
        <w:rPr>
          <w:rFonts w:eastAsia="Calibri"/>
          <w:kern w:val="0"/>
          <w:lang w:val="en-GB" w:eastAsia="en-US"/>
        </w:rPr>
        <w:t xml:space="preserve">ogistics availability, triage system, and hospital surge capacity while the dependent variable is emergency response </w:t>
      </w:r>
      <w:r w:rsidR="00293676">
        <w:rPr>
          <w:rFonts w:eastAsia="Calibri"/>
          <w:kern w:val="0"/>
          <w:lang w:val="en-GB" w:eastAsia="en-US"/>
        </w:rPr>
        <w:t xml:space="preserve">which </w:t>
      </w:r>
      <w:r w:rsidRPr="00B13501">
        <w:rPr>
          <w:rFonts w:eastAsia="Calibri"/>
          <w:kern w:val="0"/>
          <w:lang w:val="en-GB" w:eastAsia="en-US"/>
        </w:rPr>
        <w:t xml:space="preserve">measures using promptness and responsiveness. </w:t>
      </w:r>
    </w:p>
    <w:p w14:paraId="261754D4" w14:textId="77777777" w:rsidR="00E739F9" w:rsidRDefault="00E739F9" w:rsidP="00B13501">
      <w:pPr>
        <w:jc w:val="both"/>
        <w:rPr>
          <w:b/>
          <w:bCs/>
        </w:rPr>
      </w:pPr>
    </w:p>
    <w:p w14:paraId="6BE1F818" w14:textId="3F75D273" w:rsidR="00B13501" w:rsidRPr="00DB2ED6" w:rsidRDefault="00B13501" w:rsidP="00B13501">
      <w:pPr>
        <w:jc w:val="both"/>
        <w:rPr>
          <w:b/>
          <w:bCs/>
        </w:rPr>
      </w:pPr>
      <w:r w:rsidRPr="00DB2ED6">
        <w:rPr>
          <w:b/>
          <w:bCs/>
        </w:rPr>
        <w:t>2.2 Study Area</w:t>
      </w:r>
    </w:p>
    <w:p w14:paraId="56F79F29" w14:textId="1306F7F4" w:rsidR="00B13501" w:rsidRPr="00B13501" w:rsidRDefault="00DB2ED6" w:rsidP="00B13501">
      <w:pPr>
        <w:widowControl/>
        <w:shd w:val="clear" w:color="auto" w:fill="FFFFFF"/>
        <w:suppressAutoHyphens w:val="0"/>
        <w:overflowPunct/>
        <w:autoSpaceDE/>
        <w:autoSpaceDN/>
        <w:adjustRightInd/>
        <w:spacing w:before="120" w:after="120"/>
        <w:jc w:val="both"/>
        <w:textAlignment w:val="auto"/>
        <w:rPr>
          <w:kern w:val="0"/>
          <w:lang w:eastAsia="en-US"/>
        </w:rPr>
      </w:pPr>
      <w:r>
        <w:rPr>
          <w:bCs/>
          <w:kern w:val="0"/>
          <w:lang w:eastAsia="en-US"/>
        </w:rPr>
        <w:t>The study area is R</w:t>
      </w:r>
      <w:r w:rsidR="00B13501" w:rsidRPr="00DB2ED6">
        <w:rPr>
          <w:bCs/>
          <w:kern w:val="0"/>
          <w:lang w:eastAsia="en-US"/>
        </w:rPr>
        <w:t>ivers</w:t>
      </w:r>
      <w:r>
        <w:rPr>
          <w:bCs/>
          <w:kern w:val="0"/>
          <w:lang w:eastAsia="en-US"/>
        </w:rPr>
        <w:t xml:space="preserve"> State</w:t>
      </w:r>
      <w:r w:rsidR="00B13501" w:rsidRPr="00DB2ED6">
        <w:rPr>
          <w:kern w:val="0"/>
          <w:lang w:eastAsia="en-US"/>
        </w:rPr>
        <w:t> in </w:t>
      </w:r>
      <w:hyperlink r:id="rId7" w:tooltip="Niger Delta" w:history="1">
        <w:r w:rsidR="00B13501" w:rsidRPr="00DB2ED6">
          <w:rPr>
            <w:kern w:val="0"/>
            <w:lang w:eastAsia="en-US"/>
          </w:rPr>
          <w:t>Niger Delta</w:t>
        </w:r>
      </w:hyperlink>
      <w:r>
        <w:rPr>
          <w:kern w:val="0"/>
          <w:lang w:eastAsia="en-US"/>
        </w:rPr>
        <w:t xml:space="preserve">, southern region </w:t>
      </w:r>
      <w:r w:rsidR="00B13501" w:rsidRPr="00DB2ED6">
        <w:rPr>
          <w:kern w:val="0"/>
          <w:lang w:eastAsia="en-US"/>
        </w:rPr>
        <w:t>o</w:t>
      </w:r>
      <w:r>
        <w:rPr>
          <w:kern w:val="0"/>
          <w:lang w:eastAsia="en-US"/>
        </w:rPr>
        <w:t>f</w:t>
      </w:r>
      <w:r w:rsidR="00B13501" w:rsidRPr="00DB2ED6">
        <w:rPr>
          <w:kern w:val="0"/>
          <w:lang w:eastAsia="en-US"/>
        </w:rPr>
        <w:t> </w:t>
      </w:r>
      <w:hyperlink r:id="rId8" w:tooltip="Nigeria" w:history="1">
        <w:r w:rsidR="00B13501" w:rsidRPr="00DB2ED6">
          <w:rPr>
            <w:kern w:val="0"/>
            <w:lang w:eastAsia="en-US"/>
          </w:rPr>
          <w:t>Nigeria</w:t>
        </w:r>
      </w:hyperlink>
      <w:r>
        <w:rPr>
          <w:kern w:val="0"/>
          <w:lang w:eastAsia="en-US"/>
        </w:rPr>
        <w:t>. The state was</w:t>
      </w:r>
      <w:r w:rsidR="00B13501" w:rsidRPr="00DB2ED6">
        <w:rPr>
          <w:kern w:val="0"/>
          <w:lang w:eastAsia="en-US"/>
        </w:rPr>
        <w:t xml:space="preserve"> </w:t>
      </w:r>
      <w:r>
        <w:rPr>
          <w:kern w:val="0"/>
          <w:lang w:eastAsia="en-US"/>
        </w:rPr>
        <w:t>creat</w:t>
      </w:r>
      <w:r w:rsidR="00B13501" w:rsidRPr="00DB2ED6">
        <w:rPr>
          <w:kern w:val="0"/>
          <w:lang w:eastAsia="en-US"/>
        </w:rPr>
        <w:t>ed in 1967, when it was split from the former </w:t>
      </w:r>
      <w:hyperlink r:id="rId9" w:tooltip="Eastern Region, Nigeria" w:history="1">
        <w:r w:rsidR="00B13501" w:rsidRPr="00DB2ED6">
          <w:rPr>
            <w:kern w:val="0"/>
            <w:lang w:eastAsia="en-US"/>
          </w:rPr>
          <w:t>Eastern Region</w:t>
        </w:r>
      </w:hyperlink>
      <w:r>
        <w:rPr>
          <w:kern w:val="0"/>
          <w:lang w:eastAsia="en-US"/>
        </w:rPr>
        <w:t>.</w:t>
      </w:r>
      <w:r w:rsidR="00B13501" w:rsidRPr="00DB2ED6">
        <w:rPr>
          <w:kern w:val="0"/>
          <w:lang w:eastAsia="en-US"/>
        </w:rPr>
        <w:t xml:space="preserve"> The State is made up of 23 Local government areas</w:t>
      </w:r>
      <w:r>
        <w:rPr>
          <w:kern w:val="0"/>
          <w:lang w:eastAsia="en-US"/>
        </w:rPr>
        <w:t xml:space="preserve">. </w:t>
      </w:r>
      <w:r w:rsidR="00B13501" w:rsidRPr="00DB2ED6">
        <w:rPr>
          <w:kern w:val="0"/>
          <w:lang w:eastAsia="en-US"/>
        </w:rPr>
        <w:t>Rivers State borders includes</w:t>
      </w:r>
      <w:r>
        <w:rPr>
          <w:kern w:val="0"/>
          <w:lang w:eastAsia="en-US"/>
        </w:rPr>
        <w:t xml:space="preserve">: </w:t>
      </w:r>
      <w:hyperlink r:id="rId10" w:tooltip="Anambra State" w:history="1">
        <w:r w:rsidR="00B13501" w:rsidRPr="00DB2ED6">
          <w:rPr>
            <w:kern w:val="0"/>
            <w:lang w:eastAsia="en-US"/>
          </w:rPr>
          <w:t>Anambra</w:t>
        </w:r>
      </w:hyperlink>
      <w:r w:rsidR="00B13501" w:rsidRPr="00DB2ED6">
        <w:rPr>
          <w:kern w:val="0"/>
          <w:lang w:eastAsia="en-US"/>
        </w:rPr>
        <w:t> and </w:t>
      </w:r>
      <w:hyperlink r:id="rId11" w:tooltip="Imo State" w:history="1">
        <w:r w:rsidR="00B13501" w:rsidRPr="00DB2ED6">
          <w:rPr>
            <w:kern w:val="0"/>
            <w:lang w:eastAsia="en-US"/>
          </w:rPr>
          <w:t>Imo</w:t>
        </w:r>
      </w:hyperlink>
      <w:r w:rsidR="00B13501" w:rsidRPr="00DB2ED6">
        <w:rPr>
          <w:kern w:val="0"/>
          <w:lang w:eastAsia="en-US"/>
        </w:rPr>
        <w:t xml:space="preserve"> on the north,  </w:t>
      </w:r>
      <w:hyperlink r:id="rId12" w:tooltip="Abia State" w:history="1">
        <w:proofErr w:type="spellStart"/>
        <w:r w:rsidR="00B13501" w:rsidRPr="00DB2ED6">
          <w:rPr>
            <w:kern w:val="0"/>
            <w:lang w:eastAsia="en-US"/>
          </w:rPr>
          <w:t>Abia</w:t>
        </w:r>
        <w:proofErr w:type="spellEnd"/>
      </w:hyperlink>
      <w:r w:rsidR="00B13501" w:rsidRPr="00DB2ED6">
        <w:rPr>
          <w:kern w:val="0"/>
          <w:lang w:eastAsia="en-US"/>
        </w:rPr>
        <w:t> and </w:t>
      </w:r>
      <w:proofErr w:type="spellStart"/>
      <w:r w:rsidR="00DB0C42">
        <w:fldChar w:fldCharType="begin"/>
      </w:r>
      <w:r w:rsidR="00DB0C42">
        <w:instrText xml:space="preserve"> HYPERLINK "https://en.w</w:instrText>
      </w:r>
      <w:r w:rsidR="00DB0C42">
        <w:instrText xml:space="preserve">ikipedia.org/wiki/Akwa_Ibom_State" \o "Akwa Ibom State" </w:instrText>
      </w:r>
      <w:r w:rsidR="00DB0C42">
        <w:fldChar w:fldCharType="separate"/>
      </w:r>
      <w:r w:rsidR="00B13501" w:rsidRPr="00DB2ED6">
        <w:rPr>
          <w:kern w:val="0"/>
          <w:lang w:eastAsia="en-US"/>
        </w:rPr>
        <w:t>Akwa</w:t>
      </w:r>
      <w:proofErr w:type="spellEnd"/>
      <w:r w:rsidR="00B13501" w:rsidRPr="00DB2ED6">
        <w:rPr>
          <w:kern w:val="0"/>
          <w:lang w:eastAsia="en-US"/>
        </w:rPr>
        <w:t xml:space="preserve"> Ibom</w:t>
      </w:r>
      <w:r w:rsidR="00DB0C42">
        <w:rPr>
          <w:kern w:val="0"/>
          <w:lang w:eastAsia="en-US"/>
        </w:rPr>
        <w:fldChar w:fldCharType="end"/>
      </w:r>
      <w:r w:rsidR="00B13501" w:rsidRPr="00DB2ED6">
        <w:rPr>
          <w:kern w:val="0"/>
          <w:lang w:eastAsia="en-US"/>
        </w:rPr>
        <w:t xml:space="preserve"> on the eastern part and </w:t>
      </w:r>
      <w:hyperlink r:id="rId13" w:tooltip="Bayelsa State" w:history="1">
        <w:r w:rsidR="00B13501" w:rsidRPr="00DB2ED6">
          <w:rPr>
            <w:kern w:val="0"/>
            <w:lang w:eastAsia="en-US"/>
          </w:rPr>
          <w:t>Bayelsa</w:t>
        </w:r>
      </w:hyperlink>
      <w:r w:rsidR="00B13501" w:rsidRPr="00DB2ED6">
        <w:rPr>
          <w:kern w:val="0"/>
          <w:lang w:eastAsia="en-US"/>
        </w:rPr>
        <w:t> and </w:t>
      </w:r>
      <w:hyperlink r:id="rId14" w:tooltip="Delta State" w:history="1">
        <w:r w:rsidR="00B13501" w:rsidRPr="00DB2ED6">
          <w:rPr>
            <w:kern w:val="0"/>
            <w:lang w:eastAsia="en-US"/>
          </w:rPr>
          <w:t>Delta</w:t>
        </w:r>
      </w:hyperlink>
      <w:r w:rsidR="00B13501" w:rsidRPr="00DB2ED6">
        <w:rPr>
          <w:kern w:val="0"/>
          <w:lang w:eastAsia="en-US"/>
        </w:rPr>
        <w:t> on the west</w:t>
      </w:r>
      <w:r w:rsidR="00B13501" w:rsidRPr="00B13501">
        <w:rPr>
          <w:kern w:val="0"/>
          <w:lang w:eastAsia="en-US"/>
        </w:rPr>
        <w:t>. The state capital, </w:t>
      </w:r>
      <w:hyperlink r:id="rId15" w:tooltip="Port Harcourt" w:history="1">
        <w:r w:rsidR="00B13501" w:rsidRPr="00B13501">
          <w:rPr>
            <w:kern w:val="0"/>
            <w:lang w:eastAsia="en-US"/>
          </w:rPr>
          <w:t>Port Harcourt</w:t>
        </w:r>
      </w:hyperlink>
      <w:r w:rsidR="00B13501" w:rsidRPr="00B13501">
        <w:rPr>
          <w:kern w:val="0"/>
          <w:lang w:eastAsia="en-US"/>
        </w:rPr>
        <w:t>, is a </w:t>
      </w:r>
      <w:hyperlink r:id="rId16" w:tooltip="Metropolis" w:history="1">
        <w:r w:rsidR="00B13501" w:rsidRPr="00B13501">
          <w:rPr>
            <w:kern w:val="0"/>
            <w:lang w:eastAsia="en-US"/>
          </w:rPr>
          <w:t>metropolis</w:t>
        </w:r>
      </w:hyperlink>
      <w:r w:rsidR="00B13501" w:rsidRPr="00B13501">
        <w:rPr>
          <w:kern w:val="0"/>
          <w:lang w:eastAsia="en-US"/>
        </w:rPr>
        <w:t xml:space="preserve"> that is considered to be the commercial </w:t>
      </w:r>
      <w:proofErr w:type="spellStart"/>
      <w:r w:rsidR="00B13501" w:rsidRPr="00B13501">
        <w:rPr>
          <w:kern w:val="0"/>
          <w:lang w:eastAsia="en-US"/>
        </w:rPr>
        <w:t>centre</w:t>
      </w:r>
      <w:proofErr w:type="spellEnd"/>
      <w:r w:rsidR="00B13501" w:rsidRPr="00B13501">
        <w:rPr>
          <w:kern w:val="0"/>
          <w:lang w:eastAsia="en-US"/>
        </w:rPr>
        <w:t xml:space="preserve"> of the </w:t>
      </w:r>
      <w:hyperlink r:id="rId17" w:tooltip="Petroleum industry in Nigeria" w:history="1">
        <w:r w:rsidR="00B13501" w:rsidRPr="00B13501">
          <w:rPr>
            <w:kern w:val="0"/>
            <w:lang w:eastAsia="en-US"/>
          </w:rPr>
          <w:t>Nigerian oil industry</w:t>
        </w:r>
      </w:hyperlink>
      <w:r w:rsidR="00B13501" w:rsidRPr="00B13501">
        <w:rPr>
          <w:kern w:val="0"/>
          <w:lang w:eastAsia="en-US"/>
        </w:rPr>
        <w:t>. With a population of 5,198,716 as of the 2006 census</w:t>
      </w:r>
      <w:r>
        <w:rPr>
          <w:kern w:val="0"/>
          <w:lang w:eastAsia="en-US"/>
        </w:rPr>
        <w:t>.</w:t>
      </w:r>
      <w:r w:rsidR="00B13501" w:rsidRPr="00B13501">
        <w:rPr>
          <w:kern w:val="0"/>
          <w:lang w:eastAsia="en-US"/>
        </w:rPr>
        <w:t xml:space="preserve"> Rivers State is the </w:t>
      </w:r>
      <w:hyperlink r:id="rId18" w:tooltip="List of Nigerian states by population" w:history="1">
        <w:r w:rsidR="00B13501" w:rsidRPr="00B13501">
          <w:rPr>
            <w:kern w:val="0"/>
            <w:lang w:eastAsia="en-US"/>
          </w:rPr>
          <w:t>6th most populous</w:t>
        </w:r>
      </w:hyperlink>
      <w:r w:rsidR="00B13501" w:rsidRPr="00B13501">
        <w:rPr>
          <w:kern w:val="0"/>
          <w:lang w:eastAsia="en-US"/>
        </w:rPr>
        <w:t> state in Nigeria. Rivers State is a diverse state that is home to many </w:t>
      </w:r>
      <w:hyperlink r:id="rId19" w:tooltip="Ethnic group" w:history="1">
        <w:r w:rsidR="00B13501" w:rsidRPr="00B13501">
          <w:rPr>
            <w:kern w:val="0"/>
            <w:lang w:eastAsia="en-US"/>
          </w:rPr>
          <w:t>ethnic groups</w:t>
        </w:r>
      </w:hyperlink>
      <w:r w:rsidR="00B13501" w:rsidRPr="00B13501">
        <w:rPr>
          <w:kern w:val="0"/>
          <w:lang w:eastAsia="en-US"/>
        </w:rPr>
        <w:t>, the majority being </w:t>
      </w:r>
      <w:hyperlink r:id="rId20" w:tooltip="Igbo people" w:history="1">
        <w:r w:rsidR="00B13501" w:rsidRPr="00B13501">
          <w:rPr>
            <w:kern w:val="0"/>
            <w:lang w:eastAsia="en-US"/>
          </w:rPr>
          <w:t>Igbo</w:t>
        </w:r>
      </w:hyperlink>
      <w:r w:rsidR="00B13501" w:rsidRPr="00B13501">
        <w:rPr>
          <w:kern w:val="0"/>
          <w:lang w:eastAsia="en-US"/>
        </w:rPr>
        <w:t>, but also including the </w:t>
      </w:r>
      <w:hyperlink r:id="rId21" w:tooltip="Ogoni people" w:history="1">
        <w:r w:rsidR="00B13501" w:rsidRPr="00B13501">
          <w:rPr>
            <w:kern w:val="0"/>
            <w:lang w:eastAsia="en-US"/>
          </w:rPr>
          <w:t>Ogoni</w:t>
        </w:r>
      </w:hyperlink>
      <w:r w:rsidR="00B13501" w:rsidRPr="00B13501">
        <w:rPr>
          <w:kern w:val="0"/>
          <w:lang w:eastAsia="en-US"/>
        </w:rPr>
        <w:t> and </w:t>
      </w:r>
      <w:hyperlink r:id="rId22" w:tooltip="Ijaw people" w:history="1">
        <w:r w:rsidR="00B13501" w:rsidRPr="00B13501">
          <w:rPr>
            <w:kern w:val="0"/>
            <w:lang w:eastAsia="en-US"/>
          </w:rPr>
          <w:t>Ijaw</w:t>
        </w:r>
      </w:hyperlink>
      <w:r w:rsidR="00B13501" w:rsidRPr="00B13501">
        <w:rPr>
          <w:kern w:val="0"/>
          <w:lang w:eastAsia="en-US"/>
        </w:rPr>
        <w:t>. The state is particularly noted for its </w:t>
      </w:r>
      <w:hyperlink r:id="rId23" w:tooltip="Linguistic diversity" w:history="1">
        <w:r w:rsidR="00B13501" w:rsidRPr="00B13501">
          <w:rPr>
            <w:kern w:val="0"/>
            <w:lang w:eastAsia="en-US"/>
          </w:rPr>
          <w:t>linguistic diversity</w:t>
        </w:r>
      </w:hyperlink>
      <w:r w:rsidR="00B13501" w:rsidRPr="00B13501">
        <w:rPr>
          <w:kern w:val="0"/>
          <w:lang w:eastAsia="en-US"/>
        </w:rPr>
        <w:t xml:space="preserve">, with 28 indigenous languages being spoken in Rivers State, dominant of which, are the Igbo speaking groups, the Ogoni and Ijaw languages. </w:t>
      </w:r>
      <w:r w:rsidR="00B13501" w:rsidRPr="00B13501">
        <w:rPr>
          <w:kern w:val="0"/>
          <w:lang w:eastAsia="en-GB"/>
        </w:rPr>
        <w:t>Rivers State has a total area of 11,077 km</w:t>
      </w:r>
      <w:r w:rsidR="00B13501" w:rsidRPr="00B13501">
        <w:rPr>
          <w:kern w:val="0"/>
          <w:vertAlign w:val="superscript"/>
          <w:lang w:eastAsia="en-GB"/>
        </w:rPr>
        <w:t>2</w:t>
      </w:r>
      <w:r w:rsidR="00B13501" w:rsidRPr="00B13501">
        <w:rPr>
          <w:kern w:val="0"/>
          <w:lang w:eastAsia="en-GB"/>
        </w:rPr>
        <w:t> (4,277 </w:t>
      </w:r>
      <w:proofErr w:type="spellStart"/>
      <w:r w:rsidR="00B13501" w:rsidRPr="00B13501">
        <w:rPr>
          <w:kern w:val="0"/>
          <w:lang w:eastAsia="en-GB"/>
        </w:rPr>
        <w:t>sq</w:t>
      </w:r>
      <w:proofErr w:type="spellEnd"/>
      <w:r w:rsidR="00B13501" w:rsidRPr="00B13501">
        <w:rPr>
          <w:kern w:val="0"/>
          <w:lang w:eastAsia="en-GB"/>
        </w:rPr>
        <w:t xml:space="preserve"> mi) making it the </w:t>
      </w:r>
      <w:r w:rsidR="00B13501" w:rsidRPr="00B13501">
        <w:rPr>
          <w:kern w:val="0"/>
          <w:lang w:eastAsia="en-US"/>
        </w:rPr>
        <w:t>26th </w:t>
      </w:r>
      <w:hyperlink r:id="rId24" w:tooltip="List of Nigerian states by area" w:history="1">
        <w:r w:rsidR="00B13501" w:rsidRPr="00B13501">
          <w:rPr>
            <w:kern w:val="0"/>
            <w:lang w:eastAsia="en-US"/>
          </w:rPr>
          <w:t>largest state</w:t>
        </w:r>
      </w:hyperlink>
      <w:r w:rsidR="00B13501" w:rsidRPr="00B13501">
        <w:rPr>
          <w:kern w:val="0"/>
          <w:lang w:eastAsia="en-US"/>
        </w:rPr>
        <w:t> by area and its geography is dominated by the numerous rivers that flow through it, including the </w:t>
      </w:r>
      <w:hyperlink r:id="rId25" w:tooltip="Bonny River" w:history="1">
        <w:r w:rsidR="00B13501" w:rsidRPr="00B13501">
          <w:rPr>
            <w:kern w:val="0"/>
            <w:lang w:eastAsia="en-US"/>
          </w:rPr>
          <w:t>Bonny River</w:t>
        </w:r>
      </w:hyperlink>
      <w:r w:rsidR="00B13501" w:rsidRPr="00B13501">
        <w:rPr>
          <w:kern w:val="0"/>
          <w:lang w:eastAsia="en-US"/>
        </w:rPr>
        <w:t xml:space="preserve"> see Figure 1</w:t>
      </w:r>
      <w:r>
        <w:rPr>
          <w:kern w:val="0"/>
          <w:lang w:eastAsia="en-US"/>
        </w:rPr>
        <w:t>.</w:t>
      </w:r>
    </w:p>
    <w:p w14:paraId="74A1DE34" w14:textId="28A42EBF" w:rsidR="00B13501" w:rsidRPr="00B13501" w:rsidRDefault="00B13501" w:rsidP="00B13501">
      <w:pPr>
        <w:widowControl/>
        <w:shd w:val="clear" w:color="auto" w:fill="FFFFFF"/>
        <w:suppressAutoHyphens w:val="0"/>
        <w:overflowPunct/>
        <w:autoSpaceDE/>
        <w:autoSpaceDN/>
        <w:adjustRightInd/>
        <w:spacing w:before="120" w:after="120"/>
        <w:jc w:val="both"/>
        <w:textAlignment w:val="auto"/>
        <w:rPr>
          <w:kern w:val="0"/>
          <w:lang w:eastAsia="en-US"/>
        </w:rPr>
      </w:pPr>
      <w:r w:rsidRPr="00B13501">
        <w:rPr>
          <w:kern w:val="0"/>
          <w:lang w:eastAsia="en-US"/>
        </w:rPr>
        <w:t>The </w:t>
      </w:r>
      <w:hyperlink r:id="rId26" w:tooltip="Economy" w:history="1">
        <w:r w:rsidRPr="00B13501">
          <w:rPr>
            <w:kern w:val="0"/>
            <w:lang w:eastAsia="en-US"/>
          </w:rPr>
          <w:t>economy</w:t>
        </w:r>
      </w:hyperlink>
      <w:r w:rsidRPr="00B13501">
        <w:rPr>
          <w:kern w:val="0"/>
          <w:lang w:eastAsia="en-US"/>
        </w:rPr>
        <w:t xml:space="preserve"> of Rivers State is dominated by the state's booming petroleum industry and some manufacturing companies. </w:t>
      </w:r>
    </w:p>
    <w:p w14:paraId="00D669D4"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kern w:val="0"/>
          <w:lang w:val="en-GB" w:eastAsia="en-US"/>
        </w:rPr>
      </w:pPr>
      <w:r w:rsidRPr="00B13501">
        <w:rPr>
          <w:noProof/>
          <w:lang w:eastAsia="en-US"/>
        </w:rPr>
        <w:drawing>
          <wp:inline distT="0" distB="0" distL="0" distR="0" wp14:anchorId="25DF8566" wp14:editId="0B0D5E05">
            <wp:extent cx="4783540" cy="3261360"/>
            <wp:effectExtent l="0" t="0" r="0" b="0"/>
            <wp:docPr id="2" name="Picture 2" descr="Rivers State of Nigeria :: Nigeria Information &amp;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vers State of Nigeria :: Nigeria Information &amp; Guid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09342" cy="3278952"/>
                    </a:xfrm>
                    <a:prstGeom prst="rect">
                      <a:avLst/>
                    </a:prstGeom>
                    <a:noFill/>
                    <a:ln>
                      <a:noFill/>
                    </a:ln>
                  </pic:spPr>
                </pic:pic>
              </a:graphicData>
            </a:graphic>
          </wp:inline>
        </w:drawing>
      </w:r>
    </w:p>
    <w:p w14:paraId="3CA6A416" w14:textId="77777777" w:rsidR="00B13501" w:rsidRPr="00B13501" w:rsidRDefault="00B13501" w:rsidP="00B13501">
      <w:pPr>
        <w:spacing w:line="480" w:lineRule="auto"/>
        <w:jc w:val="both"/>
        <w:rPr>
          <w:rFonts w:eastAsia="Calibri"/>
          <w:b/>
        </w:rPr>
      </w:pPr>
      <w:bookmarkStart w:id="4" w:name="_Hlk153434457"/>
      <w:r w:rsidRPr="00B13501">
        <w:rPr>
          <w:rFonts w:eastAsia="Calibri"/>
          <w:b/>
        </w:rPr>
        <w:t>Figure 1 Map of Rivers State Showing the 23 Local Government Areas</w:t>
      </w:r>
    </w:p>
    <w:bookmarkEnd w:id="4"/>
    <w:p w14:paraId="5FF1B110" w14:textId="77777777" w:rsidR="00B13501" w:rsidRPr="00B13501" w:rsidRDefault="00B13501" w:rsidP="00B13501">
      <w:pPr>
        <w:widowControl/>
        <w:suppressAutoHyphens w:val="0"/>
        <w:overflowPunct/>
        <w:autoSpaceDE/>
        <w:autoSpaceDN/>
        <w:adjustRightInd/>
        <w:spacing w:after="160"/>
        <w:jc w:val="both"/>
        <w:textAlignment w:val="auto"/>
        <w:rPr>
          <w:rFonts w:eastAsia="Calibri"/>
          <w:b/>
          <w:kern w:val="0"/>
          <w:lang w:val="en-GB" w:eastAsia="en-US"/>
        </w:rPr>
      </w:pPr>
      <w:r w:rsidRPr="00B13501">
        <w:rPr>
          <w:rFonts w:eastAsia="Calibri"/>
          <w:b/>
          <w:kern w:val="0"/>
          <w:lang w:val="en-GB" w:eastAsia="en-US"/>
        </w:rPr>
        <w:t xml:space="preserve">2.3 Population of the Study </w:t>
      </w:r>
    </w:p>
    <w:p w14:paraId="5622ACA5" w14:textId="140BE4E5"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bookmarkStart w:id="5" w:name="_Hlk126437634"/>
      <w:r w:rsidRPr="00B13501">
        <w:rPr>
          <w:rFonts w:eastAsia="Calibri"/>
          <w:kern w:val="0"/>
          <w:lang w:val="en-GB" w:eastAsia="en-US"/>
        </w:rPr>
        <w:t xml:space="preserve">This study was designed to investigate the external emergency preparedness on response of sampled hospital in Rivers State. Hence, the population of this study was grouped into </w:t>
      </w:r>
      <w:r w:rsidR="008E4836" w:rsidRPr="00B13501">
        <w:rPr>
          <w:rFonts w:eastAsia="Calibri"/>
          <w:kern w:val="0"/>
          <w:lang w:val="en-GB" w:eastAsia="en-US"/>
        </w:rPr>
        <w:t>two</w:t>
      </w:r>
      <w:r w:rsidR="008E4836">
        <w:rPr>
          <w:rFonts w:eastAsia="Calibri"/>
          <w:kern w:val="0"/>
          <w:lang w:val="en-GB" w:eastAsia="en-US"/>
        </w:rPr>
        <w:t>. The first</w:t>
      </w:r>
      <w:r w:rsidRPr="00B13501">
        <w:rPr>
          <w:rFonts w:eastAsia="Calibri"/>
          <w:kern w:val="0"/>
          <w:lang w:val="en-GB" w:eastAsia="en-US"/>
        </w:rPr>
        <w:t xml:space="preserve"> </w:t>
      </w:r>
      <w:r w:rsidR="008E4836">
        <w:rPr>
          <w:rFonts w:eastAsia="Calibri"/>
          <w:kern w:val="0"/>
          <w:lang w:val="en-GB" w:eastAsia="en-US"/>
        </w:rPr>
        <w:t>group</w:t>
      </w:r>
      <w:r w:rsidRPr="00B13501">
        <w:rPr>
          <w:rFonts w:eastAsia="Calibri"/>
          <w:kern w:val="0"/>
          <w:lang w:val="en-GB" w:eastAsia="en-US"/>
        </w:rPr>
        <w:t xml:space="preserve"> </w:t>
      </w:r>
      <w:r w:rsidRPr="00B13501">
        <w:rPr>
          <w:rFonts w:eastAsia="Calibri"/>
          <w:kern w:val="0"/>
          <w:lang w:val="en-GB" w:eastAsia="en-US"/>
        </w:rPr>
        <w:lastRenderedPageBreak/>
        <w:t xml:space="preserve">comprises of 2801 healthcare workers in the sampled hospital in Rivers State who provided research data on the emergency preparedness of the sampled hospital. </w:t>
      </w:r>
      <w:r w:rsidR="008E4836">
        <w:rPr>
          <w:rFonts w:eastAsia="Calibri"/>
          <w:kern w:val="0"/>
          <w:lang w:val="en-GB" w:eastAsia="en-US"/>
        </w:rPr>
        <w:t>While the second group</w:t>
      </w:r>
      <w:r w:rsidRPr="00B13501">
        <w:rPr>
          <w:rFonts w:eastAsia="Calibri"/>
          <w:kern w:val="0"/>
          <w:lang w:val="en-GB" w:eastAsia="en-US"/>
        </w:rPr>
        <w:t xml:space="preserve">, </w:t>
      </w:r>
      <w:r w:rsidR="008E4836">
        <w:rPr>
          <w:rFonts w:eastAsia="Calibri"/>
          <w:kern w:val="0"/>
          <w:lang w:val="en-GB" w:eastAsia="en-US"/>
        </w:rPr>
        <w:t xml:space="preserve">are </w:t>
      </w:r>
      <w:r w:rsidRPr="00B13501">
        <w:rPr>
          <w:rFonts w:eastAsia="Calibri"/>
          <w:kern w:val="0"/>
          <w:lang w:val="en-GB" w:eastAsia="en-US"/>
        </w:rPr>
        <w:t>the patients who are also victims of emergencies in the sampled hospital</w:t>
      </w:r>
      <w:r w:rsidR="00E63EC1">
        <w:rPr>
          <w:rFonts w:eastAsia="Calibri"/>
          <w:kern w:val="0"/>
          <w:lang w:val="en-GB" w:eastAsia="en-US"/>
        </w:rPr>
        <w:t>. T</w:t>
      </w:r>
      <w:r w:rsidR="008E4836">
        <w:rPr>
          <w:rFonts w:eastAsia="Calibri"/>
          <w:kern w:val="0"/>
          <w:lang w:val="en-GB" w:eastAsia="en-US"/>
        </w:rPr>
        <w:t>hese</w:t>
      </w:r>
      <w:r w:rsidRPr="00B13501">
        <w:rPr>
          <w:rFonts w:eastAsia="Calibri"/>
          <w:kern w:val="0"/>
          <w:lang w:val="en-GB" w:eastAsia="en-US"/>
        </w:rPr>
        <w:t xml:space="preserve"> provided research data on the emergency response of the healthcare workers in the sampled hospital.</w:t>
      </w:r>
    </w:p>
    <w:bookmarkEnd w:id="5"/>
    <w:p w14:paraId="0B461D1F" w14:textId="77777777" w:rsidR="00B13501" w:rsidRPr="00B13501" w:rsidRDefault="00B13501" w:rsidP="00B13501">
      <w:pPr>
        <w:widowControl/>
        <w:suppressAutoHyphens w:val="0"/>
        <w:overflowPunct/>
        <w:autoSpaceDE/>
        <w:autoSpaceDN/>
        <w:adjustRightInd/>
        <w:spacing w:after="160"/>
        <w:jc w:val="both"/>
        <w:textAlignment w:val="auto"/>
        <w:rPr>
          <w:rFonts w:eastAsia="Calibri"/>
          <w:b/>
          <w:kern w:val="0"/>
          <w:lang w:val="en-GB" w:eastAsia="en-US"/>
        </w:rPr>
      </w:pPr>
      <w:r w:rsidRPr="00B13501">
        <w:rPr>
          <w:rFonts w:eastAsia="Calibri"/>
          <w:b/>
          <w:kern w:val="0"/>
          <w:lang w:val="en-GB" w:eastAsia="en-US"/>
        </w:rPr>
        <w:t xml:space="preserve">2.4 Sampling Technique  </w:t>
      </w:r>
    </w:p>
    <w:p w14:paraId="1BD7E650" w14:textId="571FC5C8" w:rsid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The purposive sampling technique was used to sample the biggest government-owned hospital in the state. The hospital that was sampled was the hospital with the highest chance of being involved in receiving emergency victims both in and within the sampled states around. The hospital sampled is the University of Port-Harcourt Teaching Hospital, (UPTH) Port Harcourt, Rivers State with hospital bed capacity of 782.</w:t>
      </w:r>
    </w:p>
    <w:p w14:paraId="64D2BB43" w14:textId="77777777" w:rsidR="006F0BD9" w:rsidRPr="0017733F" w:rsidRDefault="006F0BD9" w:rsidP="006F0BD9">
      <w:pPr>
        <w:widowControl/>
        <w:suppressAutoHyphens w:val="0"/>
        <w:overflowPunct/>
        <w:autoSpaceDE/>
        <w:autoSpaceDN/>
        <w:adjustRightInd/>
        <w:spacing w:after="160"/>
        <w:jc w:val="both"/>
        <w:textAlignment w:val="auto"/>
        <w:rPr>
          <w:rFonts w:eastAsia="Calibri"/>
          <w:b/>
          <w:bCs/>
          <w:kern w:val="0"/>
          <w:lang w:val="en-GB" w:eastAsia="en-US"/>
        </w:rPr>
      </w:pPr>
      <w:r w:rsidRPr="0017733F">
        <w:rPr>
          <w:rFonts w:eastAsia="Calibri"/>
          <w:b/>
          <w:bCs/>
          <w:kern w:val="0"/>
          <w:lang w:val="en-GB" w:eastAsia="en-US"/>
        </w:rPr>
        <w:t xml:space="preserve">2.5 Sample Size Determination </w:t>
      </w:r>
    </w:p>
    <w:p w14:paraId="77C78E99" w14:textId="49E24E9F" w:rsidR="00E739F9" w:rsidRPr="00B13501" w:rsidRDefault="00B13501" w:rsidP="00E739F9">
      <w:pPr>
        <w:widowControl/>
        <w:suppressAutoHyphens w:val="0"/>
        <w:overflowPunct/>
        <w:autoSpaceDE/>
        <w:autoSpaceDN/>
        <w:adjustRightInd/>
        <w:spacing w:after="160"/>
        <w:jc w:val="both"/>
        <w:textAlignment w:val="auto"/>
        <w:rPr>
          <w:rFonts w:eastAsia="Calibri"/>
          <w:kern w:val="0"/>
          <w:lang w:val="en-GB" w:eastAsia="en-US"/>
        </w:rPr>
      </w:pPr>
      <w:bookmarkStart w:id="6" w:name="_Hlk214119398"/>
      <w:r w:rsidRPr="009F0204">
        <w:rPr>
          <w:rFonts w:eastAsia="Calibri"/>
          <w:kern w:val="0"/>
          <w:lang w:val="en-GB" w:eastAsia="en-US"/>
        </w:rPr>
        <w:t>Fo</w:t>
      </w:r>
      <w:r w:rsidR="003B06F6">
        <w:rPr>
          <w:rFonts w:eastAsia="Calibri"/>
          <w:kern w:val="0"/>
          <w:lang w:val="en-GB" w:eastAsia="en-US"/>
        </w:rPr>
        <w:t>r</w:t>
      </w:r>
      <w:r w:rsidRPr="009F0204">
        <w:rPr>
          <w:rFonts w:eastAsia="Calibri"/>
          <w:kern w:val="0"/>
          <w:lang w:val="en-GB" w:eastAsia="en-US"/>
        </w:rPr>
        <w:t xml:space="preserve"> the healthcare workers in the sampled hospital, the</w:t>
      </w:r>
      <w:r w:rsidRPr="00B13501">
        <w:rPr>
          <w:rFonts w:eastAsia="Calibri"/>
          <w:kern w:val="0"/>
          <w:lang w:val="en-GB" w:eastAsia="en-US"/>
        </w:rPr>
        <w:t xml:space="preserve"> sample size was </w:t>
      </w:r>
      <w:r w:rsidR="00E739F9">
        <w:rPr>
          <w:rFonts w:eastAsia="Calibri"/>
          <w:kern w:val="0"/>
          <w:lang w:val="en-GB" w:eastAsia="en-US"/>
        </w:rPr>
        <w:t xml:space="preserve">based on availability and accessibility of the health workers during the field survey period. </w:t>
      </w:r>
      <w:r w:rsidR="008A1E94" w:rsidRPr="00B13501">
        <w:rPr>
          <w:rFonts w:eastAsia="Calibri"/>
          <w:kern w:val="0"/>
          <w:lang w:val="en-GB" w:eastAsia="en-US"/>
        </w:rPr>
        <w:t>Thus,</w:t>
      </w:r>
      <w:r w:rsidR="008A1E94">
        <w:rPr>
          <w:rFonts w:eastAsia="Calibri"/>
          <w:kern w:val="0"/>
          <w:lang w:val="en-GB" w:eastAsia="en-US"/>
        </w:rPr>
        <w:t xml:space="preserve"> at</w:t>
      </w:r>
      <w:r w:rsidR="008E4836">
        <w:rPr>
          <w:rFonts w:eastAsia="Calibri"/>
          <w:kern w:val="0"/>
          <w:lang w:val="en-GB" w:eastAsia="en-US"/>
        </w:rPr>
        <w:t xml:space="preserve"> the time of study</w:t>
      </w:r>
      <w:r w:rsidR="008A1E94">
        <w:rPr>
          <w:rFonts w:eastAsia="Calibri"/>
          <w:kern w:val="0"/>
          <w:lang w:val="en-GB" w:eastAsia="en-US"/>
        </w:rPr>
        <w:t xml:space="preserve">, the total available healthcare workers which comprises of </w:t>
      </w:r>
      <w:r w:rsidR="008A1E94" w:rsidRPr="00B13501">
        <w:rPr>
          <w:rFonts w:eastAsia="Calibri"/>
          <w:kern w:val="0"/>
          <w:lang w:val="en-GB" w:eastAsia="en-US"/>
        </w:rPr>
        <w:t>medical</w:t>
      </w:r>
      <w:r w:rsidRPr="00B13501">
        <w:rPr>
          <w:rFonts w:eastAsia="Calibri"/>
          <w:kern w:val="0"/>
          <w:lang w:val="en-GB" w:eastAsia="en-US"/>
        </w:rPr>
        <w:t xml:space="preserve"> doctors (both permanent and house doctors), Pharmacists, lab-technicians and Nurses </w:t>
      </w:r>
      <w:r w:rsidR="00E739F9">
        <w:rPr>
          <w:rFonts w:eastAsia="Calibri"/>
          <w:kern w:val="0"/>
          <w:lang w:val="en-GB" w:eastAsia="en-US"/>
        </w:rPr>
        <w:t xml:space="preserve">were </w:t>
      </w:r>
      <w:r w:rsidR="008A1E94">
        <w:rPr>
          <w:rFonts w:eastAsia="Calibri"/>
          <w:kern w:val="0"/>
          <w:lang w:val="en-GB" w:eastAsia="en-US"/>
        </w:rPr>
        <w:t>165. Consequently, 165 copies of</w:t>
      </w:r>
      <w:r w:rsidR="00E739F9">
        <w:rPr>
          <w:rFonts w:eastAsia="Calibri"/>
          <w:kern w:val="0"/>
          <w:lang w:val="en-GB" w:eastAsia="en-US"/>
        </w:rPr>
        <w:t xml:space="preserve"> questionnaire were administered to them, while 153 </w:t>
      </w:r>
      <w:r w:rsidR="00917526">
        <w:rPr>
          <w:rFonts w:eastAsia="Calibri"/>
          <w:kern w:val="0"/>
          <w:lang w:val="en-GB" w:eastAsia="en-US"/>
        </w:rPr>
        <w:t>questionnaires</w:t>
      </w:r>
      <w:r w:rsidR="008A1E94">
        <w:rPr>
          <w:rFonts w:eastAsia="Calibri"/>
          <w:kern w:val="0"/>
          <w:lang w:val="en-GB" w:eastAsia="en-US"/>
        </w:rPr>
        <w:t xml:space="preserve"> representing 92.7</w:t>
      </w:r>
      <w:r w:rsidR="00917526">
        <w:rPr>
          <w:rFonts w:eastAsia="Calibri"/>
          <w:kern w:val="0"/>
          <w:lang w:val="en-GB" w:eastAsia="en-US"/>
        </w:rPr>
        <w:t>3%</w:t>
      </w:r>
      <w:r w:rsidR="00E739F9">
        <w:rPr>
          <w:rFonts w:eastAsia="Calibri"/>
          <w:kern w:val="0"/>
          <w:lang w:val="en-GB" w:eastAsia="en-US"/>
        </w:rPr>
        <w:t xml:space="preserve"> were successfully filled, retrie</w:t>
      </w:r>
      <w:r w:rsidR="00672501">
        <w:rPr>
          <w:rFonts w:eastAsia="Calibri"/>
          <w:kern w:val="0"/>
          <w:lang w:val="en-GB" w:eastAsia="en-US"/>
        </w:rPr>
        <w:t>ve</w:t>
      </w:r>
      <w:r w:rsidR="00E739F9">
        <w:rPr>
          <w:rFonts w:eastAsia="Calibri"/>
          <w:kern w:val="0"/>
          <w:lang w:val="en-GB" w:eastAsia="en-US"/>
        </w:rPr>
        <w:t>d and used for the analysis</w:t>
      </w:r>
      <w:r w:rsidR="00917526">
        <w:rPr>
          <w:rFonts w:eastAsia="Calibri"/>
          <w:kern w:val="0"/>
          <w:lang w:val="en-GB" w:eastAsia="en-US"/>
        </w:rPr>
        <w:t>.</w:t>
      </w:r>
      <w:r w:rsidR="00E739F9">
        <w:rPr>
          <w:rFonts w:eastAsia="Calibri"/>
          <w:kern w:val="0"/>
          <w:lang w:val="en-GB" w:eastAsia="en-US"/>
        </w:rPr>
        <w:t xml:space="preserve"> </w:t>
      </w:r>
    </w:p>
    <w:p w14:paraId="60AE7642" w14:textId="56332DF0" w:rsidR="00B13501" w:rsidRPr="00B13501" w:rsidRDefault="00B13501" w:rsidP="00E739F9">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 xml:space="preserve">For the victims of emergency, </w:t>
      </w:r>
      <w:r w:rsidR="00E739F9" w:rsidRPr="00B13501">
        <w:rPr>
          <w:rFonts w:eastAsia="Calibri"/>
          <w:kern w:val="0"/>
          <w:lang w:val="en-GB" w:eastAsia="en-US"/>
        </w:rPr>
        <w:t xml:space="preserve">the sample size was </w:t>
      </w:r>
      <w:r w:rsidR="00E739F9">
        <w:rPr>
          <w:rFonts w:eastAsia="Calibri"/>
          <w:kern w:val="0"/>
          <w:lang w:val="en-GB" w:eastAsia="en-US"/>
        </w:rPr>
        <w:t xml:space="preserve">also based on availability and accessibility of the victims during the field survey period. </w:t>
      </w:r>
      <w:r w:rsidR="00E739F9" w:rsidRPr="00B13501">
        <w:rPr>
          <w:rFonts w:eastAsia="Calibri"/>
          <w:kern w:val="0"/>
          <w:lang w:val="en-GB" w:eastAsia="en-US"/>
        </w:rPr>
        <w:t>Thus,</w:t>
      </w:r>
      <w:r w:rsidR="00E739F9">
        <w:rPr>
          <w:rFonts w:eastAsia="Calibri"/>
          <w:kern w:val="0"/>
          <w:lang w:val="en-GB" w:eastAsia="en-US"/>
        </w:rPr>
        <w:t xml:space="preserve">120 victims or patients were </w:t>
      </w:r>
      <w:r w:rsidR="00376583">
        <w:rPr>
          <w:rFonts w:eastAsia="Calibri"/>
          <w:kern w:val="0"/>
          <w:lang w:val="en-GB" w:eastAsia="en-US"/>
        </w:rPr>
        <w:t>sampled,</w:t>
      </w:r>
      <w:r w:rsidR="00E739F9">
        <w:rPr>
          <w:rFonts w:eastAsia="Calibri"/>
          <w:kern w:val="0"/>
          <w:lang w:val="en-GB" w:eastAsia="en-US"/>
        </w:rPr>
        <w:t xml:space="preserve"> and questionnaire were administered to them, while 111 questionnaires </w:t>
      </w:r>
      <w:r w:rsidR="00917526">
        <w:rPr>
          <w:rFonts w:eastAsia="Calibri"/>
          <w:kern w:val="0"/>
          <w:lang w:val="en-GB" w:eastAsia="en-US"/>
        </w:rPr>
        <w:t xml:space="preserve">representing 92.5% </w:t>
      </w:r>
      <w:r w:rsidR="00E739F9">
        <w:rPr>
          <w:rFonts w:eastAsia="Calibri"/>
          <w:kern w:val="0"/>
          <w:lang w:val="en-GB" w:eastAsia="en-US"/>
        </w:rPr>
        <w:t xml:space="preserve">were </w:t>
      </w:r>
      <w:r w:rsidR="00917526">
        <w:rPr>
          <w:rFonts w:eastAsia="Calibri"/>
          <w:kern w:val="0"/>
          <w:lang w:val="en-GB" w:eastAsia="en-US"/>
        </w:rPr>
        <w:t xml:space="preserve">successfully </w:t>
      </w:r>
      <w:r w:rsidR="00E739F9">
        <w:rPr>
          <w:rFonts w:eastAsia="Calibri"/>
          <w:kern w:val="0"/>
          <w:lang w:val="en-GB" w:eastAsia="en-US"/>
        </w:rPr>
        <w:t>filled, retrie</w:t>
      </w:r>
      <w:r w:rsidR="00672501">
        <w:rPr>
          <w:rFonts w:eastAsia="Calibri"/>
          <w:kern w:val="0"/>
          <w:lang w:val="en-GB" w:eastAsia="en-US"/>
        </w:rPr>
        <w:t>ved</w:t>
      </w:r>
      <w:r w:rsidR="00E739F9">
        <w:rPr>
          <w:rFonts w:eastAsia="Calibri"/>
          <w:kern w:val="0"/>
          <w:lang w:val="en-GB" w:eastAsia="en-US"/>
        </w:rPr>
        <w:t xml:space="preserve"> and used for the analysis</w:t>
      </w:r>
      <w:r w:rsidR="00917526">
        <w:rPr>
          <w:rFonts w:eastAsia="Calibri"/>
          <w:kern w:val="0"/>
          <w:lang w:val="en-GB" w:eastAsia="en-US"/>
        </w:rPr>
        <w:t>.</w:t>
      </w:r>
    </w:p>
    <w:bookmarkEnd w:id="6"/>
    <w:p w14:paraId="1FFB9958" w14:textId="77777777" w:rsidR="00B13501" w:rsidRPr="00B13501" w:rsidRDefault="00B13501" w:rsidP="00B13501">
      <w:pPr>
        <w:widowControl/>
        <w:suppressAutoHyphens w:val="0"/>
        <w:overflowPunct/>
        <w:autoSpaceDE/>
        <w:autoSpaceDN/>
        <w:adjustRightInd/>
        <w:spacing w:after="160"/>
        <w:jc w:val="both"/>
        <w:textAlignment w:val="auto"/>
        <w:rPr>
          <w:rFonts w:eastAsia="Calibri"/>
          <w:b/>
          <w:kern w:val="0"/>
          <w:lang w:val="en-GB" w:eastAsia="en-US"/>
        </w:rPr>
      </w:pPr>
      <w:r w:rsidRPr="00B13501">
        <w:rPr>
          <w:rFonts w:eastAsia="Calibri"/>
          <w:b/>
          <w:kern w:val="0"/>
          <w:lang w:val="en-GB" w:eastAsia="en-US"/>
        </w:rPr>
        <w:t xml:space="preserve">2.6    Nature or Type of Data </w:t>
      </w:r>
    </w:p>
    <w:p w14:paraId="123696DE" w14:textId="0FE384EB"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The study was based on primary and secondary data. Primary data w</w:t>
      </w:r>
      <w:r w:rsidR="003B06F6">
        <w:rPr>
          <w:rFonts w:eastAsia="Calibri"/>
          <w:kern w:val="0"/>
          <w:lang w:val="en-GB" w:eastAsia="en-US"/>
        </w:rPr>
        <w:t>ere</w:t>
      </w:r>
      <w:r w:rsidRPr="00B13501">
        <w:rPr>
          <w:rFonts w:eastAsia="Calibri"/>
          <w:kern w:val="0"/>
          <w:lang w:val="en-GB" w:eastAsia="en-US"/>
        </w:rPr>
        <w:t xml:space="preserve"> obtained using a well-structured questionnaire basically to ascertain the response of the healthcare workers on their emergency preparedness and to also ascertain the response of the emergency victim on the response of the</w:t>
      </w:r>
      <w:r w:rsidR="00376583">
        <w:rPr>
          <w:rFonts w:eastAsia="Calibri"/>
          <w:kern w:val="0"/>
          <w:lang w:val="en-GB" w:eastAsia="en-US"/>
        </w:rPr>
        <w:t xml:space="preserve"> healthcare workers</w:t>
      </w:r>
      <w:r w:rsidRPr="00B13501">
        <w:rPr>
          <w:rFonts w:eastAsia="Calibri"/>
          <w:kern w:val="0"/>
          <w:lang w:val="en-GB" w:eastAsia="en-US"/>
        </w:rPr>
        <w:t xml:space="preserve"> during the emergencies. Secondary data - comprised of websites and articles where other relevant information and data were sourced and obtained.</w:t>
      </w:r>
    </w:p>
    <w:p w14:paraId="53468A94" w14:textId="77777777" w:rsidR="00B13501" w:rsidRPr="00B13501" w:rsidRDefault="00B13501" w:rsidP="00B13501">
      <w:pPr>
        <w:widowControl/>
        <w:suppressAutoHyphens w:val="0"/>
        <w:overflowPunct/>
        <w:autoSpaceDE/>
        <w:autoSpaceDN/>
        <w:adjustRightInd/>
        <w:spacing w:after="160"/>
        <w:jc w:val="both"/>
        <w:textAlignment w:val="auto"/>
        <w:rPr>
          <w:rFonts w:eastAsia="Calibri"/>
          <w:b/>
          <w:kern w:val="0"/>
          <w:lang w:val="en-GB" w:eastAsia="en-US"/>
        </w:rPr>
      </w:pPr>
      <w:r w:rsidRPr="00B13501">
        <w:rPr>
          <w:rFonts w:eastAsia="Calibri"/>
          <w:b/>
          <w:kern w:val="0"/>
          <w:lang w:val="en-GB" w:eastAsia="en-US"/>
        </w:rPr>
        <w:t xml:space="preserve">2.7 Method and Instrument of Data Collection </w:t>
      </w:r>
    </w:p>
    <w:p w14:paraId="543F37FD" w14:textId="7D4647FA"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Data were collected using survey method. The data collection was carried out using questionnaires and checklist. The respondents were healthcare workers in the sampled hospital as well as victims and</w:t>
      </w:r>
      <w:r w:rsidR="00757AA9">
        <w:rPr>
          <w:rFonts w:eastAsia="Calibri"/>
          <w:kern w:val="0"/>
          <w:lang w:val="en-GB" w:eastAsia="en-US"/>
        </w:rPr>
        <w:t xml:space="preserve"> or</w:t>
      </w:r>
      <w:r w:rsidRPr="00B13501">
        <w:rPr>
          <w:rFonts w:eastAsia="Calibri"/>
          <w:kern w:val="0"/>
          <w:lang w:val="en-GB" w:eastAsia="en-US"/>
        </w:rPr>
        <w:t xml:space="preserve"> patients of accidents and other emergencies across the State who were admitted to the hospital. </w:t>
      </w:r>
      <w:r w:rsidR="00E774DF">
        <w:rPr>
          <w:rFonts w:eastAsia="Calibri"/>
          <w:kern w:val="0"/>
          <w:lang w:val="en-GB" w:eastAsia="en-US"/>
        </w:rPr>
        <w:t>P</w:t>
      </w:r>
      <w:r w:rsidRPr="00B13501">
        <w:rPr>
          <w:rFonts w:eastAsia="Calibri"/>
          <w:kern w:val="0"/>
          <w:lang w:val="en-GB" w:eastAsia="en-US"/>
        </w:rPr>
        <w:t xml:space="preserve">rint </w:t>
      </w:r>
      <w:r w:rsidR="00E774DF">
        <w:rPr>
          <w:rFonts w:eastAsia="Calibri"/>
          <w:kern w:val="0"/>
          <w:lang w:val="en-GB" w:eastAsia="en-US"/>
        </w:rPr>
        <w:t>copies</w:t>
      </w:r>
      <w:r w:rsidRPr="00B13501">
        <w:rPr>
          <w:rFonts w:eastAsia="Calibri"/>
          <w:kern w:val="0"/>
          <w:lang w:val="en-GB" w:eastAsia="en-US"/>
        </w:rPr>
        <w:t xml:space="preserve"> of the questionnair</w:t>
      </w:r>
      <w:r w:rsidR="00E774DF">
        <w:rPr>
          <w:rFonts w:eastAsia="Calibri"/>
          <w:kern w:val="0"/>
          <w:lang w:val="en-GB" w:eastAsia="en-US"/>
        </w:rPr>
        <w:t>e</w:t>
      </w:r>
      <w:r w:rsidRPr="00B13501">
        <w:rPr>
          <w:rFonts w:eastAsia="Calibri"/>
          <w:kern w:val="0"/>
          <w:lang w:val="en-GB" w:eastAsia="en-US"/>
        </w:rPr>
        <w:t xml:space="preserve"> w</w:t>
      </w:r>
      <w:r w:rsidR="00E774DF">
        <w:rPr>
          <w:rFonts w:eastAsia="Calibri"/>
          <w:kern w:val="0"/>
          <w:lang w:val="en-GB" w:eastAsia="en-US"/>
        </w:rPr>
        <w:t>ere</w:t>
      </w:r>
      <w:r w:rsidRPr="00B13501">
        <w:rPr>
          <w:rFonts w:eastAsia="Calibri"/>
          <w:kern w:val="0"/>
          <w:lang w:val="en-GB" w:eastAsia="en-US"/>
        </w:rPr>
        <w:t xml:space="preserve"> administered to respondents. The questionnaire w</w:t>
      </w:r>
      <w:r w:rsidR="00E33865">
        <w:rPr>
          <w:rFonts w:eastAsia="Calibri"/>
          <w:kern w:val="0"/>
          <w:lang w:val="en-GB" w:eastAsia="en-US"/>
        </w:rPr>
        <w:t>as</w:t>
      </w:r>
      <w:r w:rsidRPr="00B13501">
        <w:rPr>
          <w:rFonts w:eastAsia="Calibri"/>
          <w:kern w:val="0"/>
          <w:lang w:val="en-GB" w:eastAsia="en-US"/>
        </w:rPr>
        <w:t xml:space="preserve"> administered on a one-on-one basis with a time frame of a few minutes to fill and return the completed questionnaire to the researcher or a research assistant. The questionnaire comprised of close-ended questions which </w:t>
      </w:r>
      <w:r w:rsidR="00E33865">
        <w:rPr>
          <w:rFonts w:eastAsia="Calibri"/>
          <w:kern w:val="0"/>
          <w:lang w:val="en-GB" w:eastAsia="en-US"/>
        </w:rPr>
        <w:t>are</w:t>
      </w:r>
      <w:r w:rsidRPr="00B13501">
        <w:rPr>
          <w:rFonts w:eastAsia="Calibri"/>
          <w:kern w:val="0"/>
          <w:lang w:val="en-GB" w:eastAsia="en-US"/>
        </w:rPr>
        <w:t xml:space="preserve"> rated on a 5-point Likert scale, as well as questions on socio-demographic profiles of the respondents. The data collection process lasted a period of three months. </w:t>
      </w:r>
    </w:p>
    <w:p w14:paraId="1853D827" w14:textId="26831142"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bookmarkStart w:id="7" w:name="_Hlk202789877"/>
      <w:r w:rsidRPr="00B13501">
        <w:rPr>
          <w:rFonts w:eastAsia="Calibri"/>
          <w:kern w:val="0"/>
          <w:lang w:val="en-GB" w:eastAsia="en-US"/>
        </w:rPr>
        <w:t>The questionnaire w</w:t>
      </w:r>
      <w:r w:rsidR="00E83AD9">
        <w:rPr>
          <w:rFonts w:eastAsia="Calibri"/>
          <w:kern w:val="0"/>
          <w:lang w:val="en-GB" w:eastAsia="en-US"/>
        </w:rPr>
        <w:t>as</w:t>
      </w:r>
      <w:r w:rsidRPr="00B13501">
        <w:rPr>
          <w:rFonts w:eastAsia="Calibri"/>
          <w:kern w:val="0"/>
          <w:lang w:val="en-GB" w:eastAsia="en-US"/>
        </w:rPr>
        <w:t xml:space="preserve"> explained to the respondents before they were administered to them to get their honest responses. The questionnaire comprised of three parts</w:t>
      </w:r>
      <w:r w:rsidR="00E33865">
        <w:rPr>
          <w:rFonts w:eastAsia="Calibri"/>
          <w:kern w:val="0"/>
          <w:lang w:val="en-GB" w:eastAsia="en-US"/>
        </w:rPr>
        <w:t xml:space="preserve">; </w:t>
      </w:r>
      <w:r w:rsidRPr="00B13501">
        <w:rPr>
          <w:rFonts w:eastAsia="Calibri"/>
          <w:kern w:val="0"/>
          <w:lang w:val="en-GB" w:eastAsia="en-US"/>
        </w:rPr>
        <w:t>A, B and C. The part A of the questionnaire was designed to enable the researcher to retrieve responses from the healthcare workers in the sampled hospital on their level of emergency preparedness in handling emergency and accident situations in the hospital</w:t>
      </w:r>
      <w:r w:rsidR="00E33865">
        <w:rPr>
          <w:rFonts w:eastAsia="Calibri"/>
          <w:kern w:val="0"/>
          <w:lang w:val="en-GB" w:eastAsia="en-US"/>
        </w:rPr>
        <w:t>. The p</w:t>
      </w:r>
      <w:r w:rsidRPr="00B13501">
        <w:rPr>
          <w:rFonts w:eastAsia="Calibri"/>
          <w:kern w:val="0"/>
          <w:lang w:val="en-GB" w:eastAsia="en-US"/>
        </w:rPr>
        <w:t>art B of the questionnaire was designed to enable the researcher obtain response</w:t>
      </w:r>
      <w:r w:rsidR="00C16B36">
        <w:rPr>
          <w:rFonts w:eastAsia="Calibri"/>
          <w:kern w:val="0"/>
          <w:lang w:val="en-GB" w:eastAsia="en-US"/>
        </w:rPr>
        <w:t>s</w:t>
      </w:r>
      <w:r w:rsidRPr="00B13501">
        <w:rPr>
          <w:rFonts w:eastAsia="Calibri"/>
          <w:kern w:val="0"/>
          <w:lang w:val="en-GB" w:eastAsia="en-US"/>
        </w:rPr>
        <w:t xml:space="preserve"> of the accident victims in the sampled hospital on the level of emergency response of the hospital during the accidents and emergency situations. part C comprised of the hospital emergency checklist (WHO, 2011). </w:t>
      </w:r>
      <w:r w:rsidRPr="00B13501">
        <w:rPr>
          <w:rFonts w:eastAsia="Calibri"/>
          <w:kern w:val="0"/>
          <w:lang w:val="en-GB" w:eastAsia="en-US"/>
        </w:rPr>
        <w:lastRenderedPageBreak/>
        <w:t xml:space="preserve">The checklist was used to physically examine and ascertain the availability and presence of some important and crucial emergency preparedness systems that are required for proper emergency preparedness in hospitals based on the WHO (2011) emergency preparedness checklist. </w:t>
      </w:r>
      <w:bookmarkEnd w:id="7"/>
    </w:p>
    <w:p w14:paraId="63981194" w14:textId="77777777" w:rsidR="00B13501" w:rsidRPr="00B13501" w:rsidRDefault="00B13501" w:rsidP="00B13501">
      <w:pPr>
        <w:widowControl/>
        <w:suppressAutoHyphens w:val="0"/>
        <w:overflowPunct/>
        <w:autoSpaceDE/>
        <w:autoSpaceDN/>
        <w:adjustRightInd/>
        <w:spacing w:after="160"/>
        <w:jc w:val="both"/>
        <w:textAlignment w:val="auto"/>
        <w:rPr>
          <w:rFonts w:eastAsia="Calibri"/>
          <w:b/>
          <w:kern w:val="0"/>
          <w:lang w:val="en-GB" w:eastAsia="en-US"/>
        </w:rPr>
      </w:pPr>
      <w:r w:rsidRPr="00B13501">
        <w:rPr>
          <w:rFonts w:eastAsia="Calibri"/>
          <w:b/>
          <w:kern w:val="0"/>
          <w:lang w:val="en-GB" w:eastAsia="en-US"/>
        </w:rPr>
        <w:t xml:space="preserve">2.8 Validity and Reliability of Study Instrument </w:t>
      </w:r>
    </w:p>
    <w:p w14:paraId="5BE74A8F" w14:textId="32403279" w:rsidR="00B13501" w:rsidRPr="00B13501" w:rsidRDefault="00B13501" w:rsidP="00B13501">
      <w:pPr>
        <w:widowControl/>
        <w:suppressAutoHyphens w:val="0"/>
        <w:overflowPunct/>
        <w:autoSpaceDE/>
        <w:autoSpaceDN/>
        <w:adjustRightInd/>
        <w:spacing w:after="160"/>
        <w:jc w:val="both"/>
        <w:textAlignment w:val="auto"/>
        <w:rPr>
          <w:rFonts w:eastAsia="Calibri"/>
          <w:color w:val="000000"/>
          <w:kern w:val="0"/>
          <w:lang w:val="en-GB" w:eastAsia="en-US"/>
        </w:rPr>
      </w:pPr>
      <w:r w:rsidRPr="00B13501">
        <w:rPr>
          <w:rFonts w:eastAsia="Calibri"/>
          <w:kern w:val="0"/>
          <w:lang w:val="en-GB" w:eastAsia="en-US"/>
        </w:rPr>
        <w:t xml:space="preserve">The extent to which an instrument is capable of eliciting appropriate </w:t>
      </w:r>
      <w:r w:rsidRPr="00B30006">
        <w:rPr>
          <w:rFonts w:eastAsia="Calibri"/>
          <w:kern w:val="0"/>
          <w:lang w:val="en-GB" w:eastAsia="en-US"/>
        </w:rPr>
        <w:t xml:space="preserve">response with respect to the study is referred to as content validity. </w:t>
      </w:r>
      <w:r w:rsidRPr="00B30006">
        <w:rPr>
          <w:rFonts w:eastAsia="Calibri"/>
          <w:color w:val="000000"/>
          <w:kern w:val="0"/>
          <w:lang w:val="en-GB" w:eastAsia="en-US"/>
        </w:rPr>
        <w:t>Test and pre-test reliability of the two questionnaire</w:t>
      </w:r>
      <w:r w:rsidR="00B30006" w:rsidRPr="00B30006">
        <w:rPr>
          <w:rFonts w:eastAsia="Calibri"/>
          <w:color w:val="000000"/>
          <w:kern w:val="0"/>
          <w:lang w:val="en-GB" w:eastAsia="en-US"/>
        </w:rPr>
        <w:t>s</w:t>
      </w:r>
      <w:r w:rsidRPr="00B30006">
        <w:rPr>
          <w:rFonts w:eastAsia="Calibri"/>
          <w:color w:val="000000"/>
          <w:kern w:val="0"/>
          <w:lang w:val="en-GB" w:eastAsia="en-US"/>
        </w:rPr>
        <w:t xml:space="preserve"> w</w:t>
      </w:r>
      <w:r w:rsidR="00E33865" w:rsidRPr="00B30006">
        <w:rPr>
          <w:rFonts w:eastAsia="Calibri"/>
          <w:color w:val="000000"/>
          <w:kern w:val="0"/>
          <w:lang w:val="en-GB" w:eastAsia="en-US"/>
        </w:rPr>
        <w:t>ere</w:t>
      </w:r>
      <w:r w:rsidRPr="00B30006">
        <w:rPr>
          <w:rFonts w:eastAsia="Calibri"/>
          <w:color w:val="000000"/>
          <w:kern w:val="0"/>
          <w:lang w:val="en-GB" w:eastAsia="en-US"/>
        </w:rPr>
        <w:t xml:space="preserve"> carried out with sample size of 10% and their reliability was ascertained </w:t>
      </w:r>
      <w:bookmarkStart w:id="8" w:name="_Hlk126438690"/>
      <w:r w:rsidRPr="00B30006">
        <w:rPr>
          <w:rFonts w:eastAsia="Calibri"/>
          <w:color w:val="000000"/>
          <w:kern w:val="0"/>
          <w:lang w:val="en-GB" w:eastAsia="en-US"/>
        </w:rPr>
        <w:t>using Cronbach’s alpha reliability</w:t>
      </w:r>
      <w:r w:rsidRPr="00B13501">
        <w:rPr>
          <w:rFonts w:eastAsia="Calibri"/>
          <w:color w:val="000000"/>
          <w:kern w:val="0"/>
          <w:lang w:val="en-GB" w:eastAsia="en-US"/>
        </w:rPr>
        <w:t xml:space="preserve"> </w:t>
      </w:r>
      <w:bookmarkEnd w:id="8"/>
      <w:r w:rsidRPr="00B13501">
        <w:rPr>
          <w:rFonts w:eastAsia="Calibri"/>
          <w:color w:val="000000"/>
          <w:kern w:val="0"/>
          <w:lang w:val="en-GB" w:eastAsia="en-US"/>
        </w:rPr>
        <w:t>test. A Cronbach’s alpha coefficient on a scale above 0.70 was considered “Suitable” for the research.</w:t>
      </w:r>
    </w:p>
    <w:p w14:paraId="53242A16" w14:textId="77777777" w:rsidR="00B13501" w:rsidRPr="00B13501" w:rsidRDefault="00B13501" w:rsidP="00B13501">
      <w:pPr>
        <w:widowControl/>
        <w:suppressAutoHyphens w:val="0"/>
        <w:overflowPunct/>
        <w:autoSpaceDE/>
        <w:autoSpaceDN/>
        <w:adjustRightInd/>
        <w:spacing w:after="160"/>
        <w:jc w:val="both"/>
        <w:textAlignment w:val="auto"/>
        <w:rPr>
          <w:rFonts w:eastAsia="Calibri"/>
          <w:b/>
          <w:color w:val="FF0000"/>
          <w:kern w:val="0"/>
          <w:lang w:val="en-GB" w:eastAsia="en-US"/>
        </w:rPr>
      </w:pPr>
      <w:r w:rsidRPr="00B13501">
        <w:rPr>
          <w:rFonts w:eastAsia="Calibri"/>
          <w:b/>
          <w:kern w:val="0"/>
          <w:lang w:val="en-GB" w:eastAsia="en-US"/>
        </w:rPr>
        <w:t xml:space="preserve">2.9 Method of Data Analysis </w:t>
      </w:r>
    </w:p>
    <w:p w14:paraId="2D6F7B8A" w14:textId="5FF2DA69"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zh-CN"/>
        </w:rPr>
        <w:t xml:space="preserve">The study employed standard methods and statistical tools to analyse the data that were collected. The </w:t>
      </w:r>
      <w:r w:rsidRPr="00B13501">
        <w:rPr>
          <w:rFonts w:eastAsia="Calibri"/>
          <w:kern w:val="0"/>
          <w:lang w:val="en-GB" w:eastAsia="en-US"/>
        </w:rPr>
        <w:t>descriptive statistical methods (</w:t>
      </w:r>
      <w:r w:rsidRPr="00B13501">
        <w:rPr>
          <w:rFonts w:eastAsia="Calibri"/>
          <w:kern w:val="0"/>
          <w:lang w:val="en-GB" w:eastAsia="zh-CN"/>
        </w:rPr>
        <w:t>means, percentages, standard deviation),</w:t>
      </w:r>
      <w:r w:rsidRPr="00B13501">
        <w:rPr>
          <w:rFonts w:eastAsia="Calibri"/>
          <w:kern w:val="0"/>
          <w:lang w:val="en-GB" w:eastAsia="en-US"/>
        </w:rPr>
        <w:t xml:space="preserve"> and Regression analysis were the methods that were used in the analysis. Descriptive</w:t>
      </w:r>
      <w:r w:rsidRPr="00B13501">
        <w:rPr>
          <w:rFonts w:eastAsia="Calibri"/>
          <w:kern w:val="0"/>
          <w:lang w:val="en-GB" w:eastAsia="zh-CN"/>
        </w:rPr>
        <w:t xml:space="preserve"> statistics were used to cover objectives 1 and 2. The method is suitable because it involves quantifying the opinion of the respondents on the level of emergency preparedness and emergency response, while regression was used to cover objective 3, which involve</w:t>
      </w:r>
      <w:r w:rsidR="009D127D">
        <w:rPr>
          <w:rFonts w:eastAsia="Calibri"/>
          <w:kern w:val="0"/>
          <w:lang w:val="en-GB" w:eastAsia="zh-CN"/>
        </w:rPr>
        <w:t>d</w:t>
      </w:r>
      <w:r w:rsidRPr="00B13501">
        <w:rPr>
          <w:rFonts w:eastAsia="Calibri"/>
          <w:kern w:val="0"/>
          <w:lang w:val="en-GB" w:eastAsia="zh-CN"/>
        </w:rPr>
        <w:t xml:space="preserve"> investigating the impact of emergency preparedness on the emergency response of the sampled hospital.   </w:t>
      </w:r>
    </w:p>
    <w:p w14:paraId="28E3260A" w14:textId="27A188C6"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b/>
          <w:kern w:val="0"/>
          <w:lang w:val="en-GB" w:eastAsia="en-US"/>
        </w:rPr>
      </w:pPr>
      <w:r w:rsidRPr="00B13501">
        <w:rPr>
          <w:b/>
          <w:kern w:val="0"/>
          <w:lang w:val="en-GB" w:eastAsia="en-US"/>
        </w:rPr>
        <w:t>3.</w:t>
      </w:r>
      <w:r w:rsidR="009D127D">
        <w:rPr>
          <w:b/>
          <w:kern w:val="0"/>
          <w:lang w:val="en-GB" w:eastAsia="en-US"/>
        </w:rPr>
        <w:t xml:space="preserve"> </w:t>
      </w:r>
      <w:r w:rsidRPr="00B13501">
        <w:rPr>
          <w:b/>
          <w:kern w:val="0"/>
          <w:lang w:val="en-GB" w:eastAsia="en-US"/>
        </w:rPr>
        <w:t>Results and Discussion</w:t>
      </w:r>
    </w:p>
    <w:p w14:paraId="2D371D5C"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b/>
          <w:kern w:val="0"/>
          <w:lang w:val="en-GB" w:eastAsia="en-US"/>
        </w:rPr>
      </w:pPr>
      <w:r w:rsidRPr="00B13501">
        <w:rPr>
          <w:b/>
          <w:kern w:val="0"/>
          <w:lang w:val="en-GB" w:eastAsia="en-US"/>
        </w:rPr>
        <w:t xml:space="preserve">3.1 Perception of the respondents on the level of emergency preparedness in the Hospital </w:t>
      </w:r>
    </w:p>
    <w:p w14:paraId="366E1017" w14:textId="77777777"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Table 1 present the descriptive statistics of respondents' responses to the emergency preparedness constructs in the sampled hospital in Rivers States. The analysis used a 5-point Likert scale coded as: Strongly Agree = 5, Agree = 4, Disagree = 3, Strongly Disagree = 2, and Undecided = 1.</w:t>
      </w:r>
    </w:p>
    <w:p w14:paraId="376C08A4" w14:textId="1B666BFD"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b/>
          <w:bCs/>
          <w:kern w:val="0"/>
          <w:lang w:val="en-GB" w:eastAsia="en-US"/>
        </w:rPr>
        <w:t xml:space="preserve">Emergence </w:t>
      </w:r>
      <w:r w:rsidR="003F5AC9" w:rsidRPr="00B13501">
        <w:rPr>
          <w:b/>
          <w:bCs/>
          <w:kern w:val="0"/>
          <w:lang w:val="en-GB" w:eastAsia="en-US"/>
        </w:rPr>
        <w:t>Training:</w:t>
      </w:r>
      <w:r w:rsidRPr="00B13501">
        <w:rPr>
          <w:b/>
          <w:bCs/>
          <w:kern w:val="0"/>
          <w:lang w:val="en-GB" w:eastAsia="en-US"/>
        </w:rPr>
        <w:t xml:space="preserve"> </w:t>
      </w:r>
      <w:r w:rsidRPr="00B13501">
        <w:rPr>
          <w:bCs/>
          <w:kern w:val="0"/>
          <w:lang w:val="en-GB" w:eastAsia="en-US"/>
        </w:rPr>
        <w:t>The result</w:t>
      </w:r>
      <w:r w:rsidRPr="00B13501">
        <w:rPr>
          <w:kern w:val="0"/>
          <w:lang w:val="en-GB" w:eastAsia="en-US"/>
        </w:rPr>
        <w:t xml:space="preserve"> showed a moderate mean score of 3.29, indicating modest agreement about emergency cross-training provisions in high-demand services and the provision of training exercises for increased clinical demand scenarios. The standard deviations of 1.07 suggest notably wider variability in opinions among healthcare workers in the State. This result aligned with the work of </w:t>
      </w:r>
      <w:proofErr w:type="spellStart"/>
      <w:r w:rsidRPr="00236723">
        <w:rPr>
          <w:kern w:val="0"/>
          <w:lang w:val="en-GB" w:eastAsia="en-US"/>
        </w:rPr>
        <w:t>Adni</w:t>
      </w:r>
      <w:proofErr w:type="spellEnd"/>
      <w:r w:rsidRPr="00B13501">
        <w:rPr>
          <w:kern w:val="0"/>
          <w:lang w:val="en-GB" w:eastAsia="en-US"/>
        </w:rPr>
        <w:t xml:space="preserve"> et al. (2011) who</w:t>
      </w:r>
      <w:r w:rsidR="009D127D">
        <w:rPr>
          <w:kern w:val="0"/>
          <w:lang w:val="en-GB" w:eastAsia="en-US"/>
        </w:rPr>
        <w:t>se</w:t>
      </w:r>
      <w:r w:rsidRPr="00B13501">
        <w:rPr>
          <w:kern w:val="0"/>
          <w:lang w:val="en-GB" w:eastAsia="en-US"/>
        </w:rPr>
        <w:t xml:space="preserve"> study emphasized that adequate training forms the foundation of effective emergency preparedness in healthcare facilities and is critical for maintaining competency among healthcare workers.</w:t>
      </w:r>
    </w:p>
    <w:p w14:paraId="46943D97" w14:textId="4B9601AF"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b/>
          <w:bCs/>
          <w:kern w:val="0"/>
          <w:lang w:val="en-GB" w:eastAsia="en-US"/>
        </w:rPr>
        <w:t xml:space="preserve">Emergency </w:t>
      </w:r>
      <w:r w:rsidR="00AE62E4" w:rsidRPr="00B13501">
        <w:rPr>
          <w:b/>
          <w:bCs/>
          <w:kern w:val="0"/>
          <w:lang w:val="en-GB" w:eastAsia="en-US"/>
        </w:rPr>
        <w:t>Planning:</w:t>
      </w:r>
      <w:r w:rsidRPr="00B13501">
        <w:rPr>
          <w:b/>
          <w:bCs/>
          <w:kern w:val="0"/>
          <w:lang w:val="en-GB" w:eastAsia="en-US"/>
        </w:rPr>
        <w:t xml:space="preserve"> </w:t>
      </w:r>
      <w:r w:rsidRPr="00B13501">
        <w:rPr>
          <w:kern w:val="0"/>
          <w:lang w:val="en-GB" w:eastAsia="en-US"/>
        </w:rPr>
        <w:t>The mean score of 3.85 indicate</w:t>
      </w:r>
      <w:r w:rsidR="009D127D">
        <w:rPr>
          <w:kern w:val="0"/>
          <w:lang w:val="en-GB" w:eastAsia="en-US"/>
        </w:rPr>
        <w:t>d</w:t>
      </w:r>
      <w:r w:rsidRPr="00B13501">
        <w:rPr>
          <w:kern w:val="0"/>
          <w:lang w:val="en-GB" w:eastAsia="en-US"/>
        </w:rPr>
        <w:t xml:space="preserve"> strong agreement that the hospital has implemented a substantial level of emergency plan in terms of mass-casualty triage protocol based on severity of illness/injury and hospital capacity following international guidelines. Healthcare workers also strongly agreed that the hospital management provide</w:t>
      </w:r>
      <w:r w:rsidR="009D127D">
        <w:rPr>
          <w:kern w:val="0"/>
          <w:lang w:val="en-GB" w:eastAsia="en-US"/>
        </w:rPr>
        <w:t>d</w:t>
      </w:r>
      <w:r w:rsidRPr="00B13501">
        <w:rPr>
          <w:kern w:val="0"/>
          <w:lang w:val="en-GB" w:eastAsia="en-US"/>
        </w:rPr>
        <w:t xml:space="preserve"> adequate security identification for vulnerable areas such as entry/exits, food/water access points, and pharmaceutical stockpiles. They confirmed that regular emergency drill activities are conducted through department heads and supervisors. </w:t>
      </w:r>
      <w:r w:rsidRPr="00B13501">
        <w:rPr>
          <w:rFonts w:eastAsia="Calibri"/>
          <w:kern w:val="0"/>
          <w:lang w:val="en-GB" w:eastAsia="en-US"/>
        </w:rPr>
        <w:t>Bartley</w:t>
      </w:r>
      <w:r w:rsidRPr="00B13501">
        <w:rPr>
          <w:kern w:val="0"/>
          <w:lang w:val="en-GB" w:eastAsia="en-US"/>
        </w:rPr>
        <w:t xml:space="preserve"> et al. (2006) reported similar findings in their study of US hospitals where they found that comprehensive emergency planning was positively associated with better emergency response outcomes.</w:t>
      </w:r>
    </w:p>
    <w:p w14:paraId="400BA4AB" w14:textId="16C0FF67"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b/>
          <w:bCs/>
          <w:kern w:val="0"/>
          <w:lang w:val="en-GB" w:eastAsia="en-US"/>
        </w:rPr>
        <w:t xml:space="preserve">Emergency Logistics </w:t>
      </w:r>
      <w:r w:rsidR="009E535C" w:rsidRPr="00B13501">
        <w:rPr>
          <w:b/>
          <w:bCs/>
          <w:kern w:val="0"/>
          <w:lang w:val="en-GB" w:eastAsia="en-US"/>
        </w:rPr>
        <w:t>Availability:</w:t>
      </w:r>
      <w:r w:rsidRPr="00B13501">
        <w:rPr>
          <w:b/>
          <w:bCs/>
          <w:kern w:val="0"/>
          <w:lang w:val="en-GB" w:eastAsia="en-US"/>
        </w:rPr>
        <w:t xml:space="preserve"> </w:t>
      </w:r>
      <w:r w:rsidRPr="00B13501">
        <w:rPr>
          <w:kern w:val="0"/>
          <w:lang w:val="en-GB" w:eastAsia="en-US"/>
        </w:rPr>
        <w:t>The respondents showed moderate level of agreement regarding these logistics aspects w</w:t>
      </w:r>
      <w:r w:rsidR="009E535C">
        <w:rPr>
          <w:kern w:val="0"/>
          <w:lang w:val="en-GB" w:eastAsia="en-US"/>
        </w:rPr>
        <w:t>it</w:t>
      </w:r>
      <w:r w:rsidRPr="00B13501">
        <w:rPr>
          <w:kern w:val="0"/>
          <w:lang w:val="en-GB" w:eastAsia="en-US"/>
        </w:rPr>
        <w:t>h mean score of 3.30 which confirmed the existence of inventory systems and shortage alerts, adequate estimation of supply consumption, and proper storage facilities</w:t>
      </w:r>
      <w:r w:rsidR="009D127D">
        <w:rPr>
          <w:kern w:val="0"/>
          <w:lang w:val="en-GB" w:eastAsia="en-US"/>
        </w:rPr>
        <w:t>. T</w:t>
      </w:r>
      <w:r w:rsidRPr="00B13501">
        <w:rPr>
          <w:kern w:val="0"/>
          <w:lang w:val="en-GB" w:eastAsia="en-US"/>
        </w:rPr>
        <w:t xml:space="preserve">he scores suggest some areas could be improved, particularly in maintaining vendor agreements and ensuring continuous provision of essential medications through stockpiles. The standard deviation was relatively low at 0.65, indicating consistent views among healthcare workers. This concurred with </w:t>
      </w:r>
      <w:r w:rsidRPr="00B13501">
        <w:rPr>
          <w:rFonts w:eastAsia="Calibri"/>
          <w:kern w:val="0"/>
          <w:lang w:val="en-GB" w:eastAsia="en-US"/>
        </w:rPr>
        <w:t>Bartley</w:t>
      </w:r>
      <w:r w:rsidRPr="00B13501">
        <w:rPr>
          <w:kern w:val="0"/>
          <w:lang w:val="en-GB" w:eastAsia="en-US"/>
        </w:rPr>
        <w:t xml:space="preserve"> et al. </w:t>
      </w:r>
      <w:r w:rsidRPr="00B13501">
        <w:rPr>
          <w:kern w:val="0"/>
          <w:lang w:val="en-GB" w:eastAsia="en-US"/>
        </w:rPr>
        <w:lastRenderedPageBreak/>
        <w:t xml:space="preserve">(2006), who in their study stated that logistics management is a critical component of hospital emergency preparedness. </w:t>
      </w:r>
    </w:p>
    <w:p w14:paraId="19B913A8" w14:textId="524EE29F"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b/>
          <w:bCs/>
          <w:kern w:val="0"/>
          <w:lang w:val="en-GB" w:eastAsia="en-US"/>
        </w:rPr>
        <w:t xml:space="preserve">Emergency Triage </w:t>
      </w:r>
      <w:r w:rsidR="003A18CF" w:rsidRPr="00B13501">
        <w:rPr>
          <w:b/>
          <w:bCs/>
          <w:kern w:val="0"/>
          <w:lang w:val="en-GB" w:eastAsia="en-US"/>
        </w:rPr>
        <w:t>System:</w:t>
      </w:r>
      <w:r w:rsidRPr="00B13501">
        <w:rPr>
          <w:b/>
          <w:bCs/>
          <w:kern w:val="0"/>
          <w:lang w:val="en-GB" w:eastAsia="en-US"/>
        </w:rPr>
        <w:t xml:space="preserve"> </w:t>
      </w:r>
      <w:r w:rsidRPr="00B13501">
        <w:rPr>
          <w:bCs/>
          <w:kern w:val="0"/>
          <w:lang w:val="en-GB" w:eastAsia="en-US"/>
        </w:rPr>
        <w:t xml:space="preserve">The results </w:t>
      </w:r>
      <w:r w:rsidRPr="00B13501">
        <w:rPr>
          <w:kern w:val="0"/>
          <w:lang w:val="en-GB" w:eastAsia="en-US"/>
        </w:rPr>
        <w:t xml:space="preserve">showed moderate mean scores for triage systems at 3.20 </w:t>
      </w:r>
      <w:r w:rsidR="002E34C0">
        <w:rPr>
          <w:kern w:val="0"/>
          <w:lang w:val="en-GB" w:eastAsia="en-US"/>
        </w:rPr>
        <w:t xml:space="preserve">and </w:t>
      </w:r>
      <w:r w:rsidRPr="00B13501">
        <w:rPr>
          <w:kern w:val="0"/>
          <w:lang w:val="en-GB" w:eastAsia="en-US"/>
        </w:rPr>
        <w:t xml:space="preserve">indicated that healthcare workers moderately agreed that the hospital assigns experienced triage officers to manage and oversee triage operations during emergencies. They confirmed that triage areas are positioned in close proximity to essential personnel, medical supplies, and key care services like emergency departments and operative suites. Workers also agreed that the hospital adopts mass-casualty triage protocols based on illness severity and follows efficient protocols for hospital admission and discharge during disaster activation. This finding is particularly important as </w:t>
      </w:r>
      <w:proofErr w:type="spellStart"/>
      <w:r w:rsidRPr="00B13501">
        <w:rPr>
          <w:kern w:val="0"/>
          <w:lang w:val="en-GB" w:eastAsia="en-US"/>
        </w:rPr>
        <w:t>Darwisha</w:t>
      </w:r>
      <w:proofErr w:type="spellEnd"/>
      <w:r w:rsidRPr="00B13501">
        <w:rPr>
          <w:kern w:val="0"/>
          <w:lang w:val="en-GB" w:eastAsia="en-US"/>
        </w:rPr>
        <w:t xml:space="preserve"> et al. (2022) found that effective triage systems significantly improve patient outcomes during mass casualty incidents.</w:t>
      </w:r>
    </w:p>
    <w:p w14:paraId="6C33DE35" w14:textId="4D4E6B1B"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b/>
          <w:bCs/>
          <w:kern w:val="0"/>
          <w:lang w:val="en-GB" w:eastAsia="en-US"/>
        </w:rPr>
        <w:t xml:space="preserve">Emergency Surge </w:t>
      </w:r>
      <w:r w:rsidR="003A18CF" w:rsidRPr="00B13501">
        <w:rPr>
          <w:b/>
          <w:bCs/>
          <w:kern w:val="0"/>
          <w:lang w:val="en-GB" w:eastAsia="en-US"/>
        </w:rPr>
        <w:t>Capacity:</w:t>
      </w:r>
      <w:r w:rsidRPr="00B13501">
        <w:rPr>
          <w:b/>
          <w:bCs/>
          <w:kern w:val="0"/>
          <w:lang w:val="en-GB" w:eastAsia="en-US"/>
        </w:rPr>
        <w:t xml:space="preserve"> </w:t>
      </w:r>
      <w:r w:rsidRPr="00B13501">
        <w:rPr>
          <w:bCs/>
          <w:kern w:val="0"/>
          <w:lang w:val="en-GB" w:eastAsia="en-US"/>
        </w:rPr>
        <w:t>the results also showed moderate</w:t>
      </w:r>
      <w:r w:rsidRPr="00B13501">
        <w:rPr>
          <w:b/>
          <w:bCs/>
          <w:kern w:val="0"/>
          <w:lang w:val="en-GB" w:eastAsia="en-US"/>
        </w:rPr>
        <w:t xml:space="preserve"> </w:t>
      </w:r>
      <w:r w:rsidRPr="00B13501">
        <w:rPr>
          <w:kern w:val="0"/>
          <w:lang w:val="en-GB" w:eastAsia="en-US"/>
        </w:rPr>
        <w:t>scores for surge capacity at 3.44 which suggest</w:t>
      </w:r>
      <w:r w:rsidR="002E34C0">
        <w:rPr>
          <w:kern w:val="0"/>
          <w:lang w:val="en-GB" w:eastAsia="en-US"/>
        </w:rPr>
        <w:t>ed</w:t>
      </w:r>
      <w:r w:rsidRPr="00B13501">
        <w:rPr>
          <w:kern w:val="0"/>
          <w:lang w:val="en-GB" w:eastAsia="en-US"/>
        </w:rPr>
        <w:t xml:space="preserve"> that the respondents or healthcare workers have a good agreement about their hospitals' adoption of suitable techniques for expanding hospital inpatient capacity, considering physical space and healthcare workers. They confirmed that their hospital maintains suitable contingency plans for inter-facility patient transfers when conventional transportation becomes unavailable and has means for identifying and addressing potential gaps in medical care provision, particularly for critical and emergent surgical care. </w:t>
      </w:r>
      <w:proofErr w:type="spellStart"/>
      <w:r w:rsidRPr="00B13501">
        <w:rPr>
          <w:kern w:val="0"/>
          <w:lang w:val="en-GB" w:eastAsia="en-US"/>
        </w:rPr>
        <w:t>Wambugu</w:t>
      </w:r>
      <w:proofErr w:type="spellEnd"/>
      <w:r w:rsidR="00675443">
        <w:rPr>
          <w:kern w:val="0"/>
          <w:lang w:val="en-GB" w:eastAsia="en-US"/>
        </w:rPr>
        <w:t>,</w:t>
      </w:r>
      <w:r w:rsidRPr="00B13501">
        <w:rPr>
          <w:kern w:val="0"/>
          <w:lang w:val="en-GB" w:eastAsia="en-US"/>
        </w:rPr>
        <w:t xml:space="preserve"> (2016) conducted a similar study on hospital surge capacity and found that many hospitals operate close to their capacity limits during normal operations, making it difficult to accommodate sudden patient influxes during emergencies</w:t>
      </w:r>
    </w:p>
    <w:p w14:paraId="6198808F" w14:textId="77777777" w:rsidR="00B13501" w:rsidRPr="00B13501" w:rsidRDefault="00B13501" w:rsidP="00B13501">
      <w:pPr>
        <w:widowControl/>
        <w:suppressAutoHyphens w:val="0"/>
        <w:overflowPunct/>
        <w:autoSpaceDE/>
        <w:autoSpaceDN/>
        <w:adjustRightInd/>
        <w:spacing w:after="160" w:line="259" w:lineRule="auto"/>
        <w:textAlignment w:val="auto"/>
        <w:rPr>
          <w:kern w:val="0"/>
          <w:lang w:val="en-GB" w:eastAsia="en-US"/>
        </w:rPr>
      </w:pPr>
      <w:r w:rsidRPr="00B13501">
        <w:rPr>
          <w:b/>
          <w:bCs/>
          <w:kern w:val="0"/>
          <w:lang w:val="en-GB" w:eastAsia="en-US"/>
        </w:rPr>
        <w:t xml:space="preserve">Table 1: </w:t>
      </w:r>
      <w:r w:rsidRPr="00B13501">
        <w:rPr>
          <w:kern w:val="0"/>
          <w:lang w:val="en-GB" w:eastAsia="en-US"/>
        </w:rPr>
        <w:t>Mean Response of Healthcare Workers on Emergency Preparedness</w:t>
      </w:r>
    </w:p>
    <w:tbl>
      <w:tblPr>
        <w:tblW w:w="8730" w:type="dxa"/>
        <w:tblLook w:val="04A0" w:firstRow="1" w:lastRow="0" w:firstColumn="1" w:lastColumn="0" w:noHBand="0" w:noVBand="1"/>
      </w:tblPr>
      <w:tblGrid>
        <w:gridCol w:w="4355"/>
        <w:gridCol w:w="1945"/>
        <w:gridCol w:w="2430"/>
      </w:tblGrid>
      <w:tr w:rsidR="00B13501" w:rsidRPr="00B13501" w14:paraId="48FD012E" w14:textId="77777777" w:rsidTr="009F7A06">
        <w:trPr>
          <w:trHeight w:val="301"/>
        </w:trPr>
        <w:tc>
          <w:tcPr>
            <w:tcW w:w="4355" w:type="dxa"/>
            <w:tcBorders>
              <w:top w:val="single" w:sz="8" w:space="0" w:color="auto"/>
              <w:left w:val="nil"/>
              <w:bottom w:val="single" w:sz="8" w:space="0" w:color="auto"/>
              <w:right w:val="nil"/>
            </w:tcBorders>
            <w:vAlign w:val="center"/>
            <w:hideMark/>
          </w:tcPr>
          <w:p w14:paraId="3288D906" w14:textId="77777777" w:rsidR="00B13501" w:rsidRPr="00B13501" w:rsidRDefault="00B13501" w:rsidP="00B13501">
            <w:pPr>
              <w:widowControl/>
              <w:suppressAutoHyphens w:val="0"/>
              <w:overflowPunct/>
              <w:autoSpaceDE/>
              <w:autoSpaceDN/>
              <w:adjustRightInd/>
              <w:jc w:val="center"/>
              <w:textAlignment w:val="auto"/>
              <w:rPr>
                <w:b/>
                <w:bCs/>
                <w:color w:val="000000"/>
                <w:kern w:val="0"/>
                <w:sz w:val="22"/>
                <w:szCs w:val="22"/>
                <w:lang w:val="en-GB" w:eastAsia="en-GB"/>
              </w:rPr>
            </w:pPr>
            <w:r w:rsidRPr="00B13501">
              <w:rPr>
                <w:b/>
                <w:bCs/>
                <w:color w:val="000000"/>
                <w:kern w:val="0"/>
                <w:sz w:val="22"/>
                <w:szCs w:val="22"/>
                <w:lang w:val="en-GB" w:eastAsia="en-GB"/>
              </w:rPr>
              <w:t>Emergency Preparedness Constructs</w:t>
            </w:r>
          </w:p>
        </w:tc>
        <w:tc>
          <w:tcPr>
            <w:tcW w:w="1945" w:type="dxa"/>
            <w:tcBorders>
              <w:top w:val="single" w:sz="8" w:space="0" w:color="auto"/>
              <w:left w:val="nil"/>
              <w:bottom w:val="single" w:sz="8" w:space="0" w:color="auto"/>
              <w:right w:val="nil"/>
            </w:tcBorders>
            <w:noWrap/>
            <w:vAlign w:val="center"/>
            <w:hideMark/>
          </w:tcPr>
          <w:p w14:paraId="46FA844F" w14:textId="77777777" w:rsidR="00B13501" w:rsidRPr="00B13501" w:rsidRDefault="00B13501" w:rsidP="00B13501">
            <w:pPr>
              <w:widowControl/>
              <w:suppressAutoHyphens w:val="0"/>
              <w:overflowPunct/>
              <w:autoSpaceDE/>
              <w:autoSpaceDN/>
              <w:adjustRightInd/>
              <w:jc w:val="center"/>
              <w:textAlignment w:val="auto"/>
              <w:rPr>
                <w:b/>
                <w:bCs/>
                <w:color w:val="000000"/>
                <w:kern w:val="0"/>
                <w:sz w:val="22"/>
                <w:szCs w:val="22"/>
                <w:lang w:val="en-GB" w:eastAsia="en-GB"/>
              </w:rPr>
            </w:pPr>
            <w:r w:rsidRPr="00B13501">
              <w:rPr>
                <w:b/>
                <w:bCs/>
                <w:color w:val="000000"/>
                <w:kern w:val="0"/>
                <w:sz w:val="22"/>
                <w:szCs w:val="22"/>
                <w:lang w:val="en-GB" w:eastAsia="en-GB"/>
              </w:rPr>
              <w:t>Statistic</w:t>
            </w:r>
          </w:p>
        </w:tc>
        <w:tc>
          <w:tcPr>
            <w:tcW w:w="2430" w:type="dxa"/>
            <w:tcBorders>
              <w:top w:val="single" w:sz="8" w:space="0" w:color="auto"/>
              <w:left w:val="nil"/>
              <w:bottom w:val="single" w:sz="8" w:space="0" w:color="auto"/>
              <w:right w:val="nil"/>
            </w:tcBorders>
            <w:noWrap/>
            <w:vAlign w:val="center"/>
            <w:hideMark/>
          </w:tcPr>
          <w:p w14:paraId="13B2AF55" w14:textId="77777777" w:rsidR="00B13501" w:rsidRPr="00B13501" w:rsidRDefault="00B13501" w:rsidP="00B13501">
            <w:pPr>
              <w:widowControl/>
              <w:suppressAutoHyphens w:val="0"/>
              <w:overflowPunct/>
              <w:autoSpaceDE/>
              <w:autoSpaceDN/>
              <w:adjustRightInd/>
              <w:jc w:val="center"/>
              <w:textAlignment w:val="auto"/>
              <w:rPr>
                <w:b/>
                <w:bCs/>
                <w:color w:val="000000"/>
                <w:kern w:val="0"/>
                <w:sz w:val="22"/>
                <w:szCs w:val="22"/>
                <w:lang w:val="en-GB" w:eastAsia="en-GB"/>
              </w:rPr>
            </w:pPr>
            <w:r w:rsidRPr="00B13501">
              <w:rPr>
                <w:b/>
                <w:bCs/>
                <w:color w:val="000000"/>
                <w:kern w:val="0"/>
                <w:sz w:val="22"/>
                <w:szCs w:val="22"/>
                <w:lang w:val="en-GB" w:eastAsia="en-GB"/>
              </w:rPr>
              <w:t xml:space="preserve">Value </w:t>
            </w:r>
          </w:p>
        </w:tc>
      </w:tr>
      <w:tr w:rsidR="00B13501" w:rsidRPr="00B13501" w14:paraId="63E5434A" w14:textId="77777777" w:rsidTr="009F7A06">
        <w:trPr>
          <w:trHeight w:val="287"/>
        </w:trPr>
        <w:tc>
          <w:tcPr>
            <w:tcW w:w="4355" w:type="dxa"/>
            <w:vMerge w:val="restart"/>
            <w:tcBorders>
              <w:top w:val="nil"/>
              <w:left w:val="nil"/>
              <w:bottom w:val="single" w:sz="8" w:space="0" w:color="000000"/>
              <w:right w:val="nil"/>
            </w:tcBorders>
            <w:noWrap/>
            <w:vAlign w:val="center"/>
            <w:hideMark/>
          </w:tcPr>
          <w:p w14:paraId="2D232F7B"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Emergency Training</w:t>
            </w:r>
          </w:p>
        </w:tc>
        <w:tc>
          <w:tcPr>
            <w:tcW w:w="1945" w:type="dxa"/>
            <w:tcBorders>
              <w:top w:val="nil"/>
              <w:left w:val="nil"/>
              <w:bottom w:val="nil"/>
              <w:right w:val="nil"/>
            </w:tcBorders>
            <w:noWrap/>
            <w:vAlign w:val="center"/>
            <w:hideMark/>
          </w:tcPr>
          <w:p w14:paraId="39E15F7F"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mean</w:t>
            </w:r>
          </w:p>
        </w:tc>
        <w:tc>
          <w:tcPr>
            <w:tcW w:w="2430" w:type="dxa"/>
            <w:tcBorders>
              <w:top w:val="nil"/>
              <w:left w:val="nil"/>
              <w:bottom w:val="nil"/>
              <w:right w:val="nil"/>
            </w:tcBorders>
            <w:noWrap/>
            <w:vAlign w:val="center"/>
            <w:hideMark/>
          </w:tcPr>
          <w:p w14:paraId="16194E80"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3.29</w:t>
            </w:r>
          </w:p>
        </w:tc>
      </w:tr>
      <w:tr w:rsidR="00B13501" w:rsidRPr="00B13501" w14:paraId="3D1BA085" w14:textId="77777777" w:rsidTr="009F7A06">
        <w:trPr>
          <w:trHeight w:val="287"/>
        </w:trPr>
        <w:tc>
          <w:tcPr>
            <w:tcW w:w="4355" w:type="dxa"/>
            <w:vMerge/>
            <w:tcBorders>
              <w:top w:val="nil"/>
              <w:left w:val="nil"/>
              <w:bottom w:val="single" w:sz="8" w:space="0" w:color="000000"/>
              <w:right w:val="nil"/>
            </w:tcBorders>
            <w:vAlign w:val="center"/>
            <w:hideMark/>
          </w:tcPr>
          <w:p w14:paraId="6D534FF6"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nil"/>
              <w:right w:val="nil"/>
            </w:tcBorders>
            <w:noWrap/>
            <w:vAlign w:val="center"/>
            <w:hideMark/>
          </w:tcPr>
          <w:p w14:paraId="302F87A8"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 xml:space="preserve">standard deviation </w:t>
            </w:r>
          </w:p>
        </w:tc>
        <w:tc>
          <w:tcPr>
            <w:tcW w:w="2430" w:type="dxa"/>
            <w:tcBorders>
              <w:top w:val="nil"/>
              <w:left w:val="nil"/>
              <w:bottom w:val="nil"/>
              <w:right w:val="nil"/>
            </w:tcBorders>
            <w:noWrap/>
            <w:vAlign w:val="center"/>
            <w:hideMark/>
          </w:tcPr>
          <w:p w14:paraId="2A73F21A"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1.07</w:t>
            </w:r>
          </w:p>
        </w:tc>
      </w:tr>
      <w:tr w:rsidR="00B13501" w:rsidRPr="00B13501" w14:paraId="43237420" w14:textId="77777777" w:rsidTr="009F7A06">
        <w:trPr>
          <w:trHeight w:val="301"/>
        </w:trPr>
        <w:tc>
          <w:tcPr>
            <w:tcW w:w="4355" w:type="dxa"/>
            <w:vMerge/>
            <w:tcBorders>
              <w:top w:val="nil"/>
              <w:left w:val="nil"/>
              <w:bottom w:val="single" w:sz="8" w:space="0" w:color="000000"/>
              <w:right w:val="nil"/>
            </w:tcBorders>
            <w:vAlign w:val="center"/>
            <w:hideMark/>
          </w:tcPr>
          <w:p w14:paraId="67E9D652"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single" w:sz="8" w:space="0" w:color="auto"/>
              <w:right w:val="nil"/>
            </w:tcBorders>
            <w:noWrap/>
            <w:vAlign w:val="center"/>
            <w:hideMark/>
          </w:tcPr>
          <w:p w14:paraId="10CFF6FC"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1542EA4E"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-0.13</w:t>
            </w:r>
          </w:p>
        </w:tc>
      </w:tr>
      <w:tr w:rsidR="00B13501" w:rsidRPr="00B13501" w14:paraId="4231CD10" w14:textId="77777777" w:rsidTr="009F7A06">
        <w:trPr>
          <w:trHeight w:val="287"/>
        </w:trPr>
        <w:tc>
          <w:tcPr>
            <w:tcW w:w="4355" w:type="dxa"/>
            <w:vMerge w:val="restart"/>
            <w:tcBorders>
              <w:top w:val="nil"/>
              <w:left w:val="nil"/>
              <w:bottom w:val="single" w:sz="8" w:space="0" w:color="000000"/>
              <w:right w:val="nil"/>
            </w:tcBorders>
            <w:noWrap/>
            <w:vAlign w:val="center"/>
            <w:hideMark/>
          </w:tcPr>
          <w:p w14:paraId="422AB589"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Emergency Planning</w:t>
            </w:r>
          </w:p>
        </w:tc>
        <w:tc>
          <w:tcPr>
            <w:tcW w:w="1945" w:type="dxa"/>
            <w:tcBorders>
              <w:top w:val="nil"/>
              <w:left w:val="nil"/>
              <w:bottom w:val="nil"/>
              <w:right w:val="nil"/>
            </w:tcBorders>
            <w:noWrap/>
            <w:vAlign w:val="center"/>
            <w:hideMark/>
          </w:tcPr>
          <w:p w14:paraId="7B830E4D"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mean</w:t>
            </w:r>
          </w:p>
        </w:tc>
        <w:tc>
          <w:tcPr>
            <w:tcW w:w="2430" w:type="dxa"/>
            <w:tcBorders>
              <w:top w:val="nil"/>
              <w:left w:val="nil"/>
              <w:bottom w:val="nil"/>
              <w:right w:val="nil"/>
            </w:tcBorders>
            <w:noWrap/>
            <w:vAlign w:val="center"/>
            <w:hideMark/>
          </w:tcPr>
          <w:p w14:paraId="6DC88F63"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3.85</w:t>
            </w:r>
          </w:p>
        </w:tc>
      </w:tr>
      <w:tr w:rsidR="00B13501" w:rsidRPr="00B13501" w14:paraId="51C1E731" w14:textId="77777777" w:rsidTr="009F7A06">
        <w:trPr>
          <w:trHeight w:val="287"/>
        </w:trPr>
        <w:tc>
          <w:tcPr>
            <w:tcW w:w="4355" w:type="dxa"/>
            <w:vMerge/>
            <w:tcBorders>
              <w:top w:val="nil"/>
              <w:left w:val="nil"/>
              <w:bottom w:val="single" w:sz="8" w:space="0" w:color="000000"/>
              <w:right w:val="nil"/>
            </w:tcBorders>
            <w:vAlign w:val="center"/>
            <w:hideMark/>
          </w:tcPr>
          <w:p w14:paraId="0B94C1A5"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nil"/>
              <w:right w:val="nil"/>
            </w:tcBorders>
            <w:noWrap/>
            <w:vAlign w:val="center"/>
            <w:hideMark/>
          </w:tcPr>
          <w:p w14:paraId="64D5A0D2"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728775DF"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0.90</w:t>
            </w:r>
          </w:p>
        </w:tc>
      </w:tr>
      <w:tr w:rsidR="00B13501" w:rsidRPr="00B13501" w14:paraId="73F7EAE0" w14:textId="77777777" w:rsidTr="009F7A06">
        <w:trPr>
          <w:trHeight w:val="301"/>
        </w:trPr>
        <w:tc>
          <w:tcPr>
            <w:tcW w:w="4355" w:type="dxa"/>
            <w:vMerge/>
            <w:tcBorders>
              <w:top w:val="nil"/>
              <w:left w:val="nil"/>
              <w:bottom w:val="single" w:sz="8" w:space="0" w:color="000000"/>
              <w:right w:val="nil"/>
            </w:tcBorders>
            <w:vAlign w:val="center"/>
            <w:hideMark/>
          </w:tcPr>
          <w:p w14:paraId="16CF3452"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single" w:sz="8" w:space="0" w:color="auto"/>
              <w:right w:val="nil"/>
            </w:tcBorders>
            <w:noWrap/>
            <w:vAlign w:val="center"/>
            <w:hideMark/>
          </w:tcPr>
          <w:p w14:paraId="2616E863"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57DDD316"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-0.79</w:t>
            </w:r>
          </w:p>
        </w:tc>
      </w:tr>
      <w:tr w:rsidR="00B13501" w:rsidRPr="00B13501" w14:paraId="4E640073" w14:textId="77777777" w:rsidTr="009F7A06">
        <w:trPr>
          <w:trHeight w:val="287"/>
        </w:trPr>
        <w:tc>
          <w:tcPr>
            <w:tcW w:w="4355" w:type="dxa"/>
            <w:vMerge w:val="restart"/>
            <w:tcBorders>
              <w:top w:val="nil"/>
              <w:left w:val="nil"/>
              <w:bottom w:val="single" w:sz="8" w:space="0" w:color="000000"/>
              <w:right w:val="nil"/>
            </w:tcBorders>
            <w:noWrap/>
            <w:vAlign w:val="center"/>
            <w:hideMark/>
          </w:tcPr>
          <w:p w14:paraId="08FA8532"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Emergency Logistic Availability</w:t>
            </w:r>
          </w:p>
        </w:tc>
        <w:tc>
          <w:tcPr>
            <w:tcW w:w="1945" w:type="dxa"/>
            <w:tcBorders>
              <w:top w:val="nil"/>
              <w:left w:val="nil"/>
              <w:bottom w:val="nil"/>
              <w:right w:val="nil"/>
            </w:tcBorders>
            <w:noWrap/>
            <w:vAlign w:val="center"/>
            <w:hideMark/>
          </w:tcPr>
          <w:p w14:paraId="0DD47F59"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mean</w:t>
            </w:r>
          </w:p>
        </w:tc>
        <w:tc>
          <w:tcPr>
            <w:tcW w:w="2430" w:type="dxa"/>
            <w:tcBorders>
              <w:top w:val="nil"/>
              <w:left w:val="nil"/>
              <w:bottom w:val="nil"/>
              <w:right w:val="nil"/>
            </w:tcBorders>
            <w:noWrap/>
            <w:vAlign w:val="center"/>
            <w:hideMark/>
          </w:tcPr>
          <w:p w14:paraId="2C2624F1"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3.30</w:t>
            </w:r>
          </w:p>
        </w:tc>
      </w:tr>
      <w:tr w:rsidR="00B13501" w:rsidRPr="00B13501" w14:paraId="175EE357" w14:textId="77777777" w:rsidTr="009F7A06">
        <w:trPr>
          <w:trHeight w:val="287"/>
        </w:trPr>
        <w:tc>
          <w:tcPr>
            <w:tcW w:w="4355" w:type="dxa"/>
            <w:vMerge/>
            <w:tcBorders>
              <w:top w:val="nil"/>
              <w:left w:val="nil"/>
              <w:bottom w:val="single" w:sz="8" w:space="0" w:color="000000"/>
              <w:right w:val="nil"/>
            </w:tcBorders>
            <w:vAlign w:val="center"/>
            <w:hideMark/>
          </w:tcPr>
          <w:p w14:paraId="6D721FE1"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nil"/>
              <w:right w:val="nil"/>
            </w:tcBorders>
            <w:noWrap/>
            <w:vAlign w:val="center"/>
            <w:hideMark/>
          </w:tcPr>
          <w:p w14:paraId="4E3DEE5A"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38EDD706"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0.65</w:t>
            </w:r>
          </w:p>
        </w:tc>
      </w:tr>
      <w:tr w:rsidR="00B13501" w:rsidRPr="00B13501" w14:paraId="19C182BE" w14:textId="77777777" w:rsidTr="009F7A06">
        <w:trPr>
          <w:trHeight w:val="301"/>
        </w:trPr>
        <w:tc>
          <w:tcPr>
            <w:tcW w:w="4355" w:type="dxa"/>
            <w:vMerge/>
            <w:tcBorders>
              <w:top w:val="nil"/>
              <w:left w:val="nil"/>
              <w:bottom w:val="single" w:sz="8" w:space="0" w:color="000000"/>
              <w:right w:val="nil"/>
            </w:tcBorders>
            <w:vAlign w:val="center"/>
            <w:hideMark/>
          </w:tcPr>
          <w:p w14:paraId="2E443222"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single" w:sz="8" w:space="0" w:color="auto"/>
              <w:right w:val="nil"/>
            </w:tcBorders>
            <w:noWrap/>
            <w:vAlign w:val="center"/>
            <w:hideMark/>
          </w:tcPr>
          <w:p w14:paraId="09441EAB"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15593135"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-0.10</w:t>
            </w:r>
          </w:p>
        </w:tc>
      </w:tr>
      <w:tr w:rsidR="00B13501" w:rsidRPr="00B13501" w14:paraId="79835E20" w14:textId="77777777" w:rsidTr="009F7A06">
        <w:trPr>
          <w:trHeight w:val="287"/>
        </w:trPr>
        <w:tc>
          <w:tcPr>
            <w:tcW w:w="4355" w:type="dxa"/>
            <w:vMerge w:val="restart"/>
            <w:tcBorders>
              <w:top w:val="nil"/>
              <w:left w:val="nil"/>
              <w:bottom w:val="single" w:sz="8" w:space="0" w:color="000000"/>
              <w:right w:val="nil"/>
            </w:tcBorders>
            <w:noWrap/>
            <w:vAlign w:val="center"/>
            <w:hideMark/>
          </w:tcPr>
          <w:p w14:paraId="2FC16740"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Emergency Triage System</w:t>
            </w:r>
          </w:p>
        </w:tc>
        <w:tc>
          <w:tcPr>
            <w:tcW w:w="1945" w:type="dxa"/>
            <w:tcBorders>
              <w:top w:val="nil"/>
              <w:left w:val="nil"/>
              <w:bottom w:val="nil"/>
              <w:right w:val="nil"/>
            </w:tcBorders>
            <w:noWrap/>
            <w:vAlign w:val="center"/>
            <w:hideMark/>
          </w:tcPr>
          <w:p w14:paraId="29A2CCE1"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mean</w:t>
            </w:r>
          </w:p>
        </w:tc>
        <w:tc>
          <w:tcPr>
            <w:tcW w:w="2430" w:type="dxa"/>
            <w:tcBorders>
              <w:top w:val="nil"/>
              <w:left w:val="nil"/>
              <w:bottom w:val="nil"/>
              <w:right w:val="nil"/>
            </w:tcBorders>
            <w:noWrap/>
            <w:vAlign w:val="center"/>
            <w:hideMark/>
          </w:tcPr>
          <w:p w14:paraId="659AAA47"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3.20</w:t>
            </w:r>
          </w:p>
        </w:tc>
      </w:tr>
      <w:tr w:rsidR="00B13501" w:rsidRPr="00B13501" w14:paraId="10524108" w14:textId="77777777" w:rsidTr="009F7A06">
        <w:trPr>
          <w:trHeight w:val="287"/>
        </w:trPr>
        <w:tc>
          <w:tcPr>
            <w:tcW w:w="4355" w:type="dxa"/>
            <w:vMerge/>
            <w:tcBorders>
              <w:top w:val="nil"/>
              <w:left w:val="nil"/>
              <w:bottom w:val="single" w:sz="8" w:space="0" w:color="000000"/>
              <w:right w:val="nil"/>
            </w:tcBorders>
            <w:vAlign w:val="center"/>
            <w:hideMark/>
          </w:tcPr>
          <w:p w14:paraId="3FBEE6E3"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nil"/>
              <w:right w:val="nil"/>
            </w:tcBorders>
            <w:noWrap/>
            <w:vAlign w:val="center"/>
            <w:hideMark/>
          </w:tcPr>
          <w:p w14:paraId="19AC76A6"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08506C2A"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0.73</w:t>
            </w:r>
          </w:p>
        </w:tc>
      </w:tr>
      <w:tr w:rsidR="00B13501" w:rsidRPr="00B13501" w14:paraId="0B5E912E" w14:textId="77777777" w:rsidTr="009F7A06">
        <w:trPr>
          <w:trHeight w:val="301"/>
        </w:trPr>
        <w:tc>
          <w:tcPr>
            <w:tcW w:w="4355" w:type="dxa"/>
            <w:vMerge/>
            <w:tcBorders>
              <w:top w:val="nil"/>
              <w:left w:val="nil"/>
              <w:bottom w:val="single" w:sz="8" w:space="0" w:color="000000"/>
              <w:right w:val="nil"/>
            </w:tcBorders>
            <w:vAlign w:val="center"/>
            <w:hideMark/>
          </w:tcPr>
          <w:p w14:paraId="3E95851B"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single" w:sz="8" w:space="0" w:color="auto"/>
              <w:right w:val="nil"/>
            </w:tcBorders>
            <w:noWrap/>
            <w:vAlign w:val="center"/>
            <w:hideMark/>
          </w:tcPr>
          <w:p w14:paraId="0920354D"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33A9924E"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-0.61</w:t>
            </w:r>
          </w:p>
        </w:tc>
      </w:tr>
      <w:tr w:rsidR="00B13501" w:rsidRPr="00B13501" w14:paraId="4127BBAD" w14:textId="77777777" w:rsidTr="009F7A06">
        <w:trPr>
          <w:trHeight w:val="287"/>
        </w:trPr>
        <w:tc>
          <w:tcPr>
            <w:tcW w:w="4355" w:type="dxa"/>
            <w:vMerge w:val="restart"/>
            <w:tcBorders>
              <w:top w:val="nil"/>
              <w:left w:val="nil"/>
              <w:bottom w:val="single" w:sz="8" w:space="0" w:color="000000"/>
              <w:right w:val="nil"/>
            </w:tcBorders>
            <w:noWrap/>
            <w:vAlign w:val="center"/>
            <w:hideMark/>
          </w:tcPr>
          <w:p w14:paraId="45F45931"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Emergency Surge Capacity</w:t>
            </w:r>
          </w:p>
        </w:tc>
        <w:tc>
          <w:tcPr>
            <w:tcW w:w="1945" w:type="dxa"/>
            <w:tcBorders>
              <w:top w:val="nil"/>
              <w:left w:val="nil"/>
              <w:bottom w:val="nil"/>
              <w:right w:val="nil"/>
            </w:tcBorders>
            <w:noWrap/>
            <w:vAlign w:val="center"/>
            <w:hideMark/>
          </w:tcPr>
          <w:p w14:paraId="4A0E9194"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mean</w:t>
            </w:r>
          </w:p>
        </w:tc>
        <w:tc>
          <w:tcPr>
            <w:tcW w:w="2430" w:type="dxa"/>
            <w:tcBorders>
              <w:top w:val="nil"/>
              <w:left w:val="nil"/>
              <w:bottom w:val="nil"/>
              <w:right w:val="nil"/>
            </w:tcBorders>
            <w:noWrap/>
            <w:vAlign w:val="center"/>
            <w:hideMark/>
          </w:tcPr>
          <w:p w14:paraId="2BF3C05F"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3.44</w:t>
            </w:r>
          </w:p>
        </w:tc>
      </w:tr>
      <w:tr w:rsidR="00B13501" w:rsidRPr="00B13501" w14:paraId="09AD04D1" w14:textId="77777777" w:rsidTr="009F7A06">
        <w:trPr>
          <w:trHeight w:val="287"/>
        </w:trPr>
        <w:tc>
          <w:tcPr>
            <w:tcW w:w="4355" w:type="dxa"/>
            <w:vMerge/>
            <w:tcBorders>
              <w:top w:val="nil"/>
              <w:left w:val="nil"/>
              <w:bottom w:val="single" w:sz="8" w:space="0" w:color="000000"/>
              <w:right w:val="nil"/>
            </w:tcBorders>
            <w:vAlign w:val="center"/>
            <w:hideMark/>
          </w:tcPr>
          <w:p w14:paraId="2C57BA69"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nil"/>
              <w:right w:val="nil"/>
            </w:tcBorders>
            <w:noWrap/>
            <w:vAlign w:val="center"/>
            <w:hideMark/>
          </w:tcPr>
          <w:p w14:paraId="3C970A76"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0979332D"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0.79</w:t>
            </w:r>
          </w:p>
        </w:tc>
      </w:tr>
      <w:tr w:rsidR="00B13501" w:rsidRPr="00B13501" w14:paraId="0F0EF301" w14:textId="77777777" w:rsidTr="009F7A06">
        <w:trPr>
          <w:trHeight w:val="301"/>
        </w:trPr>
        <w:tc>
          <w:tcPr>
            <w:tcW w:w="4355" w:type="dxa"/>
            <w:vMerge/>
            <w:tcBorders>
              <w:top w:val="nil"/>
              <w:left w:val="nil"/>
              <w:bottom w:val="single" w:sz="8" w:space="0" w:color="000000"/>
              <w:right w:val="nil"/>
            </w:tcBorders>
            <w:vAlign w:val="center"/>
            <w:hideMark/>
          </w:tcPr>
          <w:p w14:paraId="4D9E73A2"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single" w:sz="8" w:space="0" w:color="auto"/>
              <w:right w:val="nil"/>
            </w:tcBorders>
            <w:noWrap/>
            <w:vAlign w:val="center"/>
            <w:hideMark/>
          </w:tcPr>
          <w:p w14:paraId="52C6E00C"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328E102A"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-0.35</w:t>
            </w:r>
          </w:p>
        </w:tc>
      </w:tr>
    </w:tbl>
    <w:p w14:paraId="4B8D1560"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b/>
        </w:rPr>
      </w:pPr>
      <w:r w:rsidRPr="00B13501">
        <w:rPr>
          <w:b/>
        </w:rPr>
        <w:t xml:space="preserve">3.2 Perception of the respondents on the level of emergency response in the Hospital </w:t>
      </w:r>
    </w:p>
    <w:p w14:paraId="7E79DD90" w14:textId="73A1BA08" w:rsidR="00B13501" w:rsidRPr="00B13501" w:rsidRDefault="00E6756C" w:rsidP="00B13501">
      <w:pPr>
        <w:widowControl/>
        <w:suppressAutoHyphens w:val="0"/>
        <w:overflowPunct/>
        <w:autoSpaceDE/>
        <w:autoSpaceDN/>
        <w:adjustRightInd/>
        <w:spacing w:after="160"/>
        <w:jc w:val="both"/>
        <w:textAlignment w:val="auto"/>
      </w:pPr>
      <w:r>
        <w:t>T</w:t>
      </w:r>
      <w:r w:rsidR="00B13501" w:rsidRPr="00B13501">
        <w:t>he descriptive statistics of respondents' responses to the emergency response constructs in the sampled hospital in Rivers State</w:t>
      </w:r>
      <w:r>
        <w:t xml:space="preserve"> </w:t>
      </w:r>
      <w:r w:rsidR="00826D40">
        <w:t>are</w:t>
      </w:r>
      <w:r>
        <w:t xml:space="preserve"> as presented in Table 2</w:t>
      </w:r>
      <w:r w:rsidR="00B13501" w:rsidRPr="00B13501">
        <w:t>. The analysis used a 5-point Likert scale</w:t>
      </w:r>
      <w:r w:rsidR="00826D40">
        <w:t>.</w:t>
      </w:r>
      <w:r w:rsidR="00B13501" w:rsidRPr="00B13501">
        <w:t xml:space="preserve"> </w:t>
      </w:r>
    </w:p>
    <w:p w14:paraId="2435C76A" w14:textId="12DA95D6" w:rsidR="00B13501" w:rsidRPr="00B13501" w:rsidRDefault="00675443" w:rsidP="00B13501">
      <w:pPr>
        <w:widowControl/>
        <w:suppressAutoHyphens w:val="0"/>
        <w:overflowPunct/>
        <w:autoSpaceDE/>
        <w:autoSpaceDN/>
        <w:adjustRightInd/>
        <w:spacing w:after="160"/>
        <w:jc w:val="both"/>
        <w:textAlignment w:val="auto"/>
        <w:rPr>
          <w:kern w:val="0"/>
          <w:lang w:val="en-GB" w:eastAsia="en-US"/>
        </w:rPr>
      </w:pPr>
      <w:r w:rsidRPr="00B13501">
        <w:rPr>
          <w:b/>
          <w:bCs/>
          <w:kern w:val="0"/>
          <w:lang w:val="en-GB" w:eastAsia="en-US"/>
        </w:rPr>
        <w:t>Promptness:</w:t>
      </w:r>
      <w:r w:rsidR="00B13501" w:rsidRPr="00B13501">
        <w:rPr>
          <w:b/>
          <w:bCs/>
          <w:kern w:val="0"/>
          <w:lang w:val="en-GB" w:eastAsia="en-US"/>
        </w:rPr>
        <w:t xml:space="preserve"> </w:t>
      </w:r>
      <w:r w:rsidR="00B13501" w:rsidRPr="00B13501">
        <w:rPr>
          <w:bCs/>
          <w:kern w:val="0"/>
          <w:lang w:val="en-GB" w:eastAsia="en-US"/>
        </w:rPr>
        <w:t>the results showed a</w:t>
      </w:r>
      <w:r w:rsidR="00B13501" w:rsidRPr="00B13501">
        <w:rPr>
          <w:kern w:val="0"/>
          <w:lang w:val="en-GB" w:eastAsia="en-US"/>
        </w:rPr>
        <w:t xml:space="preserve"> high level of promptness score (3.91), indicating strong agreement that medical personnel show a good sense of urgency during emergencies, hospital pharmaceutical centres and laboratories are consistently available, and there is significant readiness of medical equipment and theatres for effective emergency response. </w:t>
      </w:r>
    </w:p>
    <w:p w14:paraId="3E2FE8C7" w14:textId="58D5A684" w:rsidR="00B13501" w:rsidRPr="00B13501" w:rsidRDefault="00675443" w:rsidP="00B13501">
      <w:pPr>
        <w:widowControl/>
        <w:suppressAutoHyphens w:val="0"/>
        <w:overflowPunct/>
        <w:autoSpaceDE/>
        <w:autoSpaceDN/>
        <w:adjustRightInd/>
        <w:spacing w:after="160"/>
        <w:jc w:val="both"/>
        <w:textAlignment w:val="auto"/>
        <w:rPr>
          <w:kern w:val="0"/>
          <w:lang w:val="en-GB" w:eastAsia="en-US"/>
        </w:rPr>
      </w:pPr>
      <w:r w:rsidRPr="00B13501">
        <w:rPr>
          <w:b/>
          <w:bCs/>
          <w:kern w:val="0"/>
          <w:lang w:val="en-GB" w:eastAsia="en-US"/>
        </w:rPr>
        <w:lastRenderedPageBreak/>
        <w:t>Responsiveness:</w:t>
      </w:r>
      <w:r w:rsidR="00B13501" w:rsidRPr="00B13501">
        <w:rPr>
          <w:b/>
          <w:bCs/>
          <w:kern w:val="0"/>
          <w:lang w:val="en-GB" w:eastAsia="en-US"/>
        </w:rPr>
        <w:t xml:space="preserve"> </w:t>
      </w:r>
      <w:r w:rsidR="00B13501" w:rsidRPr="00B13501">
        <w:rPr>
          <w:bCs/>
          <w:kern w:val="0"/>
          <w:lang w:val="en-GB" w:eastAsia="en-US"/>
        </w:rPr>
        <w:t>the results</w:t>
      </w:r>
      <w:r w:rsidR="00B13501" w:rsidRPr="00B13501">
        <w:rPr>
          <w:b/>
          <w:bCs/>
          <w:kern w:val="0"/>
          <w:lang w:val="en-GB" w:eastAsia="en-US"/>
        </w:rPr>
        <w:t xml:space="preserve"> </w:t>
      </w:r>
      <w:r w:rsidR="00B13501" w:rsidRPr="00B13501">
        <w:rPr>
          <w:kern w:val="0"/>
          <w:lang w:val="en-GB" w:eastAsia="en-US"/>
        </w:rPr>
        <w:t>showed a high level of responsiveness with a mean score of 4.10</w:t>
      </w:r>
      <w:r w:rsidR="00826D40">
        <w:rPr>
          <w:kern w:val="0"/>
          <w:lang w:val="en-GB" w:eastAsia="en-US"/>
        </w:rPr>
        <w:t xml:space="preserve">. </w:t>
      </w:r>
      <w:proofErr w:type="gramStart"/>
      <w:r w:rsidR="00826D40">
        <w:rPr>
          <w:kern w:val="0"/>
          <w:lang w:val="en-GB" w:eastAsia="en-US"/>
        </w:rPr>
        <w:t xml:space="preserve">This </w:t>
      </w:r>
      <w:r w:rsidR="00B13501" w:rsidRPr="00B13501">
        <w:rPr>
          <w:kern w:val="0"/>
          <w:lang w:val="en-GB" w:eastAsia="en-US"/>
        </w:rPr>
        <w:t xml:space="preserve"> indicat</w:t>
      </w:r>
      <w:r w:rsidR="00826D40">
        <w:rPr>
          <w:kern w:val="0"/>
          <w:lang w:val="en-GB" w:eastAsia="en-US"/>
        </w:rPr>
        <w:t>ed</w:t>
      </w:r>
      <w:proofErr w:type="gramEnd"/>
      <w:r w:rsidR="00B13501" w:rsidRPr="00B13501">
        <w:rPr>
          <w:kern w:val="0"/>
          <w:lang w:val="en-GB" w:eastAsia="en-US"/>
        </w:rPr>
        <w:t xml:space="preserve"> very strong agreement that medical workers demonstrate</w:t>
      </w:r>
      <w:r w:rsidR="00826D40">
        <w:rPr>
          <w:kern w:val="0"/>
          <w:lang w:val="en-GB" w:eastAsia="en-US"/>
        </w:rPr>
        <w:t>d</w:t>
      </w:r>
      <w:r w:rsidR="00B13501" w:rsidRPr="00B13501">
        <w:rPr>
          <w:kern w:val="0"/>
          <w:lang w:val="en-GB" w:eastAsia="en-US"/>
        </w:rPr>
        <w:t xml:space="preserve"> urgency and professionalism during emergencies, work with clear plans and purpose, maintain receptiveness, and show awareness of requirements in different situations. These results aligned with the work of </w:t>
      </w:r>
      <w:proofErr w:type="spellStart"/>
      <w:r w:rsidR="00B13501" w:rsidRPr="00B13501">
        <w:rPr>
          <w:kern w:val="0"/>
          <w:lang w:val="en-GB" w:eastAsia="en-US"/>
        </w:rPr>
        <w:t>Darwisha</w:t>
      </w:r>
      <w:proofErr w:type="spellEnd"/>
      <w:r w:rsidR="00B13501" w:rsidRPr="00B13501">
        <w:rPr>
          <w:kern w:val="0"/>
          <w:lang w:val="en-GB" w:eastAsia="en-US"/>
        </w:rPr>
        <w:t xml:space="preserve"> et al. (2022), who echoed the essence and importance of promptness and responsiveness in emergencies, especially in hospitals. </w:t>
      </w:r>
    </w:p>
    <w:p w14:paraId="12A9A615" w14:textId="77777777"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p>
    <w:p w14:paraId="11553DE3" w14:textId="77777777" w:rsidR="00B13501" w:rsidRPr="00B13501" w:rsidRDefault="00B13501" w:rsidP="00B13501">
      <w:pPr>
        <w:widowControl/>
        <w:suppressAutoHyphens w:val="0"/>
        <w:overflowPunct/>
        <w:autoSpaceDE/>
        <w:autoSpaceDN/>
        <w:adjustRightInd/>
        <w:spacing w:after="160" w:line="259" w:lineRule="auto"/>
        <w:textAlignment w:val="auto"/>
        <w:rPr>
          <w:kern w:val="0"/>
          <w:lang w:val="en-GB" w:eastAsia="en-US"/>
        </w:rPr>
      </w:pPr>
      <w:r w:rsidRPr="00B13501">
        <w:rPr>
          <w:b/>
          <w:bCs/>
          <w:kern w:val="0"/>
          <w:lang w:val="en-GB" w:eastAsia="en-US"/>
        </w:rPr>
        <w:t xml:space="preserve">Table 2: </w:t>
      </w:r>
      <w:r w:rsidRPr="00B13501">
        <w:rPr>
          <w:kern w:val="0"/>
          <w:lang w:val="en-GB" w:eastAsia="en-US"/>
        </w:rPr>
        <w:t>Mean Response of Emergency Response from Patients</w:t>
      </w:r>
    </w:p>
    <w:tbl>
      <w:tblPr>
        <w:tblW w:w="9180" w:type="dxa"/>
        <w:tblLook w:val="04A0" w:firstRow="1" w:lastRow="0" w:firstColumn="1" w:lastColumn="0" w:noHBand="0" w:noVBand="1"/>
      </w:tblPr>
      <w:tblGrid>
        <w:gridCol w:w="3282"/>
        <w:gridCol w:w="2568"/>
        <w:gridCol w:w="3330"/>
      </w:tblGrid>
      <w:tr w:rsidR="00B13501" w:rsidRPr="00B13501" w14:paraId="6174D8EA" w14:textId="77777777" w:rsidTr="009F7A06">
        <w:trPr>
          <w:trHeight w:val="550"/>
        </w:trPr>
        <w:tc>
          <w:tcPr>
            <w:tcW w:w="3282" w:type="dxa"/>
            <w:tcBorders>
              <w:top w:val="single" w:sz="8" w:space="0" w:color="auto"/>
              <w:left w:val="nil"/>
              <w:bottom w:val="single" w:sz="8" w:space="0" w:color="auto"/>
              <w:right w:val="nil"/>
            </w:tcBorders>
            <w:vAlign w:val="center"/>
            <w:hideMark/>
          </w:tcPr>
          <w:p w14:paraId="0E33E12B"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Emergency Response Constructs</w:t>
            </w:r>
          </w:p>
        </w:tc>
        <w:tc>
          <w:tcPr>
            <w:tcW w:w="2568" w:type="dxa"/>
            <w:tcBorders>
              <w:top w:val="single" w:sz="8" w:space="0" w:color="auto"/>
              <w:left w:val="nil"/>
              <w:bottom w:val="single" w:sz="8" w:space="0" w:color="auto"/>
              <w:right w:val="nil"/>
            </w:tcBorders>
            <w:noWrap/>
            <w:vAlign w:val="center"/>
            <w:hideMark/>
          </w:tcPr>
          <w:p w14:paraId="7751EED5"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Statistic</w:t>
            </w:r>
          </w:p>
        </w:tc>
        <w:tc>
          <w:tcPr>
            <w:tcW w:w="3330" w:type="dxa"/>
            <w:tcBorders>
              <w:top w:val="single" w:sz="8" w:space="0" w:color="auto"/>
              <w:left w:val="nil"/>
              <w:bottom w:val="single" w:sz="8" w:space="0" w:color="auto"/>
              <w:right w:val="nil"/>
            </w:tcBorders>
            <w:noWrap/>
            <w:vAlign w:val="center"/>
            <w:hideMark/>
          </w:tcPr>
          <w:p w14:paraId="1D4454C5"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Value</w:t>
            </w:r>
          </w:p>
        </w:tc>
      </w:tr>
      <w:tr w:rsidR="00B13501" w:rsidRPr="00B13501" w14:paraId="794B06F1" w14:textId="77777777" w:rsidTr="009F7A06">
        <w:trPr>
          <w:trHeight w:val="268"/>
        </w:trPr>
        <w:tc>
          <w:tcPr>
            <w:tcW w:w="3282" w:type="dxa"/>
            <w:vMerge w:val="restart"/>
            <w:tcBorders>
              <w:top w:val="nil"/>
              <w:left w:val="nil"/>
              <w:bottom w:val="single" w:sz="8" w:space="0" w:color="000000"/>
              <w:right w:val="nil"/>
            </w:tcBorders>
            <w:noWrap/>
            <w:vAlign w:val="center"/>
            <w:hideMark/>
          </w:tcPr>
          <w:p w14:paraId="5AB2708F"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Promptness</w:t>
            </w:r>
          </w:p>
        </w:tc>
        <w:tc>
          <w:tcPr>
            <w:tcW w:w="2568" w:type="dxa"/>
            <w:tcBorders>
              <w:top w:val="nil"/>
              <w:left w:val="nil"/>
              <w:bottom w:val="nil"/>
              <w:right w:val="nil"/>
            </w:tcBorders>
            <w:noWrap/>
            <w:vAlign w:val="center"/>
            <w:hideMark/>
          </w:tcPr>
          <w:p w14:paraId="0A94F8D7"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sz w:val="22"/>
                <w:szCs w:val="22"/>
                <w:lang w:val="en-GB" w:eastAsia="en-GB"/>
              </w:rPr>
              <w:t>mean</w:t>
            </w:r>
          </w:p>
        </w:tc>
        <w:tc>
          <w:tcPr>
            <w:tcW w:w="3330" w:type="dxa"/>
            <w:tcBorders>
              <w:top w:val="nil"/>
              <w:left w:val="nil"/>
              <w:bottom w:val="nil"/>
              <w:right w:val="nil"/>
            </w:tcBorders>
            <w:noWrap/>
            <w:vAlign w:val="center"/>
            <w:hideMark/>
          </w:tcPr>
          <w:p w14:paraId="101B103F"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3.91</w:t>
            </w:r>
          </w:p>
        </w:tc>
      </w:tr>
      <w:tr w:rsidR="00B13501" w:rsidRPr="00B13501" w14:paraId="0954B0EB" w14:textId="77777777" w:rsidTr="009F7A06">
        <w:trPr>
          <w:trHeight w:val="268"/>
        </w:trPr>
        <w:tc>
          <w:tcPr>
            <w:tcW w:w="3282" w:type="dxa"/>
            <w:vMerge/>
            <w:tcBorders>
              <w:top w:val="nil"/>
              <w:left w:val="nil"/>
              <w:bottom w:val="single" w:sz="8" w:space="0" w:color="000000"/>
              <w:right w:val="nil"/>
            </w:tcBorders>
            <w:vAlign w:val="center"/>
            <w:hideMark/>
          </w:tcPr>
          <w:p w14:paraId="4E564562"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nil"/>
              <w:right w:val="nil"/>
            </w:tcBorders>
            <w:noWrap/>
            <w:vAlign w:val="center"/>
            <w:hideMark/>
          </w:tcPr>
          <w:p w14:paraId="5EB0A7ED"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sz w:val="22"/>
                <w:szCs w:val="22"/>
                <w:lang w:val="en-GB" w:eastAsia="en-GB"/>
              </w:rPr>
              <w:t xml:space="preserve">standard deviation </w:t>
            </w:r>
          </w:p>
        </w:tc>
        <w:tc>
          <w:tcPr>
            <w:tcW w:w="3330" w:type="dxa"/>
            <w:tcBorders>
              <w:top w:val="nil"/>
              <w:left w:val="nil"/>
              <w:bottom w:val="nil"/>
              <w:right w:val="nil"/>
            </w:tcBorders>
            <w:noWrap/>
            <w:vAlign w:val="center"/>
            <w:hideMark/>
          </w:tcPr>
          <w:p w14:paraId="3A271B72"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0.88</w:t>
            </w:r>
          </w:p>
        </w:tc>
      </w:tr>
      <w:tr w:rsidR="00B13501" w:rsidRPr="00B13501" w14:paraId="3BDA0915" w14:textId="77777777" w:rsidTr="009F7A06">
        <w:trPr>
          <w:trHeight w:val="281"/>
        </w:trPr>
        <w:tc>
          <w:tcPr>
            <w:tcW w:w="3282" w:type="dxa"/>
            <w:vMerge/>
            <w:tcBorders>
              <w:top w:val="nil"/>
              <w:left w:val="nil"/>
              <w:bottom w:val="single" w:sz="8" w:space="0" w:color="000000"/>
              <w:right w:val="nil"/>
            </w:tcBorders>
            <w:vAlign w:val="center"/>
            <w:hideMark/>
          </w:tcPr>
          <w:p w14:paraId="1113EC4F"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single" w:sz="8" w:space="0" w:color="auto"/>
              <w:right w:val="nil"/>
            </w:tcBorders>
            <w:noWrap/>
            <w:vAlign w:val="center"/>
            <w:hideMark/>
          </w:tcPr>
          <w:p w14:paraId="445D4A5F"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sz w:val="22"/>
                <w:szCs w:val="22"/>
                <w:lang w:val="en-GB" w:eastAsia="en-GB"/>
              </w:rPr>
              <w:t>skewness</w:t>
            </w:r>
          </w:p>
        </w:tc>
        <w:tc>
          <w:tcPr>
            <w:tcW w:w="3330" w:type="dxa"/>
            <w:tcBorders>
              <w:top w:val="nil"/>
              <w:left w:val="nil"/>
              <w:bottom w:val="single" w:sz="8" w:space="0" w:color="auto"/>
              <w:right w:val="nil"/>
            </w:tcBorders>
            <w:noWrap/>
            <w:vAlign w:val="center"/>
            <w:hideMark/>
          </w:tcPr>
          <w:p w14:paraId="49FAF6C7"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-1.78</w:t>
            </w:r>
          </w:p>
        </w:tc>
      </w:tr>
      <w:tr w:rsidR="00B13501" w:rsidRPr="00B13501" w14:paraId="5FDE7B70" w14:textId="77777777" w:rsidTr="009F7A06">
        <w:trPr>
          <w:trHeight w:val="268"/>
        </w:trPr>
        <w:tc>
          <w:tcPr>
            <w:tcW w:w="3282" w:type="dxa"/>
            <w:vMerge w:val="restart"/>
            <w:tcBorders>
              <w:top w:val="nil"/>
              <w:left w:val="nil"/>
              <w:bottom w:val="single" w:sz="8" w:space="0" w:color="000000"/>
              <w:right w:val="nil"/>
            </w:tcBorders>
            <w:noWrap/>
            <w:vAlign w:val="center"/>
            <w:hideMark/>
          </w:tcPr>
          <w:p w14:paraId="369B4DD6"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Responsiveness</w:t>
            </w:r>
          </w:p>
        </w:tc>
        <w:tc>
          <w:tcPr>
            <w:tcW w:w="2568" w:type="dxa"/>
            <w:tcBorders>
              <w:top w:val="nil"/>
              <w:left w:val="nil"/>
              <w:bottom w:val="nil"/>
              <w:right w:val="nil"/>
            </w:tcBorders>
            <w:noWrap/>
            <w:vAlign w:val="center"/>
            <w:hideMark/>
          </w:tcPr>
          <w:p w14:paraId="7F05D119"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sz w:val="22"/>
                <w:szCs w:val="22"/>
                <w:lang w:val="en-GB" w:eastAsia="en-GB"/>
              </w:rPr>
              <w:t>mean</w:t>
            </w:r>
          </w:p>
        </w:tc>
        <w:tc>
          <w:tcPr>
            <w:tcW w:w="3330" w:type="dxa"/>
            <w:tcBorders>
              <w:top w:val="nil"/>
              <w:left w:val="nil"/>
              <w:bottom w:val="nil"/>
              <w:right w:val="nil"/>
            </w:tcBorders>
            <w:noWrap/>
            <w:vAlign w:val="center"/>
            <w:hideMark/>
          </w:tcPr>
          <w:p w14:paraId="1D339B6E"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4.10</w:t>
            </w:r>
          </w:p>
        </w:tc>
      </w:tr>
      <w:tr w:rsidR="00B13501" w:rsidRPr="00B13501" w14:paraId="66B9D13E" w14:textId="77777777" w:rsidTr="009F7A06">
        <w:trPr>
          <w:trHeight w:val="268"/>
        </w:trPr>
        <w:tc>
          <w:tcPr>
            <w:tcW w:w="3282" w:type="dxa"/>
            <w:vMerge/>
            <w:tcBorders>
              <w:top w:val="nil"/>
              <w:left w:val="nil"/>
              <w:bottom w:val="single" w:sz="8" w:space="0" w:color="000000"/>
              <w:right w:val="nil"/>
            </w:tcBorders>
            <w:vAlign w:val="center"/>
            <w:hideMark/>
          </w:tcPr>
          <w:p w14:paraId="75326588"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nil"/>
              <w:right w:val="nil"/>
            </w:tcBorders>
            <w:noWrap/>
            <w:vAlign w:val="center"/>
            <w:hideMark/>
          </w:tcPr>
          <w:p w14:paraId="296DF730"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sz w:val="22"/>
                <w:szCs w:val="22"/>
                <w:lang w:val="en-GB" w:eastAsia="en-GB"/>
              </w:rPr>
              <w:t xml:space="preserve">standard deviation </w:t>
            </w:r>
          </w:p>
        </w:tc>
        <w:tc>
          <w:tcPr>
            <w:tcW w:w="3330" w:type="dxa"/>
            <w:tcBorders>
              <w:top w:val="nil"/>
              <w:left w:val="nil"/>
              <w:bottom w:val="nil"/>
              <w:right w:val="nil"/>
            </w:tcBorders>
            <w:noWrap/>
            <w:vAlign w:val="center"/>
            <w:hideMark/>
          </w:tcPr>
          <w:p w14:paraId="7AB0ABC0"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0.82</w:t>
            </w:r>
          </w:p>
        </w:tc>
      </w:tr>
      <w:tr w:rsidR="00B13501" w:rsidRPr="00B13501" w14:paraId="72792F5B" w14:textId="77777777" w:rsidTr="009F7A06">
        <w:trPr>
          <w:trHeight w:val="281"/>
        </w:trPr>
        <w:tc>
          <w:tcPr>
            <w:tcW w:w="3282" w:type="dxa"/>
            <w:vMerge/>
            <w:tcBorders>
              <w:top w:val="nil"/>
              <w:left w:val="nil"/>
              <w:bottom w:val="single" w:sz="8" w:space="0" w:color="000000"/>
              <w:right w:val="nil"/>
            </w:tcBorders>
            <w:vAlign w:val="center"/>
            <w:hideMark/>
          </w:tcPr>
          <w:p w14:paraId="019D3854"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single" w:sz="8" w:space="0" w:color="auto"/>
              <w:right w:val="nil"/>
            </w:tcBorders>
            <w:noWrap/>
            <w:vAlign w:val="center"/>
            <w:hideMark/>
          </w:tcPr>
          <w:p w14:paraId="0786AB36"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sz w:val="22"/>
                <w:szCs w:val="22"/>
                <w:lang w:val="en-GB" w:eastAsia="en-GB"/>
              </w:rPr>
              <w:t>skewness</w:t>
            </w:r>
          </w:p>
        </w:tc>
        <w:tc>
          <w:tcPr>
            <w:tcW w:w="3330" w:type="dxa"/>
            <w:tcBorders>
              <w:top w:val="nil"/>
              <w:left w:val="nil"/>
              <w:bottom w:val="single" w:sz="8" w:space="0" w:color="auto"/>
              <w:right w:val="nil"/>
            </w:tcBorders>
            <w:noWrap/>
            <w:vAlign w:val="center"/>
            <w:hideMark/>
          </w:tcPr>
          <w:p w14:paraId="5462EF0A"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-0.60</w:t>
            </w:r>
          </w:p>
        </w:tc>
      </w:tr>
    </w:tbl>
    <w:p w14:paraId="51F79B4F" w14:textId="77777777" w:rsidR="002C04EB" w:rsidRDefault="002C04EB" w:rsidP="00B13501">
      <w:pPr>
        <w:widowControl/>
        <w:suppressAutoHyphens w:val="0"/>
        <w:overflowPunct/>
        <w:autoSpaceDE/>
        <w:autoSpaceDN/>
        <w:adjustRightInd/>
        <w:spacing w:after="160"/>
        <w:jc w:val="both"/>
        <w:textAlignment w:val="auto"/>
        <w:rPr>
          <w:b/>
          <w:bCs/>
          <w:kern w:val="0"/>
          <w:lang w:val="en-GB" w:eastAsia="en-US"/>
        </w:rPr>
      </w:pPr>
    </w:p>
    <w:p w14:paraId="2E1A9A9D" w14:textId="2F120E52" w:rsidR="00B13501" w:rsidRPr="00B13501" w:rsidRDefault="00B13501" w:rsidP="00B13501">
      <w:pPr>
        <w:widowControl/>
        <w:suppressAutoHyphens w:val="0"/>
        <w:overflowPunct/>
        <w:autoSpaceDE/>
        <w:autoSpaceDN/>
        <w:adjustRightInd/>
        <w:spacing w:after="160"/>
        <w:jc w:val="both"/>
        <w:textAlignment w:val="auto"/>
        <w:rPr>
          <w:b/>
          <w:bCs/>
          <w:kern w:val="0"/>
          <w:lang w:val="en-GB" w:eastAsia="en-US"/>
        </w:rPr>
      </w:pPr>
      <w:r w:rsidRPr="00B13501">
        <w:rPr>
          <w:b/>
          <w:bCs/>
          <w:kern w:val="0"/>
          <w:lang w:val="en-GB" w:eastAsia="en-US"/>
        </w:rPr>
        <w:t>3.3</w:t>
      </w:r>
      <w:r w:rsidR="00251834">
        <w:rPr>
          <w:b/>
          <w:bCs/>
          <w:kern w:val="0"/>
          <w:lang w:val="en-GB" w:eastAsia="en-US"/>
        </w:rPr>
        <w:t>:</w:t>
      </w:r>
      <w:r w:rsidRPr="00B13501">
        <w:rPr>
          <w:b/>
          <w:bCs/>
          <w:kern w:val="0"/>
          <w:lang w:val="en-GB" w:eastAsia="en-US"/>
        </w:rPr>
        <w:t xml:space="preserve"> Relationship between emergency preparedness constructs for the hospital </w:t>
      </w:r>
    </w:p>
    <w:p w14:paraId="4DAA49E2" w14:textId="68372039"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The result of the Pearson correlation between emergency preparedness constructs for the hospital is shown in Table 3. A positive</w:t>
      </w:r>
      <w:r w:rsidR="00895866">
        <w:rPr>
          <w:kern w:val="0"/>
          <w:lang w:val="en-GB" w:eastAsia="en-US"/>
        </w:rPr>
        <w:t xml:space="preserve"> but non-significant</w:t>
      </w:r>
      <w:r w:rsidRPr="00B13501">
        <w:rPr>
          <w:kern w:val="0"/>
          <w:lang w:val="en-GB" w:eastAsia="en-US"/>
        </w:rPr>
        <w:t xml:space="preserve"> correlation was found between emergency training and emergency triage system (r = 0.04, p </w:t>
      </w:r>
      <w:r w:rsidR="00895866">
        <w:rPr>
          <w:kern w:val="0"/>
          <w:lang w:val="en-GB" w:eastAsia="en-US"/>
        </w:rPr>
        <w:t>&gt;</w:t>
      </w:r>
      <w:r w:rsidRPr="00B13501">
        <w:rPr>
          <w:kern w:val="0"/>
          <w:lang w:val="en-GB" w:eastAsia="en-US"/>
        </w:rPr>
        <w:t xml:space="preserve"> 0.05). However, emergency training showed negative correlations with logistics (-0.14) and planning (</w:t>
      </w:r>
      <w:r w:rsidR="00CD7B2A">
        <w:rPr>
          <w:kern w:val="0"/>
          <w:lang w:val="en-GB" w:eastAsia="en-US"/>
        </w:rPr>
        <w:t xml:space="preserve">r = </w:t>
      </w:r>
      <w:r w:rsidRPr="00B13501">
        <w:rPr>
          <w:kern w:val="0"/>
          <w:lang w:val="en-GB" w:eastAsia="en-US"/>
        </w:rPr>
        <w:t>-0.05</w:t>
      </w:r>
      <w:r w:rsidR="00CD7B2A">
        <w:rPr>
          <w:kern w:val="0"/>
          <w:lang w:val="en-GB" w:eastAsia="en-US"/>
        </w:rPr>
        <w:t>, p &gt; 0.05</w:t>
      </w:r>
      <w:r w:rsidRPr="00B13501">
        <w:rPr>
          <w:kern w:val="0"/>
          <w:lang w:val="en-GB" w:eastAsia="en-US"/>
        </w:rPr>
        <w:t>).</w:t>
      </w:r>
      <w:r w:rsidR="00CD7B2A">
        <w:rPr>
          <w:kern w:val="0"/>
          <w:lang w:val="en-GB" w:eastAsia="en-US"/>
        </w:rPr>
        <w:t xml:space="preserve"> Emergency Logistics showed a positive but non-significant correlation with</w:t>
      </w:r>
      <w:r w:rsidRPr="00B13501">
        <w:rPr>
          <w:kern w:val="0"/>
          <w:lang w:val="en-GB" w:eastAsia="en-US"/>
        </w:rPr>
        <w:t xml:space="preserve"> </w:t>
      </w:r>
      <w:r w:rsidR="00CD7B2A">
        <w:rPr>
          <w:kern w:val="0"/>
          <w:lang w:val="en-GB" w:eastAsia="en-US"/>
        </w:rPr>
        <w:t xml:space="preserve">Emergency Triage (r = 0.15, p &gt; 0.05). </w:t>
      </w:r>
      <w:r w:rsidRPr="00B13501">
        <w:rPr>
          <w:kern w:val="0"/>
          <w:lang w:val="en-GB" w:eastAsia="en-US"/>
        </w:rPr>
        <w:t xml:space="preserve">Emergency planning demonstrated weak negative correlations with triage system (-0.08) and logistics (-0.05). Emergency surge capacity showed minimal correlations with all other preparedness measures, with correlation coefficients ranging from 0.01 to 0.04. Similar variations were observed by </w:t>
      </w:r>
      <w:proofErr w:type="spellStart"/>
      <w:r w:rsidRPr="00B13501">
        <w:rPr>
          <w:kern w:val="0"/>
          <w:lang w:val="en-GB" w:eastAsia="en-US"/>
        </w:rPr>
        <w:t>Tekeli-Yesil</w:t>
      </w:r>
      <w:proofErr w:type="spellEnd"/>
      <w:r w:rsidRPr="00B13501">
        <w:rPr>
          <w:kern w:val="0"/>
          <w:lang w:val="en-GB" w:eastAsia="en-US"/>
        </w:rPr>
        <w:t xml:space="preserve"> and Kiran (2020), who found that inconsistent training and resource allocation led to varying levels of emergency preparedness within healthcare facilities.</w:t>
      </w:r>
    </w:p>
    <w:p w14:paraId="18E13C92" w14:textId="621C9599" w:rsidR="00B13501" w:rsidRPr="00B13501" w:rsidRDefault="00B13501" w:rsidP="00B13501">
      <w:pPr>
        <w:widowControl/>
        <w:suppressAutoHyphens w:val="0"/>
        <w:overflowPunct/>
        <w:autoSpaceDE/>
        <w:autoSpaceDN/>
        <w:adjustRightInd/>
        <w:spacing w:after="160" w:line="276" w:lineRule="auto"/>
        <w:textAlignment w:val="auto"/>
        <w:rPr>
          <w:kern w:val="0"/>
          <w:lang w:val="en-GB" w:eastAsia="en-US"/>
        </w:rPr>
      </w:pPr>
      <w:r w:rsidRPr="00B13501">
        <w:rPr>
          <w:b/>
          <w:bCs/>
          <w:kern w:val="0"/>
          <w:lang w:val="en-GB" w:eastAsia="en-US"/>
        </w:rPr>
        <w:t xml:space="preserve">Table 3: </w:t>
      </w:r>
      <w:r w:rsidRPr="00B13501">
        <w:rPr>
          <w:kern w:val="0"/>
          <w:lang w:val="en-GB" w:eastAsia="en-US"/>
        </w:rPr>
        <w:t xml:space="preserve">Pearson correlation of emergency preparedness in </w:t>
      </w:r>
      <w:r w:rsidR="00251834">
        <w:rPr>
          <w:kern w:val="0"/>
          <w:lang w:val="en-GB" w:eastAsia="en-US"/>
        </w:rPr>
        <w:t>UPTH</w:t>
      </w:r>
    </w:p>
    <w:tbl>
      <w:tblPr>
        <w:tblW w:w="9695" w:type="dxa"/>
        <w:tblLook w:val="04A0" w:firstRow="1" w:lastRow="0" w:firstColumn="1" w:lastColumn="0" w:noHBand="0" w:noVBand="1"/>
      </w:tblPr>
      <w:tblGrid>
        <w:gridCol w:w="3400"/>
        <w:gridCol w:w="1259"/>
        <w:gridCol w:w="1259"/>
        <w:gridCol w:w="1259"/>
        <w:gridCol w:w="1259"/>
        <w:gridCol w:w="1259"/>
      </w:tblGrid>
      <w:tr w:rsidR="00B13501" w:rsidRPr="00B13501" w14:paraId="006A2B91" w14:textId="77777777" w:rsidTr="009F7A06">
        <w:trPr>
          <w:trHeight w:val="201"/>
        </w:trPr>
        <w:tc>
          <w:tcPr>
            <w:tcW w:w="3400" w:type="dxa"/>
            <w:tcBorders>
              <w:top w:val="single" w:sz="8" w:space="0" w:color="auto"/>
              <w:left w:val="nil"/>
              <w:bottom w:val="nil"/>
              <w:right w:val="nil"/>
            </w:tcBorders>
            <w:noWrap/>
            <w:vAlign w:val="bottom"/>
            <w:hideMark/>
          </w:tcPr>
          <w:p w14:paraId="13DD5BDF"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Variables</w:t>
            </w:r>
          </w:p>
        </w:tc>
        <w:tc>
          <w:tcPr>
            <w:tcW w:w="1259" w:type="dxa"/>
            <w:tcBorders>
              <w:top w:val="single" w:sz="8" w:space="0" w:color="auto"/>
              <w:left w:val="nil"/>
              <w:bottom w:val="nil"/>
              <w:right w:val="nil"/>
            </w:tcBorders>
            <w:noWrap/>
            <w:vAlign w:val="bottom"/>
            <w:hideMark/>
          </w:tcPr>
          <w:p w14:paraId="2E1A41A5"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ET</w:t>
            </w:r>
          </w:p>
        </w:tc>
        <w:tc>
          <w:tcPr>
            <w:tcW w:w="1259" w:type="dxa"/>
            <w:tcBorders>
              <w:top w:val="single" w:sz="8" w:space="0" w:color="auto"/>
              <w:left w:val="nil"/>
              <w:bottom w:val="nil"/>
              <w:right w:val="nil"/>
            </w:tcBorders>
            <w:noWrap/>
            <w:vAlign w:val="bottom"/>
            <w:hideMark/>
          </w:tcPr>
          <w:p w14:paraId="4055234B"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EP</w:t>
            </w:r>
          </w:p>
        </w:tc>
        <w:tc>
          <w:tcPr>
            <w:tcW w:w="1259" w:type="dxa"/>
            <w:tcBorders>
              <w:top w:val="single" w:sz="8" w:space="0" w:color="auto"/>
              <w:left w:val="nil"/>
              <w:bottom w:val="nil"/>
              <w:right w:val="nil"/>
            </w:tcBorders>
            <w:noWrap/>
            <w:vAlign w:val="bottom"/>
            <w:hideMark/>
          </w:tcPr>
          <w:p w14:paraId="1D37D19C"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EL</w:t>
            </w:r>
          </w:p>
        </w:tc>
        <w:tc>
          <w:tcPr>
            <w:tcW w:w="1259" w:type="dxa"/>
            <w:tcBorders>
              <w:top w:val="single" w:sz="8" w:space="0" w:color="auto"/>
              <w:left w:val="nil"/>
              <w:bottom w:val="nil"/>
              <w:right w:val="nil"/>
            </w:tcBorders>
            <w:noWrap/>
            <w:vAlign w:val="bottom"/>
            <w:hideMark/>
          </w:tcPr>
          <w:p w14:paraId="01710D97"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ETS</w:t>
            </w:r>
          </w:p>
        </w:tc>
        <w:tc>
          <w:tcPr>
            <w:tcW w:w="1259" w:type="dxa"/>
            <w:tcBorders>
              <w:top w:val="single" w:sz="8" w:space="0" w:color="auto"/>
              <w:left w:val="nil"/>
              <w:bottom w:val="nil"/>
              <w:right w:val="nil"/>
            </w:tcBorders>
            <w:noWrap/>
            <w:vAlign w:val="bottom"/>
            <w:hideMark/>
          </w:tcPr>
          <w:p w14:paraId="69230B02"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ESC</w:t>
            </w:r>
          </w:p>
        </w:tc>
      </w:tr>
      <w:tr w:rsidR="00B13501" w:rsidRPr="00B13501" w14:paraId="58A5A54E" w14:textId="77777777" w:rsidTr="009F7A06">
        <w:trPr>
          <w:trHeight w:val="201"/>
        </w:trPr>
        <w:tc>
          <w:tcPr>
            <w:tcW w:w="3400" w:type="dxa"/>
            <w:tcBorders>
              <w:top w:val="single" w:sz="8" w:space="0" w:color="auto"/>
              <w:left w:val="nil"/>
              <w:bottom w:val="nil"/>
              <w:right w:val="nil"/>
            </w:tcBorders>
            <w:noWrap/>
            <w:vAlign w:val="center"/>
            <w:hideMark/>
          </w:tcPr>
          <w:p w14:paraId="0415FE78"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Emergency Training</w:t>
            </w:r>
          </w:p>
        </w:tc>
        <w:tc>
          <w:tcPr>
            <w:tcW w:w="1259" w:type="dxa"/>
            <w:tcBorders>
              <w:top w:val="single" w:sz="4" w:space="0" w:color="auto"/>
              <w:left w:val="nil"/>
              <w:bottom w:val="nil"/>
              <w:right w:val="nil"/>
            </w:tcBorders>
            <w:noWrap/>
            <w:vAlign w:val="center"/>
            <w:hideMark/>
          </w:tcPr>
          <w:p w14:paraId="5ACFFC30"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1.00</w:t>
            </w:r>
          </w:p>
        </w:tc>
        <w:tc>
          <w:tcPr>
            <w:tcW w:w="1259" w:type="dxa"/>
            <w:tcBorders>
              <w:top w:val="single" w:sz="4" w:space="0" w:color="auto"/>
              <w:left w:val="nil"/>
              <w:bottom w:val="nil"/>
              <w:right w:val="nil"/>
            </w:tcBorders>
            <w:noWrap/>
            <w:vAlign w:val="center"/>
            <w:hideMark/>
          </w:tcPr>
          <w:p w14:paraId="780AA46B"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c>
          <w:tcPr>
            <w:tcW w:w="1259" w:type="dxa"/>
            <w:tcBorders>
              <w:top w:val="single" w:sz="4" w:space="0" w:color="auto"/>
              <w:left w:val="nil"/>
              <w:bottom w:val="nil"/>
              <w:right w:val="nil"/>
            </w:tcBorders>
            <w:noWrap/>
            <w:vAlign w:val="center"/>
          </w:tcPr>
          <w:p w14:paraId="4B529BCD"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c>
          <w:tcPr>
            <w:tcW w:w="1259" w:type="dxa"/>
            <w:tcBorders>
              <w:top w:val="single" w:sz="4" w:space="0" w:color="auto"/>
              <w:left w:val="nil"/>
              <w:bottom w:val="nil"/>
              <w:right w:val="nil"/>
            </w:tcBorders>
            <w:noWrap/>
            <w:vAlign w:val="center"/>
          </w:tcPr>
          <w:p w14:paraId="3B2FD5EC"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c>
          <w:tcPr>
            <w:tcW w:w="1259" w:type="dxa"/>
            <w:tcBorders>
              <w:top w:val="single" w:sz="4" w:space="0" w:color="auto"/>
              <w:left w:val="nil"/>
              <w:bottom w:val="nil"/>
              <w:right w:val="nil"/>
            </w:tcBorders>
            <w:noWrap/>
            <w:vAlign w:val="center"/>
          </w:tcPr>
          <w:p w14:paraId="352E9F65"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r>
      <w:tr w:rsidR="00B13501" w:rsidRPr="00B13501" w14:paraId="3235707A" w14:textId="77777777" w:rsidTr="009F7A06">
        <w:trPr>
          <w:trHeight w:val="201"/>
        </w:trPr>
        <w:tc>
          <w:tcPr>
            <w:tcW w:w="3400" w:type="dxa"/>
            <w:tcBorders>
              <w:top w:val="nil"/>
              <w:left w:val="nil"/>
              <w:bottom w:val="nil"/>
              <w:right w:val="nil"/>
            </w:tcBorders>
            <w:noWrap/>
            <w:vAlign w:val="center"/>
            <w:hideMark/>
          </w:tcPr>
          <w:p w14:paraId="65C38357"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Emergency Planning</w:t>
            </w:r>
          </w:p>
        </w:tc>
        <w:tc>
          <w:tcPr>
            <w:tcW w:w="1259" w:type="dxa"/>
            <w:tcBorders>
              <w:top w:val="nil"/>
              <w:left w:val="nil"/>
              <w:bottom w:val="nil"/>
              <w:right w:val="nil"/>
            </w:tcBorders>
            <w:noWrap/>
            <w:vAlign w:val="center"/>
            <w:hideMark/>
          </w:tcPr>
          <w:p w14:paraId="189290ED"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0.01</w:t>
            </w:r>
          </w:p>
        </w:tc>
        <w:tc>
          <w:tcPr>
            <w:tcW w:w="1259" w:type="dxa"/>
            <w:tcBorders>
              <w:top w:val="nil"/>
              <w:left w:val="nil"/>
              <w:bottom w:val="nil"/>
              <w:right w:val="nil"/>
            </w:tcBorders>
            <w:noWrap/>
            <w:vAlign w:val="center"/>
            <w:hideMark/>
          </w:tcPr>
          <w:p w14:paraId="49CE924A"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1.00</w:t>
            </w:r>
          </w:p>
        </w:tc>
        <w:tc>
          <w:tcPr>
            <w:tcW w:w="1259" w:type="dxa"/>
            <w:tcBorders>
              <w:top w:val="nil"/>
              <w:left w:val="nil"/>
              <w:bottom w:val="nil"/>
              <w:right w:val="nil"/>
            </w:tcBorders>
            <w:noWrap/>
            <w:vAlign w:val="center"/>
          </w:tcPr>
          <w:p w14:paraId="14CEF195"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c>
          <w:tcPr>
            <w:tcW w:w="1259" w:type="dxa"/>
            <w:tcBorders>
              <w:top w:val="nil"/>
              <w:left w:val="nil"/>
              <w:bottom w:val="nil"/>
              <w:right w:val="nil"/>
            </w:tcBorders>
            <w:noWrap/>
            <w:vAlign w:val="center"/>
          </w:tcPr>
          <w:p w14:paraId="6216ACA8"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c>
          <w:tcPr>
            <w:tcW w:w="1259" w:type="dxa"/>
            <w:tcBorders>
              <w:top w:val="nil"/>
              <w:left w:val="nil"/>
              <w:bottom w:val="nil"/>
              <w:right w:val="nil"/>
            </w:tcBorders>
            <w:noWrap/>
            <w:vAlign w:val="center"/>
          </w:tcPr>
          <w:p w14:paraId="1AEA8678"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r>
      <w:tr w:rsidR="00B13501" w:rsidRPr="00B13501" w14:paraId="0A564D67" w14:textId="77777777" w:rsidTr="009F7A06">
        <w:trPr>
          <w:trHeight w:val="201"/>
        </w:trPr>
        <w:tc>
          <w:tcPr>
            <w:tcW w:w="3400" w:type="dxa"/>
            <w:tcBorders>
              <w:top w:val="nil"/>
              <w:left w:val="nil"/>
              <w:bottom w:val="nil"/>
              <w:right w:val="nil"/>
            </w:tcBorders>
            <w:noWrap/>
            <w:vAlign w:val="center"/>
            <w:hideMark/>
          </w:tcPr>
          <w:p w14:paraId="4728CBB7"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Emergency Logistic</w:t>
            </w:r>
          </w:p>
        </w:tc>
        <w:tc>
          <w:tcPr>
            <w:tcW w:w="1259" w:type="dxa"/>
            <w:tcBorders>
              <w:top w:val="nil"/>
              <w:left w:val="nil"/>
              <w:bottom w:val="nil"/>
              <w:right w:val="nil"/>
            </w:tcBorders>
            <w:noWrap/>
            <w:vAlign w:val="center"/>
            <w:hideMark/>
          </w:tcPr>
          <w:p w14:paraId="031C0BB1"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-0.14</w:t>
            </w:r>
          </w:p>
        </w:tc>
        <w:tc>
          <w:tcPr>
            <w:tcW w:w="1259" w:type="dxa"/>
            <w:tcBorders>
              <w:top w:val="nil"/>
              <w:left w:val="nil"/>
              <w:bottom w:val="nil"/>
              <w:right w:val="nil"/>
            </w:tcBorders>
            <w:noWrap/>
            <w:vAlign w:val="center"/>
            <w:hideMark/>
          </w:tcPr>
          <w:p w14:paraId="65F94177"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-0.05</w:t>
            </w:r>
          </w:p>
        </w:tc>
        <w:tc>
          <w:tcPr>
            <w:tcW w:w="1259" w:type="dxa"/>
            <w:tcBorders>
              <w:top w:val="nil"/>
              <w:left w:val="nil"/>
              <w:bottom w:val="nil"/>
              <w:right w:val="nil"/>
            </w:tcBorders>
            <w:noWrap/>
            <w:vAlign w:val="center"/>
            <w:hideMark/>
          </w:tcPr>
          <w:p w14:paraId="26516CF8"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1.00</w:t>
            </w:r>
          </w:p>
        </w:tc>
        <w:tc>
          <w:tcPr>
            <w:tcW w:w="1259" w:type="dxa"/>
            <w:tcBorders>
              <w:top w:val="nil"/>
              <w:left w:val="nil"/>
              <w:bottom w:val="nil"/>
              <w:right w:val="nil"/>
            </w:tcBorders>
            <w:noWrap/>
            <w:vAlign w:val="center"/>
          </w:tcPr>
          <w:p w14:paraId="1CCE1E71"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c>
          <w:tcPr>
            <w:tcW w:w="1259" w:type="dxa"/>
            <w:tcBorders>
              <w:top w:val="nil"/>
              <w:left w:val="nil"/>
              <w:bottom w:val="nil"/>
              <w:right w:val="nil"/>
            </w:tcBorders>
            <w:noWrap/>
            <w:vAlign w:val="center"/>
          </w:tcPr>
          <w:p w14:paraId="2A729F4E"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r>
      <w:tr w:rsidR="00B13501" w:rsidRPr="00B13501" w14:paraId="04D0BC13" w14:textId="77777777" w:rsidTr="009F7A06">
        <w:trPr>
          <w:trHeight w:val="201"/>
        </w:trPr>
        <w:tc>
          <w:tcPr>
            <w:tcW w:w="3400" w:type="dxa"/>
            <w:tcBorders>
              <w:top w:val="nil"/>
              <w:left w:val="nil"/>
              <w:bottom w:val="nil"/>
              <w:right w:val="nil"/>
            </w:tcBorders>
            <w:noWrap/>
            <w:vAlign w:val="center"/>
            <w:hideMark/>
          </w:tcPr>
          <w:p w14:paraId="2BE428A2"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Emergency Triage System</w:t>
            </w:r>
          </w:p>
        </w:tc>
        <w:tc>
          <w:tcPr>
            <w:tcW w:w="1259" w:type="dxa"/>
            <w:tcBorders>
              <w:top w:val="nil"/>
              <w:left w:val="nil"/>
              <w:bottom w:val="nil"/>
              <w:right w:val="nil"/>
            </w:tcBorders>
            <w:noWrap/>
            <w:vAlign w:val="center"/>
            <w:hideMark/>
          </w:tcPr>
          <w:p w14:paraId="6AF79BE0"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0.04</w:t>
            </w:r>
          </w:p>
        </w:tc>
        <w:tc>
          <w:tcPr>
            <w:tcW w:w="1259" w:type="dxa"/>
            <w:tcBorders>
              <w:top w:val="nil"/>
              <w:left w:val="nil"/>
              <w:bottom w:val="nil"/>
              <w:right w:val="nil"/>
            </w:tcBorders>
            <w:noWrap/>
            <w:vAlign w:val="center"/>
            <w:hideMark/>
          </w:tcPr>
          <w:p w14:paraId="3823D617"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-0.08</w:t>
            </w:r>
          </w:p>
        </w:tc>
        <w:tc>
          <w:tcPr>
            <w:tcW w:w="1259" w:type="dxa"/>
            <w:tcBorders>
              <w:top w:val="nil"/>
              <w:left w:val="nil"/>
              <w:bottom w:val="nil"/>
              <w:right w:val="nil"/>
            </w:tcBorders>
            <w:noWrap/>
            <w:vAlign w:val="center"/>
            <w:hideMark/>
          </w:tcPr>
          <w:p w14:paraId="51D8F19E"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0.15</w:t>
            </w:r>
          </w:p>
        </w:tc>
        <w:tc>
          <w:tcPr>
            <w:tcW w:w="1259" w:type="dxa"/>
            <w:tcBorders>
              <w:top w:val="nil"/>
              <w:left w:val="nil"/>
              <w:bottom w:val="nil"/>
              <w:right w:val="nil"/>
            </w:tcBorders>
            <w:noWrap/>
            <w:vAlign w:val="center"/>
            <w:hideMark/>
          </w:tcPr>
          <w:p w14:paraId="0ABA1C42"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1.00</w:t>
            </w:r>
          </w:p>
        </w:tc>
        <w:tc>
          <w:tcPr>
            <w:tcW w:w="1259" w:type="dxa"/>
            <w:tcBorders>
              <w:top w:val="nil"/>
              <w:left w:val="nil"/>
              <w:bottom w:val="nil"/>
              <w:right w:val="nil"/>
            </w:tcBorders>
            <w:noWrap/>
            <w:vAlign w:val="center"/>
          </w:tcPr>
          <w:p w14:paraId="20DACBFF"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r>
      <w:tr w:rsidR="00B13501" w:rsidRPr="00B13501" w14:paraId="053EC534" w14:textId="77777777" w:rsidTr="009F7A06">
        <w:trPr>
          <w:trHeight w:val="211"/>
        </w:trPr>
        <w:tc>
          <w:tcPr>
            <w:tcW w:w="3400" w:type="dxa"/>
            <w:tcBorders>
              <w:top w:val="nil"/>
              <w:left w:val="nil"/>
              <w:bottom w:val="single" w:sz="8" w:space="0" w:color="auto"/>
              <w:right w:val="nil"/>
            </w:tcBorders>
            <w:noWrap/>
            <w:vAlign w:val="center"/>
            <w:hideMark/>
          </w:tcPr>
          <w:p w14:paraId="56CBCE7D"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Emergency Surge Capacity</w:t>
            </w:r>
          </w:p>
        </w:tc>
        <w:tc>
          <w:tcPr>
            <w:tcW w:w="1259" w:type="dxa"/>
            <w:tcBorders>
              <w:top w:val="nil"/>
              <w:left w:val="nil"/>
              <w:bottom w:val="single" w:sz="8" w:space="0" w:color="auto"/>
              <w:right w:val="nil"/>
            </w:tcBorders>
            <w:noWrap/>
            <w:vAlign w:val="center"/>
            <w:hideMark/>
          </w:tcPr>
          <w:p w14:paraId="63BD63FB"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0.01</w:t>
            </w:r>
          </w:p>
        </w:tc>
        <w:tc>
          <w:tcPr>
            <w:tcW w:w="1259" w:type="dxa"/>
            <w:tcBorders>
              <w:top w:val="nil"/>
              <w:left w:val="nil"/>
              <w:bottom w:val="single" w:sz="8" w:space="0" w:color="auto"/>
              <w:right w:val="nil"/>
            </w:tcBorders>
            <w:noWrap/>
            <w:vAlign w:val="center"/>
            <w:hideMark/>
          </w:tcPr>
          <w:p w14:paraId="73B17477"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0.01</w:t>
            </w:r>
          </w:p>
        </w:tc>
        <w:tc>
          <w:tcPr>
            <w:tcW w:w="1259" w:type="dxa"/>
            <w:tcBorders>
              <w:top w:val="nil"/>
              <w:left w:val="nil"/>
              <w:bottom w:val="single" w:sz="8" w:space="0" w:color="auto"/>
              <w:right w:val="nil"/>
            </w:tcBorders>
            <w:noWrap/>
            <w:vAlign w:val="center"/>
            <w:hideMark/>
          </w:tcPr>
          <w:p w14:paraId="79CDE2BA"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0.04</w:t>
            </w:r>
          </w:p>
        </w:tc>
        <w:tc>
          <w:tcPr>
            <w:tcW w:w="1259" w:type="dxa"/>
            <w:tcBorders>
              <w:top w:val="nil"/>
              <w:left w:val="nil"/>
              <w:bottom w:val="single" w:sz="8" w:space="0" w:color="auto"/>
              <w:right w:val="nil"/>
            </w:tcBorders>
            <w:noWrap/>
            <w:vAlign w:val="center"/>
            <w:hideMark/>
          </w:tcPr>
          <w:p w14:paraId="6A7FF02E"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-0.03</w:t>
            </w:r>
          </w:p>
        </w:tc>
        <w:tc>
          <w:tcPr>
            <w:tcW w:w="1259" w:type="dxa"/>
            <w:tcBorders>
              <w:top w:val="nil"/>
              <w:left w:val="nil"/>
              <w:bottom w:val="single" w:sz="8" w:space="0" w:color="auto"/>
              <w:right w:val="nil"/>
            </w:tcBorders>
            <w:noWrap/>
            <w:vAlign w:val="center"/>
            <w:hideMark/>
          </w:tcPr>
          <w:p w14:paraId="492E033B"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1.00</w:t>
            </w:r>
          </w:p>
        </w:tc>
      </w:tr>
      <w:tr w:rsidR="00B13501" w:rsidRPr="00B13501" w14:paraId="4F56FCA7" w14:textId="77777777" w:rsidTr="009F7A06">
        <w:trPr>
          <w:trHeight w:val="191"/>
        </w:trPr>
        <w:tc>
          <w:tcPr>
            <w:tcW w:w="8436" w:type="dxa"/>
            <w:gridSpan w:val="5"/>
            <w:tcBorders>
              <w:top w:val="nil"/>
              <w:left w:val="nil"/>
              <w:bottom w:val="nil"/>
              <w:right w:val="nil"/>
            </w:tcBorders>
            <w:noWrap/>
            <w:vAlign w:val="bottom"/>
            <w:hideMark/>
          </w:tcPr>
          <w:p w14:paraId="54201C67" w14:textId="77777777" w:rsidR="00B13501" w:rsidRPr="00B13501" w:rsidRDefault="00B13501" w:rsidP="00B13501">
            <w:pPr>
              <w:widowControl/>
              <w:suppressAutoHyphens w:val="0"/>
              <w:overflowPunct/>
              <w:autoSpaceDE/>
              <w:autoSpaceDN/>
              <w:adjustRightInd/>
              <w:textAlignment w:val="auto"/>
              <w:rPr>
                <w:i/>
                <w:iCs/>
                <w:color w:val="000000"/>
                <w:kern w:val="0"/>
                <w:lang w:val="en-GB" w:eastAsia="en-GB"/>
              </w:rPr>
            </w:pPr>
            <w:r w:rsidRPr="00B13501">
              <w:rPr>
                <w:i/>
                <w:iCs/>
                <w:color w:val="000000"/>
                <w:kern w:val="0"/>
                <w:lang w:val="en-GB" w:eastAsia="en-GB"/>
              </w:rPr>
              <w:t>Values in bold are different from 0 with a significance level alpha=0.05</w:t>
            </w:r>
          </w:p>
        </w:tc>
        <w:tc>
          <w:tcPr>
            <w:tcW w:w="1259" w:type="dxa"/>
            <w:tcBorders>
              <w:top w:val="nil"/>
              <w:left w:val="nil"/>
              <w:bottom w:val="nil"/>
              <w:right w:val="nil"/>
            </w:tcBorders>
            <w:noWrap/>
            <w:vAlign w:val="bottom"/>
            <w:hideMark/>
          </w:tcPr>
          <w:p w14:paraId="6EEE8451" w14:textId="77777777" w:rsidR="00B13501" w:rsidRPr="00B13501" w:rsidRDefault="00B13501" w:rsidP="00B13501">
            <w:pPr>
              <w:widowControl/>
              <w:suppressAutoHyphens w:val="0"/>
              <w:overflowPunct/>
              <w:autoSpaceDE/>
              <w:autoSpaceDN/>
              <w:adjustRightInd/>
              <w:textAlignment w:val="auto"/>
              <w:rPr>
                <w:i/>
                <w:iCs/>
                <w:color w:val="000000"/>
                <w:kern w:val="0"/>
                <w:lang w:val="en-GB" w:eastAsia="en-GB"/>
              </w:rPr>
            </w:pPr>
          </w:p>
        </w:tc>
      </w:tr>
    </w:tbl>
    <w:p w14:paraId="57277BCB" w14:textId="77777777"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p>
    <w:p w14:paraId="20C4EE85" w14:textId="13EA4AFA"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b/>
          <w:kern w:val="0"/>
          <w:lang w:val="en-GB" w:eastAsia="en-US"/>
        </w:rPr>
        <w:t>3.4</w:t>
      </w:r>
      <w:r w:rsidR="00251834">
        <w:rPr>
          <w:b/>
          <w:kern w:val="0"/>
          <w:lang w:val="en-GB" w:eastAsia="en-US"/>
        </w:rPr>
        <w:t>:</w:t>
      </w:r>
      <w:r w:rsidRPr="00B13501">
        <w:rPr>
          <w:kern w:val="0"/>
          <w:lang w:val="en-GB" w:eastAsia="en-US"/>
        </w:rPr>
        <w:t xml:space="preserve"> </w:t>
      </w:r>
      <w:r w:rsidRPr="00B13501">
        <w:rPr>
          <w:b/>
          <w:bCs/>
          <w:kern w:val="0"/>
          <w:lang w:val="en-GB" w:eastAsia="en-US"/>
        </w:rPr>
        <w:t>Relationship between emergency response constructs for the hospital</w:t>
      </w:r>
    </w:p>
    <w:p w14:paraId="3DFF1AA4" w14:textId="1E92989B"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 xml:space="preserve">The Pearson correlation between emergency response measures for the hospital is shown in Table 4. </w:t>
      </w:r>
      <w:r w:rsidR="00251834">
        <w:rPr>
          <w:kern w:val="0"/>
          <w:lang w:val="en-GB" w:eastAsia="en-US"/>
        </w:rPr>
        <w:t xml:space="preserve">University of Port Harcourt Teaching Hospital (UPTH) </w:t>
      </w:r>
      <w:r w:rsidRPr="00B13501">
        <w:rPr>
          <w:kern w:val="0"/>
          <w:lang w:val="en-GB" w:eastAsia="en-US"/>
        </w:rPr>
        <w:t xml:space="preserve">demonstrated a significant negative correlation between promptness and responsiveness (r = -0.22, p &lt; 0.05). This stronger negative correlation further </w:t>
      </w:r>
      <w:r w:rsidRPr="00B13501">
        <w:rPr>
          <w:kern w:val="0"/>
          <w:lang w:val="en-GB" w:eastAsia="en-US"/>
        </w:rPr>
        <w:lastRenderedPageBreak/>
        <w:t xml:space="preserve">supports the observation that there might be a trade-off between speed of response and quality of care during emergencies. </w:t>
      </w:r>
    </w:p>
    <w:p w14:paraId="6E9A9A11" w14:textId="77777777" w:rsidR="002C04EB" w:rsidRDefault="002C04EB" w:rsidP="00B13501">
      <w:pPr>
        <w:widowControl/>
        <w:suppressAutoHyphens w:val="0"/>
        <w:overflowPunct/>
        <w:autoSpaceDE/>
        <w:autoSpaceDN/>
        <w:adjustRightInd/>
        <w:spacing w:after="160" w:line="276" w:lineRule="auto"/>
        <w:textAlignment w:val="auto"/>
        <w:rPr>
          <w:b/>
          <w:bCs/>
          <w:kern w:val="0"/>
          <w:lang w:val="en-GB" w:eastAsia="en-US"/>
        </w:rPr>
      </w:pPr>
    </w:p>
    <w:p w14:paraId="7EADD380" w14:textId="2629007C" w:rsidR="00B13501" w:rsidRPr="00B13501" w:rsidRDefault="00B13501" w:rsidP="00B13501">
      <w:pPr>
        <w:widowControl/>
        <w:suppressAutoHyphens w:val="0"/>
        <w:overflowPunct/>
        <w:autoSpaceDE/>
        <w:autoSpaceDN/>
        <w:adjustRightInd/>
        <w:spacing w:after="160" w:line="276" w:lineRule="auto"/>
        <w:textAlignment w:val="auto"/>
        <w:rPr>
          <w:kern w:val="0"/>
          <w:lang w:val="en-GB" w:eastAsia="en-US"/>
        </w:rPr>
      </w:pPr>
      <w:r w:rsidRPr="00B13501">
        <w:rPr>
          <w:b/>
          <w:bCs/>
          <w:kern w:val="0"/>
          <w:lang w:val="en-GB" w:eastAsia="en-US"/>
        </w:rPr>
        <w:t xml:space="preserve">Table 4: </w:t>
      </w:r>
      <w:r w:rsidRPr="00B13501">
        <w:rPr>
          <w:kern w:val="0"/>
          <w:lang w:val="en-GB" w:eastAsia="en-US"/>
        </w:rPr>
        <w:t xml:space="preserve">Pearson correlation of emergency response in </w:t>
      </w:r>
      <w:r w:rsidR="00251834">
        <w:rPr>
          <w:kern w:val="0"/>
          <w:lang w:val="en-GB" w:eastAsia="en-US"/>
        </w:rPr>
        <w:t>UPTH</w:t>
      </w:r>
    </w:p>
    <w:tbl>
      <w:tblPr>
        <w:tblW w:w="9450" w:type="dxa"/>
        <w:tblLook w:val="04A0" w:firstRow="1" w:lastRow="0" w:firstColumn="1" w:lastColumn="0" w:noHBand="0" w:noVBand="1"/>
      </w:tblPr>
      <w:tblGrid>
        <w:gridCol w:w="2506"/>
        <w:gridCol w:w="2506"/>
        <w:gridCol w:w="4438"/>
      </w:tblGrid>
      <w:tr w:rsidR="00B13501" w:rsidRPr="00B13501" w14:paraId="7C6F4837" w14:textId="77777777" w:rsidTr="009F7A06">
        <w:trPr>
          <w:trHeight w:val="273"/>
        </w:trPr>
        <w:tc>
          <w:tcPr>
            <w:tcW w:w="2506" w:type="dxa"/>
            <w:tcBorders>
              <w:top w:val="single" w:sz="8" w:space="0" w:color="auto"/>
              <w:left w:val="nil"/>
              <w:bottom w:val="nil"/>
              <w:right w:val="nil"/>
            </w:tcBorders>
            <w:noWrap/>
            <w:vAlign w:val="bottom"/>
            <w:hideMark/>
          </w:tcPr>
          <w:p w14:paraId="6D97D21A"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Variables</w:t>
            </w:r>
          </w:p>
        </w:tc>
        <w:tc>
          <w:tcPr>
            <w:tcW w:w="2506" w:type="dxa"/>
            <w:tcBorders>
              <w:top w:val="single" w:sz="8" w:space="0" w:color="auto"/>
              <w:left w:val="nil"/>
              <w:bottom w:val="nil"/>
              <w:right w:val="nil"/>
            </w:tcBorders>
            <w:noWrap/>
            <w:vAlign w:val="center"/>
            <w:hideMark/>
          </w:tcPr>
          <w:p w14:paraId="74643258"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Promptness</w:t>
            </w:r>
          </w:p>
        </w:tc>
        <w:tc>
          <w:tcPr>
            <w:tcW w:w="4438" w:type="dxa"/>
            <w:tcBorders>
              <w:top w:val="single" w:sz="8" w:space="0" w:color="auto"/>
              <w:left w:val="nil"/>
              <w:bottom w:val="nil"/>
              <w:right w:val="nil"/>
            </w:tcBorders>
            <w:noWrap/>
            <w:vAlign w:val="center"/>
            <w:hideMark/>
          </w:tcPr>
          <w:p w14:paraId="42EC4065"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Responsiveness</w:t>
            </w:r>
          </w:p>
        </w:tc>
      </w:tr>
      <w:tr w:rsidR="00B13501" w:rsidRPr="00B13501" w14:paraId="740F8312" w14:textId="77777777" w:rsidTr="009F7A06">
        <w:trPr>
          <w:trHeight w:val="273"/>
        </w:trPr>
        <w:tc>
          <w:tcPr>
            <w:tcW w:w="2506" w:type="dxa"/>
            <w:tcBorders>
              <w:top w:val="single" w:sz="4" w:space="0" w:color="auto"/>
              <w:left w:val="nil"/>
              <w:bottom w:val="nil"/>
              <w:right w:val="nil"/>
            </w:tcBorders>
            <w:noWrap/>
            <w:vAlign w:val="bottom"/>
            <w:hideMark/>
          </w:tcPr>
          <w:p w14:paraId="54326AE7"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Promptness</w:t>
            </w:r>
          </w:p>
        </w:tc>
        <w:tc>
          <w:tcPr>
            <w:tcW w:w="2506" w:type="dxa"/>
            <w:tcBorders>
              <w:top w:val="single" w:sz="4" w:space="0" w:color="auto"/>
              <w:left w:val="nil"/>
              <w:bottom w:val="nil"/>
              <w:right w:val="nil"/>
            </w:tcBorders>
            <w:noWrap/>
            <w:vAlign w:val="center"/>
            <w:hideMark/>
          </w:tcPr>
          <w:p w14:paraId="2D3C02C0"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1.00</w:t>
            </w:r>
          </w:p>
        </w:tc>
        <w:tc>
          <w:tcPr>
            <w:tcW w:w="4438" w:type="dxa"/>
            <w:tcBorders>
              <w:top w:val="single" w:sz="4" w:space="0" w:color="auto"/>
              <w:left w:val="nil"/>
              <w:bottom w:val="nil"/>
              <w:right w:val="nil"/>
            </w:tcBorders>
            <w:noWrap/>
            <w:vAlign w:val="center"/>
            <w:hideMark/>
          </w:tcPr>
          <w:p w14:paraId="724249A0"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-0.22</w:t>
            </w:r>
          </w:p>
        </w:tc>
      </w:tr>
      <w:tr w:rsidR="00B13501" w:rsidRPr="00B13501" w14:paraId="4EB2D8D2" w14:textId="77777777" w:rsidTr="009F7A06">
        <w:trPr>
          <w:trHeight w:val="286"/>
        </w:trPr>
        <w:tc>
          <w:tcPr>
            <w:tcW w:w="2506" w:type="dxa"/>
            <w:tcBorders>
              <w:top w:val="nil"/>
              <w:left w:val="nil"/>
              <w:bottom w:val="single" w:sz="8" w:space="0" w:color="auto"/>
              <w:right w:val="nil"/>
            </w:tcBorders>
            <w:noWrap/>
            <w:vAlign w:val="bottom"/>
            <w:hideMark/>
          </w:tcPr>
          <w:p w14:paraId="122444CD"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Responsiveness</w:t>
            </w:r>
          </w:p>
        </w:tc>
        <w:tc>
          <w:tcPr>
            <w:tcW w:w="2506" w:type="dxa"/>
            <w:tcBorders>
              <w:top w:val="nil"/>
              <w:left w:val="nil"/>
              <w:bottom w:val="single" w:sz="8" w:space="0" w:color="auto"/>
              <w:right w:val="nil"/>
            </w:tcBorders>
            <w:noWrap/>
            <w:vAlign w:val="center"/>
            <w:hideMark/>
          </w:tcPr>
          <w:p w14:paraId="1470184F"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-0.22</w:t>
            </w:r>
          </w:p>
        </w:tc>
        <w:tc>
          <w:tcPr>
            <w:tcW w:w="4438" w:type="dxa"/>
            <w:tcBorders>
              <w:top w:val="nil"/>
              <w:left w:val="nil"/>
              <w:bottom w:val="single" w:sz="8" w:space="0" w:color="auto"/>
              <w:right w:val="nil"/>
            </w:tcBorders>
            <w:noWrap/>
            <w:vAlign w:val="center"/>
            <w:hideMark/>
          </w:tcPr>
          <w:p w14:paraId="2B614C24"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1.00</w:t>
            </w:r>
          </w:p>
        </w:tc>
      </w:tr>
      <w:tr w:rsidR="00B13501" w:rsidRPr="00B13501" w14:paraId="08835973" w14:textId="77777777" w:rsidTr="009F7A06">
        <w:trPr>
          <w:trHeight w:val="273"/>
        </w:trPr>
        <w:tc>
          <w:tcPr>
            <w:tcW w:w="9450" w:type="dxa"/>
            <w:gridSpan w:val="3"/>
            <w:tcBorders>
              <w:top w:val="nil"/>
              <w:left w:val="nil"/>
              <w:bottom w:val="nil"/>
              <w:right w:val="nil"/>
            </w:tcBorders>
            <w:noWrap/>
            <w:vAlign w:val="bottom"/>
            <w:hideMark/>
          </w:tcPr>
          <w:p w14:paraId="3E34BEAA" w14:textId="77777777" w:rsidR="00B13501" w:rsidRPr="00B13501" w:rsidRDefault="00B13501" w:rsidP="00B13501">
            <w:pPr>
              <w:widowControl/>
              <w:suppressAutoHyphens w:val="0"/>
              <w:overflowPunct/>
              <w:autoSpaceDE/>
              <w:autoSpaceDN/>
              <w:adjustRightInd/>
              <w:textAlignment w:val="auto"/>
              <w:rPr>
                <w:i/>
                <w:iCs/>
                <w:color w:val="000000"/>
                <w:kern w:val="0"/>
                <w:lang w:val="en-GB" w:eastAsia="en-GB"/>
              </w:rPr>
            </w:pPr>
            <w:r w:rsidRPr="00B13501">
              <w:rPr>
                <w:i/>
                <w:iCs/>
                <w:color w:val="000000"/>
                <w:kern w:val="0"/>
                <w:lang w:val="en-GB" w:eastAsia="en-GB"/>
              </w:rPr>
              <w:t>Values in bold are different from 0 with a significance level alpha=0.05</w:t>
            </w:r>
          </w:p>
        </w:tc>
      </w:tr>
    </w:tbl>
    <w:p w14:paraId="320B5484" w14:textId="77777777"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p>
    <w:p w14:paraId="77B60738" w14:textId="39787BE4" w:rsidR="00B13501" w:rsidRPr="00B13501" w:rsidRDefault="00B13501" w:rsidP="00B13501">
      <w:pPr>
        <w:widowControl/>
        <w:suppressAutoHyphens w:val="0"/>
        <w:overflowPunct/>
        <w:autoSpaceDE/>
        <w:autoSpaceDN/>
        <w:adjustRightInd/>
        <w:spacing w:after="160"/>
        <w:jc w:val="both"/>
        <w:textAlignment w:val="auto"/>
        <w:rPr>
          <w:b/>
          <w:bCs/>
          <w:kern w:val="0"/>
          <w:lang w:val="en-GB" w:eastAsia="en-US"/>
        </w:rPr>
      </w:pPr>
      <w:r w:rsidRPr="00B13501">
        <w:rPr>
          <w:b/>
          <w:bCs/>
          <w:kern w:val="0"/>
          <w:lang w:val="en-GB" w:eastAsia="en-US"/>
        </w:rPr>
        <w:t>3.5 Impact of emergency preparedness on the response of the healthcare workers in the sampled hospital in Rivers State</w:t>
      </w:r>
      <w:r w:rsidR="008E572C">
        <w:rPr>
          <w:b/>
          <w:bCs/>
          <w:kern w:val="0"/>
          <w:lang w:val="en-GB" w:eastAsia="en-US"/>
        </w:rPr>
        <w:t>, UPTH</w:t>
      </w:r>
      <w:r w:rsidRPr="00B13501">
        <w:rPr>
          <w:b/>
          <w:bCs/>
          <w:kern w:val="0"/>
          <w:lang w:val="en-GB" w:eastAsia="en-US"/>
        </w:rPr>
        <w:t xml:space="preserve"> </w:t>
      </w:r>
    </w:p>
    <w:p w14:paraId="1D3FE32F" w14:textId="34AA09D4"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r w:rsidRPr="00B13501">
        <w:rPr>
          <w:bCs/>
          <w:kern w:val="0"/>
          <w:lang w:val="en-GB" w:eastAsia="en-US"/>
        </w:rPr>
        <w:t>In this study,</w:t>
      </w:r>
      <w:r w:rsidRPr="00B13501">
        <w:rPr>
          <w:b/>
          <w:bCs/>
          <w:kern w:val="0"/>
          <w:lang w:val="en-GB" w:eastAsia="en-US"/>
        </w:rPr>
        <w:t xml:space="preserve"> </w:t>
      </w:r>
      <w:r w:rsidRPr="00B13501">
        <w:rPr>
          <w:rFonts w:eastAsia="Calibri"/>
          <w:kern w:val="0"/>
          <w:lang w:val="en-GB" w:eastAsia="en-US"/>
        </w:rPr>
        <w:t>the independent variable is emergency preparedness measures captured using emergency training, emergency planning, Logistics availability, triage system, and hospital surge capacity, while the dependent variable is emergency response measures using promptness and responsiveness. Hence, two multi</w:t>
      </w:r>
      <w:r w:rsidR="008E572C">
        <w:rPr>
          <w:rFonts w:eastAsia="Calibri"/>
          <w:kern w:val="0"/>
          <w:lang w:val="en-GB" w:eastAsia="en-US"/>
        </w:rPr>
        <w:t xml:space="preserve">ple </w:t>
      </w:r>
      <w:r w:rsidRPr="00B13501">
        <w:rPr>
          <w:rFonts w:eastAsia="Calibri"/>
          <w:kern w:val="0"/>
          <w:lang w:val="en-GB" w:eastAsia="en-US"/>
        </w:rPr>
        <w:t>regression models were developed</w:t>
      </w:r>
      <w:r w:rsidR="008E572C">
        <w:rPr>
          <w:rFonts w:eastAsia="Calibri"/>
          <w:kern w:val="0"/>
          <w:lang w:val="en-GB" w:eastAsia="en-US"/>
        </w:rPr>
        <w:t>; one for</w:t>
      </w:r>
      <w:r w:rsidRPr="00B13501">
        <w:rPr>
          <w:rFonts w:eastAsia="Calibri"/>
          <w:kern w:val="0"/>
          <w:lang w:val="en-GB" w:eastAsia="en-US"/>
        </w:rPr>
        <w:t xml:space="preserve"> promptness and </w:t>
      </w:r>
      <w:r w:rsidR="008E572C">
        <w:rPr>
          <w:rFonts w:eastAsia="Calibri"/>
          <w:kern w:val="0"/>
          <w:lang w:val="en-GB" w:eastAsia="en-US"/>
        </w:rPr>
        <w:t xml:space="preserve">the other for </w:t>
      </w:r>
      <w:r w:rsidRPr="00B13501">
        <w:rPr>
          <w:rFonts w:eastAsia="Calibri"/>
          <w:kern w:val="0"/>
          <w:lang w:val="en-GB" w:eastAsia="en-US"/>
        </w:rPr>
        <w:t xml:space="preserve">responsiveness. </w:t>
      </w:r>
    </w:p>
    <w:p w14:paraId="36FB5505" w14:textId="23FCCF51" w:rsidR="00B13501" w:rsidRPr="00B13501" w:rsidRDefault="00B13501" w:rsidP="00B13501">
      <w:pPr>
        <w:widowControl/>
        <w:suppressAutoHyphens w:val="0"/>
        <w:overflowPunct/>
        <w:autoSpaceDE/>
        <w:autoSpaceDN/>
        <w:adjustRightInd/>
        <w:spacing w:after="160"/>
        <w:jc w:val="both"/>
        <w:textAlignment w:val="auto"/>
        <w:rPr>
          <w:rFonts w:eastAsia="Calibri"/>
          <w:b/>
          <w:kern w:val="0"/>
          <w:lang w:val="en-GB" w:eastAsia="en-US"/>
        </w:rPr>
      </w:pPr>
      <w:r w:rsidRPr="00B13501">
        <w:rPr>
          <w:rFonts w:eastAsia="Calibri"/>
          <w:b/>
          <w:kern w:val="0"/>
          <w:lang w:val="en-GB" w:eastAsia="en-US"/>
        </w:rPr>
        <w:t>3.5.1 Multi-linear regression model for impact of emergency preparedness factors on promptness</w:t>
      </w:r>
    </w:p>
    <w:p w14:paraId="62F97D93" w14:textId="3667EFA7"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 xml:space="preserve">The </w:t>
      </w:r>
      <w:r w:rsidRPr="00B30006">
        <w:rPr>
          <w:kern w:val="0"/>
          <w:lang w:val="en-GB" w:eastAsia="en-US"/>
        </w:rPr>
        <w:t>goodness of fit parameters for the model predicting promptness from emergency preparedness measures in the hospital are presented in Table 5a. The model demonstrate</w:t>
      </w:r>
      <w:r w:rsidR="008E572C" w:rsidRPr="00B30006">
        <w:rPr>
          <w:kern w:val="0"/>
          <w:lang w:val="en-GB" w:eastAsia="en-US"/>
        </w:rPr>
        <w:t>d</w:t>
      </w:r>
      <w:r w:rsidRPr="00B30006">
        <w:rPr>
          <w:kern w:val="0"/>
          <w:lang w:val="en-GB" w:eastAsia="en-US"/>
        </w:rPr>
        <w:t xml:space="preserve"> excellent fit with an R² value of 0.918, indicating that emergency preparedness measures explain 91.8% of the variability in promptness. The Durbin-Watson statistic of 0</w:t>
      </w:r>
      <w:r w:rsidRPr="00B13501">
        <w:rPr>
          <w:kern w:val="0"/>
          <w:lang w:val="en-GB" w:eastAsia="en-US"/>
        </w:rPr>
        <w:t>.576 suggest</w:t>
      </w:r>
      <w:r w:rsidR="008E572C">
        <w:rPr>
          <w:kern w:val="0"/>
          <w:lang w:val="en-GB" w:eastAsia="en-US"/>
        </w:rPr>
        <w:t>s</w:t>
      </w:r>
      <w:r w:rsidRPr="00B13501">
        <w:rPr>
          <w:kern w:val="0"/>
          <w:lang w:val="en-GB" w:eastAsia="en-US"/>
        </w:rPr>
        <w:t xml:space="preserve"> some positive autocorrelation in the residuals.</w:t>
      </w:r>
    </w:p>
    <w:p w14:paraId="18536BAA" w14:textId="508ADBC8"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The Analysis of Variance results presented in Table 5b confirms the statistical significance of the overall model (</w:t>
      </w:r>
      <w:r w:rsidR="00F97BC3">
        <w:rPr>
          <w:kern w:val="0"/>
          <w:lang w:val="en-GB" w:eastAsia="en-US"/>
        </w:rPr>
        <w:t>DF</w:t>
      </w:r>
      <w:r w:rsidR="00F97BC3" w:rsidRPr="00B13501">
        <w:rPr>
          <w:kern w:val="0"/>
          <w:lang w:val="en-GB" w:eastAsia="en-US"/>
        </w:rPr>
        <w:t xml:space="preserve"> (</w:t>
      </w:r>
      <w:r w:rsidRPr="00B13501">
        <w:rPr>
          <w:kern w:val="0"/>
          <w:lang w:val="en-GB" w:eastAsia="en-US"/>
        </w:rPr>
        <w:t>5, 105) = 233.558, p &lt; 0.0001). This indicates that emergency preparedness measures collectively have a significant impact on promptness of response.</w:t>
      </w:r>
    </w:p>
    <w:p w14:paraId="53560484" w14:textId="574800E7"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The unstandardized model parameters in Table 5c show</w:t>
      </w:r>
      <w:r w:rsidR="008E572C">
        <w:rPr>
          <w:kern w:val="0"/>
          <w:lang w:val="en-GB" w:eastAsia="en-US"/>
        </w:rPr>
        <w:t>ed</w:t>
      </w:r>
      <w:r w:rsidRPr="00B13501">
        <w:rPr>
          <w:kern w:val="0"/>
          <w:lang w:val="en-GB" w:eastAsia="en-US"/>
        </w:rPr>
        <w:t xml:space="preserve"> that emergency planning (β = 0.866, p &lt; 0.0001) and emergency triage system (β = 0.625, p = 0.015) had significant positive impacts on promptness. Emergency training showed a significant negative impact (β = -0.461, p &lt; 0.0001), while emergency logistics (β = 0.217, p = 0.346) and emergency surge capacity (β = -0.146, p = 0.447) did not significantly impact promptness.</w:t>
      </w:r>
    </w:p>
    <w:p w14:paraId="25F818CB" w14:textId="005785FF" w:rsidR="00B13501" w:rsidRPr="00B13501" w:rsidRDefault="00B13501" w:rsidP="00B13501">
      <w:pPr>
        <w:widowControl/>
        <w:suppressAutoHyphens w:val="0"/>
        <w:overflowPunct/>
        <w:autoSpaceDE/>
        <w:autoSpaceDN/>
        <w:adjustRightInd/>
        <w:spacing w:after="160" w:line="276" w:lineRule="auto"/>
        <w:jc w:val="both"/>
        <w:textAlignment w:val="auto"/>
      </w:pPr>
      <w:r w:rsidRPr="00B13501">
        <w:rPr>
          <w:kern w:val="0"/>
          <w:lang w:val="en-GB" w:eastAsia="en-US"/>
        </w:rPr>
        <w:t>The standardized coefficients in Table 5d provide</w:t>
      </w:r>
      <w:r w:rsidR="008E572C">
        <w:rPr>
          <w:kern w:val="0"/>
          <w:lang w:val="en-GB" w:eastAsia="en-US"/>
        </w:rPr>
        <w:t>d</w:t>
      </w:r>
      <w:r w:rsidRPr="00B13501">
        <w:rPr>
          <w:kern w:val="0"/>
          <w:lang w:val="en-GB" w:eastAsia="en-US"/>
        </w:rPr>
        <w:t xml:space="preserve"> insight into the relative importance of each predictor. Emergency planning had the strongest positive impact (β = 0.921), followed by emergency triage system (β = 0.532). Emergency training showed a strong negative effect (β = -0.543), suggesting that increased training activities might temporarily reduce response speed. Emergency logistics (β = 0.157) and surge capacity (β = -0.129) had minimal impact. These results aligned with work of Abdulsalam et al. (2016) who, in their study emphasized that standardization of emergency preparedness protocols across healthcare facilities improves overall emergency response effectiveness. Secondly, the moderate scores in surge capacity and </w:t>
      </w:r>
      <w:r w:rsidR="00CE50BE">
        <w:rPr>
          <w:kern w:val="0"/>
          <w:lang w:val="en-GB" w:eastAsia="en-US"/>
        </w:rPr>
        <w:t xml:space="preserve">logistics availability </w:t>
      </w:r>
      <w:r w:rsidRPr="00B13501">
        <w:rPr>
          <w:kern w:val="0"/>
          <w:lang w:val="en-GB" w:eastAsia="en-US"/>
        </w:rPr>
        <w:t>indicate potential vulnerabilities in the healthcare system's ability to handle mass casualty incidents. This aligns with findings from Simon et al. (2019), who identified similar complexity in their assessment of hospital emergency preparedness and response.</w:t>
      </w:r>
      <w:r w:rsidRPr="00B13501">
        <w:t xml:space="preserve"> </w:t>
      </w:r>
    </w:p>
    <w:p w14:paraId="1ABBB92B" w14:textId="77777777" w:rsidR="002C04EB" w:rsidRDefault="002C04EB" w:rsidP="00B13501">
      <w:pPr>
        <w:widowControl/>
        <w:suppressAutoHyphens w:val="0"/>
        <w:overflowPunct/>
        <w:autoSpaceDE/>
        <w:autoSpaceDN/>
        <w:adjustRightInd/>
        <w:spacing w:after="160" w:line="276" w:lineRule="auto"/>
        <w:jc w:val="both"/>
        <w:textAlignment w:val="auto"/>
        <w:rPr>
          <w:b/>
          <w:bCs/>
          <w:kern w:val="0"/>
          <w:lang w:val="en-GB" w:eastAsia="en-US"/>
        </w:rPr>
      </w:pPr>
    </w:p>
    <w:p w14:paraId="689B334A" w14:textId="77777777" w:rsidR="002C04EB" w:rsidRDefault="002C04EB" w:rsidP="00B13501">
      <w:pPr>
        <w:widowControl/>
        <w:suppressAutoHyphens w:val="0"/>
        <w:overflowPunct/>
        <w:autoSpaceDE/>
        <w:autoSpaceDN/>
        <w:adjustRightInd/>
        <w:spacing w:after="160" w:line="276" w:lineRule="auto"/>
        <w:jc w:val="both"/>
        <w:textAlignment w:val="auto"/>
        <w:rPr>
          <w:b/>
          <w:bCs/>
          <w:kern w:val="0"/>
          <w:lang w:val="en-GB" w:eastAsia="en-US"/>
        </w:rPr>
      </w:pPr>
    </w:p>
    <w:p w14:paraId="473B8081" w14:textId="77777777" w:rsidR="002C04EB" w:rsidRDefault="002C04EB" w:rsidP="00B13501">
      <w:pPr>
        <w:widowControl/>
        <w:suppressAutoHyphens w:val="0"/>
        <w:overflowPunct/>
        <w:autoSpaceDE/>
        <w:autoSpaceDN/>
        <w:adjustRightInd/>
        <w:spacing w:after="160" w:line="276" w:lineRule="auto"/>
        <w:jc w:val="both"/>
        <w:textAlignment w:val="auto"/>
        <w:rPr>
          <w:b/>
          <w:bCs/>
          <w:kern w:val="0"/>
          <w:lang w:val="en-GB" w:eastAsia="en-US"/>
        </w:rPr>
      </w:pPr>
    </w:p>
    <w:p w14:paraId="1790A4D1" w14:textId="77777777" w:rsidR="002C04EB" w:rsidRDefault="002C04EB" w:rsidP="00B13501">
      <w:pPr>
        <w:widowControl/>
        <w:suppressAutoHyphens w:val="0"/>
        <w:overflowPunct/>
        <w:autoSpaceDE/>
        <w:autoSpaceDN/>
        <w:adjustRightInd/>
        <w:spacing w:after="160" w:line="276" w:lineRule="auto"/>
        <w:jc w:val="both"/>
        <w:textAlignment w:val="auto"/>
        <w:rPr>
          <w:b/>
          <w:bCs/>
          <w:kern w:val="0"/>
          <w:lang w:val="en-GB" w:eastAsia="en-US"/>
        </w:rPr>
      </w:pPr>
    </w:p>
    <w:p w14:paraId="39DBD93F" w14:textId="50BDAC87"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5a</w:t>
      </w:r>
      <w:r w:rsidRPr="00B13501">
        <w:rPr>
          <w:kern w:val="0"/>
          <w:lang w:val="en-GB" w:eastAsia="en-US"/>
        </w:rPr>
        <w:t>: Goodness of Fit</w:t>
      </w:r>
    </w:p>
    <w:tbl>
      <w:tblPr>
        <w:tblW w:w="4041" w:type="dxa"/>
        <w:tblLook w:val="04A0" w:firstRow="1" w:lastRow="0" w:firstColumn="1" w:lastColumn="0" w:noHBand="0" w:noVBand="1"/>
      </w:tblPr>
      <w:tblGrid>
        <w:gridCol w:w="2437"/>
        <w:gridCol w:w="1604"/>
      </w:tblGrid>
      <w:tr w:rsidR="00B13501" w:rsidRPr="00B13501" w14:paraId="20A46D31" w14:textId="77777777" w:rsidTr="009F7A06">
        <w:trPr>
          <w:trHeight w:val="269"/>
        </w:trPr>
        <w:tc>
          <w:tcPr>
            <w:tcW w:w="2437" w:type="dxa"/>
            <w:tcBorders>
              <w:top w:val="single" w:sz="8" w:space="0" w:color="auto"/>
              <w:left w:val="nil"/>
              <w:bottom w:val="nil"/>
              <w:right w:val="nil"/>
            </w:tcBorders>
            <w:noWrap/>
            <w:vAlign w:val="bottom"/>
            <w:hideMark/>
          </w:tcPr>
          <w:p w14:paraId="422A13E3" w14:textId="77777777" w:rsidR="00B13501" w:rsidRPr="00B30006" w:rsidRDefault="00B13501" w:rsidP="00B13501">
            <w:pPr>
              <w:widowControl/>
              <w:suppressAutoHyphens w:val="0"/>
              <w:overflowPunct/>
              <w:autoSpaceDE/>
              <w:autoSpaceDN/>
              <w:adjustRightInd/>
              <w:textAlignment w:val="auto"/>
              <w:rPr>
                <w:b/>
                <w:bCs/>
                <w:color w:val="000000"/>
                <w:kern w:val="0"/>
                <w:lang w:val="en-GB" w:eastAsia="en-GB"/>
              </w:rPr>
            </w:pPr>
            <w:r w:rsidRPr="00B30006">
              <w:rPr>
                <w:b/>
                <w:bCs/>
                <w:color w:val="000000"/>
                <w:kern w:val="0"/>
                <w:lang w:val="en-GB" w:eastAsia="en-GB"/>
              </w:rPr>
              <w:t>Observations</w:t>
            </w:r>
          </w:p>
        </w:tc>
        <w:tc>
          <w:tcPr>
            <w:tcW w:w="1604" w:type="dxa"/>
            <w:tcBorders>
              <w:top w:val="single" w:sz="8" w:space="0" w:color="auto"/>
              <w:left w:val="nil"/>
              <w:bottom w:val="nil"/>
              <w:right w:val="nil"/>
            </w:tcBorders>
            <w:noWrap/>
            <w:vAlign w:val="bottom"/>
            <w:hideMark/>
          </w:tcPr>
          <w:p w14:paraId="6349C8AC" w14:textId="77777777" w:rsidR="00B13501" w:rsidRPr="00B30006" w:rsidRDefault="00B13501" w:rsidP="00B13501">
            <w:pPr>
              <w:widowControl/>
              <w:suppressAutoHyphens w:val="0"/>
              <w:overflowPunct/>
              <w:autoSpaceDE/>
              <w:autoSpaceDN/>
              <w:adjustRightInd/>
              <w:jc w:val="right"/>
              <w:textAlignment w:val="auto"/>
              <w:rPr>
                <w:b/>
                <w:bCs/>
                <w:color w:val="000000"/>
                <w:kern w:val="0"/>
                <w:lang w:val="en-GB" w:eastAsia="en-GB"/>
              </w:rPr>
            </w:pPr>
            <w:r w:rsidRPr="00B30006">
              <w:rPr>
                <w:b/>
                <w:bCs/>
                <w:color w:val="000000"/>
                <w:kern w:val="0"/>
                <w:lang w:val="en-GB" w:eastAsia="en-GB"/>
              </w:rPr>
              <w:t>111.000</w:t>
            </w:r>
          </w:p>
        </w:tc>
      </w:tr>
      <w:tr w:rsidR="00B13501" w:rsidRPr="00B13501" w14:paraId="28F6A0FC" w14:textId="77777777" w:rsidTr="009F7A06">
        <w:trPr>
          <w:trHeight w:val="269"/>
        </w:trPr>
        <w:tc>
          <w:tcPr>
            <w:tcW w:w="2437" w:type="dxa"/>
            <w:tcBorders>
              <w:top w:val="nil"/>
              <w:left w:val="nil"/>
              <w:bottom w:val="nil"/>
              <w:right w:val="nil"/>
            </w:tcBorders>
            <w:noWrap/>
            <w:vAlign w:val="bottom"/>
            <w:hideMark/>
          </w:tcPr>
          <w:p w14:paraId="5EFDAA32"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Sum of weights</w:t>
            </w:r>
          </w:p>
        </w:tc>
        <w:tc>
          <w:tcPr>
            <w:tcW w:w="1604" w:type="dxa"/>
            <w:tcBorders>
              <w:top w:val="nil"/>
              <w:left w:val="nil"/>
              <w:bottom w:val="nil"/>
              <w:right w:val="nil"/>
            </w:tcBorders>
            <w:noWrap/>
            <w:vAlign w:val="bottom"/>
            <w:hideMark/>
          </w:tcPr>
          <w:p w14:paraId="44771F4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111.000</w:t>
            </w:r>
          </w:p>
        </w:tc>
      </w:tr>
      <w:tr w:rsidR="00B13501" w:rsidRPr="00B13501" w14:paraId="19A1D459" w14:textId="77777777" w:rsidTr="009F7A06">
        <w:trPr>
          <w:trHeight w:val="269"/>
        </w:trPr>
        <w:tc>
          <w:tcPr>
            <w:tcW w:w="2437" w:type="dxa"/>
            <w:tcBorders>
              <w:top w:val="nil"/>
              <w:left w:val="nil"/>
              <w:bottom w:val="nil"/>
              <w:right w:val="nil"/>
            </w:tcBorders>
            <w:noWrap/>
            <w:vAlign w:val="bottom"/>
            <w:hideMark/>
          </w:tcPr>
          <w:p w14:paraId="188AA902"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DF</w:t>
            </w:r>
          </w:p>
        </w:tc>
        <w:tc>
          <w:tcPr>
            <w:tcW w:w="1604" w:type="dxa"/>
            <w:tcBorders>
              <w:top w:val="nil"/>
              <w:left w:val="nil"/>
              <w:bottom w:val="nil"/>
              <w:right w:val="nil"/>
            </w:tcBorders>
            <w:noWrap/>
            <w:vAlign w:val="bottom"/>
            <w:hideMark/>
          </w:tcPr>
          <w:p w14:paraId="1A8273D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105.000</w:t>
            </w:r>
          </w:p>
        </w:tc>
      </w:tr>
      <w:tr w:rsidR="00B13501" w:rsidRPr="00B13501" w14:paraId="6884E72E" w14:textId="77777777" w:rsidTr="009F7A06">
        <w:trPr>
          <w:trHeight w:val="269"/>
        </w:trPr>
        <w:tc>
          <w:tcPr>
            <w:tcW w:w="2437" w:type="dxa"/>
            <w:tcBorders>
              <w:top w:val="nil"/>
              <w:left w:val="nil"/>
              <w:bottom w:val="nil"/>
              <w:right w:val="nil"/>
            </w:tcBorders>
            <w:noWrap/>
            <w:vAlign w:val="bottom"/>
            <w:hideMark/>
          </w:tcPr>
          <w:p w14:paraId="705C0F61"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R²</w:t>
            </w:r>
          </w:p>
        </w:tc>
        <w:tc>
          <w:tcPr>
            <w:tcW w:w="1604" w:type="dxa"/>
            <w:tcBorders>
              <w:top w:val="nil"/>
              <w:left w:val="nil"/>
              <w:bottom w:val="nil"/>
              <w:right w:val="nil"/>
            </w:tcBorders>
            <w:noWrap/>
            <w:vAlign w:val="bottom"/>
            <w:hideMark/>
          </w:tcPr>
          <w:p w14:paraId="16C6ED2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0.918</w:t>
            </w:r>
          </w:p>
        </w:tc>
      </w:tr>
      <w:tr w:rsidR="00B13501" w:rsidRPr="00B13501" w14:paraId="621A8EE1" w14:textId="77777777" w:rsidTr="009F7A06">
        <w:trPr>
          <w:trHeight w:val="269"/>
        </w:trPr>
        <w:tc>
          <w:tcPr>
            <w:tcW w:w="2437" w:type="dxa"/>
            <w:tcBorders>
              <w:top w:val="nil"/>
              <w:left w:val="nil"/>
              <w:bottom w:val="nil"/>
              <w:right w:val="nil"/>
            </w:tcBorders>
            <w:noWrap/>
            <w:vAlign w:val="bottom"/>
            <w:hideMark/>
          </w:tcPr>
          <w:p w14:paraId="4DA5ACC5"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Adjusted R²</w:t>
            </w:r>
          </w:p>
        </w:tc>
        <w:tc>
          <w:tcPr>
            <w:tcW w:w="1604" w:type="dxa"/>
            <w:tcBorders>
              <w:top w:val="nil"/>
              <w:left w:val="nil"/>
              <w:bottom w:val="nil"/>
              <w:right w:val="nil"/>
            </w:tcBorders>
            <w:noWrap/>
            <w:vAlign w:val="bottom"/>
            <w:hideMark/>
          </w:tcPr>
          <w:p w14:paraId="67E1F25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0.914</w:t>
            </w:r>
          </w:p>
        </w:tc>
      </w:tr>
      <w:tr w:rsidR="00B13501" w:rsidRPr="00B13501" w14:paraId="1C40B585" w14:textId="77777777" w:rsidTr="009F7A06">
        <w:trPr>
          <w:trHeight w:val="269"/>
        </w:trPr>
        <w:tc>
          <w:tcPr>
            <w:tcW w:w="2437" w:type="dxa"/>
            <w:tcBorders>
              <w:top w:val="nil"/>
              <w:left w:val="nil"/>
              <w:bottom w:val="nil"/>
              <w:right w:val="nil"/>
            </w:tcBorders>
            <w:noWrap/>
            <w:vAlign w:val="bottom"/>
            <w:hideMark/>
          </w:tcPr>
          <w:p w14:paraId="2FE82C13"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MSE</w:t>
            </w:r>
          </w:p>
        </w:tc>
        <w:tc>
          <w:tcPr>
            <w:tcW w:w="1604" w:type="dxa"/>
            <w:tcBorders>
              <w:top w:val="nil"/>
              <w:left w:val="nil"/>
              <w:bottom w:val="nil"/>
              <w:right w:val="nil"/>
            </w:tcBorders>
            <w:noWrap/>
            <w:vAlign w:val="bottom"/>
            <w:hideMark/>
          </w:tcPr>
          <w:p w14:paraId="78EFA2A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0.067</w:t>
            </w:r>
          </w:p>
        </w:tc>
      </w:tr>
      <w:tr w:rsidR="00B13501" w:rsidRPr="00B13501" w14:paraId="152F614D" w14:textId="77777777" w:rsidTr="009F7A06">
        <w:trPr>
          <w:trHeight w:val="269"/>
        </w:trPr>
        <w:tc>
          <w:tcPr>
            <w:tcW w:w="2437" w:type="dxa"/>
            <w:tcBorders>
              <w:top w:val="nil"/>
              <w:left w:val="nil"/>
              <w:bottom w:val="nil"/>
              <w:right w:val="nil"/>
            </w:tcBorders>
            <w:noWrap/>
            <w:vAlign w:val="bottom"/>
            <w:hideMark/>
          </w:tcPr>
          <w:p w14:paraId="79806DBA"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RMSE</w:t>
            </w:r>
          </w:p>
        </w:tc>
        <w:tc>
          <w:tcPr>
            <w:tcW w:w="1604" w:type="dxa"/>
            <w:tcBorders>
              <w:top w:val="nil"/>
              <w:left w:val="nil"/>
              <w:bottom w:val="nil"/>
              <w:right w:val="nil"/>
            </w:tcBorders>
            <w:noWrap/>
            <w:vAlign w:val="bottom"/>
            <w:hideMark/>
          </w:tcPr>
          <w:p w14:paraId="4EFE848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0.258</w:t>
            </w:r>
          </w:p>
        </w:tc>
      </w:tr>
      <w:tr w:rsidR="00B13501" w:rsidRPr="00B13501" w14:paraId="1D10A748" w14:textId="77777777" w:rsidTr="009F7A06">
        <w:trPr>
          <w:trHeight w:val="283"/>
        </w:trPr>
        <w:tc>
          <w:tcPr>
            <w:tcW w:w="2437" w:type="dxa"/>
            <w:tcBorders>
              <w:top w:val="nil"/>
              <w:left w:val="nil"/>
              <w:bottom w:val="single" w:sz="8" w:space="0" w:color="auto"/>
              <w:right w:val="nil"/>
            </w:tcBorders>
            <w:noWrap/>
            <w:vAlign w:val="bottom"/>
            <w:hideMark/>
          </w:tcPr>
          <w:p w14:paraId="55B47F2B"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DW</w:t>
            </w:r>
          </w:p>
        </w:tc>
        <w:tc>
          <w:tcPr>
            <w:tcW w:w="1604" w:type="dxa"/>
            <w:tcBorders>
              <w:top w:val="nil"/>
              <w:left w:val="nil"/>
              <w:bottom w:val="single" w:sz="8" w:space="0" w:color="auto"/>
              <w:right w:val="nil"/>
            </w:tcBorders>
            <w:noWrap/>
            <w:vAlign w:val="bottom"/>
            <w:hideMark/>
          </w:tcPr>
          <w:p w14:paraId="087F774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0.576</w:t>
            </w:r>
          </w:p>
        </w:tc>
      </w:tr>
    </w:tbl>
    <w:p w14:paraId="22EE349F" w14:textId="77777777" w:rsidR="00B13501" w:rsidRPr="00B13501" w:rsidRDefault="00B13501" w:rsidP="00B13501">
      <w:pPr>
        <w:widowControl/>
        <w:suppressAutoHyphens w:val="0"/>
        <w:overflowPunct/>
        <w:autoSpaceDE/>
        <w:autoSpaceDN/>
        <w:adjustRightInd/>
        <w:spacing w:after="160" w:line="276" w:lineRule="auto"/>
        <w:jc w:val="both"/>
        <w:textAlignment w:val="auto"/>
        <w:rPr>
          <w:b/>
          <w:bCs/>
          <w:kern w:val="0"/>
          <w:lang w:val="en-GB" w:eastAsia="en-US"/>
        </w:rPr>
      </w:pPr>
    </w:p>
    <w:p w14:paraId="27658BD5" w14:textId="77777777"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5b</w:t>
      </w:r>
      <w:r w:rsidRPr="00B13501">
        <w:rPr>
          <w:kern w:val="0"/>
          <w:lang w:val="en-GB" w:eastAsia="en-US"/>
        </w:rPr>
        <w:t>: Analysis of Variance</w:t>
      </w:r>
    </w:p>
    <w:tbl>
      <w:tblPr>
        <w:tblW w:w="8597" w:type="dxa"/>
        <w:tblLook w:val="04A0" w:firstRow="1" w:lastRow="0" w:firstColumn="1" w:lastColumn="0" w:noHBand="0" w:noVBand="1"/>
      </w:tblPr>
      <w:tblGrid>
        <w:gridCol w:w="1871"/>
        <w:gridCol w:w="1345"/>
        <w:gridCol w:w="1345"/>
        <w:gridCol w:w="1346"/>
        <w:gridCol w:w="1345"/>
        <w:gridCol w:w="1345"/>
      </w:tblGrid>
      <w:tr w:rsidR="00B13501" w:rsidRPr="00B13501" w14:paraId="507CA1F6" w14:textId="77777777" w:rsidTr="009F7A06">
        <w:trPr>
          <w:trHeight w:val="246"/>
        </w:trPr>
        <w:tc>
          <w:tcPr>
            <w:tcW w:w="1871" w:type="dxa"/>
            <w:tcBorders>
              <w:top w:val="single" w:sz="8" w:space="0" w:color="auto"/>
              <w:left w:val="nil"/>
              <w:bottom w:val="nil"/>
              <w:right w:val="nil"/>
            </w:tcBorders>
            <w:noWrap/>
            <w:vAlign w:val="bottom"/>
            <w:hideMark/>
          </w:tcPr>
          <w:p w14:paraId="7DB23C92"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Source</w:t>
            </w:r>
          </w:p>
        </w:tc>
        <w:tc>
          <w:tcPr>
            <w:tcW w:w="1345" w:type="dxa"/>
            <w:tcBorders>
              <w:top w:val="single" w:sz="8" w:space="0" w:color="auto"/>
              <w:left w:val="nil"/>
              <w:bottom w:val="nil"/>
              <w:right w:val="nil"/>
            </w:tcBorders>
            <w:noWrap/>
            <w:vAlign w:val="bottom"/>
            <w:hideMark/>
          </w:tcPr>
          <w:p w14:paraId="39CAB735"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DF</w:t>
            </w:r>
          </w:p>
        </w:tc>
        <w:tc>
          <w:tcPr>
            <w:tcW w:w="1345" w:type="dxa"/>
            <w:tcBorders>
              <w:top w:val="single" w:sz="8" w:space="0" w:color="auto"/>
              <w:left w:val="nil"/>
              <w:bottom w:val="nil"/>
              <w:right w:val="nil"/>
            </w:tcBorders>
            <w:noWrap/>
            <w:vAlign w:val="bottom"/>
            <w:hideMark/>
          </w:tcPr>
          <w:p w14:paraId="30E343FF"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Sum of squares</w:t>
            </w:r>
          </w:p>
        </w:tc>
        <w:tc>
          <w:tcPr>
            <w:tcW w:w="1345" w:type="dxa"/>
            <w:tcBorders>
              <w:top w:val="single" w:sz="8" w:space="0" w:color="auto"/>
              <w:left w:val="nil"/>
              <w:bottom w:val="nil"/>
              <w:right w:val="nil"/>
            </w:tcBorders>
            <w:noWrap/>
            <w:vAlign w:val="bottom"/>
            <w:hideMark/>
          </w:tcPr>
          <w:p w14:paraId="19B45C04"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Mean squares</w:t>
            </w:r>
          </w:p>
        </w:tc>
        <w:tc>
          <w:tcPr>
            <w:tcW w:w="1345" w:type="dxa"/>
            <w:tcBorders>
              <w:top w:val="single" w:sz="8" w:space="0" w:color="auto"/>
              <w:left w:val="nil"/>
              <w:bottom w:val="nil"/>
              <w:right w:val="nil"/>
            </w:tcBorders>
            <w:noWrap/>
            <w:vAlign w:val="bottom"/>
            <w:hideMark/>
          </w:tcPr>
          <w:p w14:paraId="373AB8C8"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F</w:t>
            </w:r>
          </w:p>
        </w:tc>
        <w:tc>
          <w:tcPr>
            <w:tcW w:w="1345" w:type="dxa"/>
            <w:tcBorders>
              <w:top w:val="single" w:sz="8" w:space="0" w:color="auto"/>
              <w:left w:val="nil"/>
              <w:bottom w:val="nil"/>
              <w:right w:val="nil"/>
            </w:tcBorders>
            <w:noWrap/>
            <w:vAlign w:val="bottom"/>
            <w:hideMark/>
          </w:tcPr>
          <w:p w14:paraId="62CF9464"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proofErr w:type="spellStart"/>
            <w:r w:rsidRPr="00B30006">
              <w:rPr>
                <w:b/>
                <w:bCs/>
                <w:color w:val="000000"/>
                <w:kern w:val="0"/>
                <w:lang w:val="en-GB" w:eastAsia="en-GB"/>
              </w:rPr>
              <w:t>Pr</w:t>
            </w:r>
            <w:proofErr w:type="spellEnd"/>
            <w:r w:rsidRPr="00B30006">
              <w:rPr>
                <w:b/>
                <w:bCs/>
                <w:color w:val="000000"/>
                <w:kern w:val="0"/>
                <w:lang w:val="en-GB" w:eastAsia="en-GB"/>
              </w:rPr>
              <w:t xml:space="preserve"> &gt; F</w:t>
            </w:r>
          </w:p>
        </w:tc>
      </w:tr>
      <w:tr w:rsidR="00B13501" w:rsidRPr="00B13501" w14:paraId="5E9A5802" w14:textId="77777777" w:rsidTr="009F7A06">
        <w:trPr>
          <w:trHeight w:val="246"/>
        </w:trPr>
        <w:tc>
          <w:tcPr>
            <w:tcW w:w="1871" w:type="dxa"/>
            <w:tcBorders>
              <w:top w:val="single" w:sz="4" w:space="0" w:color="auto"/>
              <w:left w:val="nil"/>
              <w:bottom w:val="nil"/>
              <w:right w:val="nil"/>
            </w:tcBorders>
            <w:noWrap/>
            <w:vAlign w:val="bottom"/>
            <w:hideMark/>
          </w:tcPr>
          <w:p w14:paraId="585E27D8"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Model</w:t>
            </w:r>
          </w:p>
        </w:tc>
        <w:tc>
          <w:tcPr>
            <w:tcW w:w="1345" w:type="dxa"/>
            <w:tcBorders>
              <w:top w:val="single" w:sz="4" w:space="0" w:color="auto"/>
              <w:left w:val="nil"/>
              <w:bottom w:val="nil"/>
              <w:right w:val="nil"/>
            </w:tcBorders>
            <w:noWrap/>
            <w:vAlign w:val="bottom"/>
            <w:hideMark/>
          </w:tcPr>
          <w:p w14:paraId="2F2B5C4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5</w:t>
            </w:r>
          </w:p>
        </w:tc>
        <w:tc>
          <w:tcPr>
            <w:tcW w:w="1345" w:type="dxa"/>
            <w:tcBorders>
              <w:top w:val="single" w:sz="4" w:space="0" w:color="auto"/>
              <w:left w:val="nil"/>
              <w:bottom w:val="nil"/>
              <w:right w:val="nil"/>
            </w:tcBorders>
            <w:noWrap/>
            <w:vAlign w:val="bottom"/>
            <w:hideMark/>
          </w:tcPr>
          <w:p w14:paraId="2D7F6B8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77.815</w:t>
            </w:r>
          </w:p>
        </w:tc>
        <w:tc>
          <w:tcPr>
            <w:tcW w:w="1345" w:type="dxa"/>
            <w:tcBorders>
              <w:top w:val="single" w:sz="4" w:space="0" w:color="auto"/>
              <w:left w:val="nil"/>
              <w:bottom w:val="nil"/>
              <w:right w:val="nil"/>
            </w:tcBorders>
            <w:noWrap/>
            <w:vAlign w:val="bottom"/>
            <w:hideMark/>
          </w:tcPr>
          <w:p w14:paraId="0C4CF72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15.563</w:t>
            </w:r>
          </w:p>
        </w:tc>
        <w:tc>
          <w:tcPr>
            <w:tcW w:w="1345" w:type="dxa"/>
            <w:tcBorders>
              <w:top w:val="single" w:sz="4" w:space="0" w:color="auto"/>
              <w:left w:val="nil"/>
              <w:bottom w:val="nil"/>
              <w:right w:val="nil"/>
            </w:tcBorders>
            <w:noWrap/>
            <w:vAlign w:val="bottom"/>
            <w:hideMark/>
          </w:tcPr>
          <w:p w14:paraId="7FB3711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233.558</w:t>
            </w:r>
          </w:p>
        </w:tc>
        <w:tc>
          <w:tcPr>
            <w:tcW w:w="1345" w:type="dxa"/>
            <w:tcBorders>
              <w:top w:val="single" w:sz="4" w:space="0" w:color="auto"/>
              <w:left w:val="nil"/>
              <w:bottom w:val="nil"/>
              <w:right w:val="nil"/>
            </w:tcBorders>
            <w:noWrap/>
            <w:vAlign w:val="bottom"/>
            <w:hideMark/>
          </w:tcPr>
          <w:p w14:paraId="2206168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r>
      <w:tr w:rsidR="00B13501" w:rsidRPr="00B13501" w14:paraId="57C5D1B9" w14:textId="77777777" w:rsidTr="009F7A06">
        <w:trPr>
          <w:trHeight w:val="246"/>
        </w:trPr>
        <w:tc>
          <w:tcPr>
            <w:tcW w:w="1871" w:type="dxa"/>
            <w:tcBorders>
              <w:top w:val="nil"/>
              <w:left w:val="nil"/>
              <w:bottom w:val="nil"/>
              <w:right w:val="nil"/>
            </w:tcBorders>
            <w:noWrap/>
            <w:vAlign w:val="bottom"/>
            <w:hideMark/>
          </w:tcPr>
          <w:p w14:paraId="622F3C4F"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Error</w:t>
            </w:r>
          </w:p>
        </w:tc>
        <w:tc>
          <w:tcPr>
            <w:tcW w:w="1345" w:type="dxa"/>
            <w:tcBorders>
              <w:top w:val="nil"/>
              <w:left w:val="nil"/>
              <w:bottom w:val="nil"/>
              <w:right w:val="nil"/>
            </w:tcBorders>
            <w:noWrap/>
            <w:vAlign w:val="bottom"/>
            <w:hideMark/>
          </w:tcPr>
          <w:p w14:paraId="49299F0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105</w:t>
            </w:r>
          </w:p>
        </w:tc>
        <w:tc>
          <w:tcPr>
            <w:tcW w:w="1345" w:type="dxa"/>
            <w:tcBorders>
              <w:top w:val="nil"/>
              <w:left w:val="nil"/>
              <w:bottom w:val="nil"/>
              <w:right w:val="nil"/>
            </w:tcBorders>
            <w:noWrap/>
            <w:vAlign w:val="bottom"/>
            <w:hideMark/>
          </w:tcPr>
          <w:p w14:paraId="5CC5D05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6.997</w:t>
            </w:r>
          </w:p>
        </w:tc>
        <w:tc>
          <w:tcPr>
            <w:tcW w:w="1345" w:type="dxa"/>
            <w:tcBorders>
              <w:top w:val="nil"/>
              <w:left w:val="nil"/>
              <w:bottom w:val="nil"/>
              <w:right w:val="nil"/>
            </w:tcBorders>
            <w:noWrap/>
            <w:vAlign w:val="bottom"/>
            <w:hideMark/>
          </w:tcPr>
          <w:p w14:paraId="2BD57CE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0.067</w:t>
            </w:r>
          </w:p>
        </w:tc>
        <w:tc>
          <w:tcPr>
            <w:tcW w:w="1345" w:type="dxa"/>
            <w:tcBorders>
              <w:top w:val="nil"/>
              <w:left w:val="nil"/>
              <w:bottom w:val="nil"/>
              <w:right w:val="nil"/>
            </w:tcBorders>
            <w:noWrap/>
            <w:vAlign w:val="bottom"/>
            <w:hideMark/>
          </w:tcPr>
          <w:p w14:paraId="3826979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p>
        </w:tc>
        <w:tc>
          <w:tcPr>
            <w:tcW w:w="1345" w:type="dxa"/>
            <w:tcBorders>
              <w:top w:val="nil"/>
              <w:left w:val="nil"/>
              <w:bottom w:val="nil"/>
              <w:right w:val="nil"/>
            </w:tcBorders>
            <w:noWrap/>
            <w:vAlign w:val="bottom"/>
            <w:hideMark/>
          </w:tcPr>
          <w:p w14:paraId="3B917F1A" w14:textId="77777777" w:rsidR="00B13501" w:rsidRPr="00B13501" w:rsidRDefault="00B13501" w:rsidP="00B13501">
            <w:pPr>
              <w:widowControl/>
              <w:suppressAutoHyphens w:val="0"/>
              <w:overflowPunct/>
              <w:autoSpaceDE/>
              <w:autoSpaceDN/>
              <w:adjustRightInd/>
              <w:textAlignment w:val="auto"/>
              <w:rPr>
                <w:kern w:val="0"/>
                <w:lang w:val="en-GB" w:eastAsia="en-GB"/>
              </w:rPr>
            </w:pPr>
          </w:p>
        </w:tc>
      </w:tr>
      <w:tr w:rsidR="00B13501" w:rsidRPr="00B13501" w14:paraId="26FADC43" w14:textId="77777777" w:rsidTr="009F7A06">
        <w:trPr>
          <w:trHeight w:val="258"/>
        </w:trPr>
        <w:tc>
          <w:tcPr>
            <w:tcW w:w="1871" w:type="dxa"/>
            <w:tcBorders>
              <w:top w:val="nil"/>
              <w:left w:val="nil"/>
              <w:bottom w:val="single" w:sz="8" w:space="0" w:color="auto"/>
              <w:right w:val="nil"/>
            </w:tcBorders>
            <w:noWrap/>
            <w:vAlign w:val="bottom"/>
            <w:hideMark/>
          </w:tcPr>
          <w:p w14:paraId="5B0B98C5"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Corrected Total</w:t>
            </w:r>
          </w:p>
        </w:tc>
        <w:tc>
          <w:tcPr>
            <w:tcW w:w="1345" w:type="dxa"/>
            <w:tcBorders>
              <w:top w:val="nil"/>
              <w:left w:val="nil"/>
              <w:bottom w:val="single" w:sz="8" w:space="0" w:color="auto"/>
              <w:right w:val="nil"/>
            </w:tcBorders>
            <w:noWrap/>
            <w:vAlign w:val="bottom"/>
            <w:hideMark/>
          </w:tcPr>
          <w:p w14:paraId="66F0B35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110</w:t>
            </w:r>
          </w:p>
        </w:tc>
        <w:tc>
          <w:tcPr>
            <w:tcW w:w="1345" w:type="dxa"/>
            <w:tcBorders>
              <w:top w:val="nil"/>
              <w:left w:val="nil"/>
              <w:bottom w:val="single" w:sz="8" w:space="0" w:color="auto"/>
              <w:right w:val="nil"/>
            </w:tcBorders>
            <w:noWrap/>
            <w:vAlign w:val="bottom"/>
            <w:hideMark/>
          </w:tcPr>
          <w:p w14:paraId="3B1D723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84.812</w:t>
            </w:r>
          </w:p>
        </w:tc>
        <w:tc>
          <w:tcPr>
            <w:tcW w:w="1345" w:type="dxa"/>
            <w:tcBorders>
              <w:top w:val="nil"/>
              <w:left w:val="nil"/>
              <w:bottom w:val="single" w:sz="8" w:space="0" w:color="auto"/>
              <w:right w:val="nil"/>
            </w:tcBorders>
            <w:noWrap/>
            <w:vAlign w:val="bottom"/>
            <w:hideMark/>
          </w:tcPr>
          <w:p w14:paraId="73B37EBF"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 </w:t>
            </w:r>
          </w:p>
        </w:tc>
        <w:tc>
          <w:tcPr>
            <w:tcW w:w="1345" w:type="dxa"/>
            <w:tcBorders>
              <w:top w:val="nil"/>
              <w:left w:val="nil"/>
              <w:bottom w:val="single" w:sz="8" w:space="0" w:color="auto"/>
              <w:right w:val="nil"/>
            </w:tcBorders>
            <w:noWrap/>
            <w:vAlign w:val="bottom"/>
            <w:hideMark/>
          </w:tcPr>
          <w:p w14:paraId="48124C43"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 </w:t>
            </w:r>
          </w:p>
        </w:tc>
        <w:tc>
          <w:tcPr>
            <w:tcW w:w="1345" w:type="dxa"/>
            <w:tcBorders>
              <w:top w:val="nil"/>
              <w:left w:val="nil"/>
              <w:bottom w:val="single" w:sz="8" w:space="0" w:color="auto"/>
              <w:right w:val="nil"/>
            </w:tcBorders>
            <w:noWrap/>
            <w:vAlign w:val="bottom"/>
            <w:hideMark/>
          </w:tcPr>
          <w:p w14:paraId="01048F52"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 </w:t>
            </w:r>
          </w:p>
        </w:tc>
      </w:tr>
      <w:tr w:rsidR="00B13501" w:rsidRPr="00B13501" w14:paraId="29D5BC69" w14:textId="77777777" w:rsidTr="009F7A06">
        <w:trPr>
          <w:trHeight w:val="246"/>
        </w:trPr>
        <w:tc>
          <w:tcPr>
            <w:tcW w:w="5907" w:type="dxa"/>
            <w:gridSpan w:val="4"/>
            <w:tcBorders>
              <w:top w:val="nil"/>
              <w:left w:val="nil"/>
              <w:bottom w:val="nil"/>
              <w:right w:val="nil"/>
            </w:tcBorders>
            <w:noWrap/>
            <w:vAlign w:val="bottom"/>
            <w:hideMark/>
          </w:tcPr>
          <w:p w14:paraId="00E0B4E9" w14:textId="77777777" w:rsidR="00B13501" w:rsidRPr="00B13501" w:rsidRDefault="00B13501" w:rsidP="00B13501">
            <w:pPr>
              <w:widowControl/>
              <w:suppressAutoHyphens w:val="0"/>
              <w:overflowPunct/>
              <w:autoSpaceDE/>
              <w:autoSpaceDN/>
              <w:adjustRightInd/>
              <w:textAlignment w:val="auto"/>
              <w:rPr>
                <w:i/>
                <w:iCs/>
                <w:color w:val="000000"/>
                <w:kern w:val="0"/>
                <w:lang w:val="en-GB" w:eastAsia="en-GB"/>
              </w:rPr>
            </w:pPr>
            <w:r w:rsidRPr="00B13501">
              <w:rPr>
                <w:i/>
                <w:iCs/>
                <w:color w:val="000000"/>
                <w:kern w:val="0"/>
                <w:lang w:val="en-GB" w:eastAsia="en-GB"/>
              </w:rPr>
              <w:t>Computed against model Y=Mean(Y)</w:t>
            </w:r>
          </w:p>
        </w:tc>
        <w:tc>
          <w:tcPr>
            <w:tcW w:w="1345" w:type="dxa"/>
            <w:tcBorders>
              <w:top w:val="nil"/>
              <w:left w:val="nil"/>
              <w:bottom w:val="nil"/>
              <w:right w:val="nil"/>
            </w:tcBorders>
            <w:noWrap/>
            <w:vAlign w:val="bottom"/>
            <w:hideMark/>
          </w:tcPr>
          <w:p w14:paraId="478900F5" w14:textId="77777777" w:rsidR="00B13501" w:rsidRPr="00B13501" w:rsidRDefault="00B13501" w:rsidP="00B13501">
            <w:pPr>
              <w:widowControl/>
              <w:suppressAutoHyphens w:val="0"/>
              <w:overflowPunct/>
              <w:autoSpaceDE/>
              <w:autoSpaceDN/>
              <w:adjustRightInd/>
              <w:textAlignment w:val="auto"/>
              <w:rPr>
                <w:i/>
                <w:iCs/>
                <w:color w:val="000000"/>
                <w:kern w:val="0"/>
                <w:lang w:val="en-GB" w:eastAsia="en-GB"/>
              </w:rPr>
            </w:pPr>
          </w:p>
        </w:tc>
        <w:tc>
          <w:tcPr>
            <w:tcW w:w="1345" w:type="dxa"/>
            <w:tcBorders>
              <w:top w:val="nil"/>
              <w:left w:val="nil"/>
              <w:bottom w:val="nil"/>
              <w:right w:val="nil"/>
            </w:tcBorders>
            <w:noWrap/>
            <w:vAlign w:val="bottom"/>
            <w:hideMark/>
          </w:tcPr>
          <w:p w14:paraId="6DF6A2F0" w14:textId="77777777" w:rsidR="00B13501" w:rsidRPr="00B13501" w:rsidRDefault="00B13501" w:rsidP="00B13501">
            <w:pPr>
              <w:widowControl/>
              <w:suppressAutoHyphens w:val="0"/>
              <w:overflowPunct/>
              <w:autoSpaceDE/>
              <w:autoSpaceDN/>
              <w:adjustRightInd/>
              <w:textAlignment w:val="auto"/>
              <w:rPr>
                <w:kern w:val="0"/>
                <w:lang w:val="en-GB" w:eastAsia="en-GB"/>
              </w:rPr>
            </w:pPr>
          </w:p>
        </w:tc>
      </w:tr>
    </w:tbl>
    <w:p w14:paraId="4B2B23AB" w14:textId="0C04FA59"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5c</w:t>
      </w:r>
      <w:r w:rsidRPr="00B13501">
        <w:rPr>
          <w:kern w:val="0"/>
          <w:lang w:val="en-GB" w:eastAsia="en-US"/>
        </w:rPr>
        <w:t xml:space="preserve">: </w:t>
      </w:r>
      <w:r w:rsidR="00361ED6">
        <w:rPr>
          <w:kern w:val="0"/>
          <w:lang w:val="en-GB" w:eastAsia="en-US"/>
        </w:rPr>
        <w:t xml:space="preserve">Unstandardized </w:t>
      </w:r>
      <w:r w:rsidRPr="00B13501">
        <w:rPr>
          <w:kern w:val="0"/>
          <w:lang w:val="en-GB" w:eastAsia="en-US"/>
        </w:rPr>
        <w:t>Model Parameters</w:t>
      </w:r>
    </w:p>
    <w:tbl>
      <w:tblPr>
        <w:tblW w:w="9540" w:type="dxa"/>
        <w:tblLook w:val="04A0" w:firstRow="1" w:lastRow="0" w:firstColumn="1" w:lastColumn="0" w:noHBand="0" w:noVBand="1"/>
      </w:tblPr>
      <w:tblGrid>
        <w:gridCol w:w="1238"/>
        <w:gridCol w:w="1194"/>
        <w:gridCol w:w="1243"/>
        <w:gridCol w:w="1194"/>
        <w:gridCol w:w="1194"/>
        <w:gridCol w:w="1587"/>
        <w:gridCol w:w="1890"/>
      </w:tblGrid>
      <w:tr w:rsidR="00B13501" w:rsidRPr="00B13501" w14:paraId="113AAAFA" w14:textId="77777777" w:rsidTr="009F7A06">
        <w:trPr>
          <w:trHeight w:val="233"/>
        </w:trPr>
        <w:tc>
          <w:tcPr>
            <w:tcW w:w="1238" w:type="dxa"/>
            <w:tcBorders>
              <w:top w:val="single" w:sz="8" w:space="0" w:color="auto"/>
              <w:left w:val="nil"/>
              <w:bottom w:val="nil"/>
              <w:right w:val="nil"/>
            </w:tcBorders>
            <w:noWrap/>
            <w:vAlign w:val="bottom"/>
            <w:hideMark/>
          </w:tcPr>
          <w:p w14:paraId="51043E39"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Source</w:t>
            </w:r>
          </w:p>
        </w:tc>
        <w:tc>
          <w:tcPr>
            <w:tcW w:w="1194" w:type="dxa"/>
            <w:tcBorders>
              <w:top w:val="single" w:sz="8" w:space="0" w:color="auto"/>
              <w:left w:val="nil"/>
              <w:bottom w:val="nil"/>
              <w:right w:val="nil"/>
            </w:tcBorders>
            <w:noWrap/>
            <w:vAlign w:val="bottom"/>
            <w:hideMark/>
          </w:tcPr>
          <w:p w14:paraId="2AD3E826"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Value</w:t>
            </w:r>
          </w:p>
        </w:tc>
        <w:tc>
          <w:tcPr>
            <w:tcW w:w="1243" w:type="dxa"/>
            <w:tcBorders>
              <w:top w:val="single" w:sz="8" w:space="0" w:color="auto"/>
              <w:left w:val="nil"/>
              <w:bottom w:val="nil"/>
              <w:right w:val="nil"/>
            </w:tcBorders>
            <w:noWrap/>
            <w:vAlign w:val="bottom"/>
            <w:hideMark/>
          </w:tcPr>
          <w:p w14:paraId="1E7DD2AC"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Standard error</w:t>
            </w:r>
          </w:p>
        </w:tc>
        <w:tc>
          <w:tcPr>
            <w:tcW w:w="1194" w:type="dxa"/>
            <w:tcBorders>
              <w:top w:val="single" w:sz="8" w:space="0" w:color="auto"/>
              <w:left w:val="nil"/>
              <w:bottom w:val="nil"/>
              <w:right w:val="nil"/>
            </w:tcBorders>
            <w:noWrap/>
            <w:vAlign w:val="bottom"/>
            <w:hideMark/>
          </w:tcPr>
          <w:p w14:paraId="5C07D44B"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t</w:t>
            </w:r>
          </w:p>
        </w:tc>
        <w:tc>
          <w:tcPr>
            <w:tcW w:w="1194" w:type="dxa"/>
            <w:tcBorders>
              <w:top w:val="single" w:sz="8" w:space="0" w:color="auto"/>
              <w:left w:val="nil"/>
              <w:bottom w:val="nil"/>
              <w:right w:val="nil"/>
            </w:tcBorders>
            <w:noWrap/>
            <w:vAlign w:val="bottom"/>
            <w:hideMark/>
          </w:tcPr>
          <w:p w14:paraId="336829D9"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proofErr w:type="spellStart"/>
            <w:r w:rsidRPr="00B30006">
              <w:rPr>
                <w:b/>
                <w:bCs/>
                <w:color w:val="000000"/>
                <w:kern w:val="0"/>
                <w:lang w:val="en-GB" w:eastAsia="en-GB"/>
              </w:rPr>
              <w:t>Pr</w:t>
            </w:r>
            <w:proofErr w:type="spellEnd"/>
            <w:r w:rsidRPr="00B30006">
              <w:rPr>
                <w:b/>
                <w:bCs/>
                <w:color w:val="000000"/>
                <w:kern w:val="0"/>
                <w:lang w:val="en-GB" w:eastAsia="en-GB"/>
              </w:rPr>
              <w:t xml:space="preserve"> &gt; |t|</w:t>
            </w:r>
          </w:p>
        </w:tc>
        <w:tc>
          <w:tcPr>
            <w:tcW w:w="1587" w:type="dxa"/>
            <w:tcBorders>
              <w:top w:val="single" w:sz="8" w:space="0" w:color="auto"/>
              <w:left w:val="nil"/>
              <w:bottom w:val="nil"/>
              <w:right w:val="nil"/>
            </w:tcBorders>
            <w:noWrap/>
            <w:vAlign w:val="bottom"/>
            <w:hideMark/>
          </w:tcPr>
          <w:p w14:paraId="3E1A3330"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Lower bound (95%)</w:t>
            </w:r>
          </w:p>
        </w:tc>
        <w:tc>
          <w:tcPr>
            <w:tcW w:w="1890" w:type="dxa"/>
            <w:tcBorders>
              <w:top w:val="single" w:sz="8" w:space="0" w:color="auto"/>
              <w:left w:val="nil"/>
              <w:bottom w:val="nil"/>
              <w:right w:val="nil"/>
            </w:tcBorders>
            <w:noWrap/>
            <w:vAlign w:val="bottom"/>
            <w:hideMark/>
          </w:tcPr>
          <w:p w14:paraId="0E2A8B9C"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Upper bound (95%)</w:t>
            </w:r>
          </w:p>
        </w:tc>
      </w:tr>
      <w:tr w:rsidR="00B13501" w:rsidRPr="00B13501" w14:paraId="35A7B2E7" w14:textId="77777777" w:rsidTr="009F7A06">
        <w:trPr>
          <w:trHeight w:val="233"/>
        </w:trPr>
        <w:tc>
          <w:tcPr>
            <w:tcW w:w="1238" w:type="dxa"/>
            <w:tcBorders>
              <w:top w:val="single" w:sz="4" w:space="0" w:color="auto"/>
              <w:left w:val="nil"/>
              <w:bottom w:val="nil"/>
              <w:right w:val="nil"/>
            </w:tcBorders>
            <w:noWrap/>
            <w:vAlign w:val="bottom"/>
            <w:hideMark/>
          </w:tcPr>
          <w:p w14:paraId="12BE015B"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Intercept</w:t>
            </w:r>
          </w:p>
        </w:tc>
        <w:tc>
          <w:tcPr>
            <w:tcW w:w="1194" w:type="dxa"/>
            <w:tcBorders>
              <w:top w:val="single" w:sz="4" w:space="0" w:color="auto"/>
              <w:left w:val="nil"/>
              <w:bottom w:val="nil"/>
              <w:right w:val="nil"/>
            </w:tcBorders>
            <w:noWrap/>
            <w:vAlign w:val="bottom"/>
            <w:hideMark/>
          </w:tcPr>
          <w:p w14:paraId="1E46ACF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-0.098</w:t>
            </w:r>
          </w:p>
        </w:tc>
        <w:tc>
          <w:tcPr>
            <w:tcW w:w="1243" w:type="dxa"/>
            <w:tcBorders>
              <w:top w:val="single" w:sz="4" w:space="0" w:color="auto"/>
              <w:left w:val="nil"/>
              <w:bottom w:val="nil"/>
              <w:right w:val="nil"/>
            </w:tcBorders>
            <w:noWrap/>
            <w:vAlign w:val="bottom"/>
            <w:hideMark/>
          </w:tcPr>
          <w:p w14:paraId="18656BD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0.216</w:t>
            </w:r>
          </w:p>
        </w:tc>
        <w:tc>
          <w:tcPr>
            <w:tcW w:w="1194" w:type="dxa"/>
            <w:tcBorders>
              <w:top w:val="single" w:sz="4" w:space="0" w:color="auto"/>
              <w:left w:val="nil"/>
              <w:bottom w:val="nil"/>
              <w:right w:val="nil"/>
            </w:tcBorders>
            <w:noWrap/>
            <w:vAlign w:val="bottom"/>
            <w:hideMark/>
          </w:tcPr>
          <w:p w14:paraId="05E6421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-0.452</w:t>
            </w:r>
          </w:p>
        </w:tc>
        <w:tc>
          <w:tcPr>
            <w:tcW w:w="1194" w:type="dxa"/>
            <w:tcBorders>
              <w:top w:val="single" w:sz="4" w:space="0" w:color="auto"/>
              <w:left w:val="nil"/>
              <w:bottom w:val="nil"/>
              <w:right w:val="nil"/>
            </w:tcBorders>
            <w:noWrap/>
            <w:vAlign w:val="bottom"/>
            <w:hideMark/>
          </w:tcPr>
          <w:p w14:paraId="6D81336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0.652</w:t>
            </w:r>
          </w:p>
        </w:tc>
        <w:tc>
          <w:tcPr>
            <w:tcW w:w="1587" w:type="dxa"/>
            <w:tcBorders>
              <w:top w:val="single" w:sz="4" w:space="0" w:color="auto"/>
              <w:left w:val="nil"/>
              <w:bottom w:val="nil"/>
              <w:right w:val="nil"/>
            </w:tcBorders>
            <w:noWrap/>
            <w:vAlign w:val="bottom"/>
            <w:hideMark/>
          </w:tcPr>
          <w:p w14:paraId="109EF81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-0.526</w:t>
            </w:r>
          </w:p>
        </w:tc>
        <w:tc>
          <w:tcPr>
            <w:tcW w:w="1890" w:type="dxa"/>
            <w:tcBorders>
              <w:top w:val="single" w:sz="4" w:space="0" w:color="auto"/>
              <w:left w:val="nil"/>
              <w:bottom w:val="nil"/>
              <w:right w:val="nil"/>
            </w:tcBorders>
            <w:noWrap/>
            <w:vAlign w:val="bottom"/>
            <w:hideMark/>
          </w:tcPr>
          <w:p w14:paraId="3D9FC72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0.331</w:t>
            </w:r>
          </w:p>
        </w:tc>
      </w:tr>
      <w:tr w:rsidR="00B13501" w:rsidRPr="00B13501" w14:paraId="3D69C937" w14:textId="77777777" w:rsidTr="009F7A06">
        <w:trPr>
          <w:trHeight w:val="233"/>
        </w:trPr>
        <w:tc>
          <w:tcPr>
            <w:tcW w:w="1238" w:type="dxa"/>
            <w:tcBorders>
              <w:top w:val="nil"/>
              <w:left w:val="nil"/>
              <w:bottom w:val="nil"/>
              <w:right w:val="nil"/>
            </w:tcBorders>
            <w:noWrap/>
            <w:vAlign w:val="bottom"/>
            <w:hideMark/>
          </w:tcPr>
          <w:p w14:paraId="7D87274C"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w:t>
            </w:r>
          </w:p>
        </w:tc>
        <w:tc>
          <w:tcPr>
            <w:tcW w:w="1194" w:type="dxa"/>
            <w:tcBorders>
              <w:top w:val="nil"/>
              <w:left w:val="nil"/>
              <w:bottom w:val="nil"/>
              <w:right w:val="nil"/>
            </w:tcBorders>
            <w:noWrap/>
            <w:vAlign w:val="bottom"/>
            <w:hideMark/>
          </w:tcPr>
          <w:p w14:paraId="44FB979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-0.461</w:t>
            </w:r>
          </w:p>
        </w:tc>
        <w:tc>
          <w:tcPr>
            <w:tcW w:w="1243" w:type="dxa"/>
            <w:tcBorders>
              <w:top w:val="nil"/>
              <w:left w:val="nil"/>
              <w:bottom w:val="nil"/>
              <w:right w:val="nil"/>
            </w:tcBorders>
            <w:noWrap/>
            <w:vAlign w:val="bottom"/>
            <w:hideMark/>
          </w:tcPr>
          <w:p w14:paraId="02F2E41B"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0.113</w:t>
            </w:r>
          </w:p>
        </w:tc>
        <w:tc>
          <w:tcPr>
            <w:tcW w:w="1194" w:type="dxa"/>
            <w:tcBorders>
              <w:top w:val="nil"/>
              <w:left w:val="nil"/>
              <w:bottom w:val="nil"/>
              <w:right w:val="nil"/>
            </w:tcBorders>
            <w:noWrap/>
            <w:vAlign w:val="bottom"/>
            <w:hideMark/>
          </w:tcPr>
          <w:p w14:paraId="3B25A36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-4.084</w:t>
            </w:r>
          </w:p>
        </w:tc>
        <w:tc>
          <w:tcPr>
            <w:tcW w:w="1194" w:type="dxa"/>
            <w:tcBorders>
              <w:top w:val="nil"/>
              <w:left w:val="nil"/>
              <w:bottom w:val="nil"/>
              <w:right w:val="nil"/>
            </w:tcBorders>
            <w:noWrap/>
            <w:vAlign w:val="bottom"/>
            <w:hideMark/>
          </w:tcPr>
          <w:p w14:paraId="2DFA2D6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587" w:type="dxa"/>
            <w:tcBorders>
              <w:top w:val="nil"/>
              <w:left w:val="nil"/>
              <w:bottom w:val="nil"/>
              <w:right w:val="nil"/>
            </w:tcBorders>
            <w:noWrap/>
            <w:vAlign w:val="bottom"/>
            <w:hideMark/>
          </w:tcPr>
          <w:p w14:paraId="71AC1BA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-0.685</w:t>
            </w:r>
          </w:p>
        </w:tc>
        <w:tc>
          <w:tcPr>
            <w:tcW w:w="1890" w:type="dxa"/>
            <w:tcBorders>
              <w:top w:val="nil"/>
              <w:left w:val="nil"/>
              <w:bottom w:val="nil"/>
              <w:right w:val="nil"/>
            </w:tcBorders>
            <w:noWrap/>
            <w:vAlign w:val="bottom"/>
            <w:hideMark/>
          </w:tcPr>
          <w:p w14:paraId="72AEF7E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-0.237</w:t>
            </w:r>
          </w:p>
        </w:tc>
      </w:tr>
      <w:tr w:rsidR="00B13501" w:rsidRPr="00B13501" w14:paraId="58ECC394" w14:textId="77777777" w:rsidTr="009F7A06">
        <w:trPr>
          <w:trHeight w:val="233"/>
        </w:trPr>
        <w:tc>
          <w:tcPr>
            <w:tcW w:w="1238" w:type="dxa"/>
            <w:tcBorders>
              <w:top w:val="nil"/>
              <w:left w:val="nil"/>
              <w:bottom w:val="nil"/>
              <w:right w:val="nil"/>
            </w:tcBorders>
            <w:noWrap/>
            <w:vAlign w:val="bottom"/>
            <w:hideMark/>
          </w:tcPr>
          <w:p w14:paraId="1E590A8A"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EP</w:t>
            </w:r>
          </w:p>
        </w:tc>
        <w:tc>
          <w:tcPr>
            <w:tcW w:w="1194" w:type="dxa"/>
            <w:tcBorders>
              <w:top w:val="nil"/>
              <w:left w:val="nil"/>
              <w:bottom w:val="nil"/>
              <w:right w:val="nil"/>
            </w:tcBorders>
            <w:noWrap/>
            <w:vAlign w:val="bottom"/>
            <w:hideMark/>
          </w:tcPr>
          <w:p w14:paraId="58F6158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0.866</w:t>
            </w:r>
          </w:p>
        </w:tc>
        <w:tc>
          <w:tcPr>
            <w:tcW w:w="1243" w:type="dxa"/>
            <w:tcBorders>
              <w:top w:val="nil"/>
              <w:left w:val="nil"/>
              <w:bottom w:val="nil"/>
              <w:right w:val="nil"/>
            </w:tcBorders>
            <w:noWrap/>
            <w:vAlign w:val="bottom"/>
            <w:hideMark/>
          </w:tcPr>
          <w:p w14:paraId="73A44A6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0.145</w:t>
            </w:r>
          </w:p>
        </w:tc>
        <w:tc>
          <w:tcPr>
            <w:tcW w:w="1194" w:type="dxa"/>
            <w:tcBorders>
              <w:top w:val="nil"/>
              <w:left w:val="nil"/>
              <w:bottom w:val="nil"/>
              <w:right w:val="nil"/>
            </w:tcBorders>
            <w:noWrap/>
            <w:vAlign w:val="bottom"/>
            <w:hideMark/>
          </w:tcPr>
          <w:p w14:paraId="00C86A3B"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5.995</w:t>
            </w:r>
          </w:p>
        </w:tc>
        <w:tc>
          <w:tcPr>
            <w:tcW w:w="1194" w:type="dxa"/>
            <w:tcBorders>
              <w:top w:val="nil"/>
              <w:left w:val="nil"/>
              <w:bottom w:val="nil"/>
              <w:right w:val="nil"/>
            </w:tcBorders>
            <w:noWrap/>
            <w:vAlign w:val="bottom"/>
            <w:hideMark/>
          </w:tcPr>
          <w:p w14:paraId="23A00E1C"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587" w:type="dxa"/>
            <w:tcBorders>
              <w:top w:val="nil"/>
              <w:left w:val="nil"/>
              <w:bottom w:val="nil"/>
              <w:right w:val="nil"/>
            </w:tcBorders>
            <w:noWrap/>
            <w:vAlign w:val="bottom"/>
            <w:hideMark/>
          </w:tcPr>
          <w:p w14:paraId="4E4A163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0.580</w:t>
            </w:r>
          </w:p>
        </w:tc>
        <w:tc>
          <w:tcPr>
            <w:tcW w:w="1890" w:type="dxa"/>
            <w:tcBorders>
              <w:top w:val="nil"/>
              <w:left w:val="nil"/>
              <w:bottom w:val="nil"/>
              <w:right w:val="nil"/>
            </w:tcBorders>
            <w:noWrap/>
            <w:vAlign w:val="bottom"/>
            <w:hideMark/>
          </w:tcPr>
          <w:p w14:paraId="0B445E9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1.153</w:t>
            </w:r>
          </w:p>
        </w:tc>
      </w:tr>
      <w:tr w:rsidR="00B13501" w:rsidRPr="00B13501" w14:paraId="70180F0D" w14:textId="77777777" w:rsidTr="009F7A06">
        <w:trPr>
          <w:trHeight w:val="233"/>
        </w:trPr>
        <w:tc>
          <w:tcPr>
            <w:tcW w:w="1238" w:type="dxa"/>
            <w:tcBorders>
              <w:top w:val="nil"/>
              <w:left w:val="nil"/>
              <w:bottom w:val="nil"/>
              <w:right w:val="nil"/>
            </w:tcBorders>
            <w:noWrap/>
            <w:vAlign w:val="bottom"/>
            <w:hideMark/>
          </w:tcPr>
          <w:p w14:paraId="0E17FBFB"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EL</w:t>
            </w:r>
          </w:p>
        </w:tc>
        <w:tc>
          <w:tcPr>
            <w:tcW w:w="1194" w:type="dxa"/>
            <w:tcBorders>
              <w:top w:val="nil"/>
              <w:left w:val="nil"/>
              <w:bottom w:val="nil"/>
              <w:right w:val="nil"/>
            </w:tcBorders>
            <w:noWrap/>
            <w:vAlign w:val="bottom"/>
            <w:hideMark/>
          </w:tcPr>
          <w:p w14:paraId="492A7F4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0.217</w:t>
            </w:r>
          </w:p>
        </w:tc>
        <w:tc>
          <w:tcPr>
            <w:tcW w:w="1243" w:type="dxa"/>
            <w:tcBorders>
              <w:top w:val="nil"/>
              <w:left w:val="nil"/>
              <w:bottom w:val="nil"/>
              <w:right w:val="nil"/>
            </w:tcBorders>
            <w:noWrap/>
            <w:vAlign w:val="bottom"/>
            <w:hideMark/>
          </w:tcPr>
          <w:p w14:paraId="7E61E8B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0.229</w:t>
            </w:r>
          </w:p>
        </w:tc>
        <w:tc>
          <w:tcPr>
            <w:tcW w:w="1194" w:type="dxa"/>
            <w:tcBorders>
              <w:top w:val="nil"/>
              <w:left w:val="nil"/>
              <w:bottom w:val="nil"/>
              <w:right w:val="nil"/>
            </w:tcBorders>
            <w:noWrap/>
            <w:vAlign w:val="bottom"/>
            <w:hideMark/>
          </w:tcPr>
          <w:p w14:paraId="0D297C1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0.947</w:t>
            </w:r>
          </w:p>
        </w:tc>
        <w:tc>
          <w:tcPr>
            <w:tcW w:w="1194" w:type="dxa"/>
            <w:tcBorders>
              <w:top w:val="nil"/>
              <w:left w:val="nil"/>
              <w:bottom w:val="nil"/>
              <w:right w:val="nil"/>
            </w:tcBorders>
            <w:noWrap/>
            <w:vAlign w:val="bottom"/>
            <w:hideMark/>
          </w:tcPr>
          <w:p w14:paraId="0B8B30E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0.346</w:t>
            </w:r>
          </w:p>
        </w:tc>
        <w:tc>
          <w:tcPr>
            <w:tcW w:w="1587" w:type="dxa"/>
            <w:tcBorders>
              <w:top w:val="nil"/>
              <w:left w:val="nil"/>
              <w:bottom w:val="nil"/>
              <w:right w:val="nil"/>
            </w:tcBorders>
            <w:noWrap/>
            <w:vAlign w:val="bottom"/>
            <w:hideMark/>
          </w:tcPr>
          <w:p w14:paraId="75DF51D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-0.237</w:t>
            </w:r>
          </w:p>
        </w:tc>
        <w:tc>
          <w:tcPr>
            <w:tcW w:w="1890" w:type="dxa"/>
            <w:tcBorders>
              <w:top w:val="nil"/>
              <w:left w:val="nil"/>
              <w:bottom w:val="nil"/>
              <w:right w:val="nil"/>
            </w:tcBorders>
            <w:noWrap/>
            <w:vAlign w:val="bottom"/>
            <w:hideMark/>
          </w:tcPr>
          <w:p w14:paraId="1352F1E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0.672</w:t>
            </w:r>
          </w:p>
        </w:tc>
      </w:tr>
      <w:tr w:rsidR="00B13501" w:rsidRPr="00B13501" w14:paraId="37A8AFEB" w14:textId="77777777" w:rsidTr="009F7A06">
        <w:trPr>
          <w:trHeight w:val="233"/>
        </w:trPr>
        <w:tc>
          <w:tcPr>
            <w:tcW w:w="1238" w:type="dxa"/>
            <w:tcBorders>
              <w:top w:val="nil"/>
              <w:left w:val="nil"/>
              <w:bottom w:val="nil"/>
              <w:right w:val="nil"/>
            </w:tcBorders>
            <w:noWrap/>
            <w:vAlign w:val="bottom"/>
            <w:hideMark/>
          </w:tcPr>
          <w:p w14:paraId="66064C86"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ETS</w:t>
            </w:r>
          </w:p>
        </w:tc>
        <w:tc>
          <w:tcPr>
            <w:tcW w:w="1194" w:type="dxa"/>
            <w:tcBorders>
              <w:top w:val="nil"/>
              <w:left w:val="nil"/>
              <w:bottom w:val="nil"/>
              <w:right w:val="nil"/>
            </w:tcBorders>
            <w:noWrap/>
            <w:vAlign w:val="bottom"/>
            <w:hideMark/>
          </w:tcPr>
          <w:p w14:paraId="1AB2929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0.625</w:t>
            </w:r>
          </w:p>
        </w:tc>
        <w:tc>
          <w:tcPr>
            <w:tcW w:w="1243" w:type="dxa"/>
            <w:tcBorders>
              <w:top w:val="nil"/>
              <w:left w:val="nil"/>
              <w:bottom w:val="nil"/>
              <w:right w:val="nil"/>
            </w:tcBorders>
            <w:noWrap/>
            <w:vAlign w:val="bottom"/>
            <w:hideMark/>
          </w:tcPr>
          <w:p w14:paraId="4FAF540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0.252</w:t>
            </w:r>
          </w:p>
        </w:tc>
        <w:tc>
          <w:tcPr>
            <w:tcW w:w="1194" w:type="dxa"/>
            <w:tcBorders>
              <w:top w:val="nil"/>
              <w:left w:val="nil"/>
              <w:bottom w:val="nil"/>
              <w:right w:val="nil"/>
            </w:tcBorders>
            <w:noWrap/>
            <w:vAlign w:val="bottom"/>
            <w:hideMark/>
          </w:tcPr>
          <w:p w14:paraId="14372C7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2.479</w:t>
            </w:r>
          </w:p>
        </w:tc>
        <w:tc>
          <w:tcPr>
            <w:tcW w:w="1194" w:type="dxa"/>
            <w:tcBorders>
              <w:top w:val="nil"/>
              <w:left w:val="nil"/>
              <w:bottom w:val="nil"/>
              <w:right w:val="nil"/>
            </w:tcBorders>
            <w:noWrap/>
            <w:vAlign w:val="bottom"/>
            <w:hideMark/>
          </w:tcPr>
          <w:p w14:paraId="23B2AE1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0.015</w:t>
            </w:r>
          </w:p>
        </w:tc>
        <w:tc>
          <w:tcPr>
            <w:tcW w:w="1587" w:type="dxa"/>
            <w:tcBorders>
              <w:top w:val="nil"/>
              <w:left w:val="nil"/>
              <w:bottom w:val="nil"/>
              <w:right w:val="nil"/>
            </w:tcBorders>
            <w:noWrap/>
            <w:vAlign w:val="bottom"/>
            <w:hideMark/>
          </w:tcPr>
          <w:p w14:paraId="18CDC42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0.125</w:t>
            </w:r>
          </w:p>
        </w:tc>
        <w:tc>
          <w:tcPr>
            <w:tcW w:w="1890" w:type="dxa"/>
            <w:tcBorders>
              <w:top w:val="nil"/>
              <w:left w:val="nil"/>
              <w:bottom w:val="nil"/>
              <w:right w:val="nil"/>
            </w:tcBorders>
            <w:noWrap/>
            <w:vAlign w:val="bottom"/>
            <w:hideMark/>
          </w:tcPr>
          <w:p w14:paraId="28EA180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1.125</w:t>
            </w:r>
          </w:p>
        </w:tc>
      </w:tr>
      <w:tr w:rsidR="00B13501" w:rsidRPr="00B13501" w14:paraId="67B7FCB1" w14:textId="77777777" w:rsidTr="009F7A06">
        <w:trPr>
          <w:trHeight w:val="245"/>
        </w:trPr>
        <w:tc>
          <w:tcPr>
            <w:tcW w:w="1238" w:type="dxa"/>
            <w:tcBorders>
              <w:top w:val="nil"/>
              <w:left w:val="nil"/>
              <w:bottom w:val="single" w:sz="8" w:space="0" w:color="auto"/>
              <w:right w:val="nil"/>
            </w:tcBorders>
            <w:noWrap/>
            <w:vAlign w:val="bottom"/>
            <w:hideMark/>
          </w:tcPr>
          <w:p w14:paraId="5D718902"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ESC</w:t>
            </w:r>
          </w:p>
        </w:tc>
        <w:tc>
          <w:tcPr>
            <w:tcW w:w="1194" w:type="dxa"/>
            <w:tcBorders>
              <w:top w:val="nil"/>
              <w:left w:val="nil"/>
              <w:bottom w:val="single" w:sz="8" w:space="0" w:color="auto"/>
              <w:right w:val="nil"/>
            </w:tcBorders>
            <w:noWrap/>
            <w:vAlign w:val="bottom"/>
            <w:hideMark/>
          </w:tcPr>
          <w:p w14:paraId="67A20C3B"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-0.146</w:t>
            </w:r>
          </w:p>
        </w:tc>
        <w:tc>
          <w:tcPr>
            <w:tcW w:w="1243" w:type="dxa"/>
            <w:tcBorders>
              <w:top w:val="nil"/>
              <w:left w:val="nil"/>
              <w:bottom w:val="single" w:sz="8" w:space="0" w:color="auto"/>
              <w:right w:val="nil"/>
            </w:tcBorders>
            <w:noWrap/>
            <w:vAlign w:val="bottom"/>
            <w:hideMark/>
          </w:tcPr>
          <w:p w14:paraId="4EBC32F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0.191</w:t>
            </w:r>
          </w:p>
        </w:tc>
        <w:tc>
          <w:tcPr>
            <w:tcW w:w="1194" w:type="dxa"/>
            <w:tcBorders>
              <w:top w:val="nil"/>
              <w:left w:val="nil"/>
              <w:bottom w:val="single" w:sz="8" w:space="0" w:color="auto"/>
              <w:right w:val="nil"/>
            </w:tcBorders>
            <w:noWrap/>
            <w:vAlign w:val="bottom"/>
            <w:hideMark/>
          </w:tcPr>
          <w:p w14:paraId="24FBE70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-0.763</w:t>
            </w:r>
          </w:p>
        </w:tc>
        <w:tc>
          <w:tcPr>
            <w:tcW w:w="1194" w:type="dxa"/>
            <w:tcBorders>
              <w:top w:val="nil"/>
              <w:left w:val="nil"/>
              <w:bottom w:val="single" w:sz="8" w:space="0" w:color="auto"/>
              <w:right w:val="nil"/>
            </w:tcBorders>
            <w:noWrap/>
            <w:vAlign w:val="bottom"/>
            <w:hideMark/>
          </w:tcPr>
          <w:p w14:paraId="6EDBB5D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0.447</w:t>
            </w:r>
          </w:p>
        </w:tc>
        <w:tc>
          <w:tcPr>
            <w:tcW w:w="1587" w:type="dxa"/>
            <w:tcBorders>
              <w:top w:val="nil"/>
              <w:left w:val="nil"/>
              <w:bottom w:val="single" w:sz="8" w:space="0" w:color="auto"/>
              <w:right w:val="nil"/>
            </w:tcBorders>
            <w:noWrap/>
            <w:vAlign w:val="bottom"/>
            <w:hideMark/>
          </w:tcPr>
          <w:p w14:paraId="7DDBC3F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-0.525</w:t>
            </w:r>
          </w:p>
        </w:tc>
        <w:tc>
          <w:tcPr>
            <w:tcW w:w="1890" w:type="dxa"/>
            <w:tcBorders>
              <w:top w:val="nil"/>
              <w:left w:val="nil"/>
              <w:bottom w:val="single" w:sz="8" w:space="0" w:color="auto"/>
              <w:right w:val="nil"/>
            </w:tcBorders>
            <w:noWrap/>
            <w:vAlign w:val="bottom"/>
            <w:hideMark/>
          </w:tcPr>
          <w:p w14:paraId="72F9798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0.233</w:t>
            </w:r>
          </w:p>
        </w:tc>
      </w:tr>
    </w:tbl>
    <w:p w14:paraId="18660B9D" w14:textId="77777777"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p>
    <w:p w14:paraId="1DD83C6F" w14:textId="77777777"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5d</w:t>
      </w:r>
      <w:r w:rsidRPr="00B13501">
        <w:rPr>
          <w:kern w:val="0"/>
          <w:lang w:val="en-GB" w:eastAsia="en-US"/>
        </w:rPr>
        <w:t>: Standardized Model Parameters</w:t>
      </w:r>
    </w:p>
    <w:tbl>
      <w:tblPr>
        <w:tblW w:w="9360" w:type="dxa"/>
        <w:tblLook w:val="04A0" w:firstRow="1" w:lastRow="0" w:firstColumn="1" w:lastColumn="0" w:noHBand="0" w:noVBand="1"/>
      </w:tblPr>
      <w:tblGrid>
        <w:gridCol w:w="1180"/>
        <w:gridCol w:w="1180"/>
        <w:gridCol w:w="1229"/>
        <w:gridCol w:w="1180"/>
        <w:gridCol w:w="1180"/>
        <w:gridCol w:w="1521"/>
        <w:gridCol w:w="1890"/>
      </w:tblGrid>
      <w:tr w:rsidR="00B13501" w:rsidRPr="00B13501" w14:paraId="353F79ED" w14:textId="77777777" w:rsidTr="009F7A06">
        <w:trPr>
          <w:trHeight w:val="268"/>
        </w:trPr>
        <w:tc>
          <w:tcPr>
            <w:tcW w:w="1180" w:type="dxa"/>
            <w:tcBorders>
              <w:top w:val="single" w:sz="8" w:space="0" w:color="auto"/>
              <w:left w:val="nil"/>
              <w:bottom w:val="nil"/>
              <w:right w:val="nil"/>
            </w:tcBorders>
            <w:noWrap/>
            <w:vAlign w:val="bottom"/>
            <w:hideMark/>
          </w:tcPr>
          <w:p w14:paraId="0B934339"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Source</w:t>
            </w:r>
          </w:p>
        </w:tc>
        <w:tc>
          <w:tcPr>
            <w:tcW w:w="1180" w:type="dxa"/>
            <w:tcBorders>
              <w:top w:val="single" w:sz="8" w:space="0" w:color="auto"/>
              <w:left w:val="nil"/>
              <w:bottom w:val="nil"/>
              <w:right w:val="nil"/>
            </w:tcBorders>
            <w:noWrap/>
            <w:vAlign w:val="bottom"/>
            <w:hideMark/>
          </w:tcPr>
          <w:p w14:paraId="2B868D77"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Value</w:t>
            </w:r>
          </w:p>
        </w:tc>
        <w:tc>
          <w:tcPr>
            <w:tcW w:w="1229" w:type="dxa"/>
            <w:tcBorders>
              <w:top w:val="single" w:sz="8" w:space="0" w:color="auto"/>
              <w:left w:val="nil"/>
              <w:bottom w:val="nil"/>
              <w:right w:val="nil"/>
            </w:tcBorders>
            <w:noWrap/>
            <w:vAlign w:val="bottom"/>
            <w:hideMark/>
          </w:tcPr>
          <w:p w14:paraId="63EDEB11"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Standard error</w:t>
            </w:r>
          </w:p>
        </w:tc>
        <w:tc>
          <w:tcPr>
            <w:tcW w:w="1180" w:type="dxa"/>
            <w:tcBorders>
              <w:top w:val="single" w:sz="8" w:space="0" w:color="auto"/>
              <w:left w:val="nil"/>
              <w:bottom w:val="nil"/>
              <w:right w:val="nil"/>
            </w:tcBorders>
            <w:noWrap/>
            <w:vAlign w:val="bottom"/>
            <w:hideMark/>
          </w:tcPr>
          <w:p w14:paraId="395FC70A"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t</w:t>
            </w:r>
          </w:p>
        </w:tc>
        <w:tc>
          <w:tcPr>
            <w:tcW w:w="1180" w:type="dxa"/>
            <w:tcBorders>
              <w:top w:val="single" w:sz="8" w:space="0" w:color="auto"/>
              <w:left w:val="nil"/>
              <w:bottom w:val="nil"/>
              <w:right w:val="nil"/>
            </w:tcBorders>
            <w:noWrap/>
            <w:vAlign w:val="bottom"/>
            <w:hideMark/>
          </w:tcPr>
          <w:p w14:paraId="2A6398A3"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proofErr w:type="spellStart"/>
            <w:r w:rsidRPr="00B30006">
              <w:rPr>
                <w:b/>
                <w:bCs/>
                <w:color w:val="000000"/>
                <w:kern w:val="0"/>
                <w:lang w:val="en-GB" w:eastAsia="en-GB"/>
              </w:rPr>
              <w:t>Pr</w:t>
            </w:r>
            <w:proofErr w:type="spellEnd"/>
            <w:r w:rsidRPr="00B30006">
              <w:rPr>
                <w:b/>
                <w:bCs/>
                <w:color w:val="000000"/>
                <w:kern w:val="0"/>
                <w:lang w:val="en-GB" w:eastAsia="en-GB"/>
              </w:rPr>
              <w:t xml:space="preserve"> &gt; |t|</w:t>
            </w:r>
          </w:p>
        </w:tc>
        <w:tc>
          <w:tcPr>
            <w:tcW w:w="1521" w:type="dxa"/>
            <w:tcBorders>
              <w:top w:val="single" w:sz="8" w:space="0" w:color="auto"/>
              <w:left w:val="nil"/>
              <w:bottom w:val="nil"/>
              <w:right w:val="nil"/>
            </w:tcBorders>
            <w:noWrap/>
            <w:vAlign w:val="bottom"/>
            <w:hideMark/>
          </w:tcPr>
          <w:p w14:paraId="49E35C10"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Lower bound (95%)</w:t>
            </w:r>
          </w:p>
        </w:tc>
        <w:tc>
          <w:tcPr>
            <w:tcW w:w="1890" w:type="dxa"/>
            <w:tcBorders>
              <w:top w:val="single" w:sz="8" w:space="0" w:color="auto"/>
              <w:left w:val="nil"/>
              <w:bottom w:val="nil"/>
              <w:right w:val="nil"/>
            </w:tcBorders>
            <w:noWrap/>
            <w:vAlign w:val="bottom"/>
            <w:hideMark/>
          </w:tcPr>
          <w:p w14:paraId="324FAA27"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Upper bound (95%)</w:t>
            </w:r>
          </w:p>
        </w:tc>
      </w:tr>
      <w:tr w:rsidR="00B13501" w:rsidRPr="00B13501" w14:paraId="0C3153B7" w14:textId="77777777" w:rsidTr="009F7A06">
        <w:trPr>
          <w:trHeight w:val="268"/>
        </w:trPr>
        <w:tc>
          <w:tcPr>
            <w:tcW w:w="1180" w:type="dxa"/>
            <w:tcBorders>
              <w:top w:val="single" w:sz="4" w:space="0" w:color="auto"/>
              <w:left w:val="nil"/>
              <w:bottom w:val="nil"/>
              <w:right w:val="nil"/>
            </w:tcBorders>
            <w:noWrap/>
            <w:vAlign w:val="bottom"/>
            <w:hideMark/>
          </w:tcPr>
          <w:p w14:paraId="5F35582E"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w:t>
            </w:r>
          </w:p>
        </w:tc>
        <w:tc>
          <w:tcPr>
            <w:tcW w:w="1180" w:type="dxa"/>
            <w:tcBorders>
              <w:top w:val="single" w:sz="4" w:space="0" w:color="auto"/>
              <w:left w:val="nil"/>
              <w:bottom w:val="nil"/>
              <w:right w:val="nil"/>
            </w:tcBorders>
            <w:noWrap/>
            <w:vAlign w:val="bottom"/>
            <w:hideMark/>
          </w:tcPr>
          <w:p w14:paraId="1C84C9C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-0.543</w:t>
            </w:r>
          </w:p>
        </w:tc>
        <w:tc>
          <w:tcPr>
            <w:tcW w:w="1229" w:type="dxa"/>
            <w:tcBorders>
              <w:top w:val="single" w:sz="4" w:space="0" w:color="auto"/>
              <w:left w:val="nil"/>
              <w:bottom w:val="nil"/>
              <w:right w:val="nil"/>
            </w:tcBorders>
            <w:noWrap/>
            <w:vAlign w:val="bottom"/>
            <w:hideMark/>
          </w:tcPr>
          <w:p w14:paraId="2D3ECFA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0.133</w:t>
            </w:r>
          </w:p>
        </w:tc>
        <w:tc>
          <w:tcPr>
            <w:tcW w:w="1180" w:type="dxa"/>
            <w:tcBorders>
              <w:top w:val="single" w:sz="4" w:space="0" w:color="auto"/>
              <w:left w:val="nil"/>
              <w:bottom w:val="nil"/>
              <w:right w:val="nil"/>
            </w:tcBorders>
            <w:noWrap/>
            <w:vAlign w:val="bottom"/>
            <w:hideMark/>
          </w:tcPr>
          <w:p w14:paraId="5DB1487B"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-4.084</w:t>
            </w:r>
          </w:p>
        </w:tc>
        <w:tc>
          <w:tcPr>
            <w:tcW w:w="1180" w:type="dxa"/>
            <w:tcBorders>
              <w:top w:val="single" w:sz="4" w:space="0" w:color="auto"/>
              <w:left w:val="nil"/>
              <w:bottom w:val="nil"/>
              <w:right w:val="nil"/>
            </w:tcBorders>
            <w:noWrap/>
            <w:vAlign w:val="bottom"/>
            <w:hideMark/>
          </w:tcPr>
          <w:p w14:paraId="7536787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521" w:type="dxa"/>
            <w:tcBorders>
              <w:top w:val="single" w:sz="4" w:space="0" w:color="auto"/>
              <w:left w:val="nil"/>
              <w:bottom w:val="nil"/>
              <w:right w:val="nil"/>
            </w:tcBorders>
            <w:noWrap/>
            <w:vAlign w:val="bottom"/>
            <w:hideMark/>
          </w:tcPr>
          <w:p w14:paraId="45B848A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-0.807</w:t>
            </w:r>
          </w:p>
        </w:tc>
        <w:tc>
          <w:tcPr>
            <w:tcW w:w="1890" w:type="dxa"/>
            <w:tcBorders>
              <w:top w:val="single" w:sz="4" w:space="0" w:color="auto"/>
              <w:left w:val="nil"/>
              <w:bottom w:val="nil"/>
              <w:right w:val="nil"/>
            </w:tcBorders>
            <w:noWrap/>
            <w:vAlign w:val="bottom"/>
            <w:hideMark/>
          </w:tcPr>
          <w:p w14:paraId="49C7AC7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-0.279</w:t>
            </w:r>
          </w:p>
        </w:tc>
      </w:tr>
      <w:tr w:rsidR="00B13501" w:rsidRPr="00B13501" w14:paraId="2894EB5A" w14:textId="77777777" w:rsidTr="009F7A06">
        <w:trPr>
          <w:trHeight w:val="268"/>
        </w:trPr>
        <w:tc>
          <w:tcPr>
            <w:tcW w:w="1180" w:type="dxa"/>
            <w:tcBorders>
              <w:top w:val="nil"/>
              <w:left w:val="nil"/>
              <w:bottom w:val="nil"/>
              <w:right w:val="nil"/>
            </w:tcBorders>
            <w:noWrap/>
            <w:vAlign w:val="bottom"/>
            <w:hideMark/>
          </w:tcPr>
          <w:p w14:paraId="5B654335"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EP</w:t>
            </w:r>
          </w:p>
        </w:tc>
        <w:tc>
          <w:tcPr>
            <w:tcW w:w="1180" w:type="dxa"/>
            <w:tcBorders>
              <w:top w:val="nil"/>
              <w:left w:val="nil"/>
              <w:bottom w:val="nil"/>
              <w:right w:val="nil"/>
            </w:tcBorders>
            <w:noWrap/>
            <w:vAlign w:val="bottom"/>
            <w:hideMark/>
          </w:tcPr>
          <w:p w14:paraId="56D03D2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0.921</w:t>
            </w:r>
          </w:p>
        </w:tc>
        <w:tc>
          <w:tcPr>
            <w:tcW w:w="1229" w:type="dxa"/>
            <w:tcBorders>
              <w:top w:val="nil"/>
              <w:left w:val="nil"/>
              <w:bottom w:val="nil"/>
              <w:right w:val="nil"/>
            </w:tcBorders>
            <w:noWrap/>
            <w:vAlign w:val="bottom"/>
            <w:hideMark/>
          </w:tcPr>
          <w:p w14:paraId="0DC675B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0.154</w:t>
            </w:r>
          </w:p>
        </w:tc>
        <w:tc>
          <w:tcPr>
            <w:tcW w:w="1180" w:type="dxa"/>
            <w:tcBorders>
              <w:top w:val="nil"/>
              <w:left w:val="nil"/>
              <w:bottom w:val="nil"/>
              <w:right w:val="nil"/>
            </w:tcBorders>
            <w:noWrap/>
            <w:vAlign w:val="bottom"/>
            <w:hideMark/>
          </w:tcPr>
          <w:p w14:paraId="119E5C4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5.995</w:t>
            </w:r>
          </w:p>
        </w:tc>
        <w:tc>
          <w:tcPr>
            <w:tcW w:w="1180" w:type="dxa"/>
            <w:tcBorders>
              <w:top w:val="nil"/>
              <w:left w:val="nil"/>
              <w:bottom w:val="nil"/>
              <w:right w:val="nil"/>
            </w:tcBorders>
            <w:noWrap/>
            <w:vAlign w:val="bottom"/>
            <w:hideMark/>
          </w:tcPr>
          <w:p w14:paraId="0345BF4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521" w:type="dxa"/>
            <w:tcBorders>
              <w:top w:val="nil"/>
              <w:left w:val="nil"/>
              <w:bottom w:val="nil"/>
              <w:right w:val="nil"/>
            </w:tcBorders>
            <w:noWrap/>
            <w:vAlign w:val="bottom"/>
            <w:hideMark/>
          </w:tcPr>
          <w:p w14:paraId="25C7808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0.616</w:t>
            </w:r>
          </w:p>
        </w:tc>
        <w:tc>
          <w:tcPr>
            <w:tcW w:w="1890" w:type="dxa"/>
            <w:tcBorders>
              <w:top w:val="nil"/>
              <w:left w:val="nil"/>
              <w:bottom w:val="nil"/>
              <w:right w:val="nil"/>
            </w:tcBorders>
            <w:noWrap/>
            <w:vAlign w:val="bottom"/>
            <w:hideMark/>
          </w:tcPr>
          <w:p w14:paraId="71997E7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1.225</w:t>
            </w:r>
          </w:p>
        </w:tc>
      </w:tr>
      <w:tr w:rsidR="00B13501" w:rsidRPr="00B13501" w14:paraId="5A1588D4" w14:textId="77777777" w:rsidTr="009F7A06">
        <w:trPr>
          <w:trHeight w:val="268"/>
        </w:trPr>
        <w:tc>
          <w:tcPr>
            <w:tcW w:w="1180" w:type="dxa"/>
            <w:tcBorders>
              <w:top w:val="nil"/>
              <w:left w:val="nil"/>
              <w:bottom w:val="nil"/>
              <w:right w:val="nil"/>
            </w:tcBorders>
            <w:noWrap/>
            <w:vAlign w:val="bottom"/>
            <w:hideMark/>
          </w:tcPr>
          <w:p w14:paraId="7415B2FC"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EL</w:t>
            </w:r>
          </w:p>
        </w:tc>
        <w:tc>
          <w:tcPr>
            <w:tcW w:w="1180" w:type="dxa"/>
            <w:tcBorders>
              <w:top w:val="nil"/>
              <w:left w:val="nil"/>
              <w:bottom w:val="nil"/>
              <w:right w:val="nil"/>
            </w:tcBorders>
            <w:noWrap/>
            <w:vAlign w:val="bottom"/>
            <w:hideMark/>
          </w:tcPr>
          <w:p w14:paraId="7F805ED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0.157</w:t>
            </w:r>
          </w:p>
        </w:tc>
        <w:tc>
          <w:tcPr>
            <w:tcW w:w="1229" w:type="dxa"/>
            <w:tcBorders>
              <w:top w:val="nil"/>
              <w:left w:val="nil"/>
              <w:bottom w:val="nil"/>
              <w:right w:val="nil"/>
            </w:tcBorders>
            <w:noWrap/>
            <w:vAlign w:val="bottom"/>
            <w:hideMark/>
          </w:tcPr>
          <w:p w14:paraId="7AC32A2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0.166</w:t>
            </w:r>
          </w:p>
        </w:tc>
        <w:tc>
          <w:tcPr>
            <w:tcW w:w="1180" w:type="dxa"/>
            <w:tcBorders>
              <w:top w:val="nil"/>
              <w:left w:val="nil"/>
              <w:bottom w:val="nil"/>
              <w:right w:val="nil"/>
            </w:tcBorders>
            <w:noWrap/>
            <w:vAlign w:val="bottom"/>
            <w:hideMark/>
          </w:tcPr>
          <w:p w14:paraId="2C35287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0.947</w:t>
            </w:r>
          </w:p>
        </w:tc>
        <w:tc>
          <w:tcPr>
            <w:tcW w:w="1180" w:type="dxa"/>
            <w:tcBorders>
              <w:top w:val="nil"/>
              <w:left w:val="nil"/>
              <w:bottom w:val="nil"/>
              <w:right w:val="nil"/>
            </w:tcBorders>
            <w:noWrap/>
            <w:vAlign w:val="bottom"/>
            <w:hideMark/>
          </w:tcPr>
          <w:p w14:paraId="0E5DE7F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0.346</w:t>
            </w:r>
          </w:p>
        </w:tc>
        <w:tc>
          <w:tcPr>
            <w:tcW w:w="1521" w:type="dxa"/>
            <w:tcBorders>
              <w:top w:val="nil"/>
              <w:left w:val="nil"/>
              <w:bottom w:val="nil"/>
              <w:right w:val="nil"/>
            </w:tcBorders>
            <w:noWrap/>
            <w:vAlign w:val="bottom"/>
            <w:hideMark/>
          </w:tcPr>
          <w:p w14:paraId="439807C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-0.172</w:t>
            </w:r>
          </w:p>
        </w:tc>
        <w:tc>
          <w:tcPr>
            <w:tcW w:w="1890" w:type="dxa"/>
            <w:tcBorders>
              <w:top w:val="nil"/>
              <w:left w:val="nil"/>
              <w:bottom w:val="nil"/>
              <w:right w:val="nil"/>
            </w:tcBorders>
            <w:noWrap/>
            <w:vAlign w:val="bottom"/>
            <w:hideMark/>
          </w:tcPr>
          <w:p w14:paraId="3A6F477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0.486</w:t>
            </w:r>
          </w:p>
        </w:tc>
      </w:tr>
      <w:tr w:rsidR="00B13501" w:rsidRPr="00B13501" w14:paraId="124A8FEC" w14:textId="77777777" w:rsidTr="009F7A06">
        <w:trPr>
          <w:trHeight w:val="268"/>
        </w:trPr>
        <w:tc>
          <w:tcPr>
            <w:tcW w:w="1180" w:type="dxa"/>
            <w:tcBorders>
              <w:top w:val="nil"/>
              <w:left w:val="nil"/>
              <w:bottom w:val="nil"/>
              <w:right w:val="nil"/>
            </w:tcBorders>
            <w:noWrap/>
            <w:vAlign w:val="bottom"/>
            <w:hideMark/>
          </w:tcPr>
          <w:p w14:paraId="072F1CBD"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ETS</w:t>
            </w:r>
          </w:p>
        </w:tc>
        <w:tc>
          <w:tcPr>
            <w:tcW w:w="1180" w:type="dxa"/>
            <w:tcBorders>
              <w:top w:val="nil"/>
              <w:left w:val="nil"/>
              <w:bottom w:val="nil"/>
              <w:right w:val="nil"/>
            </w:tcBorders>
            <w:noWrap/>
            <w:vAlign w:val="bottom"/>
            <w:hideMark/>
          </w:tcPr>
          <w:p w14:paraId="356E2B7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0.532</w:t>
            </w:r>
          </w:p>
        </w:tc>
        <w:tc>
          <w:tcPr>
            <w:tcW w:w="1229" w:type="dxa"/>
            <w:tcBorders>
              <w:top w:val="nil"/>
              <w:left w:val="nil"/>
              <w:bottom w:val="nil"/>
              <w:right w:val="nil"/>
            </w:tcBorders>
            <w:noWrap/>
            <w:vAlign w:val="bottom"/>
            <w:hideMark/>
          </w:tcPr>
          <w:p w14:paraId="5E8665E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0.215</w:t>
            </w:r>
          </w:p>
        </w:tc>
        <w:tc>
          <w:tcPr>
            <w:tcW w:w="1180" w:type="dxa"/>
            <w:tcBorders>
              <w:top w:val="nil"/>
              <w:left w:val="nil"/>
              <w:bottom w:val="nil"/>
              <w:right w:val="nil"/>
            </w:tcBorders>
            <w:noWrap/>
            <w:vAlign w:val="bottom"/>
            <w:hideMark/>
          </w:tcPr>
          <w:p w14:paraId="64FFF11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2.479</w:t>
            </w:r>
          </w:p>
        </w:tc>
        <w:tc>
          <w:tcPr>
            <w:tcW w:w="1180" w:type="dxa"/>
            <w:tcBorders>
              <w:top w:val="nil"/>
              <w:left w:val="nil"/>
              <w:bottom w:val="nil"/>
              <w:right w:val="nil"/>
            </w:tcBorders>
            <w:noWrap/>
            <w:vAlign w:val="bottom"/>
            <w:hideMark/>
          </w:tcPr>
          <w:p w14:paraId="49D0AC3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0.015</w:t>
            </w:r>
          </w:p>
        </w:tc>
        <w:tc>
          <w:tcPr>
            <w:tcW w:w="1521" w:type="dxa"/>
            <w:tcBorders>
              <w:top w:val="nil"/>
              <w:left w:val="nil"/>
              <w:bottom w:val="nil"/>
              <w:right w:val="nil"/>
            </w:tcBorders>
            <w:noWrap/>
            <w:vAlign w:val="bottom"/>
            <w:hideMark/>
          </w:tcPr>
          <w:p w14:paraId="656C726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0.107</w:t>
            </w:r>
          </w:p>
        </w:tc>
        <w:tc>
          <w:tcPr>
            <w:tcW w:w="1890" w:type="dxa"/>
            <w:tcBorders>
              <w:top w:val="nil"/>
              <w:left w:val="nil"/>
              <w:bottom w:val="nil"/>
              <w:right w:val="nil"/>
            </w:tcBorders>
            <w:noWrap/>
            <w:vAlign w:val="bottom"/>
            <w:hideMark/>
          </w:tcPr>
          <w:p w14:paraId="0C6ED0B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0.958</w:t>
            </w:r>
          </w:p>
        </w:tc>
      </w:tr>
      <w:tr w:rsidR="00B13501" w:rsidRPr="00B13501" w14:paraId="66AD3737" w14:textId="77777777" w:rsidTr="009F7A06">
        <w:trPr>
          <w:trHeight w:val="281"/>
        </w:trPr>
        <w:tc>
          <w:tcPr>
            <w:tcW w:w="1180" w:type="dxa"/>
            <w:tcBorders>
              <w:top w:val="nil"/>
              <w:left w:val="nil"/>
              <w:bottom w:val="single" w:sz="8" w:space="0" w:color="auto"/>
              <w:right w:val="nil"/>
            </w:tcBorders>
            <w:noWrap/>
            <w:vAlign w:val="bottom"/>
            <w:hideMark/>
          </w:tcPr>
          <w:p w14:paraId="517FF91F"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ESC</w:t>
            </w:r>
          </w:p>
        </w:tc>
        <w:tc>
          <w:tcPr>
            <w:tcW w:w="1180" w:type="dxa"/>
            <w:tcBorders>
              <w:top w:val="nil"/>
              <w:left w:val="nil"/>
              <w:bottom w:val="single" w:sz="8" w:space="0" w:color="auto"/>
              <w:right w:val="nil"/>
            </w:tcBorders>
            <w:noWrap/>
            <w:vAlign w:val="bottom"/>
            <w:hideMark/>
          </w:tcPr>
          <w:p w14:paraId="3584F06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-0.129</w:t>
            </w:r>
          </w:p>
        </w:tc>
        <w:tc>
          <w:tcPr>
            <w:tcW w:w="1229" w:type="dxa"/>
            <w:tcBorders>
              <w:top w:val="nil"/>
              <w:left w:val="nil"/>
              <w:bottom w:val="single" w:sz="8" w:space="0" w:color="auto"/>
              <w:right w:val="nil"/>
            </w:tcBorders>
            <w:noWrap/>
            <w:vAlign w:val="bottom"/>
            <w:hideMark/>
          </w:tcPr>
          <w:p w14:paraId="4808817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0.170</w:t>
            </w:r>
          </w:p>
        </w:tc>
        <w:tc>
          <w:tcPr>
            <w:tcW w:w="1180" w:type="dxa"/>
            <w:tcBorders>
              <w:top w:val="nil"/>
              <w:left w:val="nil"/>
              <w:bottom w:val="single" w:sz="8" w:space="0" w:color="auto"/>
              <w:right w:val="nil"/>
            </w:tcBorders>
            <w:noWrap/>
            <w:vAlign w:val="bottom"/>
            <w:hideMark/>
          </w:tcPr>
          <w:p w14:paraId="095B22A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-0.763</w:t>
            </w:r>
          </w:p>
        </w:tc>
        <w:tc>
          <w:tcPr>
            <w:tcW w:w="1180" w:type="dxa"/>
            <w:tcBorders>
              <w:top w:val="nil"/>
              <w:left w:val="nil"/>
              <w:bottom w:val="single" w:sz="8" w:space="0" w:color="auto"/>
              <w:right w:val="nil"/>
            </w:tcBorders>
            <w:noWrap/>
            <w:vAlign w:val="bottom"/>
            <w:hideMark/>
          </w:tcPr>
          <w:p w14:paraId="084CF62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0.447</w:t>
            </w:r>
          </w:p>
        </w:tc>
        <w:tc>
          <w:tcPr>
            <w:tcW w:w="1521" w:type="dxa"/>
            <w:tcBorders>
              <w:top w:val="nil"/>
              <w:left w:val="nil"/>
              <w:bottom w:val="single" w:sz="8" w:space="0" w:color="auto"/>
              <w:right w:val="nil"/>
            </w:tcBorders>
            <w:noWrap/>
            <w:vAlign w:val="bottom"/>
            <w:hideMark/>
          </w:tcPr>
          <w:p w14:paraId="0B8CD4D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-0.466</w:t>
            </w:r>
          </w:p>
        </w:tc>
        <w:tc>
          <w:tcPr>
            <w:tcW w:w="1890" w:type="dxa"/>
            <w:tcBorders>
              <w:top w:val="nil"/>
              <w:left w:val="nil"/>
              <w:bottom w:val="single" w:sz="8" w:space="0" w:color="auto"/>
              <w:right w:val="nil"/>
            </w:tcBorders>
            <w:noWrap/>
            <w:vAlign w:val="bottom"/>
            <w:hideMark/>
          </w:tcPr>
          <w:p w14:paraId="34CE3AA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0.207</w:t>
            </w:r>
          </w:p>
        </w:tc>
      </w:tr>
    </w:tbl>
    <w:p w14:paraId="1E2C204F" w14:textId="77777777" w:rsidR="00B13501" w:rsidRPr="00B13501" w:rsidRDefault="00B13501" w:rsidP="00B13501">
      <w:pPr>
        <w:widowControl/>
        <w:suppressAutoHyphens w:val="0"/>
        <w:overflowPunct/>
        <w:autoSpaceDE/>
        <w:autoSpaceDN/>
        <w:adjustRightInd/>
        <w:spacing w:after="160"/>
        <w:jc w:val="both"/>
        <w:textAlignment w:val="auto"/>
        <w:rPr>
          <w:b/>
          <w:bCs/>
          <w:kern w:val="0"/>
          <w:lang w:val="en-GB" w:eastAsia="en-US"/>
        </w:rPr>
      </w:pPr>
    </w:p>
    <w:p w14:paraId="1DE03CAF" w14:textId="03DC9337" w:rsidR="00B13501" w:rsidRPr="00B13501" w:rsidRDefault="00B13501" w:rsidP="00B13501">
      <w:pPr>
        <w:widowControl/>
        <w:suppressAutoHyphens w:val="0"/>
        <w:overflowPunct/>
        <w:autoSpaceDE/>
        <w:autoSpaceDN/>
        <w:adjustRightInd/>
        <w:spacing w:after="160"/>
        <w:jc w:val="both"/>
        <w:textAlignment w:val="auto"/>
        <w:rPr>
          <w:b/>
          <w:bCs/>
          <w:kern w:val="0"/>
          <w:lang w:val="en-GB" w:eastAsia="en-US"/>
        </w:rPr>
      </w:pPr>
      <w:r w:rsidRPr="00B13501">
        <w:rPr>
          <w:b/>
          <w:bCs/>
          <w:kern w:val="0"/>
          <w:lang w:val="en-GB" w:eastAsia="en-US"/>
        </w:rPr>
        <w:t xml:space="preserve">3.5.2 </w:t>
      </w:r>
      <w:r w:rsidRPr="00B13501">
        <w:rPr>
          <w:rFonts w:eastAsia="Calibri"/>
          <w:b/>
          <w:kern w:val="0"/>
          <w:lang w:val="en-GB" w:eastAsia="en-US"/>
        </w:rPr>
        <w:t>Multi-linear regression model for impact of emergency preparedness factors on responsiveness</w:t>
      </w:r>
    </w:p>
    <w:p w14:paraId="3E84D214" w14:textId="1C4A6648"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lastRenderedPageBreak/>
        <w:t>For the responsiveness model, Table 6a show</w:t>
      </w:r>
      <w:r w:rsidR="00B30006">
        <w:rPr>
          <w:kern w:val="0"/>
          <w:lang w:val="en-GB" w:eastAsia="en-US"/>
        </w:rPr>
        <w:t>ed</w:t>
      </w:r>
      <w:r w:rsidRPr="00B13501">
        <w:rPr>
          <w:kern w:val="0"/>
          <w:lang w:val="en-GB" w:eastAsia="en-US"/>
        </w:rPr>
        <w:t xml:space="preserve"> excellent goodness of fit with an R² value of 0.939, indicating that emergency preparedness measures explain 93.9% of the variability in responsiveness. The Durbin-Watson statistic of 0.486 suggests some positive autocorrelation.</w:t>
      </w:r>
    </w:p>
    <w:p w14:paraId="087C0E34" w14:textId="75D8575B"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The ANOVA results in Table 6b confirm the model's statistical significance (</w:t>
      </w:r>
      <w:r w:rsidR="001A4E48">
        <w:rPr>
          <w:kern w:val="0"/>
          <w:lang w:val="en-GB" w:eastAsia="en-US"/>
        </w:rPr>
        <w:t>D</w:t>
      </w:r>
      <w:r w:rsidRPr="00B13501">
        <w:rPr>
          <w:kern w:val="0"/>
          <w:lang w:val="en-GB" w:eastAsia="en-US"/>
        </w:rPr>
        <w:t>F (5, 105) = 321.451, p &lt; 0.0001), indicating that emergency preparedness measures collectively have a significant impact on responsiveness.</w:t>
      </w:r>
    </w:p>
    <w:p w14:paraId="1A399891" w14:textId="3A14B24C"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The unstandardized coefficients in Table 6c show</w:t>
      </w:r>
      <w:r w:rsidR="00CA2DE5">
        <w:rPr>
          <w:kern w:val="0"/>
          <w:lang w:val="en-GB" w:eastAsia="en-US"/>
        </w:rPr>
        <w:t>ed</w:t>
      </w:r>
      <w:r w:rsidRPr="00B13501">
        <w:rPr>
          <w:kern w:val="0"/>
          <w:lang w:val="en-GB" w:eastAsia="en-US"/>
        </w:rPr>
        <w:t xml:space="preserve"> that all emergency preparedness measures had </w:t>
      </w:r>
      <w:r w:rsidR="00B30006">
        <w:rPr>
          <w:kern w:val="0"/>
          <w:lang w:val="en-GB" w:eastAsia="en-US"/>
        </w:rPr>
        <w:t>p</w:t>
      </w:r>
      <w:r w:rsidR="001A4E48">
        <w:rPr>
          <w:kern w:val="0"/>
          <w:lang w:val="en-GB" w:eastAsia="en-US"/>
        </w:rPr>
        <w:t xml:space="preserve">ositive </w:t>
      </w:r>
      <w:r w:rsidRPr="00B13501">
        <w:rPr>
          <w:kern w:val="0"/>
          <w:lang w:val="en-GB" w:eastAsia="en-US"/>
        </w:rPr>
        <w:t>significant impact on responsiveness</w:t>
      </w:r>
      <w:r w:rsidR="001A4E48">
        <w:rPr>
          <w:kern w:val="0"/>
          <w:lang w:val="en-GB" w:eastAsia="en-US"/>
        </w:rPr>
        <w:t xml:space="preserve"> except </w:t>
      </w:r>
      <w:r w:rsidR="00B30006">
        <w:rPr>
          <w:kern w:val="0"/>
          <w:lang w:val="en-GB" w:eastAsia="en-US"/>
        </w:rPr>
        <w:t>l</w:t>
      </w:r>
      <w:r w:rsidR="001A4E48">
        <w:rPr>
          <w:kern w:val="0"/>
          <w:lang w:val="en-GB" w:eastAsia="en-US"/>
        </w:rPr>
        <w:t>ogistics that ha</w:t>
      </w:r>
      <w:r w:rsidR="00324D9E">
        <w:rPr>
          <w:kern w:val="0"/>
          <w:lang w:val="en-GB" w:eastAsia="en-US"/>
        </w:rPr>
        <w:t>d a</w:t>
      </w:r>
      <w:r w:rsidR="001A4E48">
        <w:rPr>
          <w:kern w:val="0"/>
          <w:lang w:val="en-GB" w:eastAsia="en-US"/>
        </w:rPr>
        <w:t xml:space="preserve"> </w:t>
      </w:r>
      <w:r w:rsidR="00B30006">
        <w:rPr>
          <w:kern w:val="0"/>
          <w:lang w:val="en-GB" w:eastAsia="en-US"/>
        </w:rPr>
        <w:t>n</w:t>
      </w:r>
      <w:r w:rsidR="001A4E48">
        <w:rPr>
          <w:kern w:val="0"/>
          <w:lang w:val="en-GB" w:eastAsia="en-US"/>
        </w:rPr>
        <w:t xml:space="preserve">egative </w:t>
      </w:r>
      <w:r w:rsidR="001A4E48" w:rsidRPr="00CA2DE5">
        <w:rPr>
          <w:kern w:val="0"/>
          <w:lang w:val="en-GB" w:eastAsia="en-US"/>
        </w:rPr>
        <w:t>significant impact</w:t>
      </w:r>
      <w:r w:rsidR="00B30006" w:rsidRPr="00CA2DE5">
        <w:rPr>
          <w:kern w:val="0"/>
          <w:lang w:val="en-GB" w:eastAsia="en-US"/>
        </w:rPr>
        <w:t>. E</w:t>
      </w:r>
      <w:r w:rsidRPr="00CA2DE5">
        <w:rPr>
          <w:kern w:val="0"/>
          <w:lang w:val="en-GB" w:eastAsia="en-US"/>
        </w:rPr>
        <w:t>mergency</w:t>
      </w:r>
      <w:r w:rsidRPr="00B13501">
        <w:rPr>
          <w:kern w:val="0"/>
          <w:lang w:val="en-GB" w:eastAsia="en-US"/>
        </w:rPr>
        <w:t xml:space="preserve"> training </w:t>
      </w:r>
      <w:r w:rsidR="00FC4ADC">
        <w:rPr>
          <w:kern w:val="0"/>
          <w:lang w:val="en-GB" w:eastAsia="en-US"/>
        </w:rPr>
        <w:t xml:space="preserve">had </w:t>
      </w:r>
      <w:r w:rsidRPr="00B13501">
        <w:rPr>
          <w:kern w:val="0"/>
          <w:lang w:val="en-GB" w:eastAsia="en-US"/>
        </w:rPr>
        <w:t>(β = 0.373, p &lt; 0.0001), emergency planning (β = 0.403, p = 0.001), emergency logistics (β = -0.835, p &lt; 0.0001), emergency triage system (β = 0.413, p = 0.043), and emergency surge capacity (β = 0.315, p = 0.042).</w:t>
      </w:r>
    </w:p>
    <w:p w14:paraId="2E9EA494" w14:textId="24AEFD1F"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The standardized coefficients in Table 6d reveal</w:t>
      </w:r>
      <w:r w:rsidR="00CA2DE5">
        <w:rPr>
          <w:kern w:val="0"/>
          <w:lang w:val="en-GB" w:eastAsia="en-US"/>
        </w:rPr>
        <w:t>ed</w:t>
      </w:r>
      <w:r w:rsidRPr="00B13501">
        <w:rPr>
          <w:kern w:val="0"/>
          <w:lang w:val="en-GB" w:eastAsia="en-US"/>
        </w:rPr>
        <w:t xml:space="preserve"> that emergency training had the strongest positive impact (β = 0.473), followed by emergency planning (β = 0.461) and emergency triage system (β = 0.378). Emergency logistics showed a strong negative effect (β = -0.650), while surge capacity had a moderate positive impact (β = 0.301). These results suggest that while improvements in training, planning, and triage systems would enhance response quality, increased logistics complexity might temporarily reduce responsiveness. These results aligned with work of Abdulsalam et al. (2016) who, in their study emphasized that standardization of emergency preparedness protocols across healthcare facilities improves overall emergency response effectiveness. Secondly, the moderate scores in surge capacity and triage systems indicate</w:t>
      </w:r>
      <w:r w:rsidR="00CA2DE5">
        <w:rPr>
          <w:kern w:val="0"/>
          <w:lang w:val="en-GB" w:eastAsia="en-US"/>
        </w:rPr>
        <w:t xml:space="preserve">d </w:t>
      </w:r>
      <w:r w:rsidRPr="00B13501">
        <w:rPr>
          <w:kern w:val="0"/>
          <w:lang w:val="en-GB" w:eastAsia="en-US"/>
        </w:rPr>
        <w:t>potential vulnerabilities in the healthcare system's ability to handle mass casualty incidents. This a</w:t>
      </w:r>
      <w:r w:rsidR="00CA2DE5">
        <w:rPr>
          <w:kern w:val="0"/>
          <w:lang w:val="en-GB" w:eastAsia="en-US"/>
        </w:rPr>
        <w:t>grees</w:t>
      </w:r>
      <w:r w:rsidRPr="00B13501">
        <w:rPr>
          <w:kern w:val="0"/>
          <w:lang w:val="en-GB" w:eastAsia="en-US"/>
        </w:rPr>
        <w:t xml:space="preserve"> with findings from Simon et al. (2019) who identified similar complexity in their assessment of hospital emergency preparedness and response. These </w:t>
      </w:r>
      <w:r w:rsidRPr="00B13501">
        <w:t>results aligned with the work of Hart et al. (2023b) who in their work revealed responsiveness was affected negatively but insignificant by planning and logistics, but positively and significantly by level of training</w:t>
      </w:r>
    </w:p>
    <w:p w14:paraId="171C9A8F" w14:textId="77777777"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6a</w:t>
      </w:r>
      <w:r w:rsidRPr="00B13501">
        <w:rPr>
          <w:kern w:val="0"/>
          <w:lang w:val="en-GB" w:eastAsia="en-US"/>
        </w:rPr>
        <w:t>: Goodness of Fit</w:t>
      </w:r>
    </w:p>
    <w:tbl>
      <w:tblPr>
        <w:tblW w:w="4048" w:type="dxa"/>
        <w:tblLook w:val="04A0" w:firstRow="1" w:lastRow="0" w:firstColumn="1" w:lastColumn="0" w:noHBand="0" w:noVBand="1"/>
      </w:tblPr>
      <w:tblGrid>
        <w:gridCol w:w="2372"/>
        <w:gridCol w:w="1676"/>
      </w:tblGrid>
      <w:tr w:rsidR="00B13501" w:rsidRPr="00B13501" w14:paraId="79E1FAC9" w14:textId="77777777" w:rsidTr="009F7A06">
        <w:trPr>
          <w:trHeight w:val="288"/>
        </w:trPr>
        <w:tc>
          <w:tcPr>
            <w:tcW w:w="2372" w:type="dxa"/>
            <w:tcBorders>
              <w:top w:val="single" w:sz="8" w:space="0" w:color="auto"/>
              <w:left w:val="nil"/>
              <w:bottom w:val="nil"/>
              <w:right w:val="nil"/>
            </w:tcBorders>
            <w:noWrap/>
            <w:vAlign w:val="bottom"/>
            <w:hideMark/>
          </w:tcPr>
          <w:p w14:paraId="3F621CCB"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Observations</w:t>
            </w:r>
          </w:p>
        </w:tc>
        <w:tc>
          <w:tcPr>
            <w:tcW w:w="1676" w:type="dxa"/>
            <w:tcBorders>
              <w:top w:val="single" w:sz="8" w:space="0" w:color="auto"/>
              <w:left w:val="nil"/>
              <w:bottom w:val="nil"/>
              <w:right w:val="nil"/>
            </w:tcBorders>
            <w:noWrap/>
            <w:vAlign w:val="bottom"/>
            <w:hideMark/>
          </w:tcPr>
          <w:p w14:paraId="31F75E1B"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111.000</w:t>
            </w:r>
          </w:p>
        </w:tc>
      </w:tr>
      <w:tr w:rsidR="00B13501" w:rsidRPr="00B13501" w14:paraId="4C73882A" w14:textId="77777777" w:rsidTr="009F7A06">
        <w:trPr>
          <w:trHeight w:val="288"/>
        </w:trPr>
        <w:tc>
          <w:tcPr>
            <w:tcW w:w="2372" w:type="dxa"/>
            <w:tcBorders>
              <w:top w:val="nil"/>
              <w:left w:val="nil"/>
              <w:bottom w:val="nil"/>
              <w:right w:val="nil"/>
            </w:tcBorders>
            <w:noWrap/>
            <w:vAlign w:val="bottom"/>
            <w:hideMark/>
          </w:tcPr>
          <w:p w14:paraId="6D5EEE13"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Sum of weights</w:t>
            </w:r>
          </w:p>
        </w:tc>
        <w:tc>
          <w:tcPr>
            <w:tcW w:w="1676" w:type="dxa"/>
            <w:tcBorders>
              <w:top w:val="nil"/>
              <w:left w:val="nil"/>
              <w:bottom w:val="nil"/>
              <w:right w:val="nil"/>
            </w:tcBorders>
            <w:noWrap/>
            <w:vAlign w:val="bottom"/>
            <w:hideMark/>
          </w:tcPr>
          <w:p w14:paraId="6DE02EE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111.000</w:t>
            </w:r>
          </w:p>
        </w:tc>
      </w:tr>
      <w:tr w:rsidR="00B13501" w:rsidRPr="00B13501" w14:paraId="5C91BA2A" w14:textId="77777777" w:rsidTr="009F7A06">
        <w:trPr>
          <w:trHeight w:val="288"/>
        </w:trPr>
        <w:tc>
          <w:tcPr>
            <w:tcW w:w="2372" w:type="dxa"/>
            <w:tcBorders>
              <w:top w:val="nil"/>
              <w:left w:val="nil"/>
              <w:bottom w:val="nil"/>
              <w:right w:val="nil"/>
            </w:tcBorders>
            <w:noWrap/>
            <w:vAlign w:val="bottom"/>
            <w:hideMark/>
          </w:tcPr>
          <w:p w14:paraId="073B9B0A"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DF</w:t>
            </w:r>
          </w:p>
        </w:tc>
        <w:tc>
          <w:tcPr>
            <w:tcW w:w="1676" w:type="dxa"/>
            <w:tcBorders>
              <w:top w:val="nil"/>
              <w:left w:val="nil"/>
              <w:bottom w:val="nil"/>
              <w:right w:val="nil"/>
            </w:tcBorders>
            <w:noWrap/>
            <w:vAlign w:val="bottom"/>
            <w:hideMark/>
          </w:tcPr>
          <w:p w14:paraId="14B771B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105.000</w:t>
            </w:r>
          </w:p>
        </w:tc>
      </w:tr>
      <w:tr w:rsidR="00B13501" w:rsidRPr="00B13501" w14:paraId="25668DC0" w14:textId="77777777" w:rsidTr="009F7A06">
        <w:trPr>
          <w:trHeight w:val="288"/>
        </w:trPr>
        <w:tc>
          <w:tcPr>
            <w:tcW w:w="2372" w:type="dxa"/>
            <w:tcBorders>
              <w:top w:val="nil"/>
              <w:left w:val="nil"/>
              <w:bottom w:val="nil"/>
              <w:right w:val="nil"/>
            </w:tcBorders>
            <w:noWrap/>
            <w:vAlign w:val="bottom"/>
            <w:hideMark/>
          </w:tcPr>
          <w:p w14:paraId="5D9FCACD"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R²</w:t>
            </w:r>
          </w:p>
        </w:tc>
        <w:tc>
          <w:tcPr>
            <w:tcW w:w="1676" w:type="dxa"/>
            <w:tcBorders>
              <w:top w:val="nil"/>
              <w:left w:val="nil"/>
              <w:bottom w:val="nil"/>
              <w:right w:val="nil"/>
            </w:tcBorders>
            <w:noWrap/>
            <w:vAlign w:val="bottom"/>
            <w:hideMark/>
          </w:tcPr>
          <w:p w14:paraId="563409B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0.939</w:t>
            </w:r>
          </w:p>
        </w:tc>
      </w:tr>
      <w:tr w:rsidR="00B13501" w:rsidRPr="00B13501" w14:paraId="01BB8F8C" w14:textId="77777777" w:rsidTr="009F7A06">
        <w:trPr>
          <w:trHeight w:val="288"/>
        </w:trPr>
        <w:tc>
          <w:tcPr>
            <w:tcW w:w="2372" w:type="dxa"/>
            <w:tcBorders>
              <w:top w:val="nil"/>
              <w:left w:val="nil"/>
              <w:bottom w:val="nil"/>
              <w:right w:val="nil"/>
            </w:tcBorders>
            <w:noWrap/>
            <w:vAlign w:val="bottom"/>
            <w:hideMark/>
          </w:tcPr>
          <w:p w14:paraId="6A58BC6A"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Adjusted R²</w:t>
            </w:r>
          </w:p>
        </w:tc>
        <w:tc>
          <w:tcPr>
            <w:tcW w:w="1676" w:type="dxa"/>
            <w:tcBorders>
              <w:top w:val="nil"/>
              <w:left w:val="nil"/>
              <w:bottom w:val="nil"/>
              <w:right w:val="nil"/>
            </w:tcBorders>
            <w:noWrap/>
            <w:vAlign w:val="bottom"/>
            <w:hideMark/>
          </w:tcPr>
          <w:p w14:paraId="69411B2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0.936</w:t>
            </w:r>
          </w:p>
        </w:tc>
      </w:tr>
      <w:tr w:rsidR="00B13501" w:rsidRPr="00B13501" w14:paraId="481B2EFB" w14:textId="77777777" w:rsidTr="009F7A06">
        <w:trPr>
          <w:trHeight w:val="288"/>
        </w:trPr>
        <w:tc>
          <w:tcPr>
            <w:tcW w:w="2372" w:type="dxa"/>
            <w:tcBorders>
              <w:top w:val="nil"/>
              <w:left w:val="nil"/>
              <w:bottom w:val="nil"/>
              <w:right w:val="nil"/>
            </w:tcBorders>
            <w:noWrap/>
            <w:vAlign w:val="bottom"/>
            <w:hideMark/>
          </w:tcPr>
          <w:p w14:paraId="137EA250"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MSE</w:t>
            </w:r>
          </w:p>
        </w:tc>
        <w:tc>
          <w:tcPr>
            <w:tcW w:w="1676" w:type="dxa"/>
            <w:tcBorders>
              <w:top w:val="nil"/>
              <w:left w:val="nil"/>
              <w:bottom w:val="nil"/>
              <w:right w:val="nil"/>
            </w:tcBorders>
            <w:noWrap/>
            <w:vAlign w:val="bottom"/>
            <w:hideMark/>
          </w:tcPr>
          <w:p w14:paraId="7C25903B"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0.043</w:t>
            </w:r>
          </w:p>
        </w:tc>
      </w:tr>
      <w:tr w:rsidR="00B13501" w:rsidRPr="00B13501" w14:paraId="7682778B" w14:textId="77777777" w:rsidTr="009F7A06">
        <w:trPr>
          <w:trHeight w:val="288"/>
        </w:trPr>
        <w:tc>
          <w:tcPr>
            <w:tcW w:w="2372" w:type="dxa"/>
            <w:tcBorders>
              <w:top w:val="nil"/>
              <w:left w:val="nil"/>
              <w:bottom w:val="nil"/>
              <w:right w:val="nil"/>
            </w:tcBorders>
            <w:noWrap/>
            <w:vAlign w:val="bottom"/>
            <w:hideMark/>
          </w:tcPr>
          <w:p w14:paraId="55E61D49"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RMSE</w:t>
            </w:r>
          </w:p>
        </w:tc>
        <w:tc>
          <w:tcPr>
            <w:tcW w:w="1676" w:type="dxa"/>
            <w:tcBorders>
              <w:top w:val="nil"/>
              <w:left w:val="nil"/>
              <w:bottom w:val="nil"/>
              <w:right w:val="nil"/>
            </w:tcBorders>
            <w:noWrap/>
            <w:vAlign w:val="bottom"/>
            <w:hideMark/>
          </w:tcPr>
          <w:p w14:paraId="77FE6C0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0.207</w:t>
            </w:r>
          </w:p>
        </w:tc>
      </w:tr>
      <w:tr w:rsidR="00B13501" w:rsidRPr="00B13501" w14:paraId="16FE72F9" w14:textId="77777777" w:rsidTr="009F7A06">
        <w:trPr>
          <w:trHeight w:val="302"/>
        </w:trPr>
        <w:tc>
          <w:tcPr>
            <w:tcW w:w="2372" w:type="dxa"/>
            <w:tcBorders>
              <w:top w:val="nil"/>
              <w:left w:val="nil"/>
              <w:bottom w:val="single" w:sz="8" w:space="0" w:color="auto"/>
              <w:right w:val="nil"/>
            </w:tcBorders>
            <w:noWrap/>
            <w:vAlign w:val="bottom"/>
            <w:hideMark/>
          </w:tcPr>
          <w:p w14:paraId="06310237"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DW</w:t>
            </w:r>
          </w:p>
        </w:tc>
        <w:tc>
          <w:tcPr>
            <w:tcW w:w="1676" w:type="dxa"/>
            <w:tcBorders>
              <w:top w:val="nil"/>
              <w:left w:val="nil"/>
              <w:bottom w:val="single" w:sz="8" w:space="0" w:color="auto"/>
              <w:right w:val="nil"/>
            </w:tcBorders>
            <w:noWrap/>
            <w:vAlign w:val="bottom"/>
            <w:hideMark/>
          </w:tcPr>
          <w:p w14:paraId="212EAF0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0.486</w:t>
            </w:r>
          </w:p>
        </w:tc>
      </w:tr>
    </w:tbl>
    <w:p w14:paraId="3A8D677D" w14:textId="77777777" w:rsidR="00B13501" w:rsidRPr="00B13501" w:rsidRDefault="00B13501" w:rsidP="00B13501">
      <w:pPr>
        <w:widowControl/>
        <w:suppressAutoHyphens w:val="0"/>
        <w:overflowPunct/>
        <w:autoSpaceDE/>
        <w:autoSpaceDN/>
        <w:adjustRightInd/>
        <w:spacing w:after="160" w:line="276" w:lineRule="auto"/>
        <w:jc w:val="both"/>
        <w:textAlignment w:val="auto"/>
        <w:rPr>
          <w:b/>
          <w:bCs/>
          <w:kern w:val="0"/>
          <w:lang w:val="en-GB" w:eastAsia="en-US"/>
        </w:rPr>
      </w:pPr>
    </w:p>
    <w:p w14:paraId="5DC8069E" w14:textId="77777777"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6b</w:t>
      </w:r>
      <w:r w:rsidRPr="00B13501">
        <w:rPr>
          <w:kern w:val="0"/>
          <w:lang w:val="en-GB" w:eastAsia="en-US"/>
        </w:rPr>
        <w:t>: Analysis of Variance</w:t>
      </w:r>
    </w:p>
    <w:tbl>
      <w:tblPr>
        <w:tblW w:w="8310" w:type="dxa"/>
        <w:tblLook w:val="04A0" w:firstRow="1" w:lastRow="0" w:firstColumn="1" w:lastColumn="0" w:noHBand="0" w:noVBand="1"/>
      </w:tblPr>
      <w:tblGrid>
        <w:gridCol w:w="1809"/>
        <w:gridCol w:w="1300"/>
        <w:gridCol w:w="1300"/>
        <w:gridCol w:w="1301"/>
        <w:gridCol w:w="1300"/>
        <w:gridCol w:w="1300"/>
      </w:tblGrid>
      <w:tr w:rsidR="00B13501" w:rsidRPr="00B13501" w14:paraId="0FA05D1F" w14:textId="77777777" w:rsidTr="009F7A06">
        <w:trPr>
          <w:trHeight w:val="260"/>
        </w:trPr>
        <w:tc>
          <w:tcPr>
            <w:tcW w:w="1809" w:type="dxa"/>
            <w:tcBorders>
              <w:top w:val="single" w:sz="8" w:space="0" w:color="auto"/>
              <w:left w:val="nil"/>
              <w:bottom w:val="nil"/>
              <w:right w:val="nil"/>
            </w:tcBorders>
            <w:noWrap/>
            <w:vAlign w:val="bottom"/>
            <w:hideMark/>
          </w:tcPr>
          <w:p w14:paraId="5DB2BDED"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Source</w:t>
            </w:r>
          </w:p>
        </w:tc>
        <w:tc>
          <w:tcPr>
            <w:tcW w:w="1300" w:type="dxa"/>
            <w:tcBorders>
              <w:top w:val="single" w:sz="8" w:space="0" w:color="auto"/>
              <w:left w:val="nil"/>
              <w:bottom w:val="nil"/>
              <w:right w:val="nil"/>
            </w:tcBorders>
            <w:noWrap/>
            <w:vAlign w:val="bottom"/>
            <w:hideMark/>
          </w:tcPr>
          <w:p w14:paraId="2D2D27D5"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DF</w:t>
            </w:r>
          </w:p>
        </w:tc>
        <w:tc>
          <w:tcPr>
            <w:tcW w:w="1300" w:type="dxa"/>
            <w:tcBorders>
              <w:top w:val="single" w:sz="8" w:space="0" w:color="auto"/>
              <w:left w:val="nil"/>
              <w:bottom w:val="nil"/>
              <w:right w:val="nil"/>
            </w:tcBorders>
            <w:noWrap/>
            <w:vAlign w:val="bottom"/>
            <w:hideMark/>
          </w:tcPr>
          <w:p w14:paraId="385DDE16"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Sum of squares</w:t>
            </w:r>
          </w:p>
        </w:tc>
        <w:tc>
          <w:tcPr>
            <w:tcW w:w="1300" w:type="dxa"/>
            <w:tcBorders>
              <w:top w:val="single" w:sz="8" w:space="0" w:color="auto"/>
              <w:left w:val="nil"/>
              <w:bottom w:val="nil"/>
              <w:right w:val="nil"/>
            </w:tcBorders>
            <w:noWrap/>
            <w:vAlign w:val="bottom"/>
            <w:hideMark/>
          </w:tcPr>
          <w:p w14:paraId="041DC551"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Mean squares</w:t>
            </w:r>
          </w:p>
        </w:tc>
        <w:tc>
          <w:tcPr>
            <w:tcW w:w="1300" w:type="dxa"/>
            <w:tcBorders>
              <w:top w:val="single" w:sz="8" w:space="0" w:color="auto"/>
              <w:left w:val="nil"/>
              <w:bottom w:val="nil"/>
              <w:right w:val="nil"/>
            </w:tcBorders>
            <w:noWrap/>
            <w:vAlign w:val="bottom"/>
            <w:hideMark/>
          </w:tcPr>
          <w:p w14:paraId="0527674E"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F</w:t>
            </w:r>
          </w:p>
        </w:tc>
        <w:tc>
          <w:tcPr>
            <w:tcW w:w="1300" w:type="dxa"/>
            <w:tcBorders>
              <w:top w:val="single" w:sz="8" w:space="0" w:color="auto"/>
              <w:left w:val="nil"/>
              <w:bottom w:val="nil"/>
              <w:right w:val="nil"/>
            </w:tcBorders>
            <w:noWrap/>
            <w:vAlign w:val="bottom"/>
            <w:hideMark/>
          </w:tcPr>
          <w:p w14:paraId="53B2DBA0"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proofErr w:type="spellStart"/>
            <w:r w:rsidRPr="009E4624">
              <w:rPr>
                <w:b/>
                <w:bCs/>
                <w:color w:val="000000"/>
                <w:kern w:val="0"/>
                <w:lang w:val="en-GB" w:eastAsia="en-GB"/>
              </w:rPr>
              <w:t>Pr</w:t>
            </w:r>
            <w:proofErr w:type="spellEnd"/>
            <w:r w:rsidRPr="009E4624">
              <w:rPr>
                <w:b/>
                <w:bCs/>
                <w:color w:val="000000"/>
                <w:kern w:val="0"/>
                <w:lang w:val="en-GB" w:eastAsia="en-GB"/>
              </w:rPr>
              <w:t xml:space="preserve"> &gt; F</w:t>
            </w:r>
          </w:p>
        </w:tc>
      </w:tr>
      <w:tr w:rsidR="00B13501" w:rsidRPr="00B13501" w14:paraId="4C5BD4AA" w14:textId="77777777" w:rsidTr="009F7A06">
        <w:trPr>
          <w:trHeight w:val="260"/>
        </w:trPr>
        <w:tc>
          <w:tcPr>
            <w:tcW w:w="1809" w:type="dxa"/>
            <w:tcBorders>
              <w:top w:val="single" w:sz="4" w:space="0" w:color="auto"/>
              <w:left w:val="nil"/>
              <w:bottom w:val="nil"/>
              <w:right w:val="nil"/>
            </w:tcBorders>
            <w:noWrap/>
            <w:vAlign w:val="bottom"/>
            <w:hideMark/>
          </w:tcPr>
          <w:p w14:paraId="1621397E"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Model</w:t>
            </w:r>
          </w:p>
        </w:tc>
        <w:tc>
          <w:tcPr>
            <w:tcW w:w="1300" w:type="dxa"/>
            <w:tcBorders>
              <w:top w:val="single" w:sz="4" w:space="0" w:color="auto"/>
              <w:left w:val="nil"/>
              <w:bottom w:val="nil"/>
              <w:right w:val="nil"/>
            </w:tcBorders>
            <w:noWrap/>
            <w:vAlign w:val="bottom"/>
            <w:hideMark/>
          </w:tcPr>
          <w:p w14:paraId="13A7585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5</w:t>
            </w:r>
          </w:p>
        </w:tc>
        <w:tc>
          <w:tcPr>
            <w:tcW w:w="1300" w:type="dxa"/>
            <w:tcBorders>
              <w:top w:val="single" w:sz="4" w:space="0" w:color="auto"/>
              <w:left w:val="nil"/>
              <w:bottom w:val="nil"/>
              <w:right w:val="nil"/>
            </w:tcBorders>
            <w:noWrap/>
            <w:vAlign w:val="bottom"/>
            <w:hideMark/>
          </w:tcPr>
          <w:p w14:paraId="15F4B29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68.763</w:t>
            </w:r>
          </w:p>
        </w:tc>
        <w:tc>
          <w:tcPr>
            <w:tcW w:w="1300" w:type="dxa"/>
            <w:tcBorders>
              <w:top w:val="single" w:sz="4" w:space="0" w:color="auto"/>
              <w:left w:val="nil"/>
              <w:bottom w:val="nil"/>
              <w:right w:val="nil"/>
            </w:tcBorders>
            <w:noWrap/>
            <w:vAlign w:val="bottom"/>
            <w:hideMark/>
          </w:tcPr>
          <w:p w14:paraId="6774DC9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13.753</w:t>
            </w:r>
          </w:p>
        </w:tc>
        <w:tc>
          <w:tcPr>
            <w:tcW w:w="1300" w:type="dxa"/>
            <w:tcBorders>
              <w:top w:val="single" w:sz="4" w:space="0" w:color="auto"/>
              <w:left w:val="nil"/>
              <w:bottom w:val="nil"/>
              <w:right w:val="nil"/>
            </w:tcBorders>
            <w:noWrap/>
            <w:vAlign w:val="bottom"/>
            <w:hideMark/>
          </w:tcPr>
          <w:p w14:paraId="093E94F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321.451</w:t>
            </w:r>
          </w:p>
        </w:tc>
        <w:tc>
          <w:tcPr>
            <w:tcW w:w="1300" w:type="dxa"/>
            <w:tcBorders>
              <w:top w:val="single" w:sz="4" w:space="0" w:color="auto"/>
              <w:left w:val="nil"/>
              <w:bottom w:val="nil"/>
              <w:right w:val="nil"/>
            </w:tcBorders>
            <w:noWrap/>
            <w:vAlign w:val="bottom"/>
            <w:hideMark/>
          </w:tcPr>
          <w:p w14:paraId="40E5D65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r>
      <w:tr w:rsidR="00B13501" w:rsidRPr="00B13501" w14:paraId="580282EA" w14:textId="77777777" w:rsidTr="009F7A06">
        <w:trPr>
          <w:trHeight w:val="260"/>
        </w:trPr>
        <w:tc>
          <w:tcPr>
            <w:tcW w:w="1809" w:type="dxa"/>
            <w:tcBorders>
              <w:top w:val="nil"/>
              <w:left w:val="nil"/>
              <w:bottom w:val="nil"/>
              <w:right w:val="nil"/>
            </w:tcBorders>
            <w:noWrap/>
            <w:vAlign w:val="bottom"/>
            <w:hideMark/>
          </w:tcPr>
          <w:p w14:paraId="79FA6588"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Error</w:t>
            </w:r>
          </w:p>
        </w:tc>
        <w:tc>
          <w:tcPr>
            <w:tcW w:w="1300" w:type="dxa"/>
            <w:tcBorders>
              <w:top w:val="nil"/>
              <w:left w:val="nil"/>
              <w:bottom w:val="nil"/>
              <w:right w:val="nil"/>
            </w:tcBorders>
            <w:noWrap/>
            <w:vAlign w:val="bottom"/>
            <w:hideMark/>
          </w:tcPr>
          <w:p w14:paraId="1616023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105</w:t>
            </w:r>
          </w:p>
        </w:tc>
        <w:tc>
          <w:tcPr>
            <w:tcW w:w="1300" w:type="dxa"/>
            <w:tcBorders>
              <w:top w:val="nil"/>
              <w:left w:val="nil"/>
              <w:bottom w:val="nil"/>
              <w:right w:val="nil"/>
            </w:tcBorders>
            <w:noWrap/>
            <w:vAlign w:val="bottom"/>
            <w:hideMark/>
          </w:tcPr>
          <w:p w14:paraId="655F38A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4.492</w:t>
            </w:r>
          </w:p>
        </w:tc>
        <w:tc>
          <w:tcPr>
            <w:tcW w:w="1300" w:type="dxa"/>
            <w:tcBorders>
              <w:top w:val="nil"/>
              <w:left w:val="nil"/>
              <w:bottom w:val="nil"/>
              <w:right w:val="nil"/>
            </w:tcBorders>
            <w:noWrap/>
            <w:vAlign w:val="bottom"/>
            <w:hideMark/>
          </w:tcPr>
          <w:p w14:paraId="110DBF4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0.043</w:t>
            </w:r>
          </w:p>
        </w:tc>
        <w:tc>
          <w:tcPr>
            <w:tcW w:w="1300" w:type="dxa"/>
            <w:tcBorders>
              <w:top w:val="nil"/>
              <w:left w:val="nil"/>
              <w:bottom w:val="nil"/>
              <w:right w:val="nil"/>
            </w:tcBorders>
            <w:noWrap/>
            <w:vAlign w:val="bottom"/>
            <w:hideMark/>
          </w:tcPr>
          <w:p w14:paraId="5770DC3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p>
        </w:tc>
        <w:tc>
          <w:tcPr>
            <w:tcW w:w="1300" w:type="dxa"/>
            <w:tcBorders>
              <w:top w:val="nil"/>
              <w:left w:val="nil"/>
              <w:bottom w:val="nil"/>
              <w:right w:val="nil"/>
            </w:tcBorders>
            <w:noWrap/>
            <w:vAlign w:val="bottom"/>
            <w:hideMark/>
          </w:tcPr>
          <w:p w14:paraId="1FBE0640" w14:textId="77777777" w:rsidR="00B13501" w:rsidRPr="00B13501" w:rsidRDefault="00B13501" w:rsidP="00B13501">
            <w:pPr>
              <w:widowControl/>
              <w:suppressAutoHyphens w:val="0"/>
              <w:overflowPunct/>
              <w:autoSpaceDE/>
              <w:autoSpaceDN/>
              <w:adjustRightInd/>
              <w:textAlignment w:val="auto"/>
              <w:rPr>
                <w:kern w:val="0"/>
                <w:lang w:val="en-GB" w:eastAsia="en-GB"/>
              </w:rPr>
            </w:pPr>
          </w:p>
        </w:tc>
      </w:tr>
      <w:tr w:rsidR="00B13501" w:rsidRPr="00B13501" w14:paraId="635A2F93" w14:textId="77777777" w:rsidTr="009F7A06">
        <w:trPr>
          <w:trHeight w:val="273"/>
        </w:trPr>
        <w:tc>
          <w:tcPr>
            <w:tcW w:w="1809" w:type="dxa"/>
            <w:tcBorders>
              <w:top w:val="nil"/>
              <w:left w:val="nil"/>
              <w:bottom w:val="single" w:sz="8" w:space="0" w:color="auto"/>
              <w:right w:val="nil"/>
            </w:tcBorders>
            <w:noWrap/>
            <w:vAlign w:val="bottom"/>
            <w:hideMark/>
          </w:tcPr>
          <w:p w14:paraId="736537A7"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Corrected Total</w:t>
            </w:r>
          </w:p>
        </w:tc>
        <w:tc>
          <w:tcPr>
            <w:tcW w:w="1300" w:type="dxa"/>
            <w:tcBorders>
              <w:top w:val="nil"/>
              <w:left w:val="nil"/>
              <w:bottom w:val="single" w:sz="8" w:space="0" w:color="auto"/>
              <w:right w:val="nil"/>
            </w:tcBorders>
            <w:noWrap/>
            <w:vAlign w:val="bottom"/>
            <w:hideMark/>
          </w:tcPr>
          <w:p w14:paraId="0D14EA0C"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110</w:t>
            </w:r>
          </w:p>
        </w:tc>
        <w:tc>
          <w:tcPr>
            <w:tcW w:w="1300" w:type="dxa"/>
            <w:tcBorders>
              <w:top w:val="nil"/>
              <w:left w:val="nil"/>
              <w:bottom w:val="single" w:sz="8" w:space="0" w:color="auto"/>
              <w:right w:val="nil"/>
            </w:tcBorders>
            <w:noWrap/>
            <w:vAlign w:val="bottom"/>
            <w:hideMark/>
          </w:tcPr>
          <w:p w14:paraId="766382E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73.255</w:t>
            </w:r>
          </w:p>
        </w:tc>
        <w:tc>
          <w:tcPr>
            <w:tcW w:w="1300" w:type="dxa"/>
            <w:tcBorders>
              <w:top w:val="nil"/>
              <w:left w:val="nil"/>
              <w:bottom w:val="single" w:sz="8" w:space="0" w:color="auto"/>
              <w:right w:val="nil"/>
            </w:tcBorders>
            <w:noWrap/>
            <w:vAlign w:val="bottom"/>
            <w:hideMark/>
          </w:tcPr>
          <w:p w14:paraId="62A0FE9A"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 </w:t>
            </w:r>
          </w:p>
        </w:tc>
        <w:tc>
          <w:tcPr>
            <w:tcW w:w="1300" w:type="dxa"/>
            <w:tcBorders>
              <w:top w:val="nil"/>
              <w:left w:val="nil"/>
              <w:bottom w:val="single" w:sz="8" w:space="0" w:color="auto"/>
              <w:right w:val="nil"/>
            </w:tcBorders>
            <w:noWrap/>
            <w:vAlign w:val="bottom"/>
            <w:hideMark/>
          </w:tcPr>
          <w:p w14:paraId="5554465E"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 </w:t>
            </w:r>
          </w:p>
        </w:tc>
        <w:tc>
          <w:tcPr>
            <w:tcW w:w="1300" w:type="dxa"/>
            <w:tcBorders>
              <w:top w:val="nil"/>
              <w:left w:val="nil"/>
              <w:bottom w:val="single" w:sz="8" w:space="0" w:color="auto"/>
              <w:right w:val="nil"/>
            </w:tcBorders>
            <w:noWrap/>
            <w:vAlign w:val="bottom"/>
            <w:hideMark/>
          </w:tcPr>
          <w:p w14:paraId="1D1C579F"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 </w:t>
            </w:r>
          </w:p>
        </w:tc>
      </w:tr>
      <w:tr w:rsidR="00B13501" w:rsidRPr="00B13501" w14:paraId="3AA68D2E" w14:textId="77777777" w:rsidTr="009F7A06">
        <w:trPr>
          <w:trHeight w:val="260"/>
        </w:trPr>
        <w:tc>
          <w:tcPr>
            <w:tcW w:w="5710" w:type="dxa"/>
            <w:gridSpan w:val="4"/>
            <w:tcBorders>
              <w:top w:val="nil"/>
              <w:left w:val="nil"/>
              <w:bottom w:val="nil"/>
              <w:right w:val="nil"/>
            </w:tcBorders>
            <w:noWrap/>
            <w:vAlign w:val="bottom"/>
            <w:hideMark/>
          </w:tcPr>
          <w:p w14:paraId="15DFF8D1" w14:textId="77777777" w:rsidR="00B13501" w:rsidRPr="00B13501" w:rsidRDefault="00B13501" w:rsidP="00B13501">
            <w:pPr>
              <w:widowControl/>
              <w:suppressAutoHyphens w:val="0"/>
              <w:overflowPunct/>
              <w:autoSpaceDE/>
              <w:autoSpaceDN/>
              <w:adjustRightInd/>
              <w:textAlignment w:val="auto"/>
              <w:rPr>
                <w:i/>
                <w:iCs/>
                <w:color w:val="000000"/>
                <w:kern w:val="0"/>
                <w:lang w:val="en-GB" w:eastAsia="en-GB"/>
              </w:rPr>
            </w:pPr>
            <w:r w:rsidRPr="00B13501">
              <w:rPr>
                <w:i/>
                <w:iCs/>
                <w:color w:val="000000"/>
                <w:kern w:val="0"/>
                <w:lang w:val="en-GB" w:eastAsia="en-GB"/>
              </w:rPr>
              <w:t>Computed against model Y=Mean(Y)</w:t>
            </w:r>
          </w:p>
        </w:tc>
        <w:tc>
          <w:tcPr>
            <w:tcW w:w="1300" w:type="dxa"/>
            <w:tcBorders>
              <w:top w:val="nil"/>
              <w:left w:val="nil"/>
              <w:bottom w:val="nil"/>
              <w:right w:val="nil"/>
            </w:tcBorders>
            <w:noWrap/>
            <w:vAlign w:val="bottom"/>
            <w:hideMark/>
          </w:tcPr>
          <w:p w14:paraId="4C59184E" w14:textId="77777777" w:rsidR="00B13501" w:rsidRPr="00B13501" w:rsidRDefault="00B13501" w:rsidP="00B13501">
            <w:pPr>
              <w:widowControl/>
              <w:suppressAutoHyphens w:val="0"/>
              <w:overflowPunct/>
              <w:autoSpaceDE/>
              <w:autoSpaceDN/>
              <w:adjustRightInd/>
              <w:textAlignment w:val="auto"/>
              <w:rPr>
                <w:i/>
                <w:iCs/>
                <w:color w:val="000000"/>
                <w:kern w:val="0"/>
                <w:lang w:val="en-GB" w:eastAsia="en-GB"/>
              </w:rPr>
            </w:pPr>
          </w:p>
        </w:tc>
        <w:tc>
          <w:tcPr>
            <w:tcW w:w="1300" w:type="dxa"/>
            <w:tcBorders>
              <w:top w:val="nil"/>
              <w:left w:val="nil"/>
              <w:bottom w:val="nil"/>
              <w:right w:val="nil"/>
            </w:tcBorders>
            <w:noWrap/>
            <w:vAlign w:val="bottom"/>
            <w:hideMark/>
          </w:tcPr>
          <w:p w14:paraId="110652E3" w14:textId="77777777" w:rsidR="00B13501" w:rsidRPr="00B13501" w:rsidRDefault="00B13501" w:rsidP="00B13501">
            <w:pPr>
              <w:widowControl/>
              <w:suppressAutoHyphens w:val="0"/>
              <w:overflowPunct/>
              <w:autoSpaceDE/>
              <w:autoSpaceDN/>
              <w:adjustRightInd/>
              <w:textAlignment w:val="auto"/>
              <w:rPr>
                <w:kern w:val="0"/>
                <w:lang w:val="en-GB" w:eastAsia="en-GB"/>
              </w:rPr>
            </w:pPr>
          </w:p>
        </w:tc>
      </w:tr>
    </w:tbl>
    <w:p w14:paraId="2282F8D3" w14:textId="29152F3D" w:rsid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p>
    <w:p w14:paraId="2CC1F5F4" w14:textId="28054D5C" w:rsidR="002C04EB" w:rsidRDefault="002C04EB" w:rsidP="00B13501">
      <w:pPr>
        <w:widowControl/>
        <w:suppressAutoHyphens w:val="0"/>
        <w:overflowPunct/>
        <w:autoSpaceDE/>
        <w:autoSpaceDN/>
        <w:adjustRightInd/>
        <w:spacing w:after="160" w:line="276" w:lineRule="auto"/>
        <w:jc w:val="both"/>
        <w:textAlignment w:val="auto"/>
        <w:rPr>
          <w:kern w:val="0"/>
          <w:lang w:val="en-GB" w:eastAsia="en-US"/>
        </w:rPr>
      </w:pPr>
    </w:p>
    <w:p w14:paraId="6E759358" w14:textId="2FA27767" w:rsidR="002C04EB" w:rsidRDefault="002C04EB" w:rsidP="00B13501">
      <w:pPr>
        <w:widowControl/>
        <w:suppressAutoHyphens w:val="0"/>
        <w:overflowPunct/>
        <w:autoSpaceDE/>
        <w:autoSpaceDN/>
        <w:adjustRightInd/>
        <w:spacing w:after="160" w:line="276" w:lineRule="auto"/>
        <w:jc w:val="both"/>
        <w:textAlignment w:val="auto"/>
        <w:rPr>
          <w:kern w:val="0"/>
          <w:lang w:val="en-GB" w:eastAsia="en-US"/>
        </w:rPr>
      </w:pPr>
    </w:p>
    <w:p w14:paraId="06CB7B92" w14:textId="77777777" w:rsidR="002C04EB" w:rsidRPr="00B13501" w:rsidRDefault="002C04EB" w:rsidP="00B13501">
      <w:pPr>
        <w:widowControl/>
        <w:suppressAutoHyphens w:val="0"/>
        <w:overflowPunct/>
        <w:autoSpaceDE/>
        <w:autoSpaceDN/>
        <w:adjustRightInd/>
        <w:spacing w:after="160" w:line="276" w:lineRule="auto"/>
        <w:jc w:val="both"/>
        <w:textAlignment w:val="auto"/>
        <w:rPr>
          <w:kern w:val="0"/>
          <w:lang w:val="en-GB" w:eastAsia="en-US"/>
        </w:rPr>
      </w:pPr>
    </w:p>
    <w:p w14:paraId="15908BB3" w14:textId="0FAA1C1B"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6c</w:t>
      </w:r>
      <w:r w:rsidRPr="00B13501">
        <w:rPr>
          <w:kern w:val="0"/>
          <w:lang w:val="en-GB" w:eastAsia="en-US"/>
        </w:rPr>
        <w:t xml:space="preserve">: </w:t>
      </w:r>
      <w:r w:rsidR="00361ED6">
        <w:rPr>
          <w:kern w:val="0"/>
          <w:lang w:val="en-GB" w:eastAsia="en-US"/>
        </w:rPr>
        <w:t xml:space="preserve">Unstandardized </w:t>
      </w:r>
      <w:r w:rsidRPr="00B13501">
        <w:rPr>
          <w:kern w:val="0"/>
          <w:lang w:val="en-GB" w:eastAsia="en-US"/>
        </w:rPr>
        <w:t>Model Parameters</w:t>
      </w:r>
    </w:p>
    <w:tbl>
      <w:tblPr>
        <w:tblW w:w="9810" w:type="dxa"/>
        <w:tblLook w:val="04A0" w:firstRow="1" w:lastRow="0" w:firstColumn="1" w:lastColumn="0" w:noHBand="0" w:noVBand="1"/>
      </w:tblPr>
      <w:tblGrid>
        <w:gridCol w:w="1280"/>
        <w:gridCol w:w="1234"/>
        <w:gridCol w:w="1285"/>
        <w:gridCol w:w="1234"/>
        <w:gridCol w:w="1234"/>
        <w:gridCol w:w="1653"/>
        <w:gridCol w:w="1890"/>
      </w:tblGrid>
      <w:tr w:rsidR="00B13501" w:rsidRPr="00B13501" w14:paraId="5E74809B" w14:textId="77777777" w:rsidTr="009F7A06">
        <w:trPr>
          <w:trHeight w:val="243"/>
        </w:trPr>
        <w:tc>
          <w:tcPr>
            <w:tcW w:w="1280" w:type="dxa"/>
            <w:tcBorders>
              <w:top w:val="single" w:sz="8" w:space="0" w:color="auto"/>
              <w:left w:val="nil"/>
              <w:bottom w:val="nil"/>
              <w:right w:val="nil"/>
            </w:tcBorders>
            <w:noWrap/>
            <w:vAlign w:val="bottom"/>
            <w:hideMark/>
          </w:tcPr>
          <w:p w14:paraId="654C0BB8"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Source</w:t>
            </w:r>
          </w:p>
        </w:tc>
        <w:tc>
          <w:tcPr>
            <w:tcW w:w="1234" w:type="dxa"/>
            <w:tcBorders>
              <w:top w:val="single" w:sz="8" w:space="0" w:color="auto"/>
              <w:left w:val="nil"/>
              <w:bottom w:val="nil"/>
              <w:right w:val="nil"/>
            </w:tcBorders>
            <w:noWrap/>
            <w:vAlign w:val="bottom"/>
            <w:hideMark/>
          </w:tcPr>
          <w:p w14:paraId="316A8CCD"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Value</w:t>
            </w:r>
          </w:p>
        </w:tc>
        <w:tc>
          <w:tcPr>
            <w:tcW w:w="1285" w:type="dxa"/>
            <w:tcBorders>
              <w:top w:val="single" w:sz="8" w:space="0" w:color="auto"/>
              <w:left w:val="nil"/>
              <w:bottom w:val="nil"/>
              <w:right w:val="nil"/>
            </w:tcBorders>
            <w:noWrap/>
            <w:vAlign w:val="bottom"/>
            <w:hideMark/>
          </w:tcPr>
          <w:p w14:paraId="5FA87115"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Standard error</w:t>
            </w:r>
          </w:p>
        </w:tc>
        <w:tc>
          <w:tcPr>
            <w:tcW w:w="1234" w:type="dxa"/>
            <w:tcBorders>
              <w:top w:val="single" w:sz="8" w:space="0" w:color="auto"/>
              <w:left w:val="nil"/>
              <w:bottom w:val="nil"/>
              <w:right w:val="nil"/>
            </w:tcBorders>
            <w:noWrap/>
            <w:vAlign w:val="bottom"/>
            <w:hideMark/>
          </w:tcPr>
          <w:p w14:paraId="5C071FF3"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t</w:t>
            </w:r>
          </w:p>
        </w:tc>
        <w:tc>
          <w:tcPr>
            <w:tcW w:w="1234" w:type="dxa"/>
            <w:tcBorders>
              <w:top w:val="single" w:sz="8" w:space="0" w:color="auto"/>
              <w:left w:val="nil"/>
              <w:bottom w:val="nil"/>
              <w:right w:val="nil"/>
            </w:tcBorders>
            <w:noWrap/>
            <w:vAlign w:val="bottom"/>
            <w:hideMark/>
          </w:tcPr>
          <w:p w14:paraId="186187A5"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proofErr w:type="spellStart"/>
            <w:r w:rsidRPr="009E4624">
              <w:rPr>
                <w:b/>
                <w:bCs/>
                <w:color w:val="000000"/>
                <w:kern w:val="0"/>
                <w:lang w:val="en-GB" w:eastAsia="en-GB"/>
              </w:rPr>
              <w:t>Pr</w:t>
            </w:r>
            <w:proofErr w:type="spellEnd"/>
            <w:r w:rsidRPr="009E4624">
              <w:rPr>
                <w:b/>
                <w:bCs/>
                <w:color w:val="000000"/>
                <w:kern w:val="0"/>
                <w:lang w:val="en-GB" w:eastAsia="en-GB"/>
              </w:rPr>
              <w:t xml:space="preserve"> &gt; |t|</w:t>
            </w:r>
          </w:p>
        </w:tc>
        <w:tc>
          <w:tcPr>
            <w:tcW w:w="1653" w:type="dxa"/>
            <w:tcBorders>
              <w:top w:val="single" w:sz="8" w:space="0" w:color="auto"/>
              <w:left w:val="nil"/>
              <w:bottom w:val="nil"/>
              <w:right w:val="nil"/>
            </w:tcBorders>
            <w:noWrap/>
            <w:vAlign w:val="bottom"/>
            <w:hideMark/>
          </w:tcPr>
          <w:p w14:paraId="709D7AAA"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Lower bound (95%)</w:t>
            </w:r>
          </w:p>
        </w:tc>
        <w:tc>
          <w:tcPr>
            <w:tcW w:w="1890" w:type="dxa"/>
            <w:tcBorders>
              <w:top w:val="single" w:sz="8" w:space="0" w:color="auto"/>
              <w:left w:val="nil"/>
              <w:bottom w:val="nil"/>
              <w:right w:val="nil"/>
            </w:tcBorders>
            <w:noWrap/>
            <w:vAlign w:val="bottom"/>
            <w:hideMark/>
          </w:tcPr>
          <w:p w14:paraId="6477AEA9"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Upper bound (95%)</w:t>
            </w:r>
          </w:p>
        </w:tc>
      </w:tr>
      <w:tr w:rsidR="00B13501" w:rsidRPr="00B13501" w14:paraId="1B13ADE9" w14:textId="77777777" w:rsidTr="009F7A06">
        <w:trPr>
          <w:trHeight w:val="243"/>
        </w:trPr>
        <w:tc>
          <w:tcPr>
            <w:tcW w:w="1280" w:type="dxa"/>
            <w:tcBorders>
              <w:top w:val="single" w:sz="4" w:space="0" w:color="auto"/>
              <w:left w:val="nil"/>
              <w:bottom w:val="nil"/>
              <w:right w:val="nil"/>
            </w:tcBorders>
            <w:noWrap/>
            <w:vAlign w:val="bottom"/>
            <w:hideMark/>
          </w:tcPr>
          <w:p w14:paraId="367693C6"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Intercept</w:t>
            </w:r>
          </w:p>
        </w:tc>
        <w:tc>
          <w:tcPr>
            <w:tcW w:w="1234" w:type="dxa"/>
            <w:tcBorders>
              <w:top w:val="single" w:sz="4" w:space="0" w:color="auto"/>
              <w:left w:val="nil"/>
              <w:bottom w:val="nil"/>
              <w:right w:val="nil"/>
            </w:tcBorders>
            <w:noWrap/>
            <w:vAlign w:val="bottom"/>
            <w:hideMark/>
          </w:tcPr>
          <w:p w14:paraId="7E0FE81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1.543</w:t>
            </w:r>
          </w:p>
        </w:tc>
        <w:tc>
          <w:tcPr>
            <w:tcW w:w="1285" w:type="dxa"/>
            <w:tcBorders>
              <w:top w:val="single" w:sz="4" w:space="0" w:color="auto"/>
              <w:left w:val="nil"/>
              <w:bottom w:val="nil"/>
              <w:right w:val="nil"/>
            </w:tcBorders>
            <w:noWrap/>
            <w:vAlign w:val="bottom"/>
            <w:hideMark/>
          </w:tcPr>
          <w:p w14:paraId="4348DB4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0.173</w:t>
            </w:r>
          </w:p>
        </w:tc>
        <w:tc>
          <w:tcPr>
            <w:tcW w:w="1234" w:type="dxa"/>
            <w:tcBorders>
              <w:top w:val="single" w:sz="4" w:space="0" w:color="auto"/>
              <w:left w:val="nil"/>
              <w:bottom w:val="nil"/>
              <w:right w:val="nil"/>
            </w:tcBorders>
            <w:noWrap/>
            <w:vAlign w:val="bottom"/>
            <w:hideMark/>
          </w:tcPr>
          <w:p w14:paraId="5D103F5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8.909</w:t>
            </w:r>
          </w:p>
        </w:tc>
        <w:tc>
          <w:tcPr>
            <w:tcW w:w="1234" w:type="dxa"/>
            <w:tcBorders>
              <w:top w:val="single" w:sz="4" w:space="0" w:color="auto"/>
              <w:left w:val="nil"/>
              <w:bottom w:val="nil"/>
              <w:right w:val="nil"/>
            </w:tcBorders>
            <w:noWrap/>
            <w:vAlign w:val="bottom"/>
            <w:hideMark/>
          </w:tcPr>
          <w:p w14:paraId="535A56E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653" w:type="dxa"/>
            <w:tcBorders>
              <w:top w:val="single" w:sz="4" w:space="0" w:color="auto"/>
              <w:left w:val="nil"/>
              <w:bottom w:val="nil"/>
              <w:right w:val="nil"/>
            </w:tcBorders>
            <w:noWrap/>
            <w:vAlign w:val="bottom"/>
            <w:hideMark/>
          </w:tcPr>
          <w:p w14:paraId="4BC3B5A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1.200</w:t>
            </w:r>
          </w:p>
        </w:tc>
        <w:tc>
          <w:tcPr>
            <w:tcW w:w="1890" w:type="dxa"/>
            <w:tcBorders>
              <w:top w:val="single" w:sz="4" w:space="0" w:color="auto"/>
              <w:left w:val="nil"/>
              <w:bottom w:val="nil"/>
              <w:right w:val="nil"/>
            </w:tcBorders>
            <w:noWrap/>
            <w:vAlign w:val="bottom"/>
            <w:hideMark/>
          </w:tcPr>
          <w:p w14:paraId="2E1C9F3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1.886</w:t>
            </w:r>
          </w:p>
        </w:tc>
      </w:tr>
      <w:tr w:rsidR="00B13501" w:rsidRPr="00B13501" w14:paraId="5E769E6A" w14:textId="77777777" w:rsidTr="009F7A06">
        <w:trPr>
          <w:trHeight w:val="243"/>
        </w:trPr>
        <w:tc>
          <w:tcPr>
            <w:tcW w:w="1280" w:type="dxa"/>
            <w:tcBorders>
              <w:top w:val="nil"/>
              <w:left w:val="nil"/>
              <w:bottom w:val="nil"/>
              <w:right w:val="nil"/>
            </w:tcBorders>
            <w:noWrap/>
            <w:vAlign w:val="bottom"/>
            <w:hideMark/>
          </w:tcPr>
          <w:p w14:paraId="5D038355"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w:t>
            </w:r>
          </w:p>
        </w:tc>
        <w:tc>
          <w:tcPr>
            <w:tcW w:w="1234" w:type="dxa"/>
            <w:tcBorders>
              <w:top w:val="nil"/>
              <w:left w:val="nil"/>
              <w:bottom w:val="nil"/>
              <w:right w:val="nil"/>
            </w:tcBorders>
            <w:noWrap/>
            <w:vAlign w:val="bottom"/>
            <w:hideMark/>
          </w:tcPr>
          <w:p w14:paraId="6AD23CD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0.373</w:t>
            </w:r>
          </w:p>
        </w:tc>
        <w:tc>
          <w:tcPr>
            <w:tcW w:w="1285" w:type="dxa"/>
            <w:tcBorders>
              <w:top w:val="nil"/>
              <w:left w:val="nil"/>
              <w:bottom w:val="nil"/>
              <w:right w:val="nil"/>
            </w:tcBorders>
            <w:noWrap/>
            <w:vAlign w:val="bottom"/>
            <w:hideMark/>
          </w:tcPr>
          <w:p w14:paraId="1E75636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0.090</w:t>
            </w:r>
          </w:p>
        </w:tc>
        <w:tc>
          <w:tcPr>
            <w:tcW w:w="1234" w:type="dxa"/>
            <w:tcBorders>
              <w:top w:val="nil"/>
              <w:left w:val="nil"/>
              <w:bottom w:val="nil"/>
              <w:right w:val="nil"/>
            </w:tcBorders>
            <w:noWrap/>
            <w:vAlign w:val="bottom"/>
            <w:hideMark/>
          </w:tcPr>
          <w:p w14:paraId="1872D84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4.124</w:t>
            </w:r>
          </w:p>
        </w:tc>
        <w:tc>
          <w:tcPr>
            <w:tcW w:w="1234" w:type="dxa"/>
            <w:tcBorders>
              <w:top w:val="nil"/>
              <w:left w:val="nil"/>
              <w:bottom w:val="nil"/>
              <w:right w:val="nil"/>
            </w:tcBorders>
            <w:noWrap/>
            <w:vAlign w:val="bottom"/>
            <w:hideMark/>
          </w:tcPr>
          <w:p w14:paraId="08DF292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653" w:type="dxa"/>
            <w:tcBorders>
              <w:top w:val="nil"/>
              <w:left w:val="nil"/>
              <w:bottom w:val="nil"/>
              <w:right w:val="nil"/>
            </w:tcBorders>
            <w:noWrap/>
            <w:vAlign w:val="bottom"/>
            <w:hideMark/>
          </w:tcPr>
          <w:p w14:paraId="743A9A7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0.194</w:t>
            </w:r>
          </w:p>
        </w:tc>
        <w:tc>
          <w:tcPr>
            <w:tcW w:w="1890" w:type="dxa"/>
            <w:tcBorders>
              <w:top w:val="nil"/>
              <w:left w:val="nil"/>
              <w:bottom w:val="nil"/>
              <w:right w:val="nil"/>
            </w:tcBorders>
            <w:noWrap/>
            <w:vAlign w:val="bottom"/>
            <w:hideMark/>
          </w:tcPr>
          <w:p w14:paraId="0744337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0.552</w:t>
            </w:r>
          </w:p>
        </w:tc>
      </w:tr>
      <w:tr w:rsidR="00B13501" w:rsidRPr="00B13501" w14:paraId="486C1EF0" w14:textId="77777777" w:rsidTr="009F7A06">
        <w:trPr>
          <w:trHeight w:val="243"/>
        </w:trPr>
        <w:tc>
          <w:tcPr>
            <w:tcW w:w="1280" w:type="dxa"/>
            <w:tcBorders>
              <w:top w:val="nil"/>
              <w:left w:val="nil"/>
              <w:bottom w:val="nil"/>
              <w:right w:val="nil"/>
            </w:tcBorders>
            <w:noWrap/>
            <w:vAlign w:val="bottom"/>
            <w:hideMark/>
          </w:tcPr>
          <w:p w14:paraId="07A827F8"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EP</w:t>
            </w:r>
          </w:p>
        </w:tc>
        <w:tc>
          <w:tcPr>
            <w:tcW w:w="1234" w:type="dxa"/>
            <w:tcBorders>
              <w:top w:val="nil"/>
              <w:left w:val="nil"/>
              <w:bottom w:val="nil"/>
              <w:right w:val="nil"/>
            </w:tcBorders>
            <w:noWrap/>
            <w:vAlign w:val="bottom"/>
            <w:hideMark/>
          </w:tcPr>
          <w:p w14:paraId="5912184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0.403</w:t>
            </w:r>
          </w:p>
        </w:tc>
        <w:tc>
          <w:tcPr>
            <w:tcW w:w="1285" w:type="dxa"/>
            <w:tcBorders>
              <w:top w:val="nil"/>
              <w:left w:val="nil"/>
              <w:bottom w:val="nil"/>
              <w:right w:val="nil"/>
            </w:tcBorders>
            <w:noWrap/>
            <w:vAlign w:val="bottom"/>
            <w:hideMark/>
          </w:tcPr>
          <w:p w14:paraId="263B3F8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0.116</w:t>
            </w:r>
          </w:p>
        </w:tc>
        <w:tc>
          <w:tcPr>
            <w:tcW w:w="1234" w:type="dxa"/>
            <w:tcBorders>
              <w:top w:val="nil"/>
              <w:left w:val="nil"/>
              <w:bottom w:val="nil"/>
              <w:right w:val="nil"/>
            </w:tcBorders>
            <w:noWrap/>
            <w:vAlign w:val="bottom"/>
            <w:hideMark/>
          </w:tcPr>
          <w:p w14:paraId="4A01EE8C"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3.483</w:t>
            </w:r>
          </w:p>
        </w:tc>
        <w:tc>
          <w:tcPr>
            <w:tcW w:w="1234" w:type="dxa"/>
            <w:tcBorders>
              <w:top w:val="nil"/>
              <w:left w:val="nil"/>
              <w:bottom w:val="nil"/>
              <w:right w:val="nil"/>
            </w:tcBorders>
            <w:noWrap/>
            <w:vAlign w:val="bottom"/>
            <w:hideMark/>
          </w:tcPr>
          <w:p w14:paraId="4729410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0.001</w:t>
            </w:r>
          </w:p>
        </w:tc>
        <w:tc>
          <w:tcPr>
            <w:tcW w:w="1653" w:type="dxa"/>
            <w:tcBorders>
              <w:top w:val="nil"/>
              <w:left w:val="nil"/>
              <w:bottom w:val="nil"/>
              <w:right w:val="nil"/>
            </w:tcBorders>
            <w:noWrap/>
            <w:vAlign w:val="bottom"/>
            <w:hideMark/>
          </w:tcPr>
          <w:p w14:paraId="14B0B76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0.174</w:t>
            </w:r>
          </w:p>
        </w:tc>
        <w:tc>
          <w:tcPr>
            <w:tcW w:w="1890" w:type="dxa"/>
            <w:tcBorders>
              <w:top w:val="nil"/>
              <w:left w:val="nil"/>
              <w:bottom w:val="nil"/>
              <w:right w:val="nil"/>
            </w:tcBorders>
            <w:noWrap/>
            <w:vAlign w:val="bottom"/>
            <w:hideMark/>
          </w:tcPr>
          <w:p w14:paraId="5A77FE8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0.633</w:t>
            </w:r>
          </w:p>
        </w:tc>
      </w:tr>
      <w:tr w:rsidR="00B13501" w:rsidRPr="00B13501" w14:paraId="0388C148" w14:textId="77777777" w:rsidTr="009F7A06">
        <w:trPr>
          <w:trHeight w:val="243"/>
        </w:trPr>
        <w:tc>
          <w:tcPr>
            <w:tcW w:w="1280" w:type="dxa"/>
            <w:tcBorders>
              <w:top w:val="nil"/>
              <w:left w:val="nil"/>
              <w:bottom w:val="nil"/>
              <w:right w:val="nil"/>
            </w:tcBorders>
            <w:noWrap/>
            <w:vAlign w:val="bottom"/>
            <w:hideMark/>
          </w:tcPr>
          <w:p w14:paraId="76EBC93B"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EL</w:t>
            </w:r>
          </w:p>
        </w:tc>
        <w:tc>
          <w:tcPr>
            <w:tcW w:w="1234" w:type="dxa"/>
            <w:tcBorders>
              <w:top w:val="nil"/>
              <w:left w:val="nil"/>
              <w:bottom w:val="nil"/>
              <w:right w:val="nil"/>
            </w:tcBorders>
            <w:noWrap/>
            <w:vAlign w:val="bottom"/>
            <w:hideMark/>
          </w:tcPr>
          <w:p w14:paraId="4E93D9C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-0.835</w:t>
            </w:r>
          </w:p>
        </w:tc>
        <w:tc>
          <w:tcPr>
            <w:tcW w:w="1285" w:type="dxa"/>
            <w:tcBorders>
              <w:top w:val="nil"/>
              <w:left w:val="nil"/>
              <w:bottom w:val="nil"/>
              <w:right w:val="nil"/>
            </w:tcBorders>
            <w:noWrap/>
            <w:vAlign w:val="bottom"/>
            <w:hideMark/>
          </w:tcPr>
          <w:p w14:paraId="1916EFE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0.184</w:t>
            </w:r>
          </w:p>
        </w:tc>
        <w:tc>
          <w:tcPr>
            <w:tcW w:w="1234" w:type="dxa"/>
            <w:tcBorders>
              <w:top w:val="nil"/>
              <w:left w:val="nil"/>
              <w:bottom w:val="nil"/>
              <w:right w:val="nil"/>
            </w:tcBorders>
            <w:noWrap/>
            <w:vAlign w:val="bottom"/>
            <w:hideMark/>
          </w:tcPr>
          <w:p w14:paraId="1FFD47E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-4.548</w:t>
            </w:r>
          </w:p>
        </w:tc>
        <w:tc>
          <w:tcPr>
            <w:tcW w:w="1234" w:type="dxa"/>
            <w:tcBorders>
              <w:top w:val="nil"/>
              <w:left w:val="nil"/>
              <w:bottom w:val="nil"/>
              <w:right w:val="nil"/>
            </w:tcBorders>
            <w:noWrap/>
            <w:vAlign w:val="bottom"/>
            <w:hideMark/>
          </w:tcPr>
          <w:p w14:paraId="52BB64F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653" w:type="dxa"/>
            <w:tcBorders>
              <w:top w:val="nil"/>
              <w:left w:val="nil"/>
              <w:bottom w:val="nil"/>
              <w:right w:val="nil"/>
            </w:tcBorders>
            <w:noWrap/>
            <w:vAlign w:val="bottom"/>
            <w:hideMark/>
          </w:tcPr>
          <w:p w14:paraId="7A1D5CF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-1.199</w:t>
            </w:r>
          </w:p>
        </w:tc>
        <w:tc>
          <w:tcPr>
            <w:tcW w:w="1890" w:type="dxa"/>
            <w:tcBorders>
              <w:top w:val="nil"/>
              <w:left w:val="nil"/>
              <w:bottom w:val="nil"/>
              <w:right w:val="nil"/>
            </w:tcBorders>
            <w:noWrap/>
            <w:vAlign w:val="bottom"/>
            <w:hideMark/>
          </w:tcPr>
          <w:p w14:paraId="5383D4D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-0.471</w:t>
            </w:r>
          </w:p>
        </w:tc>
      </w:tr>
      <w:tr w:rsidR="00B13501" w:rsidRPr="00B13501" w14:paraId="36D96A13" w14:textId="77777777" w:rsidTr="009F7A06">
        <w:trPr>
          <w:trHeight w:val="243"/>
        </w:trPr>
        <w:tc>
          <w:tcPr>
            <w:tcW w:w="1280" w:type="dxa"/>
            <w:tcBorders>
              <w:top w:val="nil"/>
              <w:left w:val="nil"/>
              <w:bottom w:val="nil"/>
              <w:right w:val="nil"/>
            </w:tcBorders>
            <w:noWrap/>
            <w:vAlign w:val="bottom"/>
            <w:hideMark/>
          </w:tcPr>
          <w:p w14:paraId="306B88BA"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ETS</w:t>
            </w:r>
          </w:p>
        </w:tc>
        <w:tc>
          <w:tcPr>
            <w:tcW w:w="1234" w:type="dxa"/>
            <w:tcBorders>
              <w:top w:val="nil"/>
              <w:left w:val="nil"/>
              <w:bottom w:val="nil"/>
              <w:right w:val="nil"/>
            </w:tcBorders>
            <w:noWrap/>
            <w:vAlign w:val="bottom"/>
            <w:hideMark/>
          </w:tcPr>
          <w:p w14:paraId="2869096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0.413</w:t>
            </w:r>
          </w:p>
        </w:tc>
        <w:tc>
          <w:tcPr>
            <w:tcW w:w="1285" w:type="dxa"/>
            <w:tcBorders>
              <w:top w:val="nil"/>
              <w:left w:val="nil"/>
              <w:bottom w:val="nil"/>
              <w:right w:val="nil"/>
            </w:tcBorders>
            <w:noWrap/>
            <w:vAlign w:val="bottom"/>
            <w:hideMark/>
          </w:tcPr>
          <w:p w14:paraId="609BB43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0.202</w:t>
            </w:r>
          </w:p>
        </w:tc>
        <w:tc>
          <w:tcPr>
            <w:tcW w:w="1234" w:type="dxa"/>
            <w:tcBorders>
              <w:top w:val="nil"/>
              <w:left w:val="nil"/>
              <w:bottom w:val="nil"/>
              <w:right w:val="nil"/>
            </w:tcBorders>
            <w:noWrap/>
            <w:vAlign w:val="bottom"/>
            <w:hideMark/>
          </w:tcPr>
          <w:p w14:paraId="505CF04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2.044</w:t>
            </w:r>
          </w:p>
        </w:tc>
        <w:tc>
          <w:tcPr>
            <w:tcW w:w="1234" w:type="dxa"/>
            <w:tcBorders>
              <w:top w:val="nil"/>
              <w:left w:val="nil"/>
              <w:bottom w:val="nil"/>
              <w:right w:val="nil"/>
            </w:tcBorders>
            <w:noWrap/>
            <w:vAlign w:val="bottom"/>
            <w:hideMark/>
          </w:tcPr>
          <w:p w14:paraId="187BA9C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0.043</w:t>
            </w:r>
          </w:p>
        </w:tc>
        <w:tc>
          <w:tcPr>
            <w:tcW w:w="1653" w:type="dxa"/>
            <w:tcBorders>
              <w:top w:val="nil"/>
              <w:left w:val="nil"/>
              <w:bottom w:val="nil"/>
              <w:right w:val="nil"/>
            </w:tcBorders>
            <w:noWrap/>
            <w:vAlign w:val="bottom"/>
            <w:hideMark/>
          </w:tcPr>
          <w:p w14:paraId="5B2C9E5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0.012</w:t>
            </w:r>
          </w:p>
        </w:tc>
        <w:tc>
          <w:tcPr>
            <w:tcW w:w="1890" w:type="dxa"/>
            <w:tcBorders>
              <w:top w:val="nil"/>
              <w:left w:val="nil"/>
              <w:bottom w:val="nil"/>
              <w:right w:val="nil"/>
            </w:tcBorders>
            <w:noWrap/>
            <w:vAlign w:val="bottom"/>
            <w:hideMark/>
          </w:tcPr>
          <w:p w14:paraId="59C35D2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0.813</w:t>
            </w:r>
          </w:p>
        </w:tc>
      </w:tr>
      <w:tr w:rsidR="00B13501" w:rsidRPr="00B13501" w14:paraId="798BA11C" w14:textId="77777777" w:rsidTr="009F7A06">
        <w:trPr>
          <w:trHeight w:val="255"/>
        </w:trPr>
        <w:tc>
          <w:tcPr>
            <w:tcW w:w="1280" w:type="dxa"/>
            <w:tcBorders>
              <w:top w:val="nil"/>
              <w:left w:val="nil"/>
              <w:bottom w:val="single" w:sz="8" w:space="0" w:color="auto"/>
              <w:right w:val="nil"/>
            </w:tcBorders>
            <w:noWrap/>
            <w:vAlign w:val="bottom"/>
            <w:hideMark/>
          </w:tcPr>
          <w:p w14:paraId="4DC72AA0"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ESC</w:t>
            </w:r>
          </w:p>
        </w:tc>
        <w:tc>
          <w:tcPr>
            <w:tcW w:w="1234" w:type="dxa"/>
            <w:tcBorders>
              <w:top w:val="nil"/>
              <w:left w:val="nil"/>
              <w:bottom w:val="single" w:sz="8" w:space="0" w:color="auto"/>
              <w:right w:val="nil"/>
            </w:tcBorders>
            <w:noWrap/>
            <w:vAlign w:val="bottom"/>
            <w:hideMark/>
          </w:tcPr>
          <w:p w14:paraId="6CBB202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0.315</w:t>
            </w:r>
          </w:p>
        </w:tc>
        <w:tc>
          <w:tcPr>
            <w:tcW w:w="1285" w:type="dxa"/>
            <w:tcBorders>
              <w:top w:val="nil"/>
              <w:left w:val="nil"/>
              <w:bottom w:val="single" w:sz="8" w:space="0" w:color="auto"/>
              <w:right w:val="nil"/>
            </w:tcBorders>
            <w:noWrap/>
            <w:vAlign w:val="bottom"/>
            <w:hideMark/>
          </w:tcPr>
          <w:p w14:paraId="61CD64D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0.153</w:t>
            </w:r>
          </w:p>
        </w:tc>
        <w:tc>
          <w:tcPr>
            <w:tcW w:w="1234" w:type="dxa"/>
            <w:tcBorders>
              <w:top w:val="nil"/>
              <w:left w:val="nil"/>
              <w:bottom w:val="single" w:sz="8" w:space="0" w:color="auto"/>
              <w:right w:val="nil"/>
            </w:tcBorders>
            <w:noWrap/>
            <w:vAlign w:val="bottom"/>
            <w:hideMark/>
          </w:tcPr>
          <w:p w14:paraId="1FA1681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2.058</w:t>
            </w:r>
          </w:p>
        </w:tc>
        <w:tc>
          <w:tcPr>
            <w:tcW w:w="1234" w:type="dxa"/>
            <w:tcBorders>
              <w:top w:val="nil"/>
              <w:left w:val="nil"/>
              <w:bottom w:val="single" w:sz="8" w:space="0" w:color="auto"/>
              <w:right w:val="nil"/>
            </w:tcBorders>
            <w:noWrap/>
            <w:vAlign w:val="bottom"/>
            <w:hideMark/>
          </w:tcPr>
          <w:p w14:paraId="0E22FCB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0.042</w:t>
            </w:r>
          </w:p>
        </w:tc>
        <w:tc>
          <w:tcPr>
            <w:tcW w:w="1653" w:type="dxa"/>
            <w:tcBorders>
              <w:top w:val="nil"/>
              <w:left w:val="nil"/>
              <w:bottom w:val="single" w:sz="8" w:space="0" w:color="auto"/>
              <w:right w:val="nil"/>
            </w:tcBorders>
            <w:noWrap/>
            <w:vAlign w:val="bottom"/>
            <w:hideMark/>
          </w:tcPr>
          <w:p w14:paraId="6F46DC5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0.012</w:t>
            </w:r>
          </w:p>
        </w:tc>
        <w:tc>
          <w:tcPr>
            <w:tcW w:w="1890" w:type="dxa"/>
            <w:tcBorders>
              <w:top w:val="nil"/>
              <w:left w:val="nil"/>
              <w:bottom w:val="single" w:sz="8" w:space="0" w:color="auto"/>
              <w:right w:val="nil"/>
            </w:tcBorders>
            <w:noWrap/>
            <w:vAlign w:val="bottom"/>
            <w:hideMark/>
          </w:tcPr>
          <w:p w14:paraId="0C7EDA5C"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0.619</w:t>
            </w:r>
          </w:p>
        </w:tc>
      </w:tr>
    </w:tbl>
    <w:p w14:paraId="7CB09705" w14:textId="77777777" w:rsidR="00B13501" w:rsidRPr="00B13501" w:rsidRDefault="00B13501" w:rsidP="00B13501">
      <w:pPr>
        <w:widowControl/>
        <w:suppressAutoHyphens w:val="0"/>
        <w:overflowPunct/>
        <w:autoSpaceDE/>
        <w:autoSpaceDN/>
        <w:adjustRightInd/>
        <w:spacing w:after="160" w:line="276" w:lineRule="auto"/>
        <w:jc w:val="both"/>
        <w:textAlignment w:val="auto"/>
        <w:rPr>
          <w:b/>
          <w:bCs/>
          <w:kern w:val="0"/>
          <w:lang w:val="en-GB" w:eastAsia="en-US"/>
        </w:rPr>
      </w:pPr>
    </w:p>
    <w:p w14:paraId="1D9E91BB" w14:textId="77777777"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6d</w:t>
      </w:r>
      <w:r w:rsidRPr="00B13501">
        <w:rPr>
          <w:kern w:val="0"/>
          <w:lang w:val="en-GB" w:eastAsia="en-US"/>
        </w:rPr>
        <w:t>: Standardized Model Parameters</w:t>
      </w:r>
    </w:p>
    <w:tbl>
      <w:tblPr>
        <w:tblW w:w="9810" w:type="dxa"/>
        <w:tblLook w:val="04A0" w:firstRow="1" w:lastRow="0" w:firstColumn="1" w:lastColumn="0" w:noHBand="0" w:noVBand="1"/>
      </w:tblPr>
      <w:tblGrid>
        <w:gridCol w:w="1180"/>
        <w:gridCol w:w="1180"/>
        <w:gridCol w:w="1229"/>
        <w:gridCol w:w="1180"/>
        <w:gridCol w:w="1180"/>
        <w:gridCol w:w="1791"/>
        <w:gridCol w:w="2070"/>
      </w:tblGrid>
      <w:tr w:rsidR="00B13501" w:rsidRPr="00B13501" w14:paraId="5F63D88F" w14:textId="77777777" w:rsidTr="009F7A06">
        <w:trPr>
          <w:trHeight w:val="253"/>
        </w:trPr>
        <w:tc>
          <w:tcPr>
            <w:tcW w:w="1180" w:type="dxa"/>
            <w:tcBorders>
              <w:top w:val="single" w:sz="8" w:space="0" w:color="auto"/>
              <w:left w:val="nil"/>
              <w:bottom w:val="nil"/>
              <w:right w:val="nil"/>
            </w:tcBorders>
            <w:noWrap/>
            <w:vAlign w:val="bottom"/>
            <w:hideMark/>
          </w:tcPr>
          <w:p w14:paraId="67497099"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Source</w:t>
            </w:r>
          </w:p>
        </w:tc>
        <w:tc>
          <w:tcPr>
            <w:tcW w:w="1180" w:type="dxa"/>
            <w:tcBorders>
              <w:top w:val="single" w:sz="8" w:space="0" w:color="auto"/>
              <w:left w:val="nil"/>
              <w:bottom w:val="nil"/>
              <w:right w:val="nil"/>
            </w:tcBorders>
            <w:noWrap/>
            <w:vAlign w:val="bottom"/>
            <w:hideMark/>
          </w:tcPr>
          <w:p w14:paraId="07718A3B"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Value</w:t>
            </w:r>
          </w:p>
        </w:tc>
        <w:tc>
          <w:tcPr>
            <w:tcW w:w="1229" w:type="dxa"/>
            <w:tcBorders>
              <w:top w:val="single" w:sz="8" w:space="0" w:color="auto"/>
              <w:left w:val="nil"/>
              <w:bottom w:val="nil"/>
              <w:right w:val="nil"/>
            </w:tcBorders>
            <w:noWrap/>
            <w:vAlign w:val="bottom"/>
            <w:hideMark/>
          </w:tcPr>
          <w:p w14:paraId="29D0BB72"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Standard error</w:t>
            </w:r>
          </w:p>
        </w:tc>
        <w:tc>
          <w:tcPr>
            <w:tcW w:w="1180" w:type="dxa"/>
            <w:tcBorders>
              <w:top w:val="single" w:sz="8" w:space="0" w:color="auto"/>
              <w:left w:val="nil"/>
              <w:bottom w:val="nil"/>
              <w:right w:val="nil"/>
            </w:tcBorders>
            <w:noWrap/>
            <w:vAlign w:val="bottom"/>
            <w:hideMark/>
          </w:tcPr>
          <w:p w14:paraId="47B3DF3A"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t</w:t>
            </w:r>
          </w:p>
        </w:tc>
        <w:tc>
          <w:tcPr>
            <w:tcW w:w="1180" w:type="dxa"/>
            <w:tcBorders>
              <w:top w:val="single" w:sz="8" w:space="0" w:color="auto"/>
              <w:left w:val="nil"/>
              <w:bottom w:val="nil"/>
              <w:right w:val="nil"/>
            </w:tcBorders>
            <w:noWrap/>
            <w:vAlign w:val="bottom"/>
            <w:hideMark/>
          </w:tcPr>
          <w:p w14:paraId="5A87939A"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proofErr w:type="spellStart"/>
            <w:r w:rsidRPr="009E4624">
              <w:rPr>
                <w:b/>
                <w:bCs/>
                <w:color w:val="000000"/>
                <w:kern w:val="0"/>
                <w:lang w:val="en-GB" w:eastAsia="en-GB"/>
              </w:rPr>
              <w:t>Pr</w:t>
            </w:r>
            <w:proofErr w:type="spellEnd"/>
            <w:r w:rsidRPr="009E4624">
              <w:rPr>
                <w:b/>
                <w:bCs/>
                <w:color w:val="000000"/>
                <w:kern w:val="0"/>
                <w:lang w:val="en-GB" w:eastAsia="en-GB"/>
              </w:rPr>
              <w:t xml:space="preserve"> &gt; |t|</w:t>
            </w:r>
          </w:p>
        </w:tc>
        <w:tc>
          <w:tcPr>
            <w:tcW w:w="1791" w:type="dxa"/>
            <w:tcBorders>
              <w:top w:val="single" w:sz="8" w:space="0" w:color="auto"/>
              <w:left w:val="nil"/>
              <w:bottom w:val="nil"/>
              <w:right w:val="nil"/>
            </w:tcBorders>
            <w:noWrap/>
            <w:vAlign w:val="bottom"/>
            <w:hideMark/>
          </w:tcPr>
          <w:p w14:paraId="1E366B7D"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Lower bound (95%)</w:t>
            </w:r>
          </w:p>
        </w:tc>
        <w:tc>
          <w:tcPr>
            <w:tcW w:w="2070" w:type="dxa"/>
            <w:tcBorders>
              <w:top w:val="single" w:sz="8" w:space="0" w:color="auto"/>
              <w:left w:val="nil"/>
              <w:bottom w:val="nil"/>
              <w:right w:val="nil"/>
            </w:tcBorders>
            <w:noWrap/>
            <w:vAlign w:val="bottom"/>
            <w:hideMark/>
          </w:tcPr>
          <w:p w14:paraId="28C66D82"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Upper bound (95%)</w:t>
            </w:r>
          </w:p>
        </w:tc>
      </w:tr>
      <w:tr w:rsidR="00B13501" w:rsidRPr="00B13501" w14:paraId="3F853537" w14:textId="77777777" w:rsidTr="009F7A06">
        <w:trPr>
          <w:trHeight w:val="253"/>
        </w:trPr>
        <w:tc>
          <w:tcPr>
            <w:tcW w:w="1180" w:type="dxa"/>
            <w:tcBorders>
              <w:top w:val="single" w:sz="4" w:space="0" w:color="auto"/>
              <w:left w:val="nil"/>
              <w:bottom w:val="nil"/>
              <w:right w:val="nil"/>
            </w:tcBorders>
            <w:noWrap/>
            <w:vAlign w:val="bottom"/>
            <w:hideMark/>
          </w:tcPr>
          <w:p w14:paraId="1477D8F8"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w:t>
            </w:r>
          </w:p>
        </w:tc>
        <w:tc>
          <w:tcPr>
            <w:tcW w:w="1180" w:type="dxa"/>
            <w:tcBorders>
              <w:top w:val="single" w:sz="4" w:space="0" w:color="auto"/>
              <w:left w:val="nil"/>
              <w:bottom w:val="nil"/>
              <w:right w:val="nil"/>
            </w:tcBorders>
            <w:noWrap/>
            <w:vAlign w:val="bottom"/>
            <w:hideMark/>
          </w:tcPr>
          <w:p w14:paraId="54CB4E9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0.473</w:t>
            </w:r>
          </w:p>
        </w:tc>
        <w:tc>
          <w:tcPr>
            <w:tcW w:w="1229" w:type="dxa"/>
            <w:tcBorders>
              <w:top w:val="single" w:sz="4" w:space="0" w:color="auto"/>
              <w:left w:val="nil"/>
              <w:bottom w:val="nil"/>
              <w:right w:val="nil"/>
            </w:tcBorders>
            <w:noWrap/>
            <w:vAlign w:val="bottom"/>
            <w:hideMark/>
          </w:tcPr>
          <w:p w14:paraId="16933FB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0.115</w:t>
            </w:r>
          </w:p>
        </w:tc>
        <w:tc>
          <w:tcPr>
            <w:tcW w:w="1180" w:type="dxa"/>
            <w:tcBorders>
              <w:top w:val="single" w:sz="4" w:space="0" w:color="auto"/>
              <w:left w:val="nil"/>
              <w:bottom w:val="nil"/>
              <w:right w:val="nil"/>
            </w:tcBorders>
            <w:noWrap/>
            <w:vAlign w:val="bottom"/>
            <w:hideMark/>
          </w:tcPr>
          <w:p w14:paraId="2A010EA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4.124</w:t>
            </w:r>
          </w:p>
        </w:tc>
        <w:tc>
          <w:tcPr>
            <w:tcW w:w="1180" w:type="dxa"/>
            <w:tcBorders>
              <w:top w:val="single" w:sz="4" w:space="0" w:color="auto"/>
              <w:left w:val="nil"/>
              <w:bottom w:val="nil"/>
              <w:right w:val="nil"/>
            </w:tcBorders>
            <w:noWrap/>
            <w:vAlign w:val="bottom"/>
            <w:hideMark/>
          </w:tcPr>
          <w:p w14:paraId="059CD49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791" w:type="dxa"/>
            <w:tcBorders>
              <w:top w:val="single" w:sz="4" w:space="0" w:color="auto"/>
              <w:left w:val="nil"/>
              <w:bottom w:val="nil"/>
              <w:right w:val="nil"/>
            </w:tcBorders>
            <w:noWrap/>
            <w:vAlign w:val="bottom"/>
            <w:hideMark/>
          </w:tcPr>
          <w:p w14:paraId="6C94AB9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0.245</w:t>
            </w:r>
          </w:p>
        </w:tc>
        <w:tc>
          <w:tcPr>
            <w:tcW w:w="2070" w:type="dxa"/>
            <w:tcBorders>
              <w:top w:val="single" w:sz="4" w:space="0" w:color="auto"/>
              <w:left w:val="nil"/>
              <w:bottom w:val="nil"/>
              <w:right w:val="nil"/>
            </w:tcBorders>
            <w:noWrap/>
            <w:vAlign w:val="bottom"/>
            <w:hideMark/>
          </w:tcPr>
          <w:p w14:paraId="1E8716D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0.700</w:t>
            </w:r>
          </w:p>
        </w:tc>
      </w:tr>
      <w:tr w:rsidR="00B13501" w:rsidRPr="00B13501" w14:paraId="6B66A33A" w14:textId="77777777" w:rsidTr="009F7A06">
        <w:trPr>
          <w:trHeight w:val="253"/>
        </w:trPr>
        <w:tc>
          <w:tcPr>
            <w:tcW w:w="1180" w:type="dxa"/>
            <w:tcBorders>
              <w:top w:val="nil"/>
              <w:left w:val="nil"/>
              <w:bottom w:val="nil"/>
              <w:right w:val="nil"/>
            </w:tcBorders>
            <w:noWrap/>
            <w:vAlign w:val="bottom"/>
            <w:hideMark/>
          </w:tcPr>
          <w:p w14:paraId="74574E67"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EP</w:t>
            </w:r>
          </w:p>
        </w:tc>
        <w:tc>
          <w:tcPr>
            <w:tcW w:w="1180" w:type="dxa"/>
            <w:tcBorders>
              <w:top w:val="nil"/>
              <w:left w:val="nil"/>
              <w:bottom w:val="nil"/>
              <w:right w:val="nil"/>
            </w:tcBorders>
            <w:noWrap/>
            <w:vAlign w:val="bottom"/>
            <w:hideMark/>
          </w:tcPr>
          <w:p w14:paraId="5467B3F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0.461</w:t>
            </w:r>
          </w:p>
        </w:tc>
        <w:tc>
          <w:tcPr>
            <w:tcW w:w="1229" w:type="dxa"/>
            <w:tcBorders>
              <w:top w:val="nil"/>
              <w:left w:val="nil"/>
              <w:bottom w:val="nil"/>
              <w:right w:val="nil"/>
            </w:tcBorders>
            <w:noWrap/>
            <w:vAlign w:val="bottom"/>
            <w:hideMark/>
          </w:tcPr>
          <w:p w14:paraId="296ED50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0.132</w:t>
            </w:r>
          </w:p>
        </w:tc>
        <w:tc>
          <w:tcPr>
            <w:tcW w:w="1180" w:type="dxa"/>
            <w:tcBorders>
              <w:top w:val="nil"/>
              <w:left w:val="nil"/>
              <w:bottom w:val="nil"/>
              <w:right w:val="nil"/>
            </w:tcBorders>
            <w:noWrap/>
            <w:vAlign w:val="bottom"/>
            <w:hideMark/>
          </w:tcPr>
          <w:p w14:paraId="1BEF5B6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3.483</w:t>
            </w:r>
          </w:p>
        </w:tc>
        <w:tc>
          <w:tcPr>
            <w:tcW w:w="1180" w:type="dxa"/>
            <w:tcBorders>
              <w:top w:val="nil"/>
              <w:left w:val="nil"/>
              <w:bottom w:val="nil"/>
              <w:right w:val="nil"/>
            </w:tcBorders>
            <w:noWrap/>
            <w:vAlign w:val="bottom"/>
            <w:hideMark/>
          </w:tcPr>
          <w:p w14:paraId="4891C9B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0.001</w:t>
            </w:r>
          </w:p>
        </w:tc>
        <w:tc>
          <w:tcPr>
            <w:tcW w:w="1791" w:type="dxa"/>
            <w:tcBorders>
              <w:top w:val="nil"/>
              <w:left w:val="nil"/>
              <w:bottom w:val="nil"/>
              <w:right w:val="nil"/>
            </w:tcBorders>
            <w:noWrap/>
            <w:vAlign w:val="bottom"/>
            <w:hideMark/>
          </w:tcPr>
          <w:p w14:paraId="1BF563A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0.199</w:t>
            </w:r>
          </w:p>
        </w:tc>
        <w:tc>
          <w:tcPr>
            <w:tcW w:w="2070" w:type="dxa"/>
            <w:tcBorders>
              <w:top w:val="nil"/>
              <w:left w:val="nil"/>
              <w:bottom w:val="nil"/>
              <w:right w:val="nil"/>
            </w:tcBorders>
            <w:noWrap/>
            <w:vAlign w:val="bottom"/>
            <w:hideMark/>
          </w:tcPr>
          <w:p w14:paraId="2FFBD6A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0.724</w:t>
            </w:r>
          </w:p>
        </w:tc>
      </w:tr>
      <w:tr w:rsidR="00B13501" w:rsidRPr="00B13501" w14:paraId="62757199" w14:textId="77777777" w:rsidTr="009F7A06">
        <w:trPr>
          <w:trHeight w:val="253"/>
        </w:trPr>
        <w:tc>
          <w:tcPr>
            <w:tcW w:w="1180" w:type="dxa"/>
            <w:tcBorders>
              <w:top w:val="nil"/>
              <w:left w:val="nil"/>
              <w:bottom w:val="nil"/>
              <w:right w:val="nil"/>
            </w:tcBorders>
            <w:noWrap/>
            <w:vAlign w:val="bottom"/>
            <w:hideMark/>
          </w:tcPr>
          <w:p w14:paraId="5B90CAC0"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EL</w:t>
            </w:r>
          </w:p>
        </w:tc>
        <w:tc>
          <w:tcPr>
            <w:tcW w:w="1180" w:type="dxa"/>
            <w:tcBorders>
              <w:top w:val="nil"/>
              <w:left w:val="nil"/>
              <w:bottom w:val="nil"/>
              <w:right w:val="nil"/>
            </w:tcBorders>
            <w:noWrap/>
            <w:vAlign w:val="bottom"/>
            <w:hideMark/>
          </w:tcPr>
          <w:p w14:paraId="5CBF0A2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-0.650</w:t>
            </w:r>
          </w:p>
        </w:tc>
        <w:tc>
          <w:tcPr>
            <w:tcW w:w="1229" w:type="dxa"/>
            <w:tcBorders>
              <w:top w:val="nil"/>
              <w:left w:val="nil"/>
              <w:bottom w:val="nil"/>
              <w:right w:val="nil"/>
            </w:tcBorders>
            <w:noWrap/>
            <w:vAlign w:val="bottom"/>
            <w:hideMark/>
          </w:tcPr>
          <w:p w14:paraId="27F480C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0.143</w:t>
            </w:r>
          </w:p>
        </w:tc>
        <w:tc>
          <w:tcPr>
            <w:tcW w:w="1180" w:type="dxa"/>
            <w:tcBorders>
              <w:top w:val="nil"/>
              <w:left w:val="nil"/>
              <w:bottom w:val="nil"/>
              <w:right w:val="nil"/>
            </w:tcBorders>
            <w:noWrap/>
            <w:vAlign w:val="bottom"/>
            <w:hideMark/>
          </w:tcPr>
          <w:p w14:paraId="69FD6EF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-4.548</w:t>
            </w:r>
          </w:p>
        </w:tc>
        <w:tc>
          <w:tcPr>
            <w:tcW w:w="1180" w:type="dxa"/>
            <w:tcBorders>
              <w:top w:val="nil"/>
              <w:left w:val="nil"/>
              <w:bottom w:val="nil"/>
              <w:right w:val="nil"/>
            </w:tcBorders>
            <w:noWrap/>
            <w:vAlign w:val="bottom"/>
            <w:hideMark/>
          </w:tcPr>
          <w:p w14:paraId="3A96F2A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791" w:type="dxa"/>
            <w:tcBorders>
              <w:top w:val="nil"/>
              <w:left w:val="nil"/>
              <w:bottom w:val="nil"/>
              <w:right w:val="nil"/>
            </w:tcBorders>
            <w:noWrap/>
            <w:vAlign w:val="bottom"/>
            <w:hideMark/>
          </w:tcPr>
          <w:p w14:paraId="4BE8440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-0.933</w:t>
            </w:r>
          </w:p>
        </w:tc>
        <w:tc>
          <w:tcPr>
            <w:tcW w:w="2070" w:type="dxa"/>
            <w:tcBorders>
              <w:top w:val="nil"/>
              <w:left w:val="nil"/>
              <w:bottom w:val="nil"/>
              <w:right w:val="nil"/>
            </w:tcBorders>
            <w:noWrap/>
            <w:vAlign w:val="bottom"/>
            <w:hideMark/>
          </w:tcPr>
          <w:p w14:paraId="28871D2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-0.366</w:t>
            </w:r>
          </w:p>
        </w:tc>
      </w:tr>
      <w:tr w:rsidR="00B13501" w:rsidRPr="00B13501" w14:paraId="0E74B01F" w14:textId="77777777" w:rsidTr="009F7A06">
        <w:trPr>
          <w:trHeight w:val="253"/>
        </w:trPr>
        <w:tc>
          <w:tcPr>
            <w:tcW w:w="1180" w:type="dxa"/>
            <w:tcBorders>
              <w:top w:val="nil"/>
              <w:left w:val="nil"/>
              <w:bottom w:val="nil"/>
              <w:right w:val="nil"/>
            </w:tcBorders>
            <w:noWrap/>
            <w:vAlign w:val="bottom"/>
            <w:hideMark/>
          </w:tcPr>
          <w:p w14:paraId="4E93E907"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ETS</w:t>
            </w:r>
          </w:p>
        </w:tc>
        <w:tc>
          <w:tcPr>
            <w:tcW w:w="1180" w:type="dxa"/>
            <w:tcBorders>
              <w:top w:val="nil"/>
              <w:left w:val="nil"/>
              <w:bottom w:val="nil"/>
              <w:right w:val="nil"/>
            </w:tcBorders>
            <w:noWrap/>
            <w:vAlign w:val="bottom"/>
            <w:hideMark/>
          </w:tcPr>
          <w:p w14:paraId="1B5F815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0.378</w:t>
            </w:r>
          </w:p>
        </w:tc>
        <w:tc>
          <w:tcPr>
            <w:tcW w:w="1229" w:type="dxa"/>
            <w:tcBorders>
              <w:top w:val="nil"/>
              <w:left w:val="nil"/>
              <w:bottom w:val="nil"/>
              <w:right w:val="nil"/>
            </w:tcBorders>
            <w:noWrap/>
            <w:vAlign w:val="bottom"/>
            <w:hideMark/>
          </w:tcPr>
          <w:p w14:paraId="39F1D19B"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0.185</w:t>
            </w:r>
          </w:p>
        </w:tc>
        <w:tc>
          <w:tcPr>
            <w:tcW w:w="1180" w:type="dxa"/>
            <w:tcBorders>
              <w:top w:val="nil"/>
              <w:left w:val="nil"/>
              <w:bottom w:val="nil"/>
              <w:right w:val="nil"/>
            </w:tcBorders>
            <w:noWrap/>
            <w:vAlign w:val="bottom"/>
            <w:hideMark/>
          </w:tcPr>
          <w:p w14:paraId="0D02E97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2.044</w:t>
            </w:r>
          </w:p>
        </w:tc>
        <w:tc>
          <w:tcPr>
            <w:tcW w:w="1180" w:type="dxa"/>
            <w:tcBorders>
              <w:top w:val="nil"/>
              <w:left w:val="nil"/>
              <w:bottom w:val="nil"/>
              <w:right w:val="nil"/>
            </w:tcBorders>
            <w:noWrap/>
            <w:vAlign w:val="bottom"/>
            <w:hideMark/>
          </w:tcPr>
          <w:p w14:paraId="43C3895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0.043</w:t>
            </w:r>
          </w:p>
        </w:tc>
        <w:tc>
          <w:tcPr>
            <w:tcW w:w="1791" w:type="dxa"/>
            <w:tcBorders>
              <w:top w:val="nil"/>
              <w:left w:val="nil"/>
              <w:bottom w:val="nil"/>
              <w:right w:val="nil"/>
            </w:tcBorders>
            <w:noWrap/>
            <w:vAlign w:val="bottom"/>
            <w:hideMark/>
          </w:tcPr>
          <w:p w14:paraId="3F78CC4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0.011</w:t>
            </w:r>
          </w:p>
        </w:tc>
        <w:tc>
          <w:tcPr>
            <w:tcW w:w="2070" w:type="dxa"/>
            <w:tcBorders>
              <w:top w:val="nil"/>
              <w:left w:val="nil"/>
              <w:bottom w:val="nil"/>
              <w:right w:val="nil"/>
            </w:tcBorders>
            <w:noWrap/>
            <w:vAlign w:val="bottom"/>
            <w:hideMark/>
          </w:tcPr>
          <w:p w14:paraId="1840F14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0.746</w:t>
            </w:r>
          </w:p>
        </w:tc>
      </w:tr>
      <w:tr w:rsidR="00B13501" w:rsidRPr="00B13501" w14:paraId="2097A868" w14:textId="77777777" w:rsidTr="009F7A06">
        <w:trPr>
          <w:trHeight w:val="266"/>
        </w:trPr>
        <w:tc>
          <w:tcPr>
            <w:tcW w:w="1180" w:type="dxa"/>
            <w:tcBorders>
              <w:top w:val="nil"/>
              <w:left w:val="nil"/>
              <w:bottom w:val="single" w:sz="8" w:space="0" w:color="auto"/>
              <w:right w:val="nil"/>
            </w:tcBorders>
            <w:noWrap/>
            <w:vAlign w:val="bottom"/>
            <w:hideMark/>
          </w:tcPr>
          <w:p w14:paraId="2D9556C0"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ESC</w:t>
            </w:r>
          </w:p>
        </w:tc>
        <w:tc>
          <w:tcPr>
            <w:tcW w:w="1180" w:type="dxa"/>
            <w:tcBorders>
              <w:top w:val="nil"/>
              <w:left w:val="nil"/>
              <w:bottom w:val="single" w:sz="8" w:space="0" w:color="auto"/>
              <w:right w:val="nil"/>
            </w:tcBorders>
            <w:noWrap/>
            <w:vAlign w:val="bottom"/>
            <w:hideMark/>
          </w:tcPr>
          <w:p w14:paraId="552DD42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0.301</w:t>
            </w:r>
          </w:p>
        </w:tc>
        <w:tc>
          <w:tcPr>
            <w:tcW w:w="1229" w:type="dxa"/>
            <w:tcBorders>
              <w:top w:val="nil"/>
              <w:left w:val="nil"/>
              <w:bottom w:val="single" w:sz="8" w:space="0" w:color="auto"/>
              <w:right w:val="nil"/>
            </w:tcBorders>
            <w:noWrap/>
            <w:vAlign w:val="bottom"/>
            <w:hideMark/>
          </w:tcPr>
          <w:p w14:paraId="5A308BD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0.146</w:t>
            </w:r>
          </w:p>
        </w:tc>
        <w:tc>
          <w:tcPr>
            <w:tcW w:w="1180" w:type="dxa"/>
            <w:tcBorders>
              <w:top w:val="nil"/>
              <w:left w:val="nil"/>
              <w:bottom w:val="single" w:sz="8" w:space="0" w:color="auto"/>
              <w:right w:val="nil"/>
            </w:tcBorders>
            <w:noWrap/>
            <w:vAlign w:val="bottom"/>
            <w:hideMark/>
          </w:tcPr>
          <w:p w14:paraId="1370E53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2.058</w:t>
            </w:r>
          </w:p>
        </w:tc>
        <w:tc>
          <w:tcPr>
            <w:tcW w:w="1180" w:type="dxa"/>
            <w:tcBorders>
              <w:top w:val="nil"/>
              <w:left w:val="nil"/>
              <w:bottom w:val="single" w:sz="8" w:space="0" w:color="auto"/>
              <w:right w:val="nil"/>
            </w:tcBorders>
            <w:noWrap/>
            <w:vAlign w:val="bottom"/>
            <w:hideMark/>
          </w:tcPr>
          <w:p w14:paraId="6D160E0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0.042</w:t>
            </w:r>
          </w:p>
        </w:tc>
        <w:tc>
          <w:tcPr>
            <w:tcW w:w="1791" w:type="dxa"/>
            <w:tcBorders>
              <w:top w:val="nil"/>
              <w:left w:val="nil"/>
              <w:bottom w:val="single" w:sz="8" w:space="0" w:color="auto"/>
              <w:right w:val="nil"/>
            </w:tcBorders>
            <w:noWrap/>
            <w:vAlign w:val="bottom"/>
            <w:hideMark/>
          </w:tcPr>
          <w:p w14:paraId="0223F77C"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0.011</w:t>
            </w:r>
          </w:p>
        </w:tc>
        <w:tc>
          <w:tcPr>
            <w:tcW w:w="2070" w:type="dxa"/>
            <w:tcBorders>
              <w:top w:val="nil"/>
              <w:left w:val="nil"/>
              <w:bottom w:val="single" w:sz="8" w:space="0" w:color="auto"/>
              <w:right w:val="nil"/>
            </w:tcBorders>
            <w:noWrap/>
            <w:vAlign w:val="bottom"/>
            <w:hideMark/>
          </w:tcPr>
          <w:p w14:paraId="38DA0FA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0.591</w:t>
            </w:r>
          </w:p>
        </w:tc>
      </w:tr>
    </w:tbl>
    <w:p w14:paraId="7524585F" w14:textId="6582F78E"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b/>
          <w:kern w:val="0"/>
          <w:lang w:val="en-GB" w:eastAsia="en-US"/>
        </w:rPr>
      </w:pPr>
      <w:r w:rsidRPr="00B13501">
        <w:rPr>
          <w:b/>
          <w:kern w:val="0"/>
          <w:lang w:val="en-GB" w:eastAsia="en-US"/>
        </w:rPr>
        <w:t>4. Conclusion</w:t>
      </w:r>
    </w:p>
    <w:p w14:paraId="0E5F365E" w14:textId="7ADB587B"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kern w:val="0"/>
          <w:lang w:val="en-GB" w:eastAsia="en-US"/>
        </w:rPr>
      </w:pPr>
      <w:r w:rsidRPr="00B13501">
        <w:rPr>
          <w:kern w:val="0"/>
          <w:lang w:val="en-GB" w:eastAsia="en-US"/>
        </w:rPr>
        <w:t>Based on the findings of this study it was concluded that</w:t>
      </w:r>
      <w:r w:rsidR="00C70D69">
        <w:rPr>
          <w:kern w:val="0"/>
          <w:lang w:val="en-GB" w:eastAsia="en-US"/>
        </w:rPr>
        <w:t xml:space="preserve">: </w:t>
      </w:r>
      <w:r w:rsidRPr="00B13501">
        <w:rPr>
          <w:kern w:val="0"/>
          <w:lang w:val="en-GB" w:eastAsia="en-US"/>
        </w:rPr>
        <w:t>one, there is substantial and moderate level of emergency preparedness in the sampled government-owned hospital in Rivers State</w:t>
      </w:r>
      <w:r w:rsidR="00C70D69">
        <w:rPr>
          <w:kern w:val="0"/>
          <w:lang w:val="en-GB" w:eastAsia="en-US"/>
        </w:rPr>
        <w:t>, UPTH</w:t>
      </w:r>
      <w:r w:rsidRPr="00B13501">
        <w:rPr>
          <w:kern w:val="0"/>
          <w:lang w:val="en-GB" w:eastAsia="en-US"/>
        </w:rPr>
        <w:t xml:space="preserve"> in terms of emergency training, emergency planning, logistics availability, triage system and surge capability, and there is a substantially high level of emergency response among the healthcare workers in terms of their promptness and responsiveness</w:t>
      </w:r>
      <w:r w:rsidR="00C70D69">
        <w:rPr>
          <w:kern w:val="0"/>
          <w:lang w:val="en-GB" w:eastAsia="en-US"/>
        </w:rPr>
        <w:t>.</w:t>
      </w:r>
      <w:r w:rsidRPr="00B13501">
        <w:rPr>
          <w:kern w:val="0"/>
          <w:lang w:val="en-GB" w:eastAsia="en-US"/>
        </w:rPr>
        <w:t xml:space="preserve"> </w:t>
      </w:r>
      <w:r w:rsidR="00C70D69">
        <w:rPr>
          <w:kern w:val="0"/>
          <w:lang w:val="en-GB" w:eastAsia="en-US"/>
        </w:rPr>
        <w:t>I</w:t>
      </w:r>
      <w:r w:rsidRPr="00B13501">
        <w:rPr>
          <w:kern w:val="0"/>
          <w:lang w:val="en-GB" w:eastAsia="en-US"/>
        </w:rPr>
        <w:t>t was</w:t>
      </w:r>
      <w:r w:rsidR="00C70D69">
        <w:rPr>
          <w:kern w:val="0"/>
          <w:lang w:val="en-GB" w:eastAsia="en-US"/>
        </w:rPr>
        <w:t xml:space="preserve"> further</w:t>
      </w:r>
      <w:r w:rsidRPr="00B13501">
        <w:rPr>
          <w:kern w:val="0"/>
          <w:lang w:val="en-GB" w:eastAsia="en-US"/>
        </w:rPr>
        <w:t xml:space="preserve"> concluded that only emergency surge capacity and logistics availability have no significant impact on promptness while the impact of emergency training on promptness was negative and significant whereas all indicators of emergency preparedness have positive and significant impact on responsiveness.</w:t>
      </w:r>
    </w:p>
    <w:p w14:paraId="75B55F61" w14:textId="4BDE6D6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rFonts w:eastAsia="Calibri"/>
          <w:b/>
          <w:kern w:val="0"/>
          <w:lang w:val="en-GB" w:eastAsia="en-US"/>
        </w:rPr>
      </w:pPr>
      <w:r w:rsidRPr="00B13501">
        <w:rPr>
          <w:rFonts w:eastAsia="Calibri"/>
          <w:b/>
          <w:kern w:val="0"/>
          <w:lang w:val="en-GB" w:eastAsia="en-US"/>
        </w:rPr>
        <w:t xml:space="preserve">5. Recommendations </w:t>
      </w:r>
    </w:p>
    <w:p w14:paraId="4A190506" w14:textId="36FB445D"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B13501">
        <w:rPr>
          <w:rFonts w:eastAsia="Calibri"/>
          <w:kern w:val="0"/>
          <w:lang w:val="en-GB" w:eastAsia="en-US"/>
        </w:rPr>
        <w:t>Based on the</w:t>
      </w:r>
      <w:r w:rsidR="00C70D69">
        <w:rPr>
          <w:rFonts w:eastAsia="Calibri"/>
          <w:kern w:val="0"/>
          <w:lang w:val="en-GB" w:eastAsia="en-US"/>
        </w:rPr>
        <w:t xml:space="preserve"> findings of this study</w:t>
      </w:r>
      <w:r w:rsidRPr="00B13501">
        <w:rPr>
          <w:rFonts w:eastAsia="Calibri"/>
          <w:kern w:val="0"/>
          <w:lang w:val="en-GB" w:eastAsia="en-US"/>
        </w:rPr>
        <w:t xml:space="preserve">, </w:t>
      </w:r>
      <w:r w:rsidR="00C70D69">
        <w:rPr>
          <w:rFonts w:eastAsia="Calibri"/>
          <w:kern w:val="0"/>
          <w:lang w:val="en-GB" w:eastAsia="en-US"/>
        </w:rPr>
        <w:t>the following recommendations are made:</w:t>
      </w:r>
    </w:p>
    <w:p w14:paraId="3CE28987" w14:textId="531F5D06" w:rsidR="00B13501" w:rsidRPr="00C70D69" w:rsidRDefault="00B13501" w:rsidP="00C70D69">
      <w:pPr>
        <w:pStyle w:val="ListParagraph"/>
        <w:widowControl/>
        <w:numPr>
          <w:ilvl w:val="0"/>
          <w:numId w:val="2"/>
        </w:numPr>
        <w:suppressAutoHyphens w:val="0"/>
        <w:overflowPunct/>
        <w:autoSpaceDE/>
        <w:autoSpaceDN/>
        <w:adjustRightInd/>
        <w:spacing w:before="100" w:beforeAutospacing="1" w:after="100" w:afterAutospacing="1"/>
        <w:jc w:val="both"/>
        <w:textAlignment w:val="auto"/>
        <w:rPr>
          <w:rFonts w:ascii="Calibri" w:eastAsia="Calibri" w:hAnsi="Calibri"/>
          <w:kern w:val="0"/>
          <w:sz w:val="22"/>
          <w:szCs w:val="22"/>
          <w:lang w:val="en-GB" w:eastAsia="en-US"/>
        </w:rPr>
      </w:pPr>
      <w:r w:rsidRPr="00C70D69">
        <w:rPr>
          <w:rFonts w:eastAsia="Calibri"/>
          <w:kern w:val="0"/>
          <w:lang w:val="en-GB" w:eastAsia="en-US"/>
        </w:rPr>
        <w:t>The hospital management and government should improve the emergency preparedness of the hospital</w:t>
      </w:r>
      <w:r w:rsidR="00C70D69">
        <w:rPr>
          <w:rFonts w:eastAsia="Calibri"/>
          <w:kern w:val="0"/>
          <w:lang w:val="en-GB" w:eastAsia="en-US"/>
        </w:rPr>
        <w:t xml:space="preserve"> in the study area</w:t>
      </w:r>
      <w:r w:rsidRPr="00C70D69">
        <w:rPr>
          <w:rFonts w:eastAsia="Calibri"/>
          <w:kern w:val="0"/>
          <w:lang w:val="en-GB" w:eastAsia="en-US"/>
        </w:rPr>
        <w:t xml:space="preserve">, particularly in areas of logistic availability, surge capacity and </w:t>
      </w:r>
      <w:r w:rsidR="00236723" w:rsidRPr="00C70D69">
        <w:rPr>
          <w:rFonts w:eastAsia="Calibri"/>
          <w:kern w:val="0"/>
          <w:lang w:val="en-GB" w:eastAsia="en-US"/>
        </w:rPr>
        <w:t>training</w:t>
      </w:r>
      <w:r w:rsidRPr="00C70D69">
        <w:rPr>
          <w:rFonts w:eastAsia="Calibri"/>
          <w:kern w:val="0"/>
          <w:lang w:val="en-GB" w:eastAsia="en-US"/>
        </w:rPr>
        <w:t xml:space="preserve"> in line with standard hospital emergency preparedness guidelines to enhance their impact on promptness and responsiveness</w:t>
      </w:r>
      <w:r w:rsidR="00C70D69">
        <w:rPr>
          <w:rFonts w:eastAsia="Calibri"/>
          <w:kern w:val="0"/>
          <w:lang w:val="en-GB" w:eastAsia="en-US"/>
        </w:rPr>
        <w:t>;</w:t>
      </w:r>
    </w:p>
    <w:p w14:paraId="59C2CB6B" w14:textId="6211B44A" w:rsidR="00B13501" w:rsidRPr="00B13501" w:rsidRDefault="00B13501" w:rsidP="00B13501">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sidRPr="00B13501">
        <w:rPr>
          <w:rFonts w:eastAsia="Calibri"/>
          <w:kern w:val="0"/>
          <w:lang w:val="en-GB" w:eastAsia="en-US"/>
        </w:rPr>
        <w:t xml:space="preserve">The management of the hospital should improve the surge capacity </w:t>
      </w:r>
      <w:r w:rsidR="00C01E9F">
        <w:rPr>
          <w:rFonts w:eastAsia="Calibri"/>
          <w:kern w:val="0"/>
          <w:lang w:val="en-GB" w:eastAsia="en-US"/>
        </w:rPr>
        <w:t xml:space="preserve">and logistics availability </w:t>
      </w:r>
      <w:r w:rsidRPr="00B13501">
        <w:rPr>
          <w:rFonts w:eastAsia="Calibri"/>
          <w:kern w:val="0"/>
          <w:lang w:val="en-GB" w:eastAsia="en-US"/>
        </w:rPr>
        <w:t xml:space="preserve">of the hospital by providing sufficient bed space and bed </w:t>
      </w:r>
      <w:r w:rsidR="00C01E9F">
        <w:rPr>
          <w:rFonts w:eastAsia="Calibri"/>
          <w:kern w:val="0"/>
          <w:lang w:val="en-GB" w:eastAsia="en-US"/>
        </w:rPr>
        <w:t xml:space="preserve">logistics </w:t>
      </w:r>
      <w:r w:rsidRPr="00B13501">
        <w:rPr>
          <w:rFonts w:eastAsia="Calibri"/>
          <w:kern w:val="0"/>
          <w:lang w:val="en-GB" w:eastAsia="en-US"/>
        </w:rPr>
        <w:t xml:space="preserve">which are required during emergency response as well as </w:t>
      </w:r>
      <w:r w:rsidRPr="00B13501">
        <w:rPr>
          <w:rFonts w:eastAsia="Calibri"/>
          <w:color w:val="000000"/>
          <w:kern w:val="0"/>
          <w:lang w:val="en-GB" w:eastAsia="en-US"/>
        </w:rPr>
        <w:t xml:space="preserve">hiring more healthcare workers to handle substantial amount of emergency surge during emergency response because </w:t>
      </w:r>
      <w:r w:rsidR="00C01E9F">
        <w:rPr>
          <w:rFonts w:eastAsia="Calibri"/>
          <w:color w:val="000000"/>
          <w:kern w:val="0"/>
          <w:lang w:val="en-GB" w:eastAsia="en-US"/>
        </w:rPr>
        <w:t>they are</w:t>
      </w:r>
      <w:r w:rsidRPr="00B13501">
        <w:rPr>
          <w:rFonts w:eastAsia="Calibri"/>
          <w:color w:val="000000"/>
          <w:kern w:val="0"/>
          <w:lang w:val="en-GB" w:eastAsia="en-US"/>
        </w:rPr>
        <w:t xml:space="preserve"> the only emergency preparedness factors that has insignificant impact on promptness</w:t>
      </w:r>
      <w:r w:rsidR="00C70D69">
        <w:rPr>
          <w:rFonts w:eastAsia="Calibri"/>
          <w:color w:val="000000"/>
          <w:kern w:val="0"/>
          <w:lang w:val="en-GB" w:eastAsia="en-US"/>
        </w:rPr>
        <w:t xml:space="preserve">; and </w:t>
      </w:r>
    </w:p>
    <w:p w14:paraId="2102BDBC" w14:textId="5CAD35D0" w:rsidR="00B13501" w:rsidRPr="00B13501" w:rsidRDefault="00C70D69" w:rsidP="00B13501">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Pr>
          <w:rFonts w:eastAsia="Calibri"/>
          <w:color w:val="000000"/>
          <w:kern w:val="0"/>
          <w:lang w:val="en-GB" w:eastAsia="en-US"/>
        </w:rPr>
        <w:lastRenderedPageBreak/>
        <w:t>H</w:t>
      </w:r>
      <w:r w:rsidR="00B13501" w:rsidRPr="00B13501">
        <w:rPr>
          <w:rFonts w:eastAsia="Calibri"/>
          <w:kern w:val="0"/>
          <w:lang w:val="en-GB" w:eastAsia="en-US"/>
        </w:rPr>
        <w:t>ealthcare workers should be properly and suitably motivated at times through suitable remunerations and promotion to enhance their response not only during normal services but also during external emergencies.</w:t>
      </w:r>
    </w:p>
    <w:p w14:paraId="0135A46D"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rFonts w:eastAsia="Calibri"/>
          <w:b/>
          <w:kern w:val="0"/>
          <w:lang w:val="en-GB" w:eastAsia="en-US"/>
        </w:rPr>
      </w:pPr>
      <w:r w:rsidRPr="00B13501">
        <w:rPr>
          <w:rFonts w:eastAsia="Calibri"/>
          <w:b/>
          <w:kern w:val="0"/>
          <w:lang w:val="en-GB" w:eastAsia="en-US"/>
        </w:rPr>
        <w:t xml:space="preserve">References </w:t>
      </w:r>
    </w:p>
    <w:p w14:paraId="01F195E2" w14:textId="77777777" w:rsidR="00B13501" w:rsidRPr="00B13501" w:rsidRDefault="00B13501" w:rsidP="00B13501">
      <w:pPr>
        <w:widowControl/>
        <w:suppressAutoHyphens w:val="0"/>
        <w:overflowPunct/>
        <w:spacing w:before="240" w:after="160"/>
        <w:jc w:val="both"/>
        <w:textAlignment w:val="auto"/>
        <w:rPr>
          <w:rFonts w:eastAsia="Calibri"/>
          <w:kern w:val="0"/>
          <w:lang w:val="en-GB" w:eastAsia="en-US"/>
        </w:rPr>
      </w:pPr>
      <w:r w:rsidRPr="00B13501">
        <w:rPr>
          <w:rFonts w:eastAsia="Calibri"/>
          <w:kern w:val="0"/>
          <w:lang w:val="en-GB" w:eastAsia="en-US"/>
        </w:rPr>
        <w:t xml:space="preserve">Abdulsalam, A., Kabir, R. &amp; Arafat, S.M.Y. (2016). Assessment of fire safety preparedness in selected health institutions in Niger State. </w:t>
      </w:r>
      <w:r w:rsidRPr="00B13501">
        <w:rPr>
          <w:rFonts w:eastAsia="Calibri"/>
          <w:i/>
          <w:iCs/>
          <w:kern w:val="0"/>
          <w:lang w:val="en-GB" w:eastAsia="en-US"/>
        </w:rPr>
        <w:t>International Journal of Perceptions in Public Health</w:t>
      </w:r>
      <w:r w:rsidRPr="00B13501">
        <w:rPr>
          <w:rFonts w:eastAsia="Calibri"/>
          <w:kern w:val="0"/>
          <w:lang w:val="en-GB" w:eastAsia="en-US"/>
        </w:rPr>
        <w:t>, 1(1):50-58.</w:t>
      </w:r>
    </w:p>
    <w:p w14:paraId="2C0FBFFE" w14:textId="7A2D5B34" w:rsidR="00B13501" w:rsidRPr="00B13501" w:rsidRDefault="00B13501" w:rsidP="00B13501">
      <w:pPr>
        <w:widowControl/>
        <w:suppressAutoHyphens w:val="0"/>
        <w:overflowPunct/>
        <w:spacing w:before="240" w:after="160"/>
        <w:jc w:val="both"/>
        <w:textAlignment w:val="auto"/>
        <w:rPr>
          <w:rFonts w:eastAsia="Calibri"/>
          <w:kern w:val="0"/>
          <w:lang w:val="en-GB" w:eastAsia="en-US"/>
        </w:rPr>
      </w:pPr>
      <w:proofErr w:type="spellStart"/>
      <w:r w:rsidRPr="00B13501">
        <w:rPr>
          <w:rFonts w:eastAsia="Calibri"/>
          <w:kern w:val="0"/>
          <w:lang w:val="en-GB" w:eastAsia="en-US"/>
        </w:rPr>
        <w:t>Ad</w:t>
      </w:r>
      <w:r w:rsidR="00F97BC3">
        <w:rPr>
          <w:rFonts w:eastAsia="Calibri"/>
          <w:kern w:val="0"/>
          <w:lang w:val="en-GB" w:eastAsia="en-US"/>
        </w:rPr>
        <w:t>n</w:t>
      </w:r>
      <w:r w:rsidRPr="00B13501">
        <w:rPr>
          <w:rFonts w:eastAsia="Calibri"/>
          <w:kern w:val="0"/>
          <w:lang w:val="en-GB" w:eastAsia="en-US"/>
        </w:rPr>
        <w:t>i</w:t>
      </w:r>
      <w:proofErr w:type="spellEnd"/>
      <w:r w:rsidRPr="00B13501">
        <w:rPr>
          <w:rFonts w:eastAsia="Calibri"/>
          <w:kern w:val="0"/>
          <w:lang w:val="en-GB" w:eastAsia="en-US"/>
        </w:rPr>
        <w:t xml:space="preserve">, H., </w:t>
      </w:r>
      <w:proofErr w:type="spellStart"/>
      <w:r w:rsidRPr="00B13501">
        <w:rPr>
          <w:rFonts w:eastAsia="Calibri"/>
          <w:kern w:val="0"/>
          <w:lang w:val="en-GB" w:eastAsia="en-US"/>
        </w:rPr>
        <w:t>Eilon</w:t>
      </w:r>
      <w:proofErr w:type="spellEnd"/>
      <w:r w:rsidRPr="00B13501">
        <w:rPr>
          <w:rFonts w:eastAsia="Calibri"/>
          <w:kern w:val="0"/>
          <w:lang w:val="en-GB" w:eastAsia="en-US"/>
        </w:rPr>
        <w:t xml:space="preserve">, Y., </w:t>
      </w:r>
      <w:proofErr w:type="spellStart"/>
      <w:r w:rsidRPr="00B13501">
        <w:rPr>
          <w:rFonts w:eastAsia="Calibri"/>
          <w:kern w:val="0"/>
          <w:lang w:val="en-GB" w:eastAsia="en-US"/>
        </w:rPr>
        <w:t>Hyams</w:t>
      </w:r>
      <w:proofErr w:type="spellEnd"/>
      <w:r w:rsidRPr="00B13501">
        <w:rPr>
          <w:rFonts w:eastAsia="Calibri"/>
          <w:kern w:val="0"/>
          <w:lang w:val="en-GB" w:eastAsia="en-US"/>
        </w:rPr>
        <w:t xml:space="preserve">, G., &amp; </w:t>
      </w:r>
      <w:proofErr w:type="spellStart"/>
      <w:r w:rsidRPr="00B13501">
        <w:rPr>
          <w:rFonts w:eastAsia="Calibri"/>
          <w:kern w:val="0"/>
          <w:lang w:val="en-GB" w:eastAsia="en-US"/>
        </w:rPr>
        <w:t>Utitz</w:t>
      </w:r>
      <w:proofErr w:type="spellEnd"/>
      <w:r w:rsidRPr="00B13501">
        <w:rPr>
          <w:rFonts w:eastAsia="Calibri"/>
          <w:kern w:val="0"/>
          <w:lang w:val="en-GB" w:eastAsia="en-US"/>
        </w:rPr>
        <w:t xml:space="preserve"> L. (2011) Management of Mass Casualty Events: The Israeli Experience. </w:t>
      </w:r>
      <w:r w:rsidRPr="00B13501">
        <w:rPr>
          <w:rFonts w:eastAsia="Calibri"/>
          <w:i/>
          <w:iCs/>
          <w:kern w:val="0"/>
          <w:lang w:val="en-GB" w:eastAsia="en-US"/>
        </w:rPr>
        <w:t>Journal of Nursing</w:t>
      </w:r>
      <w:r w:rsidRPr="00B13501">
        <w:rPr>
          <w:rFonts w:eastAsia="Calibri"/>
          <w:kern w:val="0"/>
          <w:lang w:val="en-GB" w:eastAsia="en-US"/>
        </w:rPr>
        <w:t xml:space="preserve">, 43(2), 211-219. </w:t>
      </w:r>
    </w:p>
    <w:p w14:paraId="73453DC9" w14:textId="77777777" w:rsidR="00B13501" w:rsidRPr="00B13501" w:rsidRDefault="00B13501" w:rsidP="00B13501">
      <w:pPr>
        <w:widowControl/>
        <w:suppressAutoHyphens w:val="0"/>
        <w:overflowPunct/>
        <w:spacing w:before="240" w:after="160"/>
        <w:jc w:val="both"/>
        <w:textAlignment w:val="auto"/>
        <w:rPr>
          <w:rFonts w:eastAsia="Calibri"/>
          <w:i/>
          <w:iCs/>
          <w:kern w:val="0"/>
          <w:lang w:val="en-GB" w:eastAsia="en-US"/>
        </w:rPr>
      </w:pPr>
      <w:r w:rsidRPr="00B13501">
        <w:rPr>
          <w:rFonts w:eastAsia="Calibri"/>
          <w:kern w:val="0"/>
          <w:lang w:val="en-GB" w:eastAsia="en-US"/>
        </w:rPr>
        <w:t xml:space="preserve">Bartley, B. H., Stella, J. B., &amp; Walsh, L. D. (2006). What a disaster?! Assessing utility of simulated disaster exercise and educational process for improving hospital preparedness. </w:t>
      </w:r>
      <w:r w:rsidRPr="00B13501">
        <w:rPr>
          <w:rFonts w:eastAsia="Calibri"/>
          <w:i/>
          <w:iCs/>
          <w:kern w:val="0"/>
          <w:lang w:val="en-GB" w:eastAsia="en-US"/>
        </w:rPr>
        <w:t>Prehospital and disaster medicine</w:t>
      </w:r>
      <w:r w:rsidRPr="00B13501">
        <w:rPr>
          <w:rFonts w:eastAsia="Calibri"/>
          <w:kern w:val="0"/>
          <w:lang w:val="en-GB" w:eastAsia="en-US"/>
        </w:rPr>
        <w:t>, 21(4), 249-255</w:t>
      </w:r>
    </w:p>
    <w:p w14:paraId="426036A7" w14:textId="77777777" w:rsidR="00B13501" w:rsidRPr="00B13501" w:rsidRDefault="00B13501" w:rsidP="00B13501">
      <w:pPr>
        <w:widowControl/>
        <w:suppressAutoHyphens w:val="0"/>
        <w:overflowPunct/>
        <w:spacing w:before="240" w:after="160"/>
        <w:jc w:val="both"/>
        <w:textAlignment w:val="auto"/>
        <w:rPr>
          <w:rFonts w:eastAsia="Calibri"/>
          <w:kern w:val="0"/>
          <w:lang w:val="en-GB" w:eastAsia="en-US"/>
        </w:rPr>
      </w:pPr>
      <w:proofErr w:type="spellStart"/>
      <w:r w:rsidRPr="00B13501">
        <w:rPr>
          <w:rFonts w:eastAsia="Calibri"/>
          <w:kern w:val="0"/>
          <w:lang w:val="en-GB" w:eastAsia="en-US"/>
        </w:rPr>
        <w:t>Bengel</w:t>
      </w:r>
      <w:proofErr w:type="spellEnd"/>
      <w:r w:rsidRPr="00B13501">
        <w:rPr>
          <w:rFonts w:eastAsia="Calibri"/>
          <w:kern w:val="0"/>
          <w:lang w:val="en-GB" w:eastAsia="en-US"/>
        </w:rPr>
        <w:t xml:space="preserve">, W., (2018). Emergency preparedness and response plan for </w:t>
      </w:r>
      <w:proofErr w:type="spellStart"/>
      <w:r w:rsidRPr="00B13501">
        <w:rPr>
          <w:rFonts w:eastAsia="Calibri"/>
          <w:kern w:val="0"/>
          <w:lang w:val="en-GB" w:eastAsia="en-US"/>
        </w:rPr>
        <w:t>fortis</w:t>
      </w:r>
      <w:proofErr w:type="spellEnd"/>
      <w:r w:rsidRPr="00B13501">
        <w:rPr>
          <w:rFonts w:eastAsia="Calibri"/>
          <w:kern w:val="0"/>
          <w:lang w:val="en-GB" w:eastAsia="en-US"/>
        </w:rPr>
        <w:t xml:space="preserve"> hospital. </w:t>
      </w:r>
      <w:r w:rsidRPr="00B13501">
        <w:rPr>
          <w:rFonts w:eastAsia="Calibri"/>
          <w:i/>
          <w:iCs/>
          <w:kern w:val="0"/>
          <w:lang w:val="en-GB" w:eastAsia="en-US"/>
        </w:rPr>
        <w:t xml:space="preserve">International Hospital Ltd. Fortis Memorial Research Institute, </w:t>
      </w:r>
      <w:r w:rsidRPr="00B13501">
        <w:rPr>
          <w:rFonts w:eastAsia="Calibri"/>
          <w:kern w:val="0"/>
          <w:lang w:val="en-GB" w:eastAsia="en-US"/>
        </w:rPr>
        <w:t>Sector – 44, Gurgaon – 122002</w:t>
      </w:r>
    </w:p>
    <w:p w14:paraId="001D72D3" w14:textId="77777777" w:rsidR="00B13501" w:rsidRPr="00B13501" w:rsidRDefault="00B13501" w:rsidP="00B13501">
      <w:pPr>
        <w:widowControl/>
        <w:suppressAutoHyphens w:val="0"/>
        <w:overflowPunct/>
        <w:spacing w:before="240" w:after="160"/>
        <w:jc w:val="both"/>
        <w:textAlignment w:val="auto"/>
        <w:rPr>
          <w:rFonts w:eastAsia="Calibri"/>
          <w:kern w:val="0"/>
          <w:shd w:val="clear" w:color="auto" w:fill="FFFFFF"/>
          <w:lang w:val="en-GB" w:eastAsia="en-US"/>
        </w:rPr>
      </w:pPr>
      <w:proofErr w:type="spellStart"/>
      <w:r w:rsidRPr="00B13501">
        <w:rPr>
          <w:rFonts w:eastAsia="Calibri"/>
          <w:kern w:val="0"/>
          <w:shd w:val="clear" w:color="auto" w:fill="FFFFFF"/>
          <w:lang w:val="en-GB" w:eastAsia="en-US"/>
        </w:rPr>
        <w:t>Darwisha</w:t>
      </w:r>
      <w:proofErr w:type="spellEnd"/>
      <w:r w:rsidRPr="00B13501">
        <w:rPr>
          <w:rFonts w:eastAsia="Calibri"/>
          <w:kern w:val="0"/>
          <w:shd w:val="clear" w:color="auto" w:fill="FFFFFF"/>
          <w:lang w:val="en-GB" w:eastAsia="en-US"/>
        </w:rPr>
        <w:t xml:space="preserve">, E. H. B., Ramadan, A. M., </w:t>
      </w:r>
      <w:proofErr w:type="spellStart"/>
      <w:r w:rsidRPr="00B13501">
        <w:rPr>
          <w:rFonts w:eastAsia="Calibri"/>
          <w:kern w:val="0"/>
          <w:shd w:val="clear" w:color="auto" w:fill="FFFFFF"/>
          <w:lang w:val="en-GB" w:eastAsia="en-US"/>
        </w:rPr>
        <w:t>Abdelsalam</w:t>
      </w:r>
      <w:proofErr w:type="spellEnd"/>
      <w:r w:rsidRPr="00B13501">
        <w:rPr>
          <w:rFonts w:eastAsia="Calibri"/>
          <w:kern w:val="0"/>
          <w:shd w:val="clear" w:color="auto" w:fill="FFFFFF"/>
          <w:lang w:val="en-GB" w:eastAsia="en-US"/>
        </w:rPr>
        <w:t xml:space="preserve">, W. N., Ibrahim, A. G., &amp; </w:t>
      </w:r>
      <w:proofErr w:type="spellStart"/>
      <w:r w:rsidRPr="00B13501">
        <w:rPr>
          <w:rFonts w:eastAsia="Calibri"/>
          <w:kern w:val="0"/>
          <w:shd w:val="clear" w:color="auto" w:fill="FFFFFF"/>
          <w:lang w:val="en-GB" w:eastAsia="en-US"/>
        </w:rPr>
        <w:t>Foda</w:t>
      </w:r>
      <w:proofErr w:type="spellEnd"/>
      <w:r w:rsidRPr="00B13501">
        <w:rPr>
          <w:rFonts w:eastAsia="Calibri"/>
          <w:kern w:val="0"/>
          <w:shd w:val="clear" w:color="auto" w:fill="FFFFFF"/>
          <w:lang w:val="en-GB" w:eastAsia="en-US"/>
        </w:rPr>
        <w:t>, N. M. T. (2022). Assessment and development of hospital emergency preparedness plan in response to COVID-19 pandemic in Alexandria University Hospitals. </w:t>
      </w:r>
      <w:r w:rsidRPr="00B13501">
        <w:rPr>
          <w:rFonts w:eastAsia="Calibri"/>
          <w:i/>
          <w:iCs/>
          <w:kern w:val="0"/>
          <w:shd w:val="clear" w:color="auto" w:fill="FFFFFF"/>
          <w:lang w:val="en-GB" w:eastAsia="en-US"/>
        </w:rPr>
        <w:t>Alexandria Journal of Medicine</w:t>
      </w:r>
      <w:r w:rsidRPr="00B13501">
        <w:rPr>
          <w:rFonts w:eastAsia="Calibri"/>
          <w:kern w:val="0"/>
          <w:shd w:val="clear" w:color="auto" w:fill="FFFFFF"/>
          <w:lang w:val="en-GB" w:eastAsia="en-US"/>
        </w:rPr>
        <w:t>, </w:t>
      </w:r>
      <w:r w:rsidRPr="00B13501">
        <w:rPr>
          <w:rFonts w:eastAsia="Calibri"/>
          <w:i/>
          <w:iCs/>
          <w:kern w:val="0"/>
          <w:shd w:val="clear" w:color="auto" w:fill="FFFFFF"/>
          <w:lang w:val="en-GB" w:eastAsia="en-US"/>
        </w:rPr>
        <w:t>58</w:t>
      </w:r>
      <w:r w:rsidRPr="00B13501">
        <w:rPr>
          <w:rFonts w:eastAsia="Calibri"/>
          <w:kern w:val="0"/>
          <w:shd w:val="clear" w:color="auto" w:fill="FFFFFF"/>
          <w:lang w:val="en-GB" w:eastAsia="en-US"/>
        </w:rPr>
        <w:t>(1), 69-77</w:t>
      </w:r>
    </w:p>
    <w:p w14:paraId="04CAA714" w14:textId="77777777" w:rsidR="00B13501" w:rsidRPr="00B13501" w:rsidRDefault="00B13501" w:rsidP="00B13501">
      <w:pPr>
        <w:widowControl/>
        <w:suppressAutoHyphens w:val="0"/>
        <w:overflowPunct/>
        <w:spacing w:before="240" w:after="160"/>
        <w:jc w:val="both"/>
        <w:textAlignment w:val="auto"/>
        <w:rPr>
          <w:rFonts w:eastAsia="Calibri"/>
          <w:kern w:val="0"/>
          <w:lang w:val="en-GB" w:eastAsia="en-US"/>
        </w:rPr>
      </w:pPr>
      <w:r w:rsidRPr="00B13501">
        <w:rPr>
          <w:rFonts w:eastAsia="Calibri"/>
          <w:kern w:val="0"/>
          <w:lang w:val="en-GB" w:eastAsia="en-US"/>
        </w:rPr>
        <w:t xml:space="preserve">Hart A., </w:t>
      </w:r>
      <w:proofErr w:type="spellStart"/>
      <w:r w:rsidRPr="00B13501">
        <w:rPr>
          <w:rFonts w:eastAsia="Calibri"/>
          <w:kern w:val="0"/>
          <w:lang w:val="en-GB" w:eastAsia="en-US"/>
        </w:rPr>
        <w:t>Ugwoha</w:t>
      </w:r>
      <w:proofErr w:type="spellEnd"/>
      <w:r w:rsidRPr="00B13501">
        <w:rPr>
          <w:rFonts w:eastAsia="Calibri"/>
          <w:kern w:val="0"/>
          <w:lang w:val="en-GB" w:eastAsia="en-US"/>
        </w:rPr>
        <w:t xml:space="preserve"> E., &amp; Patricks, C. (2023). Evaluation of Preparedness and Response of Fire Service Workers to Fire Incidents; A Case Study of Rivers State Fire Service, International Journal of Engineering Inventions 12(8), 119-128 </w:t>
      </w:r>
    </w:p>
    <w:p w14:paraId="6D785400" w14:textId="77777777" w:rsidR="00B13501" w:rsidRPr="00B13501" w:rsidRDefault="00B13501" w:rsidP="00B13501">
      <w:pPr>
        <w:widowControl/>
        <w:suppressAutoHyphens w:val="0"/>
        <w:overflowPunct/>
        <w:spacing w:before="240" w:after="160"/>
        <w:jc w:val="both"/>
        <w:textAlignment w:val="auto"/>
        <w:rPr>
          <w:rFonts w:eastAsia="Calibri"/>
          <w:kern w:val="0"/>
          <w:lang w:val="en-GB" w:eastAsia="en-US"/>
        </w:rPr>
      </w:pPr>
      <w:r w:rsidRPr="00B13501">
        <w:rPr>
          <w:rFonts w:eastAsia="Calibri"/>
          <w:kern w:val="0"/>
          <w:lang w:val="en-GB" w:eastAsia="en-US"/>
        </w:rPr>
        <w:t xml:space="preserve">Isa, U. F., Liman, M. A., Mohammed, M. U., Mathew, O. S., &amp; </w:t>
      </w:r>
      <w:proofErr w:type="spellStart"/>
      <w:r w:rsidRPr="00B13501">
        <w:rPr>
          <w:rFonts w:eastAsia="Calibri"/>
          <w:kern w:val="0"/>
          <w:lang w:val="en-GB" w:eastAsia="en-US"/>
        </w:rPr>
        <w:t>Yayo</w:t>
      </w:r>
      <w:proofErr w:type="spellEnd"/>
      <w:r w:rsidRPr="00B13501">
        <w:rPr>
          <w:rFonts w:eastAsia="Calibri"/>
          <w:kern w:val="0"/>
          <w:lang w:val="en-GB" w:eastAsia="en-US"/>
        </w:rPr>
        <w:t xml:space="preserve">, Y. R. (2016). Spatial Analysis of Fire Service Station in Kano Metropolis, Nigeria. </w:t>
      </w:r>
      <w:r w:rsidRPr="00B13501">
        <w:rPr>
          <w:rFonts w:eastAsia="Calibri"/>
          <w:i/>
          <w:iCs/>
          <w:kern w:val="0"/>
          <w:lang w:val="en-GB" w:eastAsia="en-US"/>
        </w:rPr>
        <w:t>IOSR Journal of Humanities and Social Science</w:t>
      </w:r>
      <w:r w:rsidRPr="00B13501">
        <w:rPr>
          <w:rFonts w:eastAsia="Calibri"/>
          <w:kern w:val="0"/>
          <w:lang w:val="en-GB" w:eastAsia="en-US"/>
        </w:rPr>
        <w:t>, 21(9), 42–52</w:t>
      </w:r>
    </w:p>
    <w:p w14:paraId="3C3B72E1" w14:textId="77777777" w:rsidR="00B13501" w:rsidRPr="00B13501" w:rsidRDefault="00B13501" w:rsidP="00B13501">
      <w:pPr>
        <w:widowControl/>
        <w:suppressAutoHyphens w:val="0"/>
        <w:overflowPunct/>
        <w:spacing w:before="240" w:after="160"/>
        <w:jc w:val="both"/>
        <w:textAlignment w:val="auto"/>
        <w:rPr>
          <w:rFonts w:eastAsia="Calibri"/>
          <w:kern w:val="0"/>
          <w:shd w:val="clear" w:color="auto" w:fill="FFFFFF"/>
          <w:lang w:val="en-GB" w:eastAsia="en-US"/>
        </w:rPr>
      </w:pPr>
      <w:proofErr w:type="spellStart"/>
      <w:r w:rsidRPr="00B13501">
        <w:rPr>
          <w:rFonts w:eastAsia="Calibri"/>
          <w:kern w:val="0"/>
          <w:shd w:val="clear" w:color="auto" w:fill="FFFFFF"/>
          <w:lang w:val="en-GB" w:eastAsia="en-US"/>
        </w:rPr>
        <w:t>Khirekar</w:t>
      </w:r>
      <w:proofErr w:type="spellEnd"/>
      <w:r w:rsidRPr="00B13501">
        <w:rPr>
          <w:rFonts w:eastAsia="Calibri"/>
          <w:kern w:val="0"/>
          <w:shd w:val="clear" w:color="auto" w:fill="FFFFFF"/>
          <w:lang w:val="en-GB" w:eastAsia="en-US"/>
        </w:rPr>
        <w:t xml:space="preserve">, J., Badge, A., </w:t>
      </w:r>
      <w:proofErr w:type="spellStart"/>
      <w:r w:rsidRPr="00B13501">
        <w:rPr>
          <w:rFonts w:eastAsia="Calibri"/>
          <w:kern w:val="0"/>
          <w:shd w:val="clear" w:color="auto" w:fill="FFFFFF"/>
          <w:lang w:val="en-GB" w:eastAsia="en-US"/>
        </w:rPr>
        <w:t>Bandre</w:t>
      </w:r>
      <w:proofErr w:type="spellEnd"/>
      <w:r w:rsidRPr="00B13501">
        <w:rPr>
          <w:rFonts w:eastAsia="Calibri"/>
          <w:kern w:val="0"/>
          <w:shd w:val="clear" w:color="auto" w:fill="FFFFFF"/>
          <w:lang w:val="en-GB" w:eastAsia="en-US"/>
        </w:rPr>
        <w:t xml:space="preserve">, G. R., &amp; </w:t>
      </w:r>
      <w:proofErr w:type="spellStart"/>
      <w:r w:rsidRPr="00B13501">
        <w:rPr>
          <w:rFonts w:eastAsia="Calibri"/>
          <w:kern w:val="0"/>
          <w:shd w:val="clear" w:color="auto" w:fill="FFFFFF"/>
          <w:lang w:val="en-GB" w:eastAsia="en-US"/>
        </w:rPr>
        <w:t>Shahu</w:t>
      </w:r>
      <w:proofErr w:type="spellEnd"/>
      <w:r w:rsidRPr="00B13501">
        <w:rPr>
          <w:rFonts w:eastAsia="Calibri"/>
          <w:kern w:val="0"/>
          <w:shd w:val="clear" w:color="auto" w:fill="FFFFFF"/>
          <w:lang w:val="en-GB" w:eastAsia="en-US"/>
        </w:rPr>
        <w:t>, S. (2023). Disaster preparedness in hospitals. </w:t>
      </w:r>
      <w:proofErr w:type="spellStart"/>
      <w:r w:rsidRPr="00B13501">
        <w:rPr>
          <w:rFonts w:eastAsia="Calibri"/>
          <w:i/>
          <w:iCs/>
          <w:kern w:val="0"/>
          <w:shd w:val="clear" w:color="auto" w:fill="FFFFFF"/>
          <w:lang w:val="en-GB" w:eastAsia="en-US"/>
        </w:rPr>
        <w:t>Cureus</w:t>
      </w:r>
      <w:proofErr w:type="spellEnd"/>
      <w:r w:rsidRPr="00B13501">
        <w:rPr>
          <w:rFonts w:eastAsia="Calibri"/>
          <w:kern w:val="0"/>
          <w:shd w:val="clear" w:color="auto" w:fill="FFFFFF"/>
          <w:lang w:val="en-GB" w:eastAsia="en-US"/>
        </w:rPr>
        <w:t>, </w:t>
      </w:r>
      <w:r w:rsidRPr="00B13501">
        <w:rPr>
          <w:rFonts w:eastAsia="Calibri"/>
          <w:i/>
          <w:iCs/>
          <w:kern w:val="0"/>
          <w:shd w:val="clear" w:color="auto" w:fill="FFFFFF"/>
          <w:lang w:val="en-GB" w:eastAsia="en-US"/>
        </w:rPr>
        <w:t>15</w:t>
      </w:r>
      <w:r w:rsidRPr="00B13501">
        <w:rPr>
          <w:rFonts w:eastAsia="Calibri"/>
          <w:kern w:val="0"/>
          <w:shd w:val="clear" w:color="auto" w:fill="FFFFFF"/>
          <w:lang w:val="en-GB" w:eastAsia="en-US"/>
        </w:rPr>
        <w:t>(12).</w:t>
      </w:r>
    </w:p>
    <w:p w14:paraId="4FB30491" w14:textId="77777777" w:rsidR="00B13501" w:rsidRPr="00B13501" w:rsidRDefault="00B13501" w:rsidP="00B13501">
      <w:pPr>
        <w:widowControl/>
        <w:suppressAutoHyphens w:val="0"/>
        <w:overflowPunct/>
        <w:spacing w:before="240" w:after="160"/>
        <w:jc w:val="both"/>
        <w:textAlignment w:val="auto"/>
        <w:rPr>
          <w:rFonts w:eastAsia="Calibri"/>
          <w:kern w:val="0"/>
          <w:lang w:val="en-GB" w:eastAsia="en-US"/>
        </w:rPr>
      </w:pPr>
      <w:proofErr w:type="spellStart"/>
      <w:r w:rsidRPr="00B13501">
        <w:rPr>
          <w:rFonts w:eastAsia="Calibri"/>
          <w:kern w:val="0"/>
          <w:lang w:val="en-GB" w:eastAsia="en-US"/>
        </w:rPr>
        <w:t>Menya</w:t>
      </w:r>
      <w:proofErr w:type="spellEnd"/>
      <w:r w:rsidRPr="00B13501">
        <w:rPr>
          <w:rFonts w:eastAsia="Calibri"/>
          <w:kern w:val="0"/>
          <w:lang w:val="en-GB" w:eastAsia="en-US"/>
        </w:rPr>
        <w:t xml:space="preserve">, A. A., &amp; </w:t>
      </w:r>
      <w:proofErr w:type="spellStart"/>
      <w:r w:rsidRPr="00B13501">
        <w:rPr>
          <w:rFonts w:eastAsia="Calibri"/>
          <w:kern w:val="0"/>
          <w:lang w:val="en-GB" w:eastAsia="en-US"/>
        </w:rPr>
        <w:t>K’Akumu</w:t>
      </w:r>
      <w:proofErr w:type="spellEnd"/>
      <w:r w:rsidRPr="00B13501">
        <w:rPr>
          <w:rFonts w:eastAsia="Calibri"/>
          <w:kern w:val="0"/>
          <w:lang w:val="en-GB" w:eastAsia="en-US"/>
        </w:rPr>
        <w:t xml:space="preserve">, O. A. (2016). Inter-agency collaboration for fire disaster management in Nairobi City. </w:t>
      </w:r>
      <w:r w:rsidRPr="00B13501">
        <w:rPr>
          <w:rFonts w:eastAsia="Calibri"/>
          <w:i/>
          <w:iCs/>
          <w:kern w:val="0"/>
          <w:lang w:val="en-GB" w:eastAsia="en-US"/>
        </w:rPr>
        <w:t>Journal of Urban Management</w:t>
      </w:r>
      <w:r w:rsidRPr="00B13501">
        <w:rPr>
          <w:rFonts w:eastAsia="Calibri"/>
          <w:kern w:val="0"/>
          <w:lang w:val="en-GB" w:eastAsia="en-US"/>
        </w:rPr>
        <w:t>, 5(1). 23-43</w:t>
      </w:r>
    </w:p>
    <w:p w14:paraId="21C31EEC" w14:textId="77777777" w:rsidR="00B13501" w:rsidRPr="00B13501" w:rsidRDefault="00B13501" w:rsidP="00B13501">
      <w:pPr>
        <w:widowControl/>
        <w:suppressAutoHyphens w:val="0"/>
        <w:overflowPunct/>
        <w:spacing w:before="240" w:after="160"/>
        <w:jc w:val="both"/>
        <w:textAlignment w:val="auto"/>
        <w:rPr>
          <w:rFonts w:eastAsia="Calibri"/>
          <w:i/>
          <w:iCs/>
          <w:kern w:val="0"/>
          <w:lang w:val="en-GB" w:eastAsia="en-US"/>
        </w:rPr>
      </w:pPr>
      <w:r w:rsidRPr="00B13501">
        <w:rPr>
          <w:rFonts w:eastAsia="Calibri"/>
          <w:kern w:val="0"/>
          <w:lang w:val="en-GB" w:eastAsia="en-US"/>
        </w:rPr>
        <w:t xml:space="preserve">Simon, H.K., </w:t>
      </w:r>
      <w:proofErr w:type="spellStart"/>
      <w:r w:rsidRPr="00B13501">
        <w:rPr>
          <w:rFonts w:eastAsia="Calibri"/>
          <w:kern w:val="0"/>
          <w:lang w:val="en-GB" w:eastAsia="en-US"/>
        </w:rPr>
        <w:t>Salukele</w:t>
      </w:r>
      <w:proofErr w:type="spellEnd"/>
      <w:r w:rsidRPr="00B13501">
        <w:rPr>
          <w:rFonts w:eastAsia="Calibri"/>
          <w:kern w:val="0"/>
          <w:lang w:val="en-GB" w:eastAsia="en-US"/>
        </w:rPr>
        <w:t xml:space="preserve">, F., </w:t>
      </w:r>
      <w:proofErr w:type="spellStart"/>
      <w:r w:rsidRPr="00B13501">
        <w:rPr>
          <w:rFonts w:eastAsia="Calibri"/>
          <w:kern w:val="0"/>
          <w:lang w:val="en-GB" w:eastAsia="en-US"/>
        </w:rPr>
        <w:t>Sweya</w:t>
      </w:r>
      <w:proofErr w:type="spellEnd"/>
      <w:r w:rsidRPr="00B13501">
        <w:rPr>
          <w:rFonts w:eastAsia="Calibri"/>
          <w:kern w:val="0"/>
          <w:lang w:val="en-GB" w:eastAsia="en-US"/>
        </w:rPr>
        <w:t xml:space="preserve"> L., &amp; </w:t>
      </w:r>
      <w:proofErr w:type="spellStart"/>
      <w:r w:rsidRPr="00B13501">
        <w:rPr>
          <w:rFonts w:eastAsia="Calibri"/>
          <w:kern w:val="0"/>
          <w:lang w:val="en-GB" w:eastAsia="en-US"/>
        </w:rPr>
        <w:t>Muhondwa</w:t>
      </w:r>
      <w:proofErr w:type="spellEnd"/>
      <w:r w:rsidRPr="00B13501">
        <w:rPr>
          <w:rFonts w:eastAsia="Calibri"/>
          <w:kern w:val="0"/>
          <w:lang w:val="en-GB" w:eastAsia="en-US"/>
        </w:rPr>
        <w:t xml:space="preserve">, P. (2019). Assessment of Fire Emergency Preparedness in Public and Private Hospitals of Dar es salaam Region </w:t>
      </w:r>
      <w:proofErr w:type="spellStart"/>
      <w:r w:rsidRPr="00B13501">
        <w:rPr>
          <w:rFonts w:eastAsia="Calibri"/>
          <w:kern w:val="0"/>
          <w:lang w:val="en-GB" w:eastAsia="en-US"/>
        </w:rPr>
        <w:t>Haika</w:t>
      </w:r>
      <w:proofErr w:type="spellEnd"/>
      <w:r w:rsidRPr="00B13501">
        <w:rPr>
          <w:rFonts w:eastAsia="Calibri"/>
          <w:kern w:val="0"/>
          <w:lang w:val="en-GB" w:eastAsia="en-US"/>
        </w:rPr>
        <w:t xml:space="preserve">. </w:t>
      </w:r>
      <w:r w:rsidRPr="00B13501">
        <w:rPr>
          <w:rFonts w:eastAsia="Calibri"/>
          <w:i/>
          <w:iCs/>
          <w:kern w:val="0"/>
          <w:lang w:val="en-GB" w:eastAsia="en-US"/>
        </w:rPr>
        <w:t>Open University of Tanzania.</w:t>
      </w:r>
    </w:p>
    <w:p w14:paraId="5585FAF5" w14:textId="77777777" w:rsidR="00B13501" w:rsidRPr="00B13501" w:rsidRDefault="00B13501" w:rsidP="00B13501">
      <w:pPr>
        <w:widowControl/>
        <w:suppressAutoHyphens w:val="0"/>
        <w:overflowPunct/>
        <w:spacing w:before="240" w:after="160"/>
        <w:jc w:val="both"/>
        <w:textAlignment w:val="auto"/>
        <w:rPr>
          <w:rFonts w:eastAsia="Calibri"/>
          <w:kern w:val="0"/>
          <w:lang w:val="en-GB" w:eastAsia="en-US"/>
        </w:rPr>
      </w:pPr>
      <w:r w:rsidRPr="00B13501">
        <w:rPr>
          <w:rFonts w:eastAsia="Calibri"/>
          <w:kern w:val="0"/>
          <w:lang w:val="en-GB" w:eastAsia="en-US"/>
        </w:rPr>
        <w:t xml:space="preserve">Strydom, S., &amp; Savage, M. J., A. (2020). </w:t>
      </w:r>
      <w:proofErr w:type="spellStart"/>
      <w:r w:rsidRPr="00B13501">
        <w:rPr>
          <w:rFonts w:eastAsia="Calibri"/>
          <w:kern w:val="0"/>
          <w:lang w:val="en-GB" w:eastAsia="en-US"/>
        </w:rPr>
        <w:t>Spatio</w:t>
      </w:r>
      <w:proofErr w:type="spellEnd"/>
      <w:r w:rsidRPr="00B13501">
        <w:rPr>
          <w:rFonts w:eastAsia="Calibri"/>
          <w:kern w:val="0"/>
          <w:lang w:val="en-GB" w:eastAsia="en-US"/>
        </w:rPr>
        <w:t xml:space="preserve">-temporal analysis of fires in South Africa. South </w:t>
      </w:r>
      <w:r w:rsidRPr="00B13501">
        <w:rPr>
          <w:rFonts w:eastAsia="Calibri"/>
          <w:i/>
          <w:iCs/>
          <w:kern w:val="0"/>
          <w:lang w:val="en-GB" w:eastAsia="en-US"/>
        </w:rPr>
        <w:t>African Journal of Science</w:t>
      </w:r>
      <w:r w:rsidRPr="00B13501">
        <w:rPr>
          <w:rFonts w:eastAsia="Calibri"/>
          <w:kern w:val="0"/>
          <w:lang w:val="en-GB" w:eastAsia="en-US"/>
        </w:rPr>
        <w:t>, 112(11– 12): 1–8.</w:t>
      </w:r>
    </w:p>
    <w:p w14:paraId="0FF95DD3" w14:textId="77777777" w:rsidR="00B13501" w:rsidRPr="00B13501" w:rsidRDefault="00B13501" w:rsidP="00B13501">
      <w:pPr>
        <w:widowControl/>
        <w:suppressAutoHyphens w:val="0"/>
        <w:overflowPunct/>
        <w:spacing w:before="240" w:after="160"/>
        <w:jc w:val="both"/>
        <w:textAlignment w:val="auto"/>
        <w:rPr>
          <w:kern w:val="0"/>
          <w:lang w:val="en-GB" w:eastAsia="en-US"/>
        </w:rPr>
      </w:pPr>
      <w:proofErr w:type="spellStart"/>
      <w:r w:rsidRPr="00B13501">
        <w:rPr>
          <w:kern w:val="0"/>
          <w:lang w:val="en-GB" w:eastAsia="en-US"/>
        </w:rPr>
        <w:lastRenderedPageBreak/>
        <w:t>Tekeli-Yesil</w:t>
      </w:r>
      <w:proofErr w:type="spellEnd"/>
      <w:r w:rsidRPr="00B13501">
        <w:rPr>
          <w:kern w:val="0"/>
          <w:lang w:val="en-GB" w:eastAsia="en-US"/>
        </w:rPr>
        <w:t>, S., &amp; Kiran, S. (2020). A neglected issue in hospital emergency and disaster planning: Non-standard employment in hospitals. </w:t>
      </w:r>
      <w:r w:rsidRPr="00B13501">
        <w:rPr>
          <w:i/>
          <w:iCs/>
          <w:kern w:val="0"/>
          <w:lang w:val="en-GB" w:eastAsia="en-US"/>
        </w:rPr>
        <w:t>International journal of disaster risk reduction</w:t>
      </w:r>
      <w:r w:rsidRPr="00B13501">
        <w:rPr>
          <w:kern w:val="0"/>
          <w:lang w:val="en-GB" w:eastAsia="en-US"/>
        </w:rPr>
        <w:t>, </w:t>
      </w:r>
      <w:r w:rsidRPr="00B13501">
        <w:rPr>
          <w:i/>
          <w:iCs/>
          <w:kern w:val="0"/>
          <w:lang w:val="en-GB" w:eastAsia="en-US"/>
        </w:rPr>
        <w:t>51</w:t>
      </w:r>
      <w:r w:rsidRPr="00B13501">
        <w:rPr>
          <w:kern w:val="0"/>
          <w:lang w:val="en-GB" w:eastAsia="en-US"/>
        </w:rPr>
        <w:t>, 101823.</w:t>
      </w:r>
    </w:p>
    <w:p w14:paraId="6C9132CE" w14:textId="77777777" w:rsidR="00B13501" w:rsidRPr="00B13501" w:rsidRDefault="00B13501" w:rsidP="00B13501">
      <w:pPr>
        <w:widowControl/>
        <w:suppressAutoHyphens w:val="0"/>
        <w:overflowPunct/>
        <w:autoSpaceDE/>
        <w:autoSpaceDN/>
        <w:adjustRightInd/>
        <w:spacing w:before="240" w:after="160"/>
        <w:jc w:val="both"/>
        <w:textAlignment w:val="auto"/>
        <w:rPr>
          <w:rFonts w:eastAsia="Calibri"/>
          <w:i/>
          <w:iCs/>
          <w:kern w:val="0"/>
          <w:lang w:val="en-GB" w:eastAsia="en-US"/>
        </w:rPr>
      </w:pPr>
      <w:proofErr w:type="spellStart"/>
      <w:r w:rsidRPr="00B13501">
        <w:rPr>
          <w:rFonts w:eastAsia="Calibri"/>
          <w:kern w:val="0"/>
          <w:lang w:val="en-GB" w:eastAsia="en-US"/>
        </w:rPr>
        <w:t>Wambugu</w:t>
      </w:r>
      <w:proofErr w:type="spellEnd"/>
      <w:r w:rsidRPr="00B13501">
        <w:rPr>
          <w:rFonts w:eastAsia="Calibri"/>
          <w:kern w:val="0"/>
          <w:lang w:val="en-GB" w:eastAsia="en-US"/>
        </w:rPr>
        <w:t xml:space="preserve"> F.W. (2016) assessment of fire safety preparedness at </w:t>
      </w:r>
      <w:proofErr w:type="spellStart"/>
      <w:r w:rsidRPr="00B13501">
        <w:rPr>
          <w:rFonts w:eastAsia="Calibri"/>
          <w:kern w:val="0"/>
          <w:lang w:val="en-GB" w:eastAsia="en-US"/>
        </w:rPr>
        <w:t>Jomo</w:t>
      </w:r>
      <w:proofErr w:type="spellEnd"/>
      <w:r w:rsidRPr="00B13501">
        <w:rPr>
          <w:rFonts w:eastAsia="Calibri"/>
          <w:kern w:val="0"/>
          <w:lang w:val="en-GB" w:eastAsia="en-US"/>
        </w:rPr>
        <w:t xml:space="preserve"> Kenyatta International Airport Nairobi, Kenya. A master thesis submitted to </w:t>
      </w:r>
      <w:proofErr w:type="spellStart"/>
      <w:r w:rsidRPr="00B13501">
        <w:rPr>
          <w:rFonts w:eastAsia="Calibri"/>
          <w:kern w:val="0"/>
          <w:lang w:val="en-GB" w:eastAsia="en-US"/>
        </w:rPr>
        <w:t>Center</w:t>
      </w:r>
      <w:proofErr w:type="spellEnd"/>
      <w:r w:rsidRPr="00B13501">
        <w:rPr>
          <w:rFonts w:eastAsia="Calibri"/>
          <w:kern w:val="0"/>
          <w:lang w:val="en-GB" w:eastAsia="en-US"/>
        </w:rPr>
        <w:t xml:space="preserve"> for Occupational Safety and Health </w:t>
      </w:r>
      <w:proofErr w:type="spellStart"/>
      <w:r w:rsidRPr="00B13501">
        <w:rPr>
          <w:rFonts w:eastAsia="Calibri"/>
          <w:kern w:val="0"/>
          <w:lang w:val="en-GB" w:eastAsia="en-US"/>
        </w:rPr>
        <w:t>Jomo</w:t>
      </w:r>
      <w:proofErr w:type="spellEnd"/>
      <w:r w:rsidRPr="00B13501">
        <w:rPr>
          <w:rFonts w:eastAsia="Calibri"/>
          <w:kern w:val="0"/>
          <w:lang w:val="en-GB" w:eastAsia="en-US"/>
        </w:rPr>
        <w:t xml:space="preserve"> Kenyatta University of Agriculture and Technology. </w:t>
      </w:r>
      <w:r w:rsidRPr="00B13501">
        <w:rPr>
          <w:rFonts w:eastAsia="Calibri"/>
          <w:i/>
          <w:iCs/>
          <w:kern w:val="0"/>
          <w:lang w:val="en-GB" w:eastAsia="en-US"/>
        </w:rPr>
        <w:t xml:space="preserve">Unpublished </w:t>
      </w:r>
    </w:p>
    <w:p w14:paraId="1956E9CC"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rFonts w:eastAsia="Calibri"/>
          <w:b/>
          <w:kern w:val="0"/>
          <w:lang w:val="en-GB" w:eastAsia="en-US"/>
        </w:rPr>
      </w:pPr>
      <w:r w:rsidRPr="00B13501">
        <w:rPr>
          <w:kern w:val="0"/>
          <w:lang w:val="en-GB" w:eastAsia="en-US"/>
        </w:rPr>
        <w:t xml:space="preserve">York, T. W., &amp; </w:t>
      </w:r>
      <w:proofErr w:type="spellStart"/>
      <w:r w:rsidRPr="00B13501">
        <w:rPr>
          <w:kern w:val="0"/>
          <w:lang w:val="en-GB" w:eastAsia="en-US"/>
        </w:rPr>
        <w:t>MacAlister</w:t>
      </w:r>
      <w:proofErr w:type="spellEnd"/>
      <w:r w:rsidRPr="00B13501">
        <w:rPr>
          <w:kern w:val="0"/>
          <w:lang w:val="en-GB" w:eastAsia="en-US"/>
        </w:rPr>
        <w:t>, D. (2015). </w:t>
      </w:r>
      <w:r w:rsidRPr="00B13501">
        <w:rPr>
          <w:i/>
          <w:iCs/>
          <w:kern w:val="0"/>
          <w:lang w:val="en-GB" w:eastAsia="en-US"/>
        </w:rPr>
        <w:t>Hospital and healthcare security</w:t>
      </w:r>
      <w:r w:rsidRPr="00B13501">
        <w:rPr>
          <w:kern w:val="0"/>
          <w:lang w:val="en-GB" w:eastAsia="en-US"/>
        </w:rPr>
        <w:t>. Butterworth-Heinemann</w:t>
      </w:r>
    </w:p>
    <w:p w14:paraId="3653EC62"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rFonts w:eastAsia="Calibri"/>
          <w:b/>
          <w:kern w:val="0"/>
          <w:lang w:val="en-GB" w:eastAsia="en-US"/>
        </w:rPr>
      </w:pPr>
    </w:p>
    <w:p w14:paraId="4CA04B0F"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rFonts w:eastAsia="Calibri"/>
          <w:b/>
          <w:kern w:val="0"/>
          <w:lang w:val="en-GB" w:eastAsia="en-US"/>
        </w:rPr>
      </w:pPr>
    </w:p>
    <w:p w14:paraId="3C6C6806" w14:textId="77777777" w:rsidR="00B13501" w:rsidRPr="00B13501" w:rsidRDefault="00B13501" w:rsidP="00B13501"/>
    <w:p w14:paraId="15DE0453" w14:textId="77777777" w:rsidR="00B13501" w:rsidRPr="00B13501" w:rsidRDefault="00B13501" w:rsidP="00B13501"/>
    <w:sectPr w:rsidR="00B13501" w:rsidRPr="00B13501">
      <w:headerReference w:type="even" r:id="rId28"/>
      <w:headerReference w:type="default" r:id="rId29"/>
      <w:footerReference w:type="even" r:id="rId30"/>
      <w:footerReference w:type="default" r:id="rId31"/>
      <w:headerReference w:type="first" r:id="rId32"/>
      <w:footerReference w:type="first" r:id="rId33"/>
      <w:footnotePr>
        <w:pos w:val="beneathText"/>
      </w:footnotePr>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193AE" w14:textId="77777777" w:rsidR="00DB0C42" w:rsidRDefault="00DB0C42" w:rsidP="009E535C">
      <w:r>
        <w:separator/>
      </w:r>
    </w:p>
  </w:endnote>
  <w:endnote w:type="continuationSeparator" w:id="0">
    <w:p w14:paraId="775DD65C" w14:textId="77777777" w:rsidR="00DB0C42" w:rsidRDefault="00DB0C42" w:rsidP="009E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0D447" w14:textId="77777777" w:rsidR="00A60015" w:rsidRDefault="00A60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45F47" w14:textId="77777777" w:rsidR="00A60015" w:rsidRDefault="00A60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4DC8" w14:textId="77777777" w:rsidR="00A60015" w:rsidRDefault="00A60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59EC0" w14:textId="77777777" w:rsidR="00DB0C42" w:rsidRDefault="00DB0C42" w:rsidP="009E535C">
      <w:r>
        <w:separator/>
      </w:r>
    </w:p>
  </w:footnote>
  <w:footnote w:type="continuationSeparator" w:id="0">
    <w:p w14:paraId="55311813" w14:textId="77777777" w:rsidR="00DB0C42" w:rsidRDefault="00DB0C42" w:rsidP="009E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99024" w14:textId="6ECB3CDD" w:rsidR="00A60015" w:rsidRDefault="00A60015">
    <w:pPr>
      <w:pStyle w:val="Header"/>
    </w:pPr>
    <w:r>
      <w:rPr>
        <w:noProof/>
      </w:rPr>
      <w:pict w14:anchorId="545C2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28219" o:spid="_x0000_s2050" type="#_x0000_t136" style="position:absolute;margin-left:0;margin-top:0;width:631.7pt;height:71.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8F661" w14:textId="3F657082" w:rsidR="00A60015" w:rsidRDefault="00A60015">
    <w:pPr>
      <w:pStyle w:val="Header"/>
    </w:pPr>
    <w:r>
      <w:rPr>
        <w:noProof/>
      </w:rPr>
      <w:pict w14:anchorId="41F3C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28220" o:spid="_x0000_s2051" type="#_x0000_t136" style="position:absolute;margin-left:0;margin-top:0;width:631.7pt;height:71.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36B7" w14:textId="059EE2E6" w:rsidR="00A60015" w:rsidRDefault="00A60015">
    <w:pPr>
      <w:pStyle w:val="Header"/>
    </w:pPr>
    <w:r>
      <w:rPr>
        <w:noProof/>
      </w:rPr>
      <w:pict w14:anchorId="7AFE3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28218" o:spid="_x0000_s2049" type="#_x0000_t136" style="position:absolute;margin-left:0;margin-top:0;width:631.7pt;height:71.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C49FF"/>
    <w:multiLevelType w:val="hybridMultilevel"/>
    <w:tmpl w:val="8A487BBE"/>
    <w:lvl w:ilvl="0" w:tplc="B888E4C6">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F91E1B"/>
    <w:multiLevelType w:val="multilevel"/>
    <w:tmpl w:val="5CF81556"/>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B7E5B61"/>
    <w:multiLevelType w:val="hybridMultilevel"/>
    <w:tmpl w:val="651C7B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09"/>
  <w:drawingGridHorizontalSpacing w:val="120"/>
  <w:drawingGridVerticalSpacing w:val="120"/>
  <w:displayVerticalDrawingGridEvery w:val="0"/>
  <w:doNotUseMarginsForDrawingGridOrigin/>
  <w:characterSpacingControl w:val="doNotCompress"/>
  <w:hdrShapeDefaults>
    <o:shapedefaults v:ext="edit" spidmax="2052"/>
    <o:shapelayout v:ext="edit">
      <o:idmap v:ext="edit" data="2"/>
    </o:shapelayout>
  </w:hdrShapeDefaults>
  <w:footnotePr>
    <w:pos w:val="beneathTex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52E46E"/>
    <w:rsid w:val="000172F8"/>
    <w:rsid w:val="0003649D"/>
    <w:rsid w:val="0005138D"/>
    <w:rsid w:val="000E3D7C"/>
    <w:rsid w:val="000E6C72"/>
    <w:rsid w:val="0010454E"/>
    <w:rsid w:val="001830E5"/>
    <w:rsid w:val="001A4E48"/>
    <w:rsid w:val="00203ABB"/>
    <w:rsid w:val="00215F00"/>
    <w:rsid w:val="00236723"/>
    <w:rsid w:val="0024215A"/>
    <w:rsid w:val="00251834"/>
    <w:rsid w:val="00252D0C"/>
    <w:rsid w:val="0027101C"/>
    <w:rsid w:val="00277511"/>
    <w:rsid w:val="00293676"/>
    <w:rsid w:val="002C04EB"/>
    <w:rsid w:val="002E34C0"/>
    <w:rsid w:val="00314EFC"/>
    <w:rsid w:val="00324D9E"/>
    <w:rsid w:val="00361ED6"/>
    <w:rsid w:val="00376583"/>
    <w:rsid w:val="00393DE2"/>
    <w:rsid w:val="003A18CF"/>
    <w:rsid w:val="003B06F6"/>
    <w:rsid w:val="003B7DF5"/>
    <w:rsid w:val="003D63DD"/>
    <w:rsid w:val="003F33CE"/>
    <w:rsid w:val="003F5AC9"/>
    <w:rsid w:val="0047799F"/>
    <w:rsid w:val="004B670F"/>
    <w:rsid w:val="005221B3"/>
    <w:rsid w:val="005563AE"/>
    <w:rsid w:val="00573DEA"/>
    <w:rsid w:val="005A008B"/>
    <w:rsid w:val="005A78BD"/>
    <w:rsid w:val="00610941"/>
    <w:rsid w:val="00643161"/>
    <w:rsid w:val="0064456A"/>
    <w:rsid w:val="00647132"/>
    <w:rsid w:val="00672501"/>
    <w:rsid w:val="006727FD"/>
    <w:rsid w:val="00675443"/>
    <w:rsid w:val="006B5523"/>
    <w:rsid w:val="006F0BD9"/>
    <w:rsid w:val="0070104B"/>
    <w:rsid w:val="00757AA9"/>
    <w:rsid w:val="00771984"/>
    <w:rsid w:val="007A3AF7"/>
    <w:rsid w:val="007A5F62"/>
    <w:rsid w:val="007C33FE"/>
    <w:rsid w:val="007D4B35"/>
    <w:rsid w:val="00826D40"/>
    <w:rsid w:val="00895866"/>
    <w:rsid w:val="008A1E94"/>
    <w:rsid w:val="008E2AEA"/>
    <w:rsid w:val="008E4836"/>
    <w:rsid w:val="008E572C"/>
    <w:rsid w:val="00917526"/>
    <w:rsid w:val="00935727"/>
    <w:rsid w:val="00944F9C"/>
    <w:rsid w:val="00957E94"/>
    <w:rsid w:val="00980461"/>
    <w:rsid w:val="00991E8B"/>
    <w:rsid w:val="009C1D69"/>
    <w:rsid w:val="009D127D"/>
    <w:rsid w:val="009D1774"/>
    <w:rsid w:val="009E4624"/>
    <w:rsid w:val="009E535C"/>
    <w:rsid w:val="009F0204"/>
    <w:rsid w:val="009F7A06"/>
    <w:rsid w:val="00A0317F"/>
    <w:rsid w:val="00A12565"/>
    <w:rsid w:val="00A45418"/>
    <w:rsid w:val="00A60015"/>
    <w:rsid w:val="00A63303"/>
    <w:rsid w:val="00A760AC"/>
    <w:rsid w:val="00A76E1C"/>
    <w:rsid w:val="00A95EC6"/>
    <w:rsid w:val="00AE62E4"/>
    <w:rsid w:val="00B13501"/>
    <w:rsid w:val="00B177DD"/>
    <w:rsid w:val="00B27844"/>
    <w:rsid w:val="00B30006"/>
    <w:rsid w:val="00B30980"/>
    <w:rsid w:val="00BA4AA6"/>
    <w:rsid w:val="00C01E9F"/>
    <w:rsid w:val="00C16B36"/>
    <w:rsid w:val="00C365C0"/>
    <w:rsid w:val="00C70D69"/>
    <w:rsid w:val="00C97C59"/>
    <w:rsid w:val="00CA2DE5"/>
    <w:rsid w:val="00CD656A"/>
    <w:rsid w:val="00CD7B2A"/>
    <w:rsid w:val="00CE2377"/>
    <w:rsid w:val="00CE50BE"/>
    <w:rsid w:val="00CF32D8"/>
    <w:rsid w:val="00CF7AA2"/>
    <w:rsid w:val="00D07B09"/>
    <w:rsid w:val="00D265F6"/>
    <w:rsid w:val="00D316B6"/>
    <w:rsid w:val="00D71EB4"/>
    <w:rsid w:val="00DA5176"/>
    <w:rsid w:val="00DA5AD3"/>
    <w:rsid w:val="00DB0C42"/>
    <w:rsid w:val="00DB2ED6"/>
    <w:rsid w:val="00DC2D9B"/>
    <w:rsid w:val="00E2124F"/>
    <w:rsid w:val="00E33865"/>
    <w:rsid w:val="00E33E28"/>
    <w:rsid w:val="00E40965"/>
    <w:rsid w:val="00E63EC1"/>
    <w:rsid w:val="00E6756C"/>
    <w:rsid w:val="00E71FAF"/>
    <w:rsid w:val="00E739F9"/>
    <w:rsid w:val="00E774DF"/>
    <w:rsid w:val="00E83AD9"/>
    <w:rsid w:val="00EE2BC5"/>
    <w:rsid w:val="00F00D71"/>
    <w:rsid w:val="00F012E6"/>
    <w:rsid w:val="00F31099"/>
    <w:rsid w:val="00F56DA8"/>
    <w:rsid w:val="00F5758F"/>
    <w:rsid w:val="00F735CC"/>
    <w:rsid w:val="00F97BC3"/>
    <w:rsid w:val="00FA49FD"/>
    <w:rsid w:val="00FC4ADC"/>
    <w:rsid w:val="00FC69D6"/>
    <w:rsid w:val="3B1AD1DD"/>
    <w:rsid w:val="5F52E46E"/>
    <w:rsid w:val="603E4C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3E4C31"/>
  <w15:chartTrackingRefBased/>
  <w15:docId w15:val="{F0D4E098-AA92-4284-985D-72C6279E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overflowPunct w:val="0"/>
      <w:autoSpaceDE w:val="0"/>
      <w:autoSpaceDN w:val="0"/>
      <w:adjustRightInd w:val="0"/>
      <w:textAlignment w:val="baseline"/>
    </w:pPr>
    <w:rPr>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cs="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numbering" w:customStyle="1" w:styleId="NoList1">
    <w:name w:val="No List1"/>
    <w:next w:val="NoList"/>
    <w:uiPriority w:val="99"/>
    <w:semiHidden/>
    <w:unhideWhenUsed/>
    <w:rsid w:val="00E40965"/>
  </w:style>
  <w:style w:type="character" w:styleId="CommentReference">
    <w:name w:val="annotation reference"/>
    <w:basedOn w:val="DefaultParagraphFont"/>
    <w:uiPriority w:val="99"/>
    <w:semiHidden/>
    <w:unhideWhenUsed/>
    <w:rsid w:val="00E40965"/>
    <w:rPr>
      <w:sz w:val="16"/>
      <w:szCs w:val="16"/>
    </w:rPr>
  </w:style>
  <w:style w:type="paragraph" w:styleId="CommentText">
    <w:name w:val="annotation text"/>
    <w:basedOn w:val="Normal"/>
    <w:link w:val="CommentTextChar"/>
    <w:uiPriority w:val="99"/>
    <w:semiHidden/>
    <w:unhideWhenUsed/>
    <w:rsid w:val="00E40965"/>
    <w:rPr>
      <w:sz w:val="20"/>
      <w:szCs w:val="20"/>
    </w:rPr>
  </w:style>
  <w:style w:type="character" w:customStyle="1" w:styleId="CommentTextChar">
    <w:name w:val="Comment Text Char"/>
    <w:basedOn w:val="DefaultParagraphFont"/>
    <w:link w:val="CommentText"/>
    <w:uiPriority w:val="99"/>
    <w:semiHidden/>
    <w:rsid w:val="00E40965"/>
    <w:rPr>
      <w:kern w:val="1"/>
    </w:rPr>
  </w:style>
  <w:style w:type="paragraph" w:styleId="NormalWeb">
    <w:name w:val="Normal (Web)"/>
    <w:basedOn w:val="Normal"/>
    <w:uiPriority w:val="99"/>
    <w:unhideWhenUsed/>
    <w:rsid w:val="00E40965"/>
    <w:pPr>
      <w:widowControl/>
      <w:suppressAutoHyphens w:val="0"/>
      <w:overflowPunct/>
      <w:autoSpaceDE/>
      <w:autoSpaceDN/>
      <w:adjustRightInd/>
      <w:spacing w:before="100" w:beforeAutospacing="1" w:after="100" w:afterAutospacing="1"/>
      <w:textAlignment w:val="auto"/>
    </w:pPr>
    <w:rPr>
      <w:kern w:val="0"/>
      <w:lang w:eastAsia="en-US"/>
    </w:rPr>
  </w:style>
  <w:style w:type="character" w:styleId="Hyperlink">
    <w:name w:val="Hyperlink"/>
    <w:uiPriority w:val="99"/>
    <w:unhideWhenUsed/>
    <w:rsid w:val="00E40965"/>
    <w:rPr>
      <w:strike w:val="0"/>
      <w:dstrike w:val="0"/>
      <w:color w:val="006699"/>
      <w:u w:val="none"/>
      <w:effect w:val="none"/>
    </w:rPr>
  </w:style>
  <w:style w:type="paragraph" w:customStyle="1" w:styleId="ListParagraph1">
    <w:name w:val="List Paragraph1"/>
    <w:basedOn w:val="Normal"/>
    <w:next w:val="ListParagraph"/>
    <w:uiPriority w:val="34"/>
    <w:qFormat/>
    <w:rsid w:val="00E40965"/>
    <w:pPr>
      <w:widowControl/>
      <w:suppressAutoHyphens w:val="0"/>
      <w:overflowPunct/>
      <w:autoSpaceDE/>
      <w:autoSpaceDN/>
      <w:adjustRightInd/>
      <w:spacing w:after="160" w:line="259" w:lineRule="auto"/>
      <w:ind w:left="720"/>
      <w:contextualSpacing/>
      <w:textAlignment w:val="auto"/>
    </w:pPr>
    <w:rPr>
      <w:rFonts w:ascii="Calibri" w:eastAsia="Calibri" w:hAnsi="Calibri"/>
      <w:kern w:val="0"/>
      <w:sz w:val="22"/>
      <w:szCs w:val="22"/>
      <w:lang w:val="en-GB" w:eastAsia="en-US"/>
    </w:rPr>
  </w:style>
  <w:style w:type="paragraph" w:styleId="Header">
    <w:name w:val="header"/>
    <w:basedOn w:val="Normal"/>
    <w:link w:val="HeaderChar"/>
    <w:uiPriority w:val="99"/>
    <w:unhideWhenUsed/>
    <w:rsid w:val="00E40965"/>
    <w:pPr>
      <w:tabs>
        <w:tab w:val="center" w:pos="4680"/>
        <w:tab w:val="right" w:pos="9360"/>
      </w:tabs>
    </w:pPr>
  </w:style>
  <w:style w:type="character" w:customStyle="1" w:styleId="HeaderChar">
    <w:name w:val="Header Char"/>
    <w:basedOn w:val="DefaultParagraphFont"/>
    <w:link w:val="Header"/>
    <w:uiPriority w:val="99"/>
    <w:rsid w:val="00E40965"/>
    <w:rPr>
      <w:kern w:val="1"/>
      <w:sz w:val="24"/>
      <w:szCs w:val="24"/>
    </w:rPr>
  </w:style>
  <w:style w:type="paragraph" w:styleId="Footer">
    <w:name w:val="footer"/>
    <w:basedOn w:val="Normal"/>
    <w:link w:val="FooterChar"/>
    <w:uiPriority w:val="99"/>
    <w:unhideWhenUsed/>
    <w:rsid w:val="00E40965"/>
    <w:pPr>
      <w:tabs>
        <w:tab w:val="center" w:pos="4680"/>
        <w:tab w:val="right" w:pos="9360"/>
      </w:tabs>
    </w:pPr>
  </w:style>
  <w:style w:type="character" w:customStyle="1" w:styleId="FooterChar">
    <w:name w:val="Footer Char"/>
    <w:basedOn w:val="DefaultParagraphFont"/>
    <w:link w:val="Footer"/>
    <w:uiPriority w:val="99"/>
    <w:rsid w:val="00E40965"/>
    <w:rPr>
      <w:kern w:val="1"/>
      <w:sz w:val="24"/>
      <w:szCs w:val="24"/>
    </w:rPr>
  </w:style>
  <w:style w:type="paragraph" w:styleId="BalloonText">
    <w:name w:val="Balloon Text"/>
    <w:basedOn w:val="Normal"/>
    <w:link w:val="BalloonTextChar"/>
    <w:uiPriority w:val="99"/>
    <w:semiHidden/>
    <w:unhideWhenUsed/>
    <w:rsid w:val="00E409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965"/>
    <w:rPr>
      <w:rFonts w:ascii="Segoe UI" w:hAnsi="Segoe UI" w:cs="Segoe UI"/>
      <w:kern w:val="1"/>
      <w:sz w:val="18"/>
      <w:szCs w:val="18"/>
    </w:rPr>
  </w:style>
  <w:style w:type="paragraph" w:styleId="ListParagraph">
    <w:name w:val="List Paragraph"/>
    <w:basedOn w:val="Normal"/>
    <w:uiPriority w:val="34"/>
    <w:qFormat/>
    <w:rsid w:val="00E40965"/>
    <w:pPr>
      <w:ind w:left="720"/>
      <w:contextualSpacing/>
    </w:pPr>
  </w:style>
  <w:style w:type="numbering" w:customStyle="1" w:styleId="NoList2">
    <w:name w:val="No List2"/>
    <w:next w:val="NoList"/>
    <w:uiPriority w:val="99"/>
    <w:semiHidden/>
    <w:unhideWhenUsed/>
    <w:rsid w:val="00B13501"/>
  </w:style>
  <w:style w:type="character" w:styleId="UnresolvedMention">
    <w:name w:val="Unresolved Mention"/>
    <w:basedOn w:val="DefaultParagraphFont"/>
    <w:uiPriority w:val="99"/>
    <w:semiHidden/>
    <w:unhideWhenUsed/>
    <w:rsid w:val="00A95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Bayelsa_State" TargetMode="External"/><Relationship Id="rId18" Type="http://schemas.openxmlformats.org/officeDocument/2006/relationships/hyperlink" Target="https://en.wikipedia.org/wiki/List_of_Nigerian_states_by_population" TargetMode="External"/><Relationship Id="rId26" Type="http://schemas.openxmlformats.org/officeDocument/2006/relationships/hyperlink" Target="https://en.wikipedia.org/wiki/Economy" TargetMode="External"/><Relationship Id="rId3" Type="http://schemas.openxmlformats.org/officeDocument/2006/relationships/settings" Target="settings.xml"/><Relationship Id="rId21" Type="http://schemas.openxmlformats.org/officeDocument/2006/relationships/hyperlink" Target="https://en.wikipedia.org/wiki/Ogoni_people" TargetMode="External"/><Relationship Id="rId34" Type="http://schemas.openxmlformats.org/officeDocument/2006/relationships/fontTable" Target="fontTable.xml"/><Relationship Id="rId7" Type="http://schemas.openxmlformats.org/officeDocument/2006/relationships/hyperlink" Target="https://en.wikipedia.org/wiki/Niger_Delta" TargetMode="External"/><Relationship Id="rId12" Type="http://schemas.openxmlformats.org/officeDocument/2006/relationships/hyperlink" Target="https://en.wikipedia.org/wiki/Abia_State" TargetMode="External"/><Relationship Id="rId17" Type="http://schemas.openxmlformats.org/officeDocument/2006/relationships/hyperlink" Target="https://en.wikipedia.org/wiki/Petroleum_industry_in_Nigeria" TargetMode="External"/><Relationship Id="rId25" Type="http://schemas.openxmlformats.org/officeDocument/2006/relationships/hyperlink" Target="https://en.wikipedia.org/wiki/Bonny_River"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en.wikipedia.org/wiki/Metropolis" TargetMode="External"/><Relationship Id="rId20" Type="http://schemas.openxmlformats.org/officeDocument/2006/relationships/hyperlink" Target="https://en.wikipedia.org/wiki/Igbo_people"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mo_State" TargetMode="External"/><Relationship Id="rId24" Type="http://schemas.openxmlformats.org/officeDocument/2006/relationships/hyperlink" Target="https://en.wikipedia.org/wiki/List_of_Nigerian_states_by_area"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n.wikipedia.org/wiki/Port_Harcourt" TargetMode="External"/><Relationship Id="rId23" Type="http://schemas.openxmlformats.org/officeDocument/2006/relationships/hyperlink" Target="https://en.wikipedia.org/wiki/Linguistic_diversity" TargetMode="External"/><Relationship Id="rId28" Type="http://schemas.openxmlformats.org/officeDocument/2006/relationships/header" Target="header1.xml"/><Relationship Id="rId10" Type="http://schemas.openxmlformats.org/officeDocument/2006/relationships/hyperlink" Target="https://en.wikipedia.org/wiki/Anambra_State" TargetMode="External"/><Relationship Id="rId19" Type="http://schemas.openxmlformats.org/officeDocument/2006/relationships/hyperlink" Target="https://en.wikipedia.org/wiki/Ethnic_group"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n.wikipedia.org/wiki/Eastern_Region,_Nigeria" TargetMode="External"/><Relationship Id="rId14" Type="http://schemas.openxmlformats.org/officeDocument/2006/relationships/hyperlink" Target="https://en.wikipedia.org/wiki/Delta_State" TargetMode="External"/><Relationship Id="rId22" Type="http://schemas.openxmlformats.org/officeDocument/2006/relationships/hyperlink" Target="https://en.wikipedia.org/wiki/Ijaw_people" TargetMode="External"/><Relationship Id="rId27" Type="http://schemas.openxmlformats.org/officeDocument/2006/relationships/image" Target="media/image1.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en.wikipedia.org/wiki/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14</Pages>
  <Words>6152</Words>
  <Characters>35072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O</dc:creator>
  <cp:keywords/>
  <dc:description/>
  <cp:lastModifiedBy>SDI 1084</cp:lastModifiedBy>
  <cp:revision>18</cp:revision>
  <cp:lastPrinted>2025-11-22T00:34:00Z</cp:lastPrinted>
  <dcterms:created xsi:type="dcterms:W3CDTF">2026-02-18T09:07:00Z</dcterms:created>
  <dcterms:modified xsi:type="dcterms:W3CDTF">2026-03-16T12:50:00Z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f6da90dd-7c80-4028-a0f3-d5aa2561c0da</vt:lpwstr>
  </property>
</Properties>
</file>