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32A360" w14:textId="504B5D4A" w:rsidR="00163BC4" w:rsidRPr="00163BC4" w:rsidRDefault="004A6473" w:rsidP="004A6473">
      <w:pPr>
        <w:pStyle w:val="Author"/>
        <w:spacing w:line="240" w:lineRule="auto"/>
        <w:rPr>
          <w:rFonts w:ascii="Arial" w:hAnsi="Arial" w:cs="Arial"/>
          <w:bCs/>
          <w:iCs/>
          <w:kern w:val="28"/>
          <w:sz w:val="36"/>
        </w:rPr>
      </w:pPr>
      <w:r w:rsidRPr="004A6473">
        <w:rPr>
          <w:rFonts w:ascii="Arial" w:hAnsi="Arial" w:cs="Arial"/>
          <w:bCs/>
          <w:iCs/>
          <w:kern w:val="28"/>
          <w:sz w:val="36"/>
        </w:rPr>
        <w:t>Evaluation of the energy efficiency potential of household</w:t>
      </w:r>
      <w:r>
        <w:rPr>
          <w:rFonts w:ascii="Arial" w:hAnsi="Arial" w:cs="Arial"/>
          <w:bCs/>
          <w:iCs/>
          <w:kern w:val="28"/>
          <w:sz w:val="36"/>
        </w:rPr>
        <w:t xml:space="preserve"> residential lighting in a city</w:t>
      </w:r>
      <w:r w:rsidRPr="004A6473">
        <w:rPr>
          <w:rFonts w:ascii="Arial" w:hAnsi="Arial" w:cs="Arial"/>
          <w:bCs/>
          <w:iCs/>
          <w:kern w:val="28"/>
          <w:sz w:val="36"/>
        </w:rPr>
        <w:t>: the case of the city of Koudougou</w:t>
      </w:r>
    </w:p>
    <w:p w14:paraId="0EB248B5" w14:textId="77777777" w:rsidR="00A258C3" w:rsidRPr="00790ADA" w:rsidRDefault="00A258C3" w:rsidP="00441B6F">
      <w:pPr>
        <w:pStyle w:val="Author"/>
        <w:spacing w:line="240" w:lineRule="auto"/>
        <w:jc w:val="both"/>
        <w:rPr>
          <w:rFonts w:ascii="Arial" w:hAnsi="Arial" w:cs="Arial"/>
          <w:sz w:val="36"/>
        </w:rPr>
      </w:pPr>
    </w:p>
    <w:p w14:paraId="6A44F461" w14:textId="77777777" w:rsidR="002C57D2" w:rsidRPr="00FB3A86" w:rsidRDefault="002C57D2" w:rsidP="00441B6F">
      <w:pPr>
        <w:pStyle w:val="Affiliation"/>
        <w:spacing w:after="0" w:line="240" w:lineRule="auto"/>
        <w:jc w:val="both"/>
        <w:rPr>
          <w:rFonts w:ascii="Arial" w:hAnsi="Arial" w:cs="Arial"/>
        </w:rPr>
      </w:pPr>
      <w:bookmarkStart w:id="0" w:name="_GoBack"/>
      <w:bookmarkEnd w:id="0"/>
    </w:p>
    <w:p w14:paraId="72600BB8" w14:textId="68B9A03B" w:rsidR="00B01FCD" w:rsidRPr="00FB3A86" w:rsidRDefault="00F427C6" w:rsidP="00441B6F">
      <w:pPr>
        <w:pStyle w:val="Copyright"/>
        <w:spacing w:after="0" w:line="240" w:lineRule="auto"/>
        <w:jc w:val="both"/>
        <w:rPr>
          <w:rFonts w:ascii="Arial" w:hAnsi="Arial" w:cs="Arial"/>
        </w:rPr>
        <w:sectPr w:rsidR="00B01FCD" w:rsidRPr="00FB3A86" w:rsidSect="006049B5">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noProof/>
          <w:lang w:val="fr-FR" w:eastAsia="fr-FR"/>
        </w:rPr>
        <mc:AlternateContent>
          <mc:Choice Requires="wps">
            <w:drawing>
              <wp:inline distT="0" distB="0" distL="0" distR="0" wp14:anchorId="44E88EB0" wp14:editId="025A9959">
                <wp:extent cx="5303520" cy="635"/>
                <wp:effectExtent l="13335" t="13335" r="17145" b="15240"/>
                <wp:docPr id="1093280366"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0BC8F4C2" id="_x0000_t32" coordsize="21600,21600" o:spt="32" o:oned="t" path="m,l21600,21600e" filled="f">
                <v:path arrowok="t" fillok="f" o:connecttype="none"/>
                <o:lock v:ext="edit" shapetype="t"/>
              </v:shapetype>
              <v:shape id="AutoShape 2" o:spid="_x0000_s1026" type="#_x0000_t32" style="width:417.6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" strokeweight="1.5pt">
                <w10:anchorlock/>
              </v:shape>
            </w:pict>
          </mc:Fallback>
        </mc:AlternateContent>
      </w:r>
      <w:r w:rsidR="00FB3A86">
        <w:rPr>
          <w:rFonts w:ascii="Arial" w:hAnsi="Arial" w:cs="Arial"/>
        </w:rPr>
        <w:t>.</w:t>
      </w:r>
    </w:p>
    <w:p w14:paraId="69AE93EB" w14:textId="61857FB6" w:rsidR="00B01FCD" w:rsidRDefault="00B01FCD" w:rsidP="00441B6F">
      <w:pPr>
        <w:pStyle w:val="AbstHead"/>
        <w:spacing w:after="0"/>
        <w:jc w:val="both"/>
        <w:rPr>
          <w:rFonts w:ascii="Arial" w:hAnsi="Arial" w:cs="Arial"/>
        </w:rPr>
      </w:pPr>
      <w:r w:rsidRPr="00FB3A86">
        <w:rPr>
          <w:rFonts w:ascii="Arial" w:hAnsi="Arial" w:cs="Arial"/>
        </w:rPr>
        <w:t>ABSTRACT</w:t>
      </w:r>
    </w:p>
    <w:p w14:paraId="696D84CC" w14:textId="77777777" w:rsidR="00790ADA" w:rsidRPr="00FB3A86" w:rsidRDefault="00790ADA" w:rsidP="00441B6F">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198"/>
      </w:tblGrid>
      <w:tr w:rsidR="00296529" w:rsidRPr="001E44FE" w14:paraId="013007E1" w14:textId="77777777" w:rsidTr="001E44FE">
        <w:tc>
          <w:tcPr>
            <w:tcW w:w="9576" w:type="dxa"/>
            <w:shd w:val="clear" w:color="auto" w:fill="F2F2F2"/>
          </w:tcPr>
          <w:p w14:paraId="2F03649F" w14:textId="77777777" w:rsidR="00BF366C" w:rsidRPr="00BF366C" w:rsidRDefault="00BF366C" w:rsidP="00BF366C">
            <w:pPr>
              <w:pStyle w:val="Body"/>
              <w:rPr>
                <w:rFonts w:ascii="Arial" w:eastAsia="Calibri" w:hAnsi="Arial" w:cs="Arial"/>
                <w:szCs w:val="22"/>
              </w:rPr>
            </w:pPr>
            <w:r w:rsidRPr="00BF366C">
              <w:rPr>
                <w:rFonts w:ascii="Arial" w:eastAsia="Calibri" w:hAnsi="Arial" w:cs="Arial"/>
                <w:szCs w:val="22"/>
              </w:rPr>
              <w:t>Energy efficiency is one of the priorities of the current political agenda. There are very few countries in which no objective has been set in terms of energy savings, energy consumption, and reduction of greenhouse gas emissions. However, these declarations of intent are not always followed by concrete actions due to the lack of adequate data for developing indicators to monitor energy consumption. It is within this framework that we initiated this study, whose main objective is to assess the energy efficiency potential of domestic lighting by focusing on four energy management actions denoted EC1, EC2, EC3, and EC4. To carry out this study, surveys (direct interviews) were conducted with households in order to collect data on lighting consumption. The results show an overall potential of 7,299.64 kWh, which represents 12.11% of total lamp consumption. A more detailed analysis reveals variable potentials depending on the areas of lighting use and the actions considered. Bedrooms exhibit the highest energy efficiency potential, accounting for 58% of total energy savings, with a total potential of 4,194.49 kWh. Living rooms contribute 32% of this potential, i.e., 2,317.19 kWh. Toilets, for their part, have a total saving potential of 611.08 kWh, corresponding to 8% of total savings.</w:t>
            </w:r>
          </w:p>
          <w:p w14:paraId="458E5A6E" w14:textId="295C8F7A" w:rsidR="00505F06" w:rsidRPr="00BA1B01" w:rsidRDefault="00BF366C" w:rsidP="00BF366C">
            <w:pPr>
              <w:pStyle w:val="Body"/>
              <w:spacing w:after="0"/>
              <w:rPr>
                <w:rFonts w:ascii="Arial" w:eastAsia="Calibri" w:hAnsi="Arial" w:cs="Arial"/>
                <w:szCs w:val="22"/>
              </w:rPr>
            </w:pPr>
            <w:r w:rsidRPr="00BF366C">
              <w:rPr>
                <w:rFonts w:ascii="Arial" w:eastAsia="Calibri" w:hAnsi="Arial" w:cs="Arial"/>
                <w:szCs w:val="22"/>
              </w:rPr>
              <w:t>These results indicate that households can achieve substantial energy savings if they implement energy management actions in the management of the different lighted spaces.</w:t>
            </w:r>
          </w:p>
        </w:tc>
      </w:tr>
    </w:tbl>
    <w:p w14:paraId="2AAAF504" w14:textId="77777777" w:rsidR="00636EB2" w:rsidRDefault="00636EB2" w:rsidP="00441B6F">
      <w:pPr>
        <w:pStyle w:val="Body"/>
        <w:spacing w:after="0"/>
        <w:rPr>
          <w:rFonts w:ascii="Arial" w:hAnsi="Arial" w:cs="Arial"/>
          <w:i/>
        </w:rPr>
      </w:pPr>
    </w:p>
    <w:p w14:paraId="1245D028" w14:textId="1279C0D4" w:rsidR="001E4FAD" w:rsidRPr="001E4FAD" w:rsidRDefault="001E4FAD" w:rsidP="001E4FAD">
      <w:pPr>
        <w:pStyle w:val="Body"/>
        <w:rPr>
          <w:rFonts w:ascii="Arial" w:hAnsi="Arial" w:cs="Arial"/>
          <w:i/>
        </w:rPr>
      </w:pPr>
      <w:r>
        <w:rPr>
          <w:rFonts w:ascii="Arial" w:hAnsi="Arial" w:cs="Arial"/>
          <w:i/>
        </w:rPr>
        <w:t xml:space="preserve">Keywords: </w:t>
      </w:r>
      <w:r w:rsidRPr="001E4FAD">
        <w:rPr>
          <w:rFonts w:ascii="Arial" w:hAnsi="Arial" w:cs="Arial"/>
          <w:i/>
        </w:rPr>
        <w:t>Energy efficiency,</w:t>
      </w:r>
      <w:r>
        <w:rPr>
          <w:rFonts w:ascii="Arial" w:hAnsi="Arial" w:cs="Arial"/>
          <w:i/>
        </w:rPr>
        <w:t xml:space="preserve"> </w:t>
      </w:r>
      <w:r w:rsidRPr="001E4FAD">
        <w:rPr>
          <w:rFonts w:ascii="Arial" w:hAnsi="Arial" w:cs="Arial"/>
          <w:i/>
        </w:rPr>
        <w:t>Household,</w:t>
      </w:r>
      <w:r>
        <w:rPr>
          <w:rFonts w:ascii="Arial" w:hAnsi="Arial" w:cs="Arial"/>
          <w:i/>
        </w:rPr>
        <w:t xml:space="preserve"> </w:t>
      </w:r>
      <w:r w:rsidRPr="001E4FAD">
        <w:rPr>
          <w:rFonts w:ascii="Arial" w:hAnsi="Arial" w:cs="Arial"/>
          <w:i/>
        </w:rPr>
        <w:t>Energy saving potential,</w:t>
      </w:r>
      <w:r>
        <w:rPr>
          <w:rFonts w:ascii="Arial" w:hAnsi="Arial" w:cs="Arial"/>
          <w:i/>
        </w:rPr>
        <w:t xml:space="preserve"> </w:t>
      </w:r>
      <w:r w:rsidRPr="001E4FAD">
        <w:rPr>
          <w:rFonts w:ascii="Arial" w:hAnsi="Arial" w:cs="Arial"/>
          <w:i/>
        </w:rPr>
        <w:t>Energy efficiency potential,</w:t>
      </w:r>
    </w:p>
    <w:p w14:paraId="4C053B8B" w14:textId="77777777" w:rsidR="00505F06" w:rsidRPr="00A24E7E" w:rsidRDefault="00505F06" w:rsidP="00441B6F">
      <w:pPr>
        <w:pStyle w:val="Body"/>
        <w:spacing w:after="0"/>
        <w:rPr>
          <w:rFonts w:ascii="Arial" w:hAnsi="Arial" w:cs="Arial"/>
          <w:i/>
        </w:rPr>
      </w:pPr>
    </w:p>
    <w:p w14:paraId="7FCA1BD5" w14:textId="79E5B4F1" w:rsidR="007F7B32"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p>
    <w:p w14:paraId="079AC081" w14:textId="77777777" w:rsidR="00790ADA" w:rsidRPr="00FB3A86" w:rsidRDefault="00790ADA" w:rsidP="00441B6F">
      <w:pPr>
        <w:pStyle w:val="AbstHead"/>
        <w:spacing w:after="0"/>
        <w:jc w:val="both"/>
        <w:rPr>
          <w:rFonts w:ascii="Arial" w:hAnsi="Arial" w:cs="Arial"/>
        </w:rPr>
      </w:pPr>
    </w:p>
    <w:p w14:paraId="6BF7790D" w14:textId="5D23F763" w:rsidR="001E4FAD" w:rsidRPr="001E4FAD" w:rsidRDefault="001E4FAD" w:rsidP="001E4FAD">
      <w:pPr>
        <w:pStyle w:val="Body"/>
        <w:rPr>
          <w:rFonts w:ascii="Arial" w:hAnsi="Arial" w:cs="Arial"/>
        </w:rPr>
      </w:pPr>
      <w:r w:rsidRPr="001E4FAD">
        <w:rPr>
          <w:rFonts w:ascii="Arial" w:hAnsi="Arial" w:cs="Arial"/>
        </w:rPr>
        <w:t>The world is facing an unprecedented energy and environmental crisis, exacerbated by global warming and dependence on fossil fuel</w:t>
      </w:r>
      <w:r w:rsidR="00DD4224">
        <w:rPr>
          <w:rFonts w:ascii="Arial" w:hAnsi="Arial" w:cs="Arial"/>
        </w:rPr>
        <w:t xml:space="preserve"> </w:t>
      </w:r>
      <w:r w:rsidR="00DD4224">
        <w:rPr>
          <w:rFonts w:ascii="Arial" w:hAnsi="Arial" w:cs="Arial"/>
        </w:rPr>
        <w:fldChar w:fldCharType="begin"/>
      </w:r>
      <w:r w:rsidR="00C100CC">
        <w:rPr>
          <w:rFonts w:ascii="Arial" w:hAnsi="Arial" w:cs="Arial"/>
        </w:rPr>
        <w:instrText xml:space="preserve"> ADDIN ZOTERO_ITEM CSL_CITATION {"citationID":"hft1ganP","properties":{"formattedCitation":"(St\\uc0\\u233{}phane Pouffary &amp; Guillaume Delaboulaye, 2015, 2016)","plainCitation":"(Stéphane Pouffary &amp; Guillaume Delaboulaye, 2015, 2016)","noteIndex":0},"citationItems":[{"id":3793,"uris":["http://zotero.org/users/16306850/items/MFWSGARK"],"itemData":{"id":3793,"type":"book","edition":"Institut de la Francophonie pour le Développement Durable (IFDD)","ISBN":"978-2-89481-215-0","language":"fr","publisher":"Institut de la Francophonie pour le Développement Durable (IFDD)","publisher-place":"Québec, Canada","title":"Guide du bâtiment durable en régions tropicales  Tome 1 : Stratégies de conception des nouveaux bâtiments en régions tropicales","URL":"https://www.ifdd.francophonie.org/ressources/ressourcespub.php?id=8","author":[{"literal":"Stéphane Pouffary"},{"literal":"Guillaume Delaboulaye"}],"issued":{"date-parts":[["2015",12]]}}},{"id":3796,"uris":["http://zotero.org/users/16306850/items/BW7RICEG"],"itemData":{"id":3796,"type":"book","edition":"Institut de la Francophonie pour le Développement Durable (IFDD)","ISBN":"978-2-89481-216-7","language":"fr","number-of-pages":"8;19-59","publisher-place":"Québec, Canada","source":"Zotero","title":"Guide du bâtiment durable en régions tropicales – Tome 2","URL":"http://www.ifdd.francophonie.org/ressources/ressources-pub.php?id=8","author":[{"literal":"Stéphane Pouffary"},{"literal":"Guillaume Delaboulaye"}],"issued":{"date-parts":[["2016",7]]}}}],"schema":"https://github.com/citation-style-language/schema/raw/master/csl-citation.json"} </w:instrText>
      </w:r>
      <w:r w:rsidR="00DD4224">
        <w:rPr>
          <w:rFonts w:ascii="Arial" w:hAnsi="Arial" w:cs="Arial"/>
        </w:rPr>
        <w:fldChar w:fldCharType="separate"/>
      </w:r>
      <w:r w:rsidR="00DD4224" w:rsidRPr="00DD4224">
        <w:rPr>
          <w:rFonts w:ascii="Arial" w:hAnsi="Arial" w:cs="Arial"/>
          <w:szCs w:val="24"/>
        </w:rPr>
        <w:t>(Stéphane Pouffary &amp; Guillaume Delaboulaye, 2015, 2016)</w:t>
      </w:r>
      <w:r w:rsidR="00DD4224">
        <w:rPr>
          <w:rFonts w:ascii="Arial" w:hAnsi="Arial" w:cs="Arial"/>
        </w:rPr>
        <w:fldChar w:fldCharType="end"/>
      </w:r>
      <w:r w:rsidRPr="001E4FAD">
        <w:rPr>
          <w:rFonts w:ascii="Arial" w:hAnsi="Arial" w:cs="Arial"/>
        </w:rPr>
        <w:t xml:space="preserve">. According to the Intergovernmental Panel on Climate Change (IPCC), the energy sector is the main emitter of greenhouse gases, responsible for the rise in global temperatures and climate disruptions </w:t>
      </w:r>
      <w:r w:rsidR="00DD4224">
        <w:rPr>
          <w:rFonts w:ascii="Arial" w:hAnsi="Arial" w:cs="Arial"/>
        </w:rPr>
        <w:fldChar w:fldCharType="begin"/>
      </w:r>
      <w:r w:rsidR="00C100CC">
        <w:rPr>
          <w:rFonts w:ascii="Arial" w:hAnsi="Arial" w:cs="Arial"/>
        </w:rPr>
        <w:instrText xml:space="preserve"> ADDIN ZOTERO_ITEM CSL_CITATION {"citationID":"d3ubk4Oe","properties":{"formattedCitation":"(Amadou Oumarou Fati, 2021)","plainCitation":"(Amadou Oumarou Fati, 2021)","noteIndex":0},"citationItems":[{"id":1986,"uris":["http://zotero.org/users/16306850/items/LPA8GHRE"],"itemData":{"id":1986,"type":"thesis","genre":"thèse de doctorat unique","language":"fr","number-of-pages":"3-5","publisher":"Université Joseph KI-ZERBO","publisher-place":"Ouagadougou, Burkina Faso","source":"Zotero","title":"IMPACT DE LA NATURE DES MATERIAUX, DE  L’ORIENTATION ET DE LA VENTILATION SUR LE  CONFORT THERMIQUE DANS L’HABITAT INDIVIDUEL  EN CLIMAT SAHELIEN","author":[{"literal":"Amadou Oumarou Fati"}],"issued":{"date-parts":[["2021",9,18]]}}}],"schema":"https://github.com/citation-style-language/schema/raw/master/csl-citation.json"} </w:instrText>
      </w:r>
      <w:r w:rsidR="00DD4224">
        <w:rPr>
          <w:rFonts w:ascii="Arial" w:hAnsi="Arial" w:cs="Arial"/>
        </w:rPr>
        <w:fldChar w:fldCharType="separate"/>
      </w:r>
      <w:r w:rsidR="00DD4224" w:rsidRPr="00DD4224">
        <w:rPr>
          <w:rFonts w:ascii="Arial" w:hAnsi="Arial" w:cs="Arial"/>
        </w:rPr>
        <w:t>(Amadou Oumarou Fati, 2021)</w:t>
      </w:r>
      <w:r w:rsidR="00DD4224">
        <w:rPr>
          <w:rFonts w:ascii="Arial" w:hAnsi="Arial" w:cs="Arial"/>
        </w:rPr>
        <w:fldChar w:fldCharType="end"/>
      </w:r>
      <w:r w:rsidR="00DD4224">
        <w:rPr>
          <w:rFonts w:ascii="Arial" w:hAnsi="Arial" w:cs="Arial"/>
        </w:rPr>
        <w:t xml:space="preserve"> </w:t>
      </w:r>
      <w:r w:rsidRPr="001E4FAD">
        <w:rPr>
          <w:rFonts w:ascii="Arial" w:hAnsi="Arial" w:cs="Arial"/>
        </w:rPr>
        <w:t xml:space="preserve">In light of this challenge, the transition toward a sustainable energy model is becoming an imperative in order to preserve the environment and ensure viable development </w:t>
      </w:r>
      <w:r w:rsidR="00DD4224" w:rsidRPr="001E4FAD">
        <w:rPr>
          <w:rFonts w:ascii="Arial" w:hAnsi="Arial" w:cs="Arial"/>
        </w:rPr>
        <w:t>fuel</w:t>
      </w:r>
      <w:r w:rsidR="00DD4224">
        <w:rPr>
          <w:rFonts w:ascii="Arial" w:hAnsi="Arial" w:cs="Arial"/>
        </w:rPr>
        <w:t xml:space="preserve"> </w:t>
      </w:r>
      <w:r w:rsidR="00DD4224">
        <w:rPr>
          <w:rFonts w:ascii="Arial" w:hAnsi="Arial" w:cs="Arial"/>
        </w:rPr>
        <w:fldChar w:fldCharType="begin"/>
      </w:r>
      <w:r w:rsidR="00C100CC">
        <w:rPr>
          <w:rFonts w:ascii="Arial" w:hAnsi="Arial" w:cs="Arial"/>
        </w:rPr>
        <w:instrText xml:space="preserve"> ADDIN ZOTERO_ITEM CSL_CITATION {"citationID":"qLl42czI","properties":{"formattedCitation":"(St\\uc0\\u233{}phane Pouffary &amp; Guillaume Delaboulaye, 2015, 2016)","plainCitation":"(Stéphane Pouffary &amp; Guillaume Delaboulaye, 2015, 2016)","noteIndex":0},"citationItems":[{"id":3793,"uris":["http://zotero.org/users/16306850/items/MFWSGARK"],"itemData":{"id":3793,"type":"book","edition":"Institut de la Francophonie pour le Développement Durable (IFDD)","ISBN":"978-2-89481-215-0","language":"fr","publisher":"Institut de la Francophonie pour le Développement Durable (IFDD)","publisher-place":"Québec, Canada","title":"Guide du bâtiment durable en régions tropicales  Tome 1 : Stratégies de conception des nouveaux bâtiments en régions tropicales","URL":"https://www.ifdd.francophonie.org/ressources/ressourcespub.php?id=8","author":[{"literal":"Stéphane Pouffary"},{"literal":"Guillaume Delaboulaye"}],"issued":{"date-parts":[["2015",12]]}}},{"id":3796,"uris":["http://zotero.org/users/16306850/items/BW7RICEG"],"itemData":{"id":3796,"type":"book","edition":"Institut de la Francophonie pour le Développement Durable (IFDD)","ISBN":"978-2-89481-216-7","language":"fr","number-of-pages":"8;19-59","publisher-place":"Québec, Canada","source":"Zotero","title":"Guide du bâtiment durable en régions tropicales – Tome 2","URL":"http://www.ifdd.francophonie.org/ressources/ressources-pub.php?id=8","author":[{"literal":"Stéphane Pouffary"},{"literal":"Guillaume Delaboulaye"}],"issued":{"date-parts":[["2016",7]]}}}],"schema":"https://github.com/citation-style-language/schema/raw/master/csl-citation.json"} </w:instrText>
      </w:r>
      <w:r w:rsidR="00DD4224">
        <w:rPr>
          <w:rFonts w:ascii="Arial" w:hAnsi="Arial" w:cs="Arial"/>
        </w:rPr>
        <w:fldChar w:fldCharType="separate"/>
      </w:r>
      <w:r w:rsidR="00DD4224" w:rsidRPr="00DD4224">
        <w:rPr>
          <w:rFonts w:ascii="Arial" w:hAnsi="Arial" w:cs="Arial"/>
          <w:szCs w:val="24"/>
        </w:rPr>
        <w:t>(Stéphane Pouffary &amp; Guillaume Delaboulaye, 2015, 2016)</w:t>
      </w:r>
      <w:r w:rsidR="00DD4224">
        <w:rPr>
          <w:rFonts w:ascii="Arial" w:hAnsi="Arial" w:cs="Arial"/>
        </w:rPr>
        <w:fldChar w:fldCharType="end"/>
      </w:r>
      <w:r w:rsidRPr="001E4FAD">
        <w:rPr>
          <w:rFonts w:ascii="Arial" w:hAnsi="Arial" w:cs="Arial"/>
        </w:rPr>
        <w:t>.</w:t>
      </w:r>
    </w:p>
    <w:p w14:paraId="0FEBCC0E" w14:textId="3BC996AB" w:rsidR="001E4FAD" w:rsidRPr="001E4FAD" w:rsidRDefault="001E4FAD" w:rsidP="001E4FAD">
      <w:pPr>
        <w:pStyle w:val="Body"/>
        <w:rPr>
          <w:rFonts w:ascii="Arial" w:hAnsi="Arial" w:cs="Arial"/>
        </w:rPr>
      </w:pPr>
      <w:r w:rsidRPr="001E4FAD">
        <w:rPr>
          <w:rFonts w:ascii="Arial" w:hAnsi="Arial" w:cs="Arial"/>
        </w:rPr>
        <w:t xml:space="preserve">Rapid urbanization intensifies these challenges, as urban areas concentrate a large share of the world’s population and consume most of the energy produced </w:t>
      </w:r>
      <w:r w:rsidR="004A7252" w:rsidRPr="001E4FAD">
        <w:rPr>
          <w:rFonts w:ascii="Arial" w:hAnsi="Arial" w:cs="Arial"/>
        </w:rPr>
        <w:t>fuel</w:t>
      </w:r>
      <w:r w:rsidR="004A7252">
        <w:rPr>
          <w:rFonts w:ascii="Arial" w:hAnsi="Arial" w:cs="Arial"/>
        </w:rPr>
        <w:t xml:space="preserve"> </w:t>
      </w:r>
      <w:r w:rsidR="004A7252">
        <w:rPr>
          <w:rFonts w:ascii="Arial" w:hAnsi="Arial" w:cs="Arial"/>
        </w:rPr>
        <w:fldChar w:fldCharType="begin"/>
      </w:r>
      <w:r w:rsidR="00C100CC">
        <w:rPr>
          <w:rFonts w:ascii="Arial" w:hAnsi="Arial" w:cs="Arial"/>
        </w:rPr>
        <w:instrText xml:space="preserve"> ADDIN ZOTERO_ITEM CSL_CITATION {"citationID":"IwD2Lmae","properties":{"formattedCitation":"(St\\uc0\\u233{}phane Pouffary &amp; Guillaume Delaboulaye, 2015, 2016)","plainCitation":"(Stéphane Pouffary &amp; Guillaume Delaboulaye, 2015, 2016)","noteIndex":0},"citationItems":[{"id":3793,"uris":["http://zotero.org/users/16306850/items/MFWSGARK"],"itemData":{"id":3793,"type":"book","edition":"Institut de la Francophonie pour le Développement Durable (IFDD)","ISBN":"978-2-89481-215-0","language":"fr","publisher":"Institut de la Francophonie pour le Développement Durable (IFDD)","publisher-place":"Québec, Canada","title":"Guide du bâtiment durable en régions tropicales  Tome 1 : Stratégies de conception des nouveaux bâtiments en régions tropicales","URL":"https://www.ifdd.francophonie.org/ressources/ressourcespub.php?id=8","author":[{"literal":"Stéphane Pouffary"},{"literal":"Guillaume Delaboulaye"}],"issued":{"date-parts":[["2015",12]]}}},{"id":3796,"uris":["http://zotero.org/users/16306850/items/BW7RICEG"],"itemData":{"id":3796,"type":"book","edition":"Institut de la Francophonie pour le Développement Durable (IFDD)","ISBN":"978-2-89481-216-7","language":"fr","number-of-pages":"8;19-59","publisher-place":"Québec, Canada","source":"Zotero","title":"Guide du bâtiment durable en régions tropicales – Tome 2","URL":"http://www.ifdd.francophonie.org/ressources/ressources-pub.php?id=8","author":[{"literal":"Stéphane Pouffary"},{"literal":"Guillaume Delaboulaye"}],"issued":{"date-parts":[["2016",7]]}}}],"schema":"https://github.com/citation-style-language/schema/raw/master/csl-citation.json"} </w:instrText>
      </w:r>
      <w:r w:rsidR="004A7252">
        <w:rPr>
          <w:rFonts w:ascii="Arial" w:hAnsi="Arial" w:cs="Arial"/>
        </w:rPr>
        <w:fldChar w:fldCharType="separate"/>
      </w:r>
      <w:r w:rsidR="004A7252" w:rsidRPr="00DD4224">
        <w:rPr>
          <w:rFonts w:ascii="Arial" w:hAnsi="Arial" w:cs="Arial"/>
          <w:szCs w:val="24"/>
        </w:rPr>
        <w:t>(Stéphane Pouffary &amp; Guillaume Delaboulaye, 2015, 2016)</w:t>
      </w:r>
      <w:r w:rsidR="004A7252">
        <w:rPr>
          <w:rFonts w:ascii="Arial" w:hAnsi="Arial" w:cs="Arial"/>
        </w:rPr>
        <w:fldChar w:fldCharType="end"/>
      </w:r>
      <w:r w:rsidRPr="001E4FAD">
        <w:rPr>
          <w:rFonts w:ascii="Arial" w:hAnsi="Arial" w:cs="Arial"/>
        </w:rPr>
        <w:t xml:space="preserve">. By 2050, nearly 75% of the world’s population will live in urban areas, which will significantly increase energy demand and greenhouse gas emissions </w:t>
      </w:r>
      <w:r w:rsidR="004A7252" w:rsidRPr="001E4FAD">
        <w:rPr>
          <w:rFonts w:ascii="Arial" w:hAnsi="Arial" w:cs="Arial"/>
        </w:rPr>
        <w:t>fuel</w:t>
      </w:r>
      <w:r w:rsidR="004A7252">
        <w:rPr>
          <w:rFonts w:ascii="Arial" w:hAnsi="Arial" w:cs="Arial"/>
        </w:rPr>
        <w:t xml:space="preserve"> </w:t>
      </w:r>
      <w:r w:rsidR="004A7252">
        <w:rPr>
          <w:rFonts w:ascii="Arial" w:hAnsi="Arial" w:cs="Arial"/>
        </w:rPr>
        <w:fldChar w:fldCharType="begin"/>
      </w:r>
      <w:r w:rsidR="00C100CC">
        <w:rPr>
          <w:rFonts w:ascii="Arial" w:hAnsi="Arial" w:cs="Arial"/>
        </w:rPr>
        <w:instrText xml:space="preserve"> ADDIN ZOTERO_ITEM CSL_CITATION {"citationID":"rclERSxj","properties":{"formattedCitation":"(St\\uc0\\u233{}phane Pouffary &amp; Guillaume Delaboulaye, 2015, 2016)","plainCitation":"(Stéphane Pouffary &amp; Guillaume Delaboulaye, 2015, 2016)","noteIndex":0},"citationItems":[{"id":3793,"uris":["http://zotero.org/users/16306850/items/MFWSGARK"],"itemData":{"id":3793,"type":"book","edition":"Institut de la Francophonie pour le Développement Durable (IFDD)","ISBN":"978-2-89481-215-0","language":"fr","publisher":"Institut de la Francophonie pour le Développement Durable (IFDD)","publisher-place":"Québec, Canada","title":"Guide du bâtiment durable en régions tropicales  Tome 1 : Stratégies de conception des nouveaux bâtiments en régions tropicales","URL":"https://www.ifdd.francophonie.org/ressources/ressourcespub.php?id=8","author":[{"literal":"Stéphane Pouffary"},{"literal":"Guillaume Delaboulaye"}],"issued":{"date-parts":[["2015",12]]}}},{"id":3796,"uris":["http://zotero.org/users/16306850/items/BW7RICEG"],"itemData":{"id":3796,"type":"book","edition":"Institut de la Francophonie pour le Développement Durable (IFDD)","ISBN":"978-2-89481-216-7","language":"fr","number-of-pages":"8;19-59","publisher-place":"Québec, Canada","source":"Zotero","title":"Guide du bâtiment durable en régions tropicales – Tome 2","URL":"http://www.ifdd.francophonie.org/ressources/ressources-pub.php?id=8","author":[{"literal":"Stéphane Pouffary"},{"literal":"Guillaume Delaboulaye"}],"issued":{"date-parts":[["2016",7]]}}}],"schema":"https://github.com/citation-style-language/schema/raw/master/csl-citation.json"} </w:instrText>
      </w:r>
      <w:r w:rsidR="004A7252">
        <w:rPr>
          <w:rFonts w:ascii="Arial" w:hAnsi="Arial" w:cs="Arial"/>
        </w:rPr>
        <w:fldChar w:fldCharType="separate"/>
      </w:r>
      <w:r w:rsidR="004A7252" w:rsidRPr="00DD4224">
        <w:rPr>
          <w:rFonts w:ascii="Arial" w:hAnsi="Arial" w:cs="Arial"/>
          <w:szCs w:val="24"/>
        </w:rPr>
        <w:t>(Stéphane Pouffary &amp; Guillaume Delaboulaye, 2015, 2016)</w:t>
      </w:r>
      <w:r w:rsidR="004A7252">
        <w:rPr>
          <w:rFonts w:ascii="Arial" w:hAnsi="Arial" w:cs="Arial"/>
        </w:rPr>
        <w:fldChar w:fldCharType="end"/>
      </w:r>
      <w:r w:rsidRPr="001E4FAD">
        <w:rPr>
          <w:rFonts w:ascii="Arial" w:hAnsi="Arial" w:cs="Arial"/>
        </w:rPr>
        <w:t xml:space="preserve">. In this context, energy efficiency appears as an essential solution for reducing energy consumption while maintaining a satisfactory standard of living </w:t>
      </w:r>
      <w:r w:rsidR="004A7252">
        <w:rPr>
          <w:rFonts w:ascii="Arial" w:hAnsi="Arial" w:cs="Arial"/>
        </w:rPr>
        <w:fldChar w:fldCharType="begin"/>
      </w:r>
      <w:r w:rsidR="00C100CC">
        <w:rPr>
          <w:rFonts w:ascii="Arial" w:hAnsi="Arial" w:cs="Arial"/>
        </w:rPr>
        <w:instrText xml:space="preserve"> ADDIN ZOTERO_ITEM CSL_CITATION {"citationID":"FfIIiK5l","properties":{"formattedCitation":"(Touria Barrad, 2019)","plainCitation":"(Touria Barrad, 2019)","noteIndex":0},"citationItems":[{"id":3803,"uris":["http://zotero.org/users/16306850/items/BCIJEV4V"],"itemData":{"id":3803,"type":"report","language":"fr","publisher":"Fondation Heinrich Böll Rabat","publisher-place":"Rabat, Maroc","title":"Un aperçu de la situation de l’efficacité énergétique des ménages au Maroc","author":[{"literal":"Touria Barrad"}],"issued":{"date-parts":[["2019",5]]}}}],"schema":"https://github.com/citation-style-language/schema/raw/master/csl-citation.json"} </w:instrText>
      </w:r>
      <w:r w:rsidR="004A7252">
        <w:rPr>
          <w:rFonts w:ascii="Arial" w:hAnsi="Arial" w:cs="Arial"/>
        </w:rPr>
        <w:fldChar w:fldCharType="separate"/>
      </w:r>
      <w:r w:rsidR="004A7252" w:rsidRPr="004A7252">
        <w:rPr>
          <w:rFonts w:ascii="Arial" w:hAnsi="Arial" w:cs="Arial"/>
        </w:rPr>
        <w:t>(Touria Barrad, 2019)</w:t>
      </w:r>
      <w:r w:rsidR="004A7252">
        <w:rPr>
          <w:rFonts w:ascii="Arial" w:hAnsi="Arial" w:cs="Arial"/>
        </w:rPr>
        <w:fldChar w:fldCharType="end"/>
      </w:r>
      <w:r w:rsidRPr="001E4FAD">
        <w:rPr>
          <w:rFonts w:ascii="Arial" w:hAnsi="Arial" w:cs="Arial"/>
        </w:rPr>
        <w:t xml:space="preserve">. However, despite the importance of this issue, energy efficiency policies often struggle to be translated into concrete </w:t>
      </w:r>
      <w:r w:rsidRPr="001E4FAD">
        <w:rPr>
          <w:rFonts w:ascii="Arial" w:hAnsi="Arial" w:cs="Arial"/>
        </w:rPr>
        <w:lastRenderedPageBreak/>
        <w:t>actions. The lack of accurate data on household energy consumption, the low level of awareness, and the absence of appropriate incentives constitute major obstacles to the widespread adoption of energy-efficient practices</w:t>
      </w:r>
      <w:r w:rsidR="004A7252">
        <w:rPr>
          <w:rFonts w:ascii="Arial" w:hAnsi="Arial" w:cs="Arial"/>
        </w:rPr>
        <w:t xml:space="preserve"> </w:t>
      </w:r>
      <w:r w:rsidR="004A7252">
        <w:rPr>
          <w:rFonts w:ascii="Arial" w:hAnsi="Arial" w:cs="Arial"/>
        </w:rPr>
        <w:fldChar w:fldCharType="begin"/>
      </w:r>
      <w:r w:rsidR="00C100CC">
        <w:rPr>
          <w:rFonts w:ascii="Arial" w:hAnsi="Arial" w:cs="Arial"/>
        </w:rPr>
        <w:instrText xml:space="preserve"> ADDIN ZOTERO_ITEM CSL_CITATION {"citationID":"qrAOdWbA","properties":{"formattedCitation":"(Agence Internationale de l\\uc0\\u8217{}\\uc0\\u201{}nergie (AIE), 2019)","plainCitation":"(Agence Internationale de l’Énergie (AIE), 2019)","noteIndex":0},"citationItems":[{"id":3813,"uris":["http://zotero.org/users/16306850/items/28IQEVSD"],"itemData":{"id":3813,"type":"report","language":"fr","page":"3-4","publisher":"Agence Internationale de l’Énergie (AIE)","publisher-place":"Paris","title":"Indicateurs d’efficacité énergétique : principes fondamentaux de statistiques","URL":"www.iea.org","author":[{"literal":"Agence Internationale de l’Énergie (AIE)"}],"issued":{"date-parts":[["2019"]]}}}],"schema":"https://github.com/citation-style-language/schema/raw/master/csl-citation.json"} </w:instrText>
      </w:r>
      <w:r w:rsidR="004A7252">
        <w:rPr>
          <w:rFonts w:ascii="Arial" w:hAnsi="Arial" w:cs="Arial"/>
        </w:rPr>
        <w:fldChar w:fldCharType="separate"/>
      </w:r>
      <w:r w:rsidR="004A7252" w:rsidRPr="004A7252">
        <w:rPr>
          <w:rFonts w:ascii="Arial" w:hAnsi="Arial" w:cs="Arial"/>
          <w:szCs w:val="24"/>
        </w:rPr>
        <w:t>(Agence Internationale de l’Énergie (AIE), 2019)</w:t>
      </w:r>
      <w:r w:rsidR="004A7252">
        <w:rPr>
          <w:rFonts w:ascii="Arial" w:hAnsi="Arial" w:cs="Arial"/>
        </w:rPr>
        <w:fldChar w:fldCharType="end"/>
      </w:r>
      <w:r w:rsidRPr="001E4FAD">
        <w:rPr>
          <w:rFonts w:ascii="Arial" w:hAnsi="Arial" w:cs="Arial"/>
        </w:rPr>
        <w:t>. In developing countries, and particularly in Burkina Faso, these challenges are even more pronounced.</w:t>
      </w:r>
    </w:p>
    <w:p w14:paraId="63FFF0F4" w14:textId="77777777" w:rsidR="001E4FAD" w:rsidRPr="001E4FAD" w:rsidRDefault="001E4FAD" w:rsidP="001E4FAD">
      <w:pPr>
        <w:pStyle w:val="Body"/>
        <w:rPr>
          <w:rFonts w:ascii="Arial" w:hAnsi="Arial" w:cs="Arial"/>
        </w:rPr>
      </w:pPr>
      <w:r w:rsidRPr="001E4FAD">
        <w:rPr>
          <w:rFonts w:ascii="Arial" w:hAnsi="Arial" w:cs="Arial"/>
        </w:rPr>
        <w:t>This study aims to assess the energy efficiency potential related to household lighting. The methodology is based on a field survey (interviews) conducted among households. The analysis of the collected data focused on four (04) energy efficiency actions, namely :</w:t>
      </w:r>
    </w:p>
    <w:p w14:paraId="6CCB9F7F" w14:textId="77777777" w:rsidR="001E4FAD" w:rsidRPr="001E4FAD" w:rsidRDefault="001E4FAD" w:rsidP="001E4FAD">
      <w:pPr>
        <w:pStyle w:val="Body"/>
        <w:rPr>
          <w:rFonts w:ascii="Arial" w:hAnsi="Arial" w:cs="Arial"/>
        </w:rPr>
      </w:pPr>
      <w:r w:rsidRPr="001E4FAD">
        <w:rPr>
          <w:rFonts w:ascii="Arial" w:hAnsi="Arial" w:cs="Arial"/>
        </w:rPr>
        <w:t>•</w:t>
      </w:r>
      <w:r w:rsidRPr="001E4FAD">
        <w:rPr>
          <w:rFonts w:ascii="Arial" w:hAnsi="Arial" w:cs="Arial"/>
        </w:rPr>
        <w:tab/>
        <w:t>Turn off lights in unoccupied rooms (EC1).</w:t>
      </w:r>
    </w:p>
    <w:p w14:paraId="5AB2C9B0" w14:textId="77777777" w:rsidR="001E4FAD" w:rsidRPr="001E4FAD" w:rsidRDefault="001E4FAD" w:rsidP="001E4FAD">
      <w:pPr>
        <w:pStyle w:val="Body"/>
        <w:rPr>
          <w:rFonts w:ascii="Arial" w:hAnsi="Arial" w:cs="Arial"/>
        </w:rPr>
      </w:pPr>
      <w:r w:rsidRPr="001E4FAD">
        <w:rPr>
          <w:rFonts w:ascii="Arial" w:hAnsi="Arial" w:cs="Arial"/>
        </w:rPr>
        <w:t>•</w:t>
      </w:r>
      <w:r w:rsidRPr="001E4FAD">
        <w:rPr>
          <w:rFonts w:ascii="Arial" w:hAnsi="Arial" w:cs="Arial"/>
        </w:rPr>
        <w:tab/>
        <w:t>Give priority to natural lighting during the daytime in order to reduce the use of artificial lighting (EC2).</w:t>
      </w:r>
    </w:p>
    <w:p w14:paraId="17F05D33" w14:textId="77777777" w:rsidR="001E4FAD" w:rsidRPr="001E4FAD" w:rsidRDefault="001E4FAD" w:rsidP="001E4FAD">
      <w:pPr>
        <w:pStyle w:val="Body"/>
        <w:rPr>
          <w:rFonts w:ascii="Arial" w:hAnsi="Arial" w:cs="Arial"/>
        </w:rPr>
      </w:pPr>
      <w:r w:rsidRPr="001E4FAD">
        <w:rPr>
          <w:rFonts w:ascii="Arial" w:hAnsi="Arial" w:cs="Arial"/>
        </w:rPr>
        <w:t>•</w:t>
      </w:r>
      <w:r w:rsidRPr="001E4FAD">
        <w:rPr>
          <w:rFonts w:ascii="Arial" w:hAnsi="Arial" w:cs="Arial"/>
        </w:rPr>
        <w:tab/>
        <w:t>Use night lights for nocturnal lighting during sleep (EC3).</w:t>
      </w:r>
    </w:p>
    <w:p w14:paraId="7B343575" w14:textId="77777777" w:rsidR="001E4FAD" w:rsidRPr="001E4FAD" w:rsidRDefault="001E4FAD" w:rsidP="001E4FAD">
      <w:pPr>
        <w:pStyle w:val="Body"/>
        <w:rPr>
          <w:rFonts w:ascii="Arial" w:hAnsi="Arial" w:cs="Arial"/>
        </w:rPr>
      </w:pPr>
      <w:r w:rsidRPr="001E4FAD">
        <w:rPr>
          <w:rFonts w:ascii="Arial" w:hAnsi="Arial" w:cs="Arial"/>
        </w:rPr>
        <w:t>•</w:t>
      </w:r>
      <w:r w:rsidRPr="001E4FAD">
        <w:rPr>
          <w:rFonts w:ascii="Arial" w:hAnsi="Arial" w:cs="Arial"/>
        </w:rPr>
        <w:tab/>
        <w:t>Adjust the power rating of lamps according to the area and the use of each room (EC4).</w:t>
      </w:r>
    </w:p>
    <w:p w14:paraId="56D7CDBC" w14:textId="0BA52571" w:rsidR="00B95236" w:rsidRDefault="001E4FAD" w:rsidP="001E4FAD">
      <w:pPr>
        <w:pStyle w:val="Body"/>
        <w:spacing w:after="0"/>
        <w:rPr>
          <w:rFonts w:ascii="Arial" w:hAnsi="Arial" w:cs="Arial"/>
        </w:rPr>
      </w:pPr>
      <w:r w:rsidRPr="001E4FAD">
        <w:rPr>
          <w:rFonts w:ascii="Arial" w:hAnsi="Arial" w:cs="Arial"/>
        </w:rPr>
        <w:t>The objective is to quantify the potential energy savings that could be achieved if these actions were systematically implemented by households. Thus, this study aims to provide concrete solutions to optimize energy consumption and improve the quality of life of populations.</w:t>
      </w:r>
      <w:r w:rsidR="00B95236" w:rsidRPr="00B95236">
        <w:rPr>
          <w:rFonts w:ascii="Arial" w:hAnsi="Arial" w:cs="Arial"/>
        </w:rPr>
        <w:t xml:space="preserve"> </w:t>
      </w:r>
    </w:p>
    <w:p w14:paraId="3E13ABE6" w14:textId="77777777" w:rsidR="00790ADA" w:rsidRPr="00FB3A86" w:rsidRDefault="00790ADA" w:rsidP="00441B6F">
      <w:pPr>
        <w:pStyle w:val="Body"/>
        <w:spacing w:after="0"/>
        <w:rPr>
          <w:rFonts w:ascii="Arial" w:hAnsi="Arial" w:cs="Arial"/>
        </w:rPr>
      </w:pPr>
    </w:p>
    <w:p w14:paraId="13B6714C" w14:textId="39DCDEB4" w:rsidR="007F7B32" w:rsidRDefault="00902823" w:rsidP="00441B6F">
      <w:pPr>
        <w:pStyle w:val="AbstHead"/>
        <w:spacing w:after="0"/>
        <w:jc w:val="both"/>
        <w:rPr>
          <w:rFonts w:ascii="Arial" w:hAnsi="Arial" w:cs="Arial"/>
        </w:rPr>
      </w:pPr>
      <w:r>
        <w:rPr>
          <w:rFonts w:ascii="Arial" w:hAnsi="Arial" w:cs="Arial"/>
        </w:rPr>
        <w:t xml:space="preserve">2. </w:t>
      </w:r>
      <w:r w:rsidR="001E4FAD" w:rsidRPr="001E4FAD">
        <w:rPr>
          <w:rFonts w:ascii="Arial" w:hAnsi="Arial" w:cs="Arial"/>
        </w:rPr>
        <w:t>Data Collection Methodology</w:t>
      </w:r>
    </w:p>
    <w:p w14:paraId="5E4CD8BD" w14:textId="77777777" w:rsidR="00790ADA" w:rsidRPr="00FB3A86" w:rsidRDefault="00790ADA" w:rsidP="00441B6F">
      <w:pPr>
        <w:pStyle w:val="Body"/>
        <w:spacing w:after="0"/>
        <w:rPr>
          <w:rFonts w:ascii="Arial" w:hAnsi="Arial" w:cs="Arial"/>
        </w:rPr>
      </w:pPr>
    </w:p>
    <w:p w14:paraId="3224CCE3" w14:textId="1D53CB0D" w:rsidR="00104BE9" w:rsidRDefault="00AA74E0" w:rsidP="00441B6F">
      <w:pPr>
        <w:pStyle w:val="Body"/>
        <w:spacing w:after="0"/>
        <w:rPr>
          <w:rFonts w:ascii="Arial" w:hAnsi="Arial" w:cs="Arial"/>
        </w:rPr>
      </w:pPr>
      <w:r w:rsidRPr="00C30A0F">
        <w:rPr>
          <w:rFonts w:ascii="Arial" w:hAnsi="Arial" w:cs="Arial"/>
          <w:b/>
          <w:caps/>
          <w:sz w:val="22"/>
        </w:rPr>
        <w:t xml:space="preserve">2.1 </w:t>
      </w:r>
      <w:r w:rsidR="00104BE9" w:rsidRPr="00104BE9">
        <w:rPr>
          <w:rFonts w:ascii="Arial" w:hAnsi="Arial" w:cs="Arial"/>
          <w:b/>
          <w:sz w:val="22"/>
        </w:rPr>
        <w:t>Sampling</w:t>
      </w:r>
    </w:p>
    <w:p w14:paraId="5A45E9D5" w14:textId="757CB73D" w:rsidR="00104BE9" w:rsidRPr="00104BE9" w:rsidRDefault="00104BE9" w:rsidP="00104BE9">
      <w:pPr>
        <w:pStyle w:val="Body"/>
        <w:rPr>
          <w:rFonts w:ascii="Arial" w:hAnsi="Arial" w:cs="Arial"/>
        </w:rPr>
      </w:pPr>
      <w:r w:rsidRPr="00104BE9">
        <w:rPr>
          <w:rFonts w:ascii="Arial" w:hAnsi="Arial" w:cs="Arial"/>
        </w:rPr>
        <w:t>Within the framework of this study, the sampling was designed in such a way as to ensure the representativeness of the households studied and the reliability of the results obtained. The sample size was determined using the following Equation (1)</w:t>
      </w:r>
      <w:r w:rsidR="008B4308">
        <w:rPr>
          <w:rFonts w:ascii="Arial" w:hAnsi="Arial" w:cs="Arial"/>
        </w:rPr>
        <w:fldChar w:fldCharType="begin"/>
      </w:r>
      <w:r w:rsidR="00C100CC">
        <w:rPr>
          <w:rFonts w:ascii="Arial" w:hAnsi="Arial" w:cs="Arial"/>
        </w:rPr>
        <w:instrText xml:space="preserve"> ADDIN ZOTERO_ITEM CSL_CITATION {"citationID":"4LlB2eqL","properties":{"formattedCitation":"(Krejcie, R. V. &amp; Morgan, D. W., 1970; W.G. Cochran, 1977)","plainCitation":"(Krejcie, R. V. &amp; Morgan, D. W., 1970; W.G. Cochran, 1977)","noteIndex":0},"citationItems":[{"id":3823,"uris":["http://zotero.org/users/16306850/items/3FUWFJJ6"],"itemData":{"id":3823,"type":"article-journal","container-title":"Educational and Psychological Measurement","issue":"3","language":"anglais","page":"607-610","title":"Determining Sample Size for Research Activities","volume":"30","author":[{"literal":"Krejcie, R. V."},{"literal":"Morgan, D. W."}],"issued":{"date-parts":[["1970"]]}}},{"id":3824,"uris":["http://zotero.org/users/16306850/items/CHK94BL5"],"itemData":{"id":3824,"type":"book","edition":"3e édition","publisher":"John Wiley &amp; Sons","publisher-place":"New York","title":"Sampling Techniques","author":[{"literal":"W.G. Cochran"}],"issued":{"date-parts":[["1977"]]}}}],"schema":"https://github.com/citation-style-language/schema/raw/master/csl-citation.json"} </w:instrText>
      </w:r>
      <w:r w:rsidR="008B4308">
        <w:rPr>
          <w:rFonts w:ascii="Arial" w:hAnsi="Arial" w:cs="Arial"/>
        </w:rPr>
        <w:fldChar w:fldCharType="separate"/>
      </w:r>
      <w:r w:rsidR="008B4308" w:rsidRPr="008B4308">
        <w:rPr>
          <w:rFonts w:ascii="Arial" w:hAnsi="Arial" w:cs="Arial"/>
        </w:rPr>
        <w:t>(Krejcie, R. V. &amp; Morgan, D. W., 1970; W.G. Cochran, 1977)</w:t>
      </w:r>
      <w:r w:rsidR="008B4308">
        <w:rPr>
          <w:rFonts w:ascii="Arial" w:hAnsi="Arial" w:cs="Arial"/>
        </w:rPr>
        <w:fldChar w:fldCharType="end"/>
      </w:r>
      <w:r w:rsidRPr="00104BE9">
        <w:rPr>
          <w:rFonts w:ascii="Arial" w:hAnsi="Arial" w:cs="Arial"/>
        </w:rPr>
        <w:t xml:space="preserve"> :</w:t>
      </w:r>
    </w:p>
    <w:tbl>
      <w:tblPr>
        <w:tblStyle w:val="PlainTable4"/>
        <w:tblW w:w="0" w:type="auto"/>
        <w:tblLook w:val="04A0" w:firstRow="1" w:lastRow="0" w:firstColumn="1" w:lastColumn="0" w:noHBand="0" w:noVBand="1"/>
      </w:tblPr>
      <w:tblGrid>
        <w:gridCol w:w="4233"/>
        <w:gridCol w:w="3975"/>
      </w:tblGrid>
      <w:tr w:rsidR="00402E4D" w:rsidRPr="00402E4D" w14:paraId="09B9A672"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17310B04" w14:textId="6B1AB998" w:rsidR="00402E4D" w:rsidRPr="00402E4D" w:rsidRDefault="00402E4D" w:rsidP="00402E4D">
            <w:pPr>
              <w:pStyle w:val="Body"/>
              <w:rPr>
                <w:rFonts w:ascii="Arial" w:hAnsi="Arial" w:cs="Arial"/>
                <w:lang w:val="fr-FR"/>
              </w:rPr>
            </w:pPr>
            <m:oMathPara>
              <m:oMath>
                <m:r>
                  <m:rPr>
                    <m:sty m:val="bi"/>
                  </m:rPr>
                  <w:rPr>
                    <w:rFonts w:ascii="Cambria Math" w:hAnsi="Cambria Math" w:cs="Arial"/>
                    <w:lang w:val="fr-FR"/>
                  </w:rPr>
                  <m:t>n=</m:t>
                </m:r>
                <m:f>
                  <m:fPr>
                    <m:ctrlPr>
                      <w:rPr>
                        <w:rFonts w:ascii="Cambria Math" w:hAnsi="Cambria Math" w:cs="Arial"/>
                        <w:b w:val="0"/>
                        <w:i/>
                        <w:lang w:val="fr-FR"/>
                      </w:rPr>
                    </m:ctrlPr>
                  </m:fPr>
                  <m:num>
                    <m:sSup>
                      <m:sSupPr>
                        <m:ctrlPr>
                          <w:rPr>
                            <w:rFonts w:ascii="Cambria Math" w:hAnsi="Cambria Math" w:cs="Arial"/>
                            <w:b w:val="0"/>
                            <w:i/>
                            <w:lang w:val="fr-FR"/>
                          </w:rPr>
                        </m:ctrlPr>
                      </m:sSupPr>
                      <m:e>
                        <m:r>
                          <m:rPr>
                            <m:sty m:val="bi"/>
                          </m:rPr>
                          <w:rPr>
                            <w:rFonts w:ascii="Cambria Math" w:hAnsi="Cambria Math" w:cs="Arial"/>
                            <w:lang w:val="fr-FR"/>
                          </w:rPr>
                          <m:t>t</m:t>
                        </m:r>
                      </m:e>
                      <m:sup>
                        <m:r>
                          <m:rPr>
                            <m:sty m:val="bi"/>
                          </m:rPr>
                          <w:rPr>
                            <w:rFonts w:ascii="Cambria Math" w:hAnsi="Cambria Math" w:cs="Arial"/>
                            <w:lang w:val="fr-FR"/>
                          </w:rPr>
                          <m:t>2</m:t>
                        </m:r>
                      </m:sup>
                    </m:sSup>
                    <m:r>
                      <m:rPr>
                        <m:sty m:val="bi"/>
                      </m:rPr>
                      <w:rPr>
                        <w:rFonts w:ascii="Cambria Math" w:hAnsi="Cambria Math" w:cs="Arial"/>
                        <w:lang w:val="fr-FR"/>
                      </w:rPr>
                      <m:t>N</m:t>
                    </m:r>
                  </m:num>
                  <m:den>
                    <m:f>
                      <m:fPr>
                        <m:ctrlPr>
                          <w:rPr>
                            <w:rFonts w:ascii="Cambria Math" w:hAnsi="Cambria Math" w:cs="Arial"/>
                            <w:b w:val="0"/>
                            <w:i/>
                            <w:lang w:val="fr-FR"/>
                          </w:rPr>
                        </m:ctrlPr>
                      </m:fPr>
                      <m:num>
                        <m:sSup>
                          <m:sSupPr>
                            <m:ctrlPr>
                              <w:rPr>
                                <w:rFonts w:ascii="Cambria Math" w:hAnsi="Cambria Math" w:cs="Arial"/>
                                <w:b w:val="0"/>
                                <w:i/>
                                <w:lang w:val="fr-FR"/>
                              </w:rPr>
                            </m:ctrlPr>
                          </m:sSupPr>
                          <m:e>
                            <m:r>
                              <m:rPr>
                                <m:sty m:val="bi"/>
                              </m:rPr>
                              <w:rPr>
                                <w:rFonts w:ascii="Cambria Math" w:hAnsi="Cambria Math" w:cs="Arial"/>
                                <w:lang w:val="fr-FR"/>
                              </w:rPr>
                              <m:t>e</m:t>
                            </m:r>
                          </m:e>
                          <m:sup>
                            <m:r>
                              <m:rPr>
                                <m:sty m:val="bi"/>
                              </m:rPr>
                              <w:rPr>
                                <w:rFonts w:ascii="Cambria Math" w:hAnsi="Cambria Math" w:cs="Arial"/>
                                <w:lang w:val="fr-FR"/>
                              </w:rPr>
                              <m:t>2</m:t>
                            </m:r>
                          </m:sup>
                        </m:sSup>
                      </m:num>
                      <m:den>
                        <m:r>
                          <m:rPr>
                            <m:sty m:val="bi"/>
                          </m:rPr>
                          <w:rPr>
                            <w:rFonts w:ascii="Cambria Math" w:hAnsi="Cambria Math" w:cs="Arial"/>
                            <w:lang w:val="fr-FR"/>
                          </w:rPr>
                          <m:t>P</m:t>
                        </m:r>
                        <m:d>
                          <m:dPr>
                            <m:ctrlPr>
                              <w:rPr>
                                <w:rFonts w:ascii="Cambria Math" w:hAnsi="Cambria Math" w:cs="Arial"/>
                                <w:b w:val="0"/>
                                <w:i/>
                                <w:lang w:val="fr-FR"/>
                              </w:rPr>
                            </m:ctrlPr>
                          </m:dPr>
                          <m:e>
                            <m:r>
                              <m:rPr>
                                <m:sty m:val="bi"/>
                              </m:rPr>
                              <w:rPr>
                                <w:rFonts w:ascii="Cambria Math" w:hAnsi="Cambria Math" w:cs="Arial"/>
                                <w:lang w:val="fr-FR"/>
                              </w:rPr>
                              <m:t>1-P</m:t>
                            </m:r>
                          </m:e>
                        </m:d>
                      </m:den>
                    </m:f>
                    <m:d>
                      <m:dPr>
                        <m:ctrlPr>
                          <w:rPr>
                            <w:rFonts w:ascii="Cambria Math" w:hAnsi="Cambria Math" w:cs="Arial"/>
                            <w:b w:val="0"/>
                            <w:i/>
                            <w:lang w:val="fr-FR"/>
                          </w:rPr>
                        </m:ctrlPr>
                      </m:dPr>
                      <m:e>
                        <m:r>
                          <m:rPr>
                            <m:sty m:val="bi"/>
                          </m:rPr>
                          <w:rPr>
                            <w:rFonts w:ascii="Cambria Math" w:hAnsi="Cambria Math" w:cs="Arial"/>
                            <w:lang w:val="fr-FR"/>
                          </w:rPr>
                          <m:t>N-1</m:t>
                        </m:r>
                      </m:e>
                    </m:d>
                    <m:r>
                      <m:rPr>
                        <m:sty m:val="bi"/>
                      </m:rPr>
                      <w:rPr>
                        <w:rFonts w:ascii="Cambria Math" w:hAnsi="Cambria Math" w:cs="Arial"/>
                        <w:lang w:val="fr-FR"/>
                      </w:rPr>
                      <m:t>+</m:t>
                    </m:r>
                    <m:sSup>
                      <m:sSupPr>
                        <m:ctrlPr>
                          <w:rPr>
                            <w:rFonts w:ascii="Cambria Math" w:hAnsi="Cambria Math" w:cs="Arial"/>
                            <w:b w:val="0"/>
                            <w:i/>
                            <w:lang w:val="fr-FR"/>
                          </w:rPr>
                        </m:ctrlPr>
                      </m:sSupPr>
                      <m:e>
                        <m:r>
                          <m:rPr>
                            <m:sty m:val="bi"/>
                          </m:rPr>
                          <w:rPr>
                            <w:rFonts w:ascii="Cambria Math" w:hAnsi="Cambria Math" w:cs="Arial"/>
                            <w:lang w:val="fr-FR"/>
                          </w:rPr>
                          <m:t>t</m:t>
                        </m:r>
                      </m:e>
                      <m:sup>
                        <m:r>
                          <m:rPr>
                            <m:sty m:val="bi"/>
                          </m:rPr>
                          <w:rPr>
                            <w:rFonts w:ascii="Cambria Math" w:hAnsi="Cambria Math" w:cs="Arial"/>
                            <w:lang w:val="fr-FR"/>
                          </w:rPr>
                          <m:t>2</m:t>
                        </m:r>
                      </m:sup>
                    </m:sSup>
                  </m:den>
                </m:f>
              </m:oMath>
            </m:oMathPara>
          </w:p>
        </w:tc>
        <w:tc>
          <w:tcPr>
            <w:tcW w:w="4531" w:type="dxa"/>
          </w:tcPr>
          <w:p w14:paraId="4F8057EB" w14:textId="77777777" w:rsidR="00402E4D" w:rsidRPr="00402E4D" w:rsidRDefault="00402E4D" w:rsidP="00402E4D">
            <w:pPr>
              <w:pStyle w:val="Body"/>
              <w:cnfStyle w:val="100000000000" w:firstRow="1" w:lastRow="0" w:firstColumn="0" w:lastColumn="0" w:oddVBand="0" w:evenVBand="0" w:oddHBand="0" w:evenHBand="0" w:firstRowFirstColumn="0" w:firstRowLastColumn="0" w:lastRowFirstColumn="0" w:lastRowLastColumn="0"/>
              <w:rPr>
                <w:rFonts w:ascii="Arial" w:hAnsi="Arial" w:cs="Arial"/>
                <w:lang w:val="fr-FR"/>
              </w:rPr>
            </w:pPr>
            <w:r w:rsidRPr="00402E4D">
              <w:rPr>
                <w:rFonts w:ascii="Arial" w:hAnsi="Arial" w:cs="Arial"/>
                <w:b w:val="0"/>
                <w:lang w:val="fr-FR"/>
              </w:rPr>
              <w:t>(1)</w:t>
            </w:r>
          </w:p>
        </w:tc>
      </w:tr>
    </w:tbl>
    <w:p w14:paraId="759C4B36" w14:textId="77777777" w:rsidR="00104BE9" w:rsidRPr="00104BE9" w:rsidRDefault="00104BE9" w:rsidP="00104BE9">
      <w:pPr>
        <w:pStyle w:val="Body"/>
        <w:rPr>
          <w:rFonts w:ascii="Arial" w:hAnsi="Arial" w:cs="Arial"/>
        </w:rPr>
      </w:pPr>
      <w:r w:rsidRPr="00104BE9">
        <w:rPr>
          <w:rFonts w:ascii="Arial" w:hAnsi="Arial" w:cs="Arial"/>
        </w:rPr>
        <w:t>Where :</w:t>
      </w:r>
    </w:p>
    <w:p w14:paraId="07FE3E06" w14:textId="77777777" w:rsidR="00104BE9" w:rsidRPr="00104BE9" w:rsidRDefault="00104BE9" w:rsidP="00104BE9">
      <w:pPr>
        <w:pStyle w:val="Body"/>
        <w:rPr>
          <w:rFonts w:ascii="Arial" w:hAnsi="Arial" w:cs="Arial"/>
        </w:rPr>
      </w:pPr>
      <w:r w:rsidRPr="00104BE9">
        <w:rPr>
          <w:rFonts w:ascii="Arial" w:hAnsi="Arial" w:cs="Arial"/>
        </w:rPr>
        <w:tab/>
        <w:t>N = 273 128 households corresponds to the size of the target population ;</w:t>
      </w:r>
    </w:p>
    <w:p w14:paraId="3F9E12C5" w14:textId="77777777" w:rsidR="00104BE9" w:rsidRPr="00104BE9" w:rsidRDefault="00104BE9" w:rsidP="00104BE9">
      <w:pPr>
        <w:pStyle w:val="Body"/>
        <w:rPr>
          <w:rFonts w:ascii="Arial" w:hAnsi="Arial" w:cs="Arial"/>
        </w:rPr>
      </w:pPr>
      <w:r w:rsidRPr="00104BE9">
        <w:rPr>
          <w:rFonts w:ascii="Arial" w:hAnsi="Arial" w:cs="Arial"/>
        </w:rPr>
        <w:tab/>
        <w:t>n = 384 ménages households is the sample size selected to ensure the representativeness of the results ;</w:t>
      </w:r>
    </w:p>
    <w:p w14:paraId="2E42D7F3" w14:textId="77777777" w:rsidR="00104BE9" w:rsidRPr="00104BE9" w:rsidRDefault="00104BE9" w:rsidP="00104BE9">
      <w:pPr>
        <w:pStyle w:val="Body"/>
        <w:rPr>
          <w:rFonts w:ascii="Arial" w:hAnsi="Arial" w:cs="Arial"/>
        </w:rPr>
      </w:pPr>
      <w:r w:rsidRPr="00104BE9">
        <w:rPr>
          <w:rFonts w:ascii="Arial" w:hAnsi="Arial" w:cs="Arial"/>
        </w:rPr>
        <w:tab/>
        <w:t>t = 1,96 is the coefficient corresponding to a 95% confidence level ;</w:t>
      </w:r>
    </w:p>
    <w:p w14:paraId="55634A96" w14:textId="77777777" w:rsidR="00104BE9" w:rsidRPr="00104BE9" w:rsidRDefault="00104BE9" w:rsidP="00104BE9">
      <w:pPr>
        <w:pStyle w:val="Body"/>
        <w:rPr>
          <w:rFonts w:ascii="Arial" w:hAnsi="Arial" w:cs="Arial"/>
        </w:rPr>
      </w:pPr>
      <w:r w:rsidRPr="00104BE9">
        <w:rPr>
          <w:rFonts w:ascii="Arial" w:hAnsi="Arial" w:cs="Arial"/>
        </w:rPr>
        <w:tab/>
        <w:t>e = 0,05 (5 %) the margin of error tolerated in the sampling ;</w:t>
      </w:r>
    </w:p>
    <w:p w14:paraId="5D313701" w14:textId="77777777" w:rsidR="00104BE9" w:rsidRPr="00104BE9" w:rsidRDefault="00104BE9" w:rsidP="00104BE9">
      <w:pPr>
        <w:pStyle w:val="Body"/>
        <w:rPr>
          <w:rFonts w:ascii="Arial" w:hAnsi="Arial" w:cs="Arial"/>
        </w:rPr>
      </w:pPr>
      <w:r w:rsidRPr="00104BE9">
        <w:rPr>
          <w:rFonts w:ascii="Arial" w:hAnsi="Arial" w:cs="Arial"/>
        </w:rPr>
        <w:tab/>
        <w:t>P = 0,5 is the estimated proportion of the population presenting the characteristic of interest.</w:t>
      </w:r>
    </w:p>
    <w:p w14:paraId="44180B63" w14:textId="77777777" w:rsidR="00104BE9" w:rsidRPr="00104BE9" w:rsidRDefault="00104BE9" w:rsidP="00104BE9">
      <w:pPr>
        <w:pStyle w:val="Body"/>
        <w:rPr>
          <w:rFonts w:ascii="Arial" w:hAnsi="Arial" w:cs="Arial"/>
        </w:rPr>
      </w:pPr>
      <w:r w:rsidRPr="00104BE9">
        <w:rPr>
          <w:rFonts w:ascii="Arial" w:hAnsi="Arial" w:cs="Arial"/>
        </w:rPr>
        <w:t xml:space="preserve">However, in order to increase the reliability of the results and minimize sampling bias, the sample size was increased to 439 households. Stratified sampling was applied by dividing the </w:t>
      </w:r>
      <w:r w:rsidRPr="00104BE9">
        <w:rPr>
          <w:rFonts w:ascii="Arial" w:hAnsi="Arial" w:cs="Arial"/>
        </w:rPr>
        <w:lastRenderedPageBreak/>
        <w:t>total sample size according to the number of sectors studied. This approach makes it possible to ensure better representativeness of the different geographical areas and the socio-economic profiles of the households concerned.</w:t>
      </w:r>
    </w:p>
    <w:p w14:paraId="6979AFA0" w14:textId="77777777" w:rsidR="00104BE9" w:rsidRPr="00104BE9" w:rsidRDefault="00104BE9" w:rsidP="00104BE9">
      <w:pPr>
        <w:pStyle w:val="Body"/>
        <w:rPr>
          <w:rFonts w:ascii="Arial" w:hAnsi="Arial" w:cs="Arial"/>
        </w:rPr>
      </w:pPr>
      <w:r w:rsidRPr="00104BE9">
        <w:rPr>
          <w:rFonts w:ascii="Arial" w:hAnsi="Arial" w:cs="Arial"/>
        </w:rPr>
        <w:t>For data collection, three (03) survey rounds were conducted among households in the city of Koudougou in order to assess the energy efficiency potential within these households :</w:t>
      </w:r>
    </w:p>
    <w:p w14:paraId="7C538515" w14:textId="77777777" w:rsidR="00104BE9" w:rsidRPr="00104BE9" w:rsidRDefault="00104BE9" w:rsidP="00104BE9">
      <w:pPr>
        <w:pStyle w:val="Body"/>
        <w:rPr>
          <w:rFonts w:ascii="Arial" w:hAnsi="Arial" w:cs="Arial"/>
        </w:rPr>
      </w:pPr>
      <w:r w:rsidRPr="00104BE9">
        <w:rPr>
          <w:rFonts w:ascii="Arial" w:hAnsi="Arial" w:cs="Arial"/>
        </w:rPr>
        <w:tab/>
        <w:t>The first data collection covered the months with the lowest air temperatures (cool months) of the year (November, December, January, and February) and involved 439 households ;</w:t>
      </w:r>
    </w:p>
    <w:p w14:paraId="2B256F6A" w14:textId="77777777" w:rsidR="00104BE9" w:rsidRPr="00104BE9" w:rsidRDefault="00104BE9" w:rsidP="00104BE9">
      <w:pPr>
        <w:pStyle w:val="Body"/>
        <w:rPr>
          <w:rFonts w:ascii="Arial" w:hAnsi="Arial" w:cs="Arial"/>
        </w:rPr>
      </w:pPr>
      <w:r w:rsidRPr="00104BE9">
        <w:rPr>
          <w:rFonts w:ascii="Arial" w:hAnsi="Arial" w:cs="Arial"/>
        </w:rPr>
        <w:tab/>
        <w:t>The second data collection was carried out during the hot season (hot months) of the year (March, April, May, and June) and also involved 439 households ;</w:t>
      </w:r>
    </w:p>
    <w:p w14:paraId="4523C3F8" w14:textId="08D2593D" w:rsidR="00AA74E0" w:rsidRDefault="00104BE9" w:rsidP="00104BE9">
      <w:pPr>
        <w:pStyle w:val="Body"/>
        <w:spacing w:after="0"/>
        <w:rPr>
          <w:rFonts w:ascii="Arial" w:hAnsi="Arial" w:cs="Arial"/>
        </w:rPr>
      </w:pPr>
      <w:r w:rsidRPr="00104BE9">
        <w:rPr>
          <w:rFonts w:ascii="Arial" w:hAnsi="Arial" w:cs="Arial"/>
        </w:rPr>
        <w:t>The third data collection covered the rainy season (rainy months) of the year (July, August, September, and October) and also involved 439 households.</w:t>
      </w:r>
    </w:p>
    <w:p w14:paraId="44E2EB9B" w14:textId="58E6D7DB" w:rsidR="00CF6FAE" w:rsidRDefault="00CF6FAE" w:rsidP="00104BE9">
      <w:pPr>
        <w:pStyle w:val="Body"/>
        <w:spacing w:after="0"/>
        <w:rPr>
          <w:rFonts w:ascii="Arial" w:hAnsi="Arial" w:cs="Arial"/>
        </w:rPr>
      </w:pPr>
      <w:r w:rsidRPr="00CF6FAE">
        <w:rPr>
          <w:rFonts w:ascii="Arial" w:hAnsi="Arial" w:cs="Arial"/>
          <w:b/>
          <w:caps/>
          <w:sz w:val="22"/>
        </w:rPr>
        <w:t>2.2.</w:t>
      </w:r>
      <w:r w:rsidRPr="00CF6FAE">
        <w:rPr>
          <w:rFonts w:ascii="Arial" w:hAnsi="Arial" w:cs="Arial"/>
          <w:b/>
          <w:caps/>
          <w:sz w:val="22"/>
        </w:rPr>
        <w:tab/>
      </w:r>
      <w:r w:rsidR="00BE0B82" w:rsidRPr="00CF6FAE">
        <w:rPr>
          <w:rFonts w:ascii="Arial" w:hAnsi="Arial" w:cs="Arial"/>
          <w:b/>
          <w:sz w:val="22"/>
        </w:rPr>
        <w:t>Estimation of electricity consumption and energy saving potential in the lighting sector</w:t>
      </w:r>
    </w:p>
    <w:p w14:paraId="0AAE0DE7" w14:textId="77777777" w:rsidR="00BE0B82" w:rsidRDefault="00BE0B82" w:rsidP="00104BE9">
      <w:pPr>
        <w:pStyle w:val="Body"/>
        <w:spacing w:after="0"/>
        <w:rPr>
          <w:rFonts w:ascii="Arial" w:hAnsi="Arial" w:cs="Arial"/>
        </w:rPr>
      </w:pPr>
      <w:r w:rsidRPr="00BE0B82">
        <w:rPr>
          <w:rFonts w:ascii="Arial" w:hAnsi="Arial" w:cs="Arial"/>
        </w:rPr>
        <w:t xml:space="preserve">The estimation of lamp consumption is carried out using Equation (2) </w:t>
      </w:r>
    </w:p>
    <w:tbl>
      <w:tblPr>
        <w:tblStyle w:val="PlainTable4"/>
        <w:tblW w:w="0" w:type="auto"/>
        <w:tblLook w:val="04A0" w:firstRow="1" w:lastRow="0" w:firstColumn="1" w:lastColumn="0" w:noHBand="0" w:noVBand="1"/>
      </w:tblPr>
      <w:tblGrid>
        <w:gridCol w:w="6874"/>
        <w:gridCol w:w="1334"/>
      </w:tblGrid>
      <w:tr w:rsidR="00BE0B82" w:rsidRPr="00BE0B82" w14:paraId="774338C1" w14:textId="77777777" w:rsidTr="00BE0B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74" w:type="dxa"/>
          </w:tcPr>
          <w:p w14:paraId="510D5415" w14:textId="4A2E26C8" w:rsidR="00BE0B82" w:rsidRPr="00BE0B82" w:rsidRDefault="00BE0B82" w:rsidP="00BE0B82">
            <w:pPr>
              <w:pStyle w:val="Body"/>
              <w:spacing w:after="0"/>
              <w:rPr>
                <w:rFonts w:ascii="Arial" w:hAnsi="Arial" w:cs="Arial"/>
                <w:lang w:val="fr-FR"/>
              </w:rPr>
            </w:pPr>
            <m:oMathPara>
              <m:oMath>
                <m:r>
                  <m:rPr>
                    <m:sty m:val="bi"/>
                  </m:rPr>
                  <w:rPr>
                    <w:rFonts w:ascii="Cambria Math" w:hAnsi="Cambria Math" w:cs="Arial"/>
                    <w:lang w:val="fr-FR"/>
                  </w:rPr>
                  <m:t xml:space="preserve">Consumption </m:t>
                </m:r>
                <m:d>
                  <m:dPr>
                    <m:ctrlPr>
                      <w:rPr>
                        <w:rFonts w:ascii="Cambria Math" w:hAnsi="Cambria Math" w:cs="Arial"/>
                        <w:i/>
                        <w:lang w:val="fr-FR"/>
                      </w:rPr>
                    </m:ctrlPr>
                  </m:dPr>
                  <m:e>
                    <m:r>
                      <m:rPr>
                        <m:sty m:val="bi"/>
                      </m:rPr>
                      <w:rPr>
                        <w:rFonts w:ascii="Cambria Math" w:hAnsi="Cambria Math" w:cs="Arial"/>
                        <w:lang w:val="fr-FR"/>
                      </w:rPr>
                      <m:t>kWh</m:t>
                    </m:r>
                  </m:e>
                </m:d>
                <m:r>
                  <m:rPr>
                    <m:sty m:val="bi"/>
                  </m:rPr>
                  <w:rPr>
                    <w:rFonts w:ascii="Cambria Math" w:hAnsi="Cambria Math" w:cs="Arial"/>
                    <w:lang w:val="fr-FR"/>
                  </w:rPr>
                  <m:t>=</m:t>
                </m:r>
                <m:f>
                  <m:fPr>
                    <m:ctrlPr>
                      <w:rPr>
                        <w:rFonts w:ascii="Cambria Math" w:hAnsi="Cambria Math" w:cs="Arial"/>
                        <w:i/>
                        <w:lang w:val="fr-FR"/>
                      </w:rPr>
                    </m:ctrlPr>
                  </m:fPr>
                  <m:num>
                    <m:r>
                      <m:rPr>
                        <m:sty m:val="bi"/>
                      </m:rPr>
                      <w:rPr>
                        <w:rFonts w:ascii="Cambria Math" w:hAnsi="Cambria Math" w:cs="Arial"/>
                        <w:lang w:val="fr-FR"/>
                      </w:rPr>
                      <m:t xml:space="preserve">Power </m:t>
                    </m:r>
                    <m:d>
                      <m:dPr>
                        <m:ctrlPr>
                          <w:rPr>
                            <w:rFonts w:ascii="Cambria Math" w:hAnsi="Cambria Math" w:cs="Arial"/>
                            <w:i/>
                            <w:lang w:val="fr-FR"/>
                          </w:rPr>
                        </m:ctrlPr>
                      </m:dPr>
                      <m:e>
                        <m:r>
                          <m:rPr>
                            <m:sty m:val="bi"/>
                          </m:rPr>
                          <w:rPr>
                            <w:rFonts w:ascii="Cambria Math" w:hAnsi="Cambria Math" w:cs="Arial"/>
                            <w:lang w:val="fr-FR"/>
                          </w:rPr>
                          <m:t>W</m:t>
                        </m:r>
                      </m:e>
                    </m:d>
                    <m:r>
                      <m:rPr>
                        <m:sty m:val="bi"/>
                      </m:rPr>
                      <w:rPr>
                        <w:rFonts w:ascii="Cambria Math" w:hAnsi="Cambria Math" w:cs="Arial"/>
                        <w:lang w:val="fr-FR"/>
                      </w:rPr>
                      <m:t>×duration of use  (hour)×N</m:t>
                    </m:r>
                  </m:num>
                  <m:den>
                    <m:r>
                      <m:rPr>
                        <m:sty m:val="bi"/>
                      </m:rPr>
                      <w:rPr>
                        <w:rFonts w:ascii="Cambria Math" w:hAnsi="Cambria Math" w:cs="Arial"/>
                        <w:lang w:val="fr-FR"/>
                      </w:rPr>
                      <m:t>1000</m:t>
                    </m:r>
                  </m:den>
                </m:f>
              </m:oMath>
            </m:oMathPara>
          </w:p>
        </w:tc>
        <w:tc>
          <w:tcPr>
            <w:tcW w:w="1334" w:type="dxa"/>
          </w:tcPr>
          <w:p w14:paraId="075F8A24" w14:textId="77777777" w:rsidR="00BE0B82" w:rsidRPr="00BE0B82" w:rsidRDefault="00BE0B82" w:rsidP="00BE0B82">
            <w:pPr>
              <w:pStyle w:val="Body"/>
              <w:spacing w:after="0"/>
              <w:cnfStyle w:val="100000000000" w:firstRow="1" w:lastRow="0" w:firstColumn="0" w:lastColumn="0" w:oddVBand="0" w:evenVBand="0" w:oddHBand="0" w:evenHBand="0" w:firstRowFirstColumn="0" w:firstRowLastColumn="0" w:lastRowFirstColumn="0" w:lastRowLastColumn="0"/>
              <w:rPr>
                <w:rFonts w:ascii="Arial" w:hAnsi="Arial" w:cs="Arial"/>
                <w:b w:val="0"/>
                <w:lang w:val="fr-FR"/>
              </w:rPr>
            </w:pPr>
            <w:r w:rsidRPr="00BE0B82">
              <w:rPr>
                <w:rFonts w:ascii="Arial" w:hAnsi="Arial" w:cs="Arial"/>
                <w:b w:val="0"/>
                <w:lang w:val="fr-FR"/>
              </w:rPr>
              <w:t>(2)</w:t>
            </w:r>
          </w:p>
        </w:tc>
      </w:tr>
    </w:tbl>
    <w:p w14:paraId="558FC68A" w14:textId="77777777" w:rsidR="00BE0B82" w:rsidRPr="00BE0B82" w:rsidRDefault="00BE0B82" w:rsidP="00BE0B82">
      <w:pPr>
        <w:pStyle w:val="Body"/>
        <w:rPr>
          <w:rFonts w:ascii="Arial" w:hAnsi="Arial" w:cs="Arial"/>
        </w:rPr>
      </w:pPr>
      <w:r w:rsidRPr="00BE0B82">
        <w:rPr>
          <w:rFonts w:ascii="Arial" w:hAnsi="Arial" w:cs="Arial"/>
        </w:rPr>
        <w:t>Where N, is the number of days the appliance is in operation</w:t>
      </w:r>
    </w:p>
    <w:p w14:paraId="2E392FD3" w14:textId="77777777" w:rsidR="00BE0B82" w:rsidRDefault="00BE0B82" w:rsidP="00BE0B82">
      <w:pPr>
        <w:pStyle w:val="Body"/>
        <w:spacing w:after="0"/>
        <w:rPr>
          <w:rFonts w:ascii="Arial" w:hAnsi="Arial" w:cs="Arial"/>
        </w:rPr>
      </w:pPr>
      <w:r w:rsidRPr="00BE0B82">
        <w:rPr>
          <w:rFonts w:ascii="Arial" w:hAnsi="Arial" w:cs="Arial"/>
        </w:rPr>
        <w:t xml:space="preserve">The energy efficiency potential </w:t>
      </w:r>
      <w:r>
        <w:rPr>
          <w:rFonts w:ascii="Arial" w:hAnsi="Arial" w:cs="Arial"/>
        </w:rPr>
        <w:t>is obtained from Equation (3) :</w:t>
      </w:r>
    </w:p>
    <w:tbl>
      <w:tblPr>
        <w:tblStyle w:val="PlainTable4"/>
        <w:tblW w:w="0" w:type="auto"/>
        <w:tblLook w:val="04A0" w:firstRow="1" w:lastRow="0" w:firstColumn="1" w:lastColumn="0" w:noHBand="0" w:noVBand="1"/>
      </w:tblPr>
      <w:tblGrid>
        <w:gridCol w:w="7227"/>
        <w:gridCol w:w="981"/>
      </w:tblGrid>
      <w:tr w:rsidR="00BE0B82" w:rsidRPr="00BE0B82" w14:paraId="637E38F8" w14:textId="77777777" w:rsidTr="00BE0B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7" w:type="dxa"/>
          </w:tcPr>
          <w:p w14:paraId="11B906B5" w14:textId="7852C0BE" w:rsidR="00BE0B82" w:rsidRPr="002B7F07" w:rsidRDefault="00BE0B82" w:rsidP="00BE0B82">
            <w:pPr>
              <w:pStyle w:val="Body"/>
              <w:spacing w:after="0"/>
              <w:rPr>
                <w:rFonts w:ascii="Arial" w:hAnsi="Arial" w:cs="Arial"/>
                <w:lang w:val="fr-FR"/>
              </w:rPr>
            </w:pPr>
            <m:oMathPara>
              <m:oMath>
                <m:r>
                  <m:rPr>
                    <m:sty m:val="b"/>
                  </m:rPr>
                  <w:rPr>
                    <w:rFonts w:ascii="Cambria Math" w:hAnsi="Cambria Math" w:cs="Arial"/>
                    <w:lang w:val="fr-FR"/>
                  </w:rPr>
                  <m:t xml:space="preserve">Potential </m:t>
                </m:r>
                <m:sSup>
                  <m:sSupPr>
                    <m:ctrlPr>
                      <w:rPr>
                        <w:rFonts w:ascii="Cambria Math" w:hAnsi="Cambria Math" w:cs="Arial"/>
                        <w:lang w:val="fr-FR"/>
                      </w:rPr>
                    </m:ctrlPr>
                  </m:sSupPr>
                  <m:e>
                    <m:r>
                      <m:rPr>
                        <m:sty m:val="b"/>
                      </m:rPr>
                      <w:rPr>
                        <w:rFonts w:ascii="Cambria Math" w:hAnsi="Cambria Math" w:cs="Arial"/>
                        <w:lang w:val="fr-FR"/>
                      </w:rPr>
                      <m:t>d</m:t>
                    </m:r>
                  </m:e>
                  <m:sup>
                    <m:r>
                      <m:rPr>
                        <m:sty m:val="b"/>
                      </m:rPr>
                      <w:rPr>
                        <w:rFonts w:ascii="Cambria Math" w:hAnsi="Cambria Math" w:cs="Arial"/>
                        <w:lang w:val="fr-FR"/>
                      </w:rPr>
                      <m:t>'</m:t>
                    </m:r>
                  </m:sup>
                </m:sSup>
                <m:r>
                  <m:rPr>
                    <m:sty m:val="b"/>
                  </m:rPr>
                  <w:rPr>
                    <w:rFonts w:ascii="Cambria Math" w:hAnsi="Cambria Math" w:cs="Arial"/>
                    <w:lang w:val="fr-FR"/>
                  </w:rPr>
                  <m:t>EE</m:t>
                </m:r>
                <m:d>
                  <m:dPr>
                    <m:ctrlPr>
                      <w:rPr>
                        <w:rFonts w:ascii="Cambria Math" w:hAnsi="Cambria Math" w:cs="Arial"/>
                        <w:lang w:val="fr-FR"/>
                      </w:rPr>
                    </m:ctrlPr>
                  </m:dPr>
                  <m:e>
                    <m:r>
                      <m:rPr>
                        <m:sty m:val="b"/>
                      </m:rPr>
                      <w:rPr>
                        <w:rFonts w:ascii="Cambria Math" w:hAnsi="Cambria Math" w:cs="Arial"/>
                        <w:lang w:val="fr-FR"/>
                      </w:rPr>
                      <m:t>%</m:t>
                    </m:r>
                  </m:e>
                </m:d>
                <m:r>
                  <m:rPr>
                    <m:sty m:val="b"/>
                  </m:rPr>
                  <w:rPr>
                    <w:rFonts w:ascii="Cambria Math" w:hAnsi="Cambria Math" w:cs="Arial"/>
                    <w:lang w:val="fr-FR"/>
                  </w:rPr>
                  <m:t>=</m:t>
                </m:r>
                <m:f>
                  <m:fPr>
                    <m:ctrlPr>
                      <w:rPr>
                        <w:rFonts w:ascii="Cambria Math" w:hAnsi="Cambria Math" w:cs="Arial"/>
                        <w:lang w:val="fr-FR"/>
                      </w:rPr>
                    </m:ctrlPr>
                  </m:fPr>
                  <m:num>
                    <m:d>
                      <m:dPr>
                        <m:ctrlPr>
                          <w:rPr>
                            <w:rFonts w:ascii="Cambria Math" w:hAnsi="Cambria Math" w:cs="Arial"/>
                            <w:lang w:val="fr-FR"/>
                          </w:rPr>
                        </m:ctrlPr>
                      </m:dPr>
                      <m:e>
                        <m:sSub>
                          <m:sSubPr>
                            <m:ctrlPr>
                              <w:rPr>
                                <w:rFonts w:ascii="Cambria Math" w:hAnsi="Cambria Math" w:cs="Arial"/>
                                <w:lang w:val="fr-FR"/>
                              </w:rPr>
                            </m:ctrlPr>
                          </m:sSubPr>
                          <m:e>
                            <m:r>
                              <m:rPr>
                                <m:sty m:val="b"/>
                              </m:rPr>
                              <w:rPr>
                                <w:rFonts w:ascii="Cambria Math" w:hAnsi="Cambria Math" w:cs="Arial"/>
                                <w:lang w:val="fr-FR"/>
                              </w:rPr>
                              <m:t>Current</m:t>
                            </m:r>
                          </m:e>
                          <m:sub>
                            <m:r>
                              <m:rPr>
                                <m:sty m:val="b"/>
                              </m:rPr>
                              <w:rPr>
                                <w:rFonts w:ascii="Cambria Math" w:hAnsi="Cambria Math" w:cs="Arial"/>
                                <w:lang w:val="fr-FR"/>
                              </w:rPr>
                              <m:t>consumption</m:t>
                            </m:r>
                          </m:sub>
                        </m:sSub>
                        <m:r>
                          <m:rPr>
                            <m:sty m:val="b"/>
                          </m:rPr>
                          <w:rPr>
                            <w:rFonts w:ascii="Cambria Math" w:hAnsi="Cambria Math" w:cs="Arial"/>
                            <w:lang w:val="fr-FR"/>
                          </w:rPr>
                          <m:t>-</m:t>
                        </m:r>
                        <m:sSub>
                          <m:sSubPr>
                            <m:ctrlPr>
                              <w:rPr>
                                <w:rFonts w:ascii="Cambria Math" w:hAnsi="Cambria Math" w:cs="Arial"/>
                                <w:lang w:val="fr-FR"/>
                              </w:rPr>
                            </m:ctrlPr>
                          </m:sSubPr>
                          <m:e>
                            <m:r>
                              <m:rPr>
                                <m:sty m:val="bi"/>
                              </m:rPr>
                              <w:rPr>
                                <w:rFonts w:ascii="Cambria Math" w:hAnsi="Cambria Math" w:cs="Arial"/>
                                <w:lang w:val="fr-FR"/>
                              </w:rPr>
                              <m:t>Optimal</m:t>
                            </m:r>
                          </m:e>
                          <m:sub>
                            <m:r>
                              <m:rPr>
                                <m:sty m:val="b"/>
                              </m:rPr>
                              <w:rPr>
                                <w:rFonts w:ascii="Cambria Math" w:hAnsi="Cambria Math" w:cs="Arial"/>
                                <w:lang w:val="fr-FR"/>
                              </w:rPr>
                              <m:t>consumption</m:t>
                            </m:r>
                          </m:sub>
                        </m:sSub>
                      </m:e>
                    </m:d>
                    <m:r>
                      <m:rPr>
                        <m:sty m:val="b"/>
                      </m:rPr>
                      <w:rPr>
                        <w:rFonts w:ascii="Cambria Math" w:hAnsi="Cambria Math" w:cs="Arial"/>
                        <w:lang w:val="fr-FR"/>
                      </w:rPr>
                      <m:t>×100</m:t>
                    </m:r>
                  </m:num>
                  <m:den>
                    <m:sSub>
                      <m:sSubPr>
                        <m:ctrlPr>
                          <w:rPr>
                            <w:rFonts w:ascii="Cambria Math" w:hAnsi="Cambria Math" w:cs="Arial"/>
                            <w:lang w:val="fr-FR"/>
                          </w:rPr>
                        </m:ctrlPr>
                      </m:sSubPr>
                      <m:e>
                        <m:r>
                          <m:rPr>
                            <m:sty m:val="b"/>
                          </m:rPr>
                          <w:rPr>
                            <w:rFonts w:ascii="Cambria Math" w:hAnsi="Cambria Math" w:cs="Arial"/>
                            <w:lang w:val="fr-FR"/>
                          </w:rPr>
                          <m:t>Current</m:t>
                        </m:r>
                      </m:e>
                      <m:sub>
                        <m:r>
                          <m:rPr>
                            <m:sty m:val="b"/>
                          </m:rPr>
                          <w:rPr>
                            <w:rFonts w:ascii="Cambria Math" w:hAnsi="Cambria Math" w:cs="Arial"/>
                            <w:lang w:val="fr-FR"/>
                          </w:rPr>
                          <m:t>consumption</m:t>
                        </m:r>
                      </m:sub>
                    </m:sSub>
                  </m:den>
                </m:f>
              </m:oMath>
            </m:oMathPara>
          </w:p>
        </w:tc>
        <w:tc>
          <w:tcPr>
            <w:tcW w:w="981" w:type="dxa"/>
          </w:tcPr>
          <w:p w14:paraId="02431B62" w14:textId="77777777" w:rsidR="00BE0B82" w:rsidRPr="002B7F07" w:rsidRDefault="00BE0B82" w:rsidP="00BE0B82">
            <w:pPr>
              <w:pStyle w:val="Body"/>
              <w:spacing w:after="0"/>
              <w:cnfStyle w:val="100000000000" w:firstRow="1" w:lastRow="0" w:firstColumn="0" w:lastColumn="0" w:oddVBand="0" w:evenVBand="0" w:oddHBand="0" w:evenHBand="0" w:firstRowFirstColumn="0" w:firstRowLastColumn="0" w:lastRowFirstColumn="0" w:lastRowLastColumn="0"/>
              <w:rPr>
                <w:rFonts w:ascii="Arial" w:hAnsi="Arial" w:cs="Arial"/>
                <w:b w:val="0"/>
                <w:lang w:val="fr-FR"/>
              </w:rPr>
            </w:pPr>
            <w:r w:rsidRPr="002B7F07">
              <w:rPr>
                <w:rFonts w:ascii="Arial" w:hAnsi="Arial" w:cs="Arial"/>
                <w:b w:val="0"/>
                <w:lang w:val="fr-FR"/>
              </w:rPr>
              <w:t>(3)</w:t>
            </w:r>
          </w:p>
        </w:tc>
      </w:tr>
    </w:tbl>
    <w:p w14:paraId="17F6CC1E" w14:textId="3313838D" w:rsidR="00BE0B82" w:rsidRDefault="00BE0B82" w:rsidP="00BE0B82">
      <w:pPr>
        <w:pStyle w:val="Body"/>
        <w:spacing w:after="0"/>
        <w:rPr>
          <w:rFonts w:ascii="Arial" w:hAnsi="Arial" w:cs="Arial"/>
        </w:rPr>
      </w:pPr>
      <w:r w:rsidRPr="00BE0B82">
        <w:rPr>
          <w:rFonts w:ascii="Arial" w:hAnsi="Arial" w:cs="Arial"/>
        </w:rPr>
        <w:t>The energy saving potential (kWh) is obtained using Equation (4) :</w:t>
      </w:r>
    </w:p>
    <w:tbl>
      <w:tblPr>
        <w:tblStyle w:val="PlainTable4"/>
        <w:tblW w:w="0" w:type="auto"/>
        <w:tblLook w:val="04A0" w:firstRow="1" w:lastRow="0" w:firstColumn="1" w:lastColumn="0" w:noHBand="0" w:noVBand="1"/>
      </w:tblPr>
      <w:tblGrid>
        <w:gridCol w:w="7052"/>
        <w:gridCol w:w="1156"/>
      </w:tblGrid>
      <w:tr w:rsidR="00BE0B82" w:rsidRPr="00BE0B82" w14:paraId="54AB4B2C"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2" w:type="dxa"/>
          </w:tcPr>
          <w:p w14:paraId="40A5E68C" w14:textId="1CE96A9B" w:rsidR="00BE0B82" w:rsidRPr="00BE0B82" w:rsidRDefault="00BE0B82" w:rsidP="00BE0B82">
            <w:pPr>
              <w:pStyle w:val="Body"/>
              <w:spacing w:after="0"/>
              <w:rPr>
                <w:rFonts w:ascii="Arial" w:hAnsi="Arial" w:cs="Arial"/>
                <w:b w:val="0"/>
                <w:lang w:val="fr-FR"/>
              </w:rPr>
            </w:pPr>
            <m:oMathPara>
              <m:oMath>
                <m:r>
                  <m:rPr>
                    <m:sty m:val="bi"/>
                  </m:rPr>
                  <w:rPr>
                    <w:rFonts w:ascii="Cambria Math" w:hAnsi="Cambria Math" w:cs="Arial"/>
                    <w:lang w:val="fr-FR"/>
                  </w:rPr>
                  <m:t xml:space="preserve">Saving potential </m:t>
                </m:r>
                <m:d>
                  <m:dPr>
                    <m:ctrlPr>
                      <w:rPr>
                        <w:rFonts w:ascii="Cambria Math" w:hAnsi="Cambria Math" w:cs="Arial"/>
                        <w:b w:val="0"/>
                        <w:i/>
                        <w:lang w:val="fr-FR"/>
                      </w:rPr>
                    </m:ctrlPr>
                  </m:dPr>
                  <m:e>
                    <m:r>
                      <m:rPr>
                        <m:sty m:val="bi"/>
                      </m:rPr>
                      <w:rPr>
                        <w:rFonts w:ascii="Cambria Math" w:hAnsi="Cambria Math" w:cs="Arial"/>
                        <w:lang w:val="fr-FR"/>
                      </w:rPr>
                      <m:t>kWh</m:t>
                    </m:r>
                  </m:e>
                </m:d>
                <m:r>
                  <m:rPr>
                    <m:sty m:val="bi"/>
                  </m:rPr>
                  <w:rPr>
                    <w:rFonts w:ascii="Cambria Math" w:hAnsi="Cambria Math" w:cs="Arial"/>
                    <w:lang w:val="fr-FR"/>
                  </w:rPr>
                  <m:t>=(</m:t>
                </m:r>
                <m:sSub>
                  <m:sSubPr>
                    <m:ctrlPr>
                      <w:rPr>
                        <w:rFonts w:ascii="Cambria Math" w:hAnsi="Cambria Math" w:cs="Arial"/>
                        <w:b w:val="0"/>
                        <w:i/>
                        <w:lang w:val="fr-FR"/>
                      </w:rPr>
                    </m:ctrlPr>
                  </m:sSubPr>
                  <m:e>
                    <m:r>
                      <m:rPr>
                        <m:sty m:val="bi"/>
                      </m:rPr>
                      <w:rPr>
                        <w:rFonts w:ascii="Cambria Math" w:hAnsi="Cambria Math" w:cs="Arial"/>
                        <w:lang w:val="fr-FR"/>
                      </w:rPr>
                      <m:t>Current</m:t>
                    </m:r>
                  </m:e>
                  <m:sub>
                    <m:r>
                      <m:rPr>
                        <m:sty m:val="bi"/>
                      </m:rPr>
                      <w:rPr>
                        <w:rFonts w:ascii="Cambria Math" w:hAnsi="Cambria Math" w:cs="Arial"/>
                        <w:lang w:val="fr-FR"/>
                      </w:rPr>
                      <m:t>consumption</m:t>
                    </m:r>
                  </m:sub>
                </m:sSub>
                <m:r>
                  <m:rPr>
                    <m:sty m:val="bi"/>
                  </m:rPr>
                  <w:rPr>
                    <w:rFonts w:ascii="Cambria Math" w:hAnsi="Cambria Math" w:cs="Arial"/>
                    <w:lang w:val="fr-FR"/>
                  </w:rPr>
                  <m:t>-</m:t>
                </m:r>
                <m:sSub>
                  <m:sSubPr>
                    <m:ctrlPr>
                      <w:rPr>
                        <w:rFonts w:ascii="Cambria Math" w:hAnsi="Cambria Math" w:cs="Arial"/>
                        <w:b w:val="0"/>
                        <w:i/>
                        <w:lang w:val="fr-FR"/>
                      </w:rPr>
                    </m:ctrlPr>
                  </m:sSubPr>
                  <m:e>
                    <m:r>
                      <m:rPr>
                        <m:sty m:val="bi"/>
                      </m:rPr>
                      <w:rPr>
                        <w:rFonts w:ascii="Cambria Math" w:hAnsi="Cambria Math" w:cs="Arial"/>
                        <w:lang w:val="fr-FR"/>
                      </w:rPr>
                      <m:t>Optimal</m:t>
                    </m:r>
                  </m:e>
                  <m:sub>
                    <m:r>
                      <m:rPr>
                        <m:sty m:val="bi"/>
                      </m:rPr>
                      <w:rPr>
                        <w:rFonts w:ascii="Cambria Math" w:hAnsi="Cambria Math" w:cs="Arial"/>
                        <w:lang w:val="fr-FR"/>
                      </w:rPr>
                      <m:t>consumption</m:t>
                    </m:r>
                  </m:sub>
                </m:sSub>
                <m:r>
                  <m:rPr>
                    <m:sty m:val="bi"/>
                  </m:rPr>
                  <w:rPr>
                    <w:rFonts w:ascii="Cambria Math" w:hAnsi="Cambria Math" w:cs="Arial"/>
                    <w:lang w:val="fr-FR"/>
                  </w:rPr>
                  <m:t>)</m:t>
                </m:r>
              </m:oMath>
            </m:oMathPara>
          </w:p>
        </w:tc>
        <w:tc>
          <w:tcPr>
            <w:tcW w:w="1270" w:type="dxa"/>
          </w:tcPr>
          <w:p w14:paraId="378A6E03" w14:textId="77777777" w:rsidR="00BE0B82" w:rsidRPr="00BE0B82" w:rsidRDefault="00BE0B82" w:rsidP="00BE0B82">
            <w:pPr>
              <w:pStyle w:val="Body"/>
              <w:spacing w:after="0"/>
              <w:cnfStyle w:val="100000000000" w:firstRow="1" w:lastRow="0" w:firstColumn="0" w:lastColumn="0" w:oddVBand="0" w:evenVBand="0" w:oddHBand="0" w:evenHBand="0" w:firstRowFirstColumn="0" w:firstRowLastColumn="0" w:lastRowFirstColumn="0" w:lastRowLastColumn="0"/>
              <w:rPr>
                <w:rFonts w:ascii="Arial" w:hAnsi="Arial" w:cs="Arial"/>
                <w:b w:val="0"/>
                <w:lang w:val="fr-FR"/>
              </w:rPr>
            </w:pPr>
            <w:r w:rsidRPr="00BE0B82">
              <w:rPr>
                <w:rFonts w:ascii="Arial" w:hAnsi="Arial" w:cs="Arial"/>
                <w:b w:val="0"/>
                <w:lang w:val="fr-FR"/>
              </w:rPr>
              <w:t>(4)</w:t>
            </w:r>
          </w:p>
        </w:tc>
      </w:tr>
    </w:tbl>
    <w:p w14:paraId="22EF0436" w14:textId="77777777" w:rsidR="00790ADA" w:rsidRPr="00FB3A86" w:rsidRDefault="00790ADA" w:rsidP="00441B6F">
      <w:pPr>
        <w:pStyle w:val="Body"/>
        <w:spacing w:after="0"/>
        <w:rPr>
          <w:rFonts w:ascii="Arial" w:hAnsi="Arial" w:cs="Arial"/>
        </w:rPr>
      </w:pPr>
    </w:p>
    <w:p w14:paraId="4681599E" w14:textId="77777777" w:rsidR="00902823" w:rsidRDefault="00000F8F" w:rsidP="00441B6F">
      <w:pPr>
        <w:pStyle w:val="Head1"/>
        <w:spacing w:after="0"/>
        <w:jc w:val="both"/>
        <w:rPr>
          <w:rFonts w:ascii="Arial" w:hAnsi="Arial" w:cs="Arial"/>
        </w:rPr>
      </w:pPr>
      <w:r>
        <w:rPr>
          <w:rFonts w:ascii="Arial" w:hAnsi="Arial" w:cs="Arial"/>
        </w:rPr>
        <w:t>3</w:t>
      </w:r>
      <w:r w:rsidR="00902823">
        <w:rPr>
          <w:rFonts w:ascii="Arial" w:hAnsi="Arial" w:cs="Arial"/>
        </w:rPr>
        <w:t xml:space="preserve">. </w:t>
      </w:r>
      <w:r>
        <w:rPr>
          <w:rFonts w:ascii="Arial" w:hAnsi="Arial" w:cs="Arial"/>
        </w:rPr>
        <w:t>results and discussion</w:t>
      </w:r>
    </w:p>
    <w:p w14:paraId="6B57DF9B" w14:textId="77777777" w:rsidR="00790ADA" w:rsidRPr="00FB3A86" w:rsidRDefault="00790ADA" w:rsidP="00441B6F">
      <w:pPr>
        <w:pStyle w:val="Head1"/>
        <w:spacing w:after="0"/>
        <w:jc w:val="both"/>
        <w:rPr>
          <w:rFonts w:ascii="Arial" w:hAnsi="Arial" w:cs="Arial"/>
        </w:rPr>
      </w:pPr>
    </w:p>
    <w:p w14:paraId="5123B70C" w14:textId="3FBE070B" w:rsidR="00C601EB" w:rsidRPr="00C601EB" w:rsidRDefault="007F23C3" w:rsidP="00C601EB">
      <w:pPr>
        <w:pStyle w:val="Body"/>
        <w:rPr>
          <w:rFonts w:ascii="Arial" w:hAnsi="Arial" w:cs="Arial"/>
          <w:b/>
          <w:sz w:val="22"/>
          <w:szCs w:val="22"/>
        </w:rPr>
      </w:pPr>
      <w:r>
        <w:rPr>
          <w:rFonts w:ascii="Arial" w:hAnsi="Arial" w:cs="Arial"/>
          <w:b/>
          <w:sz w:val="22"/>
          <w:szCs w:val="22"/>
        </w:rPr>
        <w:t xml:space="preserve">3.1. </w:t>
      </w:r>
      <w:r w:rsidR="00C601EB" w:rsidRPr="00C601EB">
        <w:rPr>
          <w:rFonts w:ascii="Arial" w:hAnsi="Arial" w:cs="Arial"/>
          <w:b/>
          <w:sz w:val="22"/>
          <w:szCs w:val="22"/>
        </w:rPr>
        <w:t>Energy Efficiency Potential of Living Rooms</w:t>
      </w:r>
    </w:p>
    <w:p w14:paraId="62322E9C" w14:textId="77777777" w:rsidR="00C601EB" w:rsidRDefault="00C601EB" w:rsidP="00C601EB">
      <w:pPr>
        <w:pStyle w:val="Body"/>
        <w:rPr>
          <w:rFonts w:ascii="Arial" w:hAnsi="Arial" w:cs="Arial"/>
        </w:rPr>
      </w:pPr>
      <w:r w:rsidRPr="00C601EB">
        <w:rPr>
          <w:rFonts w:ascii="Arial" w:hAnsi="Arial" w:cs="Arial"/>
        </w:rPr>
        <w:t>Figures (1 and 2) show the energy saving potential and the energy efficiency potential in living rooms.</w:t>
      </w:r>
    </w:p>
    <w:p w14:paraId="58E20516" w14:textId="77777777" w:rsidR="00C601EB" w:rsidRPr="00C601EB" w:rsidRDefault="00C601EB" w:rsidP="00C601EB">
      <w:pPr>
        <w:pStyle w:val="Body"/>
        <w:rPr>
          <w:rFonts w:ascii="Arial" w:hAnsi="Arial" w:cs="Arial"/>
        </w:rPr>
      </w:pPr>
      <w:r w:rsidRPr="00C601EB">
        <w:rPr>
          <w:rFonts w:ascii="Arial" w:hAnsi="Arial" w:cs="Arial"/>
        </w:rPr>
        <w:t>The analysis of consumption, taking into account the two energy efficiency actions EC1 and EC2, makes it possible to estimate an annual saving potential of 2,317.188 kWh, corresponding to an overall energy efficiency potential estimated at 12.48% relative to the total lamp consumption in living rooms. This potential mainly results from action EC1, the implementation of which allows an estimated energy saving of 1,993.456 kWh, corresponding to an energy efficiency potential of 10.74%. Action EC2, for its part, contributes an energy saving of 323.732 kWh, corresponding to an energy efficiency potential of 1.74%.</w:t>
      </w:r>
    </w:p>
    <w:p w14:paraId="4A223D9A" w14:textId="71EA0A76" w:rsidR="00C601EB" w:rsidRDefault="00C601EB" w:rsidP="00C601EB">
      <w:pPr>
        <w:pStyle w:val="Body"/>
        <w:rPr>
          <w:rFonts w:ascii="Arial" w:hAnsi="Arial" w:cs="Arial"/>
        </w:rPr>
      </w:pPr>
      <w:r w:rsidRPr="00C601EB">
        <w:rPr>
          <w:rFonts w:ascii="Arial" w:hAnsi="Arial" w:cs="Arial"/>
        </w:rPr>
        <w:t>These results show that action EC1 presents the highest energy efficiency potential because it is not yet well established in household consumption habits. By contrast, action EC2 has a minimal impact, which proves that it is already well integrated into their consumption practices.</w:t>
      </w:r>
    </w:p>
    <w:tbl>
      <w:tblPr>
        <w:tblStyle w:val="Tableausimple41"/>
        <w:tblW w:w="0" w:type="auto"/>
        <w:tblCellMar>
          <w:left w:w="70" w:type="dxa"/>
          <w:right w:w="70" w:type="dxa"/>
        </w:tblCellMar>
        <w:tblLook w:val="04A0" w:firstRow="1" w:lastRow="0" w:firstColumn="1" w:lastColumn="0" w:noHBand="0" w:noVBand="1"/>
      </w:tblPr>
      <w:tblGrid>
        <w:gridCol w:w="4104"/>
        <w:gridCol w:w="4104"/>
      </w:tblGrid>
      <w:tr w:rsidR="00C601EB" w:rsidRPr="00C601EB" w14:paraId="23FAE588"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6" w:type="dxa"/>
          </w:tcPr>
          <w:p w14:paraId="353983AA" w14:textId="77777777" w:rsidR="00C601EB" w:rsidRPr="00C601EB" w:rsidRDefault="00C601EB" w:rsidP="00C601EB">
            <w:pPr>
              <w:spacing w:after="120" w:line="259" w:lineRule="auto"/>
              <w:jc w:val="both"/>
              <w:rPr>
                <w:rFonts w:ascii="Calibri" w:hAnsi="Calibri"/>
                <w:b w:val="0"/>
              </w:rPr>
            </w:pPr>
            <w:r w:rsidRPr="00C601EB">
              <w:rPr>
                <w:rFonts w:ascii="Calibri" w:hAnsi="Calibri"/>
                <w:noProof/>
                <w:lang w:eastAsia="fr-FR"/>
              </w:rPr>
              <w:lastRenderedPageBreak/>
              <w:drawing>
                <wp:inline distT="0" distB="0" distL="0" distR="0" wp14:anchorId="6B444FEC" wp14:editId="2AE9EDDE">
                  <wp:extent cx="2520000" cy="2340000"/>
                  <wp:effectExtent l="0" t="0" r="13970" b="3175"/>
                  <wp:docPr id="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A7CE38D" w14:textId="77777777" w:rsidR="00C601EB" w:rsidRPr="00C601EB" w:rsidRDefault="00C601EB" w:rsidP="00C601EB">
            <w:pPr>
              <w:jc w:val="both"/>
              <w:rPr>
                <w:rFonts w:ascii="Arial" w:hAnsi="Arial" w:cs="Arial"/>
                <w:szCs w:val="24"/>
              </w:rPr>
            </w:pPr>
            <w:r w:rsidRPr="00C601EB">
              <w:rPr>
                <w:rFonts w:ascii="Arial" w:hAnsi="Arial" w:cs="Arial"/>
                <w:sz w:val="20"/>
              </w:rPr>
              <w:t xml:space="preserve">Figure </w:t>
            </w:r>
            <w:r w:rsidRPr="00C601EB">
              <w:rPr>
                <w:rFonts w:ascii="Arial" w:hAnsi="Arial" w:cs="Arial"/>
              </w:rPr>
              <w:fldChar w:fldCharType="begin"/>
            </w:r>
            <w:r w:rsidRPr="00C601EB">
              <w:rPr>
                <w:rFonts w:ascii="Arial" w:hAnsi="Arial" w:cs="Arial"/>
                <w:sz w:val="20"/>
              </w:rPr>
              <w:instrText xml:space="preserve"> SEQ Figure \* ARABIC </w:instrText>
            </w:r>
            <w:r w:rsidRPr="00C601EB">
              <w:rPr>
                <w:rFonts w:ascii="Arial" w:hAnsi="Arial" w:cs="Arial"/>
              </w:rPr>
              <w:fldChar w:fldCharType="separate"/>
            </w:r>
            <w:r w:rsidRPr="00C601EB">
              <w:rPr>
                <w:rFonts w:ascii="Arial" w:hAnsi="Arial" w:cs="Arial"/>
                <w:noProof/>
                <w:sz w:val="20"/>
              </w:rPr>
              <w:t>1</w:t>
            </w:r>
            <w:r w:rsidRPr="00C601EB">
              <w:rPr>
                <w:rFonts w:ascii="Arial" w:hAnsi="Arial" w:cs="Arial"/>
              </w:rPr>
              <w:fldChar w:fldCharType="end"/>
            </w:r>
            <w:r w:rsidRPr="00C601EB">
              <w:rPr>
                <w:rFonts w:ascii="Arial" w:hAnsi="Arial" w:cs="Arial"/>
                <w:sz w:val="20"/>
              </w:rPr>
              <w:t xml:space="preserve"> </w:t>
            </w:r>
            <w:proofErr w:type="spellStart"/>
            <w:r w:rsidRPr="00C601EB">
              <w:rPr>
                <w:rFonts w:ascii="Arial" w:hAnsi="Arial" w:cs="Arial"/>
                <w:sz w:val="20"/>
              </w:rPr>
              <w:t>Annual</w:t>
            </w:r>
            <w:proofErr w:type="spellEnd"/>
            <w:r w:rsidRPr="00C601EB">
              <w:rPr>
                <w:rFonts w:ascii="Arial" w:hAnsi="Arial" w:cs="Arial"/>
                <w:sz w:val="20"/>
              </w:rPr>
              <w:t xml:space="preserve"> </w:t>
            </w:r>
            <w:proofErr w:type="spellStart"/>
            <w:r w:rsidRPr="00C601EB">
              <w:rPr>
                <w:rFonts w:ascii="Arial" w:hAnsi="Arial" w:cs="Arial"/>
                <w:sz w:val="20"/>
              </w:rPr>
              <w:t>energy</w:t>
            </w:r>
            <w:proofErr w:type="spellEnd"/>
            <w:r w:rsidRPr="00C601EB">
              <w:rPr>
                <w:rFonts w:ascii="Arial" w:hAnsi="Arial" w:cs="Arial"/>
                <w:sz w:val="20"/>
              </w:rPr>
              <w:t xml:space="preserve"> </w:t>
            </w:r>
            <w:proofErr w:type="spellStart"/>
            <w:r w:rsidRPr="00C601EB">
              <w:rPr>
                <w:rFonts w:ascii="Arial" w:hAnsi="Arial" w:cs="Arial"/>
                <w:sz w:val="20"/>
              </w:rPr>
              <w:t>saving</w:t>
            </w:r>
            <w:proofErr w:type="spellEnd"/>
            <w:r w:rsidRPr="00C601EB">
              <w:rPr>
                <w:rFonts w:ascii="Arial" w:hAnsi="Arial" w:cs="Arial"/>
                <w:sz w:val="20"/>
              </w:rPr>
              <w:t xml:space="preserve"> </w:t>
            </w:r>
            <w:proofErr w:type="spellStart"/>
            <w:r w:rsidRPr="00C601EB">
              <w:rPr>
                <w:rFonts w:ascii="Arial" w:hAnsi="Arial" w:cs="Arial"/>
                <w:sz w:val="20"/>
              </w:rPr>
              <w:t>potential</w:t>
            </w:r>
            <w:proofErr w:type="spellEnd"/>
            <w:r w:rsidRPr="00C601EB">
              <w:rPr>
                <w:rFonts w:ascii="Arial" w:hAnsi="Arial" w:cs="Arial"/>
                <w:sz w:val="20"/>
              </w:rPr>
              <w:t xml:space="preserve"> in the living room </w:t>
            </w:r>
            <w:proofErr w:type="spellStart"/>
            <w:r w:rsidRPr="00C601EB">
              <w:rPr>
                <w:rFonts w:ascii="Arial" w:hAnsi="Arial" w:cs="Arial"/>
                <w:sz w:val="20"/>
              </w:rPr>
              <w:t>lighting</w:t>
            </w:r>
            <w:proofErr w:type="spellEnd"/>
            <w:r w:rsidRPr="00C601EB">
              <w:rPr>
                <w:rFonts w:ascii="Arial" w:hAnsi="Arial" w:cs="Arial"/>
                <w:sz w:val="20"/>
              </w:rPr>
              <w:t xml:space="preserve"> </w:t>
            </w:r>
            <w:proofErr w:type="spellStart"/>
            <w:r w:rsidRPr="00C601EB">
              <w:rPr>
                <w:rFonts w:ascii="Arial" w:hAnsi="Arial" w:cs="Arial"/>
                <w:sz w:val="20"/>
              </w:rPr>
              <w:t>sector</w:t>
            </w:r>
            <w:proofErr w:type="spellEnd"/>
            <w:r w:rsidRPr="00C601EB">
              <w:rPr>
                <w:rFonts w:ascii="Arial" w:hAnsi="Arial" w:cs="Arial"/>
                <w:sz w:val="20"/>
              </w:rPr>
              <w:t xml:space="preserve"> (kWh)</w:t>
            </w:r>
          </w:p>
        </w:tc>
        <w:tc>
          <w:tcPr>
            <w:tcW w:w="4566" w:type="dxa"/>
          </w:tcPr>
          <w:p w14:paraId="24328D6A" w14:textId="77777777" w:rsidR="00C601EB" w:rsidRPr="00C601EB" w:rsidRDefault="00C601EB" w:rsidP="00C601EB">
            <w:pPr>
              <w:spacing w:after="120" w:line="259" w:lineRule="auto"/>
              <w:jc w:val="both"/>
              <w:cnfStyle w:val="100000000000" w:firstRow="1" w:lastRow="0" w:firstColumn="0" w:lastColumn="0" w:oddVBand="0" w:evenVBand="0" w:oddHBand="0" w:evenHBand="0" w:firstRowFirstColumn="0" w:firstRowLastColumn="0" w:lastRowFirstColumn="0" w:lastRowLastColumn="0"/>
              <w:rPr>
                <w:rFonts w:ascii="Calibri" w:hAnsi="Calibri"/>
              </w:rPr>
            </w:pPr>
            <w:r w:rsidRPr="00C601EB">
              <w:rPr>
                <w:rFonts w:ascii="Calibri" w:hAnsi="Calibri"/>
                <w:noProof/>
                <w:lang w:eastAsia="fr-FR"/>
              </w:rPr>
              <w:drawing>
                <wp:inline distT="0" distB="0" distL="0" distR="0" wp14:anchorId="3C80B2AB" wp14:editId="0F257CC5">
                  <wp:extent cx="2520000" cy="2340000"/>
                  <wp:effectExtent l="0" t="0" r="13970" b="3175"/>
                  <wp:docPr id="3"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267D248" w14:textId="77777777" w:rsidR="00C601EB" w:rsidRPr="00C601EB" w:rsidRDefault="00C601EB" w:rsidP="00C601EB">
            <w:pPr>
              <w:jc w:val="both"/>
              <w:cnfStyle w:val="100000000000" w:firstRow="1" w:lastRow="0" w:firstColumn="0" w:lastColumn="0" w:oddVBand="0" w:evenVBand="0" w:oddHBand="0" w:evenHBand="0" w:firstRowFirstColumn="0" w:firstRowLastColumn="0" w:lastRowFirstColumn="0" w:lastRowLastColumn="0"/>
            </w:pPr>
            <w:r w:rsidRPr="00C601EB">
              <w:rPr>
                <w:rFonts w:ascii="Times New Roman" w:hAnsi="Times New Roman"/>
                <w:sz w:val="20"/>
              </w:rPr>
              <w:t xml:space="preserve">Figure </w:t>
            </w:r>
            <w:r w:rsidRPr="00C601EB">
              <w:rPr>
                <w:rFonts w:ascii="Times New Roman" w:hAnsi="Times New Roman"/>
              </w:rPr>
              <w:fldChar w:fldCharType="begin"/>
            </w:r>
            <w:r w:rsidRPr="00C601EB">
              <w:rPr>
                <w:rFonts w:ascii="Times New Roman" w:hAnsi="Times New Roman"/>
                <w:sz w:val="20"/>
              </w:rPr>
              <w:instrText xml:space="preserve"> SEQ Figure \* ARABIC </w:instrText>
            </w:r>
            <w:r w:rsidRPr="00C601EB">
              <w:rPr>
                <w:rFonts w:ascii="Times New Roman" w:hAnsi="Times New Roman"/>
              </w:rPr>
              <w:fldChar w:fldCharType="separate"/>
            </w:r>
            <w:r w:rsidRPr="00C601EB">
              <w:rPr>
                <w:rFonts w:ascii="Times New Roman" w:hAnsi="Times New Roman"/>
                <w:noProof/>
                <w:sz w:val="20"/>
              </w:rPr>
              <w:t>2</w:t>
            </w:r>
            <w:r w:rsidRPr="00C601EB">
              <w:rPr>
                <w:rFonts w:ascii="Times New Roman" w:hAnsi="Times New Roman"/>
              </w:rPr>
              <w:fldChar w:fldCharType="end"/>
            </w:r>
            <w:r w:rsidRPr="00C601EB">
              <w:rPr>
                <w:rFonts w:ascii="Times New Roman" w:hAnsi="Times New Roman"/>
                <w:sz w:val="20"/>
              </w:rPr>
              <w:t xml:space="preserve"> </w:t>
            </w:r>
            <w:r w:rsidRPr="00C601EB">
              <w:rPr>
                <w:sz w:val="20"/>
              </w:rPr>
              <w:t xml:space="preserve">Energy </w:t>
            </w:r>
            <w:proofErr w:type="spellStart"/>
            <w:r w:rsidRPr="00C601EB">
              <w:rPr>
                <w:sz w:val="20"/>
              </w:rPr>
              <w:t>efficiency</w:t>
            </w:r>
            <w:proofErr w:type="spellEnd"/>
            <w:r w:rsidRPr="00C601EB">
              <w:rPr>
                <w:sz w:val="20"/>
              </w:rPr>
              <w:t xml:space="preserve"> </w:t>
            </w:r>
            <w:proofErr w:type="spellStart"/>
            <w:r w:rsidRPr="00C601EB">
              <w:rPr>
                <w:sz w:val="20"/>
              </w:rPr>
              <w:t>potential</w:t>
            </w:r>
            <w:proofErr w:type="spellEnd"/>
            <w:r w:rsidRPr="00C601EB">
              <w:rPr>
                <w:sz w:val="20"/>
              </w:rPr>
              <w:t xml:space="preserve"> in living room </w:t>
            </w:r>
            <w:proofErr w:type="spellStart"/>
            <w:r w:rsidRPr="00C601EB">
              <w:rPr>
                <w:sz w:val="20"/>
              </w:rPr>
              <w:t>lighting</w:t>
            </w:r>
            <w:proofErr w:type="spellEnd"/>
          </w:p>
        </w:tc>
      </w:tr>
    </w:tbl>
    <w:p w14:paraId="3DDC8A75" w14:textId="77777777" w:rsidR="00C601EB" w:rsidRDefault="00C601EB" w:rsidP="00C601EB">
      <w:pPr>
        <w:pStyle w:val="Body"/>
        <w:rPr>
          <w:rFonts w:ascii="Arial" w:hAnsi="Arial" w:cs="Arial"/>
        </w:rPr>
      </w:pPr>
    </w:p>
    <w:p w14:paraId="24BEC402" w14:textId="685CED67" w:rsidR="00C601EB" w:rsidRDefault="00C601EB" w:rsidP="00C601EB">
      <w:pPr>
        <w:pStyle w:val="Body"/>
        <w:rPr>
          <w:rFonts w:ascii="Arial" w:hAnsi="Arial" w:cs="Arial"/>
        </w:rPr>
      </w:pPr>
      <w:r w:rsidRPr="00C601EB">
        <w:rPr>
          <w:rFonts w:ascii="Arial" w:hAnsi="Arial" w:cs="Arial"/>
        </w:rPr>
        <w:t>Figures 3 and 4 present the estimated energy saving potential and energy efficiency potential in living rooms according to each period of the year.</w:t>
      </w:r>
    </w:p>
    <w:p w14:paraId="06559F93" w14:textId="77777777" w:rsidR="00B2715E" w:rsidRPr="00B2715E" w:rsidRDefault="00B2715E" w:rsidP="00B2715E">
      <w:pPr>
        <w:pStyle w:val="Body"/>
        <w:rPr>
          <w:rFonts w:ascii="Arial" w:hAnsi="Arial" w:cs="Arial"/>
        </w:rPr>
      </w:pPr>
      <w:r w:rsidRPr="00B2715E">
        <w:rPr>
          <w:rFonts w:ascii="Arial" w:hAnsi="Arial" w:cs="Arial"/>
        </w:rPr>
        <w:t>A total saving potential estimated at 439.44 kWh is obtained during the cool months (November, December, January, and February), representing an estimated energy efficiency potential of 9.56% of the total lamp consumption in living rooms during this period. During the hot months (March, April, May, and June), the energy saving potential is estimated at 821.67 kWh, corresponding to an energy efficiency potential estimated at 12.52% of the total lamp consumption in living rooms during the hot months. During the rainy season (July, August, September, and October), the energy saving potential is estimated at 1,056.078 kWh, corresponding to an energy efficiency potential of 14.26%.</w:t>
      </w:r>
    </w:p>
    <w:p w14:paraId="2A09D096" w14:textId="1DD78573" w:rsidR="00B2715E" w:rsidRDefault="00B2715E" w:rsidP="00B2715E">
      <w:pPr>
        <w:pStyle w:val="Body"/>
        <w:rPr>
          <w:rFonts w:ascii="Arial" w:hAnsi="Arial" w:cs="Arial"/>
        </w:rPr>
      </w:pPr>
      <w:r w:rsidRPr="00B2715E">
        <w:rPr>
          <w:rFonts w:ascii="Arial" w:hAnsi="Arial" w:cs="Arial"/>
        </w:rPr>
        <w:t>These results show that lamps in living rooms are used more intensively during the hot and rainy months of the year, which explains why the energy saving potential during each of these periods is almost double that observed during the cool period. This is due to the fact that during the cool period, households go to bed early at night, whereas during the hot months they go to bed late. They wait for a decrease in temperature in the bedrooms, since temperatures are very high during this period (about 38 °C according to (</w:t>
      </w:r>
      <w:proofErr w:type="spellStart"/>
      <w:r w:rsidRPr="00B2715E">
        <w:rPr>
          <w:rFonts w:ascii="Arial" w:hAnsi="Arial" w:cs="Arial"/>
        </w:rPr>
        <w:t>Ministère</w:t>
      </w:r>
      <w:proofErr w:type="spellEnd"/>
      <w:r w:rsidRPr="00B2715E">
        <w:rPr>
          <w:rFonts w:ascii="Arial" w:hAnsi="Arial" w:cs="Arial"/>
        </w:rPr>
        <w:t xml:space="preserve"> de </w:t>
      </w:r>
      <w:proofErr w:type="spellStart"/>
      <w:r w:rsidRPr="00B2715E">
        <w:rPr>
          <w:rFonts w:ascii="Arial" w:hAnsi="Arial" w:cs="Arial"/>
        </w:rPr>
        <w:t>l’habitat</w:t>
      </w:r>
      <w:proofErr w:type="spellEnd"/>
      <w:r w:rsidRPr="00B2715E">
        <w:rPr>
          <w:rFonts w:ascii="Arial" w:hAnsi="Arial" w:cs="Arial"/>
        </w:rPr>
        <w:t xml:space="preserve"> et de </w:t>
      </w:r>
      <w:proofErr w:type="spellStart"/>
      <w:r w:rsidRPr="00B2715E">
        <w:rPr>
          <w:rFonts w:ascii="Arial" w:hAnsi="Arial" w:cs="Arial"/>
        </w:rPr>
        <w:t>l’urbanisme</w:t>
      </w:r>
      <w:proofErr w:type="spellEnd"/>
      <w:r w:rsidRPr="00B2715E">
        <w:rPr>
          <w:rFonts w:ascii="Arial" w:hAnsi="Arial" w:cs="Arial"/>
        </w:rPr>
        <w:t>, 2012)) in the city of Koudougou. In addition, the rainy season coincides with school holidays, which modifies household daily routines. Indeed, during holidays, restrictions on children’s sleeping time and the use of electronic devices are less strict. Children therefore stay awake longer, which changes their sleeping habits and consequently increases lamp consumption. This combination of factors helps to explain the variation in the energy saving potential of living room lighting.</w:t>
      </w:r>
    </w:p>
    <w:tbl>
      <w:tblPr>
        <w:tblStyle w:val="PlainTable4"/>
        <w:tblW w:w="0" w:type="auto"/>
        <w:tblCellMar>
          <w:left w:w="70" w:type="dxa"/>
          <w:right w:w="70" w:type="dxa"/>
        </w:tblCellMar>
        <w:tblLook w:val="04A0" w:firstRow="1" w:lastRow="0" w:firstColumn="1" w:lastColumn="0" w:noHBand="0" w:noVBand="1"/>
      </w:tblPr>
      <w:tblGrid>
        <w:gridCol w:w="4104"/>
        <w:gridCol w:w="4104"/>
      </w:tblGrid>
      <w:tr w:rsidR="00B2715E" w14:paraId="7DA055BA" w14:textId="77777777" w:rsidTr="00D42D04">
        <w:trPr>
          <w:cnfStyle w:val="100000000000" w:firstRow="1" w:lastRow="0" w:firstColumn="0" w:lastColumn="0" w:oddVBand="0" w:evenVBand="0" w:oddHBand="0" w:evenHBand="0" w:firstRowFirstColumn="0" w:firstRowLastColumn="0" w:lastRowFirstColumn="0" w:lastRowLastColumn="0"/>
          <w:trHeight w:val="4592"/>
        </w:trPr>
        <w:tc>
          <w:tcPr>
            <w:cnfStyle w:val="001000000000" w:firstRow="0" w:lastRow="0" w:firstColumn="1" w:lastColumn="0" w:oddVBand="0" w:evenVBand="0" w:oddHBand="0" w:evenHBand="0" w:firstRowFirstColumn="0" w:firstRowLastColumn="0" w:lastRowFirstColumn="0" w:lastRowLastColumn="0"/>
            <w:tcW w:w="4520" w:type="dxa"/>
          </w:tcPr>
          <w:p w14:paraId="6D9D08EA" w14:textId="77777777" w:rsidR="00B2715E" w:rsidRDefault="00B2715E" w:rsidP="00D42D04">
            <w:pPr>
              <w:keepNext/>
              <w:spacing w:after="120"/>
            </w:pPr>
            <w:r>
              <w:rPr>
                <w:noProof/>
                <w:lang w:val="fr-FR" w:eastAsia="fr-FR"/>
              </w:rPr>
              <w:lastRenderedPageBreak/>
              <w:drawing>
                <wp:inline distT="0" distB="0" distL="0" distR="0" wp14:anchorId="0B05A92C" wp14:editId="162457E5">
                  <wp:extent cx="2520000" cy="2340000"/>
                  <wp:effectExtent l="0" t="0" r="13970" b="3175"/>
                  <wp:docPr id="7" name="Graphique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C6BE01C" w14:textId="77777777" w:rsidR="00B2715E" w:rsidRPr="00B2715E" w:rsidRDefault="00B2715E" w:rsidP="00B2715E">
            <w:pPr>
              <w:jc w:val="both"/>
              <w:rPr>
                <w:rFonts w:ascii="Arial" w:hAnsi="Arial" w:cs="Arial"/>
              </w:rPr>
            </w:pPr>
            <w:r w:rsidRPr="00B2715E">
              <w:rPr>
                <w:rFonts w:ascii="Arial" w:hAnsi="Arial" w:cs="Arial"/>
              </w:rPr>
              <w:t xml:space="preserve">Figure </w:t>
            </w:r>
            <w:r w:rsidRPr="00B2715E">
              <w:rPr>
                <w:rFonts w:ascii="Arial" w:hAnsi="Arial" w:cs="Arial"/>
              </w:rPr>
              <w:fldChar w:fldCharType="begin"/>
            </w:r>
            <w:r w:rsidRPr="00B2715E">
              <w:rPr>
                <w:rFonts w:ascii="Arial" w:hAnsi="Arial" w:cs="Arial"/>
              </w:rPr>
              <w:instrText xml:space="preserve"> SEQ Figure \* ARABIC </w:instrText>
            </w:r>
            <w:r w:rsidRPr="00B2715E">
              <w:rPr>
                <w:rFonts w:ascii="Arial" w:hAnsi="Arial" w:cs="Arial"/>
              </w:rPr>
              <w:fldChar w:fldCharType="separate"/>
            </w:r>
            <w:r w:rsidRPr="00B2715E">
              <w:rPr>
                <w:rFonts w:ascii="Arial" w:hAnsi="Arial" w:cs="Arial"/>
                <w:noProof/>
              </w:rPr>
              <w:t>3</w:t>
            </w:r>
            <w:r w:rsidRPr="00B2715E">
              <w:rPr>
                <w:rFonts w:ascii="Arial" w:hAnsi="Arial" w:cs="Arial"/>
              </w:rPr>
              <w:fldChar w:fldCharType="end"/>
            </w:r>
            <w:r w:rsidRPr="00B2715E">
              <w:rPr>
                <w:rFonts w:ascii="Arial" w:hAnsi="Arial" w:cs="Arial"/>
              </w:rPr>
              <w:t xml:space="preserve"> Energy saving potential in living rooms according to the period of the year (kWh)</w:t>
            </w:r>
          </w:p>
        </w:tc>
        <w:tc>
          <w:tcPr>
            <w:tcW w:w="4552" w:type="dxa"/>
          </w:tcPr>
          <w:p w14:paraId="1181699E" w14:textId="77777777" w:rsidR="00B2715E" w:rsidRDefault="00B2715E" w:rsidP="00D42D04">
            <w:pPr>
              <w:keepNext/>
              <w:spacing w:after="120"/>
              <w:cnfStyle w:val="100000000000" w:firstRow="1" w:lastRow="0" w:firstColumn="0" w:lastColumn="0" w:oddVBand="0" w:evenVBand="0" w:oddHBand="0" w:evenHBand="0" w:firstRowFirstColumn="0" w:firstRowLastColumn="0" w:lastRowFirstColumn="0" w:lastRowLastColumn="0"/>
            </w:pPr>
            <w:r>
              <w:rPr>
                <w:noProof/>
                <w:lang w:val="fr-FR" w:eastAsia="fr-FR"/>
              </w:rPr>
              <w:drawing>
                <wp:inline distT="0" distB="0" distL="0" distR="0" wp14:anchorId="3DC0CAC7" wp14:editId="29583025">
                  <wp:extent cx="2520000" cy="2340000"/>
                  <wp:effectExtent l="0" t="0" r="13970" b="3175"/>
                  <wp:docPr id="10" name="Graphique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CBD84E7" w14:textId="77777777" w:rsidR="00B2715E" w:rsidRPr="00B2715E" w:rsidRDefault="00B2715E" w:rsidP="00B2715E">
            <w:pPr>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B2715E">
              <w:rPr>
                <w:rFonts w:ascii="Arial" w:hAnsi="Arial" w:cs="Arial"/>
              </w:rPr>
              <w:t xml:space="preserve">Figure </w:t>
            </w:r>
            <w:r w:rsidRPr="00B2715E">
              <w:rPr>
                <w:rFonts w:ascii="Arial" w:hAnsi="Arial" w:cs="Arial"/>
              </w:rPr>
              <w:fldChar w:fldCharType="begin"/>
            </w:r>
            <w:r w:rsidRPr="00B2715E">
              <w:rPr>
                <w:rFonts w:ascii="Arial" w:hAnsi="Arial" w:cs="Arial"/>
              </w:rPr>
              <w:instrText xml:space="preserve"> SEQ Figure \* ARABIC </w:instrText>
            </w:r>
            <w:r w:rsidRPr="00B2715E">
              <w:rPr>
                <w:rFonts w:ascii="Arial" w:hAnsi="Arial" w:cs="Arial"/>
              </w:rPr>
              <w:fldChar w:fldCharType="separate"/>
            </w:r>
            <w:r w:rsidRPr="00B2715E">
              <w:rPr>
                <w:rFonts w:ascii="Arial" w:hAnsi="Arial" w:cs="Arial"/>
                <w:noProof/>
              </w:rPr>
              <w:t>4</w:t>
            </w:r>
            <w:r w:rsidRPr="00B2715E">
              <w:rPr>
                <w:rFonts w:ascii="Arial" w:hAnsi="Arial" w:cs="Arial"/>
              </w:rPr>
              <w:fldChar w:fldCharType="end"/>
            </w:r>
            <w:r w:rsidRPr="00B2715E">
              <w:rPr>
                <w:rFonts w:ascii="Arial" w:hAnsi="Arial" w:cs="Arial"/>
              </w:rPr>
              <w:t xml:space="preserve"> Overall energy efficiency potential in living rooms according to the period of the year</w:t>
            </w:r>
          </w:p>
        </w:tc>
      </w:tr>
    </w:tbl>
    <w:p w14:paraId="74FFC9E7" w14:textId="77777777" w:rsidR="00B2715E" w:rsidRDefault="00B2715E" w:rsidP="00B2715E">
      <w:pPr>
        <w:pStyle w:val="Body"/>
        <w:rPr>
          <w:rFonts w:ascii="Arial" w:hAnsi="Arial" w:cs="Arial"/>
        </w:rPr>
      </w:pPr>
    </w:p>
    <w:p w14:paraId="0B2556E9" w14:textId="08193C5F" w:rsidR="002C363C" w:rsidRPr="002C363C" w:rsidRDefault="007F23C3" w:rsidP="002C363C">
      <w:pPr>
        <w:pStyle w:val="Body"/>
        <w:rPr>
          <w:rFonts w:ascii="Arial" w:hAnsi="Arial" w:cs="Arial"/>
          <w:b/>
        </w:rPr>
      </w:pPr>
      <w:r>
        <w:rPr>
          <w:rFonts w:ascii="Arial" w:hAnsi="Arial" w:cs="Arial"/>
          <w:b/>
        </w:rPr>
        <w:t xml:space="preserve">3.2. </w:t>
      </w:r>
      <w:r w:rsidR="002C363C" w:rsidRPr="002C363C">
        <w:rPr>
          <w:rFonts w:ascii="Arial" w:hAnsi="Arial" w:cs="Arial"/>
          <w:b/>
        </w:rPr>
        <w:t>Energy Efficiency Potential in Bedrooms</w:t>
      </w:r>
    </w:p>
    <w:p w14:paraId="77991B2C" w14:textId="3283F0E0" w:rsidR="002C363C" w:rsidRDefault="002C363C" w:rsidP="002C363C">
      <w:pPr>
        <w:pStyle w:val="Body"/>
        <w:rPr>
          <w:rFonts w:ascii="Arial" w:hAnsi="Arial" w:cs="Arial"/>
        </w:rPr>
      </w:pPr>
      <w:r w:rsidRPr="002C363C">
        <w:rPr>
          <w:rFonts w:ascii="Arial" w:hAnsi="Arial" w:cs="Arial"/>
        </w:rPr>
        <w:t>Figures 5, 6, and 7 show the energy saving potential and the energy efficiency potential in bedrooms.</w:t>
      </w:r>
    </w:p>
    <w:p w14:paraId="5B4BFA49" w14:textId="77777777" w:rsidR="002C363C" w:rsidRPr="002C363C" w:rsidRDefault="002C363C" w:rsidP="002C363C">
      <w:pPr>
        <w:pStyle w:val="Body"/>
        <w:rPr>
          <w:rFonts w:ascii="Arial" w:hAnsi="Arial" w:cs="Arial"/>
        </w:rPr>
      </w:pPr>
      <w:r w:rsidRPr="002C363C">
        <w:rPr>
          <w:rFonts w:ascii="Arial" w:hAnsi="Arial" w:cs="Arial"/>
        </w:rPr>
        <w:t xml:space="preserve">The overall energy saving potential in the field of bedroom lighting, evaluated over the year, is estimated at 4,194.488 kWh, corresponding to an energy efficiency potential equivalent to 27.34% of the annual lighting consumption allocated to these spaces (Figures 5 and 6). </w:t>
      </w:r>
    </w:p>
    <w:p w14:paraId="289A6288" w14:textId="0CCDB0E4" w:rsidR="002C363C" w:rsidRDefault="002C363C" w:rsidP="002C363C">
      <w:pPr>
        <w:pStyle w:val="Body"/>
        <w:rPr>
          <w:rFonts w:ascii="Arial" w:hAnsi="Arial" w:cs="Arial"/>
        </w:rPr>
      </w:pPr>
      <w:r w:rsidRPr="002C363C">
        <w:rPr>
          <w:rFonts w:ascii="Arial" w:hAnsi="Arial" w:cs="Arial"/>
        </w:rPr>
        <w:t>These results highlight a high energy efficiency potential in the field of bedroom lighting. Each energy efficiency action has a significant impact on reducing energy consumption in bedrooms. EC3, in particular, accounts for 34% of the possible savings, which underscores the impact of excessive nocturnal lighting. EC4 confirms an overconsumption related to lamps that are too powerful for uses often limited to reading or circulation (Figure 7). This shows, on the one hand, that households have not yet integrated energy management actions into their energy consumption habits in the lighting sector, and, on the other hand, that bedrooms constitute a strategic area for energy savings. The adoption of night lights and the optimization of installed power levels can generate substantial savings without altering the essential functions of these rooms. Targeted awareness-raising on nighttime habits would be particularly beneficial.</w:t>
      </w:r>
    </w:p>
    <w:tbl>
      <w:tblPr>
        <w:tblStyle w:val="PlainTable4"/>
        <w:tblW w:w="0" w:type="auto"/>
        <w:tblCellMar>
          <w:left w:w="70" w:type="dxa"/>
          <w:right w:w="70" w:type="dxa"/>
        </w:tblCellMar>
        <w:tblLook w:val="04A0" w:firstRow="1" w:lastRow="0" w:firstColumn="1" w:lastColumn="0" w:noHBand="0" w:noVBand="1"/>
      </w:tblPr>
      <w:tblGrid>
        <w:gridCol w:w="4104"/>
        <w:gridCol w:w="4104"/>
      </w:tblGrid>
      <w:tr w:rsidR="002C363C" w:rsidRPr="002C363C" w14:paraId="5F70DA3F"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FB78297" w14:textId="77777777" w:rsidR="002C363C" w:rsidRPr="002C363C" w:rsidRDefault="002C363C" w:rsidP="002C363C">
            <w:pPr>
              <w:pStyle w:val="Body"/>
              <w:rPr>
                <w:rFonts w:ascii="Arial" w:hAnsi="Arial" w:cs="Arial"/>
                <w:lang w:val="fr-FR"/>
              </w:rPr>
            </w:pPr>
            <w:r w:rsidRPr="002C363C">
              <w:rPr>
                <w:rFonts w:ascii="Arial" w:hAnsi="Arial" w:cs="Arial"/>
                <w:noProof/>
                <w:lang w:val="fr-FR" w:eastAsia="fr-FR"/>
              </w:rPr>
              <w:lastRenderedPageBreak/>
              <w:drawing>
                <wp:inline distT="0" distB="0" distL="0" distR="0" wp14:anchorId="07718040" wp14:editId="71A902B6">
                  <wp:extent cx="2520000" cy="2340000"/>
                  <wp:effectExtent l="0" t="0" r="13970" b="3175"/>
                  <wp:docPr id="13" name="Graphique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E198DF4" w14:textId="77777777" w:rsidR="002C363C" w:rsidRPr="002A130C" w:rsidRDefault="002C363C" w:rsidP="002A130C">
            <w:pPr>
              <w:jc w:val="both"/>
              <w:rPr>
                <w:rFonts w:ascii="Arial" w:hAnsi="Arial" w:cs="Arial"/>
                <w:lang w:val="fr-FR"/>
              </w:rPr>
            </w:pPr>
            <w:r w:rsidRPr="002A130C">
              <w:rPr>
                <w:rFonts w:ascii="Arial" w:hAnsi="Arial" w:cs="Arial"/>
                <w:lang w:val="fr-FR"/>
              </w:rPr>
              <w:t xml:space="preserve">Figure </w:t>
            </w:r>
            <w:r w:rsidRPr="002A130C">
              <w:rPr>
                <w:rFonts w:ascii="Arial" w:hAnsi="Arial" w:cs="Arial"/>
                <w:lang w:val="fr-FR"/>
              </w:rPr>
              <w:fldChar w:fldCharType="begin"/>
            </w:r>
            <w:r w:rsidRPr="002A130C">
              <w:rPr>
                <w:rFonts w:ascii="Arial" w:hAnsi="Arial" w:cs="Arial"/>
                <w:lang w:val="fr-FR"/>
              </w:rPr>
              <w:instrText xml:space="preserve"> SEQ Figure \* ARABIC </w:instrText>
            </w:r>
            <w:r w:rsidRPr="002A130C">
              <w:rPr>
                <w:rFonts w:ascii="Arial" w:hAnsi="Arial" w:cs="Arial"/>
                <w:lang w:val="fr-FR"/>
              </w:rPr>
              <w:fldChar w:fldCharType="separate"/>
            </w:r>
            <w:r w:rsidRPr="002A130C">
              <w:rPr>
                <w:rFonts w:ascii="Arial" w:hAnsi="Arial" w:cs="Arial"/>
                <w:lang w:val="fr-FR"/>
              </w:rPr>
              <w:t>5</w:t>
            </w:r>
            <w:r w:rsidRPr="002A130C">
              <w:rPr>
                <w:rFonts w:ascii="Arial" w:hAnsi="Arial" w:cs="Arial"/>
              </w:rPr>
              <w:fldChar w:fldCharType="end"/>
            </w:r>
            <w:r w:rsidRPr="002A130C">
              <w:rPr>
                <w:rFonts w:ascii="Arial" w:hAnsi="Arial" w:cs="Arial"/>
                <w:lang w:val="fr-FR"/>
              </w:rPr>
              <w:t xml:space="preserve"> </w:t>
            </w:r>
            <w:proofErr w:type="spellStart"/>
            <w:r w:rsidRPr="002A130C">
              <w:rPr>
                <w:rFonts w:ascii="Arial" w:hAnsi="Arial" w:cs="Arial"/>
                <w:lang w:val="fr-FR"/>
              </w:rPr>
              <w:t>Annual</w:t>
            </w:r>
            <w:proofErr w:type="spellEnd"/>
            <w:r w:rsidRPr="002A130C">
              <w:rPr>
                <w:rFonts w:ascii="Arial" w:hAnsi="Arial" w:cs="Arial"/>
                <w:lang w:val="fr-FR"/>
              </w:rPr>
              <w:t xml:space="preserve"> </w:t>
            </w:r>
            <w:proofErr w:type="spellStart"/>
            <w:r w:rsidRPr="002A130C">
              <w:rPr>
                <w:rFonts w:ascii="Arial" w:hAnsi="Arial" w:cs="Arial"/>
                <w:lang w:val="fr-FR"/>
              </w:rPr>
              <w:t>energy</w:t>
            </w:r>
            <w:proofErr w:type="spellEnd"/>
            <w:r w:rsidRPr="002A130C">
              <w:rPr>
                <w:rFonts w:ascii="Arial" w:hAnsi="Arial" w:cs="Arial"/>
                <w:lang w:val="fr-FR"/>
              </w:rPr>
              <w:t xml:space="preserve"> </w:t>
            </w:r>
            <w:proofErr w:type="spellStart"/>
            <w:r w:rsidRPr="002A130C">
              <w:rPr>
                <w:rFonts w:ascii="Arial" w:hAnsi="Arial" w:cs="Arial"/>
                <w:lang w:val="fr-FR"/>
              </w:rPr>
              <w:t>saving</w:t>
            </w:r>
            <w:proofErr w:type="spellEnd"/>
            <w:r w:rsidRPr="002A130C">
              <w:rPr>
                <w:rFonts w:ascii="Arial" w:hAnsi="Arial" w:cs="Arial"/>
                <w:lang w:val="fr-FR"/>
              </w:rPr>
              <w:t xml:space="preserve"> </w:t>
            </w:r>
            <w:proofErr w:type="spellStart"/>
            <w:r w:rsidRPr="002A130C">
              <w:rPr>
                <w:rFonts w:ascii="Arial" w:hAnsi="Arial" w:cs="Arial"/>
                <w:lang w:val="fr-FR"/>
              </w:rPr>
              <w:t>potential</w:t>
            </w:r>
            <w:proofErr w:type="spellEnd"/>
            <w:r w:rsidRPr="002A130C">
              <w:rPr>
                <w:rFonts w:ascii="Arial" w:hAnsi="Arial" w:cs="Arial"/>
                <w:lang w:val="fr-FR"/>
              </w:rPr>
              <w:t xml:space="preserve"> in </w:t>
            </w:r>
            <w:proofErr w:type="spellStart"/>
            <w:r w:rsidRPr="002A130C">
              <w:rPr>
                <w:rFonts w:ascii="Arial" w:hAnsi="Arial" w:cs="Arial"/>
                <w:lang w:val="fr-FR"/>
              </w:rPr>
              <w:t>bedroom</w:t>
            </w:r>
            <w:proofErr w:type="spellEnd"/>
            <w:r w:rsidRPr="002A130C">
              <w:rPr>
                <w:rFonts w:ascii="Arial" w:hAnsi="Arial" w:cs="Arial"/>
                <w:lang w:val="fr-FR"/>
              </w:rPr>
              <w:t xml:space="preserve"> </w:t>
            </w:r>
            <w:proofErr w:type="spellStart"/>
            <w:r w:rsidRPr="002A130C">
              <w:rPr>
                <w:rFonts w:ascii="Arial" w:hAnsi="Arial" w:cs="Arial"/>
                <w:lang w:val="fr-FR"/>
              </w:rPr>
              <w:t>lighting</w:t>
            </w:r>
            <w:proofErr w:type="spellEnd"/>
          </w:p>
        </w:tc>
        <w:tc>
          <w:tcPr>
            <w:tcW w:w="4536" w:type="dxa"/>
          </w:tcPr>
          <w:p w14:paraId="1567C533" w14:textId="77777777" w:rsidR="002C363C" w:rsidRPr="002C363C" w:rsidRDefault="002C363C" w:rsidP="002C363C">
            <w:pPr>
              <w:pStyle w:val="Body"/>
              <w:cnfStyle w:val="100000000000" w:firstRow="1" w:lastRow="0" w:firstColumn="0" w:lastColumn="0" w:oddVBand="0" w:evenVBand="0" w:oddHBand="0" w:evenHBand="0" w:firstRowFirstColumn="0" w:firstRowLastColumn="0" w:lastRowFirstColumn="0" w:lastRowLastColumn="0"/>
              <w:rPr>
                <w:rFonts w:ascii="Arial" w:hAnsi="Arial" w:cs="Arial"/>
                <w:lang w:val="fr-FR"/>
              </w:rPr>
            </w:pPr>
            <w:r w:rsidRPr="002C363C">
              <w:rPr>
                <w:rFonts w:ascii="Arial" w:hAnsi="Arial" w:cs="Arial"/>
                <w:noProof/>
                <w:lang w:val="fr-FR" w:eastAsia="fr-FR"/>
              </w:rPr>
              <w:drawing>
                <wp:inline distT="0" distB="0" distL="0" distR="0" wp14:anchorId="66B83DC6" wp14:editId="1D8B526A">
                  <wp:extent cx="2520000" cy="2340000"/>
                  <wp:effectExtent l="0" t="0" r="13970" b="3175"/>
                  <wp:docPr id="18" name="Graphique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904FD29" w14:textId="77777777" w:rsidR="002C363C" w:rsidRPr="002A130C" w:rsidRDefault="002C363C" w:rsidP="002A130C">
            <w:pPr>
              <w:jc w:val="both"/>
              <w:cnfStyle w:val="100000000000" w:firstRow="1" w:lastRow="0" w:firstColumn="0" w:lastColumn="0" w:oddVBand="0" w:evenVBand="0" w:oddHBand="0" w:evenHBand="0" w:firstRowFirstColumn="0" w:firstRowLastColumn="0" w:lastRowFirstColumn="0" w:lastRowLastColumn="0"/>
              <w:rPr>
                <w:rFonts w:ascii="Arial" w:hAnsi="Arial" w:cs="Arial"/>
                <w:lang w:val="fr-FR"/>
              </w:rPr>
            </w:pPr>
            <w:r w:rsidRPr="002A130C">
              <w:rPr>
                <w:rFonts w:ascii="Arial" w:hAnsi="Arial" w:cs="Arial"/>
                <w:lang w:val="fr-FR"/>
              </w:rPr>
              <w:t xml:space="preserve">Figure </w:t>
            </w:r>
            <w:r w:rsidRPr="002A130C">
              <w:rPr>
                <w:rFonts w:ascii="Arial" w:hAnsi="Arial" w:cs="Arial"/>
                <w:lang w:val="fr-FR"/>
              </w:rPr>
              <w:fldChar w:fldCharType="begin"/>
            </w:r>
            <w:r w:rsidRPr="002A130C">
              <w:rPr>
                <w:rFonts w:ascii="Arial" w:hAnsi="Arial" w:cs="Arial"/>
                <w:lang w:val="fr-FR"/>
              </w:rPr>
              <w:instrText xml:space="preserve"> SEQ Figure \* ARABIC </w:instrText>
            </w:r>
            <w:r w:rsidRPr="002A130C">
              <w:rPr>
                <w:rFonts w:ascii="Arial" w:hAnsi="Arial" w:cs="Arial"/>
                <w:lang w:val="fr-FR"/>
              </w:rPr>
              <w:fldChar w:fldCharType="separate"/>
            </w:r>
            <w:r w:rsidRPr="002A130C">
              <w:rPr>
                <w:rFonts w:ascii="Arial" w:hAnsi="Arial" w:cs="Arial"/>
                <w:lang w:val="fr-FR"/>
              </w:rPr>
              <w:t>6</w:t>
            </w:r>
            <w:r w:rsidRPr="002A130C">
              <w:rPr>
                <w:rFonts w:ascii="Arial" w:hAnsi="Arial" w:cs="Arial"/>
              </w:rPr>
              <w:fldChar w:fldCharType="end"/>
            </w:r>
            <w:r w:rsidRPr="002A130C">
              <w:rPr>
                <w:rFonts w:ascii="Arial" w:hAnsi="Arial" w:cs="Arial"/>
                <w:lang w:val="fr-FR"/>
              </w:rPr>
              <w:t xml:space="preserve"> </w:t>
            </w:r>
            <w:proofErr w:type="spellStart"/>
            <w:r w:rsidRPr="002A130C">
              <w:rPr>
                <w:rFonts w:ascii="Arial" w:hAnsi="Arial" w:cs="Arial"/>
                <w:lang w:val="fr-FR"/>
              </w:rPr>
              <w:t>Overall</w:t>
            </w:r>
            <w:proofErr w:type="spellEnd"/>
            <w:r w:rsidRPr="002A130C">
              <w:rPr>
                <w:rFonts w:ascii="Arial" w:hAnsi="Arial" w:cs="Arial"/>
                <w:lang w:val="fr-FR"/>
              </w:rPr>
              <w:t xml:space="preserve"> </w:t>
            </w:r>
            <w:proofErr w:type="spellStart"/>
            <w:r w:rsidRPr="002A130C">
              <w:rPr>
                <w:rFonts w:ascii="Arial" w:hAnsi="Arial" w:cs="Arial"/>
                <w:lang w:val="fr-FR"/>
              </w:rPr>
              <w:t>energy</w:t>
            </w:r>
            <w:proofErr w:type="spellEnd"/>
            <w:r w:rsidRPr="002A130C">
              <w:rPr>
                <w:rFonts w:ascii="Arial" w:hAnsi="Arial" w:cs="Arial"/>
                <w:lang w:val="fr-FR"/>
              </w:rPr>
              <w:t xml:space="preserve"> </w:t>
            </w:r>
            <w:proofErr w:type="spellStart"/>
            <w:r w:rsidRPr="002A130C">
              <w:rPr>
                <w:rFonts w:ascii="Arial" w:hAnsi="Arial" w:cs="Arial"/>
                <w:lang w:val="fr-FR"/>
              </w:rPr>
              <w:t>efficiency</w:t>
            </w:r>
            <w:proofErr w:type="spellEnd"/>
            <w:r w:rsidRPr="002A130C">
              <w:rPr>
                <w:rFonts w:ascii="Arial" w:hAnsi="Arial" w:cs="Arial"/>
                <w:lang w:val="fr-FR"/>
              </w:rPr>
              <w:t xml:space="preserve"> </w:t>
            </w:r>
            <w:proofErr w:type="spellStart"/>
            <w:r w:rsidRPr="002A130C">
              <w:rPr>
                <w:rFonts w:ascii="Arial" w:hAnsi="Arial" w:cs="Arial"/>
                <w:lang w:val="fr-FR"/>
              </w:rPr>
              <w:t>potential</w:t>
            </w:r>
            <w:proofErr w:type="spellEnd"/>
            <w:r w:rsidRPr="002A130C">
              <w:rPr>
                <w:rFonts w:ascii="Arial" w:hAnsi="Arial" w:cs="Arial"/>
                <w:lang w:val="fr-FR"/>
              </w:rPr>
              <w:t xml:space="preserve"> in </w:t>
            </w:r>
            <w:proofErr w:type="spellStart"/>
            <w:r w:rsidRPr="002A130C">
              <w:rPr>
                <w:rFonts w:ascii="Arial" w:hAnsi="Arial" w:cs="Arial"/>
                <w:lang w:val="fr-FR"/>
              </w:rPr>
              <w:t>bedroom</w:t>
            </w:r>
            <w:proofErr w:type="spellEnd"/>
            <w:r w:rsidRPr="002A130C">
              <w:rPr>
                <w:rFonts w:ascii="Arial" w:hAnsi="Arial" w:cs="Arial"/>
                <w:lang w:val="fr-FR"/>
              </w:rPr>
              <w:t xml:space="preserve"> </w:t>
            </w:r>
            <w:proofErr w:type="spellStart"/>
            <w:r w:rsidRPr="002A130C">
              <w:rPr>
                <w:rFonts w:ascii="Arial" w:hAnsi="Arial" w:cs="Arial"/>
                <w:lang w:val="fr-FR"/>
              </w:rPr>
              <w:t>lighting</w:t>
            </w:r>
            <w:proofErr w:type="spellEnd"/>
          </w:p>
        </w:tc>
      </w:tr>
    </w:tbl>
    <w:p w14:paraId="720554D4" w14:textId="77777777" w:rsidR="002C363C" w:rsidRDefault="002C363C" w:rsidP="002C363C">
      <w:pPr>
        <w:pStyle w:val="Body"/>
        <w:rPr>
          <w:rFonts w:ascii="Arial" w:hAnsi="Arial" w:cs="Arial"/>
        </w:rPr>
      </w:pPr>
    </w:p>
    <w:p w14:paraId="445B509D" w14:textId="77777777" w:rsidR="00C722C7" w:rsidRDefault="00C722C7" w:rsidP="00C722C7">
      <w:pPr>
        <w:keepNext/>
        <w:spacing w:after="120" w:line="276" w:lineRule="auto"/>
        <w:jc w:val="center"/>
      </w:pPr>
      <w:r>
        <w:rPr>
          <w:noProof/>
          <w:lang w:val="fr-FR" w:eastAsia="fr-FR"/>
        </w:rPr>
        <w:drawing>
          <wp:inline distT="0" distB="0" distL="0" distR="0" wp14:anchorId="25F9556F" wp14:editId="58ACA07B">
            <wp:extent cx="3600000" cy="2340000"/>
            <wp:effectExtent l="0" t="0" r="635" b="3175"/>
            <wp:docPr id="15" name="Graphique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E308207" w14:textId="77777777" w:rsidR="00C722C7" w:rsidRPr="00C722C7" w:rsidRDefault="00C722C7" w:rsidP="00C722C7">
      <w:pPr>
        <w:jc w:val="both"/>
        <w:rPr>
          <w:rFonts w:ascii="Arial" w:hAnsi="Arial" w:cs="Arial"/>
          <w:b/>
          <w:i/>
          <w:sz w:val="22"/>
        </w:rPr>
      </w:pPr>
      <w:r w:rsidRPr="00C722C7">
        <w:rPr>
          <w:rFonts w:ascii="Arial" w:hAnsi="Arial" w:cs="Arial"/>
          <w:b/>
        </w:rPr>
        <w:t xml:space="preserve">Figure </w:t>
      </w:r>
      <w:r w:rsidRPr="00C722C7">
        <w:rPr>
          <w:rFonts w:ascii="Arial" w:hAnsi="Arial" w:cs="Arial"/>
          <w:b/>
          <w:i/>
        </w:rPr>
        <w:fldChar w:fldCharType="begin"/>
      </w:r>
      <w:r w:rsidRPr="00C722C7">
        <w:rPr>
          <w:rFonts w:ascii="Arial" w:hAnsi="Arial" w:cs="Arial"/>
          <w:b/>
        </w:rPr>
        <w:instrText xml:space="preserve"> SEQ Figure \* ARABIC </w:instrText>
      </w:r>
      <w:r w:rsidRPr="00C722C7">
        <w:rPr>
          <w:rFonts w:ascii="Arial" w:hAnsi="Arial" w:cs="Arial"/>
          <w:b/>
          <w:i/>
        </w:rPr>
        <w:fldChar w:fldCharType="separate"/>
      </w:r>
      <w:r w:rsidRPr="00C722C7">
        <w:rPr>
          <w:rFonts w:ascii="Arial" w:hAnsi="Arial" w:cs="Arial"/>
          <w:b/>
          <w:noProof/>
        </w:rPr>
        <w:t>7</w:t>
      </w:r>
      <w:r w:rsidRPr="00C722C7">
        <w:rPr>
          <w:rFonts w:ascii="Arial" w:hAnsi="Arial" w:cs="Arial"/>
          <w:b/>
          <w:i/>
        </w:rPr>
        <w:fldChar w:fldCharType="end"/>
      </w:r>
      <w:r w:rsidRPr="00C722C7">
        <w:rPr>
          <w:rFonts w:ascii="Arial" w:hAnsi="Arial" w:cs="Arial"/>
          <w:b/>
        </w:rPr>
        <w:t xml:space="preserve"> Proportion of energy savings according to each energy efficiency action (EC)</w:t>
      </w:r>
    </w:p>
    <w:p w14:paraId="7E85EBEE" w14:textId="77777777" w:rsidR="00C722C7" w:rsidRDefault="00C722C7" w:rsidP="002C363C">
      <w:pPr>
        <w:pStyle w:val="Body"/>
        <w:rPr>
          <w:rFonts w:ascii="Arial" w:hAnsi="Arial" w:cs="Arial"/>
        </w:rPr>
      </w:pPr>
    </w:p>
    <w:p w14:paraId="08BAFC30" w14:textId="2688866E" w:rsidR="009933C3" w:rsidRPr="009933C3" w:rsidRDefault="007F23C3" w:rsidP="009933C3">
      <w:pPr>
        <w:pStyle w:val="Body"/>
        <w:rPr>
          <w:rFonts w:ascii="Arial" w:hAnsi="Arial" w:cs="Arial"/>
          <w:b/>
        </w:rPr>
      </w:pPr>
      <w:r>
        <w:rPr>
          <w:rFonts w:ascii="Arial" w:hAnsi="Arial" w:cs="Arial"/>
          <w:b/>
        </w:rPr>
        <w:t xml:space="preserve">3.3. </w:t>
      </w:r>
      <w:r w:rsidR="009933C3" w:rsidRPr="009933C3">
        <w:rPr>
          <w:rFonts w:ascii="Arial" w:hAnsi="Arial" w:cs="Arial"/>
          <w:b/>
        </w:rPr>
        <w:t>Energy Efficiency Potential in Toilets</w:t>
      </w:r>
    </w:p>
    <w:p w14:paraId="678F72C0" w14:textId="086974D0" w:rsidR="009933C3" w:rsidRDefault="009933C3" w:rsidP="009933C3">
      <w:pPr>
        <w:pStyle w:val="Body"/>
        <w:rPr>
          <w:rFonts w:ascii="Arial" w:hAnsi="Arial" w:cs="Arial"/>
        </w:rPr>
      </w:pPr>
      <w:r w:rsidRPr="009933C3">
        <w:rPr>
          <w:rFonts w:ascii="Arial" w:hAnsi="Arial" w:cs="Arial"/>
        </w:rPr>
        <w:t>Figures 8, 9, and 10 show the energy saving potentials in toilets.</w:t>
      </w:r>
    </w:p>
    <w:p w14:paraId="717341C7" w14:textId="77777777" w:rsidR="009933C3" w:rsidRPr="009933C3" w:rsidRDefault="009933C3" w:rsidP="009933C3">
      <w:pPr>
        <w:pStyle w:val="Body"/>
        <w:rPr>
          <w:rFonts w:ascii="Arial" w:hAnsi="Arial" w:cs="Arial"/>
        </w:rPr>
      </w:pPr>
      <w:r w:rsidRPr="009933C3">
        <w:rPr>
          <w:rFonts w:ascii="Arial" w:hAnsi="Arial" w:cs="Arial"/>
        </w:rPr>
        <w:t>The overall potential in the field of toilet lighting over the three surveys amounts to 610.9745 kWh, corresponding to 59.15% of the total lamp consumption in toilets.</w:t>
      </w:r>
    </w:p>
    <w:p w14:paraId="334E0243" w14:textId="6DAF550B" w:rsidR="009933C3" w:rsidRDefault="009933C3" w:rsidP="009933C3">
      <w:pPr>
        <w:pStyle w:val="Body"/>
        <w:rPr>
          <w:rFonts w:ascii="Arial" w:hAnsi="Arial" w:cs="Arial"/>
        </w:rPr>
      </w:pPr>
      <w:r w:rsidRPr="009933C3">
        <w:rPr>
          <w:rFonts w:ascii="Arial" w:hAnsi="Arial" w:cs="Arial"/>
        </w:rPr>
        <w:t xml:space="preserve">These results reveal that the choice of lamp power ratings is not correlated with the floor area of the toilets nor with the actual use of these spaces. Indeed, the light bulb is often left on unnecessarily (EC1: energy efficiency potential representing 21.15%), and the lamps used are generally too powerful for intermittent use (EC4: energy efficiency potential representing 38.01%). Action EC4 shows the highest energy saving potential, accounting for 64% of the </w:t>
      </w:r>
      <w:r w:rsidRPr="009933C3">
        <w:rPr>
          <w:rFonts w:ascii="Arial" w:hAnsi="Arial" w:cs="Arial"/>
        </w:rPr>
        <w:lastRenderedPageBreak/>
        <w:t>total savings related to toilet lighting. This therefore highlights a latent energy waste in intermittently used spaces. The installation of motion sensors or timers, combined with a reduction in lamp power ratings, would make it possible to effectively correct this drift.</w:t>
      </w:r>
    </w:p>
    <w:tbl>
      <w:tblPr>
        <w:tblStyle w:val="PlainTable4"/>
        <w:tblW w:w="0" w:type="auto"/>
        <w:tblCellMar>
          <w:left w:w="70" w:type="dxa"/>
          <w:right w:w="70" w:type="dxa"/>
        </w:tblCellMar>
        <w:tblLook w:val="04A0" w:firstRow="1" w:lastRow="0" w:firstColumn="1" w:lastColumn="0" w:noHBand="0" w:noVBand="1"/>
      </w:tblPr>
      <w:tblGrid>
        <w:gridCol w:w="4104"/>
        <w:gridCol w:w="4104"/>
      </w:tblGrid>
      <w:tr w:rsidR="007F4DAF" w:rsidRPr="007F4DAF" w14:paraId="25F94732"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0" w:type="dxa"/>
          </w:tcPr>
          <w:p w14:paraId="4399D15B" w14:textId="77777777" w:rsidR="007F4DAF" w:rsidRPr="007F4DAF" w:rsidRDefault="007F4DAF" w:rsidP="007F4DAF">
            <w:pPr>
              <w:pStyle w:val="Body"/>
              <w:rPr>
                <w:rFonts w:ascii="Arial" w:hAnsi="Arial" w:cs="Arial"/>
                <w:lang w:val="fr-FR"/>
              </w:rPr>
            </w:pPr>
            <w:r w:rsidRPr="007F4DAF">
              <w:rPr>
                <w:rFonts w:ascii="Arial" w:hAnsi="Arial" w:cs="Arial"/>
                <w:noProof/>
                <w:lang w:val="fr-FR" w:eastAsia="fr-FR"/>
              </w:rPr>
              <w:drawing>
                <wp:inline distT="0" distB="0" distL="0" distR="0" wp14:anchorId="672D1DD5" wp14:editId="0A3B933A">
                  <wp:extent cx="2520000" cy="2340000"/>
                  <wp:effectExtent l="0" t="0" r="13970" b="3175"/>
                  <wp:docPr id="21" name="Graphique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F01738F" w14:textId="77777777" w:rsidR="007F4DAF" w:rsidRPr="007F4DAF" w:rsidRDefault="007F4DAF" w:rsidP="007F4DAF">
            <w:pPr>
              <w:jc w:val="both"/>
              <w:rPr>
                <w:rFonts w:ascii="Arial" w:hAnsi="Arial" w:cs="Arial"/>
                <w:lang w:val="fr-FR"/>
              </w:rPr>
            </w:pPr>
            <w:r w:rsidRPr="007F4DAF">
              <w:rPr>
                <w:rFonts w:ascii="Arial" w:hAnsi="Arial" w:cs="Arial"/>
                <w:lang w:val="fr-FR"/>
              </w:rPr>
              <w:t xml:space="preserve">Figure </w:t>
            </w:r>
            <w:r w:rsidRPr="007F4DAF">
              <w:rPr>
                <w:rFonts w:ascii="Arial" w:hAnsi="Arial" w:cs="Arial"/>
                <w:lang w:val="fr-FR"/>
              </w:rPr>
              <w:fldChar w:fldCharType="begin"/>
            </w:r>
            <w:r w:rsidRPr="007F4DAF">
              <w:rPr>
                <w:rFonts w:ascii="Arial" w:hAnsi="Arial" w:cs="Arial"/>
                <w:lang w:val="fr-FR"/>
              </w:rPr>
              <w:instrText xml:space="preserve"> SEQ Figure \* ARABIC </w:instrText>
            </w:r>
            <w:r w:rsidRPr="007F4DAF">
              <w:rPr>
                <w:rFonts w:ascii="Arial" w:hAnsi="Arial" w:cs="Arial"/>
                <w:lang w:val="fr-FR"/>
              </w:rPr>
              <w:fldChar w:fldCharType="separate"/>
            </w:r>
            <w:r w:rsidRPr="007F4DAF">
              <w:rPr>
                <w:rFonts w:ascii="Arial" w:hAnsi="Arial" w:cs="Arial"/>
                <w:lang w:val="fr-FR"/>
              </w:rPr>
              <w:t>8</w:t>
            </w:r>
            <w:r w:rsidRPr="007F4DAF">
              <w:rPr>
                <w:rFonts w:ascii="Arial" w:hAnsi="Arial" w:cs="Arial"/>
              </w:rPr>
              <w:fldChar w:fldCharType="end"/>
            </w:r>
            <w:r w:rsidRPr="007F4DAF">
              <w:rPr>
                <w:rFonts w:ascii="Arial" w:hAnsi="Arial" w:cs="Arial"/>
                <w:lang w:val="fr-FR"/>
              </w:rPr>
              <w:t xml:space="preserve"> </w:t>
            </w:r>
            <w:proofErr w:type="spellStart"/>
            <w:r w:rsidRPr="007F4DAF">
              <w:rPr>
                <w:rFonts w:ascii="Arial" w:hAnsi="Arial" w:cs="Arial"/>
                <w:lang w:val="fr-FR"/>
              </w:rPr>
              <w:t>Annual</w:t>
            </w:r>
            <w:proofErr w:type="spellEnd"/>
            <w:r w:rsidRPr="007F4DAF">
              <w:rPr>
                <w:rFonts w:ascii="Arial" w:hAnsi="Arial" w:cs="Arial"/>
                <w:lang w:val="fr-FR"/>
              </w:rPr>
              <w:t xml:space="preserve"> Energy </w:t>
            </w:r>
            <w:proofErr w:type="spellStart"/>
            <w:r w:rsidRPr="007F4DAF">
              <w:rPr>
                <w:rFonts w:ascii="Arial" w:hAnsi="Arial" w:cs="Arial"/>
                <w:lang w:val="fr-FR"/>
              </w:rPr>
              <w:t>saving</w:t>
            </w:r>
            <w:proofErr w:type="spellEnd"/>
            <w:r w:rsidRPr="007F4DAF">
              <w:rPr>
                <w:rFonts w:ascii="Arial" w:hAnsi="Arial" w:cs="Arial"/>
                <w:lang w:val="fr-FR"/>
              </w:rPr>
              <w:t xml:space="preserve"> </w:t>
            </w:r>
            <w:proofErr w:type="spellStart"/>
            <w:r w:rsidRPr="007F4DAF">
              <w:rPr>
                <w:rFonts w:ascii="Arial" w:hAnsi="Arial" w:cs="Arial"/>
                <w:lang w:val="fr-FR"/>
              </w:rPr>
              <w:t>potential</w:t>
            </w:r>
            <w:proofErr w:type="spellEnd"/>
            <w:r w:rsidRPr="007F4DAF">
              <w:rPr>
                <w:rFonts w:ascii="Arial" w:hAnsi="Arial" w:cs="Arial"/>
                <w:lang w:val="fr-FR"/>
              </w:rPr>
              <w:t xml:space="preserve"> in </w:t>
            </w:r>
            <w:proofErr w:type="spellStart"/>
            <w:r w:rsidRPr="007F4DAF">
              <w:rPr>
                <w:rFonts w:ascii="Arial" w:hAnsi="Arial" w:cs="Arial"/>
                <w:lang w:val="fr-FR"/>
              </w:rPr>
              <w:t>toilet</w:t>
            </w:r>
            <w:proofErr w:type="spellEnd"/>
            <w:r w:rsidRPr="007F4DAF">
              <w:rPr>
                <w:rFonts w:ascii="Arial" w:hAnsi="Arial" w:cs="Arial"/>
                <w:lang w:val="fr-FR"/>
              </w:rPr>
              <w:t xml:space="preserve"> </w:t>
            </w:r>
            <w:proofErr w:type="spellStart"/>
            <w:r w:rsidRPr="007F4DAF">
              <w:rPr>
                <w:rFonts w:ascii="Arial" w:hAnsi="Arial" w:cs="Arial"/>
                <w:lang w:val="fr-FR"/>
              </w:rPr>
              <w:t>lighting</w:t>
            </w:r>
            <w:proofErr w:type="spellEnd"/>
          </w:p>
        </w:tc>
        <w:tc>
          <w:tcPr>
            <w:tcW w:w="4552" w:type="dxa"/>
          </w:tcPr>
          <w:p w14:paraId="75BB3D8A" w14:textId="77777777" w:rsidR="007F4DAF" w:rsidRPr="007F4DAF" w:rsidRDefault="007F4DAF" w:rsidP="007F4DAF">
            <w:pPr>
              <w:pStyle w:val="Body"/>
              <w:cnfStyle w:val="100000000000" w:firstRow="1" w:lastRow="0" w:firstColumn="0" w:lastColumn="0" w:oddVBand="0" w:evenVBand="0" w:oddHBand="0" w:evenHBand="0" w:firstRowFirstColumn="0" w:firstRowLastColumn="0" w:lastRowFirstColumn="0" w:lastRowLastColumn="0"/>
              <w:rPr>
                <w:rFonts w:ascii="Arial" w:hAnsi="Arial" w:cs="Arial"/>
                <w:lang w:val="fr-FR"/>
              </w:rPr>
            </w:pPr>
            <w:r w:rsidRPr="007F4DAF">
              <w:rPr>
                <w:rFonts w:ascii="Arial" w:hAnsi="Arial" w:cs="Arial"/>
                <w:noProof/>
                <w:lang w:val="fr-FR" w:eastAsia="fr-FR"/>
              </w:rPr>
              <w:drawing>
                <wp:inline distT="0" distB="0" distL="0" distR="0" wp14:anchorId="14E13B35" wp14:editId="32B1F158">
                  <wp:extent cx="2520000" cy="2340000"/>
                  <wp:effectExtent l="0" t="0" r="13970" b="3175"/>
                  <wp:docPr id="26" name="Graphique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B34DC6F" w14:textId="77777777" w:rsidR="007F4DAF" w:rsidRPr="007F4DAF" w:rsidRDefault="007F4DAF" w:rsidP="007F4DAF">
            <w:pPr>
              <w:jc w:val="both"/>
              <w:cnfStyle w:val="100000000000" w:firstRow="1" w:lastRow="0" w:firstColumn="0" w:lastColumn="0" w:oddVBand="0" w:evenVBand="0" w:oddHBand="0" w:evenHBand="0" w:firstRowFirstColumn="0" w:firstRowLastColumn="0" w:lastRowFirstColumn="0" w:lastRowLastColumn="0"/>
              <w:rPr>
                <w:rFonts w:ascii="Arial" w:hAnsi="Arial" w:cs="Arial"/>
                <w:lang w:val="fr-FR"/>
              </w:rPr>
            </w:pPr>
            <w:r w:rsidRPr="007F4DAF">
              <w:rPr>
                <w:rFonts w:ascii="Arial" w:hAnsi="Arial" w:cs="Arial"/>
                <w:lang w:val="fr-FR"/>
              </w:rPr>
              <w:t xml:space="preserve">Figure </w:t>
            </w:r>
            <w:r w:rsidRPr="007F4DAF">
              <w:rPr>
                <w:rFonts w:ascii="Arial" w:hAnsi="Arial" w:cs="Arial"/>
                <w:lang w:val="fr-FR"/>
              </w:rPr>
              <w:fldChar w:fldCharType="begin"/>
            </w:r>
            <w:r w:rsidRPr="007F4DAF">
              <w:rPr>
                <w:rFonts w:ascii="Arial" w:hAnsi="Arial" w:cs="Arial"/>
                <w:lang w:val="fr-FR"/>
              </w:rPr>
              <w:instrText xml:space="preserve"> SEQ Figure \* ARABIC </w:instrText>
            </w:r>
            <w:r w:rsidRPr="007F4DAF">
              <w:rPr>
                <w:rFonts w:ascii="Arial" w:hAnsi="Arial" w:cs="Arial"/>
                <w:lang w:val="fr-FR"/>
              </w:rPr>
              <w:fldChar w:fldCharType="separate"/>
            </w:r>
            <w:r w:rsidRPr="007F4DAF">
              <w:rPr>
                <w:rFonts w:ascii="Arial" w:hAnsi="Arial" w:cs="Arial"/>
                <w:lang w:val="fr-FR"/>
              </w:rPr>
              <w:t>9</w:t>
            </w:r>
            <w:r w:rsidRPr="007F4DAF">
              <w:rPr>
                <w:rFonts w:ascii="Arial" w:hAnsi="Arial" w:cs="Arial"/>
              </w:rPr>
              <w:fldChar w:fldCharType="end"/>
            </w:r>
            <w:r w:rsidRPr="007F4DAF">
              <w:rPr>
                <w:rFonts w:ascii="Arial" w:hAnsi="Arial" w:cs="Arial"/>
                <w:lang w:val="fr-FR"/>
              </w:rPr>
              <w:t xml:space="preserve"> Proportion of </w:t>
            </w:r>
            <w:proofErr w:type="spellStart"/>
            <w:r w:rsidRPr="007F4DAF">
              <w:rPr>
                <w:rFonts w:ascii="Arial" w:hAnsi="Arial" w:cs="Arial"/>
                <w:lang w:val="fr-FR"/>
              </w:rPr>
              <w:t>energy</w:t>
            </w:r>
            <w:proofErr w:type="spellEnd"/>
            <w:r w:rsidRPr="007F4DAF">
              <w:rPr>
                <w:rFonts w:ascii="Arial" w:hAnsi="Arial" w:cs="Arial"/>
                <w:lang w:val="fr-FR"/>
              </w:rPr>
              <w:t xml:space="preserve"> </w:t>
            </w:r>
            <w:proofErr w:type="spellStart"/>
            <w:r w:rsidRPr="007F4DAF">
              <w:rPr>
                <w:rFonts w:ascii="Arial" w:hAnsi="Arial" w:cs="Arial"/>
                <w:lang w:val="fr-FR"/>
              </w:rPr>
              <w:t>savings</w:t>
            </w:r>
            <w:proofErr w:type="spellEnd"/>
            <w:r w:rsidRPr="007F4DAF">
              <w:rPr>
                <w:rFonts w:ascii="Arial" w:hAnsi="Arial" w:cs="Arial"/>
                <w:lang w:val="fr-FR"/>
              </w:rPr>
              <w:t xml:space="preserve"> by EC action</w:t>
            </w:r>
          </w:p>
        </w:tc>
      </w:tr>
    </w:tbl>
    <w:p w14:paraId="3F6C6F00" w14:textId="77777777" w:rsidR="00A07F82" w:rsidRDefault="00A07F82" w:rsidP="009933C3">
      <w:pPr>
        <w:pStyle w:val="Body"/>
        <w:rPr>
          <w:rFonts w:ascii="Arial" w:hAnsi="Arial" w:cs="Arial"/>
        </w:rPr>
      </w:pPr>
    </w:p>
    <w:p w14:paraId="79D1A2C2" w14:textId="77777777" w:rsidR="00A07F82" w:rsidRPr="00A07F82" w:rsidRDefault="00A07F82" w:rsidP="00A07F82">
      <w:pPr>
        <w:pStyle w:val="Body"/>
        <w:rPr>
          <w:rFonts w:ascii="Arial" w:hAnsi="Arial" w:cs="Arial"/>
          <w:lang w:val="fr-FR"/>
        </w:rPr>
      </w:pPr>
      <w:r w:rsidRPr="00A07F82">
        <w:rPr>
          <w:rFonts w:ascii="Arial" w:hAnsi="Arial" w:cs="Arial"/>
          <w:noProof/>
          <w:lang w:val="fr-FR" w:eastAsia="fr-FR"/>
        </w:rPr>
        <w:drawing>
          <wp:inline distT="0" distB="0" distL="0" distR="0" wp14:anchorId="7FB267F0" wp14:editId="25D0FA0A">
            <wp:extent cx="4644000" cy="2340000"/>
            <wp:effectExtent l="0" t="0" r="4445" b="3175"/>
            <wp:docPr id="30" name="Graphique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A5DE8A1" w14:textId="77777777" w:rsidR="00A07F82" w:rsidRPr="00A07F82" w:rsidRDefault="00A07F82" w:rsidP="00A07F82">
      <w:pPr>
        <w:jc w:val="both"/>
        <w:rPr>
          <w:rFonts w:ascii="Arial" w:hAnsi="Arial" w:cs="Arial"/>
          <w:b/>
          <w:lang w:val="fr-FR"/>
        </w:rPr>
      </w:pPr>
      <w:r w:rsidRPr="00A07F82">
        <w:rPr>
          <w:rFonts w:ascii="Arial" w:hAnsi="Arial" w:cs="Arial"/>
          <w:b/>
          <w:lang w:val="fr-FR"/>
        </w:rPr>
        <w:t xml:space="preserve">Figure </w:t>
      </w:r>
      <w:r w:rsidRPr="00A07F82">
        <w:rPr>
          <w:rFonts w:ascii="Arial" w:hAnsi="Arial" w:cs="Arial"/>
          <w:b/>
          <w:lang w:val="fr-FR"/>
        </w:rPr>
        <w:fldChar w:fldCharType="begin"/>
      </w:r>
      <w:r w:rsidRPr="00A07F82">
        <w:rPr>
          <w:rFonts w:ascii="Arial" w:hAnsi="Arial" w:cs="Arial"/>
          <w:b/>
          <w:lang w:val="fr-FR"/>
        </w:rPr>
        <w:instrText xml:space="preserve"> SEQ Figure \* ARABIC </w:instrText>
      </w:r>
      <w:r w:rsidRPr="00A07F82">
        <w:rPr>
          <w:rFonts w:ascii="Arial" w:hAnsi="Arial" w:cs="Arial"/>
          <w:b/>
          <w:lang w:val="fr-FR"/>
        </w:rPr>
        <w:fldChar w:fldCharType="separate"/>
      </w:r>
      <w:r w:rsidRPr="00A07F82">
        <w:rPr>
          <w:rFonts w:ascii="Arial" w:hAnsi="Arial" w:cs="Arial"/>
          <w:b/>
          <w:lang w:val="fr-FR"/>
        </w:rPr>
        <w:t>10</w:t>
      </w:r>
      <w:r w:rsidRPr="00A07F82">
        <w:rPr>
          <w:rFonts w:ascii="Arial" w:hAnsi="Arial" w:cs="Arial"/>
          <w:b/>
        </w:rPr>
        <w:fldChar w:fldCharType="end"/>
      </w:r>
      <w:r w:rsidRPr="00A07F82">
        <w:rPr>
          <w:rFonts w:ascii="Arial" w:hAnsi="Arial" w:cs="Arial"/>
          <w:b/>
          <w:lang w:val="fr-FR"/>
        </w:rPr>
        <w:t xml:space="preserve"> </w:t>
      </w:r>
      <w:proofErr w:type="spellStart"/>
      <w:r w:rsidRPr="00A07F82">
        <w:rPr>
          <w:rFonts w:ascii="Arial" w:hAnsi="Arial" w:cs="Arial"/>
          <w:b/>
          <w:lang w:val="fr-FR"/>
        </w:rPr>
        <w:t>Overall</w:t>
      </w:r>
      <w:proofErr w:type="spellEnd"/>
      <w:r w:rsidRPr="00A07F82">
        <w:rPr>
          <w:rFonts w:ascii="Arial" w:hAnsi="Arial" w:cs="Arial"/>
          <w:b/>
          <w:lang w:val="fr-FR"/>
        </w:rPr>
        <w:t xml:space="preserve"> Energy </w:t>
      </w:r>
      <w:proofErr w:type="spellStart"/>
      <w:r w:rsidRPr="00A07F82">
        <w:rPr>
          <w:rFonts w:ascii="Arial" w:hAnsi="Arial" w:cs="Arial"/>
          <w:b/>
          <w:lang w:val="fr-FR"/>
        </w:rPr>
        <w:t>Efficiency</w:t>
      </w:r>
      <w:proofErr w:type="spellEnd"/>
      <w:r w:rsidRPr="00A07F82">
        <w:rPr>
          <w:rFonts w:ascii="Arial" w:hAnsi="Arial" w:cs="Arial"/>
          <w:b/>
          <w:lang w:val="fr-FR"/>
        </w:rPr>
        <w:t xml:space="preserve"> </w:t>
      </w:r>
      <w:proofErr w:type="spellStart"/>
      <w:r w:rsidRPr="00A07F82">
        <w:rPr>
          <w:rFonts w:ascii="Arial" w:hAnsi="Arial" w:cs="Arial"/>
          <w:b/>
          <w:lang w:val="fr-FR"/>
        </w:rPr>
        <w:t>Potential</w:t>
      </w:r>
      <w:proofErr w:type="spellEnd"/>
      <w:r w:rsidRPr="00A07F82">
        <w:rPr>
          <w:rFonts w:ascii="Arial" w:hAnsi="Arial" w:cs="Arial"/>
          <w:b/>
          <w:lang w:val="fr-FR"/>
        </w:rPr>
        <w:t xml:space="preserve"> in </w:t>
      </w:r>
      <w:proofErr w:type="spellStart"/>
      <w:r w:rsidRPr="00A07F82">
        <w:rPr>
          <w:rFonts w:ascii="Arial" w:hAnsi="Arial" w:cs="Arial"/>
          <w:b/>
          <w:lang w:val="fr-FR"/>
        </w:rPr>
        <w:t>Toilet</w:t>
      </w:r>
      <w:proofErr w:type="spellEnd"/>
      <w:r w:rsidRPr="00A07F82">
        <w:rPr>
          <w:rFonts w:ascii="Arial" w:hAnsi="Arial" w:cs="Arial"/>
          <w:b/>
          <w:lang w:val="fr-FR"/>
        </w:rPr>
        <w:t xml:space="preserve"> </w:t>
      </w:r>
      <w:proofErr w:type="spellStart"/>
      <w:r w:rsidRPr="00A07F82">
        <w:rPr>
          <w:rFonts w:ascii="Arial" w:hAnsi="Arial" w:cs="Arial"/>
          <w:b/>
          <w:lang w:val="fr-FR"/>
        </w:rPr>
        <w:t>Lighting</w:t>
      </w:r>
      <w:proofErr w:type="spellEnd"/>
    </w:p>
    <w:p w14:paraId="68E5D16A" w14:textId="77777777" w:rsidR="00A07F82" w:rsidRDefault="00A07F82" w:rsidP="009933C3">
      <w:pPr>
        <w:pStyle w:val="Body"/>
        <w:rPr>
          <w:rFonts w:ascii="Arial" w:hAnsi="Arial" w:cs="Arial"/>
        </w:rPr>
      </w:pPr>
    </w:p>
    <w:p w14:paraId="61F9C6C3" w14:textId="21A62369" w:rsidR="007F23C3" w:rsidRPr="007F23C3" w:rsidRDefault="007F23C3" w:rsidP="007F23C3">
      <w:pPr>
        <w:pStyle w:val="Body"/>
        <w:rPr>
          <w:rFonts w:ascii="Arial" w:hAnsi="Arial" w:cs="Arial"/>
          <w:b/>
        </w:rPr>
      </w:pPr>
      <w:r>
        <w:rPr>
          <w:rFonts w:ascii="Arial" w:hAnsi="Arial" w:cs="Arial"/>
          <w:b/>
        </w:rPr>
        <w:t xml:space="preserve">3.4. </w:t>
      </w:r>
      <w:r w:rsidRPr="007F23C3">
        <w:rPr>
          <w:rFonts w:ascii="Arial" w:hAnsi="Arial" w:cs="Arial"/>
          <w:b/>
        </w:rPr>
        <w:t>Overall Energy Efficiency Potential in Residential Lighting</w:t>
      </w:r>
    </w:p>
    <w:p w14:paraId="1036B94F" w14:textId="464B058D" w:rsidR="007F23C3" w:rsidRDefault="007F23C3" w:rsidP="007F23C3">
      <w:pPr>
        <w:pStyle w:val="Body"/>
        <w:rPr>
          <w:rFonts w:ascii="Arial" w:hAnsi="Arial" w:cs="Arial"/>
        </w:rPr>
      </w:pPr>
      <w:r w:rsidRPr="007F23C3">
        <w:rPr>
          <w:rFonts w:ascii="Arial" w:hAnsi="Arial" w:cs="Arial"/>
        </w:rPr>
        <w:t>Figures 11, 12, 13, and 14 present the total number of lamps, their total power, and their total consumption in households.</w:t>
      </w:r>
    </w:p>
    <w:p w14:paraId="348FE49D" w14:textId="0C9E959B" w:rsidR="00FE7AB8" w:rsidRDefault="00FE7AB8" w:rsidP="007F23C3">
      <w:pPr>
        <w:pStyle w:val="Body"/>
        <w:rPr>
          <w:rFonts w:ascii="Arial" w:hAnsi="Arial" w:cs="Arial"/>
        </w:rPr>
      </w:pPr>
      <w:r w:rsidRPr="00FE7AB8">
        <w:rPr>
          <w:rFonts w:ascii="Arial" w:hAnsi="Arial" w:cs="Arial"/>
        </w:rPr>
        <w:t xml:space="preserve">The analysis of the data collected from households over the year reveals a total of 6,557 lamps installed in residential dwellings, distributed as shown in Figure 11. The largest numbers of lamps are found in rooms such as living rooms, bedrooms, and outdoor spaces. The total </w:t>
      </w:r>
      <w:r w:rsidRPr="00FE7AB8">
        <w:rPr>
          <w:rFonts w:ascii="Arial" w:hAnsi="Arial" w:cs="Arial"/>
        </w:rPr>
        <w:lastRenderedPageBreak/>
        <w:t>consumption of these lamps is estimated at 60,268.51 kWh and is distributed as shown in Figure 13. Outdoor lighting is the largest consumer, with a consumption of 21,302.37 kWh (i.e., 35% of total lamp consumption), followed by living rooms with a total consumption of 18,568.29 kWh (i.e., 31% of total consumption), and finally bedrooms with a consumption of about 15,343.24 kWh (i.e., 25% of consumption). Toilets and other rooms (kitchen, storage room, etc.) account for 9% of the total consumption due to lighting (Figure 14). These results show that lamp consumption in rooms depends on the use of each space.</w:t>
      </w:r>
    </w:p>
    <w:tbl>
      <w:tblPr>
        <w:tblStyle w:val="PlainTable4"/>
        <w:tblW w:w="0" w:type="auto"/>
        <w:tblCellMar>
          <w:left w:w="70" w:type="dxa"/>
          <w:right w:w="70" w:type="dxa"/>
        </w:tblCellMar>
        <w:tblLook w:val="04A0" w:firstRow="1" w:lastRow="0" w:firstColumn="1" w:lastColumn="0" w:noHBand="0" w:noVBand="1"/>
      </w:tblPr>
      <w:tblGrid>
        <w:gridCol w:w="4104"/>
        <w:gridCol w:w="4104"/>
      </w:tblGrid>
      <w:tr w:rsidR="00FE7AB8" w14:paraId="43B073B4"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0" w:type="dxa"/>
          </w:tcPr>
          <w:p w14:paraId="05E0F870" w14:textId="77777777" w:rsidR="00FE7AB8" w:rsidRDefault="00FE7AB8" w:rsidP="00D42D04">
            <w:pPr>
              <w:keepNext/>
              <w:spacing w:after="120"/>
              <w:jc w:val="both"/>
            </w:pPr>
            <w:r>
              <w:rPr>
                <w:noProof/>
                <w:lang w:val="fr-FR" w:eastAsia="fr-FR"/>
              </w:rPr>
              <w:drawing>
                <wp:inline distT="0" distB="0" distL="0" distR="0" wp14:anchorId="63538D31" wp14:editId="0E2EC296">
                  <wp:extent cx="2520000" cy="2340000"/>
                  <wp:effectExtent l="0" t="0" r="13970" b="3175"/>
                  <wp:docPr id="34" name="Graphique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2A7A134" w14:textId="77777777" w:rsidR="00FE7AB8" w:rsidRPr="00FE7AB8" w:rsidRDefault="00FE7AB8" w:rsidP="00FE7AB8">
            <w:pPr>
              <w:jc w:val="both"/>
              <w:rPr>
                <w:rFonts w:ascii="Arial" w:hAnsi="Arial" w:cs="Arial"/>
                <w:i/>
              </w:rPr>
            </w:pPr>
            <w:r w:rsidRPr="00FE7AB8">
              <w:rPr>
                <w:rFonts w:ascii="Arial" w:hAnsi="Arial" w:cs="Arial"/>
              </w:rPr>
              <w:t xml:space="preserve">Figure </w:t>
            </w:r>
            <w:r w:rsidRPr="00FE7AB8">
              <w:rPr>
                <w:rFonts w:ascii="Arial" w:hAnsi="Arial" w:cs="Arial"/>
                <w:i/>
              </w:rPr>
              <w:fldChar w:fldCharType="begin"/>
            </w:r>
            <w:r w:rsidRPr="00FE7AB8">
              <w:rPr>
                <w:rFonts w:ascii="Arial" w:hAnsi="Arial" w:cs="Arial"/>
              </w:rPr>
              <w:instrText xml:space="preserve"> SEQ Figure \* ARABIC </w:instrText>
            </w:r>
            <w:r w:rsidRPr="00FE7AB8">
              <w:rPr>
                <w:rFonts w:ascii="Arial" w:hAnsi="Arial" w:cs="Arial"/>
                <w:i/>
              </w:rPr>
              <w:fldChar w:fldCharType="separate"/>
            </w:r>
            <w:r w:rsidRPr="00FE7AB8">
              <w:rPr>
                <w:rFonts w:ascii="Arial" w:hAnsi="Arial" w:cs="Arial"/>
                <w:noProof/>
              </w:rPr>
              <w:t>11</w:t>
            </w:r>
            <w:r w:rsidRPr="00FE7AB8">
              <w:rPr>
                <w:rFonts w:ascii="Arial" w:hAnsi="Arial" w:cs="Arial"/>
                <w:i/>
              </w:rPr>
              <w:fldChar w:fldCharType="end"/>
            </w:r>
            <w:r w:rsidRPr="00FE7AB8">
              <w:rPr>
                <w:rFonts w:ascii="Arial" w:hAnsi="Arial" w:cs="Arial"/>
              </w:rPr>
              <w:t xml:space="preserve"> Total number of lamps installed in households</w:t>
            </w:r>
          </w:p>
        </w:tc>
        <w:tc>
          <w:tcPr>
            <w:tcW w:w="4552" w:type="dxa"/>
          </w:tcPr>
          <w:p w14:paraId="13E00A6E" w14:textId="77777777" w:rsidR="00FE7AB8" w:rsidRDefault="00FE7AB8" w:rsidP="00D42D04">
            <w:pPr>
              <w:keepNext/>
              <w:spacing w:after="120"/>
              <w:jc w:val="both"/>
              <w:cnfStyle w:val="100000000000" w:firstRow="1" w:lastRow="0" w:firstColumn="0" w:lastColumn="0" w:oddVBand="0" w:evenVBand="0" w:oddHBand="0" w:evenHBand="0" w:firstRowFirstColumn="0" w:firstRowLastColumn="0" w:lastRowFirstColumn="0" w:lastRowLastColumn="0"/>
            </w:pPr>
            <w:r>
              <w:rPr>
                <w:noProof/>
                <w:lang w:val="fr-FR" w:eastAsia="fr-FR"/>
              </w:rPr>
              <w:drawing>
                <wp:inline distT="0" distB="0" distL="0" distR="0" wp14:anchorId="507F3B39" wp14:editId="20BB0173">
                  <wp:extent cx="2520000" cy="2340000"/>
                  <wp:effectExtent l="0" t="0" r="13970" b="3175"/>
                  <wp:docPr id="37" name="Graphique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4FCDCD4" w14:textId="77777777" w:rsidR="00FE7AB8" w:rsidRPr="00FE7AB8" w:rsidRDefault="00FE7AB8" w:rsidP="00FE7AB8">
            <w:pPr>
              <w:jc w:val="both"/>
              <w:cnfStyle w:val="100000000000" w:firstRow="1" w:lastRow="0" w:firstColumn="0" w:lastColumn="0" w:oddVBand="0" w:evenVBand="0" w:oddHBand="0" w:evenHBand="0" w:firstRowFirstColumn="0" w:firstRowLastColumn="0" w:lastRowFirstColumn="0" w:lastRowLastColumn="0"/>
              <w:rPr>
                <w:rFonts w:ascii="Arial" w:hAnsi="Arial" w:cs="Arial"/>
                <w:i/>
              </w:rPr>
            </w:pPr>
            <w:r w:rsidRPr="00FE7AB8">
              <w:rPr>
                <w:rFonts w:ascii="Arial" w:hAnsi="Arial" w:cs="Arial"/>
              </w:rPr>
              <w:t xml:space="preserve">Figure </w:t>
            </w:r>
            <w:r w:rsidRPr="00FE7AB8">
              <w:rPr>
                <w:rFonts w:ascii="Arial" w:hAnsi="Arial" w:cs="Arial"/>
                <w:i/>
              </w:rPr>
              <w:fldChar w:fldCharType="begin"/>
            </w:r>
            <w:r w:rsidRPr="00FE7AB8">
              <w:rPr>
                <w:rFonts w:ascii="Arial" w:hAnsi="Arial" w:cs="Arial"/>
              </w:rPr>
              <w:instrText xml:space="preserve"> SEQ Figure \* ARABIC </w:instrText>
            </w:r>
            <w:r w:rsidRPr="00FE7AB8">
              <w:rPr>
                <w:rFonts w:ascii="Arial" w:hAnsi="Arial" w:cs="Arial"/>
                <w:i/>
              </w:rPr>
              <w:fldChar w:fldCharType="separate"/>
            </w:r>
            <w:r w:rsidRPr="00FE7AB8">
              <w:rPr>
                <w:rFonts w:ascii="Arial" w:hAnsi="Arial" w:cs="Arial"/>
                <w:noProof/>
              </w:rPr>
              <w:t>12</w:t>
            </w:r>
            <w:r w:rsidRPr="00FE7AB8">
              <w:rPr>
                <w:rFonts w:ascii="Arial" w:hAnsi="Arial" w:cs="Arial"/>
                <w:i/>
              </w:rPr>
              <w:fldChar w:fldCharType="end"/>
            </w:r>
            <w:r w:rsidRPr="00FE7AB8">
              <w:rPr>
                <w:rFonts w:ascii="Arial" w:hAnsi="Arial" w:cs="Arial"/>
              </w:rPr>
              <w:t xml:space="preserve"> total power of lamps installed in households (kW)</w:t>
            </w:r>
          </w:p>
        </w:tc>
      </w:tr>
    </w:tbl>
    <w:p w14:paraId="23CC3228" w14:textId="77777777" w:rsidR="00FE7AB8" w:rsidRDefault="00FE7AB8" w:rsidP="007F23C3">
      <w:pPr>
        <w:pStyle w:val="Body"/>
        <w:rPr>
          <w:rFonts w:ascii="Arial" w:hAnsi="Arial" w:cs="Arial"/>
        </w:rPr>
      </w:pPr>
    </w:p>
    <w:tbl>
      <w:tblPr>
        <w:tblStyle w:val="PlainTable4"/>
        <w:tblW w:w="0" w:type="auto"/>
        <w:tblCellMar>
          <w:left w:w="70" w:type="dxa"/>
          <w:right w:w="70" w:type="dxa"/>
        </w:tblCellMar>
        <w:tblLook w:val="04A0" w:firstRow="1" w:lastRow="0" w:firstColumn="1" w:lastColumn="0" w:noHBand="0" w:noVBand="1"/>
      </w:tblPr>
      <w:tblGrid>
        <w:gridCol w:w="4104"/>
        <w:gridCol w:w="4104"/>
      </w:tblGrid>
      <w:tr w:rsidR="00047812" w14:paraId="53B57220"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0" w:type="dxa"/>
          </w:tcPr>
          <w:p w14:paraId="29172A0E" w14:textId="77777777" w:rsidR="00047812" w:rsidRDefault="00047812" w:rsidP="00D42D04">
            <w:pPr>
              <w:keepNext/>
              <w:rPr>
                <w:b w:val="0"/>
                <w:bCs w:val="0"/>
              </w:rPr>
            </w:pPr>
            <w:r>
              <w:rPr>
                <w:noProof/>
                <w:lang w:val="fr-FR" w:eastAsia="fr-FR"/>
              </w:rPr>
              <w:drawing>
                <wp:inline distT="0" distB="0" distL="0" distR="0" wp14:anchorId="72E823B1" wp14:editId="0AC60A35">
                  <wp:extent cx="2520000" cy="2340000"/>
                  <wp:effectExtent l="0" t="0" r="13970" b="3175"/>
                  <wp:docPr id="40" name="Graphique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8B52569" w14:textId="77777777" w:rsidR="00047812" w:rsidRPr="00047812" w:rsidRDefault="00047812" w:rsidP="00047812">
            <w:pPr>
              <w:jc w:val="both"/>
              <w:rPr>
                <w:rFonts w:ascii="Arial" w:hAnsi="Arial" w:cs="Arial"/>
                <w:i/>
              </w:rPr>
            </w:pPr>
            <w:r w:rsidRPr="00047812">
              <w:rPr>
                <w:rFonts w:ascii="Arial" w:hAnsi="Arial" w:cs="Arial"/>
              </w:rPr>
              <w:t xml:space="preserve">Figure </w:t>
            </w:r>
            <w:r w:rsidRPr="00047812">
              <w:rPr>
                <w:rFonts w:ascii="Arial" w:hAnsi="Arial" w:cs="Arial"/>
                <w:i/>
              </w:rPr>
              <w:fldChar w:fldCharType="begin"/>
            </w:r>
            <w:r w:rsidRPr="00047812">
              <w:rPr>
                <w:rFonts w:ascii="Arial" w:hAnsi="Arial" w:cs="Arial"/>
              </w:rPr>
              <w:instrText xml:space="preserve"> SEQ Figure \* ARABIC </w:instrText>
            </w:r>
            <w:r w:rsidRPr="00047812">
              <w:rPr>
                <w:rFonts w:ascii="Arial" w:hAnsi="Arial" w:cs="Arial"/>
                <w:i/>
              </w:rPr>
              <w:fldChar w:fldCharType="separate"/>
            </w:r>
            <w:r w:rsidRPr="00047812">
              <w:rPr>
                <w:rFonts w:ascii="Arial" w:hAnsi="Arial" w:cs="Arial"/>
                <w:noProof/>
              </w:rPr>
              <w:t>13</w:t>
            </w:r>
            <w:r w:rsidRPr="00047812">
              <w:rPr>
                <w:rFonts w:ascii="Arial" w:hAnsi="Arial" w:cs="Arial"/>
                <w:i/>
              </w:rPr>
              <w:fldChar w:fldCharType="end"/>
            </w:r>
            <w:r w:rsidRPr="00047812">
              <w:rPr>
                <w:rFonts w:ascii="Arial" w:hAnsi="Arial" w:cs="Arial"/>
              </w:rPr>
              <w:t xml:space="preserve"> Total consumption of household lamps (kWh)</w:t>
            </w:r>
          </w:p>
        </w:tc>
        <w:tc>
          <w:tcPr>
            <w:tcW w:w="4552" w:type="dxa"/>
          </w:tcPr>
          <w:p w14:paraId="5869348A" w14:textId="77777777" w:rsidR="00047812" w:rsidRPr="00B122B2" w:rsidRDefault="00047812" w:rsidP="00D42D04">
            <w:pPr>
              <w:keepN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rPr>
            </w:pPr>
            <w:r>
              <w:rPr>
                <w:noProof/>
                <w:lang w:val="fr-FR" w:eastAsia="fr-FR"/>
              </w:rPr>
              <w:drawing>
                <wp:inline distT="0" distB="0" distL="0" distR="0" wp14:anchorId="0C803ACA" wp14:editId="67B23772">
                  <wp:extent cx="2520000" cy="2340000"/>
                  <wp:effectExtent l="0" t="0" r="13970" b="3175"/>
                  <wp:docPr id="43" name="Graphique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71174AA" w14:textId="77777777" w:rsidR="00047812" w:rsidRPr="00047812" w:rsidRDefault="00047812" w:rsidP="00047812">
            <w:pPr>
              <w:jc w:val="both"/>
              <w:cnfStyle w:val="100000000000" w:firstRow="1" w:lastRow="0" w:firstColumn="0" w:lastColumn="0" w:oddVBand="0" w:evenVBand="0" w:oddHBand="0" w:evenHBand="0" w:firstRowFirstColumn="0" w:firstRowLastColumn="0" w:lastRowFirstColumn="0" w:lastRowLastColumn="0"/>
              <w:rPr>
                <w:rFonts w:ascii="Arial" w:hAnsi="Arial" w:cs="Arial"/>
                <w:i/>
              </w:rPr>
            </w:pPr>
            <w:r w:rsidRPr="00047812">
              <w:rPr>
                <w:rFonts w:ascii="Arial" w:hAnsi="Arial" w:cs="Arial"/>
              </w:rPr>
              <w:t xml:space="preserve">Figure </w:t>
            </w:r>
            <w:r w:rsidRPr="00047812">
              <w:rPr>
                <w:rFonts w:ascii="Arial" w:hAnsi="Arial" w:cs="Arial"/>
                <w:i/>
              </w:rPr>
              <w:fldChar w:fldCharType="begin"/>
            </w:r>
            <w:r w:rsidRPr="00047812">
              <w:rPr>
                <w:rFonts w:ascii="Arial" w:hAnsi="Arial" w:cs="Arial"/>
              </w:rPr>
              <w:instrText xml:space="preserve"> SEQ Figure \* ARABIC </w:instrText>
            </w:r>
            <w:r w:rsidRPr="00047812">
              <w:rPr>
                <w:rFonts w:ascii="Arial" w:hAnsi="Arial" w:cs="Arial"/>
                <w:i/>
              </w:rPr>
              <w:fldChar w:fldCharType="separate"/>
            </w:r>
            <w:r w:rsidRPr="00047812">
              <w:rPr>
                <w:rFonts w:ascii="Arial" w:hAnsi="Arial" w:cs="Arial"/>
                <w:noProof/>
              </w:rPr>
              <w:t>14</w:t>
            </w:r>
            <w:r w:rsidRPr="00047812">
              <w:rPr>
                <w:rFonts w:ascii="Arial" w:hAnsi="Arial" w:cs="Arial"/>
                <w:i/>
              </w:rPr>
              <w:fldChar w:fldCharType="end"/>
            </w:r>
            <w:r w:rsidRPr="00047812">
              <w:rPr>
                <w:rFonts w:ascii="Arial" w:hAnsi="Arial" w:cs="Arial"/>
              </w:rPr>
              <w:t xml:space="preserve"> Proportion of lamp consumption according to rooms</w:t>
            </w:r>
          </w:p>
        </w:tc>
      </w:tr>
    </w:tbl>
    <w:p w14:paraId="59A0DB26" w14:textId="77777777" w:rsidR="00047812" w:rsidRDefault="00047812" w:rsidP="007F23C3">
      <w:pPr>
        <w:pStyle w:val="Body"/>
        <w:rPr>
          <w:rFonts w:ascii="Arial" w:hAnsi="Arial" w:cs="Arial"/>
        </w:rPr>
      </w:pPr>
    </w:p>
    <w:p w14:paraId="08BBEFED" w14:textId="3DAA19FF" w:rsidR="00047812" w:rsidRDefault="00047812" w:rsidP="007F23C3">
      <w:pPr>
        <w:pStyle w:val="Body"/>
        <w:rPr>
          <w:rFonts w:ascii="Arial" w:hAnsi="Arial" w:cs="Arial"/>
        </w:rPr>
      </w:pPr>
      <w:r w:rsidRPr="00047812">
        <w:rPr>
          <w:rFonts w:ascii="Arial" w:hAnsi="Arial" w:cs="Arial"/>
        </w:rPr>
        <w:t>Figures 15 and 16 present the overall energy saving potential and the overall energy efficiency potential in households.</w:t>
      </w:r>
    </w:p>
    <w:p w14:paraId="4863A304" w14:textId="77777777" w:rsidR="00047812" w:rsidRPr="00047812" w:rsidRDefault="00047812" w:rsidP="00047812">
      <w:pPr>
        <w:pStyle w:val="Body"/>
        <w:rPr>
          <w:rFonts w:ascii="Arial" w:hAnsi="Arial" w:cs="Arial"/>
        </w:rPr>
      </w:pPr>
      <w:r w:rsidRPr="00047812">
        <w:rPr>
          <w:rFonts w:ascii="Arial" w:hAnsi="Arial" w:cs="Arial"/>
        </w:rPr>
        <w:t xml:space="preserve">The annual energy saving potential in the lighting sector is estimated at 7,299.64 kWh, corresponding to 12.11% of the total lamp consumption in households. The distribution of this </w:t>
      </w:r>
      <w:r w:rsidRPr="00047812">
        <w:rPr>
          <w:rFonts w:ascii="Arial" w:hAnsi="Arial" w:cs="Arial"/>
        </w:rPr>
        <w:lastRenderedPageBreak/>
        <w:t>potential varies according to the domestic spaces considered (Figures 15 and 16). Living rooms contribute 2,317.19 kWh, i.e., 32% of the total energy saving potential. Bedrooms exhibit the highest energy efficiency potential among all rooms, accounting for 58% of the total estimated savings. The overall energy saving potential in bedrooms is estimated at 4,194.49 kWh, corresponding to 27.34% of the total lamp consumption in bedrooms. Toilets contribute 8% to the overall energy saving potential.</w:t>
      </w:r>
    </w:p>
    <w:p w14:paraId="44394EEF" w14:textId="3171B2AF" w:rsidR="00047812" w:rsidRDefault="00047812" w:rsidP="00047812">
      <w:pPr>
        <w:pStyle w:val="Body"/>
        <w:rPr>
          <w:rFonts w:ascii="Arial" w:hAnsi="Arial" w:cs="Arial"/>
        </w:rPr>
      </w:pPr>
      <w:r w:rsidRPr="00047812">
        <w:rPr>
          <w:rFonts w:ascii="Arial" w:hAnsi="Arial" w:cs="Arial"/>
        </w:rPr>
        <w:t>These results show that the greatest energy efficiency potential in the lighting sector is found in bedrooms and living rooms.</w:t>
      </w:r>
    </w:p>
    <w:tbl>
      <w:tblPr>
        <w:tblStyle w:val="PlainTable4"/>
        <w:tblW w:w="0" w:type="auto"/>
        <w:tblCellMar>
          <w:left w:w="70" w:type="dxa"/>
          <w:right w:w="70" w:type="dxa"/>
        </w:tblCellMar>
        <w:tblLook w:val="04A0" w:firstRow="1" w:lastRow="0" w:firstColumn="1" w:lastColumn="0" w:noHBand="0" w:noVBand="1"/>
      </w:tblPr>
      <w:tblGrid>
        <w:gridCol w:w="4104"/>
        <w:gridCol w:w="4104"/>
      </w:tblGrid>
      <w:tr w:rsidR="00047812" w14:paraId="56C528DB"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1" w:type="dxa"/>
          </w:tcPr>
          <w:p w14:paraId="00B88C11" w14:textId="77777777" w:rsidR="00047812" w:rsidRDefault="00047812" w:rsidP="00D42D04">
            <w:pPr>
              <w:keepNext/>
              <w:spacing w:after="120"/>
              <w:jc w:val="both"/>
            </w:pPr>
            <w:r>
              <w:rPr>
                <w:noProof/>
                <w:lang w:val="fr-FR" w:eastAsia="fr-FR"/>
              </w:rPr>
              <w:drawing>
                <wp:inline distT="0" distB="0" distL="0" distR="0" wp14:anchorId="64BD5018" wp14:editId="268BECDA">
                  <wp:extent cx="2520000" cy="2340000"/>
                  <wp:effectExtent l="0" t="0" r="13970" b="3175"/>
                  <wp:docPr id="48" name="Graphique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2E21B34" w14:textId="77777777" w:rsidR="00047812" w:rsidRPr="00047812" w:rsidRDefault="00047812" w:rsidP="00047812">
            <w:pPr>
              <w:jc w:val="both"/>
              <w:rPr>
                <w:rFonts w:ascii="Arial" w:hAnsi="Arial" w:cs="Arial"/>
                <w:i/>
              </w:rPr>
            </w:pPr>
            <w:r w:rsidRPr="00047812">
              <w:rPr>
                <w:rFonts w:ascii="Arial" w:hAnsi="Arial" w:cs="Arial"/>
              </w:rPr>
              <w:t xml:space="preserve">Figure </w:t>
            </w:r>
            <w:r w:rsidRPr="00047812">
              <w:rPr>
                <w:rFonts w:ascii="Arial" w:hAnsi="Arial" w:cs="Arial"/>
                <w:i/>
              </w:rPr>
              <w:fldChar w:fldCharType="begin"/>
            </w:r>
            <w:r w:rsidRPr="00047812">
              <w:rPr>
                <w:rFonts w:ascii="Arial" w:hAnsi="Arial" w:cs="Arial"/>
              </w:rPr>
              <w:instrText xml:space="preserve"> SEQ Figure \* ARABIC </w:instrText>
            </w:r>
            <w:r w:rsidRPr="00047812">
              <w:rPr>
                <w:rFonts w:ascii="Arial" w:hAnsi="Arial" w:cs="Arial"/>
                <w:i/>
              </w:rPr>
              <w:fldChar w:fldCharType="separate"/>
            </w:r>
            <w:r w:rsidRPr="00047812">
              <w:rPr>
                <w:rFonts w:ascii="Arial" w:hAnsi="Arial" w:cs="Arial"/>
                <w:noProof/>
              </w:rPr>
              <w:t>15</w:t>
            </w:r>
            <w:r w:rsidRPr="00047812">
              <w:rPr>
                <w:rFonts w:ascii="Arial" w:hAnsi="Arial" w:cs="Arial"/>
                <w:i/>
              </w:rPr>
              <w:fldChar w:fldCharType="end"/>
            </w:r>
            <w:r w:rsidRPr="00047812">
              <w:rPr>
                <w:rFonts w:ascii="Arial" w:hAnsi="Arial" w:cs="Arial"/>
              </w:rPr>
              <w:t xml:space="preserve"> Overall energy saving potential in the lighting sector according to room</w:t>
            </w:r>
          </w:p>
        </w:tc>
        <w:tc>
          <w:tcPr>
            <w:tcW w:w="4551" w:type="dxa"/>
          </w:tcPr>
          <w:p w14:paraId="773A681D" w14:textId="77777777" w:rsidR="00047812" w:rsidRDefault="00047812" w:rsidP="00D42D04">
            <w:pPr>
              <w:keepNext/>
              <w:spacing w:after="120"/>
              <w:jc w:val="both"/>
              <w:cnfStyle w:val="100000000000" w:firstRow="1" w:lastRow="0" w:firstColumn="0" w:lastColumn="0" w:oddVBand="0" w:evenVBand="0" w:oddHBand="0" w:evenHBand="0" w:firstRowFirstColumn="0" w:firstRowLastColumn="0" w:lastRowFirstColumn="0" w:lastRowLastColumn="0"/>
            </w:pPr>
            <w:r>
              <w:rPr>
                <w:noProof/>
                <w:lang w:val="fr-FR" w:eastAsia="fr-FR"/>
              </w:rPr>
              <w:drawing>
                <wp:inline distT="0" distB="0" distL="0" distR="0" wp14:anchorId="6FC6A215" wp14:editId="61E89FB8">
                  <wp:extent cx="2520000" cy="2340000"/>
                  <wp:effectExtent l="0" t="0" r="13970" b="3175"/>
                  <wp:docPr id="50" name="Graphique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6B91E1E" w14:textId="77777777" w:rsidR="00047812" w:rsidRPr="00047812" w:rsidRDefault="00047812" w:rsidP="00047812">
            <w:pPr>
              <w:jc w:val="both"/>
              <w:cnfStyle w:val="100000000000" w:firstRow="1" w:lastRow="0" w:firstColumn="0" w:lastColumn="0" w:oddVBand="0" w:evenVBand="0" w:oddHBand="0" w:evenHBand="0" w:firstRowFirstColumn="0" w:firstRowLastColumn="0" w:lastRowFirstColumn="0" w:lastRowLastColumn="0"/>
              <w:rPr>
                <w:rFonts w:ascii="Arial" w:hAnsi="Arial" w:cs="Arial"/>
                <w:i/>
              </w:rPr>
            </w:pPr>
            <w:r w:rsidRPr="00047812">
              <w:rPr>
                <w:rFonts w:ascii="Arial" w:hAnsi="Arial" w:cs="Arial"/>
              </w:rPr>
              <w:t xml:space="preserve">Figure </w:t>
            </w:r>
            <w:r w:rsidRPr="00047812">
              <w:rPr>
                <w:rFonts w:ascii="Arial" w:hAnsi="Arial" w:cs="Arial"/>
                <w:i/>
              </w:rPr>
              <w:fldChar w:fldCharType="begin"/>
            </w:r>
            <w:r w:rsidRPr="00047812">
              <w:rPr>
                <w:rFonts w:ascii="Arial" w:hAnsi="Arial" w:cs="Arial"/>
              </w:rPr>
              <w:instrText xml:space="preserve"> SEQ Figure \* ARABIC </w:instrText>
            </w:r>
            <w:r w:rsidRPr="00047812">
              <w:rPr>
                <w:rFonts w:ascii="Arial" w:hAnsi="Arial" w:cs="Arial"/>
                <w:i/>
              </w:rPr>
              <w:fldChar w:fldCharType="separate"/>
            </w:r>
            <w:r w:rsidRPr="00047812">
              <w:rPr>
                <w:rFonts w:ascii="Arial" w:hAnsi="Arial" w:cs="Arial"/>
                <w:noProof/>
              </w:rPr>
              <w:t>16</w:t>
            </w:r>
            <w:r w:rsidRPr="00047812">
              <w:rPr>
                <w:rFonts w:ascii="Arial" w:hAnsi="Arial" w:cs="Arial"/>
                <w:i/>
              </w:rPr>
              <w:fldChar w:fldCharType="end"/>
            </w:r>
            <w:r w:rsidRPr="00047812">
              <w:rPr>
                <w:rFonts w:ascii="Arial" w:hAnsi="Arial" w:cs="Arial"/>
              </w:rPr>
              <w:t xml:space="preserve"> Proportion of the overall energy saving potential according to rooms</w:t>
            </w:r>
          </w:p>
        </w:tc>
      </w:tr>
    </w:tbl>
    <w:p w14:paraId="0F1EEFBE" w14:textId="77777777" w:rsidR="00047812" w:rsidRDefault="00047812" w:rsidP="00047812">
      <w:pPr>
        <w:pStyle w:val="Body"/>
        <w:rPr>
          <w:rFonts w:ascii="Arial" w:hAnsi="Arial" w:cs="Arial"/>
        </w:rPr>
      </w:pPr>
    </w:p>
    <w:p w14:paraId="295FE44C" w14:textId="59ECD421" w:rsidR="00047812" w:rsidRDefault="00047812" w:rsidP="00047812">
      <w:pPr>
        <w:pStyle w:val="Body"/>
        <w:rPr>
          <w:rFonts w:ascii="Arial" w:hAnsi="Arial" w:cs="Arial"/>
        </w:rPr>
      </w:pPr>
      <w:r w:rsidRPr="00047812">
        <w:rPr>
          <w:rFonts w:ascii="Arial" w:hAnsi="Arial" w:cs="Arial"/>
        </w:rPr>
        <w:t>The results of the assessment of the overall energy saving potential and energy efficiency potential according to each EC action are presented in Figures 17 and 18.</w:t>
      </w:r>
    </w:p>
    <w:p w14:paraId="34E324D6" w14:textId="77777777" w:rsidR="00047812" w:rsidRPr="00047812" w:rsidRDefault="00047812" w:rsidP="00047812">
      <w:pPr>
        <w:pStyle w:val="Body"/>
        <w:rPr>
          <w:rFonts w:ascii="Arial" w:hAnsi="Arial" w:cs="Arial"/>
        </w:rPr>
      </w:pPr>
      <w:r w:rsidRPr="00047812">
        <w:rPr>
          <w:rFonts w:ascii="Arial" w:hAnsi="Arial" w:cs="Arial"/>
        </w:rPr>
        <w:t>Turning off lights in unoccupied rooms (EC1) yields the highest energy saving potential, estimated at about 3,703.44 kWh, corresponding to an energy efficiency potential representing 6.14% of the total consumption due to lighting. This result highlights the importance of user responsibility.</w:t>
      </w:r>
    </w:p>
    <w:p w14:paraId="0908EA61" w14:textId="77777777" w:rsidR="00047812" w:rsidRPr="00047812" w:rsidRDefault="00047812" w:rsidP="00047812">
      <w:pPr>
        <w:pStyle w:val="Body"/>
        <w:rPr>
          <w:rFonts w:ascii="Arial" w:hAnsi="Arial" w:cs="Arial"/>
        </w:rPr>
      </w:pPr>
      <w:r w:rsidRPr="00047812">
        <w:rPr>
          <w:rFonts w:ascii="Arial" w:hAnsi="Arial" w:cs="Arial"/>
        </w:rPr>
        <w:t>With an estimated saving potential of only 323.73 kWh (i.e., 0.54% of total consumption), EC2 appears as the least effective lever. This low contribution can be explained by several factors, such as the orientation of dwellings and unfavorable architectural configurations.</w:t>
      </w:r>
    </w:p>
    <w:p w14:paraId="36144D67" w14:textId="77777777" w:rsidR="00047812" w:rsidRPr="00047812" w:rsidRDefault="00047812" w:rsidP="00047812">
      <w:pPr>
        <w:pStyle w:val="Body"/>
        <w:rPr>
          <w:rFonts w:ascii="Arial" w:hAnsi="Arial" w:cs="Arial"/>
        </w:rPr>
      </w:pPr>
      <w:r w:rsidRPr="00047812">
        <w:rPr>
          <w:rFonts w:ascii="Arial" w:hAnsi="Arial" w:cs="Arial"/>
        </w:rPr>
        <w:t>The use of night lights in bedrooms (EC3) provides a saving potential of about 1,422.72 kWh, i.e., 2.36% of annual consumption. EC3 is both a technical and behavioral measure, combining comfort and energy sobriety. It is particularly relevant in contexts where nocturnal lighting is necessary (safety, children, elderly people). Its implementation can be facilitated by the distribution of low-consumption night lights and by practical recommendations in households.</w:t>
      </w:r>
    </w:p>
    <w:p w14:paraId="43EA2ACE" w14:textId="77777777" w:rsidR="00047812" w:rsidRPr="00047812" w:rsidRDefault="00047812" w:rsidP="00047812">
      <w:pPr>
        <w:pStyle w:val="Body"/>
        <w:rPr>
          <w:rFonts w:ascii="Arial" w:hAnsi="Arial" w:cs="Arial"/>
        </w:rPr>
      </w:pPr>
      <w:r w:rsidRPr="00047812">
        <w:rPr>
          <w:rFonts w:ascii="Arial" w:hAnsi="Arial" w:cs="Arial"/>
        </w:rPr>
        <w:t>Action EC4 allows a saving potential of 1,849.75 kWh (i.e., 3.07% of total lamp consumption). This highlights a tendency toward overconsumption linked to lamps that are too powerful or poorly adapted to the actual use of spaces.</w:t>
      </w:r>
    </w:p>
    <w:p w14:paraId="35DE59FE" w14:textId="0978F822" w:rsidR="00047812" w:rsidRDefault="00047812" w:rsidP="00047812">
      <w:pPr>
        <w:pStyle w:val="Body"/>
        <w:rPr>
          <w:rFonts w:ascii="Arial" w:hAnsi="Arial" w:cs="Arial"/>
        </w:rPr>
      </w:pPr>
      <w:r w:rsidRPr="00047812">
        <w:rPr>
          <w:rFonts w:ascii="Arial" w:hAnsi="Arial" w:cs="Arial"/>
        </w:rPr>
        <w:lastRenderedPageBreak/>
        <w:t>These results show, on the one hand, that actions EC1, EC3, and EC4 are not integrated into household consumption habits with regard to the management of lighted spaces. The integration of these actions into household consumption practices would make it possible to achieve substantial energy savings. By contrast, action EC2 has a low impact (a low energy saving potential), which indicates that this action has already been adopted by several households in their energy consumption habits.</w:t>
      </w:r>
    </w:p>
    <w:tbl>
      <w:tblPr>
        <w:tblStyle w:val="PlainTable4"/>
        <w:tblW w:w="0" w:type="auto"/>
        <w:tblCellMar>
          <w:left w:w="70" w:type="dxa"/>
          <w:right w:w="70" w:type="dxa"/>
        </w:tblCellMar>
        <w:tblLook w:val="04A0" w:firstRow="1" w:lastRow="0" w:firstColumn="1" w:lastColumn="0" w:noHBand="0" w:noVBand="1"/>
      </w:tblPr>
      <w:tblGrid>
        <w:gridCol w:w="4104"/>
        <w:gridCol w:w="4104"/>
      </w:tblGrid>
      <w:tr w:rsidR="00047812" w14:paraId="571DA439"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0" w:type="dxa"/>
          </w:tcPr>
          <w:p w14:paraId="01AEF08D" w14:textId="77777777" w:rsidR="00047812" w:rsidRDefault="00047812" w:rsidP="00D42D04">
            <w:pPr>
              <w:keepNext/>
              <w:spacing w:after="120"/>
              <w:jc w:val="both"/>
            </w:pPr>
            <w:r>
              <w:rPr>
                <w:noProof/>
                <w:lang w:val="fr-FR" w:eastAsia="fr-FR"/>
              </w:rPr>
              <w:drawing>
                <wp:inline distT="0" distB="0" distL="0" distR="0" wp14:anchorId="2731F9E6" wp14:editId="5F4EA6C3">
                  <wp:extent cx="2520000" cy="2340000"/>
                  <wp:effectExtent l="0" t="0" r="13970" b="3175"/>
                  <wp:docPr id="52" name="Graphique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F4F0AEB" w14:textId="77777777" w:rsidR="00047812" w:rsidRPr="00047812" w:rsidRDefault="00047812" w:rsidP="00047812">
            <w:pPr>
              <w:jc w:val="both"/>
              <w:rPr>
                <w:rFonts w:ascii="Arial" w:hAnsi="Arial" w:cs="Arial"/>
                <w:i/>
              </w:rPr>
            </w:pPr>
            <w:r w:rsidRPr="00047812">
              <w:rPr>
                <w:rFonts w:ascii="Arial" w:hAnsi="Arial" w:cs="Arial"/>
              </w:rPr>
              <w:t xml:space="preserve">Figure </w:t>
            </w:r>
            <w:r w:rsidRPr="00047812">
              <w:rPr>
                <w:rFonts w:ascii="Arial" w:hAnsi="Arial" w:cs="Arial"/>
                <w:i/>
              </w:rPr>
              <w:fldChar w:fldCharType="begin"/>
            </w:r>
            <w:r w:rsidRPr="00047812">
              <w:rPr>
                <w:rFonts w:ascii="Arial" w:hAnsi="Arial" w:cs="Arial"/>
              </w:rPr>
              <w:instrText xml:space="preserve"> SEQ Figure \* ARABIC </w:instrText>
            </w:r>
            <w:r w:rsidRPr="00047812">
              <w:rPr>
                <w:rFonts w:ascii="Arial" w:hAnsi="Arial" w:cs="Arial"/>
                <w:i/>
              </w:rPr>
              <w:fldChar w:fldCharType="separate"/>
            </w:r>
            <w:r w:rsidRPr="00047812">
              <w:rPr>
                <w:rFonts w:ascii="Arial" w:hAnsi="Arial" w:cs="Arial"/>
                <w:noProof/>
              </w:rPr>
              <w:t>17</w:t>
            </w:r>
            <w:r w:rsidRPr="00047812">
              <w:rPr>
                <w:rFonts w:ascii="Arial" w:hAnsi="Arial" w:cs="Arial"/>
                <w:i/>
              </w:rPr>
              <w:fldChar w:fldCharType="end"/>
            </w:r>
            <w:r w:rsidRPr="00047812">
              <w:rPr>
                <w:rFonts w:ascii="Arial" w:hAnsi="Arial" w:cs="Arial"/>
              </w:rPr>
              <w:t xml:space="preserve"> Overall energy saving potential according to each </w:t>
            </w:r>
            <w:proofErr w:type="spellStart"/>
            <w:r w:rsidRPr="00047812">
              <w:rPr>
                <w:rFonts w:ascii="Arial" w:hAnsi="Arial" w:cs="Arial"/>
              </w:rPr>
              <w:t>ec</w:t>
            </w:r>
            <w:proofErr w:type="spellEnd"/>
            <w:r w:rsidRPr="00047812">
              <w:rPr>
                <w:rFonts w:ascii="Arial" w:hAnsi="Arial" w:cs="Arial"/>
              </w:rPr>
              <w:t xml:space="preserve"> action</w:t>
            </w:r>
          </w:p>
        </w:tc>
        <w:tc>
          <w:tcPr>
            <w:tcW w:w="4552" w:type="dxa"/>
          </w:tcPr>
          <w:p w14:paraId="0662ADF9" w14:textId="77777777" w:rsidR="00047812" w:rsidRDefault="00047812" w:rsidP="00D42D04">
            <w:pPr>
              <w:keepNext/>
              <w:spacing w:after="120"/>
              <w:jc w:val="both"/>
              <w:cnfStyle w:val="100000000000" w:firstRow="1" w:lastRow="0" w:firstColumn="0" w:lastColumn="0" w:oddVBand="0" w:evenVBand="0" w:oddHBand="0" w:evenHBand="0" w:firstRowFirstColumn="0" w:firstRowLastColumn="0" w:lastRowFirstColumn="0" w:lastRowLastColumn="0"/>
            </w:pPr>
            <w:r>
              <w:rPr>
                <w:noProof/>
                <w:lang w:val="fr-FR" w:eastAsia="fr-FR"/>
              </w:rPr>
              <w:drawing>
                <wp:inline distT="0" distB="0" distL="0" distR="0" wp14:anchorId="6DF780D3" wp14:editId="3BB323C0">
                  <wp:extent cx="2520000" cy="2340000"/>
                  <wp:effectExtent l="0" t="0" r="13970" b="3175"/>
                  <wp:docPr id="54" name="Graphique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2B8D059" w14:textId="77777777" w:rsidR="00047812" w:rsidRPr="00047812" w:rsidRDefault="00047812" w:rsidP="00047812">
            <w:pPr>
              <w:cnfStyle w:val="100000000000" w:firstRow="1" w:lastRow="0" w:firstColumn="0" w:lastColumn="0" w:oddVBand="0" w:evenVBand="0" w:oddHBand="0" w:evenHBand="0" w:firstRowFirstColumn="0" w:firstRowLastColumn="0" w:lastRowFirstColumn="0" w:lastRowLastColumn="0"/>
              <w:rPr>
                <w:rFonts w:ascii="Arial" w:hAnsi="Arial" w:cs="Arial"/>
                <w:i/>
              </w:rPr>
            </w:pPr>
            <w:r w:rsidRPr="00047812">
              <w:rPr>
                <w:rFonts w:ascii="Arial" w:hAnsi="Arial" w:cs="Arial"/>
              </w:rPr>
              <w:t xml:space="preserve">Figure </w:t>
            </w:r>
            <w:r w:rsidRPr="00047812">
              <w:rPr>
                <w:rFonts w:ascii="Arial" w:hAnsi="Arial" w:cs="Arial"/>
                <w:i/>
              </w:rPr>
              <w:fldChar w:fldCharType="begin"/>
            </w:r>
            <w:r w:rsidRPr="00047812">
              <w:rPr>
                <w:rFonts w:ascii="Arial" w:hAnsi="Arial" w:cs="Arial"/>
              </w:rPr>
              <w:instrText xml:space="preserve"> SEQ Figure \* ARABIC </w:instrText>
            </w:r>
            <w:r w:rsidRPr="00047812">
              <w:rPr>
                <w:rFonts w:ascii="Arial" w:hAnsi="Arial" w:cs="Arial"/>
                <w:i/>
              </w:rPr>
              <w:fldChar w:fldCharType="separate"/>
            </w:r>
            <w:r w:rsidRPr="00047812">
              <w:rPr>
                <w:rFonts w:ascii="Arial" w:hAnsi="Arial" w:cs="Arial"/>
                <w:noProof/>
              </w:rPr>
              <w:t>18</w:t>
            </w:r>
            <w:r w:rsidRPr="00047812">
              <w:rPr>
                <w:rFonts w:ascii="Arial" w:hAnsi="Arial" w:cs="Arial"/>
                <w:i/>
              </w:rPr>
              <w:fldChar w:fldCharType="end"/>
            </w:r>
            <w:r w:rsidRPr="00047812">
              <w:rPr>
                <w:rFonts w:ascii="Arial" w:hAnsi="Arial" w:cs="Arial"/>
              </w:rPr>
              <w:t xml:space="preserve"> Overall energy efficiency potential according to each EC action</w:t>
            </w:r>
          </w:p>
        </w:tc>
      </w:tr>
    </w:tbl>
    <w:p w14:paraId="18AA4095" w14:textId="77777777" w:rsidR="00047812" w:rsidRDefault="00047812" w:rsidP="00047812">
      <w:pPr>
        <w:pStyle w:val="Body"/>
        <w:rPr>
          <w:rFonts w:ascii="Arial" w:hAnsi="Arial" w:cs="Arial"/>
        </w:rPr>
      </w:pPr>
    </w:p>
    <w:p w14:paraId="26C71E39" w14:textId="7E9C3A88" w:rsidR="0043743A" w:rsidRPr="0043743A" w:rsidRDefault="0043743A" w:rsidP="0043743A">
      <w:pPr>
        <w:pStyle w:val="Body"/>
        <w:rPr>
          <w:rFonts w:ascii="Arial" w:hAnsi="Arial" w:cs="Arial"/>
          <w:b/>
        </w:rPr>
      </w:pPr>
      <w:r>
        <w:rPr>
          <w:rFonts w:ascii="Arial" w:hAnsi="Arial" w:cs="Arial"/>
          <w:b/>
        </w:rPr>
        <w:t xml:space="preserve">3.5. </w:t>
      </w:r>
      <w:proofErr w:type="spellStart"/>
      <w:r w:rsidRPr="0043743A">
        <w:rPr>
          <w:rFonts w:ascii="Arial" w:hAnsi="Arial" w:cs="Arial"/>
          <w:b/>
        </w:rPr>
        <w:t>Potentiel</w:t>
      </w:r>
      <w:proofErr w:type="spellEnd"/>
      <w:r w:rsidRPr="0043743A">
        <w:rPr>
          <w:rFonts w:ascii="Arial" w:hAnsi="Arial" w:cs="Arial"/>
          <w:b/>
        </w:rPr>
        <w:t xml:space="preserve"> </w:t>
      </w:r>
      <w:proofErr w:type="spellStart"/>
      <w:r w:rsidRPr="0043743A">
        <w:rPr>
          <w:rFonts w:ascii="Arial" w:hAnsi="Arial" w:cs="Arial"/>
          <w:b/>
        </w:rPr>
        <w:t>d’économie</w:t>
      </w:r>
      <w:proofErr w:type="spellEnd"/>
      <w:r w:rsidRPr="0043743A">
        <w:rPr>
          <w:rFonts w:ascii="Arial" w:hAnsi="Arial" w:cs="Arial"/>
          <w:b/>
        </w:rPr>
        <w:t xml:space="preserve"> </w:t>
      </w:r>
      <w:proofErr w:type="spellStart"/>
      <w:r w:rsidRPr="0043743A">
        <w:rPr>
          <w:rFonts w:ascii="Arial" w:hAnsi="Arial" w:cs="Arial"/>
          <w:b/>
        </w:rPr>
        <w:t>moyenne</w:t>
      </w:r>
      <w:proofErr w:type="spellEnd"/>
      <w:r w:rsidRPr="0043743A">
        <w:rPr>
          <w:rFonts w:ascii="Arial" w:hAnsi="Arial" w:cs="Arial"/>
          <w:b/>
        </w:rPr>
        <w:t xml:space="preserve"> </w:t>
      </w:r>
      <w:proofErr w:type="spellStart"/>
      <w:r w:rsidRPr="0043743A">
        <w:rPr>
          <w:rFonts w:ascii="Arial" w:hAnsi="Arial" w:cs="Arial"/>
          <w:b/>
        </w:rPr>
        <w:t>annuel</w:t>
      </w:r>
      <w:proofErr w:type="spellEnd"/>
      <w:r w:rsidRPr="0043743A">
        <w:rPr>
          <w:rFonts w:ascii="Arial" w:hAnsi="Arial" w:cs="Arial"/>
          <w:b/>
        </w:rPr>
        <w:t xml:space="preserve"> par ménage dans le </w:t>
      </w:r>
      <w:proofErr w:type="spellStart"/>
      <w:r w:rsidRPr="0043743A">
        <w:rPr>
          <w:rFonts w:ascii="Arial" w:hAnsi="Arial" w:cs="Arial"/>
          <w:b/>
        </w:rPr>
        <w:t>domaine</w:t>
      </w:r>
      <w:proofErr w:type="spellEnd"/>
      <w:r w:rsidRPr="0043743A">
        <w:rPr>
          <w:rFonts w:ascii="Arial" w:hAnsi="Arial" w:cs="Arial"/>
          <w:b/>
        </w:rPr>
        <w:t xml:space="preserve"> de </w:t>
      </w:r>
      <w:proofErr w:type="spellStart"/>
      <w:r w:rsidRPr="0043743A">
        <w:rPr>
          <w:rFonts w:ascii="Arial" w:hAnsi="Arial" w:cs="Arial"/>
          <w:b/>
        </w:rPr>
        <w:t>l’éclairage</w:t>
      </w:r>
      <w:proofErr w:type="spellEnd"/>
    </w:p>
    <w:p w14:paraId="73EB7AA8" w14:textId="3FDF3F15" w:rsidR="00047812" w:rsidRDefault="0043743A" w:rsidP="0043743A">
      <w:pPr>
        <w:pStyle w:val="Body"/>
        <w:rPr>
          <w:rFonts w:ascii="Arial" w:hAnsi="Arial" w:cs="Arial"/>
        </w:rPr>
      </w:pPr>
      <w:r w:rsidRPr="0043743A">
        <w:rPr>
          <w:rFonts w:ascii="Arial" w:hAnsi="Arial" w:cs="Arial"/>
        </w:rPr>
        <w:t xml:space="preserve">Les figures 19 et 20 </w:t>
      </w:r>
      <w:proofErr w:type="spellStart"/>
      <w:r w:rsidRPr="0043743A">
        <w:rPr>
          <w:rFonts w:ascii="Arial" w:hAnsi="Arial" w:cs="Arial"/>
        </w:rPr>
        <w:t>donnent</w:t>
      </w:r>
      <w:proofErr w:type="spellEnd"/>
      <w:r w:rsidRPr="0043743A">
        <w:rPr>
          <w:rFonts w:ascii="Arial" w:hAnsi="Arial" w:cs="Arial"/>
        </w:rPr>
        <w:t xml:space="preserve"> le </w:t>
      </w:r>
      <w:proofErr w:type="spellStart"/>
      <w:r w:rsidRPr="0043743A">
        <w:rPr>
          <w:rFonts w:ascii="Arial" w:hAnsi="Arial" w:cs="Arial"/>
        </w:rPr>
        <w:t>potentiel</w:t>
      </w:r>
      <w:proofErr w:type="spellEnd"/>
      <w:r w:rsidRPr="0043743A">
        <w:rPr>
          <w:rFonts w:ascii="Arial" w:hAnsi="Arial" w:cs="Arial"/>
        </w:rPr>
        <w:t xml:space="preserve"> </w:t>
      </w:r>
      <w:proofErr w:type="spellStart"/>
      <w:r w:rsidRPr="0043743A">
        <w:rPr>
          <w:rFonts w:ascii="Arial" w:hAnsi="Arial" w:cs="Arial"/>
        </w:rPr>
        <w:t>d’économie</w:t>
      </w:r>
      <w:proofErr w:type="spellEnd"/>
      <w:r w:rsidRPr="0043743A">
        <w:rPr>
          <w:rFonts w:ascii="Arial" w:hAnsi="Arial" w:cs="Arial"/>
        </w:rPr>
        <w:t xml:space="preserve"> </w:t>
      </w:r>
      <w:proofErr w:type="spellStart"/>
      <w:r w:rsidRPr="0043743A">
        <w:rPr>
          <w:rFonts w:ascii="Arial" w:hAnsi="Arial" w:cs="Arial"/>
        </w:rPr>
        <w:t>d’énergie</w:t>
      </w:r>
      <w:proofErr w:type="spellEnd"/>
      <w:r w:rsidRPr="0043743A">
        <w:rPr>
          <w:rFonts w:ascii="Arial" w:hAnsi="Arial" w:cs="Arial"/>
        </w:rPr>
        <w:t xml:space="preserve"> </w:t>
      </w:r>
      <w:proofErr w:type="spellStart"/>
      <w:r w:rsidRPr="0043743A">
        <w:rPr>
          <w:rFonts w:ascii="Arial" w:hAnsi="Arial" w:cs="Arial"/>
        </w:rPr>
        <w:t>annuel</w:t>
      </w:r>
      <w:proofErr w:type="spellEnd"/>
      <w:r w:rsidRPr="0043743A">
        <w:rPr>
          <w:rFonts w:ascii="Arial" w:hAnsi="Arial" w:cs="Arial"/>
        </w:rPr>
        <w:t xml:space="preserve"> par ménage dans la commune de Koudougou</w:t>
      </w:r>
    </w:p>
    <w:p w14:paraId="083417B6" w14:textId="4BD374A2" w:rsidR="0043743A" w:rsidRDefault="0043743A" w:rsidP="0043743A">
      <w:pPr>
        <w:pStyle w:val="Body"/>
        <w:rPr>
          <w:rFonts w:ascii="Arial" w:hAnsi="Arial" w:cs="Arial"/>
        </w:rPr>
      </w:pPr>
      <w:r w:rsidRPr="0043743A">
        <w:rPr>
          <w:rFonts w:ascii="Arial" w:hAnsi="Arial" w:cs="Arial"/>
        </w:rPr>
        <w:t>The average annual energy saving potential per household in the lighting sector is estimated at 16.63 kWh per year. This potential mainly results from action EC1 (8.44 kWh) and action EC4 (4.21 kWh). This potential shows that a large energy saving reserve exists in the field of residential lighting if households widely adopt the various energy efficiency measures.</w:t>
      </w:r>
    </w:p>
    <w:tbl>
      <w:tblPr>
        <w:tblStyle w:val="PlainTable4"/>
        <w:tblW w:w="0" w:type="auto"/>
        <w:tblCellMar>
          <w:left w:w="70" w:type="dxa"/>
          <w:right w:w="70" w:type="dxa"/>
        </w:tblCellMar>
        <w:tblLook w:val="04A0" w:firstRow="1" w:lastRow="0" w:firstColumn="1" w:lastColumn="0" w:noHBand="0" w:noVBand="1"/>
      </w:tblPr>
      <w:tblGrid>
        <w:gridCol w:w="4104"/>
        <w:gridCol w:w="4104"/>
      </w:tblGrid>
      <w:tr w:rsidR="0043743A" w14:paraId="5AF4F69E"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2" w:type="dxa"/>
          </w:tcPr>
          <w:p w14:paraId="73DE42B0" w14:textId="77777777" w:rsidR="0043743A" w:rsidRDefault="0043743A" w:rsidP="00D42D04">
            <w:pPr>
              <w:keepNext/>
              <w:spacing w:after="120"/>
              <w:jc w:val="both"/>
              <w:rPr>
                <w:b w:val="0"/>
                <w:bCs w:val="0"/>
              </w:rPr>
            </w:pPr>
            <w:r>
              <w:rPr>
                <w:noProof/>
                <w:lang w:val="fr-FR" w:eastAsia="fr-FR"/>
              </w:rPr>
              <w:lastRenderedPageBreak/>
              <w:drawing>
                <wp:inline distT="0" distB="0" distL="0" distR="0" wp14:anchorId="02A5E039" wp14:editId="1361C6BD">
                  <wp:extent cx="2520000" cy="2340000"/>
                  <wp:effectExtent l="0" t="0" r="13970" b="3175"/>
                  <wp:docPr id="56" name="Graphique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0B15D37" w14:textId="77777777" w:rsidR="0043743A" w:rsidRPr="0043743A" w:rsidRDefault="0043743A" w:rsidP="0043743A">
            <w:pPr>
              <w:jc w:val="both"/>
              <w:rPr>
                <w:rFonts w:ascii="Arial" w:hAnsi="Arial" w:cs="Arial"/>
                <w:i/>
              </w:rPr>
            </w:pPr>
            <w:r w:rsidRPr="0043743A">
              <w:rPr>
                <w:rFonts w:ascii="Arial" w:hAnsi="Arial" w:cs="Arial"/>
              </w:rPr>
              <w:t xml:space="preserve">Figure </w:t>
            </w:r>
            <w:r w:rsidRPr="0043743A">
              <w:rPr>
                <w:rFonts w:ascii="Arial" w:hAnsi="Arial" w:cs="Arial"/>
                <w:i/>
              </w:rPr>
              <w:fldChar w:fldCharType="begin"/>
            </w:r>
            <w:r w:rsidRPr="0043743A">
              <w:rPr>
                <w:rFonts w:ascii="Arial" w:hAnsi="Arial" w:cs="Arial"/>
              </w:rPr>
              <w:instrText xml:space="preserve"> SEQ Figure \* ARABIC </w:instrText>
            </w:r>
            <w:r w:rsidRPr="0043743A">
              <w:rPr>
                <w:rFonts w:ascii="Arial" w:hAnsi="Arial" w:cs="Arial"/>
                <w:i/>
              </w:rPr>
              <w:fldChar w:fldCharType="separate"/>
            </w:r>
            <w:r w:rsidRPr="0043743A">
              <w:rPr>
                <w:rFonts w:ascii="Arial" w:hAnsi="Arial" w:cs="Arial"/>
                <w:noProof/>
              </w:rPr>
              <w:t>19</w:t>
            </w:r>
            <w:r w:rsidRPr="0043743A">
              <w:rPr>
                <w:rFonts w:ascii="Arial" w:hAnsi="Arial" w:cs="Arial"/>
                <w:i/>
              </w:rPr>
              <w:fldChar w:fldCharType="end"/>
            </w:r>
            <w:r w:rsidRPr="0043743A">
              <w:rPr>
                <w:rFonts w:ascii="Arial" w:hAnsi="Arial" w:cs="Arial"/>
              </w:rPr>
              <w:t xml:space="preserve"> Annual energy saving potential per household</w:t>
            </w:r>
          </w:p>
        </w:tc>
        <w:tc>
          <w:tcPr>
            <w:tcW w:w="4520" w:type="dxa"/>
          </w:tcPr>
          <w:p w14:paraId="1F51C373" w14:textId="77777777" w:rsidR="0043743A" w:rsidRDefault="0043743A" w:rsidP="00D42D04">
            <w:pPr>
              <w:keepNext/>
              <w:spacing w:after="120"/>
              <w:jc w:val="both"/>
              <w:cnfStyle w:val="100000000000" w:firstRow="1" w:lastRow="0" w:firstColumn="0" w:lastColumn="0" w:oddVBand="0" w:evenVBand="0" w:oddHBand="0" w:evenHBand="0" w:firstRowFirstColumn="0" w:firstRowLastColumn="0" w:lastRowFirstColumn="0" w:lastRowLastColumn="0"/>
              <w:rPr>
                <w:b w:val="0"/>
                <w:bCs w:val="0"/>
              </w:rPr>
            </w:pPr>
            <w:r>
              <w:rPr>
                <w:noProof/>
                <w:lang w:val="fr-FR" w:eastAsia="fr-FR"/>
              </w:rPr>
              <w:drawing>
                <wp:inline distT="0" distB="0" distL="0" distR="0" wp14:anchorId="4168DC19" wp14:editId="5195D994">
                  <wp:extent cx="2520000" cy="2340000"/>
                  <wp:effectExtent l="0" t="0" r="13970" b="3175"/>
                  <wp:docPr id="58" name="Graphique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EC3DCA9" w14:textId="77777777" w:rsidR="0043743A" w:rsidRPr="0043743A" w:rsidRDefault="0043743A" w:rsidP="0043743A">
            <w:pPr>
              <w:jc w:val="both"/>
              <w:cnfStyle w:val="100000000000" w:firstRow="1" w:lastRow="0" w:firstColumn="0" w:lastColumn="0" w:oddVBand="0" w:evenVBand="0" w:oddHBand="0" w:evenHBand="0" w:firstRowFirstColumn="0" w:firstRowLastColumn="0" w:lastRowFirstColumn="0" w:lastRowLastColumn="0"/>
              <w:rPr>
                <w:rFonts w:ascii="Arial" w:hAnsi="Arial" w:cs="Arial"/>
                <w:i/>
              </w:rPr>
            </w:pPr>
            <w:r w:rsidRPr="0043743A">
              <w:rPr>
                <w:rFonts w:ascii="Arial" w:hAnsi="Arial" w:cs="Arial"/>
              </w:rPr>
              <w:t xml:space="preserve">Figure </w:t>
            </w:r>
            <w:r w:rsidRPr="0043743A">
              <w:rPr>
                <w:rFonts w:ascii="Arial" w:hAnsi="Arial" w:cs="Arial"/>
                <w:i/>
              </w:rPr>
              <w:fldChar w:fldCharType="begin"/>
            </w:r>
            <w:r w:rsidRPr="0043743A">
              <w:rPr>
                <w:rFonts w:ascii="Arial" w:hAnsi="Arial" w:cs="Arial"/>
              </w:rPr>
              <w:instrText xml:space="preserve"> SEQ Figure \* ARABIC </w:instrText>
            </w:r>
            <w:r w:rsidRPr="0043743A">
              <w:rPr>
                <w:rFonts w:ascii="Arial" w:hAnsi="Arial" w:cs="Arial"/>
                <w:i/>
              </w:rPr>
              <w:fldChar w:fldCharType="separate"/>
            </w:r>
            <w:r w:rsidRPr="0043743A">
              <w:rPr>
                <w:rFonts w:ascii="Arial" w:hAnsi="Arial" w:cs="Arial"/>
                <w:noProof/>
              </w:rPr>
              <w:t>20</w:t>
            </w:r>
            <w:r w:rsidRPr="0043743A">
              <w:rPr>
                <w:rFonts w:ascii="Arial" w:hAnsi="Arial" w:cs="Arial"/>
                <w:i/>
              </w:rPr>
              <w:fldChar w:fldCharType="end"/>
            </w:r>
            <w:r w:rsidRPr="0043743A">
              <w:rPr>
                <w:rFonts w:ascii="Arial" w:hAnsi="Arial" w:cs="Arial"/>
              </w:rPr>
              <w:t xml:space="preserve"> Proportion of energy savings by </w:t>
            </w:r>
            <w:proofErr w:type="spellStart"/>
            <w:r w:rsidRPr="0043743A">
              <w:rPr>
                <w:rFonts w:ascii="Arial" w:hAnsi="Arial" w:cs="Arial"/>
              </w:rPr>
              <w:t>ec</w:t>
            </w:r>
            <w:proofErr w:type="spellEnd"/>
            <w:r w:rsidRPr="0043743A">
              <w:rPr>
                <w:rFonts w:ascii="Arial" w:hAnsi="Arial" w:cs="Arial"/>
              </w:rPr>
              <w:t xml:space="preserve"> action</w:t>
            </w:r>
          </w:p>
        </w:tc>
      </w:tr>
    </w:tbl>
    <w:p w14:paraId="303FF92B" w14:textId="77777777" w:rsidR="00E053D0" w:rsidRDefault="00E053D0" w:rsidP="00441B6F">
      <w:pPr>
        <w:pStyle w:val="Body"/>
        <w:spacing w:after="0"/>
        <w:rPr>
          <w:rFonts w:ascii="Arial" w:hAnsi="Arial" w:cs="Arial"/>
        </w:rPr>
      </w:pPr>
    </w:p>
    <w:p w14:paraId="2146A74A" w14:textId="77777777" w:rsidR="00790ADA" w:rsidRPr="00FB3A86" w:rsidRDefault="00790ADA" w:rsidP="00441B6F">
      <w:pPr>
        <w:pStyle w:val="Body"/>
        <w:spacing w:after="0"/>
        <w:rPr>
          <w:rFonts w:ascii="Arial" w:hAnsi="Arial" w:cs="Arial"/>
        </w:rPr>
      </w:pPr>
    </w:p>
    <w:p w14:paraId="2E8C82FF" w14:textId="77777777" w:rsidR="00B01FCD" w:rsidRDefault="00000F8F" w:rsidP="00441B6F">
      <w:pPr>
        <w:pStyle w:val="ConcHead"/>
        <w:spacing w:after="0"/>
        <w:jc w:val="both"/>
        <w:rPr>
          <w:rFonts w:ascii="Arial" w:hAnsi="Arial" w:cs="Arial"/>
        </w:rPr>
      </w:pPr>
      <w:r>
        <w:rPr>
          <w:rFonts w:ascii="Arial" w:hAnsi="Arial" w:cs="Arial"/>
        </w:rPr>
        <w:t xml:space="preserve">4. </w:t>
      </w:r>
      <w:r w:rsidR="00B01FCD" w:rsidRPr="00FB3A86">
        <w:rPr>
          <w:rFonts w:ascii="Arial" w:hAnsi="Arial" w:cs="Arial"/>
        </w:rPr>
        <w:t>Conclusion</w:t>
      </w:r>
    </w:p>
    <w:p w14:paraId="5F8A448E" w14:textId="77777777" w:rsidR="00790ADA" w:rsidRPr="00FB3A86" w:rsidRDefault="00790ADA" w:rsidP="00441B6F">
      <w:pPr>
        <w:pStyle w:val="ConcHead"/>
        <w:spacing w:after="0"/>
        <w:jc w:val="both"/>
        <w:rPr>
          <w:rFonts w:ascii="Arial" w:hAnsi="Arial" w:cs="Arial"/>
        </w:rPr>
      </w:pPr>
    </w:p>
    <w:p w14:paraId="3CCE48D2" w14:textId="77777777" w:rsidR="009C55F9" w:rsidRPr="009C55F9" w:rsidRDefault="009C55F9" w:rsidP="009C55F9">
      <w:pPr>
        <w:pStyle w:val="ReferHead"/>
        <w:jc w:val="both"/>
        <w:rPr>
          <w:rFonts w:ascii="Arial" w:hAnsi="Arial" w:cs="Arial"/>
          <w:b w:val="0"/>
          <w:caps w:val="0"/>
          <w:sz w:val="20"/>
        </w:rPr>
      </w:pPr>
      <w:r w:rsidRPr="009C55F9">
        <w:rPr>
          <w:rFonts w:ascii="Arial" w:hAnsi="Arial" w:cs="Arial"/>
          <w:b w:val="0"/>
          <w:caps w:val="0"/>
          <w:sz w:val="20"/>
        </w:rPr>
        <w:t>The results of the study reveal that the energy saving potential in the lighting sector is approximately 7,299.64 kWh, i.e., 12.11% of the total household lamp consumption. The largest share of this potential comes from bedroom and living room lighting.</w:t>
      </w:r>
    </w:p>
    <w:p w14:paraId="50CC7B8D" w14:textId="77777777" w:rsidR="009C55F9" w:rsidRPr="009C55F9" w:rsidRDefault="009C55F9" w:rsidP="009C55F9">
      <w:pPr>
        <w:pStyle w:val="ReferHead"/>
        <w:jc w:val="both"/>
        <w:rPr>
          <w:rFonts w:ascii="Arial" w:hAnsi="Arial" w:cs="Arial"/>
          <w:b w:val="0"/>
          <w:caps w:val="0"/>
          <w:sz w:val="20"/>
        </w:rPr>
      </w:pPr>
      <w:r w:rsidRPr="009C55F9">
        <w:rPr>
          <w:rFonts w:ascii="Arial" w:hAnsi="Arial" w:cs="Arial"/>
          <w:b w:val="0"/>
          <w:caps w:val="0"/>
          <w:sz w:val="20"/>
        </w:rPr>
        <w:t>Regarding the impact of each action, action EC1 (turning off lights in unoccupied spaces) shows the highest saving potential, estimated at 3,703.44 kWh (i.e., 6.14% of total lighting consumption), which highlights the importance of user behavior. Conversely, action EC2 (giving priority to natural light) recorded the lowest performance, with only 323.73 kWh of savings (i.e., 4% of total consumption), a result that can be explained by factors such as building orientation and already established habits.</w:t>
      </w:r>
    </w:p>
    <w:p w14:paraId="7115B407" w14:textId="77777777" w:rsidR="009C55F9" w:rsidRDefault="009C55F9" w:rsidP="009C55F9">
      <w:pPr>
        <w:pStyle w:val="ReferHead"/>
        <w:spacing w:after="0"/>
        <w:jc w:val="both"/>
        <w:rPr>
          <w:rFonts w:ascii="Arial" w:hAnsi="Arial" w:cs="Arial"/>
          <w:b w:val="0"/>
          <w:caps w:val="0"/>
          <w:sz w:val="20"/>
        </w:rPr>
      </w:pPr>
      <w:r w:rsidRPr="009C55F9">
        <w:rPr>
          <w:rFonts w:ascii="Arial" w:hAnsi="Arial" w:cs="Arial"/>
          <w:b w:val="0"/>
          <w:caps w:val="0"/>
          <w:sz w:val="20"/>
        </w:rPr>
        <w:t>The study shows that, although some efficient practices such as the use of natural light are already well integrated, other measures such as systematically turning off lights, using night lights, and optimizing lamp power ratings have not yet been fully adopted by households.</w:t>
      </w:r>
    </w:p>
    <w:p w14:paraId="34F26EBB" w14:textId="77777777" w:rsidR="00826090" w:rsidRDefault="00826090" w:rsidP="009C55F9">
      <w:pPr>
        <w:pStyle w:val="ReferHead"/>
        <w:spacing w:after="0"/>
        <w:jc w:val="both"/>
        <w:rPr>
          <w:rFonts w:ascii="Arial" w:hAnsi="Arial" w:cs="Arial"/>
          <w:b w:val="0"/>
          <w:caps w:val="0"/>
          <w:sz w:val="20"/>
        </w:rPr>
      </w:pPr>
    </w:p>
    <w:p w14:paraId="48EBD8BC" w14:textId="5E15F47E" w:rsidR="00826090" w:rsidRDefault="00826090" w:rsidP="009C55F9">
      <w:pPr>
        <w:pStyle w:val="ReferHead"/>
        <w:spacing w:after="0"/>
        <w:jc w:val="both"/>
        <w:rPr>
          <w:rFonts w:ascii="Arial" w:hAnsi="Arial" w:cs="Arial"/>
          <w:b w:val="0"/>
          <w:caps w:val="0"/>
          <w:sz w:val="20"/>
        </w:rPr>
      </w:pPr>
      <w:r>
        <w:rPr>
          <w:rFonts w:ascii="Arial" w:hAnsi="Arial" w:cs="Arial"/>
          <w:b w:val="0"/>
          <w:caps w:val="0"/>
          <w:sz w:val="20"/>
        </w:rPr>
        <w:t>In short</w:t>
      </w:r>
      <w:r w:rsidRPr="00826090">
        <w:rPr>
          <w:rFonts w:ascii="Arial" w:hAnsi="Arial" w:cs="Arial"/>
          <w:b w:val="0"/>
          <w:caps w:val="0"/>
          <w:sz w:val="20"/>
        </w:rPr>
        <w:t>, taking into account the energy savings resulting from the elimination of standby mode in electrical appliances in households in the city of Koudougou constitutes a relevant research perspective to be further explored in future studies.</w:t>
      </w:r>
    </w:p>
    <w:p w14:paraId="5040F30D" w14:textId="77777777" w:rsidR="009C55F9" w:rsidRDefault="009C55F9" w:rsidP="009C55F9">
      <w:pPr>
        <w:pStyle w:val="ReferHead"/>
        <w:spacing w:after="0"/>
        <w:jc w:val="both"/>
        <w:rPr>
          <w:rFonts w:ascii="Arial" w:hAnsi="Arial" w:cs="Arial"/>
          <w:b w:val="0"/>
          <w:caps w:val="0"/>
          <w:sz w:val="20"/>
        </w:rPr>
      </w:pPr>
    </w:p>
    <w:p w14:paraId="2F6EDD77" w14:textId="77777777" w:rsidR="005B6A4E" w:rsidRDefault="005B6A4E" w:rsidP="009C55F9">
      <w:pPr>
        <w:pStyle w:val="ReferHead"/>
        <w:spacing w:after="0"/>
        <w:jc w:val="both"/>
        <w:rPr>
          <w:rFonts w:ascii="Arial" w:hAnsi="Arial" w:cs="Arial"/>
          <w:b w:val="0"/>
          <w:caps w:val="0"/>
          <w:sz w:val="20"/>
        </w:rPr>
      </w:pPr>
    </w:p>
    <w:p w14:paraId="6A7EB6BF" w14:textId="77777777" w:rsidR="005B6A4E" w:rsidRPr="005B6A4E" w:rsidRDefault="005B6A4E" w:rsidP="005B6A4E">
      <w:pPr>
        <w:pStyle w:val="ReferHead"/>
        <w:jc w:val="both"/>
        <w:rPr>
          <w:rFonts w:ascii="Arial" w:hAnsi="Arial" w:cs="Arial"/>
          <w:b w:val="0"/>
          <w:caps w:val="0"/>
          <w:sz w:val="20"/>
        </w:rPr>
      </w:pPr>
      <w:r w:rsidRPr="005B6A4E">
        <w:rPr>
          <w:rFonts w:ascii="Arial" w:hAnsi="Arial" w:cs="Arial"/>
          <w:b w:val="0"/>
          <w:caps w:val="0"/>
          <w:sz w:val="20"/>
        </w:rPr>
        <w:t>COMPETING INTERESTS DISCLAIMER:</w:t>
      </w:r>
    </w:p>
    <w:p w14:paraId="32CE99EF" w14:textId="1A35B008" w:rsidR="005B6A4E" w:rsidRDefault="005B6A4E" w:rsidP="005B6A4E">
      <w:pPr>
        <w:pStyle w:val="ReferHead"/>
        <w:spacing w:after="0"/>
        <w:jc w:val="both"/>
        <w:rPr>
          <w:rFonts w:ascii="Arial" w:hAnsi="Arial" w:cs="Arial"/>
          <w:b w:val="0"/>
          <w:caps w:val="0"/>
          <w:sz w:val="20"/>
        </w:rPr>
      </w:pPr>
      <w:r w:rsidRPr="005B6A4E">
        <w:rPr>
          <w:rFonts w:ascii="Arial" w:hAnsi="Arial" w:cs="Arial"/>
          <w:b w:val="0"/>
          <w:caps w:val="0"/>
          <w:sz w:val="20"/>
        </w:rPr>
        <w:t>Authors have declared that they have no known competing financial interests OR non-financial interests OR personal relationships that could have appeared to influence the work reported in this paper.</w:t>
      </w:r>
    </w:p>
    <w:p w14:paraId="1EA0CF25" w14:textId="77777777" w:rsidR="005B6A4E" w:rsidRDefault="005B6A4E" w:rsidP="009C55F9">
      <w:pPr>
        <w:pStyle w:val="ReferHead"/>
        <w:spacing w:after="0"/>
        <w:jc w:val="both"/>
        <w:rPr>
          <w:rFonts w:ascii="Arial" w:hAnsi="Arial" w:cs="Arial"/>
          <w:b w:val="0"/>
          <w:caps w:val="0"/>
          <w:sz w:val="20"/>
        </w:rPr>
      </w:pPr>
    </w:p>
    <w:p w14:paraId="15A028EA" w14:textId="68A86D12" w:rsidR="00B01FCD" w:rsidRDefault="00B01FCD" w:rsidP="009C55F9">
      <w:pPr>
        <w:pStyle w:val="ReferHead"/>
        <w:spacing w:after="0"/>
        <w:jc w:val="both"/>
        <w:rPr>
          <w:rFonts w:ascii="Arial" w:hAnsi="Arial" w:cs="Arial"/>
        </w:rPr>
      </w:pPr>
      <w:r w:rsidRPr="00FB3A86">
        <w:rPr>
          <w:rFonts w:ascii="Arial" w:hAnsi="Arial" w:cs="Arial"/>
        </w:rPr>
        <w:t>References</w:t>
      </w:r>
    </w:p>
    <w:p w14:paraId="0CBCAFAE" w14:textId="77777777" w:rsidR="00E2106C" w:rsidRDefault="00E2106C" w:rsidP="00C100CC">
      <w:pPr>
        <w:jc w:val="both"/>
        <w:rPr>
          <w:rFonts w:ascii="Arial" w:hAnsi="Arial" w:cs="Arial"/>
        </w:rPr>
      </w:pPr>
    </w:p>
    <w:p w14:paraId="0ED1E2BD" w14:textId="77777777" w:rsidR="006A64A3" w:rsidRDefault="006A64A3" w:rsidP="006A64A3">
      <w:r>
        <w:t>International Energy Agency (IEA). (2019). Energy Efficiency Indicators: Fundamental Principles of Statistics (pp. 3-4). International Energy Agency (IEA). www.iea.org</w:t>
      </w:r>
    </w:p>
    <w:p w14:paraId="24F41593" w14:textId="77777777" w:rsidR="006A64A3" w:rsidRDefault="006A64A3" w:rsidP="006A64A3">
      <w:r>
        <w:lastRenderedPageBreak/>
        <w:t>Amadou Oumarou Fati. (2021). IMPACT OF THE NATURE OF MATERIALS, ORIENTATION AND VENTILATION ON THERMAL COMFORT IN INDIVIDUAL HOUSING IN THE SAHELIAN CLIMATE [Single doctoral thesis]. Joseph KI-ZERBO University.</w:t>
      </w:r>
    </w:p>
    <w:p w14:paraId="42EC629F" w14:textId="77777777" w:rsidR="006A64A3" w:rsidRDefault="006A64A3" w:rsidP="006A64A3">
      <w:r>
        <w:t>Federico, M. B., Rajendra, A., &amp; Niccolo, A. (2015). SUSTAINABLE ARCHITECTURAL DESIGN IN TROPICAL ENVIRONMENTS: Principles and applications for East Africa (2015th ed.). UN-Habitat and OIF/IFDD. https://www.ifdd.francophonie.org</w:t>
      </w:r>
    </w:p>
    <w:p w14:paraId="01904CC6" w14:textId="77777777" w:rsidR="006A64A3" w:rsidRDefault="006A64A3" w:rsidP="006A64A3">
      <w:proofErr w:type="spellStart"/>
      <w:r>
        <w:t>Hanène</w:t>
      </w:r>
      <w:proofErr w:type="spellEnd"/>
      <w:r>
        <w:t xml:space="preserve"> </w:t>
      </w:r>
      <w:proofErr w:type="spellStart"/>
      <w:r>
        <w:t>Bettaieb</w:t>
      </w:r>
      <w:proofErr w:type="spellEnd"/>
      <w:r>
        <w:t>. (2015). Rationalization of energy consumption and quality of sustainable development: Study of the energy consumption-economic growth relationship (case of Tunisia) [Doctoral thesis, University of Sousse (Tunisia)]. tel-01919645. https://theses.hal.science/tel-01919645v1</w:t>
      </w:r>
    </w:p>
    <w:p w14:paraId="17DE07B2" w14:textId="77777777" w:rsidR="006A64A3" w:rsidRDefault="006A64A3" w:rsidP="006A64A3">
      <w:r>
        <w:t>National Institute of Statistics and Demography (INSD). (2021). Harmonized Survey on Household Living Conditions (EHCVM) of 2018. National Institute of Statistics and Demography (INSD).</w:t>
      </w:r>
    </w:p>
    <w:p w14:paraId="3BDA013F" w14:textId="77777777" w:rsidR="006A64A3" w:rsidRDefault="006A64A3" w:rsidP="006A64A3">
      <w:proofErr w:type="spellStart"/>
      <w:r>
        <w:t>Krejcie</w:t>
      </w:r>
      <w:proofErr w:type="spellEnd"/>
      <w:r>
        <w:t>, R. V. &amp; Morgan, D. W. (1970). Determining Sample Size for Research Activities. Educational and Psychological Measurement, 30(3), 607-610.</w:t>
      </w:r>
    </w:p>
    <w:p w14:paraId="356E9B1A" w14:textId="77777777" w:rsidR="006A64A3" w:rsidRDefault="006A64A3" w:rsidP="006A64A3">
      <w:r>
        <w:t>Ky Le. (2008). Optimal management of energy consumption in buildings [National Polytechnic Institute of Grenoble-INPG]. https://theses.hal.science/tel-00301368v1</w:t>
      </w:r>
    </w:p>
    <w:p w14:paraId="6F410212" w14:textId="77777777" w:rsidR="006A64A3" w:rsidRDefault="006A64A3" w:rsidP="006A64A3">
      <w:r>
        <w:t>Ministry of Economy, Finance and Foresight. (2022). Volume II: Characteristics of Households and the Population. National Institute of Statistics and Demography (INSD). www.insd.bf</w:t>
      </w:r>
    </w:p>
    <w:p w14:paraId="2BF94D46" w14:textId="77777777" w:rsidR="006A64A3" w:rsidRDefault="006A64A3" w:rsidP="006A64A3">
      <w:r>
        <w:t>Ministry of Environment, Water and Sanitation. (2023). DREI Burkina Faso—Complete Results March 2023. Directorate General of Energy, Burkina Faso.</w:t>
      </w:r>
    </w:p>
    <w:p w14:paraId="16163D17" w14:textId="77777777" w:rsidR="006A64A3" w:rsidRDefault="006A64A3" w:rsidP="006A64A3">
      <w:r>
        <w:t>Ministry of Housing and Urban Planning. (2012). MASTER PLAN FOR DEVELOPMENT AND URBANIZATION (SDAU) OF THE CITY OF KOUDOUGOU (Horizon 2030). Volume I: The portrait of the SDAU perimeter of the city of Koudougou (p. 15) [Final report]. Ministry of Housing and Urban Planning.</w:t>
      </w:r>
    </w:p>
    <w:p w14:paraId="6E3259D8" w14:textId="77777777" w:rsidR="006A64A3" w:rsidRDefault="006A64A3" w:rsidP="006A64A3">
      <w:r>
        <w:t>Ministry of Mines and Energy &amp; ECOWAS Centre for Renewable Energy and Energy Efficiency (ECREEE). (2015). National Renewable Energy Action Plan (PANER) – Burkina Faso. Ministry of Mines and Energy, Burkina Faso. http://www.mines.gov.bf/</w:t>
      </w:r>
    </w:p>
    <w:p w14:paraId="1CADA00B" w14:textId="77777777" w:rsidR="006A64A3" w:rsidRDefault="006A64A3" w:rsidP="006A64A3">
      <w:proofErr w:type="spellStart"/>
      <w:r>
        <w:t>Nebié</w:t>
      </w:r>
      <w:proofErr w:type="spellEnd"/>
      <w:r>
        <w:t xml:space="preserve">, F., Kaboré, B., Zoma, V., Ouedraogo, E., &amp; Kam, S. (2023). Modeling and Simulation of Heat Exchanges in a Habitat F1 Built </w:t>
      </w:r>
      <w:proofErr w:type="gramStart"/>
      <w:r>
        <w:t>With</w:t>
      </w:r>
      <w:proofErr w:type="gramEnd"/>
      <w:r>
        <w:t xml:space="preserve"> Concrete Blocks in the City of Koudougou. Elixir Thermal Engineering, 181, 57012</w:t>
      </w:r>
      <w:r>
        <w:rPr>
          <w:rFonts w:ascii="Cambria Math" w:hAnsi="Cambria Math" w:cs="Cambria Math"/>
        </w:rPr>
        <w:t>‑</w:t>
      </w:r>
      <w:r>
        <w:t>57018.</w:t>
      </w:r>
    </w:p>
    <w:p w14:paraId="4BE1811D" w14:textId="77777777" w:rsidR="006A64A3" w:rsidRDefault="006A64A3" w:rsidP="006A64A3">
      <w:r>
        <w:t xml:space="preserve">Stéphane </w:t>
      </w:r>
      <w:proofErr w:type="spellStart"/>
      <w:r>
        <w:t>Pouffary</w:t>
      </w:r>
      <w:proofErr w:type="spellEnd"/>
      <w:r>
        <w:t xml:space="preserve"> &amp; Guillaume </w:t>
      </w:r>
      <w:proofErr w:type="spellStart"/>
      <w:r>
        <w:t>Delaboulaye</w:t>
      </w:r>
      <w:proofErr w:type="spellEnd"/>
      <w:r>
        <w:t>. (2015). Guide to Sustainable Building in Tropical Regions Volume 1: Design Strategies for New Buildings in Tropical Regions (Institute of the Francophonie for Sustainable Development (IFDD)). Institute of the Francophonie for Sustainable Development (IFDD). https://www.ifdd.francophonie.org/ressources/ressourcespub.php?id=8</w:t>
      </w:r>
    </w:p>
    <w:p w14:paraId="25231B71" w14:textId="77777777" w:rsidR="006A64A3" w:rsidRDefault="006A64A3" w:rsidP="006A64A3">
      <w:r>
        <w:t xml:space="preserve">Stéphane </w:t>
      </w:r>
      <w:proofErr w:type="spellStart"/>
      <w:r>
        <w:t>Pouffary</w:t>
      </w:r>
      <w:proofErr w:type="spellEnd"/>
      <w:r>
        <w:t xml:space="preserve"> &amp; Guillaume </w:t>
      </w:r>
      <w:proofErr w:type="spellStart"/>
      <w:r>
        <w:t>Delaboulaye</w:t>
      </w:r>
      <w:proofErr w:type="spellEnd"/>
      <w:r>
        <w:t>. (2016). Guide to Sustainable Building in Tropical Regions – Volume 2 (Institute of the Francophonie for Sustainable Development (IFDD)). http://www.ifdd.francophonie.org/ressources/ressources-pub.php?id=8</w:t>
      </w:r>
    </w:p>
    <w:p w14:paraId="4EE072BA" w14:textId="77777777" w:rsidR="006A64A3" w:rsidRDefault="006A64A3" w:rsidP="006A64A3">
      <w:r>
        <w:t>Sustainable Energy for All. (2013). Burkina Faso: Rapid Assessment and Gap Analysis. SE4ALL Initiative, United Nations. https://www.se4all.org/</w:t>
      </w:r>
    </w:p>
    <w:p w14:paraId="139E17A6" w14:textId="77777777" w:rsidR="006A64A3" w:rsidRDefault="006A64A3" w:rsidP="006A64A3">
      <w:proofErr w:type="spellStart"/>
      <w:r>
        <w:t>Touria</w:t>
      </w:r>
      <w:proofErr w:type="spellEnd"/>
      <w:r>
        <w:t xml:space="preserve"> </w:t>
      </w:r>
      <w:proofErr w:type="spellStart"/>
      <w:r>
        <w:t>Barrad</w:t>
      </w:r>
      <w:proofErr w:type="spellEnd"/>
      <w:r>
        <w:t>. (2019). An Overview of the Household Energy Efficiency Situation in Morocco. Heinrich Böll Foundation Rabat.</w:t>
      </w:r>
    </w:p>
    <w:p w14:paraId="2832EE31" w14:textId="32FDF91F" w:rsidR="00B01FCD" w:rsidRDefault="006A64A3" w:rsidP="006A64A3">
      <w:r>
        <w:t>W.G. Cochran. (1977). Sampling Techniques (3rd edition). John Wiley &amp; Sons.</w:t>
      </w:r>
    </w:p>
    <w:p w14:paraId="690C80B9" w14:textId="77777777" w:rsidR="006A64A3" w:rsidRPr="00FB3A86" w:rsidRDefault="006A64A3" w:rsidP="006A64A3">
      <w:pPr>
        <w:rPr>
          <w:rFonts w:ascii="Arial" w:hAnsi="Arial" w:cs="Arial"/>
          <w:b/>
        </w:rPr>
      </w:pPr>
    </w:p>
    <w:sectPr w:rsidR="006A64A3" w:rsidRPr="00FB3A86" w:rsidSect="006049B5">
      <w:headerReference w:type="even" r:id="rId34"/>
      <w:headerReference w:type="default" r:id="rId35"/>
      <w:footerReference w:type="default" r:id="rId36"/>
      <w:headerReference w:type="first" r:id="rId37"/>
      <w:type w:val="continuous"/>
      <w:pgSz w:w="12240" w:h="15840"/>
      <w:pgMar w:top="1440" w:right="2016" w:bottom="2016" w:left="2016" w:header="720" w:footer="1123"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09C9F0" w14:textId="77777777" w:rsidR="004A2749" w:rsidRDefault="004A2749" w:rsidP="00C37E61">
      <w:r>
        <w:separator/>
      </w:r>
    </w:p>
  </w:endnote>
  <w:endnote w:type="continuationSeparator" w:id="0">
    <w:p w14:paraId="7D8B02C0" w14:textId="77777777" w:rsidR="004A2749" w:rsidRDefault="004A2749"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976F9E" w14:textId="77777777" w:rsidR="006049B5" w:rsidRDefault="006049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423846" w14:textId="77777777" w:rsidR="006049B5" w:rsidRDefault="006049B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15CA9B" w14:textId="77777777" w:rsidR="009E048A" w:rsidRDefault="009E048A">
    <w:pPr>
      <w:pStyle w:val="Footer"/>
      <w:rPr>
        <w:rFonts w:ascii="Arial" w:hAnsi="Arial" w:cs="Arial"/>
        <w:sz w:val="16"/>
      </w:rPr>
    </w:pPr>
  </w:p>
  <w:p w14:paraId="5B0A6EA7" w14:textId="77777777" w:rsidR="009E048A" w:rsidRDefault="009E048A" w:rsidP="009E048A">
    <w:pPr>
      <w:pStyle w:val="Footer"/>
      <w:jc w:val="center"/>
      <w:rPr>
        <w:rFonts w:ascii="Arial" w:hAnsi="Arial" w:cs="Arial"/>
        <w:sz w:val="16"/>
      </w:rPr>
    </w:pPr>
    <w:r>
      <w:rPr>
        <w:rFonts w:ascii="Arial" w:hAnsi="Arial" w:cs="Arial"/>
        <w:sz w:val="16"/>
      </w:rPr>
      <w:t>______________________________________________________________________</w:t>
    </w:r>
    <w:r w:rsidR="00BF121F">
      <w:rPr>
        <w:rFonts w:ascii="Arial" w:hAnsi="Arial" w:cs="Arial"/>
        <w:sz w:val="16"/>
      </w:rPr>
      <w:t>______________________</w:t>
    </w:r>
  </w:p>
  <w:p w14:paraId="3A43EE69" w14:textId="77777777" w:rsidR="009E048A" w:rsidRDefault="009E048A">
    <w:pPr>
      <w:pStyle w:val="Footer"/>
      <w:rPr>
        <w:rFonts w:ascii="Arial" w:hAnsi="Arial" w:cs="Arial"/>
        <w:sz w:val="16"/>
      </w:rPr>
    </w:pPr>
  </w:p>
  <w:p w14:paraId="5B1E01A4" w14:textId="77777777" w:rsidR="00754C9A" w:rsidRPr="009E048A" w:rsidRDefault="00754C9A">
    <w:pPr>
      <w:pStyle w:val="Footer"/>
      <w:rPr>
        <w:rFonts w:ascii="Arial" w:hAnsi="Arial" w:cs="Arial"/>
        <w:i/>
        <w:sz w:val="16"/>
      </w:rPr>
    </w:pPr>
    <w:r w:rsidRPr="009E048A">
      <w:rPr>
        <w:rFonts w:ascii="Arial" w:hAnsi="Arial" w:cs="Arial"/>
        <w:i/>
        <w:sz w:val="16"/>
      </w:rPr>
      <w:t>*Corresponding author: Email: XYZ@ABC.COM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53ECD2"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B8A841" w14:textId="77777777" w:rsidR="004A2749" w:rsidRDefault="004A2749" w:rsidP="00C37E61">
      <w:r>
        <w:separator/>
      </w:r>
    </w:p>
  </w:footnote>
  <w:footnote w:type="continuationSeparator" w:id="0">
    <w:p w14:paraId="39789784" w14:textId="77777777" w:rsidR="004A2749" w:rsidRDefault="004A2749"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A7532F" w14:textId="5B2373E9" w:rsidR="006049B5" w:rsidRDefault="006049B5">
    <w:pPr>
      <w:pStyle w:val="Header"/>
    </w:pPr>
    <w:r>
      <w:rPr>
        <w:noProof/>
      </w:rPr>
      <w:pict w14:anchorId="1DB245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519.9pt;height:58.6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D5451E" w14:textId="222D4143" w:rsidR="006049B5" w:rsidRDefault="006049B5">
    <w:pPr>
      <w:pStyle w:val="Header"/>
    </w:pPr>
    <w:r>
      <w:rPr>
        <w:noProof/>
      </w:rPr>
      <w:pict w14:anchorId="260829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margin-left:0;margin-top:0;width:519.9pt;height:58.6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9F6A45" w14:textId="5D0E4CC1" w:rsidR="00296529" w:rsidRPr="00296529" w:rsidRDefault="006049B5" w:rsidP="00296529">
    <w:pPr>
      <w:ind w:left="2160"/>
      <w:jc w:val="center"/>
      <w:rPr>
        <w:rFonts w:ascii="Times New Roman" w:eastAsia="Calibri" w:hAnsi="Times New Roman"/>
        <w:i/>
        <w:sz w:val="18"/>
        <w:szCs w:val="22"/>
      </w:rPr>
    </w:pPr>
    <w:r>
      <w:rPr>
        <w:noProof/>
      </w:rPr>
      <w:pict w14:anchorId="1377268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style="position:absolute;left:0;text-align:left;margin-left:0;margin-top:0;width:519.9pt;height:58.6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v:shape>
      </w:pict>
    </w:r>
  </w:p>
  <w:p w14:paraId="48BCB2E8"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0A283FF5"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452A4D08"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02D9FA23"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7F5DB61A"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491FF5CA" w14:textId="77777777"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8361B2" w14:textId="52A8DD08" w:rsidR="006049B5" w:rsidRDefault="006049B5">
    <w:pPr>
      <w:pStyle w:val="Header"/>
    </w:pPr>
    <w:r>
      <w:rPr>
        <w:noProof/>
      </w:rPr>
      <w:pict w14:anchorId="44DFA42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style="position:absolute;margin-left:0;margin-top:0;width:519.9pt;height:58.65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907D9F" w14:textId="2C2DD11D" w:rsidR="006049B5" w:rsidRDefault="006049B5">
    <w:pPr>
      <w:pStyle w:val="Header"/>
    </w:pPr>
    <w:r>
      <w:rPr>
        <w:noProof/>
      </w:rPr>
      <w:pict w14:anchorId="1311C7E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4" type="#_x0000_t136" style="position:absolute;margin-left:0;margin-top:0;width:519.9pt;height:58.65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4C66BA" w14:textId="23A79F8D" w:rsidR="006049B5" w:rsidRDefault="006049B5">
    <w:pPr>
      <w:pStyle w:val="Header"/>
    </w:pPr>
    <w:r>
      <w:rPr>
        <w:noProof/>
      </w:rPr>
      <w:pict w14:anchorId="7F95749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style="position:absolute;margin-left:0;margin-top:0;width:519.9pt;height:58.65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6"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8"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0"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2"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3"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4"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6"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5"/>
  </w:num>
  <w:num w:numId="3">
    <w:abstractNumId w:val="23"/>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7"/>
  </w:num>
  <w:num w:numId="6">
    <w:abstractNumId w:val="6"/>
  </w:num>
  <w:num w:numId="7">
    <w:abstractNumId w:val="1"/>
  </w:num>
  <w:num w:numId="8">
    <w:abstractNumId w:val="12"/>
  </w:num>
  <w:num w:numId="9">
    <w:abstractNumId w:val="25"/>
  </w:num>
  <w:num w:numId="10">
    <w:abstractNumId w:val="2"/>
  </w:num>
  <w:num w:numId="11">
    <w:abstractNumId w:val="18"/>
  </w:num>
  <w:num w:numId="12">
    <w:abstractNumId w:val="3"/>
  </w:num>
  <w:num w:numId="13">
    <w:abstractNumId w:val="17"/>
  </w:num>
  <w:num w:numId="14">
    <w:abstractNumId w:val="8"/>
  </w:num>
  <w:num w:numId="15">
    <w:abstractNumId w:val="21"/>
  </w:num>
  <w:num w:numId="16">
    <w:abstractNumId w:val="5"/>
  </w:num>
  <w:num w:numId="17">
    <w:abstractNumId w:val="22"/>
  </w:num>
  <w:num w:numId="18">
    <w:abstractNumId w:val="14"/>
  </w:num>
  <w:num w:numId="19">
    <w:abstractNumId w:val="28"/>
  </w:num>
  <w:num w:numId="20">
    <w:abstractNumId w:val="11"/>
  </w:num>
  <w:num w:numId="21">
    <w:abstractNumId w:val="9"/>
  </w:num>
  <w:num w:numId="22">
    <w:abstractNumId w:val="13"/>
  </w:num>
  <w:num w:numId="23">
    <w:abstractNumId w:val="19"/>
  </w:num>
  <w:num w:numId="24">
    <w:abstractNumId w:val="26"/>
  </w:num>
  <w:num w:numId="25">
    <w:abstractNumId w:val="4"/>
  </w:num>
  <w:num w:numId="26">
    <w:abstractNumId w:val="16"/>
  </w:num>
  <w:num w:numId="27">
    <w:abstractNumId w:val="20"/>
  </w:num>
  <w:num w:numId="28">
    <w:abstractNumId w:val="27"/>
  </w:num>
  <w:num w:numId="29">
    <w:abstractNumId w:val="24"/>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2"/>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6219"/>
    <w:rsid w:val="00000F8F"/>
    <w:rsid w:val="00022130"/>
    <w:rsid w:val="00030174"/>
    <w:rsid w:val="0004579C"/>
    <w:rsid w:val="00047812"/>
    <w:rsid w:val="000A4310"/>
    <w:rsid w:val="000A47FA"/>
    <w:rsid w:val="000A65D3"/>
    <w:rsid w:val="000B1E33"/>
    <w:rsid w:val="000D689F"/>
    <w:rsid w:val="000E7B7B"/>
    <w:rsid w:val="000E7D62"/>
    <w:rsid w:val="00103357"/>
    <w:rsid w:val="00104BE9"/>
    <w:rsid w:val="00106DA3"/>
    <w:rsid w:val="00123C9F"/>
    <w:rsid w:val="00126190"/>
    <w:rsid w:val="00130F17"/>
    <w:rsid w:val="001320BF"/>
    <w:rsid w:val="00163BC4"/>
    <w:rsid w:val="00191062"/>
    <w:rsid w:val="00192B72"/>
    <w:rsid w:val="001A29D8"/>
    <w:rsid w:val="001A5CAA"/>
    <w:rsid w:val="001B0427"/>
    <w:rsid w:val="001D3A51"/>
    <w:rsid w:val="001E10D2"/>
    <w:rsid w:val="001E25B4"/>
    <w:rsid w:val="001E44FE"/>
    <w:rsid w:val="001E4FAD"/>
    <w:rsid w:val="00200595"/>
    <w:rsid w:val="00204835"/>
    <w:rsid w:val="002165C3"/>
    <w:rsid w:val="00231920"/>
    <w:rsid w:val="0023195C"/>
    <w:rsid w:val="0024282C"/>
    <w:rsid w:val="0024585B"/>
    <w:rsid w:val="002460DC"/>
    <w:rsid w:val="00250985"/>
    <w:rsid w:val="002556F6"/>
    <w:rsid w:val="00283105"/>
    <w:rsid w:val="00284C4C"/>
    <w:rsid w:val="00287E68"/>
    <w:rsid w:val="00296529"/>
    <w:rsid w:val="002A130C"/>
    <w:rsid w:val="002B27FB"/>
    <w:rsid w:val="002B35C9"/>
    <w:rsid w:val="002B685A"/>
    <w:rsid w:val="002B7F07"/>
    <w:rsid w:val="002C0F64"/>
    <w:rsid w:val="002C363C"/>
    <w:rsid w:val="002C57D2"/>
    <w:rsid w:val="002E0D56"/>
    <w:rsid w:val="00315186"/>
    <w:rsid w:val="00332D29"/>
    <w:rsid w:val="0033343E"/>
    <w:rsid w:val="003512C2"/>
    <w:rsid w:val="00371FB6"/>
    <w:rsid w:val="003763C1"/>
    <w:rsid w:val="00376BBE"/>
    <w:rsid w:val="0039224F"/>
    <w:rsid w:val="003A43A4"/>
    <w:rsid w:val="003A7E18"/>
    <w:rsid w:val="003C4C86"/>
    <w:rsid w:val="003C6258"/>
    <w:rsid w:val="003E2904"/>
    <w:rsid w:val="00401927"/>
    <w:rsid w:val="00402E4D"/>
    <w:rsid w:val="0041027F"/>
    <w:rsid w:val="00412475"/>
    <w:rsid w:val="00415064"/>
    <w:rsid w:val="00423789"/>
    <w:rsid w:val="0043743A"/>
    <w:rsid w:val="00440F43"/>
    <w:rsid w:val="00441B6F"/>
    <w:rsid w:val="00446221"/>
    <w:rsid w:val="00450E62"/>
    <w:rsid w:val="004539DB"/>
    <w:rsid w:val="00471A80"/>
    <w:rsid w:val="004765A9"/>
    <w:rsid w:val="004A2749"/>
    <w:rsid w:val="004A6473"/>
    <w:rsid w:val="004A7252"/>
    <w:rsid w:val="004D305E"/>
    <w:rsid w:val="004D4277"/>
    <w:rsid w:val="00502516"/>
    <w:rsid w:val="00505F06"/>
    <w:rsid w:val="00506828"/>
    <w:rsid w:val="0053056E"/>
    <w:rsid w:val="00554FDA"/>
    <w:rsid w:val="00593E90"/>
    <w:rsid w:val="005B6A4E"/>
    <w:rsid w:val="005C784C"/>
    <w:rsid w:val="005D17F6"/>
    <w:rsid w:val="005E5539"/>
    <w:rsid w:val="00602BF5"/>
    <w:rsid w:val="006049B5"/>
    <w:rsid w:val="00617FDD"/>
    <w:rsid w:val="00633614"/>
    <w:rsid w:val="00633F68"/>
    <w:rsid w:val="00636EB2"/>
    <w:rsid w:val="006375B8"/>
    <w:rsid w:val="0066510A"/>
    <w:rsid w:val="00673F9F"/>
    <w:rsid w:val="00686953"/>
    <w:rsid w:val="00687DEA"/>
    <w:rsid w:val="00687E67"/>
    <w:rsid w:val="006967F7"/>
    <w:rsid w:val="006A250C"/>
    <w:rsid w:val="006A64A3"/>
    <w:rsid w:val="006B21D3"/>
    <w:rsid w:val="006B57D0"/>
    <w:rsid w:val="006D30FF"/>
    <w:rsid w:val="006D6940"/>
    <w:rsid w:val="006E7ABD"/>
    <w:rsid w:val="006F11EC"/>
    <w:rsid w:val="0070082C"/>
    <w:rsid w:val="007369E6"/>
    <w:rsid w:val="007465FD"/>
    <w:rsid w:val="00746E59"/>
    <w:rsid w:val="00754C9A"/>
    <w:rsid w:val="0075599A"/>
    <w:rsid w:val="00761D52"/>
    <w:rsid w:val="0077749E"/>
    <w:rsid w:val="00787E2A"/>
    <w:rsid w:val="00790ADA"/>
    <w:rsid w:val="007D2288"/>
    <w:rsid w:val="007E088F"/>
    <w:rsid w:val="007F23C3"/>
    <w:rsid w:val="007F4DAF"/>
    <w:rsid w:val="007F7B32"/>
    <w:rsid w:val="00804BC2"/>
    <w:rsid w:val="008056F6"/>
    <w:rsid w:val="0081431A"/>
    <w:rsid w:val="00826090"/>
    <w:rsid w:val="0083216F"/>
    <w:rsid w:val="00860000"/>
    <w:rsid w:val="00863BD3"/>
    <w:rsid w:val="008641ED"/>
    <w:rsid w:val="00866D66"/>
    <w:rsid w:val="008671C6"/>
    <w:rsid w:val="00875803"/>
    <w:rsid w:val="008A2ADA"/>
    <w:rsid w:val="008B4308"/>
    <w:rsid w:val="008B459E"/>
    <w:rsid w:val="008E13AE"/>
    <w:rsid w:val="008E1506"/>
    <w:rsid w:val="008E710C"/>
    <w:rsid w:val="008F69D6"/>
    <w:rsid w:val="00902823"/>
    <w:rsid w:val="00915CA6"/>
    <w:rsid w:val="00927834"/>
    <w:rsid w:val="009500A6"/>
    <w:rsid w:val="00957C18"/>
    <w:rsid w:val="009659BA"/>
    <w:rsid w:val="00983040"/>
    <w:rsid w:val="009933C3"/>
    <w:rsid w:val="009B3887"/>
    <w:rsid w:val="009B3FB9"/>
    <w:rsid w:val="009C2465"/>
    <w:rsid w:val="009C55F9"/>
    <w:rsid w:val="009D35A0"/>
    <w:rsid w:val="009D7EB7"/>
    <w:rsid w:val="009E048A"/>
    <w:rsid w:val="009E08E9"/>
    <w:rsid w:val="009E3DB9"/>
    <w:rsid w:val="009E6E35"/>
    <w:rsid w:val="009F0EDA"/>
    <w:rsid w:val="00A03B96"/>
    <w:rsid w:val="00A05B19"/>
    <w:rsid w:val="00A07F82"/>
    <w:rsid w:val="00A1134E"/>
    <w:rsid w:val="00A24E7E"/>
    <w:rsid w:val="00A258C3"/>
    <w:rsid w:val="00A347C0"/>
    <w:rsid w:val="00A51431"/>
    <w:rsid w:val="00A539AD"/>
    <w:rsid w:val="00A66938"/>
    <w:rsid w:val="00A94063"/>
    <w:rsid w:val="00AA2BC0"/>
    <w:rsid w:val="00AA6219"/>
    <w:rsid w:val="00AA74E0"/>
    <w:rsid w:val="00AB703F"/>
    <w:rsid w:val="00AC6BB8"/>
    <w:rsid w:val="00AE008F"/>
    <w:rsid w:val="00B01FCD"/>
    <w:rsid w:val="00B1776C"/>
    <w:rsid w:val="00B2715E"/>
    <w:rsid w:val="00B52583"/>
    <w:rsid w:val="00B52896"/>
    <w:rsid w:val="00B95236"/>
    <w:rsid w:val="00B96BD9"/>
    <w:rsid w:val="00BA1B01"/>
    <w:rsid w:val="00BA2641"/>
    <w:rsid w:val="00BB37AA"/>
    <w:rsid w:val="00BC53A0"/>
    <w:rsid w:val="00BD7B1D"/>
    <w:rsid w:val="00BE0B82"/>
    <w:rsid w:val="00BE62AD"/>
    <w:rsid w:val="00BF121F"/>
    <w:rsid w:val="00BF1F80"/>
    <w:rsid w:val="00BF366C"/>
    <w:rsid w:val="00C100CC"/>
    <w:rsid w:val="00C166EF"/>
    <w:rsid w:val="00C17EB0"/>
    <w:rsid w:val="00C27F5F"/>
    <w:rsid w:val="00C30A0F"/>
    <w:rsid w:val="00C37E61"/>
    <w:rsid w:val="00C601EB"/>
    <w:rsid w:val="00C70F1B"/>
    <w:rsid w:val="00C71A47"/>
    <w:rsid w:val="00C722C7"/>
    <w:rsid w:val="00C7464C"/>
    <w:rsid w:val="00C85588"/>
    <w:rsid w:val="00CD6755"/>
    <w:rsid w:val="00CD6856"/>
    <w:rsid w:val="00CE0089"/>
    <w:rsid w:val="00CE793C"/>
    <w:rsid w:val="00CF193C"/>
    <w:rsid w:val="00CF6FAE"/>
    <w:rsid w:val="00D173F1"/>
    <w:rsid w:val="00D37855"/>
    <w:rsid w:val="00D42E06"/>
    <w:rsid w:val="00D74CB0"/>
    <w:rsid w:val="00D806CC"/>
    <w:rsid w:val="00D8295D"/>
    <w:rsid w:val="00DC2A65"/>
    <w:rsid w:val="00DD4224"/>
    <w:rsid w:val="00DE15F0"/>
    <w:rsid w:val="00DE5663"/>
    <w:rsid w:val="00DE78AA"/>
    <w:rsid w:val="00E053D0"/>
    <w:rsid w:val="00E15994"/>
    <w:rsid w:val="00E2106C"/>
    <w:rsid w:val="00E3114E"/>
    <w:rsid w:val="00E31A70"/>
    <w:rsid w:val="00E35B02"/>
    <w:rsid w:val="00E66496"/>
    <w:rsid w:val="00E66B35"/>
    <w:rsid w:val="00E66E10"/>
    <w:rsid w:val="00E769F6"/>
    <w:rsid w:val="00E8407C"/>
    <w:rsid w:val="00E84F3C"/>
    <w:rsid w:val="00E864BD"/>
    <w:rsid w:val="00EA012C"/>
    <w:rsid w:val="00EC6A55"/>
    <w:rsid w:val="00ED0288"/>
    <w:rsid w:val="00EE52CB"/>
    <w:rsid w:val="00EF581D"/>
    <w:rsid w:val="00EF7FD8"/>
    <w:rsid w:val="00F06F59"/>
    <w:rsid w:val="00F17988"/>
    <w:rsid w:val="00F427C6"/>
    <w:rsid w:val="00F469F0"/>
    <w:rsid w:val="00F53273"/>
    <w:rsid w:val="00F755E4"/>
    <w:rsid w:val="00F77D02"/>
    <w:rsid w:val="00F83683"/>
    <w:rsid w:val="00FB3A86"/>
    <w:rsid w:val="00FD36C8"/>
    <w:rsid w:val="00FE7A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8C83DD4"/>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customStyle="1" w:styleId="Mentionnonrsolue1">
    <w:name w:val="Mention non résolue1"/>
    <w:basedOn w:val="DefaultParagraphFont"/>
    <w:uiPriority w:val="99"/>
    <w:semiHidden/>
    <w:unhideWhenUsed/>
    <w:rsid w:val="00287E68"/>
    <w:rPr>
      <w:color w:val="605E5C"/>
      <w:shd w:val="clear" w:color="auto" w:fill="E1DFDD"/>
    </w:rPr>
  </w:style>
  <w:style w:type="table" w:styleId="PlainTable4">
    <w:name w:val="Plain Table 4"/>
    <w:basedOn w:val="TableNormal"/>
    <w:uiPriority w:val="44"/>
    <w:rsid w:val="00BE0B8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simple41">
    <w:name w:val="Tableau simple 41"/>
    <w:basedOn w:val="TableNormal"/>
    <w:next w:val="PlainTable4"/>
    <w:uiPriority w:val="44"/>
    <w:rsid w:val="00C601EB"/>
    <w:rPr>
      <w:rFonts w:ascii="Calibri" w:eastAsia="Calibri" w:hAnsi="Calibri"/>
      <w:sz w:val="22"/>
      <w:szCs w:val="22"/>
      <w:lang w:val="fr-F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Caption">
    <w:name w:val="caption"/>
    <w:basedOn w:val="Normal"/>
    <w:next w:val="Normal"/>
    <w:uiPriority w:val="35"/>
    <w:unhideWhenUsed/>
    <w:qFormat/>
    <w:rsid w:val="00B2715E"/>
    <w:pPr>
      <w:spacing w:after="200"/>
    </w:pPr>
    <w:rPr>
      <w:rFonts w:asciiTheme="minorHAnsi" w:eastAsiaTheme="minorHAnsi" w:hAnsiTheme="minorHAnsi" w:cstheme="minorBidi"/>
      <w:i/>
      <w:iCs/>
      <w:color w:val="1F497D" w:themeColor="text2"/>
      <w:sz w:val="18"/>
      <w:szCs w:val="18"/>
      <w:lang w:val="fr-FR"/>
    </w:rPr>
  </w:style>
  <w:style w:type="paragraph" w:styleId="Bibliography">
    <w:name w:val="Bibliography"/>
    <w:basedOn w:val="Normal"/>
    <w:next w:val="Normal"/>
    <w:uiPriority w:val="37"/>
    <w:unhideWhenUsed/>
    <w:rsid w:val="00C100CC"/>
    <w:pPr>
      <w:spacing w:line="480" w:lineRule="auto"/>
      <w:ind w:left="720" w:hanging="720"/>
    </w:pPr>
  </w:style>
  <w:style w:type="character" w:styleId="UnresolvedMention">
    <w:name w:val="Unresolved Mention"/>
    <w:basedOn w:val="DefaultParagraphFont"/>
    <w:uiPriority w:val="99"/>
    <w:semiHidden/>
    <w:unhideWhenUsed/>
    <w:rsid w:val="00415064"/>
    <w:rPr>
      <w:color w:val="605E5C"/>
      <w:shd w:val="clear" w:color="auto" w:fill="E1DFDD"/>
    </w:rPr>
  </w:style>
  <w:style w:type="paragraph" w:styleId="ListParagraph">
    <w:name w:val="List Paragraph"/>
    <w:basedOn w:val="Normal"/>
    <w:uiPriority w:val="34"/>
    <w:qFormat/>
    <w:rsid w:val="005B6A4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51970080">
      <w:bodyDiv w:val="1"/>
      <w:marLeft w:val="0"/>
      <w:marRight w:val="0"/>
      <w:marTop w:val="0"/>
      <w:marBottom w:val="0"/>
      <w:divBdr>
        <w:top w:val="none" w:sz="0" w:space="0" w:color="auto"/>
        <w:left w:val="none" w:sz="0" w:space="0" w:color="auto"/>
        <w:bottom w:val="none" w:sz="0" w:space="0" w:color="auto"/>
        <w:right w:val="none" w:sz="0" w:space="0" w:color="auto"/>
      </w:divBdr>
      <w:divsChild>
        <w:div w:id="840509750">
          <w:marLeft w:val="480"/>
          <w:marRight w:val="0"/>
          <w:marTop w:val="0"/>
          <w:marBottom w:val="0"/>
          <w:divBdr>
            <w:top w:val="none" w:sz="0" w:space="0" w:color="auto"/>
            <w:left w:val="none" w:sz="0" w:space="0" w:color="auto"/>
            <w:bottom w:val="none" w:sz="0" w:space="0" w:color="auto"/>
            <w:right w:val="none" w:sz="0" w:space="0" w:color="auto"/>
          </w:divBdr>
          <w:divsChild>
            <w:div w:id="1242061087">
              <w:marLeft w:val="0"/>
              <w:marRight w:val="0"/>
              <w:marTop w:val="0"/>
              <w:marBottom w:val="0"/>
              <w:divBdr>
                <w:top w:val="none" w:sz="0" w:space="0" w:color="auto"/>
                <w:left w:val="none" w:sz="0" w:space="0" w:color="auto"/>
                <w:bottom w:val="none" w:sz="0" w:space="0" w:color="auto"/>
                <w:right w:val="none" w:sz="0" w:space="0" w:color="auto"/>
              </w:divBdr>
            </w:div>
            <w:div w:id="202717452">
              <w:marLeft w:val="0"/>
              <w:marRight w:val="0"/>
              <w:marTop w:val="0"/>
              <w:marBottom w:val="0"/>
              <w:divBdr>
                <w:top w:val="none" w:sz="0" w:space="0" w:color="auto"/>
                <w:left w:val="none" w:sz="0" w:space="0" w:color="auto"/>
                <w:bottom w:val="none" w:sz="0" w:space="0" w:color="auto"/>
                <w:right w:val="none" w:sz="0" w:space="0" w:color="auto"/>
              </w:divBdr>
            </w:div>
            <w:div w:id="308367432">
              <w:marLeft w:val="0"/>
              <w:marRight w:val="0"/>
              <w:marTop w:val="0"/>
              <w:marBottom w:val="0"/>
              <w:divBdr>
                <w:top w:val="none" w:sz="0" w:space="0" w:color="auto"/>
                <w:left w:val="none" w:sz="0" w:space="0" w:color="auto"/>
                <w:bottom w:val="none" w:sz="0" w:space="0" w:color="auto"/>
                <w:right w:val="none" w:sz="0" w:space="0" w:color="auto"/>
              </w:divBdr>
            </w:div>
            <w:div w:id="2007826900">
              <w:marLeft w:val="0"/>
              <w:marRight w:val="0"/>
              <w:marTop w:val="0"/>
              <w:marBottom w:val="0"/>
              <w:divBdr>
                <w:top w:val="none" w:sz="0" w:space="0" w:color="auto"/>
                <w:left w:val="none" w:sz="0" w:space="0" w:color="auto"/>
                <w:bottom w:val="none" w:sz="0" w:space="0" w:color="auto"/>
                <w:right w:val="none" w:sz="0" w:space="0" w:color="auto"/>
              </w:divBdr>
            </w:div>
            <w:div w:id="591815229">
              <w:marLeft w:val="0"/>
              <w:marRight w:val="0"/>
              <w:marTop w:val="0"/>
              <w:marBottom w:val="0"/>
              <w:divBdr>
                <w:top w:val="none" w:sz="0" w:space="0" w:color="auto"/>
                <w:left w:val="none" w:sz="0" w:space="0" w:color="auto"/>
                <w:bottom w:val="none" w:sz="0" w:space="0" w:color="auto"/>
                <w:right w:val="none" w:sz="0" w:space="0" w:color="auto"/>
              </w:divBdr>
            </w:div>
            <w:div w:id="1828741730">
              <w:marLeft w:val="0"/>
              <w:marRight w:val="0"/>
              <w:marTop w:val="0"/>
              <w:marBottom w:val="0"/>
              <w:divBdr>
                <w:top w:val="none" w:sz="0" w:space="0" w:color="auto"/>
                <w:left w:val="none" w:sz="0" w:space="0" w:color="auto"/>
                <w:bottom w:val="none" w:sz="0" w:space="0" w:color="auto"/>
                <w:right w:val="none" w:sz="0" w:space="0" w:color="auto"/>
              </w:divBdr>
            </w:div>
            <w:div w:id="1695763905">
              <w:marLeft w:val="0"/>
              <w:marRight w:val="0"/>
              <w:marTop w:val="0"/>
              <w:marBottom w:val="0"/>
              <w:divBdr>
                <w:top w:val="none" w:sz="0" w:space="0" w:color="auto"/>
                <w:left w:val="none" w:sz="0" w:space="0" w:color="auto"/>
                <w:bottom w:val="none" w:sz="0" w:space="0" w:color="auto"/>
                <w:right w:val="none" w:sz="0" w:space="0" w:color="auto"/>
              </w:divBdr>
            </w:div>
            <w:div w:id="240678713">
              <w:marLeft w:val="0"/>
              <w:marRight w:val="0"/>
              <w:marTop w:val="0"/>
              <w:marBottom w:val="0"/>
              <w:divBdr>
                <w:top w:val="none" w:sz="0" w:space="0" w:color="auto"/>
                <w:left w:val="none" w:sz="0" w:space="0" w:color="auto"/>
                <w:bottom w:val="none" w:sz="0" w:space="0" w:color="auto"/>
                <w:right w:val="none" w:sz="0" w:space="0" w:color="auto"/>
              </w:divBdr>
            </w:div>
            <w:div w:id="1623881535">
              <w:marLeft w:val="0"/>
              <w:marRight w:val="0"/>
              <w:marTop w:val="0"/>
              <w:marBottom w:val="0"/>
              <w:divBdr>
                <w:top w:val="none" w:sz="0" w:space="0" w:color="auto"/>
                <w:left w:val="none" w:sz="0" w:space="0" w:color="auto"/>
                <w:bottom w:val="none" w:sz="0" w:space="0" w:color="auto"/>
                <w:right w:val="none" w:sz="0" w:space="0" w:color="auto"/>
              </w:divBdr>
            </w:div>
            <w:div w:id="1730105758">
              <w:marLeft w:val="0"/>
              <w:marRight w:val="0"/>
              <w:marTop w:val="0"/>
              <w:marBottom w:val="0"/>
              <w:divBdr>
                <w:top w:val="none" w:sz="0" w:space="0" w:color="auto"/>
                <w:left w:val="none" w:sz="0" w:space="0" w:color="auto"/>
                <w:bottom w:val="none" w:sz="0" w:space="0" w:color="auto"/>
                <w:right w:val="none" w:sz="0" w:space="0" w:color="auto"/>
              </w:divBdr>
            </w:div>
            <w:div w:id="922224381">
              <w:marLeft w:val="0"/>
              <w:marRight w:val="0"/>
              <w:marTop w:val="0"/>
              <w:marBottom w:val="0"/>
              <w:divBdr>
                <w:top w:val="none" w:sz="0" w:space="0" w:color="auto"/>
                <w:left w:val="none" w:sz="0" w:space="0" w:color="auto"/>
                <w:bottom w:val="none" w:sz="0" w:space="0" w:color="auto"/>
                <w:right w:val="none" w:sz="0" w:space="0" w:color="auto"/>
              </w:divBdr>
            </w:div>
            <w:div w:id="670330539">
              <w:marLeft w:val="0"/>
              <w:marRight w:val="0"/>
              <w:marTop w:val="0"/>
              <w:marBottom w:val="0"/>
              <w:divBdr>
                <w:top w:val="none" w:sz="0" w:space="0" w:color="auto"/>
                <w:left w:val="none" w:sz="0" w:space="0" w:color="auto"/>
                <w:bottom w:val="none" w:sz="0" w:space="0" w:color="auto"/>
                <w:right w:val="none" w:sz="0" w:space="0" w:color="auto"/>
              </w:divBdr>
            </w:div>
            <w:div w:id="994798998">
              <w:marLeft w:val="0"/>
              <w:marRight w:val="0"/>
              <w:marTop w:val="0"/>
              <w:marBottom w:val="0"/>
              <w:divBdr>
                <w:top w:val="none" w:sz="0" w:space="0" w:color="auto"/>
                <w:left w:val="none" w:sz="0" w:space="0" w:color="auto"/>
                <w:bottom w:val="none" w:sz="0" w:space="0" w:color="auto"/>
                <w:right w:val="none" w:sz="0" w:space="0" w:color="auto"/>
              </w:divBdr>
            </w:div>
            <w:div w:id="1078094232">
              <w:marLeft w:val="0"/>
              <w:marRight w:val="0"/>
              <w:marTop w:val="0"/>
              <w:marBottom w:val="0"/>
              <w:divBdr>
                <w:top w:val="none" w:sz="0" w:space="0" w:color="auto"/>
                <w:left w:val="none" w:sz="0" w:space="0" w:color="auto"/>
                <w:bottom w:val="none" w:sz="0" w:space="0" w:color="auto"/>
                <w:right w:val="none" w:sz="0" w:space="0" w:color="auto"/>
              </w:divBdr>
            </w:div>
            <w:div w:id="401606601">
              <w:marLeft w:val="0"/>
              <w:marRight w:val="0"/>
              <w:marTop w:val="0"/>
              <w:marBottom w:val="0"/>
              <w:divBdr>
                <w:top w:val="none" w:sz="0" w:space="0" w:color="auto"/>
                <w:left w:val="none" w:sz="0" w:space="0" w:color="auto"/>
                <w:bottom w:val="none" w:sz="0" w:space="0" w:color="auto"/>
                <w:right w:val="none" w:sz="0" w:space="0" w:color="auto"/>
              </w:divBdr>
            </w:div>
            <w:div w:id="657807261">
              <w:marLeft w:val="0"/>
              <w:marRight w:val="0"/>
              <w:marTop w:val="0"/>
              <w:marBottom w:val="0"/>
              <w:divBdr>
                <w:top w:val="none" w:sz="0" w:space="0" w:color="auto"/>
                <w:left w:val="none" w:sz="0" w:space="0" w:color="auto"/>
                <w:bottom w:val="none" w:sz="0" w:space="0" w:color="auto"/>
                <w:right w:val="none" w:sz="0" w:space="0" w:color="auto"/>
              </w:divBdr>
            </w:div>
            <w:div w:id="87584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397944299">
      <w:bodyDiv w:val="1"/>
      <w:marLeft w:val="0"/>
      <w:marRight w:val="0"/>
      <w:marTop w:val="0"/>
      <w:marBottom w:val="0"/>
      <w:divBdr>
        <w:top w:val="none" w:sz="0" w:space="0" w:color="auto"/>
        <w:left w:val="none" w:sz="0" w:space="0" w:color="auto"/>
        <w:bottom w:val="none" w:sz="0" w:space="0" w:color="auto"/>
        <w:right w:val="none" w:sz="0" w:space="0" w:color="auto"/>
      </w:divBdr>
      <w:divsChild>
        <w:div w:id="821698122">
          <w:marLeft w:val="480"/>
          <w:marRight w:val="0"/>
          <w:marTop w:val="0"/>
          <w:marBottom w:val="0"/>
          <w:divBdr>
            <w:top w:val="none" w:sz="0" w:space="0" w:color="auto"/>
            <w:left w:val="none" w:sz="0" w:space="0" w:color="auto"/>
            <w:bottom w:val="none" w:sz="0" w:space="0" w:color="auto"/>
            <w:right w:val="none" w:sz="0" w:space="0" w:color="auto"/>
          </w:divBdr>
          <w:divsChild>
            <w:div w:id="227616564">
              <w:marLeft w:val="0"/>
              <w:marRight w:val="0"/>
              <w:marTop w:val="0"/>
              <w:marBottom w:val="0"/>
              <w:divBdr>
                <w:top w:val="none" w:sz="0" w:space="0" w:color="auto"/>
                <w:left w:val="none" w:sz="0" w:space="0" w:color="auto"/>
                <w:bottom w:val="none" w:sz="0" w:space="0" w:color="auto"/>
                <w:right w:val="none" w:sz="0" w:space="0" w:color="auto"/>
              </w:divBdr>
            </w:div>
            <w:div w:id="381562733">
              <w:marLeft w:val="0"/>
              <w:marRight w:val="0"/>
              <w:marTop w:val="0"/>
              <w:marBottom w:val="0"/>
              <w:divBdr>
                <w:top w:val="none" w:sz="0" w:space="0" w:color="auto"/>
                <w:left w:val="none" w:sz="0" w:space="0" w:color="auto"/>
                <w:bottom w:val="none" w:sz="0" w:space="0" w:color="auto"/>
                <w:right w:val="none" w:sz="0" w:space="0" w:color="auto"/>
              </w:divBdr>
            </w:div>
            <w:div w:id="263458508">
              <w:marLeft w:val="0"/>
              <w:marRight w:val="0"/>
              <w:marTop w:val="0"/>
              <w:marBottom w:val="0"/>
              <w:divBdr>
                <w:top w:val="none" w:sz="0" w:space="0" w:color="auto"/>
                <w:left w:val="none" w:sz="0" w:space="0" w:color="auto"/>
                <w:bottom w:val="none" w:sz="0" w:space="0" w:color="auto"/>
                <w:right w:val="none" w:sz="0" w:space="0" w:color="auto"/>
              </w:divBdr>
            </w:div>
            <w:div w:id="956449771">
              <w:marLeft w:val="0"/>
              <w:marRight w:val="0"/>
              <w:marTop w:val="0"/>
              <w:marBottom w:val="0"/>
              <w:divBdr>
                <w:top w:val="none" w:sz="0" w:space="0" w:color="auto"/>
                <w:left w:val="none" w:sz="0" w:space="0" w:color="auto"/>
                <w:bottom w:val="none" w:sz="0" w:space="0" w:color="auto"/>
                <w:right w:val="none" w:sz="0" w:space="0" w:color="auto"/>
              </w:divBdr>
            </w:div>
            <w:div w:id="912860997">
              <w:marLeft w:val="0"/>
              <w:marRight w:val="0"/>
              <w:marTop w:val="0"/>
              <w:marBottom w:val="0"/>
              <w:divBdr>
                <w:top w:val="none" w:sz="0" w:space="0" w:color="auto"/>
                <w:left w:val="none" w:sz="0" w:space="0" w:color="auto"/>
                <w:bottom w:val="none" w:sz="0" w:space="0" w:color="auto"/>
                <w:right w:val="none" w:sz="0" w:space="0" w:color="auto"/>
              </w:divBdr>
            </w:div>
            <w:div w:id="360133809">
              <w:marLeft w:val="0"/>
              <w:marRight w:val="0"/>
              <w:marTop w:val="0"/>
              <w:marBottom w:val="0"/>
              <w:divBdr>
                <w:top w:val="none" w:sz="0" w:space="0" w:color="auto"/>
                <w:left w:val="none" w:sz="0" w:space="0" w:color="auto"/>
                <w:bottom w:val="none" w:sz="0" w:space="0" w:color="auto"/>
                <w:right w:val="none" w:sz="0" w:space="0" w:color="auto"/>
              </w:divBdr>
            </w:div>
            <w:div w:id="327565330">
              <w:marLeft w:val="0"/>
              <w:marRight w:val="0"/>
              <w:marTop w:val="0"/>
              <w:marBottom w:val="0"/>
              <w:divBdr>
                <w:top w:val="none" w:sz="0" w:space="0" w:color="auto"/>
                <w:left w:val="none" w:sz="0" w:space="0" w:color="auto"/>
                <w:bottom w:val="none" w:sz="0" w:space="0" w:color="auto"/>
                <w:right w:val="none" w:sz="0" w:space="0" w:color="auto"/>
              </w:divBdr>
            </w:div>
            <w:div w:id="45841724">
              <w:marLeft w:val="0"/>
              <w:marRight w:val="0"/>
              <w:marTop w:val="0"/>
              <w:marBottom w:val="0"/>
              <w:divBdr>
                <w:top w:val="none" w:sz="0" w:space="0" w:color="auto"/>
                <w:left w:val="none" w:sz="0" w:space="0" w:color="auto"/>
                <w:bottom w:val="none" w:sz="0" w:space="0" w:color="auto"/>
                <w:right w:val="none" w:sz="0" w:space="0" w:color="auto"/>
              </w:divBdr>
            </w:div>
            <w:div w:id="651257845">
              <w:marLeft w:val="0"/>
              <w:marRight w:val="0"/>
              <w:marTop w:val="0"/>
              <w:marBottom w:val="0"/>
              <w:divBdr>
                <w:top w:val="none" w:sz="0" w:space="0" w:color="auto"/>
                <w:left w:val="none" w:sz="0" w:space="0" w:color="auto"/>
                <w:bottom w:val="none" w:sz="0" w:space="0" w:color="auto"/>
                <w:right w:val="none" w:sz="0" w:space="0" w:color="auto"/>
              </w:divBdr>
            </w:div>
            <w:div w:id="1175269479">
              <w:marLeft w:val="0"/>
              <w:marRight w:val="0"/>
              <w:marTop w:val="0"/>
              <w:marBottom w:val="0"/>
              <w:divBdr>
                <w:top w:val="none" w:sz="0" w:space="0" w:color="auto"/>
                <w:left w:val="none" w:sz="0" w:space="0" w:color="auto"/>
                <w:bottom w:val="none" w:sz="0" w:space="0" w:color="auto"/>
                <w:right w:val="none" w:sz="0" w:space="0" w:color="auto"/>
              </w:divBdr>
            </w:div>
            <w:div w:id="1992128916">
              <w:marLeft w:val="0"/>
              <w:marRight w:val="0"/>
              <w:marTop w:val="0"/>
              <w:marBottom w:val="0"/>
              <w:divBdr>
                <w:top w:val="none" w:sz="0" w:space="0" w:color="auto"/>
                <w:left w:val="none" w:sz="0" w:space="0" w:color="auto"/>
                <w:bottom w:val="none" w:sz="0" w:space="0" w:color="auto"/>
                <w:right w:val="none" w:sz="0" w:space="0" w:color="auto"/>
              </w:divBdr>
            </w:div>
            <w:div w:id="1197813974">
              <w:marLeft w:val="0"/>
              <w:marRight w:val="0"/>
              <w:marTop w:val="0"/>
              <w:marBottom w:val="0"/>
              <w:divBdr>
                <w:top w:val="none" w:sz="0" w:space="0" w:color="auto"/>
                <w:left w:val="none" w:sz="0" w:space="0" w:color="auto"/>
                <w:bottom w:val="none" w:sz="0" w:space="0" w:color="auto"/>
                <w:right w:val="none" w:sz="0" w:space="0" w:color="auto"/>
              </w:divBdr>
            </w:div>
            <w:div w:id="269901832">
              <w:marLeft w:val="0"/>
              <w:marRight w:val="0"/>
              <w:marTop w:val="0"/>
              <w:marBottom w:val="0"/>
              <w:divBdr>
                <w:top w:val="none" w:sz="0" w:space="0" w:color="auto"/>
                <w:left w:val="none" w:sz="0" w:space="0" w:color="auto"/>
                <w:bottom w:val="none" w:sz="0" w:space="0" w:color="auto"/>
                <w:right w:val="none" w:sz="0" w:space="0" w:color="auto"/>
              </w:divBdr>
            </w:div>
            <w:div w:id="1129128877">
              <w:marLeft w:val="0"/>
              <w:marRight w:val="0"/>
              <w:marTop w:val="0"/>
              <w:marBottom w:val="0"/>
              <w:divBdr>
                <w:top w:val="none" w:sz="0" w:space="0" w:color="auto"/>
                <w:left w:val="none" w:sz="0" w:space="0" w:color="auto"/>
                <w:bottom w:val="none" w:sz="0" w:space="0" w:color="auto"/>
                <w:right w:val="none" w:sz="0" w:space="0" w:color="auto"/>
              </w:divBdr>
            </w:div>
            <w:div w:id="968633584">
              <w:marLeft w:val="0"/>
              <w:marRight w:val="0"/>
              <w:marTop w:val="0"/>
              <w:marBottom w:val="0"/>
              <w:divBdr>
                <w:top w:val="none" w:sz="0" w:space="0" w:color="auto"/>
                <w:left w:val="none" w:sz="0" w:space="0" w:color="auto"/>
                <w:bottom w:val="none" w:sz="0" w:space="0" w:color="auto"/>
                <w:right w:val="none" w:sz="0" w:space="0" w:color="auto"/>
              </w:divBdr>
            </w:div>
            <w:div w:id="121467242">
              <w:marLeft w:val="0"/>
              <w:marRight w:val="0"/>
              <w:marTop w:val="0"/>
              <w:marBottom w:val="0"/>
              <w:divBdr>
                <w:top w:val="none" w:sz="0" w:space="0" w:color="auto"/>
                <w:left w:val="none" w:sz="0" w:space="0" w:color="auto"/>
                <w:bottom w:val="none" w:sz="0" w:space="0" w:color="auto"/>
                <w:right w:val="none" w:sz="0" w:space="0" w:color="auto"/>
              </w:divBdr>
            </w:div>
            <w:div w:id="31079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040021">
      <w:bodyDiv w:val="1"/>
      <w:marLeft w:val="0"/>
      <w:marRight w:val="0"/>
      <w:marTop w:val="0"/>
      <w:marBottom w:val="0"/>
      <w:divBdr>
        <w:top w:val="none" w:sz="0" w:space="0" w:color="auto"/>
        <w:left w:val="none" w:sz="0" w:space="0" w:color="auto"/>
        <w:bottom w:val="none" w:sz="0" w:space="0" w:color="auto"/>
        <w:right w:val="none" w:sz="0" w:space="0" w:color="auto"/>
      </w:divBdr>
      <w:divsChild>
        <w:div w:id="339939049">
          <w:marLeft w:val="480"/>
          <w:marRight w:val="0"/>
          <w:marTop w:val="0"/>
          <w:marBottom w:val="0"/>
          <w:divBdr>
            <w:top w:val="none" w:sz="0" w:space="0" w:color="auto"/>
            <w:left w:val="none" w:sz="0" w:space="0" w:color="auto"/>
            <w:bottom w:val="none" w:sz="0" w:space="0" w:color="auto"/>
            <w:right w:val="none" w:sz="0" w:space="0" w:color="auto"/>
          </w:divBdr>
          <w:divsChild>
            <w:div w:id="1244340009">
              <w:marLeft w:val="0"/>
              <w:marRight w:val="0"/>
              <w:marTop w:val="0"/>
              <w:marBottom w:val="0"/>
              <w:divBdr>
                <w:top w:val="none" w:sz="0" w:space="0" w:color="auto"/>
                <w:left w:val="none" w:sz="0" w:space="0" w:color="auto"/>
                <w:bottom w:val="none" w:sz="0" w:space="0" w:color="auto"/>
                <w:right w:val="none" w:sz="0" w:space="0" w:color="auto"/>
              </w:divBdr>
            </w:div>
            <w:div w:id="1916816046">
              <w:marLeft w:val="0"/>
              <w:marRight w:val="0"/>
              <w:marTop w:val="0"/>
              <w:marBottom w:val="0"/>
              <w:divBdr>
                <w:top w:val="none" w:sz="0" w:space="0" w:color="auto"/>
                <w:left w:val="none" w:sz="0" w:space="0" w:color="auto"/>
                <w:bottom w:val="none" w:sz="0" w:space="0" w:color="auto"/>
                <w:right w:val="none" w:sz="0" w:space="0" w:color="auto"/>
              </w:divBdr>
            </w:div>
            <w:div w:id="388772322">
              <w:marLeft w:val="0"/>
              <w:marRight w:val="0"/>
              <w:marTop w:val="0"/>
              <w:marBottom w:val="0"/>
              <w:divBdr>
                <w:top w:val="none" w:sz="0" w:space="0" w:color="auto"/>
                <w:left w:val="none" w:sz="0" w:space="0" w:color="auto"/>
                <w:bottom w:val="none" w:sz="0" w:space="0" w:color="auto"/>
                <w:right w:val="none" w:sz="0" w:space="0" w:color="auto"/>
              </w:divBdr>
            </w:div>
            <w:div w:id="1314869359">
              <w:marLeft w:val="0"/>
              <w:marRight w:val="0"/>
              <w:marTop w:val="0"/>
              <w:marBottom w:val="0"/>
              <w:divBdr>
                <w:top w:val="none" w:sz="0" w:space="0" w:color="auto"/>
                <w:left w:val="none" w:sz="0" w:space="0" w:color="auto"/>
                <w:bottom w:val="none" w:sz="0" w:space="0" w:color="auto"/>
                <w:right w:val="none" w:sz="0" w:space="0" w:color="auto"/>
              </w:divBdr>
            </w:div>
            <w:div w:id="1169324597">
              <w:marLeft w:val="0"/>
              <w:marRight w:val="0"/>
              <w:marTop w:val="0"/>
              <w:marBottom w:val="0"/>
              <w:divBdr>
                <w:top w:val="none" w:sz="0" w:space="0" w:color="auto"/>
                <w:left w:val="none" w:sz="0" w:space="0" w:color="auto"/>
                <w:bottom w:val="none" w:sz="0" w:space="0" w:color="auto"/>
                <w:right w:val="none" w:sz="0" w:space="0" w:color="auto"/>
              </w:divBdr>
            </w:div>
            <w:div w:id="1847750669">
              <w:marLeft w:val="0"/>
              <w:marRight w:val="0"/>
              <w:marTop w:val="0"/>
              <w:marBottom w:val="0"/>
              <w:divBdr>
                <w:top w:val="none" w:sz="0" w:space="0" w:color="auto"/>
                <w:left w:val="none" w:sz="0" w:space="0" w:color="auto"/>
                <w:bottom w:val="none" w:sz="0" w:space="0" w:color="auto"/>
                <w:right w:val="none" w:sz="0" w:space="0" w:color="auto"/>
              </w:divBdr>
            </w:div>
            <w:div w:id="1326973664">
              <w:marLeft w:val="0"/>
              <w:marRight w:val="0"/>
              <w:marTop w:val="0"/>
              <w:marBottom w:val="0"/>
              <w:divBdr>
                <w:top w:val="none" w:sz="0" w:space="0" w:color="auto"/>
                <w:left w:val="none" w:sz="0" w:space="0" w:color="auto"/>
                <w:bottom w:val="none" w:sz="0" w:space="0" w:color="auto"/>
                <w:right w:val="none" w:sz="0" w:space="0" w:color="auto"/>
              </w:divBdr>
            </w:div>
            <w:div w:id="1097675692">
              <w:marLeft w:val="0"/>
              <w:marRight w:val="0"/>
              <w:marTop w:val="0"/>
              <w:marBottom w:val="0"/>
              <w:divBdr>
                <w:top w:val="none" w:sz="0" w:space="0" w:color="auto"/>
                <w:left w:val="none" w:sz="0" w:space="0" w:color="auto"/>
                <w:bottom w:val="none" w:sz="0" w:space="0" w:color="auto"/>
                <w:right w:val="none" w:sz="0" w:space="0" w:color="auto"/>
              </w:divBdr>
            </w:div>
            <w:div w:id="1370760100">
              <w:marLeft w:val="0"/>
              <w:marRight w:val="0"/>
              <w:marTop w:val="0"/>
              <w:marBottom w:val="0"/>
              <w:divBdr>
                <w:top w:val="none" w:sz="0" w:space="0" w:color="auto"/>
                <w:left w:val="none" w:sz="0" w:space="0" w:color="auto"/>
                <w:bottom w:val="none" w:sz="0" w:space="0" w:color="auto"/>
                <w:right w:val="none" w:sz="0" w:space="0" w:color="auto"/>
              </w:divBdr>
            </w:div>
            <w:div w:id="1554997085">
              <w:marLeft w:val="0"/>
              <w:marRight w:val="0"/>
              <w:marTop w:val="0"/>
              <w:marBottom w:val="0"/>
              <w:divBdr>
                <w:top w:val="none" w:sz="0" w:space="0" w:color="auto"/>
                <w:left w:val="none" w:sz="0" w:space="0" w:color="auto"/>
                <w:bottom w:val="none" w:sz="0" w:space="0" w:color="auto"/>
                <w:right w:val="none" w:sz="0" w:space="0" w:color="auto"/>
              </w:divBdr>
            </w:div>
            <w:div w:id="77142830">
              <w:marLeft w:val="0"/>
              <w:marRight w:val="0"/>
              <w:marTop w:val="0"/>
              <w:marBottom w:val="0"/>
              <w:divBdr>
                <w:top w:val="none" w:sz="0" w:space="0" w:color="auto"/>
                <w:left w:val="none" w:sz="0" w:space="0" w:color="auto"/>
                <w:bottom w:val="none" w:sz="0" w:space="0" w:color="auto"/>
                <w:right w:val="none" w:sz="0" w:space="0" w:color="auto"/>
              </w:divBdr>
            </w:div>
            <w:div w:id="1300452050">
              <w:marLeft w:val="0"/>
              <w:marRight w:val="0"/>
              <w:marTop w:val="0"/>
              <w:marBottom w:val="0"/>
              <w:divBdr>
                <w:top w:val="none" w:sz="0" w:space="0" w:color="auto"/>
                <w:left w:val="none" w:sz="0" w:space="0" w:color="auto"/>
                <w:bottom w:val="none" w:sz="0" w:space="0" w:color="auto"/>
                <w:right w:val="none" w:sz="0" w:space="0" w:color="auto"/>
              </w:divBdr>
            </w:div>
            <w:div w:id="1642228192">
              <w:marLeft w:val="0"/>
              <w:marRight w:val="0"/>
              <w:marTop w:val="0"/>
              <w:marBottom w:val="0"/>
              <w:divBdr>
                <w:top w:val="none" w:sz="0" w:space="0" w:color="auto"/>
                <w:left w:val="none" w:sz="0" w:space="0" w:color="auto"/>
                <w:bottom w:val="none" w:sz="0" w:space="0" w:color="auto"/>
                <w:right w:val="none" w:sz="0" w:space="0" w:color="auto"/>
              </w:divBdr>
            </w:div>
            <w:div w:id="1496843188">
              <w:marLeft w:val="0"/>
              <w:marRight w:val="0"/>
              <w:marTop w:val="0"/>
              <w:marBottom w:val="0"/>
              <w:divBdr>
                <w:top w:val="none" w:sz="0" w:space="0" w:color="auto"/>
                <w:left w:val="none" w:sz="0" w:space="0" w:color="auto"/>
                <w:bottom w:val="none" w:sz="0" w:space="0" w:color="auto"/>
                <w:right w:val="none" w:sz="0" w:space="0" w:color="auto"/>
              </w:divBdr>
            </w:div>
            <w:div w:id="164975589">
              <w:marLeft w:val="0"/>
              <w:marRight w:val="0"/>
              <w:marTop w:val="0"/>
              <w:marBottom w:val="0"/>
              <w:divBdr>
                <w:top w:val="none" w:sz="0" w:space="0" w:color="auto"/>
                <w:left w:val="none" w:sz="0" w:space="0" w:color="auto"/>
                <w:bottom w:val="none" w:sz="0" w:space="0" w:color="auto"/>
                <w:right w:val="none" w:sz="0" w:space="0" w:color="auto"/>
              </w:divBdr>
            </w:div>
            <w:div w:id="609630247">
              <w:marLeft w:val="0"/>
              <w:marRight w:val="0"/>
              <w:marTop w:val="0"/>
              <w:marBottom w:val="0"/>
              <w:divBdr>
                <w:top w:val="none" w:sz="0" w:space="0" w:color="auto"/>
                <w:left w:val="none" w:sz="0" w:space="0" w:color="auto"/>
                <w:bottom w:val="none" w:sz="0" w:space="0" w:color="auto"/>
                <w:right w:val="none" w:sz="0" w:space="0" w:color="auto"/>
              </w:divBdr>
            </w:div>
            <w:div w:id="91058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17715542">
      <w:bodyDiv w:val="1"/>
      <w:marLeft w:val="0"/>
      <w:marRight w:val="0"/>
      <w:marTop w:val="0"/>
      <w:marBottom w:val="0"/>
      <w:divBdr>
        <w:top w:val="none" w:sz="0" w:space="0" w:color="auto"/>
        <w:left w:val="none" w:sz="0" w:space="0" w:color="auto"/>
        <w:bottom w:val="none" w:sz="0" w:space="0" w:color="auto"/>
        <w:right w:val="none" w:sz="0" w:space="0" w:color="auto"/>
      </w:divBdr>
      <w:divsChild>
        <w:div w:id="2021349103">
          <w:marLeft w:val="480"/>
          <w:marRight w:val="0"/>
          <w:marTop w:val="0"/>
          <w:marBottom w:val="0"/>
          <w:divBdr>
            <w:top w:val="none" w:sz="0" w:space="0" w:color="auto"/>
            <w:left w:val="none" w:sz="0" w:space="0" w:color="auto"/>
            <w:bottom w:val="none" w:sz="0" w:space="0" w:color="auto"/>
            <w:right w:val="none" w:sz="0" w:space="0" w:color="auto"/>
          </w:divBdr>
          <w:divsChild>
            <w:div w:id="1669207569">
              <w:marLeft w:val="0"/>
              <w:marRight w:val="0"/>
              <w:marTop w:val="0"/>
              <w:marBottom w:val="0"/>
              <w:divBdr>
                <w:top w:val="none" w:sz="0" w:space="0" w:color="auto"/>
                <w:left w:val="none" w:sz="0" w:space="0" w:color="auto"/>
                <w:bottom w:val="none" w:sz="0" w:space="0" w:color="auto"/>
                <w:right w:val="none" w:sz="0" w:space="0" w:color="auto"/>
              </w:divBdr>
            </w:div>
            <w:div w:id="579680541">
              <w:marLeft w:val="0"/>
              <w:marRight w:val="0"/>
              <w:marTop w:val="0"/>
              <w:marBottom w:val="0"/>
              <w:divBdr>
                <w:top w:val="none" w:sz="0" w:space="0" w:color="auto"/>
                <w:left w:val="none" w:sz="0" w:space="0" w:color="auto"/>
                <w:bottom w:val="none" w:sz="0" w:space="0" w:color="auto"/>
                <w:right w:val="none" w:sz="0" w:space="0" w:color="auto"/>
              </w:divBdr>
            </w:div>
            <w:div w:id="827094183">
              <w:marLeft w:val="0"/>
              <w:marRight w:val="0"/>
              <w:marTop w:val="0"/>
              <w:marBottom w:val="0"/>
              <w:divBdr>
                <w:top w:val="none" w:sz="0" w:space="0" w:color="auto"/>
                <w:left w:val="none" w:sz="0" w:space="0" w:color="auto"/>
                <w:bottom w:val="none" w:sz="0" w:space="0" w:color="auto"/>
                <w:right w:val="none" w:sz="0" w:space="0" w:color="auto"/>
              </w:divBdr>
            </w:div>
            <w:div w:id="1442529533">
              <w:marLeft w:val="0"/>
              <w:marRight w:val="0"/>
              <w:marTop w:val="0"/>
              <w:marBottom w:val="0"/>
              <w:divBdr>
                <w:top w:val="none" w:sz="0" w:space="0" w:color="auto"/>
                <w:left w:val="none" w:sz="0" w:space="0" w:color="auto"/>
                <w:bottom w:val="none" w:sz="0" w:space="0" w:color="auto"/>
                <w:right w:val="none" w:sz="0" w:space="0" w:color="auto"/>
              </w:divBdr>
            </w:div>
            <w:div w:id="1080250923">
              <w:marLeft w:val="0"/>
              <w:marRight w:val="0"/>
              <w:marTop w:val="0"/>
              <w:marBottom w:val="0"/>
              <w:divBdr>
                <w:top w:val="none" w:sz="0" w:space="0" w:color="auto"/>
                <w:left w:val="none" w:sz="0" w:space="0" w:color="auto"/>
                <w:bottom w:val="none" w:sz="0" w:space="0" w:color="auto"/>
                <w:right w:val="none" w:sz="0" w:space="0" w:color="auto"/>
              </w:divBdr>
            </w:div>
            <w:div w:id="1702977817">
              <w:marLeft w:val="0"/>
              <w:marRight w:val="0"/>
              <w:marTop w:val="0"/>
              <w:marBottom w:val="0"/>
              <w:divBdr>
                <w:top w:val="none" w:sz="0" w:space="0" w:color="auto"/>
                <w:left w:val="none" w:sz="0" w:space="0" w:color="auto"/>
                <w:bottom w:val="none" w:sz="0" w:space="0" w:color="auto"/>
                <w:right w:val="none" w:sz="0" w:space="0" w:color="auto"/>
              </w:divBdr>
            </w:div>
            <w:div w:id="385494581">
              <w:marLeft w:val="0"/>
              <w:marRight w:val="0"/>
              <w:marTop w:val="0"/>
              <w:marBottom w:val="0"/>
              <w:divBdr>
                <w:top w:val="none" w:sz="0" w:space="0" w:color="auto"/>
                <w:left w:val="none" w:sz="0" w:space="0" w:color="auto"/>
                <w:bottom w:val="none" w:sz="0" w:space="0" w:color="auto"/>
                <w:right w:val="none" w:sz="0" w:space="0" w:color="auto"/>
              </w:divBdr>
            </w:div>
            <w:div w:id="1056247566">
              <w:marLeft w:val="0"/>
              <w:marRight w:val="0"/>
              <w:marTop w:val="0"/>
              <w:marBottom w:val="0"/>
              <w:divBdr>
                <w:top w:val="none" w:sz="0" w:space="0" w:color="auto"/>
                <w:left w:val="none" w:sz="0" w:space="0" w:color="auto"/>
                <w:bottom w:val="none" w:sz="0" w:space="0" w:color="auto"/>
                <w:right w:val="none" w:sz="0" w:space="0" w:color="auto"/>
              </w:divBdr>
            </w:div>
            <w:div w:id="457991650">
              <w:marLeft w:val="0"/>
              <w:marRight w:val="0"/>
              <w:marTop w:val="0"/>
              <w:marBottom w:val="0"/>
              <w:divBdr>
                <w:top w:val="none" w:sz="0" w:space="0" w:color="auto"/>
                <w:left w:val="none" w:sz="0" w:space="0" w:color="auto"/>
                <w:bottom w:val="none" w:sz="0" w:space="0" w:color="auto"/>
                <w:right w:val="none" w:sz="0" w:space="0" w:color="auto"/>
              </w:divBdr>
            </w:div>
            <w:div w:id="797184461">
              <w:marLeft w:val="0"/>
              <w:marRight w:val="0"/>
              <w:marTop w:val="0"/>
              <w:marBottom w:val="0"/>
              <w:divBdr>
                <w:top w:val="none" w:sz="0" w:space="0" w:color="auto"/>
                <w:left w:val="none" w:sz="0" w:space="0" w:color="auto"/>
                <w:bottom w:val="none" w:sz="0" w:space="0" w:color="auto"/>
                <w:right w:val="none" w:sz="0" w:space="0" w:color="auto"/>
              </w:divBdr>
            </w:div>
            <w:div w:id="1799492411">
              <w:marLeft w:val="0"/>
              <w:marRight w:val="0"/>
              <w:marTop w:val="0"/>
              <w:marBottom w:val="0"/>
              <w:divBdr>
                <w:top w:val="none" w:sz="0" w:space="0" w:color="auto"/>
                <w:left w:val="none" w:sz="0" w:space="0" w:color="auto"/>
                <w:bottom w:val="none" w:sz="0" w:space="0" w:color="auto"/>
                <w:right w:val="none" w:sz="0" w:space="0" w:color="auto"/>
              </w:divBdr>
            </w:div>
            <w:div w:id="962462475">
              <w:marLeft w:val="0"/>
              <w:marRight w:val="0"/>
              <w:marTop w:val="0"/>
              <w:marBottom w:val="0"/>
              <w:divBdr>
                <w:top w:val="none" w:sz="0" w:space="0" w:color="auto"/>
                <w:left w:val="none" w:sz="0" w:space="0" w:color="auto"/>
                <w:bottom w:val="none" w:sz="0" w:space="0" w:color="auto"/>
                <w:right w:val="none" w:sz="0" w:space="0" w:color="auto"/>
              </w:divBdr>
            </w:div>
            <w:div w:id="1283226720">
              <w:marLeft w:val="0"/>
              <w:marRight w:val="0"/>
              <w:marTop w:val="0"/>
              <w:marBottom w:val="0"/>
              <w:divBdr>
                <w:top w:val="none" w:sz="0" w:space="0" w:color="auto"/>
                <w:left w:val="none" w:sz="0" w:space="0" w:color="auto"/>
                <w:bottom w:val="none" w:sz="0" w:space="0" w:color="auto"/>
                <w:right w:val="none" w:sz="0" w:space="0" w:color="auto"/>
              </w:divBdr>
            </w:div>
            <w:div w:id="415521749">
              <w:marLeft w:val="0"/>
              <w:marRight w:val="0"/>
              <w:marTop w:val="0"/>
              <w:marBottom w:val="0"/>
              <w:divBdr>
                <w:top w:val="none" w:sz="0" w:space="0" w:color="auto"/>
                <w:left w:val="none" w:sz="0" w:space="0" w:color="auto"/>
                <w:bottom w:val="none" w:sz="0" w:space="0" w:color="auto"/>
                <w:right w:val="none" w:sz="0" w:space="0" w:color="auto"/>
              </w:divBdr>
            </w:div>
            <w:div w:id="398790480">
              <w:marLeft w:val="0"/>
              <w:marRight w:val="0"/>
              <w:marTop w:val="0"/>
              <w:marBottom w:val="0"/>
              <w:divBdr>
                <w:top w:val="none" w:sz="0" w:space="0" w:color="auto"/>
                <w:left w:val="none" w:sz="0" w:space="0" w:color="auto"/>
                <w:bottom w:val="none" w:sz="0" w:space="0" w:color="auto"/>
                <w:right w:val="none" w:sz="0" w:space="0" w:color="auto"/>
              </w:divBdr>
            </w:div>
            <w:div w:id="173958046">
              <w:marLeft w:val="0"/>
              <w:marRight w:val="0"/>
              <w:marTop w:val="0"/>
              <w:marBottom w:val="0"/>
              <w:divBdr>
                <w:top w:val="none" w:sz="0" w:space="0" w:color="auto"/>
                <w:left w:val="none" w:sz="0" w:space="0" w:color="auto"/>
                <w:bottom w:val="none" w:sz="0" w:space="0" w:color="auto"/>
                <w:right w:val="none" w:sz="0" w:space="0" w:color="auto"/>
              </w:divBdr>
            </w:div>
            <w:div w:id="133106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540317171">
      <w:bodyDiv w:val="1"/>
      <w:marLeft w:val="0"/>
      <w:marRight w:val="0"/>
      <w:marTop w:val="0"/>
      <w:marBottom w:val="0"/>
      <w:divBdr>
        <w:top w:val="none" w:sz="0" w:space="0" w:color="auto"/>
        <w:left w:val="none" w:sz="0" w:space="0" w:color="auto"/>
        <w:bottom w:val="none" w:sz="0" w:space="0" w:color="auto"/>
        <w:right w:val="none" w:sz="0" w:space="0" w:color="auto"/>
      </w:divBdr>
      <w:divsChild>
        <w:div w:id="941258462">
          <w:marLeft w:val="480"/>
          <w:marRight w:val="0"/>
          <w:marTop w:val="0"/>
          <w:marBottom w:val="0"/>
          <w:divBdr>
            <w:top w:val="none" w:sz="0" w:space="0" w:color="auto"/>
            <w:left w:val="none" w:sz="0" w:space="0" w:color="auto"/>
            <w:bottom w:val="none" w:sz="0" w:space="0" w:color="auto"/>
            <w:right w:val="none" w:sz="0" w:space="0" w:color="auto"/>
          </w:divBdr>
          <w:divsChild>
            <w:div w:id="1136488336">
              <w:marLeft w:val="0"/>
              <w:marRight w:val="0"/>
              <w:marTop w:val="0"/>
              <w:marBottom w:val="0"/>
              <w:divBdr>
                <w:top w:val="none" w:sz="0" w:space="0" w:color="auto"/>
                <w:left w:val="none" w:sz="0" w:space="0" w:color="auto"/>
                <w:bottom w:val="none" w:sz="0" w:space="0" w:color="auto"/>
                <w:right w:val="none" w:sz="0" w:space="0" w:color="auto"/>
              </w:divBdr>
            </w:div>
            <w:div w:id="467433206">
              <w:marLeft w:val="0"/>
              <w:marRight w:val="0"/>
              <w:marTop w:val="0"/>
              <w:marBottom w:val="0"/>
              <w:divBdr>
                <w:top w:val="none" w:sz="0" w:space="0" w:color="auto"/>
                <w:left w:val="none" w:sz="0" w:space="0" w:color="auto"/>
                <w:bottom w:val="none" w:sz="0" w:space="0" w:color="auto"/>
                <w:right w:val="none" w:sz="0" w:space="0" w:color="auto"/>
              </w:divBdr>
            </w:div>
            <w:div w:id="1431925875">
              <w:marLeft w:val="0"/>
              <w:marRight w:val="0"/>
              <w:marTop w:val="0"/>
              <w:marBottom w:val="0"/>
              <w:divBdr>
                <w:top w:val="none" w:sz="0" w:space="0" w:color="auto"/>
                <w:left w:val="none" w:sz="0" w:space="0" w:color="auto"/>
                <w:bottom w:val="none" w:sz="0" w:space="0" w:color="auto"/>
                <w:right w:val="none" w:sz="0" w:space="0" w:color="auto"/>
              </w:divBdr>
            </w:div>
            <w:div w:id="317656520">
              <w:marLeft w:val="0"/>
              <w:marRight w:val="0"/>
              <w:marTop w:val="0"/>
              <w:marBottom w:val="0"/>
              <w:divBdr>
                <w:top w:val="none" w:sz="0" w:space="0" w:color="auto"/>
                <w:left w:val="none" w:sz="0" w:space="0" w:color="auto"/>
                <w:bottom w:val="none" w:sz="0" w:space="0" w:color="auto"/>
                <w:right w:val="none" w:sz="0" w:space="0" w:color="auto"/>
              </w:divBdr>
            </w:div>
            <w:div w:id="994575945">
              <w:marLeft w:val="0"/>
              <w:marRight w:val="0"/>
              <w:marTop w:val="0"/>
              <w:marBottom w:val="0"/>
              <w:divBdr>
                <w:top w:val="none" w:sz="0" w:space="0" w:color="auto"/>
                <w:left w:val="none" w:sz="0" w:space="0" w:color="auto"/>
                <w:bottom w:val="none" w:sz="0" w:space="0" w:color="auto"/>
                <w:right w:val="none" w:sz="0" w:space="0" w:color="auto"/>
              </w:divBdr>
            </w:div>
            <w:div w:id="740562753">
              <w:marLeft w:val="0"/>
              <w:marRight w:val="0"/>
              <w:marTop w:val="0"/>
              <w:marBottom w:val="0"/>
              <w:divBdr>
                <w:top w:val="none" w:sz="0" w:space="0" w:color="auto"/>
                <w:left w:val="none" w:sz="0" w:space="0" w:color="auto"/>
                <w:bottom w:val="none" w:sz="0" w:space="0" w:color="auto"/>
                <w:right w:val="none" w:sz="0" w:space="0" w:color="auto"/>
              </w:divBdr>
            </w:div>
            <w:div w:id="699017678">
              <w:marLeft w:val="0"/>
              <w:marRight w:val="0"/>
              <w:marTop w:val="0"/>
              <w:marBottom w:val="0"/>
              <w:divBdr>
                <w:top w:val="none" w:sz="0" w:space="0" w:color="auto"/>
                <w:left w:val="none" w:sz="0" w:space="0" w:color="auto"/>
                <w:bottom w:val="none" w:sz="0" w:space="0" w:color="auto"/>
                <w:right w:val="none" w:sz="0" w:space="0" w:color="auto"/>
              </w:divBdr>
            </w:div>
            <w:div w:id="1673294274">
              <w:marLeft w:val="0"/>
              <w:marRight w:val="0"/>
              <w:marTop w:val="0"/>
              <w:marBottom w:val="0"/>
              <w:divBdr>
                <w:top w:val="none" w:sz="0" w:space="0" w:color="auto"/>
                <w:left w:val="none" w:sz="0" w:space="0" w:color="auto"/>
                <w:bottom w:val="none" w:sz="0" w:space="0" w:color="auto"/>
                <w:right w:val="none" w:sz="0" w:space="0" w:color="auto"/>
              </w:divBdr>
            </w:div>
            <w:div w:id="1120034285">
              <w:marLeft w:val="0"/>
              <w:marRight w:val="0"/>
              <w:marTop w:val="0"/>
              <w:marBottom w:val="0"/>
              <w:divBdr>
                <w:top w:val="none" w:sz="0" w:space="0" w:color="auto"/>
                <w:left w:val="none" w:sz="0" w:space="0" w:color="auto"/>
                <w:bottom w:val="none" w:sz="0" w:space="0" w:color="auto"/>
                <w:right w:val="none" w:sz="0" w:space="0" w:color="auto"/>
              </w:divBdr>
            </w:div>
            <w:div w:id="1823740299">
              <w:marLeft w:val="0"/>
              <w:marRight w:val="0"/>
              <w:marTop w:val="0"/>
              <w:marBottom w:val="0"/>
              <w:divBdr>
                <w:top w:val="none" w:sz="0" w:space="0" w:color="auto"/>
                <w:left w:val="none" w:sz="0" w:space="0" w:color="auto"/>
                <w:bottom w:val="none" w:sz="0" w:space="0" w:color="auto"/>
                <w:right w:val="none" w:sz="0" w:space="0" w:color="auto"/>
              </w:divBdr>
            </w:div>
            <w:div w:id="27416397">
              <w:marLeft w:val="0"/>
              <w:marRight w:val="0"/>
              <w:marTop w:val="0"/>
              <w:marBottom w:val="0"/>
              <w:divBdr>
                <w:top w:val="none" w:sz="0" w:space="0" w:color="auto"/>
                <w:left w:val="none" w:sz="0" w:space="0" w:color="auto"/>
                <w:bottom w:val="none" w:sz="0" w:space="0" w:color="auto"/>
                <w:right w:val="none" w:sz="0" w:space="0" w:color="auto"/>
              </w:divBdr>
            </w:div>
            <w:div w:id="1314094856">
              <w:marLeft w:val="0"/>
              <w:marRight w:val="0"/>
              <w:marTop w:val="0"/>
              <w:marBottom w:val="0"/>
              <w:divBdr>
                <w:top w:val="none" w:sz="0" w:space="0" w:color="auto"/>
                <w:left w:val="none" w:sz="0" w:space="0" w:color="auto"/>
                <w:bottom w:val="none" w:sz="0" w:space="0" w:color="auto"/>
                <w:right w:val="none" w:sz="0" w:space="0" w:color="auto"/>
              </w:divBdr>
            </w:div>
            <w:div w:id="356926508">
              <w:marLeft w:val="0"/>
              <w:marRight w:val="0"/>
              <w:marTop w:val="0"/>
              <w:marBottom w:val="0"/>
              <w:divBdr>
                <w:top w:val="none" w:sz="0" w:space="0" w:color="auto"/>
                <w:left w:val="none" w:sz="0" w:space="0" w:color="auto"/>
                <w:bottom w:val="none" w:sz="0" w:space="0" w:color="auto"/>
                <w:right w:val="none" w:sz="0" w:space="0" w:color="auto"/>
              </w:divBdr>
            </w:div>
            <w:div w:id="1843742864">
              <w:marLeft w:val="0"/>
              <w:marRight w:val="0"/>
              <w:marTop w:val="0"/>
              <w:marBottom w:val="0"/>
              <w:divBdr>
                <w:top w:val="none" w:sz="0" w:space="0" w:color="auto"/>
                <w:left w:val="none" w:sz="0" w:space="0" w:color="auto"/>
                <w:bottom w:val="none" w:sz="0" w:space="0" w:color="auto"/>
                <w:right w:val="none" w:sz="0" w:space="0" w:color="auto"/>
              </w:divBdr>
            </w:div>
            <w:div w:id="1376392839">
              <w:marLeft w:val="0"/>
              <w:marRight w:val="0"/>
              <w:marTop w:val="0"/>
              <w:marBottom w:val="0"/>
              <w:divBdr>
                <w:top w:val="none" w:sz="0" w:space="0" w:color="auto"/>
                <w:left w:val="none" w:sz="0" w:space="0" w:color="auto"/>
                <w:bottom w:val="none" w:sz="0" w:space="0" w:color="auto"/>
                <w:right w:val="none" w:sz="0" w:space="0" w:color="auto"/>
              </w:divBdr>
            </w:div>
            <w:div w:id="1186866214">
              <w:marLeft w:val="0"/>
              <w:marRight w:val="0"/>
              <w:marTop w:val="0"/>
              <w:marBottom w:val="0"/>
              <w:divBdr>
                <w:top w:val="none" w:sz="0" w:space="0" w:color="auto"/>
                <w:left w:val="none" w:sz="0" w:space="0" w:color="auto"/>
                <w:bottom w:val="none" w:sz="0" w:space="0" w:color="auto"/>
                <w:right w:val="none" w:sz="0" w:space="0" w:color="auto"/>
              </w:divBdr>
            </w:div>
            <w:div w:id="164542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722161">
      <w:bodyDiv w:val="1"/>
      <w:marLeft w:val="0"/>
      <w:marRight w:val="0"/>
      <w:marTop w:val="0"/>
      <w:marBottom w:val="0"/>
      <w:divBdr>
        <w:top w:val="none" w:sz="0" w:space="0" w:color="auto"/>
        <w:left w:val="none" w:sz="0" w:space="0" w:color="auto"/>
        <w:bottom w:val="none" w:sz="0" w:space="0" w:color="auto"/>
        <w:right w:val="none" w:sz="0" w:space="0" w:color="auto"/>
      </w:divBdr>
      <w:divsChild>
        <w:div w:id="365958091">
          <w:marLeft w:val="480"/>
          <w:marRight w:val="0"/>
          <w:marTop w:val="0"/>
          <w:marBottom w:val="0"/>
          <w:divBdr>
            <w:top w:val="none" w:sz="0" w:space="0" w:color="auto"/>
            <w:left w:val="none" w:sz="0" w:space="0" w:color="auto"/>
            <w:bottom w:val="none" w:sz="0" w:space="0" w:color="auto"/>
            <w:right w:val="none" w:sz="0" w:space="0" w:color="auto"/>
          </w:divBdr>
          <w:divsChild>
            <w:div w:id="2106534958">
              <w:marLeft w:val="0"/>
              <w:marRight w:val="0"/>
              <w:marTop w:val="0"/>
              <w:marBottom w:val="0"/>
              <w:divBdr>
                <w:top w:val="none" w:sz="0" w:space="0" w:color="auto"/>
                <w:left w:val="none" w:sz="0" w:space="0" w:color="auto"/>
                <w:bottom w:val="none" w:sz="0" w:space="0" w:color="auto"/>
                <w:right w:val="none" w:sz="0" w:space="0" w:color="auto"/>
              </w:divBdr>
            </w:div>
            <w:div w:id="1788818758">
              <w:marLeft w:val="0"/>
              <w:marRight w:val="0"/>
              <w:marTop w:val="0"/>
              <w:marBottom w:val="0"/>
              <w:divBdr>
                <w:top w:val="none" w:sz="0" w:space="0" w:color="auto"/>
                <w:left w:val="none" w:sz="0" w:space="0" w:color="auto"/>
                <w:bottom w:val="none" w:sz="0" w:space="0" w:color="auto"/>
                <w:right w:val="none" w:sz="0" w:space="0" w:color="auto"/>
              </w:divBdr>
            </w:div>
            <w:div w:id="1308246766">
              <w:marLeft w:val="0"/>
              <w:marRight w:val="0"/>
              <w:marTop w:val="0"/>
              <w:marBottom w:val="0"/>
              <w:divBdr>
                <w:top w:val="none" w:sz="0" w:space="0" w:color="auto"/>
                <w:left w:val="none" w:sz="0" w:space="0" w:color="auto"/>
                <w:bottom w:val="none" w:sz="0" w:space="0" w:color="auto"/>
                <w:right w:val="none" w:sz="0" w:space="0" w:color="auto"/>
              </w:divBdr>
            </w:div>
            <w:div w:id="1320961383">
              <w:marLeft w:val="0"/>
              <w:marRight w:val="0"/>
              <w:marTop w:val="0"/>
              <w:marBottom w:val="0"/>
              <w:divBdr>
                <w:top w:val="none" w:sz="0" w:space="0" w:color="auto"/>
                <w:left w:val="none" w:sz="0" w:space="0" w:color="auto"/>
                <w:bottom w:val="none" w:sz="0" w:space="0" w:color="auto"/>
                <w:right w:val="none" w:sz="0" w:space="0" w:color="auto"/>
              </w:divBdr>
            </w:div>
            <w:div w:id="207957818">
              <w:marLeft w:val="0"/>
              <w:marRight w:val="0"/>
              <w:marTop w:val="0"/>
              <w:marBottom w:val="0"/>
              <w:divBdr>
                <w:top w:val="none" w:sz="0" w:space="0" w:color="auto"/>
                <w:left w:val="none" w:sz="0" w:space="0" w:color="auto"/>
                <w:bottom w:val="none" w:sz="0" w:space="0" w:color="auto"/>
                <w:right w:val="none" w:sz="0" w:space="0" w:color="auto"/>
              </w:divBdr>
            </w:div>
            <w:div w:id="1603681951">
              <w:marLeft w:val="0"/>
              <w:marRight w:val="0"/>
              <w:marTop w:val="0"/>
              <w:marBottom w:val="0"/>
              <w:divBdr>
                <w:top w:val="none" w:sz="0" w:space="0" w:color="auto"/>
                <w:left w:val="none" w:sz="0" w:space="0" w:color="auto"/>
                <w:bottom w:val="none" w:sz="0" w:space="0" w:color="auto"/>
                <w:right w:val="none" w:sz="0" w:space="0" w:color="auto"/>
              </w:divBdr>
            </w:div>
            <w:div w:id="1963731603">
              <w:marLeft w:val="0"/>
              <w:marRight w:val="0"/>
              <w:marTop w:val="0"/>
              <w:marBottom w:val="0"/>
              <w:divBdr>
                <w:top w:val="none" w:sz="0" w:space="0" w:color="auto"/>
                <w:left w:val="none" w:sz="0" w:space="0" w:color="auto"/>
                <w:bottom w:val="none" w:sz="0" w:space="0" w:color="auto"/>
                <w:right w:val="none" w:sz="0" w:space="0" w:color="auto"/>
              </w:divBdr>
            </w:div>
            <w:div w:id="1895308319">
              <w:marLeft w:val="0"/>
              <w:marRight w:val="0"/>
              <w:marTop w:val="0"/>
              <w:marBottom w:val="0"/>
              <w:divBdr>
                <w:top w:val="none" w:sz="0" w:space="0" w:color="auto"/>
                <w:left w:val="none" w:sz="0" w:space="0" w:color="auto"/>
                <w:bottom w:val="none" w:sz="0" w:space="0" w:color="auto"/>
                <w:right w:val="none" w:sz="0" w:space="0" w:color="auto"/>
              </w:divBdr>
            </w:div>
            <w:div w:id="1669290400">
              <w:marLeft w:val="0"/>
              <w:marRight w:val="0"/>
              <w:marTop w:val="0"/>
              <w:marBottom w:val="0"/>
              <w:divBdr>
                <w:top w:val="none" w:sz="0" w:space="0" w:color="auto"/>
                <w:left w:val="none" w:sz="0" w:space="0" w:color="auto"/>
                <w:bottom w:val="none" w:sz="0" w:space="0" w:color="auto"/>
                <w:right w:val="none" w:sz="0" w:space="0" w:color="auto"/>
              </w:divBdr>
            </w:div>
            <w:div w:id="1672021685">
              <w:marLeft w:val="0"/>
              <w:marRight w:val="0"/>
              <w:marTop w:val="0"/>
              <w:marBottom w:val="0"/>
              <w:divBdr>
                <w:top w:val="none" w:sz="0" w:space="0" w:color="auto"/>
                <w:left w:val="none" w:sz="0" w:space="0" w:color="auto"/>
                <w:bottom w:val="none" w:sz="0" w:space="0" w:color="auto"/>
                <w:right w:val="none" w:sz="0" w:space="0" w:color="auto"/>
              </w:divBdr>
            </w:div>
            <w:div w:id="1324965937">
              <w:marLeft w:val="0"/>
              <w:marRight w:val="0"/>
              <w:marTop w:val="0"/>
              <w:marBottom w:val="0"/>
              <w:divBdr>
                <w:top w:val="none" w:sz="0" w:space="0" w:color="auto"/>
                <w:left w:val="none" w:sz="0" w:space="0" w:color="auto"/>
                <w:bottom w:val="none" w:sz="0" w:space="0" w:color="auto"/>
                <w:right w:val="none" w:sz="0" w:space="0" w:color="auto"/>
              </w:divBdr>
            </w:div>
            <w:div w:id="1544054109">
              <w:marLeft w:val="0"/>
              <w:marRight w:val="0"/>
              <w:marTop w:val="0"/>
              <w:marBottom w:val="0"/>
              <w:divBdr>
                <w:top w:val="none" w:sz="0" w:space="0" w:color="auto"/>
                <w:left w:val="none" w:sz="0" w:space="0" w:color="auto"/>
                <w:bottom w:val="none" w:sz="0" w:space="0" w:color="auto"/>
                <w:right w:val="none" w:sz="0" w:space="0" w:color="auto"/>
              </w:divBdr>
            </w:div>
            <w:div w:id="1210416007">
              <w:marLeft w:val="0"/>
              <w:marRight w:val="0"/>
              <w:marTop w:val="0"/>
              <w:marBottom w:val="0"/>
              <w:divBdr>
                <w:top w:val="none" w:sz="0" w:space="0" w:color="auto"/>
                <w:left w:val="none" w:sz="0" w:space="0" w:color="auto"/>
                <w:bottom w:val="none" w:sz="0" w:space="0" w:color="auto"/>
                <w:right w:val="none" w:sz="0" w:space="0" w:color="auto"/>
              </w:divBdr>
            </w:div>
            <w:div w:id="391393218">
              <w:marLeft w:val="0"/>
              <w:marRight w:val="0"/>
              <w:marTop w:val="0"/>
              <w:marBottom w:val="0"/>
              <w:divBdr>
                <w:top w:val="none" w:sz="0" w:space="0" w:color="auto"/>
                <w:left w:val="none" w:sz="0" w:space="0" w:color="auto"/>
                <w:bottom w:val="none" w:sz="0" w:space="0" w:color="auto"/>
                <w:right w:val="none" w:sz="0" w:space="0" w:color="auto"/>
              </w:divBdr>
            </w:div>
            <w:div w:id="1297298915">
              <w:marLeft w:val="0"/>
              <w:marRight w:val="0"/>
              <w:marTop w:val="0"/>
              <w:marBottom w:val="0"/>
              <w:divBdr>
                <w:top w:val="none" w:sz="0" w:space="0" w:color="auto"/>
                <w:left w:val="none" w:sz="0" w:space="0" w:color="auto"/>
                <w:bottom w:val="none" w:sz="0" w:space="0" w:color="auto"/>
                <w:right w:val="none" w:sz="0" w:space="0" w:color="auto"/>
              </w:divBdr>
            </w:div>
            <w:div w:id="1871412268">
              <w:marLeft w:val="0"/>
              <w:marRight w:val="0"/>
              <w:marTop w:val="0"/>
              <w:marBottom w:val="0"/>
              <w:divBdr>
                <w:top w:val="none" w:sz="0" w:space="0" w:color="auto"/>
                <w:left w:val="none" w:sz="0" w:space="0" w:color="auto"/>
                <w:bottom w:val="none" w:sz="0" w:space="0" w:color="auto"/>
                <w:right w:val="none" w:sz="0" w:space="0" w:color="auto"/>
              </w:divBdr>
            </w:div>
            <w:div w:id="121277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chart" Target="charts/chart5.xml"/><Relationship Id="rId26" Type="http://schemas.openxmlformats.org/officeDocument/2006/relationships/chart" Target="charts/chart13.xml"/><Relationship Id="rId39" Type="http://schemas.openxmlformats.org/officeDocument/2006/relationships/theme" Target="theme/theme1.xml"/><Relationship Id="rId21" Type="http://schemas.openxmlformats.org/officeDocument/2006/relationships/chart" Target="charts/chart8.xml"/><Relationship Id="rId34"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chart" Target="charts/chart7.xml"/><Relationship Id="rId29" Type="http://schemas.openxmlformats.org/officeDocument/2006/relationships/chart" Target="charts/chart1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chart" Target="charts/chart11.xml"/><Relationship Id="rId32" Type="http://schemas.openxmlformats.org/officeDocument/2006/relationships/chart" Target="charts/chart19.xml"/><Relationship Id="rId37"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footer" Target="footer4.xml"/><Relationship Id="rId10" Type="http://schemas.openxmlformats.org/officeDocument/2006/relationships/footer" Target="footer1.xml"/><Relationship Id="rId19" Type="http://schemas.openxmlformats.org/officeDocument/2006/relationships/chart" Target="charts/chart6.xml"/><Relationship Id="rId31" Type="http://schemas.openxmlformats.org/officeDocument/2006/relationships/chart" Target="charts/chart18.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chart" Target="charts/chart17.xml"/><Relationship Id="rId35" Type="http://schemas.openxmlformats.org/officeDocument/2006/relationships/header" Target="header5.xml"/><Relationship Id="rId8" Type="http://schemas.openxmlformats.org/officeDocument/2006/relationships/header" Target="header1.xm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3.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5.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8.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User\Dropbox\Domaine%20de%20l'&#233;clairage%20.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non!$B$20</c:f>
              <c:strCache>
                <c:ptCount val="1"/>
                <c:pt idx="0">
                  <c:v>Global</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non!$A$21:$A$23</c:f>
              <c:strCache>
                <c:ptCount val="3"/>
                <c:pt idx="0">
                  <c:v>(Ec1) Turn off lights in unoccupied rooms (kWh)</c:v>
                </c:pt>
                <c:pt idx="1">
                  <c:v> (Ec2) Use Natural Light to Reduce Artificial Lighting (kWh)</c:v>
                </c:pt>
                <c:pt idx="2">
                  <c:v>Total Energy Saved in Living Rooms (kWh)</c:v>
                </c:pt>
              </c:strCache>
            </c:strRef>
          </c:cat>
          <c:val>
            <c:numRef>
              <c:f>non!$B$21:$B$23</c:f>
              <c:numCache>
                <c:formatCode>General</c:formatCode>
                <c:ptCount val="3"/>
                <c:pt idx="0">
                  <c:v>1993.4559999999999</c:v>
                </c:pt>
                <c:pt idx="1">
                  <c:v>323.73200000000003</c:v>
                </c:pt>
                <c:pt idx="2">
                  <c:v>2317.1880000000001</c:v>
                </c:pt>
              </c:numCache>
            </c:numRef>
          </c:val>
          <c:extLst>
            <c:ext xmlns:c16="http://schemas.microsoft.com/office/drawing/2014/chart" uri="{C3380CC4-5D6E-409C-BE32-E72D297353CC}">
              <c16:uniqueId val="{00000000-A726-4F93-925E-7C84A4EE5E04}"/>
            </c:ext>
          </c:extLst>
        </c:ser>
        <c:dLbls>
          <c:dLblPos val="outEnd"/>
          <c:showLegendKey val="0"/>
          <c:showVal val="1"/>
          <c:showCatName val="0"/>
          <c:showSerName val="0"/>
          <c:showPercent val="0"/>
          <c:showBubbleSize val="0"/>
        </c:dLbls>
        <c:gapWidth val="100"/>
        <c:overlap val="-24"/>
        <c:axId val="-1233851056"/>
        <c:axId val="-1233863024"/>
      </c:barChart>
      <c:catAx>
        <c:axId val="-12338510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63024"/>
        <c:crosses val="autoZero"/>
        <c:auto val="1"/>
        <c:lblAlgn val="ctr"/>
        <c:lblOffset val="100"/>
        <c:noMultiLvlLbl val="0"/>
      </c:catAx>
      <c:valAx>
        <c:axId val="-1233863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51056"/>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3765810211779033"/>
          <c:y val="3.681171822470674E-2"/>
          <c:w val="0.4777308449735182"/>
          <c:h val="0.84652985772685263"/>
        </c:manualLayout>
      </c:layout>
      <c:barChart>
        <c:barDir val="bar"/>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non!$A$67:$A$69</c:f>
              <c:strCache>
                <c:ptCount val="3"/>
                <c:pt idx="0">
                  <c:v>Energy Saved Through Optimization EC4</c:v>
                </c:pt>
                <c:pt idx="1">
                  <c:v>Energy Saved by Turning Off Lighting in Unoccupied Rooms  EC1</c:v>
                </c:pt>
                <c:pt idx="2">
                  <c:v>Total Energy Saved</c:v>
                </c:pt>
              </c:strCache>
            </c:strRef>
          </c:cat>
          <c:val>
            <c:numRef>
              <c:f>non!$B$67:$B$69</c:f>
              <c:numCache>
                <c:formatCode>0.00%</c:formatCode>
                <c:ptCount val="3"/>
                <c:pt idx="0">
                  <c:v>0.38011316901324999</c:v>
                </c:pt>
                <c:pt idx="1">
                  <c:v>0.21149802179862001</c:v>
                </c:pt>
                <c:pt idx="2">
                  <c:v>0.59150372820810004</c:v>
                </c:pt>
              </c:numCache>
            </c:numRef>
          </c:val>
          <c:extLst>
            <c:ext xmlns:c16="http://schemas.microsoft.com/office/drawing/2014/chart" uri="{C3380CC4-5D6E-409C-BE32-E72D297353CC}">
              <c16:uniqueId val="{00000000-D84C-4E68-B7CB-B63C9B1C338F}"/>
            </c:ext>
          </c:extLst>
        </c:ser>
        <c:dLbls>
          <c:dLblPos val="outEnd"/>
          <c:showLegendKey val="0"/>
          <c:showVal val="1"/>
          <c:showCatName val="0"/>
          <c:showSerName val="0"/>
          <c:showPercent val="0"/>
          <c:showBubbleSize val="0"/>
        </c:dLbls>
        <c:gapWidth val="115"/>
        <c:overlap val="-20"/>
        <c:axId val="-1233840720"/>
        <c:axId val="-1233861392"/>
      </c:barChart>
      <c:catAx>
        <c:axId val="-12338407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61392"/>
        <c:crosses val="autoZero"/>
        <c:auto val="1"/>
        <c:lblAlgn val="ctr"/>
        <c:lblOffset val="100"/>
        <c:noMultiLvlLbl val="0"/>
      </c:catAx>
      <c:valAx>
        <c:axId val="-1233861392"/>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40720"/>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non!$C$71</c:f>
              <c:strCache>
                <c:ptCount val="1"/>
                <c:pt idx="0">
                  <c:v>Nombre total des lampes installées</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non!$D$70:$I$70</c:f>
              <c:strCache>
                <c:ptCount val="6"/>
                <c:pt idx="0">
                  <c:v>Living Rooms</c:v>
                </c:pt>
                <c:pt idx="1">
                  <c:v>Bedrooms</c:v>
                </c:pt>
                <c:pt idx="2">
                  <c:v>Toilets</c:v>
                </c:pt>
                <c:pt idx="3">
                  <c:v>Other Rooms</c:v>
                </c:pt>
                <c:pt idx="4">
                  <c:v>Outdoor Lighting</c:v>
                </c:pt>
                <c:pt idx="5">
                  <c:v>Overall</c:v>
                </c:pt>
              </c:strCache>
            </c:strRef>
          </c:cat>
          <c:val>
            <c:numRef>
              <c:f>non!$D$71:$I$71</c:f>
              <c:numCache>
                <c:formatCode>General</c:formatCode>
                <c:ptCount val="6"/>
                <c:pt idx="0">
                  <c:v>1570</c:v>
                </c:pt>
                <c:pt idx="1">
                  <c:v>2166</c:v>
                </c:pt>
                <c:pt idx="2">
                  <c:v>698</c:v>
                </c:pt>
                <c:pt idx="3">
                  <c:v>598</c:v>
                </c:pt>
                <c:pt idx="4">
                  <c:v>1525</c:v>
                </c:pt>
                <c:pt idx="5">
                  <c:v>6557</c:v>
                </c:pt>
              </c:numCache>
            </c:numRef>
          </c:val>
          <c:extLst>
            <c:ext xmlns:c16="http://schemas.microsoft.com/office/drawing/2014/chart" uri="{C3380CC4-5D6E-409C-BE32-E72D297353CC}">
              <c16:uniqueId val="{00000000-8CC0-4721-A7D9-D12165E19EE8}"/>
            </c:ext>
          </c:extLst>
        </c:ser>
        <c:dLbls>
          <c:dLblPos val="outEnd"/>
          <c:showLegendKey val="0"/>
          <c:showVal val="1"/>
          <c:showCatName val="0"/>
          <c:showSerName val="0"/>
          <c:showPercent val="0"/>
          <c:showBubbleSize val="0"/>
        </c:dLbls>
        <c:gapWidth val="100"/>
        <c:overlap val="-24"/>
        <c:axId val="-1233838544"/>
        <c:axId val="-1233839632"/>
      </c:barChart>
      <c:catAx>
        <c:axId val="-12338385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39632"/>
        <c:crosses val="autoZero"/>
        <c:auto val="1"/>
        <c:lblAlgn val="ctr"/>
        <c:lblOffset val="100"/>
        <c:noMultiLvlLbl val="0"/>
      </c:catAx>
      <c:valAx>
        <c:axId val="-1233839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38544"/>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non!$C$74</c:f>
              <c:strCache>
                <c:ptCount val="1"/>
                <c:pt idx="0">
                  <c:v>Puissance totale des lampes installées (kWh)</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non!$D$73:$I$73</c:f>
              <c:strCache>
                <c:ptCount val="6"/>
                <c:pt idx="0">
                  <c:v>Living Rooms</c:v>
                </c:pt>
                <c:pt idx="1">
                  <c:v>Bedrooms</c:v>
                </c:pt>
                <c:pt idx="2">
                  <c:v>Toilets</c:v>
                </c:pt>
                <c:pt idx="3">
                  <c:v>Other Rooms</c:v>
                </c:pt>
                <c:pt idx="4">
                  <c:v>Outdoor Lighting</c:v>
                </c:pt>
                <c:pt idx="5">
                  <c:v>Overall</c:v>
                </c:pt>
              </c:strCache>
            </c:strRef>
          </c:cat>
          <c:val>
            <c:numRef>
              <c:f>non!$D$74:$I$74</c:f>
              <c:numCache>
                <c:formatCode>General</c:formatCode>
                <c:ptCount val="6"/>
                <c:pt idx="0">
                  <c:v>22.268999999999998</c:v>
                </c:pt>
                <c:pt idx="1">
                  <c:v>24.823999999999998</c:v>
                </c:pt>
                <c:pt idx="2">
                  <c:v>7.0579999999999998</c:v>
                </c:pt>
                <c:pt idx="3">
                  <c:v>7.3780000000000001</c:v>
                </c:pt>
                <c:pt idx="4">
                  <c:v>21.775999999999996</c:v>
                </c:pt>
                <c:pt idx="5">
                  <c:v>83.304999999999993</c:v>
                </c:pt>
              </c:numCache>
            </c:numRef>
          </c:val>
          <c:extLst>
            <c:ext xmlns:c16="http://schemas.microsoft.com/office/drawing/2014/chart" uri="{C3380CC4-5D6E-409C-BE32-E72D297353CC}">
              <c16:uniqueId val="{00000000-115C-4738-B5E2-08D8FA87300D}"/>
            </c:ext>
          </c:extLst>
        </c:ser>
        <c:dLbls>
          <c:dLblPos val="outEnd"/>
          <c:showLegendKey val="0"/>
          <c:showVal val="1"/>
          <c:showCatName val="0"/>
          <c:showSerName val="0"/>
          <c:showPercent val="0"/>
          <c:showBubbleSize val="0"/>
        </c:dLbls>
        <c:gapWidth val="100"/>
        <c:overlap val="-24"/>
        <c:axId val="-1233855952"/>
        <c:axId val="-1233838000"/>
      </c:barChart>
      <c:catAx>
        <c:axId val="-12338559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38000"/>
        <c:crosses val="autoZero"/>
        <c:auto val="1"/>
        <c:lblAlgn val="ctr"/>
        <c:lblOffset val="100"/>
        <c:noMultiLvlLbl val="0"/>
      </c:catAx>
      <c:valAx>
        <c:axId val="-1233838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55952"/>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non!$C$77</c:f>
              <c:strCache>
                <c:ptCount val="1"/>
                <c:pt idx="0">
                  <c:v>Consommation totale des lampes (kWh)</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non!$D$76:$I$76</c:f>
              <c:strCache>
                <c:ptCount val="6"/>
                <c:pt idx="0">
                  <c:v>Living Rooms</c:v>
                </c:pt>
                <c:pt idx="1">
                  <c:v>Bedrooms</c:v>
                </c:pt>
                <c:pt idx="2">
                  <c:v>Toilets</c:v>
                </c:pt>
                <c:pt idx="3">
                  <c:v>Other Rooms</c:v>
                </c:pt>
                <c:pt idx="4">
                  <c:v>Outdoor Lighting</c:v>
                </c:pt>
                <c:pt idx="5">
                  <c:v>Overall</c:v>
                </c:pt>
              </c:strCache>
            </c:strRef>
          </c:cat>
          <c:val>
            <c:numRef>
              <c:f>non!$D$77:$I$77</c:f>
              <c:numCache>
                <c:formatCode>General</c:formatCode>
                <c:ptCount val="6"/>
                <c:pt idx="0">
                  <c:v>18568.29</c:v>
                </c:pt>
                <c:pt idx="1">
                  <c:v>15343.24</c:v>
                </c:pt>
                <c:pt idx="2">
                  <c:v>1032.92</c:v>
                </c:pt>
                <c:pt idx="3">
                  <c:v>4021.69</c:v>
                </c:pt>
                <c:pt idx="4">
                  <c:v>21302.37</c:v>
                </c:pt>
                <c:pt idx="5">
                  <c:v>60268.51</c:v>
                </c:pt>
              </c:numCache>
            </c:numRef>
          </c:val>
          <c:extLst>
            <c:ext xmlns:c16="http://schemas.microsoft.com/office/drawing/2014/chart" uri="{C3380CC4-5D6E-409C-BE32-E72D297353CC}">
              <c16:uniqueId val="{00000000-1F75-4699-AEF0-909AE6C21624}"/>
            </c:ext>
          </c:extLst>
        </c:ser>
        <c:dLbls>
          <c:dLblPos val="outEnd"/>
          <c:showLegendKey val="0"/>
          <c:showVal val="1"/>
          <c:showCatName val="0"/>
          <c:showSerName val="0"/>
          <c:showPercent val="0"/>
          <c:showBubbleSize val="0"/>
        </c:dLbls>
        <c:gapWidth val="100"/>
        <c:overlap val="-24"/>
        <c:axId val="-1233837456"/>
        <c:axId val="-1233867376"/>
      </c:barChart>
      <c:catAx>
        <c:axId val="-12338374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67376"/>
        <c:crosses val="autoZero"/>
        <c:auto val="1"/>
        <c:lblAlgn val="ctr"/>
        <c:lblOffset val="100"/>
        <c:noMultiLvlLbl val="0"/>
      </c:catAx>
      <c:valAx>
        <c:axId val="-1233867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37456"/>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3954-4BB8-816D-51793D75CE3A}"/>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3954-4BB8-816D-51793D75CE3A}"/>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3954-4BB8-816D-51793D75CE3A}"/>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3954-4BB8-816D-51793D75CE3A}"/>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3954-4BB8-816D-51793D75CE3A}"/>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3954-4BB8-816D-51793D75CE3A}"/>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3954-4BB8-816D-51793D75CE3A}"/>
                </c:ext>
              </c:extLst>
            </c:dLbl>
            <c:dLbl>
              <c:idx val="2"/>
              <c:layout>
                <c:manualLayout>
                  <c:x val="4.1237113402061813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954-4BB8-816D-51793D75CE3A}"/>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7-3954-4BB8-816D-51793D75CE3A}"/>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9-3954-4BB8-816D-51793D75CE3A}"/>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non!$D$76:$H$76</c:f>
              <c:strCache>
                <c:ptCount val="5"/>
                <c:pt idx="0">
                  <c:v>Living Rooms</c:v>
                </c:pt>
                <c:pt idx="1">
                  <c:v>Bedrooms</c:v>
                </c:pt>
                <c:pt idx="2">
                  <c:v>Toilets</c:v>
                </c:pt>
                <c:pt idx="3">
                  <c:v>Other Rooms</c:v>
                </c:pt>
                <c:pt idx="4">
                  <c:v>Outdoor Lighting</c:v>
                </c:pt>
              </c:strCache>
            </c:strRef>
          </c:cat>
          <c:val>
            <c:numRef>
              <c:f>non!$D$77:$H$77</c:f>
              <c:numCache>
                <c:formatCode>General</c:formatCode>
                <c:ptCount val="5"/>
                <c:pt idx="0">
                  <c:v>18568.29</c:v>
                </c:pt>
                <c:pt idx="1">
                  <c:v>15343.24</c:v>
                </c:pt>
                <c:pt idx="2">
                  <c:v>1032.92</c:v>
                </c:pt>
                <c:pt idx="3">
                  <c:v>4021.69</c:v>
                </c:pt>
                <c:pt idx="4">
                  <c:v>21302.37</c:v>
                </c:pt>
              </c:numCache>
            </c:numRef>
          </c:val>
          <c:extLst>
            <c:ext xmlns:c16="http://schemas.microsoft.com/office/drawing/2014/chart" uri="{C3380CC4-5D6E-409C-BE32-E72D297353CC}">
              <c16:uniqueId val="{0000000A-3954-4BB8-816D-51793D75CE3A}"/>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non!$C$91</c:f>
              <c:strCache>
                <c:ptCount val="1"/>
                <c:pt idx="0">
                  <c:v>Energie Totale économisée (kWh)</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non!$D$90:$H$90</c:f>
              <c:strCache>
                <c:ptCount val="5"/>
                <c:pt idx="0">
                  <c:v>Living Rooms</c:v>
                </c:pt>
                <c:pt idx="1">
                  <c:v>Bedrooms</c:v>
                </c:pt>
                <c:pt idx="2">
                  <c:v>Toilets</c:v>
                </c:pt>
                <c:pt idx="3">
                  <c:v>Other Rooms</c:v>
                </c:pt>
                <c:pt idx="4">
                  <c:v>Overall</c:v>
                </c:pt>
              </c:strCache>
            </c:strRef>
          </c:cat>
          <c:val>
            <c:numRef>
              <c:f>non!$D$91:$H$91</c:f>
              <c:numCache>
                <c:formatCode>General</c:formatCode>
                <c:ptCount val="5"/>
                <c:pt idx="0">
                  <c:v>2317.19</c:v>
                </c:pt>
                <c:pt idx="1">
                  <c:v>4194.49</c:v>
                </c:pt>
                <c:pt idx="2">
                  <c:v>611.08000000000004</c:v>
                </c:pt>
                <c:pt idx="3">
                  <c:v>176.87</c:v>
                </c:pt>
                <c:pt idx="4">
                  <c:v>7299.64</c:v>
                </c:pt>
              </c:numCache>
            </c:numRef>
          </c:val>
          <c:extLst>
            <c:ext xmlns:c16="http://schemas.microsoft.com/office/drawing/2014/chart" uri="{C3380CC4-5D6E-409C-BE32-E72D297353CC}">
              <c16:uniqueId val="{00000000-3169-4F6E-B7CD-C097011FF2A1}"/>
            </c:ext>
          </c:extLst>
        </c:ser>
        <c:dLbls>
          <c:dLblPos val="outEnd"/>
          <c:showLegendKey val="0"/>
          <c:showVal val="1"/>
          <c:showCatName val="0"/>
          <c:showSerName val="0"/>
          <c:showPercent val="0"/>
          <c:showBubbleSize val="0"/>
        </c:dLbls>
        <c:gapWidth val="100"/>
        <c:overlap val="-24"/>
        <c:axId val="-1233864112"/>
        <c:axId val="-1233855408"/>
      </c:barChart>
      <c:catAx>
        <c:axId val="-12338641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55408"/>
        <c:crosses val="autoZero"/>
        <c:auto val="1"/>
        <c:lblAlgn val="ctr"/>
        <c:lblOffset val="100"/>
        <c:noMultiLvlLbl val="0"/>
      </c:catAx>
      <c:valAx>
        <c:axId val="-1233855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64112"/>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5BCD-4D1E-8CA9-AA8DE8B5FC2D}"/>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5BCD-4D1E-8CA9-AA8DE8B5FC2D}"/>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5BCD-4D1E-8CA9-AA8DE8B5FC2D}"/>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5BCD-4D1E-8CA9-AA8DE8B5FC2D}"/>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5BCD-4D1E-8CA9-AA8DE8B5FC2D}"/>
                </c:ext>
              </c:extLst>
            </c:dLbl>
            <c:dLbl>
              <c:idx val="1"/>
              <c:layout>
                <c:manualLayout>
                  <c:x val="0.13287514318442153"/>
                  <c:y val="-5.040322580645254E-3"/>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24426116838487971"/>
                      <c:h val="0.22487419037338074"/>
                    </c:manualLayout>
                  </c15:layout>
                </c:ext>
                <c:ext xmlns:c16="http://schemas.microsoft.com/office/drawing/2014/chart" uri="{C3380CC4-5D6E-409C-BE32-E72D297353CC}">
                  <c16:uniqueId val="{00000003-5BCD-4D1E-8CA9-AA8DE8B5FC2D}"/>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5BCD-4D1E-8CA9-AA8DE8B5FC2D}"/>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7-5BCD-4D1E-8CA9-AA8DE8B5FC2D}"/>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non!$D$90:$G$90</c:f>
              <c:strCache>
                <c:ptCount val="4"/>
                <c:pt idx="0">
                  <c:v>Living Rooms</c:v>
                </c:pt>
                <c:pt idx="1">
                  <c:v>Bedrooms</c:v>
                </c:pt>
                <c:pt idx="2">
                  <c:v>Toilets</c:v>
                </c:pt>
                <c:pt idx="3">
                  <c:v>Other Rooms</c:v>
                </c:pt>
              </c:strCache>
            </c:strRef>
          </c:cat>
          <c:val>
            <c:numRef>
              <c:f>non!$D$91:$G$91</c:f>
              <c:numCache>
                <c:formatCode>General</c:formatCode>
                <c:ptCount val="4"/>
                <c:pt idx="0">
                  <c:v>2317.19</c:v>
                </c:pt>
                <c:pt idx="1">
                  <c:v>4194.49</c:v>
                </c:pt>
                <c:pt idx="2">
                  <c:v>611.08000000000004</c:v>
                </c:pt>
                <c:pt idx="3">
                  <c:v>176.87</c:v>
                </c:pt>
              </c:numCache>
            </c:numRef>
          </c:val>
          <c:extLst>
            <c:ext xmlns:c16="http://schemas.microsoft.com/office/drawing/2014/chart" uri="{C3380CC4-5D6E-409C-BE32-E72D297353CC}">
              <c16:uniqueId val="{00000008-5BCD-4D1E-8CA9-AA8DE8B5FC2D}"/>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non!$D$104:$D$108</c:f>
              <c:strCache>
                <c:ptCount val="5"/>
                <c:pt idx="0">
                  <c:v>Ec1 (kWh)</c:v>
                </c:pt>
                <c:pt idx="1">
                  <c:v> Ec2 (kWh)</c:v>
                </c:pt>
                <c:pt idx="2">
                  <c:v>EC4 (kWh) </c:v>
                </c:pt>
                <c:pt idx="3">
                  <c:v> EC3 (kWh)</c:v>
                </c:pt>
                <c:pt idx="4">
                  <c:v>Total Energy Saved</c:v>
                </c:pt>
              </c:strCache>
            </c:strRef>
          </c:cat>
          <c:val>
            <c:numRef>
              <c:f>non!$E$104:$E$108</c:f>
              <c:numCache>
                <c:formatCode>General</c:formatCode>
                <c:ptCount val="5"/>
                <c:pt idx="0">
                  <c:v>3703.44</c:v>
                </c:pt>
                <c:pt idx="1">
                  <c:v>323.73</c:v>
                </c:pt>
                <c:pt idx="2">
                  <c:v>1849.75</c:v>
                </c:pt>
                <c:pt idx="3">
                  <c:v>1422.72</c:v>
                </c:pt>
                <c:pt idx="4">
                  <c:v>7299.64</c:v>
                </c:pt>
              </c:numCache>
            </c:numRef>
          </c:val>
          <c:extLst>
            <c:ext xmlns:c16="http://schemas.microsoft.com/office/drawing/2014/chart" uri="{C3380CC4-5D6E-409C-BE32-E72D297353CC}">
              <c16:uniqueId val="{00000000-8B11-4951-B04C-BD3A2E64A802}"/>
            </c:ext>
          </c:extLst>
        </c:ser>
        <c:dLbls>
          <c:dLblPos val="outEnd"/>
          <c:showLegendKey val="0"/>
          <c:showVal val="1"/>
          <c:showCatName val="0"/>
          <c:showSerName val="0"/>
          <c:showPercent val="0"/>
          <c:showBubbleSize val="0"/>
        </c:dLbls>
        <c:gapWidth val="100"/>
        <c:overlap val="-24"/>
        <c:axId val="-1233865200"/>
        <c:axId val="-1233857040"/>
      </c:barChart>
      <c:catAx>
        <c:axId val="-123386520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57040"/>
        <c:crosses val="autoZero"/>
        <c:auto val="1"/>
        <c:lblAlgn val="ctr"/>
        <c:lblOffset val="100"/>
        <c:noMultiLvlLbl val="0"/>
      </c:catAx>
      <c:valAx>
        <c:axId val="-1233857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65200"/>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non!$D$110:$D$114</c:f>
              <c:strCache>
                <c:ptCount val="5"/>
                <c:pt idx="0">
                  <c:v>Ec1 (kWh)</c:v>
                </c:pt>
                <c:pt idx="1">
                  <c:v> Ec2 (kWh)</c:v>
                </c:pt>
                <c:pt idx="2">
                  <c:v>EC4 (kWh) </c:v>
                </c:pt>
                <c:pt idx="3">
                  <c:v> EC3 (kWh)</c:v>
                </c:pt>
                <c:pt idx="4">
                  <c:v>Total Energy Saved (kWh)</c:v>
                </c:pt>
              </c:strCache>
            </c:strRef>
          </c:cat>
          <c:val>
            <c:numRef>
              <c:f>non!$E$110:$E$114</c:f>
              <c:numCache>
                <c:formatCode>0.00%</c:formatCode>
                <c:ptCount val="5"/>
                <c:pt idx="0">
                  <c:v>6.1448953324037603E-2</c:v>
                </c:pt>
                <c:pt idx="1">
                  <c:v>5.3714947918642496E-3</c:v>
                </c:pt>
                <c:pt idx="2">
                  <c:v>3.06917403304869E-2</c:v>
                </c:pt>
                <c:pt idx="3">
                  <c:v>2.36063733019161E-2</c:v>
                </c:pt>
                <c:pt idx="4">
                  <c:v>0.121118561748305</c:v>
                </c:pt>
              </c:numCache>
            </c:numRef>
          </c:val>
          <c:extLst>
            <c:ext xmlns:c16="http://schemas.microsoft.com/office/drawing/2014/chart" uri="{C3380CC4-5D6E-409C-BE32-E72D297353CC}">
              <c16:uniqueId val="{00000000-A460-4997-9CB0-0079547E8235}"/>
            </c:ext>
          </c:extLst>
        </c:ser>
        <c:dLbls>
          <c:dLblPos val="outEnd"/>
          <c:showLegendKey val="0"/>
          <c:showVal val="1"/>
          <c:showCatName val="0"/>
          <c:showSerName val="0"/>
          <c:showPercent val="0"/>
          <c:showBubbleSize val="0"/>
        </c:dLbls>
        <c:gapWidth val="100"/>
        <c:overlap val="-24"/>
        <c:axId val="-1233863568"/>
        <c:axId val="-1233864656"/>
      </c:barChart>
      <c:catAx>
        <c:axId val="-12338635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64656"/>
        <c:crosses val="autoZero"/>
        <c:auto val="1"/>
        <c:lblAlgn val="ctr"/>
        <c:lblOffset val="100"/>
        <c:noMultiLvlLbl val="0"/>
      </c:catAx>
      <c:valAx>
        <c:axId val="-12338646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63568"/>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non!$B$116</c:f>
              <c:strCache>
                <c:ptCount val="1"/>
                <c:pt idx="0">
                  <c:v>Annual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non!$A$117:$A$121</c:f>
              <c:strCache>
                <c:ptCount val="5"/>
                <c:pt idx="0">
                  <c:v>EC1 (kWh)</c:v>
                </c:pt>
                <c:pt idx="1">
                  <c:v>EC2 (kWh)</c:v>
                </c:pt>
                <c:pt idx="2">
                  <c:v>EC4 (kWh) </c:v>
                </c:pt>
                <c:pt idx="3">
                  <c:v>EC3(kWh)</c:v>
                </c:pt>
                <c:pt idx="4">
                  <c:v>Total Energy Saved (kWh)</c:v>
                </c:pt>
              </c:strCache>
            </c:strRef>
          </c:cat>
          <c:val>
            <c:numRef>
              <c:f>non!$B$117:$B$121</c:f>
              <c:numCache>
                <c:formatCode>General</c:formatCode>
                <c:ptCount val="5"/>
                <c:pt idx="0">
                  <c:v>8.44</c:v>
                </c:pt>
                <c:pt idx="1">
                  <c:v>0.74</c:v>
                </c:pt>
                <c:pt idx="2">
                  <c:v>4.21</c:v>
                </c:pt>
                <c:pt idx="3">
                  <c:v>3.24</c:v>
                </c:pt>
                <c:pt idx="4">
                  <c:v>16.63</c:v>
                </c:pt>
              </c:numCache>
            </c:numRef>
          </c:val>
          <c:extLst>
            <c:ext xmlns:c16="http://schemas.microsoft.com/office/drawing/2014/chart" uri="{C3380CC4-5D6E-409C-BE32-E72D297353CC}">
              <c16:uniqueId val="{00000000-C2F2-4F2E-A09E-22397CEC8C17}"/>
            </c:ext>
          </c:extLst>
        </c:ser>
        <c:dLbls>
          <c:dLblPos val="outEnd"/>
          <c:showLegendKey val="0"/>
          <c:showVal val="1"/>
          <c:showCatName val="0"/>
          <c:showSerName val="0"/>
          <c:showPercent val="0"/>
          <c:showBubbleSize val="0"/>
        </c:dLbls>
        <c:gapWidth val="115"/>
        <c:overlap val="-20"/>
        <c:axId val="-1233862480"/>
        <c:axId val="-1233861936"/>
      </c:barChart>
      <c:catAx>
        <c:axId val="-123386248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61936"/>
        <c:crosses val="autoZero"/>
        <c:auto val="1"/>
        <c:lblAlgn val="ctr"/>
        <c:lblOffset val="100"/>
        <c:noMultiLvlLbl val="0"/>
      </c:catAx>
      <c:valAx>
        <c:axId val="-12338619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62480"/>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5985227943780599"/>
          <c:y val="4.9148231912083687E-2"/>
          <c:w val="0.492422407889965"/>
          <c:h val="0.84663432596684063"/>
        </c:manualLayout>
      </c:layout>
      <c:barChart>
        <c:barDir val="bar"/>
        <c:grouping val="clustered"/>
        <c:varyColors val="0"/>
        <c:ser>
          <c:idx val="0"/>
          <c:order val="0"/>
          <c:tx>
            <c:strRef>
              <c:f>non!$B$26</c:f>
              <c:strCache>
                <c:ptCount val="1"/>
                <c:pt idx="0">
                  <c:v>Global</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non!$A$27:$A$29</c:f>
              <c:strCache>
                <c:ptCount val="3"/>
                <c:pt idx="0">
                  <c:v>(Ec1) Turn off lights in unoccupied rooms (kWh)</c:v>
                </c:pt>
                <c:pt idx="1">
                  <c:v> (Ec2) Use Natural Light to Reduce Artificial Lighting (kWh)</c:v>
                </c:pt>
                <c:pt idx="2">
                  <c:v>Total Energy Savings (kWh)</c:v>
                </c:pt>
              </c:strCache>
            </c:strRef>
          </c:cat>
          <c:val>
            <c:numRef>
              <c:f>non!$B$27:$B$29</c:f>
              <c:numCache>
                <c:formatCode>0.00%</c:formatCode>
                <c:ptCount val="3"/>
                <c:pt idx="0">
                  <c:v>0.10735807619559599</c:v>
                </c:pt>
                <c:pt idx="1">
                  <c:v>1.7434668597126099E-2</c:v>
                </c:pt>
                <c:pt idx="2">
                  <c:v>0.124792744792722</c:v>
                </c:pt>
              </c:numCache>
            </c:numRef>
          </c:val>
          <c:extLst>
            <c:ext xmlns:c16="http://schemas.microsoft.com/office/drawing/2014/chart" uri="{C3380CC4-5D6E-409C-BE32-E72D297353CC}">
              <c16:uniqueId val="{00000000-3626-44E5-ABD7-DD243EA61E55}"/>
            </c:ext>
          </c:extLst>
        </c:ser>
        <c:dLbls>
          <c:dLblPos val="outEnd"/>
          <c:showLegendKey val="0"/>
          <c:showVal val="1"/>
          <c:showCatName val="0"/>
          <c:showSerName val="0"/>
          <c:showPercent val="0"/>
          <c:showBubbleSize val="0"/>
        </c:dLbls>
        <c:gapWidth val="115"/>
        <c:overlap val="-20"/>
        <c:axId val="-1233846704"/>
        <c:axId val="-1233853776"/>
      </c:barChart>
      <c:catAx>
        <c:axId val="-123384670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53776"/>
        <c:crosses val="autoZero"/>
        <c:auto val="1"/>
        <c:lblAlgn val="ctr"/>
        <c:lblOffset val="100"/>
        <c:noMultiLvlLbl val="0"/>
      </c:catAx>
      <c:valAx>
        <c:axId val="-1233853776"/>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46704"/>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8866-4EB3-9C79-7DDD05D1AF39}"/>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8866-4EB3-9C79-7DDD05D1AF39}"/>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8866-4EB3-9C79-7DDD05D1AF39}"/>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8866-4EB3-9C79-7DDD05D1AF39}"/>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8866-4EB3-9C79-7DDD05D1AF39}"/>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8866-4EB3-9C79-7DDD05D1AF39}"/>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8866-4EB3-9C79-7DDD05D1AF39}"/>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7-8866-4EB3-9C79-7DDD05D1AF39}"/>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non!$A$117:$A$120</c:f>
              <c:strCache>
                <c:ptCount val="4"/>
                <c:pt idx="0">
                  <c:v>EC1 (kWh)</c:v>
                </c:pt>
                <c:pt idx="1">
                  <c:v>EC2 (kWh)</c:v>
                </c:pt>
                <c:pt idx="2">
                  <c:v>EC4 (kWh) </c:v>
                </c:pt>
                <c:pt idx="3">
                  <c:v>EC3(kWh)</c:v>
                </c:pt>
              </c:strCache>
            </c:strRef>
          </c:cat>
          <c:val>
            <c:numRef>
              <c:f>non!$B$117:$B$120</c:f>
              <c:numCache>
                <c:formatCode>General</c:formatCode>
                <c:ptCount val="4"/>
                <c:pt idx="0">
                  <c:v>8.44</c:v>
                </c:pt>
                <c:pt idx="1">
                  <c:v>0.74</c:v>
                </c:pt>
                <c:pt idx="2">
                  <c:v>4.21</c:v>
                </c:pt>
                <c:pt idx="3">
                  <c:v>3.24</c:v>
                </c:pt>
              </c:numCache>
            </c:numRef>
          </c:val>
          <c:extLst>
            <c:ext xmlns:c16="http://schemas.microsoft.com/office/drawing/2014/chart" uri="{C3380CC4-5D6E-409C-BE32-E72D297353CC}">
              <c16:uniqueId val="{00000008-8866-4EB3-9C79-7DDD05D1AF39}"/>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non!$A$39</c:f>
              <c:strCache>
                <c:ptCount val="1"/>
                <c:pt idx="0">
                  <c:v>Energie Totale économisée dans les salons (kWh)</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non!$B$38:$E$38</c:f>
              <c:strCache>
                <c:ptCount val="4"/>
                <c:pt idx="0">
                  <c:v>November–February</c:v>
                </c:pt>
                <c:pt idx="1">
                  <c:v>July–October</c:v>
                </c:pt>
                <c:pt idx="2">
                  <c:v>March–June</c:v>
                </c:pt>
                <c:pt idx="3">
                  <c:v>Global</c:v>
                </c:pt>
              </c:strCache>
            </c:strRef>
          </c:cat>
          <c:val>
            <c:numRef>
              <c:f>non!$B$39:$E$39</c:f>
              <c:numCache>
                <c:formatCode>General</c:formatCode>
                <c:ptCount val="4"/>
                <c:pt idx="0">
                  <c:v>439.43999999999994</c:v>
                </c:pt>
                <c:pt idx="1">
                  <c:v>1056.078</c:v>
                </c:pt>
                <c:pt idx="2">
                  <c:v>821.67000000000007</c:v>
                </c:pt>
                <c:pt idx="3">
                  <c:v>2317.1880000000001</c:v>
                </c:pt>
              </c:numCache>
            </c:numRef>
          </c:val>
          <c:extLst>
            <c:ext xmlns:c16="http://schemas.microsoft.com/office/drawing/2014/chart" uri="{C3380CC4-5D6E-409C-BE32-E72D297353CC}">
              <c16:uniqueId val="{00000000-BEEF-486D-A995-D681DD234722}"/>
            </c:ext>
          </c:extLst>
        </c:ser>
        <c:dLbls>
          <c:dLblPos val="outEnd"/>
          <c:showLegendKey val="0"/>
          <c:showVal val="1"/>
          <c:showCatName val="0"/>
          <c:showSerName val="0"/>
          <c:showPercent val="0"/>
          <c:showBubbleSize val="0"/>
        </c:dLbls>
        <c:gapWidth val="100"/>
        <c:overlap val="-24"/>
        <c:axId val="-1233866288"/>
        <c:axId val="-1233865744"/>
      </c:barChart>
      <c:catAx>
        <c:axId val="-12338662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65744"/>
        <c:crosses val="autoZero"/>
        <c:auto val="1"/>
        <c:lblAlgn val="ctr"/>
        <c:lblOffset val="100"/>
        <c:noMultiLvlLbl val="0"/>
      </c:catAx>
      <c:valAx>
        <c:axId val="-1233865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66288"/>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6571565152294108"/>
          <c:y val="4.1865832402565785E-2"/>
          <c:w val="0.49709446113050304"/>
          <c:h val="0.86462360871087285"/>
        </c:manualLayout>
      </c:layout>
      <c:barChart>
        <c:barDir val="bar"/>
        <c:grouping val="clustered"/>
        <c:varyColors val="0"/>
        <c:ser>
          <c:idx val="0"/>
          <c:order val="0"/>
          <c:tx>
            <c:strRef>
              <c:f>non!$E$42</c:f>
              <c:strCache>
                <c:ptCount val="1"/>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non!$D$43:$D$46</c:f>
              <c:strCache>
                <c:ptCount val="4"/>
                <c:pt idx="0">
                  <c:v>November–February</c:v>
                </c:pt>
                <c:pt idx="1">
                  <c:v>March–June</c:v>
                </c:pt>
                <c:pt idx="2">
                  <c:v>July–October</c:v>
                </c:pt>
                <c:pt idx="3">
                  <c:v>Global</c:v>
                </c:pt>
              </c:strCache>
            </c:strRef>
          </c:cat>
          <c:val>
            <c:numRef>
              <c:f>non!$E$43:$E$46</c:f>
              <c:numCache>
                <c:formatCode>0.00%</c:formatCode>
                <c:ptCount val="4"/>
                <c:pt idx="0">
                  <c:v>9.5600000000000004E-2</c:v>
                </c:pt>
                <c:pt idx="1">
                  <c:v>0.12520000000000001</c:v>
                </c:pt>
                <c:pt idx="2">
                  <c:v>0.14255117796483499</c:v>
                </c:pt>
                <c:pt idx="3">
                  <c:v>0.12479999999999999</c:v>
                </c:pt>
              </c:numCache>
            </c:numRef>
          </c:val>
          <c:extLst>
            <c:ext xmlns:c16="http://schemas.microsoft.com/office/drawing/2014/chart" uri="{C3380CC4-5D6E-409C-BE32-E72D297353CC}">
              <c16:uniqueId val="{00000000-C802-4780-B514-009007A01C04}"/>
            </c:ext>
          </c:extLst>
        </c:ser>
        <c:dLbls>
          <c:dLblPos val="outEnd"/>
          <c:showLegendKey val="0"/>
          <c:showVal val="1"/>
          <c:showCatName val="0"/>
          <c:showSerName val="0"/>
          <c:showPercent val="0"/>
          <c:showBubbleSize val="0"/>
        </c:dLbls>
        <c:gapWidth val="115"/>
        <c:overlap val="-20"/>
        <c:axId val="-1233845616"/>
        <c:axId val="-1233856496"/>
      </c:barChart>
      <c:catAx>
        <c:axId val="-123384561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56496"/>
        <c:crosses val="autoZero"/>
        <c:auto val="1"/>
        <c:lblAlgn val="ctr"/>
        <c:lblOffset val="100"/>
        <c:noMultiLvlLbl val="0"/>
      </c:catAx>
      <c:valAx>
        <c:axId val="-1233856496"/>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45616"/>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non!$A$49:$A$52</c:f>
              <c:strCache>
                <c:ptCount val="4"/>
                <c:pt idx="0">
                  <c:v>EC1(kWh)</c:v>
                </c:pt>
                <c:pt idx="1">
                  <c:v>EC4(kWh)</c:v>
                </c:pt>
                <c:pt idx="2">
                  <c:v>EC3 (kWh)</c:v>
                </c:pt>
                <c:pt idx="3">
                  <c:v>Total Energy Saved After Optimization (kWh)</c:v>
                </c:pt>
              </c:strCache>
            </c:strRef>
          </c:cat>
          <c:val>
            <c:numRef>
              <c:f>non!$B$49:$B$52</c:f>
              <c:numCache>
                <c:formatCode>General</c:formatCode>
                <c:ptCount val="4"/>
                <c:pt idx="0">
                  <c:v>1314.6469999999999</c:v>
                </c:pt>
                <c:pt idx="1">
                  <c:v>1457.12</c:v>
                </c:pt>
                <c:pt idx="2">
                  <c:v>1422.721</c:v>
                </c:pt>
                <c:pt idx="3">
                  <c:v>4194.4880000000003</c:v>
                </c:pt>
              </c:numCache>
            </c:numRef>
          </c:val>
          <c:extLst>
            <c:ext xmlns:c16="http://schemas.microsoft.com/office/drawing/2014/chart" uri="{C3380CC4-5D6E-409C-BE32-E72D297353CC}">
              <c16:uniqueId val="{00000000-7765-4545-A1F7-9C9F01C5A172}"/>
            </c:ext>
          </c:extLst>
        </c:ser>
        <c:dLbls>
          <c:dLblPos val="outEnd"/>
          <c:showLegendKey val="0"/>
          <c:showVal val="1"/>
          <c:showCatName val="0"/>
          <c:showSerName val="0"/>
          <c:showPercent val="0"/>
          <c:showBubbleSize val="0"/>
        </c:dLbls>
        <c:gapWidth val="100"/>
        <c:overlap val="-24"/>
        <c:axId val="-1233844528"/>
        <c:axId val="-1233868464"/>
      </c:barChart>
      <c:catAx>
        <c:axId val="-12338445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68464"/>
        <c:crosses val="autoZero"/>
        <c:auto val="1"/>
        <c:lblAlgn val="ctr"/>
        <c:lblOffset val="100"/>
        <c:noMultiLvlLbl val="0"/>
      </c:catAx>
      <c:valAx>
        <c:axId val="-1233868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44528"/>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437771824913638"/>
          <c:y val="2.1312632321806635E-2"/>
          <c:w val="0.5666008243814884"/>
          <c:h val="0.86954472963286078"/>
        </c:manualLayout>
      </c:layout>
      <c:barChart>
        <c:barDir val="bar"/>
        <c:grouping val="clustered"/>
        <c:varyColors val="0"/>
        <c:ser>
          <c:idx val="0"/>
          <c:order val="0"/>
          <c:tx>
            <c:strRef>
              <c:f>non!$B$56</c:f>
              <c:strCache>
                <c:ptCount val="1"/>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non!$A$57:$A$60</c:f>
              <c:strCache>
                <c:ptCount val="4"/>
                <c:pt idx="0">
                  <c:v>EC1</c:v>
                </c:pt>
                <c:pt idx="1">
                  <c:v>EC4</c:v>
                </c:pt>
                <c:pt idx="2">
                  <c:v>EC3 </c:v>
                </c:pt>
                <c:pt idx="3">
                  <c:v>Energy Efficiency Potential</c:v>
                </c:pt>
              </c:strCache>
            </c:strRef>
          </c:cat>
          <c:val>
            <c:numRef>
              <c:f>non!$B$57:$B$60</c:f>
              <c:numCache>
                <c:formatCode>0.00%</c:formatCode>
                <c:ptCount val="4"/>
                <c:pt idx="0">
                  <c:v>8.5682493675512506E-2</c:v>
                </c:pt>
                <c:pt idx="1">
                  <c:v>9.4968212139428104E-2</c:v>
                </c:pt>
                <c:pt idx="2">
                  <c:v>9.2726247490405297E-2</c:v>
                </c:pt>
                <c:pt idx="3">
                  <c:v>0.273376953305346</c:v>
                </c:pt>
              </c:numCache>
            </c:numRef>
          </c:val>
          <c:extLst>
            <c:ext xmlns:c16="http://schemas.microsoft.com/office/drawing/2014/chart" uri="{C3380CC4-5D6E-409C-BE32-E72D297353CC}">
              <c16:uniqueId val="{00000000-3A8F-43CC-8372-77CAB493CC6F}"/>
            </c:ext>
          </c:extLst>
        </c:ser>
        <c:dLbls>
          <c:dLblPos val="outEnd"/>
          <c:showLegendKey val="0"/>
          <c:showVal val="1"/>
          <c:showCatName val="0"/>
          <c:showSerName val="0"/>
          <c:showPercent val="0"/>
          <c:showBubbleSize val="0"/>
        </c:dLbls>
        <c:gapWidth val="115"/>
        <c:overlap val="-20"/>
        <c:axId val="-1233841264"/>
        <c:axId val="-1233842896"/>
      </c:barChart>
      <c:catAx>
        <c:axId val="-123384126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42896"/>
        <c:crosses val="autoZero"/>
        <c:auto val="1"/>
        <c:lblAlgn val="ctr"/>
        <c:lblOffset val="100"/>
        <c:noMultiLvlLbl val="0"/>
      </c:catAx>
      <c:valAx>
        <c:axId val="-1233842896"/>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41264"/>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0.16708333333333336"/>
          <c:w val="0.93888888888888888"/>
          <c:h val="0.6714577865266842"/>
        </c:manualLayout>
      </c:layout>
      <c:pie3DChart>
        <c:varyColors val="1"/>
        <c:ser>
          <c:idx val="0"/>
          <c:order val="0"/>
          <c:tx>
            <c:strRef>
              <c:f>'Données annuelles des chambres'!$B$75</c:f>
              <c:strCache>
                <c:ptCount val="1"/>
                <c:pt idx="0">
                  <c:v>Données globales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B7C-44A5-8817-61669B2D04E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B7C-44A5-8817-61669B2D04E1}"/>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B7C-44A5-8817-61669B2D04E1}"/>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9B7C-44A5-8817-61669B2D04E1}"/>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9B7C-44A5-8817-61669B2D04E1}"/>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9B7C-44A5-8817-61669B2D04E1}"/>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'Données annuelles des chambres'!$A$76:$A$78</c:f>
              <c:strCache>
                <c:ptCount val="3"/>
                <c:pt idx="0">
                  <c:v>EC1(kWh)</c:v>
                </c:pt>
                <c:pt idx="1">
                  <c:v>EC4(kWh)</c:v>
                </c:pt>
                <c:pt idx="2">
                  <c:v>EC3 (kWh)</c:v>
                </c:pt>
              </c:strCache>
            </c:strRef>
          </c:cat>
          <c:val>
            <c:numRef>
              <c:f>'Données annuelles des chambres'!$B$76:$B$78</c:f>
              <c:numCache>
                <c:formatCode>General</c:formatCode>
                <c:ptCount val="3"/>
                <c:pt idx="0">
                  <c:v>1314.6469999999999</c:v>
                </c:pt>
                <c:pt idx="1">
                  <c:v>1457.12</c:v>
                </c:pt>
                <c:pt idx="2">
                  <c:v>1422.721</c:v>
                </c:pt>
              </c:numCache>
            </c:numRef>
          </c:val>
          <c:extLst>
            <c:ext xmlns:c16="http://schemas.microsoft.com/office/drawing/2014/chart" uri="{C3380CC4-5D6E-409C-BE32-E72D297353CC}">
              <c16:uniqueId val="{00000006-9B7C-44A5-8817-61669B2D04E1}"/>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19050"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non!$A$63:$A$65</c:f>
              <c:strCache>
                <c:ptCount val="3"/>
                <c:pt idx="0">
                  <c:v>Energy Saved Through Optimization EC4</c:v>
                </c:pt>
                <c:pt idx="1">
                  <c:v>Energy Saved by Turning Off Lighting in Unoccupied Rooms  EC1</c:v>
                </c:pt>
                <c:pt idx="2">
                  <c:v>Total Energy Saved</c:v>
                </c:pt>
              </c:strCache>
            </c:strRef>
          </c:cat>
          <c:val>
            <c:numRef>
              <c:f>non!$B$63:$B$65</c:f>
              <c:numCache>
                <c:formatCode>General</c:formatCode>
                <c:ptCount val="3"/>
                <c:pt idx="0">
                  <c:v>392.62553000000003</c:v>
                </c:pt>
                <c:pt idx="1">
                  <c:v>218.45999999999998</c:v>
                </c:pt>
                <c:pt idx="2">
                  <c:v>610.97452999999996</c:v>
                </c:pt>
              </c:numCache>
            </c:numRef>
          </c:val>
          <c:extLst>
            <c:ext xmlns:c16="http://schemas.microsoft.com/office/drawing/2014/chart" uri="{C3380CC4-5D6E-409C-BE32-E72D297353CC}">
              <c16:uniqueId val="{00000000-0E12-4DE5-AEA1-C7F097AEF20D}"/>
            </c:ext>
          </c:extLst>
        </c:ser>
        <c:dLbls>
          <c:dLblPos val="outEnd"/>
          <c:showLegendKey val="0"/>
          <c:showVal val="1"/>
          <c:showCatName val="0"/>
          <c:showSerName val="0"/>
          <c:showPercent val="0"/>
          <c:showBubbleSize val="0"/>
        </c:dLbls>
        <c:gapWidth val="100"/>
        <c:overlap val="-24"/>
        <c:axId val="-1233842352"/>
        <c:axId val="-1233841808"/>
      </c:barChart>
      <c:catAx>
        <c:axId val="-12338423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41808"/>
        <c:crosses val="autoZero"/>
        <c:auto val="1"/>
        <c:lblAlgn val="ctr"/>
        <c:lblOffset val="100"/>
        <c:noMultiLvlLbl val="0"/>
      </c:catAx>
      <c:valAx>
        <c:axId val="-1233841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3842352"/>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3C2-4FFC-A703-F62D6389C25C}"/>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3C2-4FFC-A703-F62D6389C25C}"/>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93C2-4FFC-A703-F62D6389C25C}"/>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93C2-4FFC-A703-F62D6389C25C}"/>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non!$A$63:$A$64</c:f>
              <c:strCache>
                <c:ptCount val="2"/>
                <c:pt idx="0">
                  <c:v>Energy Saved Through Optimization EC4</c:v>
                </c:pt>
                <c:pt idx="1">
                  <c:v>Energy Saved by Turning Off Lighting in Unoccupied Rooms  EC1</c:v>
                </c:pt>
              </c:strCache>
            </c:strRef>
          </c:cat>
          <c:val>
            <c:numRef>
              <c:f>non!$B$63:$B$64</c:f>
              <c:numCache>
                <c:formatCode>General</c:formatCode>
                <c:ptCount val="2"/>
                <c:pt idx="0">
                  <c:v>392.62553000000003</c:v>
                </c:pt>
                <c:pt idx="1">
                  <c:v>218.45999999999998</c:v>
                </c:pt>
              </c:numCache>
            </c:numRef>
          </c:val>
          <c:extLst>
            <c:ext xmlns:c16="http://schemas.microsoft.com/office/drawing/2014/chart" uri="{C3380CC4-5D6E-409C-BE32-E72D297353CC}">
              <c16:uniqueId val="{00000004-93C2-4FFC-A703-F62D6389C25C}"/>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10.xml><?xml version="1.0" encoding="utf-8"?>
<cs:colorStyle xmlns:cs="http://schemas.microsoft.com/office/drawing/2012/chartStyle" xmlns:a="http://schemas.openxmlformats.org/drawingml/2006/main" meth="withinLinear" id="14">
  <a:schemeClr val="accent1"/>
</cs:colorStyle>
</file>

<file path=word/charts/colors11.xml><?xml version="1.0" encoding="utf-8"?>
<cs:colorStyle xmlns:cs="http://schemas.microsoft.com/office/drawing/2012/chartStyle" xmlns:a="http://schemas.openxmlformats.org/drawingml/2006/main" meth="withinLinear" id="16">
  <a:schemeClr val="accent3"/>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withinLinear" id="16">
  <a:schemeClr val="accent3"/>
</cs:colorStyle>
</file>

<file path=word/charts/colors1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7">
  <a:schemeClr val="accent4"/>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8">
  <a:schemeClr val="accent5"/>
</cs:colorStyle>
</file>

<file path=word/charts/colors5.xml><?xml version="1.0" encoding="utf-8"?>
<cs:colorStyle xmlns:cs="http://schemas.microsoft.com/office/drawing/2012/chartStyle" xmlns:a="http://schemas.openxmlformats.org/drawingml/2006/main" meth="withinLinear" id="16">
  <a:schemeClr val="accent3"/>
</cs:colorStyle>
</file>

<file path=word/charts/colors6.xml><?xml version="1.0" encoding="utf-8"?>
<cs:colorStyle xmlns:cs="http://schemas.microsoft.com/office/drawing/2012/chartStyle" xmlns:a="http://schemas.openxmlformats.org/drawingml/2006/main" meth="withinLinear" id="18">
  <a:schemeClr val="accent5"/>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C107A0-A262-4C59-8243-F1A7FE3A0F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200</TotalTime>
  <Pages>12</Pages>
  <Words>4991</Words>
  <Characters>28455</Characters>
  <Application>Microsoft Office Word</Application>
  <DocSecurity>0</DocSecurity>
  <Lines>237</Lines>
  <Paragraphs>66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Paper Template</vt:lpstr>
      <vt:lpstr>Paper Template</vt:lpstr>
    </vt:vector>
  </TitlesOfParts>
  <Company>aaaa</Company>
  <LinksUpToDate>false</LinksUpToDate>
  <CharactersWithSpaces>33380</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1084</cp:lastModifiedBy>
  <cp:revision>40</cp:revision>
  <cp:lastPrinted>1999-07-06T11:00:00Z</cp:lastPrinted>
  <dcterms:created xsi:type="dcterms:W3CDTF">2026-02-02T10:58:00Z</dcterms:created>
  <dcterms:modified xsi:type="dcterms:W3CDTF">2026-02-10T10:23:00Z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zotero-version="7.0.32"&gt;&lt;session id="K2D0nk4g"/&gt;&lt;style id="http://www.zotero.org/styles/apa" locale="fr-FR"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