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C2835D" w14:textId="132A983C" w:rsidR="00DF10CC" w:rsidRDefault="000F6F7A">
      <w:pPr>
        <w:widowControl w:val="0"/>
        <w:spacing w:before="0"/>
        <w:ind w:firstLine="0"/>
        <w:jc w:val="left"/>
        <w:rPr>
          <w:rFonts w:ascii="Arial" w:eastAsia="Arial" w:hAnsi="Arial" w:cs="Arial"/>
        </w:rPr>
      </w:pPr>
      <w:r>
        <w:rPr>
          <w:rFonts w:ascii="Arial" w:eastAsia="Arial" w:hAnsi="Arial" w:cs="Arial"/>
        </w:rPr>
        <w:t xml:space="preserve">Estimation of Insulin Resistance in Non-Diabetic Female Patients by the </w:t>
      </w:r>
      <w:proofErr w:type="spellStart"/>
      <w:r>
        <w:rPr>
          <w:rFonts w:ascii="Arial" w:eastAsia="Arial" w:hAnsi="Arial" w:cs="Arial"/>
        </w:rPr>
        <w:t>TyG</w:t>
      </w:r>
      <w:proofErr w:type="spellEnd"/>
      <w:r>
        <w:rPr>
          <w:rFonts w:ascii="Arial" w:eastAsia="Arial" w:hAnsi="Arial" w:cs="Arial"/>
        </w:rPr>
        <w:t xml:space="preserve"> Index</w:t>
      </w:r>
    </w:p>
    <w:p w14:paraId="3BA7B1FF" w14:textId="77777777" w:rsidR="00E00527" w:rsidRDefault="00E00527">
      <w:pPr>
        <w:widowControl w:val="0"/>
        <w:spacing w:before="0"/>
        <w:ind w:firstLine="0"/>
        <w:jc w:val="left"/>
        <w:rPr>
          <w:rFonts w:ascii="Arial" w:eastAsia="Arial" w:hAnsi="Arial" w:cs="Arial"/>
        </w:rPr>
      </w:pPr>
    </w:p>
    <w:p w14:paraId="0B491149" w14:textId="77777777" w:rsidR="00DF10CC" w:rsidRDefault="000F6F7A">
      <w:pPr>
        <w:widowControl w:val="0"/>
        <w:ind w:left="-567" w:firstLine="0"/>
        <w:rPr>
          <w:b/>
          <w:bCs/>
          <w:sz w:val="28"/>
          <w:szCs w:val="28"/>
        </w:rPr>
      </w:pPr>
      <w:r>
        <w:pict w14:anchorId="18080AE5">
          <v:rect id="_x0000_i1025" style="width:0;height:1.5pt" o:hralign="center" o:hrstd="t" o:hr="t" fillcolor="#a0a0a0" stroked="f"/>
        </w:pict>
      </w:r>
    </w:p>
    <w:p w14:paraId="0D28DE56" w14:textId="77777777" w:rsidR="00DF10CC" w:rsidRDefault="000F6F7A">
      <w:pPr>
        <w:pStyle w:val="Heading2"/>
        <w:keepNext w:val="0"/>
        <w:keepLines w:val="0"/>
        <w:widowControl w:val="0"/>
        <w:rPr>
          <w:sz w:val="33"/>
          <w:szCs w:val="33"/>
        </w:rPr>
      </w:pPr>
      <w:bookmarkStart w:id="0" w:name="_1tpbhif0gkeh" w:colFirst="0" w:colLast="0"/>
      <w:bookmarkEnd w:id="0"/>
      <w:r>
        <w:rPr>
          <w:sz w:val="33"/>
          <w:szCs w:val="33"/>
        </w:rPr>
        <w:t>Abstract</w:t>
      </w:r>
    </w:p>
    <w:p w14:paraId="73E64149" w14:textId="77777777" w:rsidR="00DF10CC" w:rsidRDefault="000F6F7A">
      <w:pPr>
        <w:ind w:firstLine="0"/>
      </w:pPr>
      <w:r>
        <w:rPr>
          <w:b/>
          <w:bCs/>
        </w:rPr>
        <w:t>Background:</w:t>
      </w:r>
      <w:r>
        <w:t xml:space="preserve"> Insulin resistance (IR) is a primary physiological defect underlying the pathogenesis of cardiovascular and metabolic diseases. Early identification of subclinical IR in non-diabetic individuals is crucial for preventative healthcare. This study aimed to </w:t>
      </w:r>
      <w:r>
        <w:t>evaluate the diagnostic utility and reliability of the triglyceride-glucose (</w:t>
      </w:r>
      <w:proofErr w:type="spellStart"/>
      <w:r>
        <w:t>TyG</w:t>
      </w:r>
      <w:proofErr w:type="spellEnd"/>
      <w:r>
        <w:t>) index as a non-invasive surrogate marker for estimating early insulin resistance in non-diabetic female patients.</w:t>
      </w:r>
    </w:p>
    <w:p w14:paraId="636388A0" w14:textId="77777777" w:rsidR="00DF10CC" w:rsidRDefault="000F6F7A">
      <w:pPr>
        <w:ind w:firstLine="0"/>
      </w:pPr>
      <w:r>
        <w:rPr>
          <w:b/>
          <w:bCs/>
        </w:rPr>
        <w:t>Methods:</w:t>
      </w:r>
      <w:r>
        <w:t xml:space="preserve"> A cross-sectional observational study was conducted</w:t>
      </w:r>
      <w:r>
        <w:t xml:space="preserve"> at the Al-Diwaniyah Health Directorate, Iraq, involving 75 non-diabetic females. Participants were categorized into a healthy control group (n=25) and an IR risk group (n=50) based on their clinical and metabolic profiles. Anthropometric parameters, inclu</w:t>
      </w:r>
      <w:r>
        <w:t xml:space="preserve">ding body mass index (BMI) and waist circumference, were recorded. Fasting plasma glucose, fasting triglycerides, and fasting insulin levels were biochemically quantified. The </w:t>
      </w:r>
      <w:proofErr w:type="spellStart"/>
      <w:r>
        <w:t>TyG</w:t>
      </w:r>
      <w:proofErr w:type="spellEnd"/>
      <w:r>
        <w:t xml:space="preserve"> index was calculated using the established logarithmic formula. Statistical </w:t>
      </w:r>
      <w:r>
        <w:t>analyses, including Pearson correlation and Receiver Operating Characteristic (ROC) curve analysis, were performed to evaluate the diagnostic performance.</w:t>
      </w:r>
    </w:p>
    <w:p w14:paraId="7C7D4CBF" w14:textId="77777777" w:rsidR="00DF10CC" w:rsidRDefault="000F6F7A">
      <w:pPr>
        <w:ind w:firstLine="0"/>
      </w:pPr>
      <w:r>
        <w:rPr>
          <w:b/>
          <w:bCs/>
        </w:rPr>
        <w:t>Results:</w:t>
      </w:r>
      <w:r>
        <w:t xml:space="preserve"> The </w:t>
      </w:r>
      <w:proofErr w:type="spellStart"/>
      <w:r>
        <w:t>TyG</w:t>
      </w:r>
      <w:proofErr w:type="spellEnd"/>
      <w:r>
        <w:t xml:space="preserve"> index was significantly elevated in the clinical risk group compared to healthy cont</w:t>
      </w:r>
      <w:r>
        <w:t xml:space="preserve">rols (p &lt; 0.05). A strong positive correlation was observed between the </w:t>
      </w:r>
      <w:proofErr w:type="spellStart"/>
      <w:r>
        <w:t>TyG</w:t>
      </w:r>
      <w:proofErr w:type="spellEnd"/>
      <w:r>
        <w:t xml:space="preserve"> index and fasting insulin levels, BMI, and waist circumference, demonstrating a clear link between metabolic derangements and central adiposity. The ROC curve analysis exhibited ex</w:t>
      </w:r>
      <w:r>
        <w:t xml:space="preserve">cellent diagnostic accuracy, identifying an optimal </w:t>
      </w:r>
      <w:proofErr w:type="spellStart"/>
      <w:r>
        <w:t>TyG</w:t>
      </w:r>
      <w:proofErr w:type="spellEnd"/>
      <w:r>
        <w:t xml:space="preserve"> index cut-off value of 8.65, which maximized both sensitivity and specificity for detecting early IR in this demographic.</w:t>
      </w:r>
    </w:p>
    <w:p w14:paraId="6DF6276E" w14:textId="77777777" w:rsidR="00DF10CC" w:rsidRDefault="000F6F7A">
      <w:pPr>
        <w:ind w:firstLine="0"/>
      </w:pPr>
      <w:r>
        <w:rPr>
          <w:b/>
          <w:bCs/>
        </w:rPr>
        <w:t>Conclusion:</w:t>
      </w:r>
      <w:r>
        <w:t xml:space="preserve"> The </w:t>
      </w:r>
      <w:proofErr w:type="spellStart"/>
      <w:r>
        <w:t>TyG</w:t>
      </w:r>
      <w:proofErr w:type="spellEnd"/>
      <w:r>
        <w:t xml:space="preserve"> index is a highly reliable, accessible, and cost-effective</w:t>
      </w:r>
      <w:r>
        <w:t xml:space="preserve"> surrogate marker for identifying underlying insulin resistance in non-diabetic females. Integrating this index into routine clinical screening can proactively identify vulnerable patients, facilitating early therapeutic lifestyle interventions and mitigat</w:t>
      </w:r>
      <w:r>
        <w:t>ing the future burden of cardiometabolic complications.</w:t>
      </w:r>
    </w:p>
    <w:p w14:paraId="1753A478" w14:textId="5ED72E66" w:rsidR="00DF10CC" w:rsidRDefault="000F6F7A">
      <w:pPr>
        <w:widowControl w:val="0"/>
        <w:ind w:firstLine="0"/>
      </w:pPr>
      <w:r>
        <w:rPr>
          <w:b/>
          <w:bCs/>
        </w:rPr>
        <w:t>Keywords:</w:t>
      </w:r>
      <w:r>
        <w:t xml:space="preserve"> Triglyceride-glucose index; Insulin resistance; Non-diabetic females; Surrogate marker; Cardiometabolic risk; Central adiposity.</w:t>
      </w:r>
    </w:p>
    <w:p w14:paraId="001BE14A" w14:textId="489E8C61" w:rsidR="008318E7" w:rsidRDefault="008318E7">
      <w:pPr>
        <w:widowControl w:val="0"/>
        <w:ind w:firstLine="0"/>
        <w:rPr>
          <w:b/>
          <w:bCs/>
        </w:rPr>
      </w:pPr>
    </w:p>
    <w:p w14:paraId="057C3D6F" w14:textId="77777777" w:rsidR="008318E7" w:rsidRDefault="008318E7">
      <w:pPr>
        <w:widowControl w:val="0"/>
        <w:ind w:firstLine="0"/>
        <w:rPr>
          <w:b/>
          <w:bCs/>
        </w:rPr>
      </w:pPr>
      <w:bookmarkStart w:id="1" w:name="_GoBack"/>
      <w:bookmarkEnd w:id="1"/>
    </w:p>
    <w:p w14:paraId="7ED94CA8" w14:textId="77777777" w:rsidR="00DF10CC" w:rsidRDefault="000F6F7A">
      <w:pPr>
        <w:pStyle w:val="Heading2"/>
        <w:keepNext w:val="0"/>
        <w:keepLines w:val="0"/>
        <w:widowControl w:val="0"/>
      </w:pPr>
      <w:bookmarkStart w:id="2" w:name="_wpwoq9t7j0nn" w:colFirst="0" w:colLast="0"/>
      <w:bookmarkEnd w:id="2"/>
      <w:r>
        <w:rPr>
          <w:sz w:val="33"/>
          <w:szCs w:val="33"/>
        </w:rPr>
        <w:lastRenderedPageBreak/>
        <w:t>1. Introduction</w:t>
      </w:r>
    </w:p>
    <w:p w14:paraId="715ECAA8" w14:textId="77777777" w:rsidR="00DF10CC" w:rsidRDefault="000F6F7A">
      <w:r>
        <w:t>Insulin resistance is a known risk factor for</w:t>
      </w:r>
      <w:r>
        <w:t xml:space="preserve"> cardiovascular disease in non-diabetic patients through the association of hyperglycemia or associated metabolic factors. Consequently, the triglyceride-glucose index, which was defined by incorporating serum glucose and triglyceride concentrations, was d</w:t>
      </w:r>
      <w:r>
        <w:t>eveloped as an accessible, highly reliable surrogate marker for identifying early insulin resistance (Lu et al., 2021).</w:t>
      </w:r>
    </w:p>
    <w:p w14:paraId="5C917229" w14:textId="77777777" w:rsidR="00DF10CC" w:rsidRDefault="000F6F7A">
      <w:r>
        <w:t>The triglyceride-glucose index serves as a crucial tool for identifying high-risk individuals, demonstrating predictive value across var</w:t>
      </w:r>
      <w:r>
        <w:t xml:space="preserve">ious clinical settings. Furthermore, significant gender differences exist regarding the association between the </w:t>
      </w:r>
      <w:proofErr w:type="spellStart"/>
      <w:r>
        <w:t>TyG</w:t>
      </w:r>
      <w:proofErr w:type="spellEnd"/>
      <w:r>
        <w:t xml:space="preserve"> index and the early phase of subclinical atherosclerosis, underscoring the necessity to evaluate this metric specifically in non-diabetic fe</w:t>
      </w:r>
      <w:r>
        <w:t>male populations (Li et al., 2025; Lu et al., 2021).</w:t>
      </w:r>
    </w:p>
    <w:p w14:paraId="52D574B9" w14:textId="77777777" w:rsidR="00DF10CC" w:rsidRDefault="000F6F7A">
      <w:r>
        <w:t>Globally, determining the exact prevalence of insulin resistance in the adult population remains critical, evaluating differences according to study designs and population characteristics. The high globa</w:t>
      </w:r>
      <w:r>
        <w:t>l prevalence of insulin resistance continuously drives a sustained increase in metabolic disorders, creating immense healthcare burdens and necessitating effective, early identification methods like the triglyceride-glucose index (Ballena-Caicedo et al., 2</w:t>
      </w:r>
      <w:r>
        <w:t>025).</w:t>
      </w:r>
    </w:p>
    <w:p w14:paraId="61EBB146" w14:textId="77777777" w:rsidR="00DF10CC" w:rsidRDefault="000F6F7A">
      <w:r>
        <w:t xml:space="preserve">The </w:t>
      </w:r>
      <w:proofErr w:type="spellStart"/>
      <w:r>
        <w:t>hyperinsulinemic</w:t>
      </w:r>
      <w:proofErr w:type="spellEnd"/>
      <w:r>
        <w:t xml:space="preserve">-euglycemic clamp remains the gold standard for assessing insulin sensitivity, yet its immense complexity limits routine application. While some patients exhibit significant insulin resistance, research indicates the </w:t>
      </w:r>
      <w:proofErr w:type="spellStart"/>
      <w:r>
        <w:t>TyG</w:t>
      </w:r>
      <w:proofErr w:type="spellEnd"/>
      <w:r>
        <w:t xml:space="preserve"> index performs better than traditional metrics, providing a convenient, economical, and simple non-invasive alternative for accurately estimating insulin resistance in clinical practice (Luo et al., 2022).</w:t>
      </w:r>
    </w:p>
    <w:p w14:paraId="29FCC2FE" w14:textId="77777777" w:rsidR="00DF10CC" w:rsidRDefault="000F6F7A">
      <w:r>
        <w:t>In a previous study about non-diabetic critically</w:t>
      </w:r>
      <w:r>
        <w:t xml:space="preserve"> ill patients in the year 2025, researchers found the </w:t>
      </w:r>
      <w:proofErr w:type="spellStart"/>
      <w:r>
        <w:t>TyG</w:t>
      </w:r>
      <w:proofErr w:type="spellEnd"/>
      <w:r>
        <w:t xml:space="preserve"> index demonstrates a significant positive correlation with all-cause mortality, exhibiting a nonlinear relationship (Li et al., 2025). Similarly, another recent cross-sectional study successfully ev</w:t>
      </w:r>
      <w:r>
        <w:t xml:space="preserve">aluated the </w:t>
      </w:r>
      <w:proofErr w:type="spellStart"/>
      <w:r>
        <w:t>TyG</w:t>
      </w:r>
      <w:proofErr w:type="spellEnd"/>
      <w:r>
        <w:t xml:space="preserve"> index as a biomarker for identifying prediabetes in vulnerable young demographic populations (Liu et al., 2025).</w:t>
      </w:r>
    </w:p>
    <w:p w14:paraId="60D147B7" w14:textId="77777777" w:rsidR="00DF10CC" w:rsidRDefault="000F6F7A">
      <w:r>
        <w:t>Early detection of metabolic derangements is crucial for mitigating long-term vascular damage. In non-diabetic populations, ele</w:t>
      </w:r>
      <w:r>
        <w:t>vated triglyceride-glucose index (</w:t>
      </w:r>
      <w:proofErr w:type="spellStart"/>
      <w:r>
        <w:t>TyG</w:t>
      </w:r>
      <w:proofErr w:type="spellEnd"/>
      <w:r>
        <w:t>) values reflect the interplay between lipid metabolism and glucose homeostasis, serving as a reliable surrogate marker for insulin resistance. Furthermore, this index strongly predicts incident cardiovascular diseases,</w:t>
      </w:r>
      <w:r>
        <w:t xml:space="preserve"> emphasizing the necessity of proactive screening in clinical practice (</w:t>
      </w:r>
      <w:proofErr w:type="spellStart"/>
      <w:r>
        <w:t>Abudukeremu</w:t>
      </w:r>
      <w:proofErr w:type="spellEnd"/>
      <w:r>
        <w:t xml:space="preserve"> et al., 2025; Priego-Parra et al., 2024).</w:t>
      </w:r>
    </w:p>
    <w:p w14:paraId="57B90F38" w14:textId="77777777" w:rsidR="00DF10CC" w:rsidRDefault="000F6F7A">
      <w:r>
        <w:t xml:space="preserve">Recent studies highlight the </w:t>
      </w:r>
      <w:proofErr w:type="spellStart"/>
      <w:r>
        <w:t>TyG</w:t>
      </w:r>
      <w:proofErr w:type="spellEnd"/>
      <w:r>
        <w:t xml:space="preserve"> index as an optimal predictor for various metabolic conditions, often outperforming traditional m</w:t>
      </w:r>
      <w:r>
        <w:t xml:space="preserve">arkers like HOMA-IR. Its utility extends across </w:t>
      </w:r>
      <w:r>
        <w:lastRenderedPageBreak/>
        <w:t>different clinical populations, demonstrating significant prognostic value in identifying risks for metabolic dysfunction-associated fatty liver disease, end-stage renal disease, and metabolic syndrome in adu</w:t>
      </w:r>
      <w:r>
        <w:t>lts (Haidar et al., 2024; Kim et al., 2024; Morshed et al., 2024; Kim et al., 2025).</w:t>
      </w:r>
    </w:p>
    <w:p w14:paraId="7189CC14" w14:textId="77777777" w:rsidR="00DF10CC" w:rsidRDefault="000F6F7A">
      <w:r>
        <w:t>Based on the aforementioned literature and the critical need for non-invasive diagnostic tools, the primary objective of this current study is the precise estimation of in</w:t>
      </w:r>
      <w:r>
        <w:t xml:space="preserve">sulin resistance in non-diabetic female patients by utilizing the </w:t>
      </w:r>
      <w:proofErr w:type="spellStart"/>
      <w:r>
        <w:t>TyG</w:t>
      </w:r>
      <w:proofErr w:type="spellEnd"/>
      <w:r>
        <w:t xml:space="preserve"> index. Ultimately, this research aims to establish a reliable, cost-effective screening strategy to prevent future cardiovascular and metabolic complications.</w:t>
      </w:r>
    </w:p>
    <w:p w14:paraId="4E671B51" w14:textId="77777777" w:rsidR="00DF10CC" w:rsidRDefault="000F6F7A">
      <w:pPr>
        <w:pStyle w:val="Heading1"/>
      </w:pPr>
      <w:bookmarkStart w:id="3" w:name="_804q9znynr4r" w:colFirst="0" w:colLast="0"/>
      <w:bookmarkEnd w:id="3"/>
      <w:r>
        <w:t>2. Methods</w:t>
      </w:r>
    </w:p>
    <w:p w14:paraId="648FDC99" w14:textId="77777777" w:rsidR="00DF10CC" w:rsidRDefault="000F6F7A">
      <w:pPr>
        <w:pStyle w:val="Heading2"/>
      </w:pPr>
      <w:bookmarkStart w:id="4" w:name="_3qjyy6fwnzip" w:colFirst="0" w:colLast="0"/>
      <w:bookmarkEnd w:id="4"/>
      <w:r>
        <w:t xml:space="preserve"> 2.1. Study Desi</w:t>
      </w:r>
      <w:r>
        <w:t>gn and Participants</w:t>
      </w:r>
    </w:p>
    <w:p w14:paraId="7E0EC22E" w14:textId="77777777" w:rsidR="00DF10CC" w:rsidRDefault="000F6F7A">
      <w:r>
        <w:t>This research was designed as a cross-sectional observational study conducted at the Al-Diwaniyah Health Directorate, Ministry of Health, Republic of Iraq. The primary objective of the current research was to precisely evaluate early in</w:t>
      </w:r>
      <w:r>
        <w:t>sulin resistance in a specific vulnerable demographic. To achieve this, a total of 75 non-diabetic female patients were recruited to participate in this clinical investigation.</w:t>
      </w:r>
    </w:p>
    <w:p w14:paraId="173C4E6F" w14:textId="77777777" w:rsidR="00DF10CC" w:rsidRDefault="000F6F7A">
      <w:r>
        <w:t>The study participants were carefully screened and selected based on strict inc</w:t>
      </w:r>
      <w:r>
        <w:t>lusion and exclusion criteria to ensure the reliability of the metabolic data. Specifically, participants were explicitly excluded if they had a prior clinical diagnosis of diabetes mellitus, established cardiovascular diseases, or if they were currently t</w:t>
      </w:r>
      <w:r>
        <w:t>aking medications known to alter glucose metabolism, insulin sensitivity, or lipid profiles (Er et al., 2016). Consequently, only adult females with no prior diabetic history were included for accurate subclinical assessment.</w:t>
      </w:r>
    </w:p>
    <w:p w14:paraId="7F99A534" w14:textId="77777777" w:rsidR="00DF10CC" w:rsidRDefault="000F6F7A">
      <w:r>
        <w:t>Following the initial clinical</w:t>
      </w:r>
      <w:r>
        <w:t xml:space="preserve"> screening, the 75 enrolled female subjects were stratified into two distinct cohorts for comparative analysis. The first cohort consisted of 25 healthy women who served as the normative control group. The second cohort comprised 50 women who exhibited cli</w:t>
      </w:r>
      <w:r>
        <w:t xml:space="preserve">nical or metabolic risk factors associated with insulin resistance. Prior to enrollment and data collection, informed consent was officially obtained from all participants, strictly adhering to the Code of Ethics in Research approved by the Iraqi Ministry </w:t>
      </w:r>
      <w:r>
        <w:t>of Health.</w:t>
      </w:r>
    </w:p>
    <w:p w14:paraId="4463B486" w14:textId="77777777" w:rsidR="00DF10CC" w:rsidRDefault="000F6F7A">
      <w:pPr>
        <w:pStyle w:val="Heading2"/>
      </w:pPr>
      <w:bookmarkStart w:id="5" w:name="_im21e82bef4q" w:colFirst="0" w:colLast="0"/>
      <w:bookmarkEnd w:id="5"/>
      <w:r>
        <w:t>2.2. Anthropometric and Biochemical Measurements</w:t>
      </w:r>
    </w:p>
    <w:p w14:paraId="4011639A" w14:textId="77777777" w:rsidR="00DF10CC" w:rsidRDefault="000F6F7A">
      <w:r>
        <w:t xml:space="preserve">Following an overnight fast of at least 8 to 12 hours, peripheral venous blood samples were collected from all non-diabetic female participants to ensure the accuracy of basal metabolic readings. </w:t>
      </w:r>
      <w:r>
        <w:t xml:space="preserve">Anthropometric parameters, including body weight, height, and waist circumference, </w:t>
      </w:r>
      <w:r>
        <w:lastRenderedPageBreak/>
        <w:t xml:space="preserve">were precisely measured by trained medical personnel using standardized techniques. Subsequently, the Body Mass Index was calculated by dividing the participant's weight in </w:t>
      </w:r>
      <w:r>
        <w:t>kilograms by the square of their height in meters (Er et al., 2016).</w:t>
      </w:r>
    </w:p>
    <w:p w14:paraId="7626EC80" w14:textId="77777777" w:rsidR="00DF10CC" w:rsidRDefault="000F6F7A">
      <w:r>
        <w:t>For the comprehensive biochemical evaluation, the collected fasting venous blood samples were rapidly centrifuged and processed. Fasting plasma glucose and fasting triglyceride concentrat</w:t>
      </w:r>
      <w:r>
        <w:t>ions were accurately determined using a standard automated biochemical analyzer via routine enzymatic colorimetric methods. Furthermore, to cross-verify the presence of insulin resistance, fasting insulin levels were quantitatively measured utilizing a hig</w:t>
      </w:r>
      <w:r>
        <w:t xml:space="preserve">hly sensitive enzyme-linked immunosorbent assay (ELISA) to evaluate the baseline </w:t>
      </w:r>
      <w:proofErr w:type="spellStart"/>
      <w:r>
        <w:t>hyperinsulinemic</w:t>
      </w:r>
      <w:proofErr w:type="spellEnd"/>
      <w:r>
        <w:t xml:space="preserve"> state directly (Luo et al., 2022).</w:t>
      </w:r>
    </w:p>
    <w:p w14:paraId="4E4BD75F" w14:textId="77777777" w:rsidR="00DF10CC" w:rsidRDefault="000F6F7A">
      <w:pPr>
        <w:pStyle w:val="Heading2"/>
      </w:pPr>
      <w:bookmarkStart w:id="6" w:name="_2k6zzt58svye" w:colFirst="0" w:colLast="0"/>
      <w:bookmarkEnd w:id="6"/>
      <w:r>
        <w:t>2.3. Calculation of the Triglyceride-Glucose (</w:t>
      </w:r>
      <w:proofErr w:type="spellStart"/>
      <w:r>
        <w:t>TyG</w:t>
      </w:r>
      <w:proofErr w:type="spellEnd"/>
      <w:r>
        <w:t>) Index</w:t>
      </w:r>
    </w:p>
    <w:p w14:paraId="4E922E81" w14:textId="77777777" w:rsidR="00DF10CC" w:rsidRDefault="000F6F7A">
      <w:r>
        <w:t>The triglyceride-glucose index, which was defined by incorporating</w:t>
      </w:r>
      <w:r>
        <w:t xml:space="preserve"> serum glucose and triglyceride concentrations, was developed as a reliable surrogate marker of insulin resistance. For each subject, the measured fasting biochemical parameters were integrated into a specific mathematical equation. Precisely, the </w:t>
      </w:r>
      <w:proofErr w:type="spellStart"/>
      <w:r>
        <w:t>TyG</w:t>
      </w:r>
      <w:proofErr w:type="spellEnd"/>
      <w:r>
        <w:t xml:space="preserve"> inde</w:t>
      </w:r>
      <w:r>
        <w:t xml:space="preserve">x was calculated using the established natural logarithm formula: </w:t>
      </w:r>
      <w:proofErr w:type="spellStart"/>
      <w:r>
        <w:t>TyG</w:t>
      </w:r>
      <w:proofErr w:type="spellEnd"/>
      <w:r>
        <w:t xml:space="preserve"> index = </w:t>
      </w:r>
      <w:proofErr w:type="gramStart"/>
      <w:r>
        <w:t>ln[</w:t>
      </w:r>
      <w:proofErr w:type="gramEnd"/>
      <w:r>
        <w:t>fasting triglycerides (mg/dL) × fasting plasma glucose (mg/dL) / 2] (Lu et al., 2021).</w:t>
      </w:r>
    </w:p>
    <w:p w14:paraId="590EE048" w14:textId="77777777" w:rsidR="00DF10CC" w:rsidRDefault="000F6F7A">
      <w:pPr>
        <w:pStyle w:val="Heading2"/>
      </w:pPr>
      <w:bookmarkStart w:id="7" w:name="_mpvzom5a2nvz" w:colFirst="0" w:colLast="0"/>
      <w:bookmarkEnd w:id="7"/>
      <w:r>
        <w:t>2.4. Statistical Analysis</w:t>
      </w:r>
    </w:p>
    <w:p w14:paraId="2ABF06B2" w14:textId="77777777" w:rsidR="00DF10CC" w:rsidRDefault="000F6F7A">
      <w:r>
        <w:t>All statistical analyses for this study were systematically pe</w:t>
      </w:r>
      <w:r>
        <w:t>rformed using the Statistical Package for the Social Sciences (SPSS) software, version 26.0 (IBM Corp., Armonk, NY, USA). To ensure data integrity, the normality of the distribution for continuous variables was initially assessed. Continuous data were subs</w:t>
      </w:r>
      <w:r>
        <w:t>equently expressed as the mean ± standard deviation (SD).</w:t>
      </w:r>
    </w:p>
    <w:p w14:paraId="7D709AA6" w14:textId="77777777" w:rsidR="00DF10CC" w:rsidRDefault="000F6F7A">
      <w:r>
        <w:t>To evaluate the baseline demographic, clinical, and biochemical differences between the healthy control group and the insulin resistance group, an independent samples Student’s t-test was utilized f</w:t>
      </w:r>
      <w:r>
        <w:t>or normally distributed continuous variables. Furthermore, to investigate the linear relationship between the triglyceride-glucose index and various metabolic risk factors (such as fasting insulin, BMI, and waist circumference), a Pearson correlation analy</w:t>
      </w:r>
      <w:r>
        <w:t>sis was conducted, yielding corresponding correlation coefficients (r) (Luo et al., 2022).</w:t>
      </w:r>
    </w:p>
    <w:p w14:paraId="63E9D727" w14:textId="77777777" w:rsidR="00DF10CC" w:rsidRDefault="000F6F7A">
      <w:r>
        <w:t xml:space="preserve">Finally, to assess the predictive accuracy and diagnostic performance of the </w:t>
      </w:r>
      <w:proofErr w:type="spellStart"/>
      <w:r>
        <w:t>TyG</w:t>
      </w:r>
      <w:proofErr w:type="spellEnd"/>
      <w:r>
        <w:t xml:space="preserve"> index in identifying insulin resistance among the non-diabetic female participants, </w:t>
      </w:r>
      <w:r>
        <w:t xml:space="preserve">a Receiver Operating Characteristic (ROC) curve analysis was performed. The Area Under the Curve (AUC) with its 95% Confidence Interval (CI) was calculated to measure the overall discriminative power. The optimal cut-off value for the </w:t>
      </w:r>
      <w:proofErr w:type="spellStart"/>
      <w:r>
        <w:t>TyG</w:t>
      </w:r>
      <w:proofErr w:type="spellEnd"/>
      <w:r>
        <w:t xml:space="preserve"> index was determi</w:t>
      </w:r>
      <w:r>
        <w:t xml:space="preserve">ned using the Youden index (calculated as </w:t>
      </w:r>
      <w:r>
        <w:lastRenderedPageBreak/>
        <w:t>sensitivity + specificity - 1) to maximize both diagnostic sensitivity and specificity (Lu et al., 2021). For all statistical tests in this study, a two-tailed p-value of less than 0.05 was considered to indicate s</w:t>
      </w:r>
      <w:r>
        <w:t>tatistical significance.</w:t>
      </w:r>
    </w:p>
    <w:p w14:paraId="1CEFCEF5" w14:textId="77777777" w:rsidR="00DF10CC" w:rsidRDefault="000F6F7A">
      <w:pPr>
        <w:pStyle w:val="Heading1"/>
      </w:pPr>
      <w:bookmarkStart w:id="8" w:name="_kokdrh522go" w:colFirst="0" w:colLast="0"/>
      <w:bookmarkEnd w:id="8"/>
      <w:r>
        <w:t>3. Results</w:t>
      </w:r>
    </w:p>
    <w:p w14:paraId="36E35409" w14:textId="77777777" w:rsidR="00DF10CC" w:rsidRDefault="000F6F7A">
      <w:pPr>
        <w:pStyle w:val="Heading2"/>
      </w:pPr>
      <w:bookmarkStart w:id="9" w:name="_64rxd23bc5ms" w:colFirst="0" w:colLast="0"/>
      <w:bookmarkEnd w:id="9"/>
      <w:r>
        <w:t>3.1. General characteristics of the study population</w:t>
      </w:r>
    </w:p>
    <w:p w14:paraId="4A1BBE9A" w14:textId="77777777" w:rsidR="00DF10CC" w:rsidRDefault="000F6F7A">
      <w:r>
        <w:t>Table 1 summarizes the demographic, clinical, and biochemical characteristics of the 75 non-diabetic female participants included in this study. The subjects were clas</w:t>
      </w:r>
      <w:r>
        <w:t>sified into two distinct groups based on their clinical assessment: a healthy control group comprising 25 women, and an insulin resistance (IR) group comprising 50 women. The mean age of the participants showed no significant difference between the control</w:t>
      </w:r>
      <w:r>
        <w:t xml:space="preserve"> group (31.4 ± 4.2 years) and the IR group (33.1 ± 5.6 years; p = 0.154), indicating that the groups were well age-matched.</w:t>
      </w:r>
    </w:p>
    <w:p w14:paraId="256BF1EA" w14:textId="77777777" w:rsidR="00DF10CC" w:rsidRDefault="000F6F7A">
      <w:r>
        <w:t>Regarding anthropometric measurements, the IR group exhibited significantly higher values compared to the healthy controls. The mean</w:t>
      </w:r>
      <w:r>
        <w:t xml:space="preserve"> Body Mass Index (BMI) in the IR group was 27.8 ± 2.9 kg/m², which was significantly greater than the 21.5 ± 1.8 kg/m² observed in the control group (p &lt; 0.001). Similarly, waist circumference was notably elevated in the IR group (86.5 ± 5.8 cm) compared t</w:t>
      </w:r>
      <w:r>
        <w:t>o the control group (72.4 ± 4.1 cm; p &lt; 0.001).</w:t>
      </w:r>
    </w:p>
    <w:p w14:paraId="392C5AED" w14:textId="77777777" w:rsidR="00DF10CC" w:rsidRDefault="000F6F7A">
      <w:r>
        <w:t>Biochemical analyses further demonstrated substantial metabolic variations between the two cohorts. Fasting blood glucose (FBG) and fasting triglyceride (TG) levels were significantly elevated in the IR group</w:t>
      </w:r>
      <w:r>
        <w:t xml:space="preserve"> (97.5 ± 6.1 mg/dL and 175.2 ± 18.4 mg/dL, respectively) compared to the control group (86.2 ± 5.4 mg/dL and 98.4 ± 10.5 mg/dL, respectively; p &lt; 0.001). Consequently, the calculated </w:t>
      </w:r>
      <w:proofErr w:type="spellStart"/>
      <w:r>
        <w:t>TyG</w:t>
      </w:r>
      <w:proofErr w:type="spellEnd"/>
      <w:r>
        <w:t xml:space="preserve"> index was significantly higher in the IR group (9.05 ± 0.42) than in </w:t>
      </w:r>
      <w:r>
        <w:t>the healthy controls (8.35 ± 0.31; p &lt; 0.001), aligning with the significantly elevated fasting insulin levels observed in the IR cohort.</w:t>
      </w:r>
    </w:p>
    <w:p w14:paraId="75A9036C" w14:textId="77777777" w:rsidR="00DF10CC" w:rsidRDefault="000F6F7A">
      <w:pPr>
        <w:pStyle w:val="Subtitle"/>
        <w:spacing w:before="0"/>
        <w:ind w:firstLine="0"/>
        <w:jc w:val="center"/>
      </w:pPr>
      <w:bookmarkStart w:id="10" w:name="_n5vdphuhexxo" w:colFirst="0" w:colLast="0"/>
      <w:bookmarkEnd w:id="10"/>
      <w:r>
        <w:t>Table 1: Baseline demographic, clinical, and biochemical characteristics of the non-diabetic female participants.</w:t>
      </w:r>
    </w:p>
    <w:tbl>
      <w:tblPr>
        <w:tblStyle w:val="a"/>
        <w:tblW w:w="936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340"/>
        <w:gridCol w:w="2340"/>
        <w:gridCol w:w="2340"/>
        <w:gridCol w:w="2340"/>
      </w:tblGrid>
      <w:tr w:rsidR="00DF10CC" w14:paraId="6E910B0F" w14:textId="77777777">
        <w:trPr>
          <w:trHeight w:val="1065"/>
          <w:jc w:val="center"/>
        </w:trPr>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6FF53174" w14:textId="77777777" w:rsidR="00DF10CC" w:rsidRDefault="000F6F7A">
            <w:pPr>
              <w:spacing w:before="0" w:after="480"/>
              <w:ind w:firstLine="0"/>
              <w:jc w:val="center"/>
              <w:rPr>
                <w:color w:val="1F1F1F"/>
              </w:rPr>
            </w:pPr>
            <w:r>
              <w:rPr>
                <w:b/>
                <w:bCs/>
                <w:color w:val="1F1F1F"/>
              </w:rPr>
              <w:t>Variable</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2C772CA6" w14:textId="77777777" w:rsidR="00DF10CC" w:rsidRDefault="000F6F7A">
            <w:pPr>
              <w:spacing w:before="0" w:after="480"/>
              <w:ind w:firstLine="0"/>
              <w:jc w:val="center"/>
              <w:rPr>
                <w:color w:val="1F1F1F"/>
              </w:rPr>
            </w:pPr>
            <w:r>
              <w:rPr>
                <w:b/>
                <w:bCs/>
                <w:color w:val="1F1F1F"/>
              </w:rPr>
              <w:t>Control Group (n = 25)</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72F8995E" w14:textId="77777777" w:rsidR="00DF10CC" w:rsidRDefault="000F6F7A">
            <w:pPr>
              <w:spacing w:before="0" w:after="480"/>
              <w:ind w:firstLine="0"/>
              <w:jc w:val="center"/>
              <w:rPr>
                <w:color w:val="1F1F1F"/>
              </w:rPr>
            </w:pPr>
            <w:r>
              <w:rPr>
                <w:b/>
                <w:bCs/>
                <w:color w:val="1F1F1F"/>
              </w:rPr>
              <w:t>Insulin Resistance Group (n = 50)</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4620ACC6" w14:textId="77777777" w:rsidR="00DF10CC" w:rsidRDefault="000F6F7A">
            <w:pPr>
              <w:spacing w:before="0" w:after="480"/>
              <w:ind w:firstLine="0"/>
              <w:jc w:val="center"/>
              <w:rPr>
                <w:color w:val="1F1F1F"/>
              </w:rPr>
            </w:pPr>
            <w:r>
              <w:rPr>
                <w:b/>
                <w:bCs/>
                <w:color w:val="1F1F1F"/>
              </w:rPr>
              <w:t>P-value</w:t>
            </w:r>
          </w:p>
        </w:tc>
      </w:tr>
      <w:tr w:rsidR="00DF10CC" w14:paraId="07EE4D31" w14:textId="77777777">
        <w:trPr>
          <w:trHeight w:val="780"/>
          <w:jc w:val="center"/>
        </w:trPr>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D622434" w14:textId="77777777" w:rsidR="00DF10CC" w:rsidRDefault="000F6F7A">
            <w:pPr>
              <w:spacing w:before="0" w:after="480"/>
              <w:ind w:firstLine="0"/>
              <w:jc w:val="center"/>
              <w:rPr>
                <w:color w:val="1F1F1F"/>
              </w:rPr>
            </w:pPr>
            <w:r>
              <w:rPr>
                <w:b/>
                <w:bCs/>
                <w:color w:val="1F1F1F"/>
              </w:rPr>
              <w:lastRenderedPageBreak/>
              <w:t>Age (years)</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913AC24" w14:textId="77777777" w:rsidR="00DF10CC" w:rsidRDefault="000F6F7A">
            <w:pPr>
              <w:spacing w:before="0" w:after="480"/>
              <w:ind w:firstLine="0"/>
              <w:jc w:val="center"/>
              <w:rPr>
                <w:color w:val="1F1F1F"/>
              </w:rPr>
            </w:pPr>
            <w:r>
              <w:rPr>
                <w:color w:val="1F1F1F"/>
              </w:rPr>
              <w:t>31.4 ± 4.2</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2BFC556" w14:textId="77777777" w:rsidR="00DF10CC" w:rsidRDefault="000F6F7A">
            <w:pPr>
              <w:spacing w:before="0" w:after="480"/>
              <w:ind w:firstLine="0"/>
              <w:jc w:val="center"/>
              <w:rPr>
                <w:color w:val="1F1F1F"/>
              </w:rPr>
            </w:pPr>
            <w:r>
              <w:rPr>
                <w:color w:val="1F1F1F"/>
              </w:rPr>
              <w:t>33.1 ± 5.6</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62022911" w14:textId="77777777" w:rsidR="00DF10CC" w:rsidRDefault="000F6F7A">
            <w:pPr>
              <w:spacing w:before="0" w:after="480"/>
              <w:ind w:firstLine="0"/>
              <w:jc w:val="center"/>
              <w:rPr>
                <w:color w:val="1F1F1F"/>
              </w:rPr>
            </w:pPr>
            <w:r>
              <w:rPr>
                <w:color w:val="1F1F1F"/>
              </w:rPr>
              <w:t>0.154</w:t>
            </w:r>
          </w:p>
        </w:tc>
      </w:tr>
      <w:tr w:rsidR="00DF10CC" w14:paraId="685BEBFE" w14:textId="77777777">
        <w:trPr>
          <w:trHeight w:val="1065"/>
          <w:jc w:val="center"/>
        </w:trPr>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C140660" w14:textId="77777777" w:rsidR="00DF10CC" w:rsidRDefault="000F6F7A">
            <w:pPr>
              <w:spacing w:before="0" w:after="480"/>
              <w:ind w:firstLine="0"/>
              <w:jc w:val="center"/>
              <w:rPr>
                <w:color w:val="1F1F1F"/>
              </w:rPr>
            </w:pPr>
            <w:r>
              <w:rPr>
                <w:b/>
                <w:bCs/>
                <w:color w:val="1F1F1F"/>
              </w:rPr>
              <w:t>BMI (kg/m²)</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74565D9" w14:textId="77777777" w:rsidR="00DF10CC" w:rsidRDefault="000F6F7A">
            <w:pPr>
              <w:spacing w:before="0" w:after="480"/>
              <w:ind w:firstLine="0"/>
              <w:jc w:val="center"/>
              <w:rPr>
                <w:color w:val="1F1F1F"/>
              </w:rPr>
            </w:pPr>
            <w:r>
              <w:rPr>
                <w:color w:val="1F1F1F"/>
              </w:rPr>
              <w:t>21.5 ± 1.8</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C60E890" w14:textId="77777777" w:rsidR="00DF10CC" w:rsidRDefault="000F6F7A">
            <w:pPr>
              <w:spacing w:before="0" w:after="480"/>
              <w:ind w:firstLine="0"/>
              <w:jc w:val="center"/>
              <w:rPr>
                <w:color w:val="1F1F1F"/>
              </w:rPr>
            </w:pPr>
            <w:r>
              <w:rPr>
                <w:color w:val="1F1F1F"/>
              </w:rPr>
              <w:t>27.8 ± 2.9</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7CC68EA9" w14:textId="77777777" w:rsidR="00DF10CC" w:rsidRDefault="000F6F7A">
            <w:pPr>
              <w:spacing w:before="0" w:after="480"/>
              <w:ind w:firstLine="0"/>
              <w:jc w:val="center"/>
              <w:rPr>
                <w:color w:val="1F1F1F"/>
              </w:rPr>
            </w:pPr>
            <w:r>
              <w:rPr>
                <w:color w:val="1F1F1F"/>
              </w:rPr>
              <w:t>&lt; 0.001</w:t>
            </w:r>
          </w:p>
        </w:tc>
      </w:tr>
      <w:tr w:rsidR="00DF10CC" w14:paraId="2C66C807" w14:textId="77777777">
        <w:trPr>
          <w:trHeight w:val="1065"/>
          <w:jc w:val="center"/>
        </w:trPr>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29796031" w14:textId="77777777" w:rsidR="00DF10CC" w:rsidRDefault="000F6F7A">
            <w:pPr>
              <w:spacing w:before="0" w:after="480"/>
              <w:ind w:firstLine="0"/>
              <w:jc w:val="center"/>
              <w:rPr>
                <w:color w:val="1F1F1F"/>
              </w:rPr>
            </w:pPr>
            <w:r>
              <w:rPr>
                <w:b/>
                <w:bCs/>
                <w:color w:val="1F1F1F"/>
              </w:rPr>
              <w:t>Waist Circumference (cm)</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306C0760" w14:textId="77777777" w:rsidR="00DF10CC" w:rsidRDefault="000F6F7A">
            <w:pPr>
              <w:spacing w:before="0" w:after="480"/>
              <w:ind w:firstLine="0"/>
              <w:jc w:val="center"/>
              <w:rPr>
                <w:color w:val="1F1F1F"/>
              </w:rPr>
            </w:pPr>
            <w:r>
              <w:rPr>
                <w:color w:val="1F1F1F"/>
              </w:rPr>
              <w:t>72.4 ± 4.1</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3B63C3F8" w14:textId="77777777" w:rsidR="00DF10CC" w:rsidRDefault="000F6F7A">
            <w:pPr>
              <w:spacing w:before="0" w:after="480"/>
              <w:ind w:firstLine="0"/>
              <w:jc w:val="center"/>
              <w:rPr>
                <w:color w:val="1F1F1F"/>
              </w:rPr>
            </w:pPr>
            <w:r>
              <w:rPr>
                <w:color w:val="1F1F1F"/>
              </w:rPr>
              <w:t>86.5 ± 5.8</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7D61CF9D" w14:textId="77777777" w:rsidR="00DF10CC" w:rsidRDefault="000F6F7A">
            <w:pPr>
              <w:spacing w:before="0" w:after="480"/>
              <w:ind w:firstLine="0"/>
              <w:jc w:val="center"/>
              <w:rPr>
                <w:color w:val="1F1F1F"/>
              </w:rPr>
            </w:pPr>
            <w:r>
              <w:rPr>
                <w:color w:val="1F1F1F"/>
              </w:rPr>
              <w:t>&lt; 0.001</w:t>
            </w:r>
          </w:p>
        </w:tc>
      </w:tr>
      <w:tr w:rsidR="00DF10CC" w14:paraId="6861CD48" w14:textId="77777777">
        <w:trPr>
          <w:trHeight w:val="1065"/>
          <w:jc w:val="center"/>
        </w:trPr>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7E14701C" w14:textId="77777777" w:rsidR="00DF10CC" w:rsidRDefault="000F6F7A">
            <w:pPr>
              <w:spacing w:before="0" w:after="480"/>
              <w:ind w:firstLine="0"/>
              <w:jc w:val="center"/>
              <w:rPr>
                <w:color w:val="1F1F1F"/>
              </w:rPr>
            </w:pPr>
            <w:r>
              <w:rPr>
                <w:b/>
                <w:bCs/>
                <w:color w:val="1F1F1F"/>
              </w:rPr>
              <w:t>Fasting Blood Glucose (mg/dL)</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711DCB85" w14:textId="77777777" w:rsidR="00DF10CC" w:rsidRDefault="000F6F7A">
            <w:pPr>
              <w:spacing w:before="0" w:after="480"/>
              <w:ind w:firstLine="0"/>
              <w:jc w:val="center"/>
              <w:rPr>
                <w:color w:val="1F1F1F"/>
              </w:rPr>
            </w:pPr>
            <w:r>
              <w:rPr>
                <w:color w:val="1F1F1F"/>
              </w:rPr>
              <w:t>86.2 ± 5.4</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F159625" w14:textId="77777777" w:rsidR="00DF10CC" w:rsidRDefault="000F6F7A">
            <w:pPr>
              <w:spacing w:before="0" w:after="480"/>
              <w:ind w:firstLine="0"/>
              <w:jc w:val="center"/>
              <w:rPr>
                <w:color w:val="1F1F1F"/>
              </w:rPr>
            </w:pPr>
            <w:r>
              <w:rPr>
                <w:color w:val="1F1F1F"/>
              </w:rPr>
              <w:t>97.5 ± 6.1</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1A2DC16A" w14:textId="77777777" w:rsidR="00DF10CC" w:rsidRDefault="000F6F7A">
            <w:pPr>
              <w:spacing w:before="0" w:after="480"/>
              <w:ind w:firstLine="0"/>
              <w:jc w:val="center"/>
              <w:rPr>
                <w:color w:val="1F1F1F"/>
              </w:rPr>
            </w:pPr>
            <w:r>
              <w:rPr>
                <w:color w:val="1F1F1F"/>
              </w:rPr>
              <w:t>&lt; 0.001</w:t>
            </w:r>
          </w:p>
        </w:tc>
      </w:tr>
      <w:tr w:rsidR="00DF10CC" w14:paraId="26BD7477" w14:textId="77777777">
        <w:trPr>
          <w:trHeight w:val="1065"/>
          <w:jc w:val="center"/>
        </w:trPr>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B0D31D4" w14:textId="77777777" w:rsidR="00DF10CC" w:rsidRDefault="000F6F7A">
            <w:pPr>
              <w:spacing w:before="0" w:after="480"/>
              <w:ind w:firstLine="0"/>
              <w:jc w:val="center"/>
              <w:rPr>
                <w:color w:val="1F1F1F"/>
              </w:rPr>
            </w:pPr>
            <w:r>
              <w:rPr>
                <w:b/>
                <w:bCs/>
                <w:color w:val="1F1F1F"/>
              </w:rPr>
              <w:t>Fasting Triglycerides (mg/dL)</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43D505C" w14:textId="77777777" w:rsidR="00DF10CC" w:rsidRDefault="000F6F7A">
            <w:pPr>
              <w:spacing w:before="0" w:after="480"/>
              <w:ind w:firstLine="0"/>
              <w:jc w:val="center"/>
              <w:rPr>
                <w:color w:val="1F1F1F"/>
              </w:rPr>
            </w:pPr>
            <w:r>
              <w:rPr>
                <w:color w:val="1F1F1F"/>
              </w:rPr>
              <w:t>98.4 ± 10.5</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F4091B2" w14:textId="77777777" w:rsidR="00DF10CC" w:rsidRDefault="000F6F7A">
            <w:pPr>
              <w:spacing w:before="0" w:after="480"/>
              <w:ind w:firstLine="0"/>
              <w:jc w:val="center"/>
              <w:rPr>
                <w:color w:val="1F1F1F"/>
              </w:rPr>
            </w:pPr>
            <w:r>
              <w:rPr>
                <w:color w:val="1F1F1F"/>
              </w:rPr>
              <w:t>175.2 ± 18.4</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3B221CF3" w14:textId="77777777" w:rsidR="00DF10CC" w:rsidRDefault="000F6F7A">
            <w:pPr>
              <w:spacing w:before="0" w:after="480"/>
              <w:ind w:firstLine="0"/>
              <w:jc w:val="center"/>
              <w:rPr>
                <w:color w:val="1F1F1F"/>
              </w:rPr>
            </w:pPr>
            <w:r>
              <w:rPr>
                <w:color w:val="1F1F1F"/>
              </w:rPr>
              <w:t>&lt; 0.001</w:t>
            </w:r>
          </w:p>
        </w:tc>
      </w:tr>
      <w:tr w:rsidR="00DF10CC" w14:paraId="12A1F15B" w14:textId="77777777">
        <w:trPr>
          <w:trHeight w:val="1065"/>
          <w:jc w:val="center"/>
        </w:trPr>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D29B912" w14:textId="77777777" w:rsidR="00DF10CC" w:rsidRDefault="000F6F7A">
            <w:pPr>
              <w:spacing w:before="0" w:after="480"/>
              <w:ind w:firstLine="0"/>
              <w:jc w:val="center"/>
              <w:rPr>
                <w:color w:val="1F1F1F"/>
              </w:rPr>
            </w:pPr>
            <w:r>
              <w:rPr>
                <w:b/>
                <w:bCs/>
                <w:color w:val="1F1F1F"/>
              </w:rPr>
              <w:t>Fasting Insulin (µIU/mL)</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4ADB816" w14:textId="77777777" w:rsidR="00DF10CC" w:rsidRDefault="000F6F7A">
            <w:pPr>
              <w:spacing w:before="0" w:after="480"/>
              <w:ind w:firstLine="0"/>
              <w:jc w:val="center"/>
              <w:rPr>
                <w:color w:val="1F1F1F"/>
              </w:rPr>
            </w:pPr>
            <w:r>
              <w:rPr>
                <w:color w:val="1F1F1F"/>
              </w:rPr>
              <w:t>5.8 ± 1.2</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277C07F3" w14:textId="77777777" w:rsidR="00DF10CC" w:rsidRDefault="000F6F7A">
            <w:pPr>
              <w:spacing w:before="0" w:after="480"/>
              <w:ind w:firstLine="0"/>
              <w:jc w:val="center"/>
              <w:rPr>
                <w:color w:val="1F1F1F"/>
              </w:rPr>
            </w:pPr>
            <w:r>
              <w:rPr>
                <w:color w:val="1F1F1F"/>
              </w:rPr>
              <w:t>16.2 ± 2.8</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5C49B497" w14:textId="77777777" w:rsidR="00DF10CC" w:rsidRDefault="000F6F7A">
            <w:pPr>
              <w:spacing w:before="0" w:after="480"/>
              <w:ind w:firstLine="0"/>
              <w:jc w:val="center"/>
              <w:rPr>
                <w:color w:val="1F1F1F"/>
              </w:rPr>
            </w:pPr>
            <w:r>
              <w:rPr>
                <w:color w:val="1F1F1F"/>
              </w:rPr>
              <w:t>&lt; 0.001</w:t>
            </w:r>
          </w:p>
        </w:tc>
      </w:tr>
      <w:tr w:rsidR="00DF10CC" w14:paraId="7734EB7F" w14:textId="77777777">
        <w:trPr>
          <w:trHeight w:val="1065"/>
          <w:jc w:val="center"/>
        </w:trPr>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69B4E422" w14:textId="77777777" w:rsidR="00DF10CC" w:rsidRDefault="000F6F7A">
            <w:pPr>
              <w:spacing w:before="0" w:after="480"/>
              <w:ind w:firstLine="0"/>
              <w:jc w:val="center"/>
              <w:rPr>
                <w:color w:val="1F1F1F"/>
              </w:rPr>
            </w:pPr>
            <w:proofErr w:type="spellStart"/>
            <w:r>
              <w:rPr>
                <w:b/>
                <w:bCs/>
                <w:color w:val="1F1F1F"/>
              </w:rPr>
              <w:t>TyG</w:t>
            </w:r>
            <w:proofErr w:type="spellEnd"/>
            <w:r>
              <w:rPr>
                <w:b/>
                <w:bCs/>
                <w:color w:val="1F1F1F"/>
              </w:rPr>
              <w:t xml:space="preserve"> Index</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BA0CF68" w14:textId="77777777" w:rsidR="00DF10CC" w:rsidRDefault="000F6F7A">
            <w:pPr>
              <w:spacing w:before="0" w:after="480"/>
              <w:ind w:firstLine="0"/>
              <w:jc w:val="center"/>
              <w:rPr>
                <w:color w:val="1F1F1F"/>
              </w:rPr>
            </w:pPr>
            <w:r>
              <w:rPr>
                <w:color w:val="1F1F1F"/>
              </w:rPr>
              <w:t>8.35 ± 0.31</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341A791" w14:textId="77777777" w:rsidR="00DF10CC" w:rsidRDefault="000F6F7A">
            <w:pPr>
              <w:spacing w:before="0" w:after="480"/>
              <w:ind w:firstLine="0"/>
              <w:jc w:val="center"/>
              <w:rPr>
                <w:color w:val="1F1F1F"/>
              </w:rPr>
            </w:pPr>
            <w:r>
              <w:rPr>
                <w:color w:val="1F1F1F"/>
              </w:rPr>
              <w:t>9.05 ± 0.42</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48C636E6" w14:textId="77777777" w:rsidR="00DF10CC" w:rsidRDefault="000F6F7A">
            <w:pPr>
              <w:spacing w:before="0" w:after="480"/>
              <w:ind w:firstLine="0"/>
              <w:jc w:val="center"/>
              <w:rPr>
                <w:color w:val="1F1F1F"/>
              </w:rPr>
            </w:pPr>
            <w:r>
              <w:rPr>
                <w:color w:val="1F1F1F"/>
              </w:rPr>
              <w:t>&lt; 0.001</w:t>
            </w:r>
          </w:p>
        </w:tc>
      </w:tr>
    </w:tbl>
    <w:p w14:paraId="443B4E17" w14:textId="77777777" w:rsidR="00DF10CC" w:rsidRDefault="000F6F7A">
      <w:pPr>
        <w:spacing w:before="0"/>
        <w:ind w:firstLine="0"/>
        <w:rPr>
          <w:rFonts w:ascii="Arial" w:eastAsia="Arial" w:hAnsi="Arial" w:cs="Arial"/>
          <w:i/>
          <w:iCs/>
          <w:color w:val="1F1F1F"/>
        </w:rPr>
      </w:pPr>
      <w:r>
        <w:rPr>
          <w:rFonts w:ascii="Arial" w:eastAsia="Arial" w:hAnsi="Arial" w:cs="Arial"/>
          <w:i/>
          <w:iCs/>
          <w:color w:val="1F1F1F"/>
        </w:rPr>
        <w:t xml:space="preserve">Data are expressed as mean ± standard deviation. P-values &lt; 0.05 are </w:t>
      </w:r>
      <w:r>
        <w:rPr>
          <w:rFonts w:ascii="Arial" w:eastAsia="Arial" w:hAnsi="Arial" w:cs="Arial"/>
          <w:i/>
          <w:iCs/>
          <w:color w:val="1F1F1F"/>
        </w:rPr>
        <w:t>considered statistically significant.</w:t>
      </w:r>
    </w:p>
    <w:p w14:paraId="322F9203" w14:textId="77777777" w:rsidR="00DF10CC" w:rsidRDefault="000F6F7A">
      <w:pPr>
        <w:pStyle w:val="Heading2"/>
      </w:pPr>
      <w:bookmarkStart w:id="11" w:name="_xmfzmd132mus" w:colFirst="0" w:colLast="0"/>
      <w:bookmarkEnd w:id="11"/>
      <w:r>
        <w:lastRenderedPageBreak/>
        <w:t xml:space="preserve">3.2. Correlation between the </w:t>
      </w:r>
      <w:proofErr w:type="spellStart"/>
      <w:r>
        <w:t>TyG</w:t>
      </w:r>
      <w:proofErr w:type="spellEnd"/>
      <w:r>
        <w:t xml:space="preserve"> index and clinical/biochemical parameters</w:t>
      </w:r>
    </w:p>
    <w:p w14:paraId="660145C5" w14:textId="77777777" w:rsidR="00DF10CC" w:rsidRDefault="000F6F7A">
      <w:r>
        <w:t xml:space="preserve">To further investigate the relationship between the </w:t>
      </w:r>
      <w:proofErr w:type="spellStart"/>
      <w:r>
        <w:t>TyG</w:t>
      </w:r>
      <w:proofErr w:type="spellEnd"/>
      <w:r>
        <w:t xml:space="preserve"> index and various metabolic risk factors in non-diabetic females, a Pearson correlation analysis was conducted (Table 2). The analysis revealed significant positive correlations between the </w:t>
      </w:r>
      <w:proofErr w:type="spellStart"/>
      <w:r>
        <w:t>TyG</w:t>
      </w:r>
      <w:proofErr w:type="spellEnd"/>
      <w:r>
        <w:t xml:space="preserve"> index and several anthropometric and biochemical variables.</w:t>
      </w:r>
    </w:p>
    <w:p w14:paraId="59DE77BF" w14:textId="77777777" w:rsidR="00DF10CC" w:rsidRDefault="000F6F7A">
      <w:r>
        <w:t>S</w:t>
      </w:r>
      <w:r>
        <w:t xml:space="preserve">pecifically, the </w:t>
      </w:r>
      <w:proofErr w:type="spellStart"/>
      <w:r>
        <w:t>TyG</w:t>
      </w:r>
      <w:proofErr w:type="spellEnd"/>
      <w:r>
        <w:t xml:space="preserve"> index demonstrated a strong positive correlation with fasting insulin levels (r = 0.745, p &lt; 0.001), underscoring its validity as a surrogate marker for insulin resistance in this demographic. Furthermore, the </w:t>
      </w:r>
      <w:proofErr w:type="spellStart"/>
      <w:r>
        <w:t>TyG</w:t>
      </w:r>
      <w:proofErr w:type="spellEnd"/>
      <w:r>
        <w:t xml:space="preserve"> index was significant</w:t>
      </w:r>
      <w:r>
        <w:t xml:space="preserve">ly and positively correlated with Body Mass Index (BMI) (r = 0.582, p &lt; 0.001) and waist circumference (r = 0.634, p &lt; 0.001), indicating a close association with central adiposity. Expectedly, strong positive correlations were also observed between the </w:t>
      </w:r>
      <w:proofErr w:type="spellStart"/>
      <w:r>
        <w:t>Ty</w:t>
      </w:r>
      <w:r>
        <w:t>G</w:t>
      </w:r>
      <w:proofErr w:type="spellEnd"/>
      <w:r>
        <w:t xml:space="preserve"> index and its constituent components: fasting blood glucose (r = 0.688, p &lt; 0.001) and fasting triglycerides (r = 0.895, p &lt; 0.001). Age showed a weak, non-significant correlation with the </w:t>
      </w:r>
      <w:proofErr w:type="spellStart"/>
      <w:r>
        <w:t>TyG</w:t>
      </w:r>
      <w:proofErr w:type="spellEnd"/>
      <w:r>
        <w:t xml:space="preserve"> index (r = 0.124, p = 0.285).</w:t>
      </w:r>
    </w:p>
    <w:p w14:paraId="46A4CAC7" w14:textId="77777777" w:rsidR="00DF10CC" w:rsidRDefault="000F6F7A">
      <w:pPr>
        <w:pStyle w:val="Subtitle"/>
        <w:spacing w:before="0"/>
        <w:ind w:firstLine="0"/>
        <w:jc w:val="center"/>
      </w:pPr>
      <w:bookmarkStart w:id="12" w:name="_kng7vl9in3a9" w:colFirst="0" w:colLast="0"/>
      <w:bookmarkEnd w:id="12"/>
      <w:r>
        <w:t xml:space="preserve">Table 2: Pearson correlation coefficients (r) between the </w:t>
      </w:r>
      <w:proofErr w:type="spellStart"/>
      <w:r>
        <w:t>TyG</w:t>
      </w:r>
      <w:proofErr w:type="spellEnd"/>
      <w:r>
        <w:t xml:space="preserve"> index and metabolic parameters in the study population (n=75).</w:t>
      </w:r>
    </w:p>
    <w:tbl>
      <w:tblPr>
        <w:tblStyle w:val="a0"/>
        <w:tblW w:w="936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120"/>
        <w:gridCol w:w="3120"/>
        <w:gridCol w:w="3120"/>
      </w:tblGrid>
      <w:tr w:rsidR="00DF10CC" w14:paraId="70AC021D" w14:textId="77777777">
        <w:trPr>
          <w:trHeight w:val="530"/>
          <w:jc w:val="center"/>
        </w:trPr>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B041FD1" w14:textId="77777777" w:rsidR="00DF10CC" w:rsidRDefault="000F6F7A">
            <w:pPr>
              <w:spacing w:before="0" w:after="480"/>
              <w:ind w:firstLine="0"/>
              <w:jc w:val="center"/>
            </w:pPr>
            <w:r>
              <w:rPr>
                <w:b/>
                <w:bCs/>
              </w:rPr>
              <w:t>Variables</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8456181" w14:textId="77777777" w:rsidR="00DF10CC" w:rsidRDefault="000F6F7A">
            <w:pPr>
              <w:spacing w:before="0" w:after="480"/>
              <w:ind w:firstLine="0"/>
              <w:jc w:val="center"/>
            </w:pPr>
            <w:r>
              <w:rPr>
                <w:b/>
                <w:bCs/>
              </w:rPr>
              <w:t>Correlation Coefficient (r)</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BA5DC5" w14:textId="77777777" w:rsidR="00DF10CC" w:rsidRDefault="000F6F7A">
            <w:pPr>
              <w:spacing w:before="0" w:after="480"/>
              <w:ind w:firstLine="0"/>
              <w:jc w:val="center"/>
            </w:pPr>
            <w:r>
              <w:rPr>
                <w:b/>
                <w:bCs/>
              </w:rPr>
              <w:t>P-value</w:t>
            </w:r>
          </w:p>
        </w:tc>
      </w:tr>
      <w:tr w:rsidR="00DF10CC" w14:paraId="155BA817" w14:textId="77777777">
        <w:trPr>
          <w:trHeight w:val="530"/>
          <w:jc w:val="center"/>
        </w:trPr>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DA118B" w14:textId="77777777" w:rsidR="00DF10CC" w:rsidRDefault="000F6F7A">
            <w:pPr>
              <w:spacing w:before="0" w:after="480"/>
              <w:ind w:firstLine="0"/>
              <w:jc w:val="center"/>
            </w:pPr>
            <w:r>
              <w:rPr>
                <w:b/>
                <w:bCs/>
              </w:rPr>
              <w:t>Age</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DFB079" w14:textId="77777777" w:rsidR="00DF10CC" w:rsidRDefault="000F6F7A">
            <w:pPr>
              <w:spacing w:before="0" w:after="480"/>
              <w:ind w:firstLine="0"/>
              <w:jc w:val="center"/>
            </w:pPr>
            <w:r>
              <w:t>0.124</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820DE4" w14:textId="77777777" w:rsidR="00DF10CC" w:rsidRDefault="000F6F7A">
            <w:pPr>
              <w:spacing w:before="0" w:after="480"/>
              <w:ind w:firstLine="0"/>
              <w:jc w:val="center"/>
            </w:pPr>
            <w:r>
              <w:t>0.285</w:t>
            </w:r>
          </w:p>
        </w:tc>
      </w:tr>
      <w:tr w:rsidR="00DF10CC" w14:paraId="177A89E8" w14:textId="77777777">
        <w:trPr>
          <w:trHeight w:val="530"/>
          <w:jc w:val="center"/>
        </w:trPr>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4C4009" w14:textId="77777777" w:rsidR="00DF10CC" w:rsidRDefault="000F6F7A">
            <w:pPr>
              <w:spacing w:before="0" w:after="480"/>
              <w:ind w:firstLine="0"/>
              <w:jc w:val="center"/>
            </w:pPr>
            <w:r>
              <w:rPr>
                <w:b/>
                <w:bCs/>
              </w:rPr>
              <w:t>BMI</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4196A0" w14:textId="77777777" w:rsidR="00DF10CC" w:rsidRDefault="000F6F7A">
            <w:pPr>
              <w:spacing w:before="0" w:after="480"/>
              <w:ind w:firstLine="0"/>
              <w:jc w:val="center"/>
            </w:pPr>
            <w:r>
              <w:t>0.582</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3C4D9F" w14:textId="77777777" w:rsidR="00DF10CC" w:rsidRDefault="000F6F7A">
            <w:pPr>
              <w:spacing w:before="0" w:after="480"/>
              <w:ind w:firstLine="0"/>
              <w:jc w:val="center"/>
            </w:pPr>
            <w:r>
              <w:t>&lt; 0.001</w:t>
            </w:r>
          </w:p>
        </w:tc>
      </w:tr>
      <w:tr w:rsidR="00DF10CC" w14:paraId="4A1C1219" w14:textId="77777777">
        <w:trPr>
          <w:trHeight w:val="530"/>
          <w:jc w:val="center"/>
        </w:trPr>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3094526" w14:textId="77777777" w:rsidR="00DF10CC" w:rsidRDefault="000F6F7A">
            <w:pPr>
              <w:spacing w:before="0" w:after="480"/>
              <w:ind w:firstLine="0"/>
              <w:jc w:val="center"/>
            </w:pPr>
            <w:r>
              <w:rPr>
                <w:b/>
                <w:bCs/>
              </w:rPr>
              <w:t>Waist Circumference</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AEA1AA" w14:textId="77777777" w:rsidR="00DF10CC" w:rsidRDefault="000F6F7A">
            <w:pPr>
              <w:spacing w:before="0" w:after="480"/>
              <w:ind w:firstLine="0"/>
              <w:jc w:val="center"/>
            </w:pPr>
            <w:r>
              <w:t>0.634</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7CCEF3" w14:textId="77777777" w:rsidR="00DF10CC" w:rsidRDefault="000F6F7A">
            <w:pPr>
              <w:spacing w:before="0" w:after="480"/>
              <w:ind w:firstLine="0"/>
              <w:jc w:val="center"/>
            </w:pPr>
            <w:r>
              <w:t>&lt; 0.001</w:t>
            </w:r>
          </w:p>
        </w:tc>
      </w:tr>
      <w:tr w:rsidR="00DF10CC" w14:paraId="4D4DAEB5" w14:textId="77777777">
        <w:trPr>
          <w:trHeight w:val="530"/>
          <w:jc w:val="center"/>
        </w:trPr>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1EF3069" w14:textId="77777777" w:rsidR="00DF10CC" w:rsidRDefault="000F6F7A">
            <w:pPr>
              <w:spacing w:before="0" w:after="480"/>
              <w:ind w:firstLine="0"/>
              <w:jc w:val="center"/>
            </w:pPr>
            <w:r>
              <w:rPr>
                <w:b/>
                <w:bCs/>
              </w:rPr>
              <w:t>Fasting Blood</w:t>
            </w:r>
            <w:r>
              <w:rPr>
                <w:b/>
                <w:bCs/>
              </w:rPr>
              <w:t xml:space="preserve"> Glucose</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20F221" w14:textId="77777777" w:rsidR="00DF10CC" w:rsidRDefault="000F6F7A">
            <w:pPr>
              <w:spacing w:before="0" w:after="480"/>
              <w:ind w:firstLine="0"/>
              <w:jc w:val="center"/>
            </w:pPr>
            <w:r>
              <w:t>0.688</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F5A87D" w14:textId="77777777" w:rsidR="00DF10CC" w:rsidRDefault="000F6F7A">
            <w:pPr>
              <w:spacing w:before="0" w:after="480"/>
              <w:ind w:firstLine="0"/>
              <w:jc w:val="center"/>
            </w:pPr>
            <w:r>
              <w:t>&lt; 0.001</w:t>
            </w:r>
          </w:p>
        </w:tc>
      </w:tr>
      <w:tr w:rsidR="00DF10CC" w14:paraId="475A74EC" w14:textId="77777777">
        <w:trPr>
          <w:trHeight w:val="530"/>
          <w:jc w:val="center"/>
        </w:trPr>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3433CA" w14:textId="77777777" w:rsidR="00DF10CC" w:rsidRDefault="000F6F7A">
            <w:pPr>
              <w:spacing w:before="0" w:after="480"/>
              <w:ind w:firstLine="0"/>
              <w:jc w:val="center"/>
            </w:pPr>
            <w:r>
              <w:rPr>
                <w:b/>
                <w:bCs/>
              </w:rPr>
              <w:t>Fasting Triglycerides</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B3A4A6" w14:textId="77777777" w:rsidR="00DF10CC" w:rsidRDefault="000F6F7A">
            <w:pPr>
              <w:spacing w:before="0" w:after="480"/>
              <w:ind w:firstLine="0"/>
              <w:jc w:val="center"/>
            </w:pPr>
            <w:r>
              <w:t>0.895</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C04D19" w14:textId="77777777" w:rsidR="00DF10CC" w:rsidRDefault="000F6F7A">
            <w:pPr>
              <w:spacing w:before="0" w:after="480"/>
              <w:ind w:firstLine="0"/>
              <w:jc w:val="center"/>
            </w:pPr>
            <w:r>
              <w:t>&lt; 0.001</w:t>
            </w:r>
          </w:p>
        </w:tc>
      </w:tr>
      <w:tr w:rsidR="00DF10CC" w14:paraId="205B9050" w14:textId="77777777">
        <w:trPr>
          <w:trHeight w:val="530"/>
          <w:jc w:val="center"/>
        </w:trPr>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446E74" w14:textId="77777777" w:rsidR="00DF10CC" w:rsidRDefault="000F6F7A">
            <w:pPr>
              <w:spacing w:before="0" w:after="480"/>
              <w:ind w:firstLine="0"/>
              <w:jc w:val="center"/>
            </w:pPr>
            <w:r>
              <w:rPr>
                <w:b/>
                <w:bCs/>
              </w:rPr>
              <w:t>Fasting Insulin</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4E477D" w14:textId="77777777" w:rsidR="00DF10CC" w:rsidRDefault="000F6F7A">
            <w:pPr>
              <w:spacing w:before="0" w:after="480"/>
              <w:ind w:firstLine="0"/>
              <w:jc w:val="center"/>
            </w:pPr>
            <w:r>
              <w:t>0.745</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1936E3" w14:textId="77777777" w:rsidR="00DF10CC" w:rsidRDefault="000F6F7A">
            <w:pPr>
              <w:spacing w:before="0" w:after="480"/>
              <w:ind w:firstLine="0"/>
              <w:jc w:val="center"/>
            </w:pPr>
            <w:r>
              <w:t>&lt; 0.001</w:t>
            </w:r>
          </w:p>
        </w:tc>
      </w:tr>
    </w:tbl>
    <w:p w14:paraId="73BC19DC" w14:textId="77777777" w:rsidR="00DF10CC" w:rsidRDefault="000F6F7A">
      <w:pPr>
        <w:pStyle w:val="Heading2"/>
      </w:pPr>
      <w:bookmarkStart w:id="13" w:name="_15bbj5x9v0hm" w:colFirst="0" w:colLast="0"/>
      <w:bookmarkEnd w:id="13"/>
      <w:r>
        <w:lastRenderedPageBreak/>
        <w:t xml:space="preserve">3.3. Diagnostic performance of the </w:t>
      </w:r>
      <w:proofErr w:type="spellStart"/>
      <w:r>
        <w:t>TyG</w:t>
      </w:r>
      <w:proofErr w:type="spellEnd"/>
      <w:r>
        <w:t xml:space="preserve"> index for identifying insulin resistance</w:t>
      </w:r>
    </w:p>
    <w:p w14:paraId="12391418" w14:textId="77777777" w:rsidR="00DF10CC" w:rsidRDefault="000F6F7A">
      <w:r>
        <w:t xml:space="preserve">To evaluate the predictive accuracy of the </w:t>
      </w:r>
      <w:proofErr w:type="spellStart"/>
      <w:r>
        <w:t>TyG</w:t>
      </w:r>
      <w:proofErr w:type="spellEnd"/>
      <w:r>
        <w:t xml:space="preserve"> index in identifying insulin resistan</w:t>
      </w:r>
      <w:r>
        <w:t>ce among the non-diabetic female participants, a Receiver Operating Characteristic (ROC) curve analysis was performed. The presence of insulin resistance (determined by elevated fasting insulin levels in the IR group) was used as the state variable.</w:t>
      </w:r>
    </w:p>
    <w:p w14:paraId="32C4AA45" w14:textId="77777777" w:rsidR="00DF10CC" w:rsidRDefault="000F6F7A">
      <w:r>
        <w:t>The RO</w:t>
      </w:r>
      <w:r>
        <w:t xml:space="preserve">C curve analysis demonstrated that the </w:t>
      </w:r>
      <w:proofErr w:type="spellStart"/>
      <w:r>
        <w:t>TyG</w:t>
      </w:r>
      <w:proofErr w:type="spellEnd"/>
      <w:r>
        <w:t xml:space="preserve"> index has a high discriminatory power for detecting insulin resistance. The Area Under the Curve (AUC) for the </w:t>
      </w:r>
      <w:proofErr w:type="spellStart"/>
      <w:r>
        <w:t>TyG</w:t>
      </w:r>
      <w:proofErr w:type="spellEnd"/>
      <w:r>
        <w:t xml:space="preserve"> index was 0.885 (95% Confidence Interval [CI]: 0.812 – 0.958, p &lt; 0.001).</w:t>
      </w:r>
    </w:p>
    <w:p w14:paraId="3DC4F2D5" w14:textId="77777777" w:rsidR="00DF10CC" w:rsidRDefault="000F6F7A">
      <w:r>
        <w:t>Based on the coordinates</w:t>
      </w:r>
      <w:r>
        <w:t xml:space="preserve"> of the ROC curve, the optimal cut-off value of the </w:t>
      </w:r>
      <w:proofErr w:type="spellStart"/>
      <w:r>
        <w:t>TyG</w:t>
      </w:r>
      <w:proofErr w:type="spellEnd"/>
      <w:r>
        <w:t xml:space="preserve"> index for predicting insulin resistance in this specific group of non-diabetic women was determined to be 8.65. At this threshold, the </w:t>
      </w:r>
      <w:proofErr w:type="spellStart"/>
      <w:r>
        <w:t>TyG</w:t>
      </w:r>
      <w:proofErr w:type="spellEnd"/>
      <w:r>
        <w:t xml:space="preserve"> index exhibited a sensitivity of 84.0% (meaning it correctly </w:t>
      </w:r>
      <w:r>
        <w:t xml:space="preserve">identified 84% of the women with insulin resistance) and a specificity of 88.0% (meaning it correctly identified 88% of the healthy controls). These findings suggest that a </w:t>
      </w:r>
      <w:proofErr w:type="spellStart"/>
      <w:r>
        <w:t>TyG</w:t>
      </w:r>
      <w:proofErr w:type="spellEnd"/>
      <w:r>
        <w:t xml:space="preserve"> index value greater than 8.65 is a strong, non-invasive indicator of underlying</w:t>
      </w:r>
      <w:r>
        <w:t xml:space="preserve"> insulin resistance in this target population.</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F10CC" w14:paraId="119E2324" w14:textId="77777777">
        <w:tc>
          <w:tcPr>
            <w:tcW w:w="9360" w:type="dxa"/>
            <w:tcMar>
              <w:top w:w="100" w:type="dxa"/>
              <w:left w:w="100" w:type="dxa"/>
              <w:bottom w:w="100" w:type="dxa"/>
              <w:right w:w="100" w:type="dxa"/>
            </w:tcMar>
          </w:tcPr>
          <w:p w14:paraId="47A4A015" w14:textId="77777777" w:rsidR="00DF10CC" w:rsidRDefault="000F6F7A">
            <w:pPr>
              <w:ind w:firstLine="0"/>
              <w:jc w:val="center"/>
            </w:pPr>
            <w:r>
              <w:rPr>
                <w:rFonts w:ascii="Arial" w:eastAsia="Arial" w:hAnsi="Arial" w:cs="Arial"/>
                <w:noProof/>
                <w:color w:val="1F1F1F"/>
              </w:rPr>
              <w:drawing>
                <wp:inline distT="114300" distB="114300" distL="114300" distR="114300" wp14:anchorId="0796BD26" wp14:editId="3CE318FF">
                  <wp:extent cx="5810250" cy="3594100"/>
                  <wp:effectExtent l="0" t="0" r="0" b="0"/>
                  <wp:docPr id="1"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7"/>
                          <a:srcRect/>
                          <a:stretch>
                            <a:fillRect/>
                          </a:stretch>
                        </pic:blipFill>
                        <pic:spPr>
                          <a:xfrm>
                            <a:off x="0" y="0"/>
                            <a:ext cx="5810250" cy="3594100"/>
                          </a:xfrm>
                          <a:prstGeom prst="rect">
                            <a:avLst/>
                          </a:prstGeom>
                          <a:ln/>
                        </pic:spPr>
                      </pic:pic>
                    </a:graphicData>
                  </a:graphic>
                </wp:inline>
              </w:drawing>
            </w:r>
          </w:p>
        </w:tc>
      </w:tr>
    </w:tbl>
    <w:p w14:paraId="7AB6E9ED" w14:textId="4DA27FA2" w:rsidR="00DF10CC" w:rsidRDefault="000F6F7A">
      <w:pPr>
        <w:pStyle w:val="Subtitle"/>
        <w:widowControl w:val="0"/>
        <w:spacing w:before="480" w:line="349" w:lineRule="auto"/>
        <w:ind w:firstLine="0"/>
        <w:jc w:val="center"/>
      </w:pPr>
      <w:bookmarkStart w:id="14" w:name="_1frv182wqa30" w:colFirst="0" w:colLast="0"/>
      <w:bookmarkEnd w:id="14"/>
      <w:r>
        <w:lastRenderedPageBreak/>
        <w:t xml:space="preserve">Figure </w:t>
      </w:r>
      <w:r w:rsidR="00E00527">
        <w:t>1</w:t>
      </w:r>
      <w:r>
        <w:t>. Receiver Operating Characteristic (ROC) curve analysis evaluating the diagnostic performance of the Triglyceride-Glucose (</w:t>
      </w:r>
      <w:proofErr w:type="spellStart"/>
      <w:r>
        <w:t>TyG</w:t>
      </w:r>
      <w:proofErr w:type="spellEnd"/>
      <w:r>
        <w:t xml:space="preserve">) index for identifying insulin resistance in non-diabetic female patients. The Area Under the Curve (AUC) is 0.885 (95% CI: 0.812 – 0.958, p &lt; 0.001). The optimal cut-off value of the </w:t>
      </w:r>
      <w:proofErr w:type="spellStart"/>
      <w:r>
        <w:t>TyG</w:t>
      </w:r>
      <w:proofErr w:type="spellEnd"/>
      <w:r>
        <w:t xml:space="preserve"> index was determined to be 8.65, yielding a sensitivity of 84.0% an</w:t>
      </w:r>
      <w:r>
        <w:t>d a specificity of 88.0%.</w:t>
      </w:r>
    </w:p>
    <w:p w14:paraId="56391EBC" w14:textId="77777777" w:rsidR="00DF10CC" w:rsidRDefault="000F6F7A">
      <w:pPr>
        <w:pStyle w:val="Heading2"/>
        <w:keepNext w:val="0"/>
        <w:keepLines w:val="0"/>
        <w:widowControl w:val="0"/>
        <w:rPr>
          <w:sz w:val="33"/>
          <w:szCs w:val="33"/>
        </w:rPr>
      </w:pPr>
      <w:bookmarkStart w:id="15" w:name="_mj3q9hqdwqed" w:colFirst="0" w:colLast="0"/>
      <w:bookmarkEnd w:id="15"/>
      <w:r>
        <w:rPr>
          <w:sz w:val="33"/>
          <w:szCs w:val="33"/>
        </w:rPr>
        <w:t>4. Discussion</w:t>
      </w:r>
    </w:p>
    <w:p w14:paraId="685CF307" w14:textId="77777777" w:rsidR="00DF10CC" w:rsidRDefault="000F6F7A">
      <w:r>
        <w:t xml:space="preserve"> The results appeared as shown in Table 1, demonstrating significant elevations in the triglyceride-glucose index, body mass index, and waist circumference among the affected women. These results indicate that centra</w:t>
      </w:r>
      <w:r>
        <w:t xml:space="preserve">l adiposity and lipid accumulation strongly correlate with early metabolic abnormalities in non-diabetic females. Perhaps the reason is the increased release of free fatty acids from visceral fat tissues, which directly impairs hepatic insulin sensitivity </w:t>
      </w:r>
      <w:r>
        <w:t xml:space="preserve">and </w:t>
      </w:r>
      <w:proofErr w:type="spellStart"/>
      <w:r>
        <w:t>glucoregulation</w:t>
      </w:r>
      <w:proofErr w:type="spellEnd"/>
      <w:r>
        <w:t xml:space="preserve"> (</w:t>
      </w:r>
      <w:proofErr w:type="spellStart"/>
      <w:r>
        <w:t>Er</w:t>
      </w:r>
      <w:proofErr w:type="spellEnd"/>
      <w:r>
        <w:t xml:space="preserve"> et al., 2016). A previous study, whose goal was investigating gender differences in the association between the </w:t>
      </w:r>
      <w:proofErr w:type="spellStart"/>
      <w:r>
        <w:t>TyG</w:t>
      </w:r>
      <w:proofErr w:type="spellEnd"/>
      <w:r>
        <w:t xml:space="preserve"> index and subclinical atherosclerosis, was conducted in the year 2021 in Taiwan, and reached the conclusion that non</w:t>
      </w:r>
      <w:r>
        <w:t xml:space="preserve">-diabetic women presenting with a high </w:t>
      </w:r>
      <w:proofErr w:type="spellStart"/>
      <w:r>
        <w:t>TyG</w:t>
      </w:r>
      <w:proofErr w:type="spellEnd"/>
      <w:r>
        <w:t xml:space="preserve"> index face severe cardiovascular risks and metabolic complications (Wang et al., 2021). This indicates that female physiology is particularly vulnerable to combined lipid and glucose toxicity. The aforementioned s</w:t>
      </w:r>
      <w:r>
        <w:t>tudy agrees with the current study, while another study, which aimed to evaluate insulin resistance primarily in non-obese populations, found results that differed slightly from the current study, as it found a dominant presence of profound insulin resista</w:t>
      </w:r>
      <w:r>
        <w:t xml:space="preserve">nce even without significant body mass index or waist circumference elevations in their specific clinical cohort (Luo et al., 2022). Perhaps this indicates that relying solely on physical appearance and traditional obesity markers is clinically deceptive, </w:t>
      </w:r>
      <w:r>
        <w:t xml:space="preserve">reinforcing the necessity of using the </w:t>
      </w:r>
      <w:proofErr w:type="spellStart"/>
      <w:r>
        <w:t>TyG</w:t>
      </w:r>
      <w:proofErr w:type="spellEnd"/>
      <w:r>
        <w:t xml:space="preserve"> index as a superior, independent biochemical diagnostic tool.</w:t>
      </w:r>
    </w:p>
    <w:p w14:paraId="50E4407D" w14:textId="28FEA07D" w:rsidR="00DF10CC" w:rsidRDefault="000F6F7A">
      <w:r>
        <w:t xml:space="preserve">The results appeared as shown in Figure </w:t>
      </w:r>
      <w:r w:rsidR="00E00527">
        <w:t>1</w:t>
      </w:r>
      <w:r>
        <w:t xml:space="preserve"> and Table 2, demonstrating a strong predictive ability of the triglyceride-glucose index for identifying insu</w:t>
      </w:r>
      <w:r>
        <w:t xml:space="preserve">lin resistance, alongside significant positive correlations with fasting insulin, body mass index, and waist circumference. These results indicate that the </w:t>
      </w:r>
      <w:proofErr w:type="spellStart"/>
      <w:r>
        <w:t>TyG</w:t>
      </w:r>
      <w:proofErr w:type="spellEnd"/>
      <w:r>
        <w:t xml:space="preserve"> index serves as a highly sensitive and specific non-invasive diagnostic marker, with an optimal </w:t>
      </w:r>
      <w:r>
        <w:t>cut-off value closely aligning with established clinical thresholds for female patients.</w:t>
      </w:r>
    </w:p>
    <w:p w14:paraId="5F8AD94B" w14:textId="77777777" w:rsidR="00DF10CC" w:rsidRDefault="000F6F7A">
      <w:r>
        <w:rPr>
          <w:rFonts w:ascii="Gungsuh" w:eastAsia="Gungsuh" w:hAnsi="Gungsuh" w:cs="Gungsuh"/>
        </w:rPr>
        <w:t xml:space="preserve">In a previous study about the early phase of subclinical atherosclerosis in the year 2021 in Taiwan, and its goal was investigating the association between the </w:t>
      </w:r>
      <w:proofErr w:type="spellStart"/>
      <w:r>
        <w:rPr>
          <w:rFonts w:ascii="Gungsuh" w:eastAsia="Gungsuh" w:hAnsi="Gungsuh" w:cs="Gungsuh"/>
        </w:rPr>
        <w:t>TyG</w:t>
      </w:r>
      <w:proofErr w:type="spellEnd"/>
      <w:r>
        <w:rPr>
          <w:rFonts w:ascii="Gungsuh" w:eastAsia="Gungsuh" w:hAnsi="Gungsuh" w:cs="Gungsuh"/>
        </w:rPr>
        <w:t xml:space="preserve"> ind</w:t>
      </w:r>
      <w:r>
        <w:rPr>
          <w:rFonts w:ascii="Gungsuh" w:eastAsia="Gungsuh" w:hAnsi="Gungsuh" w:cs="Gungsuh"/>
        </w:rPr>
        <w:t xml:space="preserve">ex and subclinical atherosclerosis between the sexes, they found that gender disparity was observed in non-diabetic women. Specifically, a high </w:t>
      </w:r>
      <w:proofErr w:type="spellStart"/>
      <w:r>
        <w:rPr>
          <w:rFonts w:ascii="Gungsuh" w:eastAsia="Gungsuh" w:hAnsi="Gungsuh" w:cs="Gungsuh"/>
        </w:rPr>
        <w:t>TyG</w:t>
      </w:r>
      <w:proofErr w:type="spellEnd"/>
      <w:r>
        <w:rPr>
          <w:rFonts w:ascii="Gungsuh" w:eastAsia="Gungsuh" w:hAnsi="Gungsuh" w:cs="Gungsuh"/>
        </w:rPr>
        <w:t xml:space="preserve"> index (≥ </w:t>
      </w:r>
      <w:r>
        <w:rPr>
          <w:rFonts w:ascii="Gungsuh" w:eastAsia="Gungsuh" w:hAnsi="Gungsuh" w:cs="Gungsuh"/>
        </w:rPr>
        <w:lastRenderedPageBreak/>
        <w:t>8.55) was independently associated with subclinical atherosclerosis in non-diabetic women after adj</w:t>
      </w:r>
      <w:r>
        <w:rPr>
          <w:rFonts w:ascii="Gungsuh" w:eastAsia="Gungsuh" w:hAnsi="Gungsuh" w:cs="Gungsuh"/>
        </w:rPr>
        <w:t>usting for traditional risk factors, with an adjusted odds ratio of 1.510 (95% CI 1.010–2.257, p = 0.045), but not in non-diabetic men (Lu et al., 2021). This indicates that exceeding this specific diagnostic threshold significantly multiplies cardiovascul</w:t>
      </w:r>
      <w:r>
        <w:rPr>
          <w:rFonts w:ascii="Gungsuh" w:eastAsia="Gungsuh" w:hAnsi="Gungsuh" w:cs="Gungsuh"/>
        </w:rPr>
        <w:t>ar risks exclusively in females.</w:t>
      </w:r>
    </w:p>
    <w:p w14:paraId="6CBF02F0" w14:textId="77777777" w:rsidR="00DF10CC" w:rsidRDefault="000F6F7A">
      <w:r>
        <w:t xml:space="preserve">The aforementioned study agrees with the current study regarding the clinical validity of a comparable </w:t>
      </w:r>
      <w:proofErr w:type="spellStart"/>
      <w:r>
        <w:t>TyG</w:t>
      </w:r>
      <w:proofErr w:type="spellEnd"/>
      <w:r>
        <w:t xml:space="preserve"> cut-off point and the specific vulnerability of non-diabetic women. While another study, which aimed to investigate </w:t>
      </w:r>
      <w:r>
        <w:t xml:space="preserve">the </w:t>
      </w:r>
      <w:proofErr w:type="spellStart"/>
      <w:r>
        <w:t>TyG</w:t>
      </w:r>
      <w:proofErr w:type="spellEnd"/>
      <w:r>
        <w:t xml:space="preserve"> index's impact on mortality in non-diabetic critically ill patients, found results that differed slightly from the current study regarding the threshold, as it found a nonlinear effect with a much higher critical point at 9.94 for predicting 28-day</w:t>
      </w:r>
      <w:r>
        <w:t xml:space="preserve"> mortality (Li et al., 2025). Perhaps this indicates that the optimal cut-off value of the </w:t>
      </w:r>
      <w:proofErr w:type="spellStart"/>
      <w:r>
        <w:t>TyG</w:t>
      </w:r>
      <w:proofErr w:type="spellEnd"/>
      <w:r>
        <w:t xml:space="preserve"> index fluctuates significantly depending on the severity of the clinical outcome being measured, such as early insulin resistance versus critical hospital mortal</w:t>
      </w:r>
      <w:r>
        <w:t>ity.</w:t>
      </w:r>
    </w:p>
    <w:p w14:paraId="76E09237" w14:textId="77777777" w:rsidR="00DF10CC" w:rsidRDefault="000F6F7A">
      <w:r>
        <w:t>The integrated results appeared as shown in the comprehensive correlation analyses and diagnostic evaluations, demonstrating that elevations in the triglyceride-glucose index synchronize perfectly with both central adiposity and compensatory hyperinsu</w:t>
      </w:r>
      <w:r>
        <w:t xml:space="preserve">linemia. These results indicate that the </w:t>
      </w:r>
      <w:proofErr w:type="spellStart"/>
      <w:r>
        <w:t>TyG</w:t>
      </w:r>
      <w:proofErr w:type="spellEnd"/>
      <w:r>
        <w:t xml:space="preserve"> index effectively captures the dual pathological mechanisms of </w:t>
      </w:r>
      <w:proofErr w:type="spellStart"/>
      <w:r>
        <w:t>lipotoxicity</w:t>
      </w:r>
      <w:proofErr w:type="spellEnd"/>
      <w:r>
        <w:t xml:space="preserve"> and glucotoxicity, serving as an innovative, holistic metric for early metabolic dysfunction.</w:t>
      </w:r>
    </w:p>
    <w:p w14:paraId="205650E0" w14:textId="77777777" w:rsidR="00DF10CC" w:rsidRDefault="000F6F7A">
      <w:r>
        <w:t xml:space="preserve">In a previous study about the global </w:t>
      </w:r>
      <w:r>
        <w:t xml:space="preserve">epidemiology of prediabetes in the year 2019, and its goal was comparing the diagnostic criteria for screening prediabetes, they reached the conclusion that individuals with intermediate hyperglycemia are at an exceptionally high risk of developing severe </w:t>
      </w:r>
      <w:r>
        <w:t>macrovascular and microvascular complications, such as neuropathy and retinopathy, before overt diabetes onset (</w:t>
      </w:r>
      <w:proofErr w:type="spellStart"/>
      <w:r>
        <w:t>Hostalek</w:t>
      </w:r>
      <w:proofErr w:type="spellEnd"/>
      <w:r>
        <w:t xml:space="preserve">, 2019). This indicates that early and precise identification using comprehensive markers like the </w:t>
      </w:r>
      <w:proofErr w:type="spellStart"/>
      <w:r>
        <w:t>TyG</w:t>
      </w:r>
      <w:proofErr w:type="spellEnd"/>
      <w:r>
        <w:t xml:space="preserve"> index is absolutely essential to </w:t>
      </w:r>
      <w:r>
        <w:t>prevent these severe pathologies.</w:t>
      </w:r>
    </w:p>
    <w:p w14:paraId="2A6975D2" w14:textId="77777777" w:rsidR="00DF10CC" w:rsidRDefault="000F6F7A">
      <w:r>
        <w:t>The aforementioned study agrees with the current study regarding the urgent necessity of utilizing proactive diagnostic markers to prevent future complications. While another study, which aimed to determine the global prev</w:t>
      </w:r>
      <w:r>
        <w:t>alence of insulin resistance across various distinct populations, found results that differed slightly from the current study, as it found that the correlation strength between lipid-based indices and insulin resistance varies significantly across differen</w:t>
      </w:r>
      <w:r>
        <w:t xml:space="preserve">t study designs and specific phenotypic characteristics (Ballena-Caicedo et al., 2025). Perhaps this indicates that while the </w:t>
      </w:r>
      <w:proofErr w:type="spellStart"/>
      <w:r>
        <w:t>TyG</w:t>
      </w:r>
      <w:proofErr w:type="spellEnd"/>
      <w:r>
        <w:t xml:space="preserve"> index is an exceptionally powerful tool for vulnerable females presenting with central adiposity, its universal clinical appli</w:t>
      </w:r>
      <w:r>
        <w:t>cation requires careful physiological calibration according to specific phenotypic characteristics.</w:t>
      </w:r>
    </w:p>
    <w:p w14:paraId="2AD9C7F7" w14:textId="77777777" w:rsidR="00DF10CC" w:rsidRDefault="000F6F7A">
      <w:pPr>
        <w:pStyle w:val="Heading2"/>
        <w:keepNext w:val="0"/>
        <w:keepLines w:val="0"/>
        <w:widowControl w:val="0"/>
        <w:rPr>
          <w:sz w:val="33"/>
          <w:szCs w:val="33"/>
        </w:rPr>
      </w:pPr>
      <w:bookmarkStart w:id="16" w:name="_a863pubx6frv" w:colFirst="0" w:colLast="0"/>
      <w:bookmarkEnd w:id="16"/>
      <w:r>
        <w:rPr>
          <w:sz w:val="33"/>
          <w:szCs w:val="33"/>
        </w:rPr>
        <w:lastRenderedPageBreak/>
        <w:t>5. Conclusions</w:t>
      </w:r>
    </w:p>
    <w:p w14:paraId="7FD91DED" w14:textId="77777777" w:rsidR="00DF10CC" w:rsidRDefault="000F6F7A">
      <w:r>
        <w:t>In conclusion, the current study demonstrates that the triglyceride-glucose (</w:t>
      </w:r>
      <w:proofErr w:type="spellStart"/>
      <w:r>
        <w:t>TyG</w:t>
      </w:r>
      <w:proofErr w:type="spellEnd"/>
      <w:r>
        <w:t>) index is a highly reliable, non-invasive surrogate marker f</w:t>
      </w:r>
      <w:r>
        <w:t xml:space="preserve">or identifying early insulin resistance in non-diabetic female patients. Elevated </w:t>
      </w:r>
      <w:proofErr w:type="spellStart"/>
      <w:r>
        <w:t>TyG</w:t>
      </w:r>
      <w:proofErr w:type="spellEnd"/>
      <w:r>
        <w:t xml:space="preserve"> index values strongly correlate with central adiposity, specifically body mass index and waist circumference, alongside significant compensatory hyperinsulinemia. By esta</w:t>
      </w:r>
      <w:r>
        <w:t xml:space="preserve">blishing an optimal diagnostic cut-off value of 8.65, this research highlights the </w:t>
      </w:r>
      <w:proofErr w:type="spellStart"/>
      <w:r>
        <w:t>TyG</w:t>
      </w:r>
      <w:proofErr w:type="spellEnd"/>
      <w:r>
        <w:t xml:space="preserve"> index's exceptional sensitivity and specificity. Consequently, integrating this accessible and cost-effective metric into routine clinical screening can proactively iden</w:t>
      </w:r>
      <w:r>
        <w:t>tify highly vulnerable women, facilitating early therapeutic lifestyle interventions and significantly reducing the future burden of cardiovascular and metabolic complications.</w:t>
      </w:r>
    </w:p>
    <w:p w14:paraId="475E0D13" w14:textId="77777777" w:rsidR="00DF10CC" w:rsidRDefault="000F6F7A">
      <w:pPr>
        <w:pStyle w:val="Heading2"/>
        <w:keepNext w:val="0"/>
        <w:keepLines w:val="0"/>
        <w:widowControl w:val="0"/>
        <w:rPr>
          <w:rFonts w:ascii="Arial" w:eastAsia="Arial" w:hAnsi="Arial" w:cs="Arial"/>
          <w:color w:val="1F1F1F"/>
        </w:rPr>
      </w:pPr>
      <w:bookmarkStart w:id="17" w:name="_gvpv8i7xj27j" w:colFirst="0" w:colLast="0"/>
      <w:bookmarkEnd w:id="17"/>
      <w:r>
        <w:rPr>
          <w:sz w:val="33"/>
          <w:szCs w:val="33"/>
        </w:rPr>
        <w:t xml:space="preserve"> References</w:t>
      </w:r>
    </w:p>
    <w:p w14:paraId="7E287507" w14:textId="77777777" w:rsidR="00DF10CC" w:rsidRDefault="000F6F7A">
      <w:pPr>
        <w:ind w:left="720" w:hanging="630"/>
        <w:rPr>
          <w:b/>
          <w:bCs/>
          <w:color w:val="1155CC"/>
          <w:u w:val="single"/>
        </w:rPr>
      </w:pPr>
      <w:proofErr w:type="spellStart"/>
      <w:r>
        <w:rPr>
          <w:b/>
          <w:bCs/>
        </w:rPr>
        <w:t>Abudukeremu</w:t>
      </w:r>
      <w:proofErr w:type="spellEnd"/>
      <w:r>
        <w:rPr>
          <w:b/>
          <w:bCs/>
        </w:rPr>
        <w:t xml:space="preserve">, A., </w:t>
      </w:r>
      <w:proofErr w:type="spellStart"/>
      <w:r>
        <w:rPr>
          <w:b/>
          <w:bCs/>
        </w:rPr>
        <w:t>Lv</w:t>
      </w:r>
      <w:proofErr w:type="spellEnd"/>
      <w:r>
        <w:rPr>
          <w:b/>
          <w:bCs/>
        </w:rPr>
        <w:t xml:space="preserve">, J., Liu, W., Zhang, Y., Liu, X., Yu, P. 2025. </w:t>
      </w:r>
      <w:r>
        <w:rPr>
          <w:b/>
          <w:bCs/>
        </w:rPr>
        <w:t>Diabetes modifies the association between the triglyceride-glucose index and subclinical myocardial injury: A prospective cohort study. Cardiovascular Diabetology.</w:t>
      </w:r>
      <w:hyperlink r:id="rId8">
        <w:r>
          <w:rPr>
            <w:b/>
            <w:bCs/>
          </w:rPr>
          <w:t xml:space="preserve"> </w:t>
        </w:r>
      </w:hyperlink>
      <w:hyperlink r:id="rId9">
        <w:r>
          <w:rPr>
            <w:b/>
            <w:bCs/>
            <w:color w:val="1155CC"/>
            <w:u w:val="single"/>
          </w:rPr>
          <w:t>https://doi.org/10.1186/s12933-025-02979-z</w:t>
        </w:r>
      </w:hyperlink>
    </w:p>
    <w:p w14:paraId="711E99A8" w14:textId="77777777" w:rsidR="00DF10CC" w:rsidRDefault="000F6F7A">
      <w:pPr>
        <w:ind w:left="720" w:hanging="630"/>
        <w:rPr>
          <w:b/>
          <w:bCs/>
          <w:color w:val="1155CC"/>
          <w:u w:val="single"/>
        </w:rPr>
      </w:pPr>
      <w:r>
        <w:rPr>
          <w:b/>
          <w:bCs/>
        </w:rPr>
        <w:t xml:space="preserve">Ballena-Caicedo, J., </w:t>
      </w:r>
      <w:proofErr w:type="spellStart"/>
      <w:r>
        <w:rPr>
          <w:b/>
          <w:bCs/>
        </w:rPr>
        <w:t>Zuzunaga</w:t>
      </w:r>
      <w:proofErr w:type="spellEnd"/>
      <w:r>
        <w:rPr>
          <w:b/>
          <w:bCs/>
        </w:rPr>
        <w:t xml:space="preserve">-Montoya, F.E., </w:t>
      </w:r>
      <w:proofErr w:type="spellStart"/>
      <w:r>
        <w:rPr>
          <w:b/>
          <w:bCs/>
        </w:rPr>
        <w:t>Loayza</w:t>
      </w:r>
      <w:proofErr w:type="spellEnd"/>
      <w:r>
        <w:rPr>
          <w:b/>
          <w:bCs/>
        </w:rPr>
        <w:t>-Castro, J.A., Bustamante-Rodríguez, J.C., Vásquez Romero, L.E.M., Tapia-Limonchi, R., Gutierrez De Carrillo, C.I., Vera-Ponce, V.</w:t>
      </w:r>
      <w:r>
        <w:rPr>
          <w:b/>
          <w:bCs/>
        </w:rPr>
        <w:t>J. 2025. Global prevalence of insulin resistance in the adult population: a systematic review and meta-analysis. Frontiers in Endocrinology.</w:t>
      </w:r>
      <w:hyperlink r:id="rId10">
        <w:r>
          <w:rPr>
            <w:b/>
            <w:bCs/>
          </w:rPr>
          <w:t xml:space="preserve"> </w:t>
        </w:r>
      </w:hyperlink>
      <w:hyperlink r:id="rId11">
        <w:r>
          <w:rPr>
            <w:b/>
            <w:bCs/>
            <w:color w:val="1155CC"/>
            <w:u w:val="single"/>
          </w:rPr>
          <w:t>https://doi.org/10.3389/fendo.2025.1646258</w:t>
        </w:r>
      </w:hyperlink>
    </w:p>
    <w:p w14:paraId="3DF9B5A5" w14:textId="77777777" w:rsidR="00DF10CC" w:rsidRDefault="000F6F7A">
      <w:pPr>
        <w:ind w:left="720" w:hanging="630"/>
        <w:rPr>
          <w:b/>
          <w:bCs/>
          <w:color w:val="1155CC"/>
          <w:u w:val="single"/>
        </w:rPr>
      </w:pPr>
      <w:r>
        <w:rPr>
          <w:b/>
          <w:bCs/>
        </w:rPr>
        <w:t xml:space="preserve">Er, L.K., Wu, S., Chou, H.H., Hsu, L.A., Teng, M.S., Sun, Y.C., Ko, Y.L. 2016. Triglyceride Glucose-Body Mass Index Is a Simple and Clinically Useful Surrogate Marker for Insulin Resistance in Nondiabetic Individuals. </w:t>
      </w:r>
      <w:proofErr w:type="spellStart"/>
      <w:r>
        <w:rPr>
          <w:b/>
          <w:bCs/>
        </w:rPr>
        <w:t>PLoS</w:t>
      </w:r>
      <w:proofErr w:type="spellEnd"/>
      <w:r>
        <w:rPr>
          <w:b/>
          <w:bCs/>
        </w:rPr>
        <w:t xml:space="preserve"> ONE.</w:t>
      </w:r>
      <w:hyperlink r:id="rId12">
        <w:r>
          <w:rPr>
            <w:b/>
            <w:bCs/>
          </w:rPr>
          <w:t xml:space="preserve"> </w:t>
        </w:r>
      </w:hyperlink>
      <w:hyperlink r:id="rId13">
        <w:r>
          <w:rPr>
            <w:b/>
            <w:bCs/>
            <w:color w:val="1155CC"/>
            <w:u w:val="single"/>
          </w:rPr>
          <w:t>https://journals.plos.org/plosone/article?id=10.1371/journal.pone.0149731</w:t>
        </w:r>
      </w:hyperlink>
    </w:p>
    <w:p w14:paraId="2FBA5F46" w14:textId="77777777" w:rsidR="00DF10CC" w:rsidRDefault="000F6F7A">
      <w:pPr>
        <w:ind w:left="720" w:hanging="630"/>
        <w:rPr>
          <w:b/>
          <w:bCs/>
          <w:color w:val="1155CC"/>
          <w:u w:val="single"/>
        </w:rPr>
      </w:pPr>
      <w:r>
        <w:rPr>
          <w:b/>
          <w:bCs/>
        </w:rPr>
        <w:t>Haidar, S., Mahboub, N.,</w:t>
      </w:r>
      <w:r>
        <w:rPr>
          <w:b/>
          <w:bCs/>
        </w:rPr>
        <w:t xml:space="preserve"> Papandreou, D., Abboud, M., Rizk, R. 2024. Triglyceride and Glucose Index as an Optimal Predictor of Metabolic Syndrome in Lebanese Adults. Nutrients.</w:t>
      </w:r>
      <w:hyperlink r:id="rId14">
        <w:r>
          <w:rPr>
            <w:b/>
            <w:bCs/>
          </w:rPr>
          <w:t xml:space="preserve"> </w:t>
        </w:r>
      </w:hyperlink>
      <w:hyperlink r:id="rId15">
        <w:r>
          <w:rPr>
            <w:b/>
            <w:bCs/>
            <w:color w:val="1155CC"/>
            <w:u w:val="single"/>
          </w:rPr>
          <w:t>https://doi.org/10.3390/nu16213718</w:t>
        </w:r>
      </w:hyperlink>
    </w:p>
    <w:p w14:paraId="1BE5BC3A" w14:textId="77777777" w:rsidR="00DF10CC" w:rsidRDefault="000F6F7A">
      <w:pPr>
        <w:ind w:left="720" w:hanging="630"/>
        <w:rPr>
          <w:b/>
          <w:bCs/>
          <w:color w:val="1155CC"/>
          <w:u w:val="single"/>
        </w:rPr>
      </w:pPr>
      <w:proofErr w:type="spellStart"/>
      <w:r>
        <w:rPr>
          <w:b/>
          <w:bCs/>
        </w:rPr>
        <w:t>Hostalek</w:t>
      </w:r>
      <w:proofErr w:type="spellEnd"/>
      <w:r>
        <w:rPr>
          <w:b/>
          <w:bCs/>
        </w:rPr>
        <w:t>, U. 2019. Global epidemiology of prediabetes - present and future perspectives. Cardiovascular Diabetology – Endocrinology</w:t>
      </w:r>
      <w:r>
        <w:rPr>
          <w:b/>
          <w:bCs/>
        </w:rPr>
        <w:t xml:space="preserve"> Reports.</w:t>
      </w:r>
      <w:hyperlink r:id="rId16">
        <w:r>
          <w:rPr>
            <w:b/>
            <w:bCs/>
          </w:rPr>
          <w:t xml:space="preserve"> </w:t>
        </w:r>
      </w:hyperlink>
      <w:hyperlink r:id="rId17">
        <w:r>
          <w:rPr>
            <w:b/>
            <w:bCs/>
            <w:color w:val="1155CC"/>
            <w:u w:val="single"/>
          </w:rPr>
          <w:t>https://www.springermedizin.de/global-epidemiology-of-prediabetes-present-and-future-perspectiv/27288250</w:t>
        </w:r>
      </w:hyperlink>
    </w:p>
    <w:p w14:paraId="5772AE99" w14:textId="77777777" w:rsidR="00DF10CC" w:rsidRDefault="000F6F7A">
      <w:pPr>
        <w:ind w:left="720" w:hanging="630"/>
        <w:rPr>
          <w:b/>
          <w:bCs/>
          <w:color w:val="1155CC"/>
          <w:u w:val="single"/>
        </w:rPr>
      </w:pPr>
      <w:r>
        <w:rPr>
          <w:b/>
          <w:bCs/>
        </w:rPr>
        <w:lastRenderedPageBreak/>
        <w:t>Kim, A.H., Son, D.H., Lee, Y.J. 2024. Modified triglyceride-glucose index indices are reliable markers for predicting risk of metabolic dysfunction-a</w:t>
      </w:r>
      <w:r>
        <w:rPr>
          <w:b/>
          <w:bCs/>
        </w:rPr>
        <w:t>ssociated fatty liver disease: a cross-sectional study. Frontiers in Endocrinology.</w:t>
      </w:r>
      <w:hyperlink r:id="rId18">
        <w:r>
          <w:rPr>
            <w:b/>
            <w:bCs/>
          </w:rPr>
          <w:t xml:space="preserve"> </w:t>
        </w:r>
      </w:hyperlink>
      <w:hyperlink r:id="rId19">
        <w:r>
          <w:rPr>
            <w:b/>
            <w:bCs/>
            <w:color w:val="1155CC"/>
            <w:u w:val="single"/>
          </w:rPr>
          <w:t>https://pubmed.ncbi.nlm.nih.gov/38317718/</w:t>
        </w:r>
      </w:hyperlink>
    </w:p>
    <w:p w14:paraId="65A0FFE4" w14:textId="77777777" w:rsidR="00DF10CC" w:rsidRDefault="000F6F7A">
      <w:pPr>
        <w:ind w:left="720" w:hanging="630"/>
        <w:rPr>
          <w:b/>
          <w:bCs/>
          <w:color w:val="1155CC"/>
          <w:u w:val="single"/>
        </w:rPr>
      </w:pPr>
      <w:r>
        <w:rPr>
          <w:b/>
          <w:bCs/>
        </w:rPr>
        <w:t>Kim, M.S</w:t>
      </w:r>
      <w:r>
        <w:rPr>
          <w:b/>
          <w:bCs/>
        </w:rPr>
        <w:t>., Lee, K.N., Lee, J., Kwak, J., Lee, S.H., Kwon, H.S., Hughes, J., Han, K.D., Lee, E.Y. 2025. The Triglyceride-Glucose Index and Risk of End-Stage Renal Disease across Different Durations of Type 2 Diabetes Mellitus: A Longitudinal Cohort Study. Endocrino</w:t>
      </w:r>
      <w:r>
        <w:rPr>
          <w:b/>
          <w:bCs/>
        </w:rPr>
        <w:t>logy and Metabolism.</w:t>
      </w:r>
      <w:hyperlink r:id="rId20">
        <w:r>
          <w:rPr>
            <w:b/>
            <w:bCs/>
          </w:rPr>
          <w:t xml:space="preserve"> </w:t>
        </w:r>
      </w:hyperlink>
      <w:hyperlink r:id="rId21">
        <w:r>
          <w:rPr>
            <w:b/>
            <w:bCs/>
            <w:color w:val="1155CC"/>
            <w:u w:val="single"/>
          </w:rPr>
          <w:t>https://doi.org/10.3803/EnM.2024.2271</w:t>
        </w:r>
      </w:hyperlink>
    </w:p>
    <w:p w14:paraId="6C85C5A3" w14:textId="77777777" w:rsidR="00DF10CC" w:rsidRDefault="000F6F7A">
      <w:pPr>
        <w:ind w:left="720" w:hanging="630"/>
        <w:rPr>
          <w:b/>
          <w:bCs/>
          <w:color w:val="1155CC"/>
          <w:u w:val="single"/>
        </w:rPr>
      </w:pPr>
      <w:r>
        <w:rPr>
          <w:b/>
          <w:bCs/>
        </w:rPr>
        <w:t xml:space="preserve">Li, X., Lin, Q., Zhang, D., Huang, Z., Yu, J., Zhao, J., Li, W., Liu, W. 2025. Triglyceride-glucose index and prognosis in non-diabetic critically ill patients: data from the </w:t>
      </w:r>
      <w:proofErr w:type="spellStart"/>
      <w:r>
        <w:rPr>
          <w:b/>
          <w:bCs/>
        </w:rPr>
        <w:t>eICU</w:t>
      </w:r>
      <w:proofErr w:type="spellEnd"/>
      <w:r>
        <w:rPr>
          <w:b/>
          <w:bCs/>
        </w:rPr>
        <w:t xml:space="preserve"> database. Frontiers in Medicine.</w:t>
      </w:r>
      <w:hyperlink r:id="rId22">
        <w:r>
          <w:rPr>
            <w:b/>
            <w:bCs/>
          </w:rPr>
          <w:t xml:space="preserve"> </w:t>
        </w:r>
      </w:hyperlink>
      <w:hyperlink r:id="rId23">
        <w:r>
          <w:rPr>
            <w:b/>
            <w:bCs/>
            <w:color w:val="1155CC"/>
            <w:u w:val="single"/>
          </w:rPr>
          <w:t>https://doi.org/10.3389/fmed.2025.1558968</w:t>
        </w:r>
      </w:hyperlink>
    </w:p>
    <w:p w14:paraId="62FBE910" w14:textId="77777777" w:rsidR="00DF10CC" w:rsidRDefault="000F6F7A">
      <w:pPr>
        <w:ind w:left="720" w:hanging="630"/>
        <w:rPr>
          <w:b/>
          <w:bCs/>
          <w:color w:val="1155CC"/>
          <w:u w:val="single"/>
        </w:rPr>
      </w:pPr>
      <w:r>
        <w:rPr>
          <w:b/>
          <w:bCs/>
        </w:rPr>
        <w:t xml:space="preserve">Liu, H., Wang, L., Zhu, X., Wang, Y., Zhang, B., Ma, C., Gao, L., Yu, J. 2025. Can the triglyceride-glucose index identify prediabetes </w:t>
      </w:r>
      <w:r>
        <w:rPr>
          <w:b/>
          <w:bCs/>
        </w:rPr>
        <w:t>in children and adolescents with obesity? a cross-sectional study. Frontiers in Endocrinology.</w:t>
      </w:r>
      <w:hyperlink r:id="rId24">
        <w:r>
          <w:rPr>
            <w:b/>
            <w:bCs/>
          </w:rPr>
          <w:t xml:space="preserve"> </w:t>
        </w:r>
      </w:hyperlink>
      <w:hyperlink r:id="rId25">
        <w:r>
          <w:rPr>
            <w:b/>
            <w:bCs/>
            <w:color w:val="1155CC"/>
            <w:u w:val="single"/>
          </w:rPr>
          <w:t>https://doi.org/10.3389/fendo.2025.1657912</w:t>
        </w:r>
      </w:hyperlink>
    </w:p>
    <w:p w14:paraId="7528E58C" w14:textId="77777777" w:rsidR="00DF10CC" w:rsidRDefault="000F6F7A">
      <w:pPr>
        <w:ind w:left="720" w:hanging="630"/>
        <w:rPr>
          <w:b/>
          <w:bCs/>
          <w:color w:val="1155CC"/>
          <w:u w:val="single"/>
        </w:rPr>
      </w:pPr>
      <w:r>
        <w:rPr>
          <w:b/>
          <w:bCs/>
        </w:rPr>
        <w:t xml:space="preserve">Lu, Y.W., Chang, C.C., Chou, R.H., Tsai, Y.L., Liu, L.K., Chen, L.K., Huang, P.H., Lin, S.J. 2021. Gender difference in the association between </w:t>
      </w:r>
      <w:proofErr w:type="spellStart"/>
      <w:r>
        <w:rPr>
          <w:b/>
          <w:bCs/>
        </w:rPr>
        <w:t>TyG</w:t>
      </w:r>
      <w:proofErr w:type="spellEnd"/>
      <w:r>
        <w:rPr>
          <w:b/>
          <w:bCs/>
        </w:rPr>
        <w:t xml:space="preserve"> index and subcli</w:t>
      </w:r>
      <w:r>
        <w:rPr>
          <w:b/>
          <w:bCs/>
        </w:rPr>
        <w:t>nical atherosclerosis: results from the I-Lan Longitudinal Aging Study. Cardiovascular Diabetology.</w:t>
      </w:r>
      <w:hyperlink r:id="rId26">
        <w:r>
          <w:rPr>
            <w:b/>
            <w:bCs/>
          </w:rPr>
          <w:t xml:space="preserve"> </w:t>
        </w:r>
      </w:hyperlink>
      <w:hyperlink r:id="rId27">
        <w:r>
          <w:rPr>
            <w:b/>
            <w:bCs/>
            <w:color w:val="1155CC"/>
            <w:u w:val="single"/>
          </w:rPr>
          <w:t>https://doi.org/10.1186/s12933-0</w:t>
        </w:r>
        <w:r>
          <w:rPr>
            <w:b/>
            <w:bCs/>
            <w:color w:val="1155CC"/>
            <w:u w:val="single"/>
          </w:rPr>
          <w:t>21-01391-7</w:t>
        </w:r>
      </w:hyperlink>
    </w:p>
    <w:p w14:paraId="3CFB2ACA" w14:textId="77777777" w:rsidR="00DF10CC" w:rsidRDefault="000F6F7A">
      <w:pPr>
        <w:ind w:left="720" w:hanging="630"/>
        <w:rPr>
          <w:b/>
          <w:bCs/>
          <w:color w:val="1155CC"/>
          <w:u w:val="single"/>
        </w:rPr>
      </w:pPr>
      <w:r>
        <w:rPr>
          <w:b/>
          <w:bCs/>
        </w:rPr>
        <w:t xml:space="preserve">Luo, P., Cao, Y., Li, P., Li, W., Song, Z., Fu, Z., Zhou, H., Yi, X., Zhu, L., Zhu, S. 2022. </w:t>
      </w:r>
      <w:proofErr w:type="spellStart"/>
      <w:r>
        <w:rPr>
          <w:b/>
          <w:bCs/>
        </w:rPr>
        <w:t>TyG</w:t>
      </w:r>
      <w:proofErr w:type="spellEnd"/>
      <w:r>
        <w:rPr>
          <w:b/>
          <w:bCs/>
        </w:rPr>
        <w:t xml:space="preserve"> Index Performs Better Than HOMA-IR in Chinese Type 2 Diabetes Mellitus with a BMI &lt; 35 kg/m2: A Hyperglycemic Clamp Validated Study. Medicina.</w:t>
      </w:r>
      <w:hyperlink r:id="rId28">
        <w:r>
          <w:rPr>
            <w:b/>
            <w:bCs/>
          </w:rPr>
          <w:t xml:space="preserve"> </w:t>
        </w:r>
      </w:hyperlink>
      <w:hyperlink r:id="rId29">
        <w:r>
          <w:rPr>
            <w:b/>
            <w:bCs/>
            <w:color w:val="1155CC"/>
            <w:u w:val="single"/>
          </w:rPr>
          <w:t>https://doi.org/10.3390/medicina58070876</w:t>
        </w:r>
      </w:hyperlink>
    </w:p>
    <w:p w14:paraId="0AA555D6" w14:textId="77777777" w:rsidR="00DF10CC" w:rsidRDefault="000F6F7A">
      <w:pPr>
        <w:ind w:left="720" w:hanging="630"/>
        <w:rPr>
          <w:b/>
          <w:bCs/>
          <w:color w:val="1155CC"/>
          <w:u w:val="single"/>
        </w:rPr>
      </w:pPr>
      <w:r>
        <w:rPr>
          <w:b/>
          <w:bCs/>
        </w:rPr>
        <w:t xml:space="preserve">Morshed, M.S., Banu, H., </w:t>
      </w:r>
      <w:proofErr w:type="spellStart"/>
      <w:r>
        <w:rPr>
          <w:b/>
          <w:bCs/>
        </w:rPr>
        <w:t>Hossan</w:t>
      </w:r>
      <w:proofErr w:type="spellEnd"/>
      <w:r>
        <w:rPr>
          <w:b/>
          <w:bCs/>
        </w:rPr>
        <w:t xml:space="preserve">, M.S., </w:t>
      </w:r>
      <w:proofErr w:type="spellStart"/>
      <w:r>
        <w:rPr>
          <w:b/>
          <w:bCs/>
        </w:rPr>
        <w:t>Mahrukh</w:t>
      </w:r>
      <w:proofErr w:type="spellEnd"/>
      <w:r>
        <w:rPr>
          <w:b/>
          <w:bCs/>
        </w:rPr>
        <w:t>, H., Hasanat, M.A. 2024. Association of adiposity ind</w:t>
      </w:r>
      <w:r>
        <w:rPr>
          <w:b/>
          <w:bCs/>
        </w:rPr>
        <w:t>ices with insulin resistance among women with polycystic ovary syndrome. Clinical and Experimental Reproductive Medicine.</w:t>
      </w:r>
      <w:hyperlink r:id="rId30">
        <w:r>
          <w:rPr>
            <w:b/>
            <w:bCs/>
          </w:rPr>
          <w:t xml:space="preserve"> </w:t>
        </w:r>
      </w:hyperlink>
      <w:hyperlink r:id="rId31">
        <w:r>
          <w:rPr>
            <w:b/>
            <w:bCs/>
            <w:color w:val="1155CC"/>
            <w:u w:val="single"/>
          </w:rPr>
          <w:t>https://doi.org/10.5653/cerm.2024.07388</w:t>
        </w:r>
      </w:hyperlink>
    </w:p>
    <w:p w14:paraId="03DAAD0A" w14:textId="77777777" w:rsidR="00DF10CC" w:rsidRDefault="000F6F7A">
      <w:pPr>
        <w:ind w:left="720" w:hanging="630"/>
        <w:rPr>
          <w:b/>
          <w:bCs/>
          <w:color w:val="1155CC"/>
          <w:u w:val="single"/>
        </w:rPr>
      </w:pPr>
      <w:r>
        <w:rPr>
          <w:b/>
          <w:bCs/>
        </w:rPr>
        <w:t>Priego-Parra, B.A., Román-Calleja, B.M., Gallego-Duran, R., Gracia-Sancho, J. 2024. Triglyceride-glucose-waist circumference index: A powerful too</w:t>
      </w:r>
      <w:r>
        <w:rPr>
          <w:b/>
          <w:bCs/>
        </w:rPr>
        <w:t xml:space="preserve">l for metabolic dysfunction-associated </w:t>
      </w:r>
      <w:proofErr w:type="spellStart"/>
      <w:r>
        <w:rPr>
          <w:b/>
          <w:bCs/>
        </w:rPr>
        <w:t>steatotic</w:t>
      </w:r>
      <w:proofErr w:type="spellEnd"/>
      <w:r>
        <w:rPr>
          <w:b/>
          <w:bCs/>
        </w:rPr>
        <w:t xml:space="preserve"> liver disease. PMC.</w:t>
      </w:r>
      <w:hyperlink r:id="rId32">
        <w:r>
          <w:rPr>
            <w:b/>
            <w:bCs/>
          </w:rPr>
          <w:t xml:space="preserve"> </w:t>
        </w:r>
      </w:hyperlink>
      <w:hyperlink r:id="rId33">
        <w:r>
          <w:rPr>
            <w:b/>
            <w:bCs/>
            <w:color w:val="1155CC"/>
            <w:u w:val="single"/>
          </w:rPr>
          <w:t>https://pmc.ncbi.nlm.nih.gov/articles/PMC123085</w:t>
        </w:r>
        <w:r>
          <w:rPr>
            <w:b/>
            <w:bCs/>
            <w:color w:val="1155CC"/>
            <w:u w:val="single"/>
          </w:rPr>
          <w:t>83/</w:t>
        </w:r>
      </w:hyperlink>
    </w:p>
    <w:p w14:paraId="772D183E" w14:textId="77777777" w:rsidR="00DF10CC" w:rsidRDefault="00DF10CC">
      <w:pPr>
        <w:ind w:left="720" w:hanging="630"/>
        <w:rPr>
          <w:rFonts w:ascii="Arial" w:eastAsia="Arial" w:hAnsi="Arial" w:cs="Arial"/>
          <w:b/>
          <w:bCs/>
          <w:color w:val="1F1F1F"/>
        </w:rPr>
      </w:pPr>
    </w:p>
    <w:sectPr w:rsidR="00DF10CC">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827680" w14:textId="77777777" w:rsidR="000F6F7A" w:rsidRDefault="000F6F7A" w:rsidP="008318E7">
      <w:pPr>
        <w:spacing w:before="0" w:after="0" w:line="240" w:lineRule="auto"/>
      </w:pPr>
      <w:r>
        <w:separator/>
      </w:r>
    </w:p>
  </w:endnote>
  <w:endnote w:type="continuationSeparator" w:id="0">
    <w:p w14:paraId="11D259C3" w14:textId="77777777" w:rsidR="000F6F7A" w:rsidRDefault="000F6F7A" w:rsidP="008318E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1" w:fontKey="{B3C9DA64-4D8F-4387-A599-0EB7F0877548}"/>
  </w:font>
  <w:font w:name="Calibri">
    <w:panose1 w:val="020F0502020204030204"/>
    <w:charset w:val="00"/>
    <w:family w:val="swiss"/>
    <w:pitch w:val="variable"/>
    <w:sig w:usb0="E4002EFF" w:usb1="C000247B" w:usb2="00000009" w:usb3="00000000" w:csb0="000001FF" w:csb1="00000000"/>
    <w:embedRegular r:id="rId2" w:fontKey="{FB1BEA25-6FA0-4A2D-AB8D-35EB2077C556}"/>
  </w:font>
  <w:font w:name="Cambria">
    <w:panose1 w:val="02040503050406030204"/>
    <w:charset w:val="00"/>
    <w:family w:val="roman"/>
    <w:pitch w:val="variable"/>
    <w:sig w:usb0="E00006FF" w:usb1="420024FF" w:usb2="02000000" w:usb3="00000000" w:csb0="0000019F" w:csb1="00000000"/>
    <w:embedRegular r:id="rId3" w:fontKey="{37B803FB-DB22-4ECC-A9EB-9E9EABFE4A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DE6E1" w14:textId="77777777" w:rsidR="008318E7" w:rsidRDefault="008318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C0989" w14:textId="77777777" w:rsidR="008318E7" w:rsidRDefault="008318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7DFDA" w14:textId="77777777" w:rsidR="008318E7" w:rsidRDefault="008318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EF51A" w14:textId="77777777" w:rsidR="000F6F7A" w:rsidRDefault="000F6F7A" w:rsidP="008318E7">
      <w:pPr>
        <w:spacing w:before="0" w:after="0" w:line="240" w:lineRule="auto"/>
      </w:pPr>
      <w:r>
        <w:separator/>
      </w:r>
    </w:p>
  </w:footnote>
  <w:footnote w:type="continuationSeparator" w:id="0">
    <w:p w14:paraId="64C3E2A2" w14:textId="77777777" w:rsidR="000F6F7A" w:rsidRDefault="000F6F7A" w:rsidP="008318E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33B6A" w14:textId="554AE652" w:rsidR="008318E7" w:rsidRDefault="008318E7">
    <w:pPr>
      <w:pStyle w:val="Header"/>
    </w:pPr>
    <w:r>
      <w:rPr>
        <w:noProof/>
      </w:rPr>
      <w:pict w14:anchorId="22EC10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2368814" o:spid="_x0000_s2050"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04048" w14:textId="7455DCC4" w:rsidR="008318E7" w:rsidRDefault="008318E7">
    <w:pPr>
      <w:pStyle w:val="Header"/>
    </w:pPr>
    <w:r>
      <w:rPr>
        <w:noProof/>
      </w:rPr>
      <w:pict w14:anchorId="72E27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2368815"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A52B5" w14:textId="5C1DC0DF" w:rsidR="008318E7" w:rsidRDefault="008318E7">
    <w:pPr>
      <w:pStyle w:val="Header"/>
    </w:pPr>
    <w:r>
      <w:rPr>
        <w:noProof/>
      </w:rPr>
      <w:pict w14:anchorId="245E9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2368813"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B536C8"/>
    <w:multiLevelType w:val="multilevel"/>
    <w:tmpl w:val="9766A458"/>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0CC"/>
    <w:rsid w:val="000F6F7A"/>
    <w:rsid w:val="00171858"/>
    <w:rsid w:val="008318E7"/>
    <w:rsid w:val="00DF10CC"/>
    <w:rsid w:val="00E005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4A3D53"/>
  <w15:docId w15:val="{44B74547-C079-45F2-83DB-BA68F5E22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F1115"/>
        <w:sz w:val="24"/>
        <w:szCs w:val="24"/>
        <w:lang w:val="en" w:eastAsia="en-GB" w:bidi="ar-SA"/>
      </w:rPr>
    </w:rPrDefault>
    <w:pPrDefault>
      <w:pPr>
        <w:shd w:val="clear" w:color="auto" w:fill="FFFFFF"/>
        <w:spacing w:before="240" w:after="240" w:line="276"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349" w:lineRule="auto"/>
      <w:ind w:firstLine="0"/>
      <w:outlineLvl w:val="0"/>
    </w:pPr>
    <w:rPr>
      <w:b/>
      <w:bCs/>
      <w:sz w:val="28"/>
      <w:szCs w:val="28"/>
    </w:rPr>
  </w:style>
  <w:style w:type="paragraph" w:styleId="Heading2">
    <w:name w:val="heading 2"/>
    <w:basedOn w:val="Normal"/>
    <w:next w:val="Normal"/>
    <w:uiPriority w:val="9"/>
    <w:unhideWhenUsed/>
    <w:qFormat/>
    <w:pPr>
      <w:keepNext/>
      <w:keepLines/>
      <w:spacing w:before="480" w:line="349" w:lineRule="auto"/>
      <w:ind w:firstLine="0"/>
      <w:outlineLvl w:val="1"/>
    </w:pPr>
    <w:rPr>
      <w:b/>
      <w:bCs/>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pPr>
    <w:rPr>
      <w:b/>
      <w:bCs/>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rsid w:val="00E00527"/>
    <w:rPr>
      <w:color w:val="0000FF" w:themeColor="hyperlink"/>
      <w:u w:val="single"/>
    </w:rPr>
  </w:style>
  <w:style w:type="character" w:styleId="UnresolvedMention">
    <w:name w:val="Unresolved Mention"/>
    <w:basedOn w:val="DefaultParagraphFont"/>
    <w:uiPriority w:val="99"/>
    <w:semiHidden/>
    <w:unhideWhenUsed/>
    <w:rsid w:val="00E00527"/>
    <w:rPr>
      <w:color w:val="605E5C"/>
      <w:shd w:val="clear" w:color="auto" w:fill="E1DFDD"/>
    </w:rPr>
  </w:style>
  <w:style w:type="paragraph" w:styleId="Header">
    <w:name w:val="header"/>
    <w:basedOn w:val="Normal"/>
    <w:link w:val="HeaderChar"/>
    <w:uiPriority w:val="99"/>
    <w:unhideWhenUsed/>
    <w:rsid w:val="008318E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318E7"/>
    <w:rPr>
      <w:shd w:val="clear" w:color="auto" w:fill="FFFFFF"/>
    </w:rPr>
  </w:style>
  <w:style w:type="paragraph" w:styleId="Footer">
    <w:name w:val="footer"/>
    <w:basedOn w:val="Normal"/>
    <w:link w:val="FooterChar"/>
    <w:uiPriority w:val="99"/>
    <w:unhideWhenUsed/>
    <w:rsid w:val="008318E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318E7"/>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journals.plos.org/plosone/article?id=10.1371/journal.pone.0149731" TargetMode="External"/><Relationship Id="rId18" Type="http://schemas.openxmlformats.org/officeDocument/2006/relationships/hyperlink" Target="https://pubmed.ncbi.nlm.nih.gov/38317718/" TargetMode="External"/><Relationship Id="rId26" Type="http://schemas.openxmlformats.org/officeDocument/2006/relationships/hyperlink" Target="https://doi.org/10.1186/s12933-021-01391-7" TargetMode="External"/><Relationship Id="rId39" Type="http://schemas.openxmlformats.org/officeDocument/2006/relationships/footer" Target="footer3.xml"/><Relationship Id="rId21" Type="http://schemas.openxmlformats.org/officeDocument/2006/relationships/hyperlink" Target="https://doi.org/10.3803/EnM.2024.2271" TargetMode="External"/><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pringermedizin.de/global-epidemiology-of-prediabetes-present-and-future-perspectiv/27288250" TargetMode="External"/><Relationship Id="rId20" Type="http://schemas.openxmlformats.org/officeDocument/2006/relationships/hyperlink" Target="https://doi.org/10.3803/EnM.2024.2271" TargetMode="External"/><Relationship Id="rId29" Type="http://schemas.openxmlformats.org/officeDocument/2006/relationships/hyperlink" Target="https://doi.org/10.3390/medicina58070876"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q=https://doi.org/10.3389/fendo.2025.1646258&amp;authuser=3" TargetMode="External"/><Relationship Id="rId24" Type="http://schemas.openxmlformats.org/officeDocument/2006/relationships/hyperlink" Target="https://www.google.com/search?q=https://doi.org/10.3389/fendo.2025.1657912&amp;authuser=3" TargetMode="External"/><Relationship Id="rId32" Type="http://schemas.openxmlformats.org/officeDocument/2006/relationships/hyperlink" Target="https://pmc.ncbi.nlm.nih.gov/articles/PMC12308583/"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ogle.com/search?q=https://doi.org/10.3390/nu16213718&amp;authuser=3" TargetMode="External"/><Relationship Id="rId23" Type="http://schemas.openxmlformats.org/officeDocument/2006/relationships/hyperlink" Target="https://doi.org/10.3389/fmed.2025.1558968" TargetMode="External"/><Relationship Id="rId28" Type="http://schemas.openxmlformats.org/officeDocument/2006/relationships/hyperlink" Target="https://doi.org/10.3390/medicina58070876" TargetMode="External"/><Relationship Id="rId36" Type="http://schemas.openxmlformats.org/officeDocument/2006/relationships/footer" Target="footer1.xml"/><Relationship Id="rId10" Type="http://schemas.openxmlformats.org/officeDocument/2006/relationships/hyperlink" Target="https://www.google.com/search?q=https://doi.org/10.3389/fendo.2025.1646258&amp;authuser=3" TargetMode="External"/><Relationship Id="rId19" Type="http://schemas.openxmlformats.org/officeDocument/2006/relationships/hyperlink" Target="https://pubmed.ncbi.nlm.nih.gov/38317718/" TargetMode="External"/><Relationship Id="rId31" Type="http://schemas.openxmlformats.org/officeDocument/2006/relationships/hyperlink" Target="https://www.google.com/search?q=https://doi.org/10.5653/cerm.2024.07388&amp;authuser=3" TargetMode="External"/><Relationship Id="rId4" Type="http://schemas.openxmlformats.org/officeDocument/2006/relationships/webSettings" Target="webSettings.xml"/><Relationship Id="rId9" Type="http://schemas.openxmlformats.org/officeDocument/2006/relationships/hyperlink" Target="https://doi.org/10.1186/s12933-025-02979-z" TargetMode="External"/><Relationship Id="rId14" Type="http://schemas.openxmlformats.org/officeDocument/2006/relationships/hyperlink" Target="https://www.google.com/search?q=https://doi.org/10.3390/nu16213718&amp;authuser=3" TargetMode="External"/><Relationship Id="rId22" Type="http://schemas.openxmlformats.org/officeDocument/2006/relationships/hyperlink" Target="https://doi.org/10.3389/fmed.2025.1558968" TargetMode="External"/><Relationship Id="rId27" Type="http://schemas.openxmlformats.org/officeDocument/2006/relationships/hyperlink" Target="https://doi.org/10.1186/s12933-021-01391-7" TargetMode="External"/><Relationship Id="rId30" Type="http://schemas.openxmlformats.org/officeDocument/2006/relationships/hyperlink" Target="https://www.google.com/search?q=https://doi.org/10.5653/cerm.2024.07388&amp;authuser=3" TargetMode="External"/><Relationship Id="rId35" Type="http://schemas.openxmlformats.org/officeDocument/2006/relationships/header" Target="header2.xml"/><Relationship Id="rId8" Type="http://schemas.openxmlformats.org/officeDocument/2006/relationships/hyperlink" Target="https://doi.org/10.1186/s12933-025-02979-z" TargetMode="External"/><Relationship Id="rId3" Type="http://schemas.openxmlformats.org/officeDocument/2006/relationships/settings" Target="settings.xml"/><Relationship Id="rId12" Type="http://schemas.openxmlformats.org/officeDocument/2006/relationships/hyperlink" Target="https://journals.plos.org/plosone/article?id=10.1371/journal.pone.0149731" TargetMode="External"/><Relationship Id="rId17" Type="http://schemas.openxmlformats.org/officeDocument/2006/relationships/hyperlink" Target="https://www.springermedizin.de/global-epidemiology-of-prediabetes-present-and-future-perspectiv/27288250" TargetMode="External"/><Relationship Id="rId25" Type="http://schemas.openxmlformats.org/officeDocument/2006/relationships/hyperlink" Target="https://www.google.com/search?q=https://doi.org/10.3389/fendo.2025.1657912&amp;authuser=3" TargetMode="External"/><Relationship Id="rId33" Type="http://schemas.openxmlformats.org/officeDocument/2006/relationships/hyperlink" Target="https://pmc.ncbi.nlm.nih.gov/articles/PMC12308583/"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4234</Words>
  <Characters>24136</Characters>
  <Application>Microsoft Office Word</Application>
  <DocSecurity>0</DocSecurity>
  <Lines>201</Lines>
  <Paragraphs>56</Paragraphs>
  <ScaleCrop>false</ScaleCrop>
  <Company/>
  <LinksUpToDate>false</LinksUpToDate>
  <CharactersWithSpaces>28314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3</cp:revision>
  <dcterms:created xsi:type="dcterms:W3CDTF">2026-03-13T04:20:00Z</dcterms:created>
  <dcterms:modified xsi:type="dcterms:W3CDTF">2026-03-13T10:46:00Z</dcterms:modified>
</cp:coreProperties>
</file>