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ABC6" w14:textId="77777777" w:rsidR="00B94E8C" w:rsidRDefault="00AD1B3A">
      <w:pPr>
        <w:tabs>
          <w:tab w:val="left" w:pos="3227"/>
        </w:tabs>
        <w:spacing w:before="240" w:line="360" w:lineRule="auto"/>
        <w:jc w:val="both"/>
        <w:rPr>
          <w:rFonts w:ascii="Arial" w:eastAsia="SimSun" w:hAnsi="Arial" w:cs="Arial"/>
          <w:b/>
          <w:bCs/>
          <w:sz w:val="24"/>
          <w:szCs w:val="24"/>
        </w:rPr>
      </w:pPr>
      <w:bookmarkStart w:id="0" w:name="page1"/>
      <w:bookmarkEnd w:id="0"/>
      <w:r>
        <w:rPr>
          <w:rFonts w:ascii="Arial" w:eastAsia="SimSun" w:hAnsi="Arial" w:cs="Arial"/>
          <w:b/>
          <w:bCs/>
          <w:sz w:val="24"/>
          <w:szCs w:val="24"/>
        </w:rPr>
        <w:t xml:space="preserve">Effects of Organic Amendments on Soil Structural Enhancement and Deformation Susceptibility in a Degraded </w:t>
      </w:r>
      <w:proofErr w:type="spellStart"/>
      <w:r>
        <w:rPr>
          <w:rFonts w:ascii="Arial" w:eastAsia="SimSun" w:hAnsi="Arial" w:cs="Arial"/>
          <w:b/>
          <w:bCs/>
          <w:sz w:val="24"/>
          <w:szCs w:val="24"/>
        </w:rPr>
        <w:t>Ultisol</w:t>
      </w:r>
      <w:proofErr w:type="spellEnd"/>
      <w:r>
        <w:rPr>
          <w:rFonts w:ascii="Arial" w:eastAsia="SimSun" w:hAnsi="Arial" w:cs="Arial"/>
          <w:b/>
          <w:bCs/>
          <w:sz w:val="24"/>
          <w:szCs w:val="24"/>
        </w:rPr>
        <w:t xml:space="preserve"> in humid tropics </w:t>
      </w:r>
      <w:proofErr w:type="gramStart"/>
      <w:r>
        <w:rPr>
          <w:rFonts w:ascii="Arial" w:eastAsia="SimSun" w:hAnsi="Arial" w:cs="Arial"/>
          <w:b/>
          <w:bCs/>
          <w:sz w:val="24"/>
          <w:szCs w:val="24"/>
        </w:rPr>
        <w:t>of  Southeastern</w:t>
      </w:r>
      <w:proofErr w:type="gramEnd"/>
      <w:r>
        <w:rPr>
          <w:rFonts w:ascii="Arial" w:eastAsia="SimSun" w:hAnsi="Arial" w:cs="Arial"/>
          <w:b/>
          <w:bCs/>
          <w:sz w:val="24"/>
          <w:szCs w:val="24"/>
        </w:rPr>
        <w:t xml:space="preserve"> Nigeria.</w:t>
      </w:r>
    </w:p>
    <w:p w14:paraId="691AE1CE" w14:textId="77777777" w:rsidR="007C1799" w:rsidRDefault="007C1799">
      <w:pPr>
        <w:tabs>
          <w:tab w:val="left" w:pos="3227"/>
        </w:tabs>
        <w:spacing w:before="240" w:line="360" w:lineRule="auto"/>
        <w:jc w:val="both"/>
        <w:rPr>
          <w:rFonts w:ascii="Arial" w:eastAsia="SimSun" w:hAnsi="Arial" w:cs="Arial"/>
          <w:b/>
          <w:bCs/>
          <w:sz w:val="24"/>
          <w:szCs w:val="24"/>
        </w:rPr>
      </w:pPr>
    </w:p>
    <w:p w14:paraId="3A69521B" w14:textId="77777777" w:rsidR="00B94E8C" w:rsidRDefault="00B94E8C">
      <w:pPr>
        <w:pStyle w:val="Affiliation"/>
        <w:spacing w:after="0" w:line="240" w:lineRule="auto"/>
        <w:jc w:val="both"/>
        <w:rPr>
          <w:rFonts w:ascii="Arial" w:hAnsi="Arial" w:cs="Arial"/>
        </w:rPr>
      </w:pPr>
    </w:p>
    <w:p w14:paraId="757FAA7A" w14:textId="77777777" w:rsidR="00B94E8C" w:rsidRDefault="00AD1B3A">
      <w:pPr>
        <w:pStyle w:val="Copyright"/>
        <w:spacing w:after="0" w:line="240" w:lineRule="auto"/>
        <w:jc w:val="both"/>
        <w:rPr>
          <w:rFonts w:ascii="Arial" w:hAnsi="Arial" w:cs="Arial"/>
        </w:rPr>
        <w:sectPr w:rsidR="00B94E8C" w:rsidSect="0041046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324009E6" wp14:editId="5DC88442">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873CED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DBBEDE7" w14:textId="77777777" w:rsidR="00B94E8C" w:rsidRDefault="00AD1B3A">
      <w:pPr>
        <w:pStyle w:val="AbstHead"/>
        <w:spacing w:after="0"/>
        <w:ind w:firstLineChars="600" w:firstLine="1325"/>
        <w:jc w:val="both"/>
        <w:rPr>
          <w:rFonts w:ascii="Arial" w:hAnsi="Arial" w:cs="Arial"/>
        </w:rPr>
      </w:pPr>
      <w:r>
        <w:rPr>
          <w:rFonts w:ascii="Arial" w:hAnsi="Arial" w:cs="Arial"/>
        </w:rPr>
        <w:t xml:space="preserve">ABSTRACT </w:t>
      </w:r>
    </w:p>
    <w:p w14:paraId="6DA279D4" w14:textId="77777777" w:rsidR="00B94E8C" w:rsidRDefault="00AD1B3A">
      <w:pPr>
        <w:pStyle w:val="NormalWeb"/>
        <w:jc w:val="both"/>
        <w:rPr>
          <w:rFonts w:ascii="Arial" w:hAnsi="Arial" w:cs="Arial"/>
        </w:rPr>
      </w:pPr>
      <w:r>
        <w:rPr>
          <w:rFonts w:ascii="Arial" w:hAnsi="Arial" w:cs="Arial"/>
          <w:b/>
          <w:bCs/>
        </w:rPr>
        <w:t>Background</w:t>
      </w:r>
      <w:r>
        <w:rPr>
          <w:rFonts w:ascii="Arial" w:hAnsi="Arial" w:cs="Arial"/>
        </w:rPr>
        <w:t xml:space="preserve">: Soil structural instability is a severe limitation of sustainable crop productivity in the humid tropics especially in southeastern Nigeria. </w:t>
      </w:r>
    </w:p>
    <w:p w14:paraId="0D289BBA" w14:textId="77777777" w:rsidR="00B94E8C" w:rsidRDefault="00AD1B3A">
      <w:pPr>
        <w:tabs>
          <w:tab w:val="left" w:pos="3227"/>
        </w:tabs>
        <w:spacing w:before="240" w:line="360" w:lineRule="auto"/>
        <w:jc w:val="both"/>
        <w:rPr>
          <w:rFonts w:ascii="Arial" w:hAnsi="Arial" w:cs="Arial"/>
          <w:sz w:val="24"/>
          <w:szCs w:val="24"/>
        </w:rPr>
      </w:pPr>
      <w:proofErr w:type="spellStart"/>
      <w:proofErr w:type="gramStart"/>
      <w:r>
        <w:rPr>
          <w:rFonts w:ascii="Arial" w:hAnsi="Arial" w:cs="Arial"/>
          <w:b/>
          <w:bCs/>
          <w:sz w:val="24"/>
          <w:szCs w:val="24"/>
        </w:rPr>
        <w:t>Aim</w:t>
      </w:r>
      <w:r>
        <w:rPr>
          <w:rFonts w:ascii="Arial" w:hAnsi="Arial" w:cs="Arial"/>
          <w:sz w:val="24"/>
          <w:szCs w:val="24"/>
        </w:rPr>
        <w:t>:To</w:t>
      </w:r>
      <w:proofErr w:type="spellEnd"/>
      <w:proofErr w:type="gramEnd"/>
      <w:r>
        <w:rPr>
          <w:rFonts w:ascii="Arial" w:hAnsi="Arial" w:cs="Arial"/>
          <w:sz w:val="24"/>
          <w:szCs w:val="24"/>
        </w:rPr>
        <w:t xml:space="preserve"> study e</w:t>
      </w:r>
      <w:r>
        <w:rPr>
          <w:rFonts w:ascii="Arial" w:eastAsia="SimSun" w:hAnsi="Arial" w:cs="Arial"/>
          <w:sz w:val="24"/>
          <w:szCs w:val="24"/>
        </w:rPr>
        <w:t xml:space="preserve">ffects of organic amendments on soil structural enhancement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tropics of  Southeastern Nigeria.</w:t>
      </w:r>
    </w:p>
    <w:p w14:paraId="69EADCA6" w14:textId="77777777" w:rsidR="00B94E8C" w:rsidRDefault="00AD1B3A">
      <w:pPr>
        <w:spacing w:line="360" w:lineRule="auto"/>
        <w:jc w:val="both"/>
        <w:rPr>
          <w:rFonts w:ascii="Arial" w:hAnsi="Arial" w:cs="Arial"/>
          <w:sz w:val="24"/>
          <w:szCs w:val="24"/>
        </w:rPr>
      </w:pPr>
      <w:r>
        <w:rPr>
          <w:rFonts w:ascii="Arial" w:hAnsi="Arial" w:cs="Arial"/>
          <w:b/>
          <w:bCs/>
          <w:sz w:val="24"/>
          <w:szCs w:val="24"/>
        </w:rPr>
        <w:t>Methodology</w:t>
      </w:r>
      <w:r>
        <w:rPr>
          <w:rFonts w:ascii="Arial" w:hAnsi="Arial" w:cs="Arial"/>
          <w:sz w:val="24"/>
          <w:szCs w:val="24"/>
        </w:rPr>
        <w:t xml:space="preserve">: </w:t>
      </w:r>
      <w:r>
        <w:rPr>
          <w:rFonts w:ascii="Arial" w:eastAsia="SimSun" w:hAnsi="Arial" w:cs="Arial"/>
          <w:color w:val="000000"/>
          <w:sz w:val="24"/>
          <w:szCs w:val="24"/>
          <w:lang w:eastAsia="zh-CN" w:bidi="ar"/>
        </w:rPr>
        <w:t xml:space="preserve">Soil samples were </w:t>
      </w:r>
      <w:proofErr w:type="spellStart"/>
      <w:r>
        <w:rPr>
          <w:rFonts w:ascii="Arial" w:eastAsia="SimSun" w:hAnsi="Arial" w:cs="Arial"/>
          <w:color w:val="000000"/>
          <w:sz w:val="24"/>
          <w:szCs w:val="24"/>
          <w:lang w:eastAsia="zh-CN" w:bidi="ar"/>
        </w:rPr>
        <w:t>were</w:t>
      </w:r>
      <w:proofErr w:type="spellEnd"/>
      <w:r>
        <w:rPr>
          <w:rFonts w:ascii="Arial" w:eastAsia="SimSun" w:hAnsi="Arial" w:cs="Arial"/>
          <w:color w:val="000000"/>
          <w:sz w:val="24"/>
          <w:szCs w:val="24"/>
          <w:lang w:eastAsia="zh-CN" w:bidi="ar"/>
        </w:rPr>
        <w:t xml:space="preserve"> collected with the aid of soil auger from a depth of 0-20cm and </w:t>
      </w:r>
      <w:r>
        <w:rPr>
          <w:rFonts w:ascii="Arial" w:eastAsia="SimSun" w:hAnsi="Arial" w:cs="Arial"/>
          <w:color w:val="000000"/>
          <w:sz w:val="24"/>
          <w:szCs w:val="24"/>
          <w:lang w:eastAsia="zh-CN" w:bidi="ar"/>
        </w:rPr>
        <w:t>placed in a perforated bag. Every bag holds 10kg of sampled soil. In a randomized complete block design format, 0.25 kg of the organic amendments namely as</w:t>
      </w:r>
      <w:r>
        <w:rPr>
          <w:rFonts w:ascii="Arial" w:hAnsi="Arial" w:cs="Arial"/>
          <w:color w:val="000000" w:themeColor="text1"/>
          <w:sz w:val="24"/>
          <w:szCs w:val="24"/>
        </w:rPr>
        <w:t xml:space="preserve">, poultry droppings (TI), goat </w:t>
      </w:r>
      <w:proofErr w:type="gramStart"/>
      <w:r>
        <w:rPr>
          <w:rFonts w:ascii="Arial" w:hAnsi="Arial" w:cs="Arial"/>
          <w:color w:val="000000" w:themeColor="text1"/>
          <w:sz w:val="24"/>
          <w:szCs w:val="24"/>
        </w:rPr>
        <w:t>droppings,(</w:t>
      </w:r>
      <w:proofErr w:type="gramEnd"/>
      <w:r>
        <w:rPr>
          <w:rFonts w:ascii="Arial" w:hAnsi="Arial" w:cs="Arial"/>
          <w:color w:val="000000" w:themeColor="text1"/>
          <w:sz w:val="24"/>
          <w:szCs w:val="24"/>
        </w:rPr>
        <w:t xml:space="preserve">T2) cow dung (T3), their combinations (T4) were applied in </w:t>
      </w:r>
      <w:r>
        <w:rPr>
          <w:rFonts w:ascii="Arial" w:hAnsi="Arial" w:cs="Arial"/>
          <w:color w:val="000000" w:themeColor="text1"/>
          <w:sz w:val="24"/>
          <w:szCs w:val="24"/>
        </w:rPr>
        <w:t xml:space="preserve">three replicates to each </w:t>
      </w:r>
      <w:proofErr w:type="spellStart"/>
      <w:r>
        <w:rPr>
          <w:rFonts w:ascii="Arial" w:hAnsi="Arial" w:cs="Arial"/>
          <w:color w:val="000000" w:themeColor="text1"/>
          <w:sz w:val="24"/>
          <w:szCs w:val="24"/>
        </w:rPr>
        <w:t>bag.An</w:t>
      </w:r>
      <w:proofErr w:type="spellEnd"/>
      <w:r>
        <w:rPr>
          <w:rFonts w:ascii="Arial" w:hAnsi="Arial" w:cs="Arial"/>
          <w:color w:val="000000" w:themeColor="text1"/>
          <w:sz w:val="24"/>
          <w:szCs w:val="24"/>
        </w:rPr>
        <w:t xml:space="preserve"> unamended soil served as control (T5). The combination </w:t>
      </w:r>
      <w:proofErr w:type="gramStart"/>
      <w:r>
        <w:rPr>
          <w:rFonts w:ascii="Arial" w:hAnsi="Arial" w:cs="Arial"/>
          <w:color w:val="000000" w:themeColor="text1"/>
          <w:sz w:val="24"/>
          <w:szCs w:val="24"/>
        </w:rPr>
        <w:t>were</w:t>
      </w:r>
      <w:proofErr w:type="gramEnd"/>
      <w:r>
        <w:rPr>
          <w:rFonts w:ascii="Arial" w:hAnsi="Arial" w:cs="Arial"/>
          <w:color w:val="000000" w:themeColor="text1"/>
          <w:sz w:val="24"/>
          <w:szCs w:val="24"/>
        </w:rPr>
        <w:t xml:space="preserve"> allowed to stay for one month before samples were taken for laboratory analyses.</w:t>
      </w:r>
      <w:r>
        <w:rPr>
          <w:rFonts w:ascii="Arial" w:hAnsi="Arial" w:cs="Arial"/>
          <w:sz w:val="24"/>
          <w:szCs w:val="24"/>
        </w:rPr>
        <w:t xml:space="preserve"> Soil physical, chemical and structural indicators were measured after one month of </w:t>
      </w:r>
      <w:r>
        <w:rPr>
          <w:rFonts w:ascii="Arial" w:hAnsi="Arial" w:cs="Arial"/>
          <w:sz w:val="24"/>
          <w:szCs w:val="24"/>
        </w:rPr>
        <w:t>incubation, following standard laboratory method.</w:t>
      </w:r>
    </w:p>
    <w:p w14:paraId="721FC157" w14:textId="77777777" w:rsidR="00B94E8C" w:rsidRDefault="00AD1B3A">
      <w:pPr>
        <w:spacing w:line="360" w:lineRule="auto"/>
        <w:jc w:val="both"/>
        <w:rPr>
          <w:rFonts w:ascii="Arial" w:hAnsi="Arial" w:cs="Arial"/>
          <w:sz w:val="24"/>
          <w:szCs w:val="24"/>
        </w:rPr>
      </w:pPr>
      <w:r>
        <w:rPr>
          <w:rFonts w:ascii="Arial" w:hAnsi="Arial" w:cs="Arial"/>
          <w:b/>
          <w:bCs/>
          <w:sz w:val="24"/>
          <w:szCs w:val="24"/>
        </w:rPr>
        <w:t xml:space="preserve">Results: </w:t>
      </w:r>
      <w:r>
        <w:rPr>
          <w:rFonts w:ascii="Arial" w:hAnsi="Arial" w:cs="Arial"/>
          <w:sz w:val="24"/>
          <w:szCs w:val="24"/>
        </w:rPr>
        <w:t>Results showed that the soils were predominantly sandy (852–910 g kg⁻¹). Bulk density substantially decreased, total porosity and moisture content increased with organic amendment application compa</w:t>
      </w:r>
      <w:r>
        <w:rPr>
          <w:rFonts w:ascii="Arial" w:hAnsi="Arial" w:cs="Arial"/>
          <w:sz w:val="24"/>
          <w:szCs w:val="24"/>
        </w:rPr>
        <w:t xml:space="preserve">red to unamended control sample. The soil chemical properties namely pH, SOC, available P, exchangeable Ca and ECEC were also significantly elevated. Structural indicators viz: water-stable aggregates (&gt;0.25 mm), mean weight diameter (MWD), and the degree </w:t>
      </w:r>
      <w:r>
        <w:rPr>
          <w:rFonts w:ascii="Arial" w:hAnsi="Arial" w:cs="Arial"/>
          <w:sz w:val="24"/>
          <w:szCs w:val="24"/>
        </w:rPr>
        <w:t>of structural enhancement (DSE) significantly (P ≤ 0.05) increased in responses to organic amendments.  The poultry and cattle manure resulted in the greatest DSE values (97.33% and 94.00%, respectively), while that in the control was only 26.38%. This ind</w:t>
      </w:r>
      <w:r>
        <w:rPr>
          <w:rFonts w:ascii="Arial" w:hAnsi="Arial" w:cs="Arial"/>
          <w:sz w:val="24"/>
          <w:szCs w:val="24"/>
        </w:rPr>
        <w:t xml:space="preserve">icates a very high degree of degradation. According to correlation </w:t>
      </w:r>
      <w:r>
        <w:rPr>
          <w:rFonts w:ascii="Arial" w:hAnsi="Arial" w:cs="Arial"/>
          <w:sz w:val="24"/>
          <w:szCs w:val="24"/>
        </w:rPr>
        <w:lastRenderedPageBreak/>
        <w:t xml:space="preserve">analysis, aggregate stability was negatively correlated with bulk density and strongly positively correlated with soil organic carbon, clay content, and ECEC. </w:t>
      </w:r>
    </w:p>
    <w:p w14:paraId="47491C2B" w14:textId="77777777" w:rsidR="00B94E8C" w:rsidRDefault="00AD1B3A">
      <w:pPr>
        <w:spacing w:line="360" w:lineRule="auto"/>
        <w:jc w:val="both"/>
        <w:rPr>
          <w:rFonts w:ascii="Arial" w:hAnsi="Arial" w:cs="Arial"/>
          <w:b/>
          <w:bCs/>
          <w:sz w:val="24"/>
          <w:szCs w:val="24"/>
        </w:rPr>
      </w:pPr>
      <w:proofErr w:type="spellStart"/>
      <w:proofErr w:type="gramStart"/>
      <w:r>
        <w:rPr>
          <w:rFonts w:ascii="Arial" w:hAnsi="Arial" w:cs="Arial"/>
          <w:b/>
          <w:bCs/>
          <w:color w:val="000000" w:themeColor="text1"/>
          <w:sz w:val="24"/>
          <w:szCs w:val="24"/>
        </w:rPr>
        <w:t>Conclusion:</w:t>
      </w:r>
      <w:r>
        <w:rPr>
          <w:rFonts w:ascii="Arial" w:hAnsi="Arial" w:cs="Arial"/>
          <w:color w:val="000000" w:themeColor="text1"/>
          <w:sz w:val="24"/>
          <w:szCs w:val="24"/>
        </w:rPr>
        <w:t>The</w:t>
      </w:r>
      <w:proofErr w:type="spellEnd"/>
      <w:proofErr w:type="gramEnd"/>
      <w:r>
        <w:rPr>
          <w:rFonts w:ascii="Arial" w:hAnsi="Arial" w:cs="Arial"/>
          <w:color w:val="000000" w:themeColor="text1"/>
          <w:sz w:val="24"/>
          <w:szCs w:val="24"/>
        </w:rPr>
        <w:t xml:space="preserve"> use of locally</w:t>
      </w:r>
      <w:r>
        <w:rPr>
          <w:rFonts w:ascii="Arial" w:hAnsi="Arial" w:cs="Arial"/>
          <w:color w:val="000000" w:themeColor="text1"/>
          <w:sz w:val="24"/>
          <w:szCs w:val="24"/>
        </w:rPr>
        <w:t xml:space="preserve"> available animal manure, such as poultry dropping and cow dung, can greatly impro</w:t>
      </w:r>
      <w:r>
        <w:rPr>
          <w:rFonts w:ascii="Arial" w:hAnsi="Arial" w:cs="Arial"/>
          <w:sz w:val="24"/>
          <w:szCs w:val="24"/>
        </w:rPr>
        <w:t>ve soil structure quality and mitigate the risks of soil degradation in southeastern Nigeria.</w:t>
      </w:r>
    </w:p>
    <w:p w14:paraId="5ACA774F" w14:textId="77777777" w:rsidR="00B94E8C" w:rsidRDefault="00B94E8C">
      <w:pPr>
        <w:pStyle w:val="Body"/>
        <w:spacing w:after="0"/>
        <w:rPr>
          <w:rFonts w:ascii="Arial" w:hAnsi="Arial" w:cs="Arial"/>
          <w:i/>
        </w:rPr>
      </w:pPr>
    </w:p>
    <w:p w14:paraId="244FFBCD" w14:textId="77777777" w:rsidR="00B94E8C" w:rsidRDefault="00AD1B3A">
      <w:pPr>
        <w:pStyle w:val="Body"/>
        <w:spacing w:after="0"/>
        <w:rPr>
          <w:rFonts w:ascii="Arial" w:hAnsi="Arial" w:cs="Arial"/>
          <w:i/>
        </w:rPr>
      </w:pPr>
      <w:proofErr w:type="spellStart"/>
      <w:proofErr w:type="gramStart"/>
      <w:r>
        <w:rPr>
          <w:rFonts w:ascii="Arial" w:hAnsi="Arial" w:cs="Arial"/>
          <w:b/>
          <w:bCs/>
          <w:i/>
        </w:rPr>
        <w:t>Keywords</w:t>
      </w:r>
      <w:r>
        <w:rPr>
          <w:rFonts w:ascii="Arial" w:hAnsi="Arial" w:cs="Arial"/>
          <w:i/>
        </w:rPr>
        <w:t>:</w:t>
      </w:r>
      <w:r>
        <w:rPr>
          <w:rFonts w:ascii="Arial" w:hAnsi="Arial" w:cs="Arial"/>
          <w:i/>
          <w:iCs/>
        </w:rPr>
        <w:t>Structural</w:t>
      </w:r>
      <w:proofErr w:type="spellEnd"/>
      <w:proofErr w:type="gramEnd"/>
      <w:r>
        <w:rPr>
          <w:rFonts w:ascii="Arial" w:hAnsi="Arial" w:cs="Arial"/>
          <w:i/>
          <w:iCs/>
        </w:rPr>
        <w:t xml:space="preserve"> enhancement, aggregate stability, soil properties, organic </w:t>
      </w:r>
      <w:proofErr w:type="spellStart"/>
      <w:r>
        <w:rPr>
          <w:rFonts w:ascii="Arial" w:hAnsi="Arial" w:cs="Arial"/>
          <w:i/>
          <w:iCs/>
        </w:rPr>
        <w:t>amendments,ultisols</w:t>
      </w:r>
      <w:proofErr w:type="spellEnd"/>
    </w:p>
    <w:p w14:paraId="2B7BA2BE" w14:textId="77777777" w:rsidR="00B94E8C" w:rsidRDefault="00B94E8C">
      <w:pPr>
        <w:pStyle w:val="Body"/>
        <w:spacing w:after="0"/>
        <w:rPr>
          <w:rFonts w:ascii="Arial" w:hAnsi="Arial" w:cs="Arial"/>
          <w:i/>
        </w:rPr>
      </w:pPr>
    </w:p>
    <w:p w14:paraId="411F2080" w14:textId="77777777" w:rsidR="00B94E8C" w:rsidRDefault="00AD1B3A">
      <w:pPr>
        <w:pStyle w:val="AbstHead"/>
        <w:spacing w:after="0"/>
        <w:jc w:val="both"/>
        <w:rPr>
          <w:rFonts w:ascii="Arial" w:hAnsi="Arial" w:cs="Arial"/>
        </w:rPr>
      </w:pPr>
      <w:r>
        <w:rPr>
          <w:rFonts w:ascii="Arial" w:hAnsi="Arial" w:cs="Arial"/>
        </w:rPr>
        <w:t xml:space="preserve">1. INTRODUCTION </w:t>
      </w:r>
    </w:p>
    <w:p w14:paraId="622EA14B" w14:textId="77777777" w:rsidR="00B94E8C" w:rsidRDefault="00AD1B3A">
      <w:pPr>
        <w:spacing w:line="360" w:lineRule="auto"/>
        <w:jc w:val="both"/>
        <w:rPr>
          <w:rFonts w:ascii="Arial" w:hAnsi="Arial" w:cs="Arial"/>
          <w:color w:val="FF0000"/>
          <w:sz w:val="24"/>
          <w:szCs w:val="24"/>
        </w:rPr>
      </w:pPr>
      <w:r>
        <w:rPr>
          <w:rFonts w:ascii="Arial" w:eastAsia="SimSun" w:hAnsi="Arial" w:cs="Arial"/>
          <w:color w:val="000000"/>
          <w:sz w:val="24"/>
          <w:szCs w:val="24"/>
          <w:lang w:eastAsia="zh-CN" w:bidi="ar"/>
        </w:rPr>
        <w:t>Soil refers to the unconsolidated organic or mineral material found on the earth's surface that can be differentiated. from the initial material due to losses</w:t>
      </w:r>
      <w:r>
        <w:rPr>
          <w:rFonts w:ascii="Arial" w:hAnsi="Arial" w:cs="Arial"/>
          <w:color w:val="000000" w:themeColor="text1"/>
          <w:sz w:val="24"/>
          <w:szCs w:val="24"/>
        </w:rPr>
        <w:t xml:space="preserve">, </w:t>
      </w:r>
      <w:r>
        <w:rPr>
          <w:rFonts w:ascii="Arial" w:eastAsia="SimSun" w:hAnsi="Arial" w:cs="Arial"/>
          <w:color w:val="000000"/>
          <w:sz w:val="24"/>
          <w:szCs w:val="24"/>
          <w:lang w:eastAsia="zh-CN" w:bidi="ar"/>
        </w:rPr>
        <w:t xml:space="preserve">inclusions, reductions, transfers, and changes in energy and substance (Soil Survey Staff, 2014). </w:t>
      </w:r>
      <w:proofErr w:type="gramStart"/>
      <w:r>
        <w:rPr>
          <w:rFonts w:ascii="Arial" w:hAnsi="Arial" w:cs="Arial"/>
          <w:color w:val="000000" w:themeColor="text1"/>
          <w:sz w:val="24"/>
          <w:szCs w:val="24"/>
        </w:rPr>
        <w:t>Soil  as</w:t>
      </w:r>
      <w:proofErr w:type="gramEnd"/>
      <w:r>
        <w:rPr>
          <w:rFonts w:ascii="Arial" w:hAnsi="Arial" w:cs="Arial"/>
          <w:color w:val="000000" w:themeColor="text1"/>
          <w:sz w:val="24"/>
          <w:szCs w:val="24"/>
        </w:rPr>
        <w:t xml:space="preserve"> a non-renewable resource that plays a significant role in the environment and economy (Brady and Weil 2017), provides essential ecosystem services in</w:t>
      </w:r>
      <w:r>
        <w:rPr>
          <w:rFonts w:ascii="Arial" w:hAnsi="Arial" w:cs="Arial"/>
          <w:color w:val="000000" w:themeColor="text1"/>
          <w:sz w:val="24"/>
          <w:szCs w:val="24"/>
        </w:rPr>
        <w:t xml:space="preserve">cluding agricultural production, water regulation, habitat for life, nutrient cycling, and construction materials (Blum, 2005; FAO, 2015). However, despite the importance of these ecosystem </w:t>
      </w:r>
      <w:proofErr w:type="spellStart"/>
      <w:proofErr w:type="gramStart"/>
      <w:r>
        <w:rPr>
          <w:rFonts w:ascii="Arial" w:hAnsi="Arial" w:cs="Arial"/>
          <w:color w:val="000000" w:themeColor="text1"/>
          <w:sz w:val="24"/>
          <w:szCs w:val="24"/>
        </w:rPr>
        <w:t>services,soil</w:t>
      </w:r>
      <w:proofErr w:type="spellEnd"/>
      <w:proofErr w:type="gramEnd"/>
      <w:r>
        <w:rPr>
          <w:rFonts w:ascii="Arial" w:hAnsi="Arial" w:cs="Arial"/>
          <w:color w:val="000000" w:themeColor="text1"/>
          <w:sz w:val="24"/>
          <w:szCs w:val="24"/>
        </w:rPr>
        <w:t xml:space="preserve"> are degraded and this has remained a major constrain</w:t>
      </w:r>
      <w:r>
        <w:rPr>
          <w:rFonts w:ascii="Arial" w:hAnsi="Arial" w:cs="Arial"/>
          <w:color w:val="000000" w:themeColor="text1"/>
          <w:sz w:val="24"/>
          <w:szCs w:val="24"/>
        </w:rPr>
        <w:t xml:space="preserve">t in humid tropical regions such as </w:t>
      </w:r>
      <w:proofErr w:type="spellStart"/>
      <w:r>
        <w:rPr>
          <w:rFonts w:ascii="Arial" w:hAnsi="Arial" w:cs="Arial"/>
          <w:color w:val="000000" w:themeColor="text1"/>
          <w:sz w:val="24"/>
          <w:szCs w:val="24"/>
        </w:rPr>
        <w:t>southeastheren</w:t>
      </w:r>
      <w:proofErr w:type="spellEnd"/>
      <w:r>
        <w:rPr>
          <w:rFonts w:ascii="Arial" w:hAnsi="Arial" w:cs="Arial"/>
          <w:color w:val="000000" w:themeColor="text1"/>
          <w:sz w:val="24"/>
          <w:szCs w:val="24"/>
        </w:rPr>
        <w:t xml:space="preserve"> Nigeria (Lal, 2009). Overuse, traditional farming systems, and high rainfall intensity have also contributed to the loss of structural integrity in these soils (</w:t>
      </w:r>
      <w:proofErr w:type="spellStart"/>
      <w:r>
        <w:rPr>
          <w:rFonts w:ascii="Arial" w:hAnsi="Arial" w:cs="Arial"/>
          <w:color w:val="000000" w:themeColor="text1"/>
          <w:sz w:val="24"/>
          <w:szCs w:val="24"/>
        </w:rPr>
        <w:t>Nwite</w:t>
      </w:r>
      <w:proofErr w:type="spellEnd"/>
      <w:r>
        <w:rPr>
          <w:rFonts w:ascii="Arial" w:hAnsi="Arial" w:cs="Arial"/>
          <w:color w:val="000000" w:themeColor="text1"/>
          <w:sz w:val="24"/>
          <w:szCs w:val="24"/>
        </w:rPr>
        <w:t xml:space="preserve"> et al., 2016), leading to increased er</w:t>
      </w:r>
      <w:r>
        <w:rPr>
          <w:rFonts w:ascii="Arial" w:hAnsi="Arial" w:cs="Arial"/>
          <w:color w:val="000000" w:themeColor="text1"/>
          <w:sz w:val="24"/>
          <w:szCs w:val="24"/>
        </w:rPr>
        <w:t>osion rates, low water-holding capacity, and reduced crop yields (</w:t>
      </w:r>
      <w:proofErr w:type="spellStart"/>
      <w:r>
        <w:rPr>
          <w:rFonts w:ascii="Arial" w:hAnsi="Arial" w:cs="Arial"/>
          <w:color w:val="000000" w:themeColor="text1"/>
          <w:sz w:val="24"/>
          <w:szCs w:val="24"/>
        </w:rPr>
        <w:t>Onweremadu</w:t>
      </w:r>
      <w:proofErr w:type="spellEnd"/>
      <w:r>
        <w:rPr>
          <w:rFonts w:ascii="Arial" w:hAnsi="Arial" w:cs="Arial"/>
          <w:color w:val="000000" w:themeColor="text1"/>
          <w:sz w:val="24"/>
          <w:szCs w:val="24"/>
        </w:rPr>
        <w:t xml:space="preserve"> et al., 2011; Akindele &amp; Chukwu, 2014)</w:t>
      </w:r>
      <w:r>
        <w:rPr>
          <w:rFonts w:ascii="Arial" w:hAnsi="Arial" w:cs="Arial"/>
          <w:color w:val="FF0000"/>
          <w:sz w:val="24"/>
          <w:szCs w:val="24"/>
        </w:rPr>
        <w:t>.</w:t>
      </w:r>
    </w:p>
    <w:p w14:paraId="31EEAF6F" w14:textId="77777777" w:rsidR="00B94E8C" w:rsidRDefault="00B94E8C">
      <w:pPr>
        <w:pStyle w:val="NormalWeb"/>
        <w:spacing w:beforeAutospacing="0" w:after="240" w:afterAutospacing="0" w:line="360" w:lineRule="auto"/>
        <w:jc w:val="both"/>
        <w:rPr>
          <w:rFonts w:ascii="Arial" w:hAnsi="Arial" w:cs="Arial"/>
        </w:rPr>
      </w:pPr>
    </w:p>
    <w:p w14:paraId="2CCD1276" w14:textId="77777777" w:rsidR="00B94E8C" w:rsidRDefault="00AD1B3A">
      <w:pPr>
        <w:pStyle w:val="NormalWeb"/>
        <w:spacing w:beforeAutospacing="0" w:after="240" w:afterAutospacing="0" w:line="360" w:lineRule="auto"/>
        <w:jc w:val="both"/>
        <w:rPr>
          <w:rFonts w:ascii="Arial" w:eastAsia="sans-serif" w:hAnsi="Arial" w:cs="Arial"/>
          <w:color w:val="1F1F1F"/>
          <w:shd w:val="clear" w:color="auto" w:fill="FFFFFF"/>
        </w:rPr>
      </w:pPr>
      <w:r>
        <w:rPr>
          <w:rFonts w:ascii="Arial" w:hAnsi="Arial" w:cs="Arial"/>
        </w:rPr>
        <w:t xml:space="preserve">Soils with stable aggregate architecture exhibit improved porosity, enhanced water movement, reduced erosion risk, and greater resilience </w:t>
      </w:r>
      <w:r>
        <w:rPr>
          <w:rFonts w:ascii="Arial" w:hAnsi="Arial" w:cs="Arial"/>
        </w:rPr>
        <w:t xml:space="preserve">to environmental stresses (Bronick &amp; Lal, 2005). However, </w:t>
      </w:r>
      <w:proofErr w:type="spellStart"/>
      <w:r>
        <w:rPr>
          <w:rFonts w:ascii="Arial" w:hAnsi="Arial" w:cs="Arial"/>
        </w:rPr>
        <w:t>Onweremadu</w:t>
      </w:r>
      <w:proofErr w:type="spellEnd"/>
      <w:r>
        <w:rPr>
          <w:rFonts w:ascii="Arial" w:hAnsi="Arial" w:cs="Arial"/>
        </w:rPr>
        <w:t xml:space="preserve"> et al., (2021) and </w:t>
      </w:r>
      <w:proofErr w:type="spellStart"/>
      <w:r>
        <w:rPr>
          <w:rFonts w:ascii="Arial" w:eastAsia="sans-serif" w:hAnsi="Arial" w:cs="Arial"/>
          <w:color w:val="1F1F1F"/>
          <w:shd w:val="clear" w:color="auto" w:fill="FFFFFF"/>
        </w:rPr>
        <w:t>Ahukaemere</w:t>
      </w:r>
      <w:proofErr w:type="spellEnd"/>
      <w:r>
        <w:rPr>
          <w:rFonts w:ascii="Arial" w:eastAsia="sans-serif" w:hAnsi="Arial" w:cs="Arial"/>
          <w:color w:val="1F1F1F"/>
          <w:shd w:val="clear" w:color="auto" w:fill="FFFFFF"/>
        </w:rPr>
        <w:t xml:space="preserve"> et al. (2016) highlighted that the decline in soil structural indices in Southeastern Nigeria is strongly correlated with a loss in soil organic carbon (SOC)</w:t>
      </w:r>
      <w:r>
        <w:rPr>
          <w:rFonts w:ascii="Arial" w:eastAsia="sans-serif" w:hAnsi="Arial" w:cs="Arial"/>
          <w:color w:val="1F1F1F"/>
          <w:shd w:val="clear" w:color="auto" w:fill="FFFFFF"/>
        </w:rPr>
        <w:t xml:space="preserve">. As the "glue" that binds soil particles together </w:t>
      </w:r>
      <w:r>
        <w:rPr>
          <w:rFonts w:ascii="Arial" w:hAnsi="Arial" w:cs="Arial"/>
        </w:rPr>
        <w:t>(Six et al., 2004),</w:t>
      </w:r>
      <w:r>
        <w:rPr>
          <w:rFonts w:ascii="Arial" w:eastAsia="sans-serif" w:hAnsi="Arial" w:cs="Arial"/>
          <w:color w:val="1F1F1F"/>
          <w:shd w:val="clear" w:color="auto" w:fill="FFFFFF"/>
        </w:rPr>
        <w:t xml:space="preserve"> disappears, the soil becomes a loose collection of sand grains that are easily washed away by the region's heavy torrential rains.</w:t>
      </w:r>
    </w:p>
    <w:p w14:paraId="524A0A3D" w14:textId="77777777" w:rsidR="00B94E8C" w:rsidRDefault="00AD1B3A">
      <w:pPr>
        <w:pStyle w:val="NormalWeb"/>
        <w:spacing w:before="120" w:beforeAutospacing="0" w:after="120" w:afterAutospacing="0" w:line="360" w:lineRule="auto"/>
        <w:jc w:val="both"/>
        <w:rPr>
          <w:rFonts w:ascii="Arial" w:eastAsia="sans-serif" w:hAnsi="Arial" w:cs="Arial"/>
          <w:color w:val="1F1F1F"/>
          <w:shd w:val="clear" w:color="auto" w:fill="FFFFFF"/>
        </w:rPr>
      </w:pPr>
      <w:r>
        <w:rPr>
          <w:rFonts w:ascii="Arial" w:eastAsia="sans-serif" w:hAnsi="Arial" w:cs="Arial"/>
          <w:color w:val="1F1F1F"/>
          <w:shd w:val="clear" w:color="auto" w:fill="FFFFFF"/>
        </w:rPr>
        <w:t>However, to halt this trend, the use of organic amendm</w:t>
      </w:r>
      <w:r>
        <w:rPr>
          <w:rFonts w:ascii="Arial" w:eastAsia="sans-serif" w:hAnsi="Arial" w:cs="Arial"/>
          <w:color w:val="1F1F1F"/>
          <w:shd w:val="clear" w:color="auto" w:fill="FFFFFF"/>
        </w:rPr>
        <w:t xml:space="preserve">ents has been identified as a sustainable and economical means of improving the organic matter content of degraded </w:t>
      </w:r>
      <w:proofErr w:type="gramStart"/>
      <w:r>
        <w:rPr>
          <w:rFonts w:ascii="Arial" w:eastAsia="sans-serif" w:hAnsi="Arial" w:cs="Arial"/>
          <w:color w:val="1F1F1F"/>
          <w:shd w:val="clear" w:color="auto" w:fill="FFFFFF"/>
        </w:rPr>
        <w:t>soils  (</w:t>
      </w:r>
      <w:proofErr w:type="gramEnd"/>
      <w:r>
        <w:rPr>
          <w:rFonts w:ascii="Arial" w:eastAsia="sans-serif" w:hAnsi="Arial" w:cs="Arial"/>
          <w:color w:val="1F1F1F"/>
          <w:shd w:val="clear" w:color="auto" w:fill="FFFFFF"/>
        </w:rPr>
        <w:t xml:space="preserve">Agim 2016, Bot and Benites, 2005). Unlike inorganic fertilizers, whose application is very low </w:t>
      </w:r>
      <w:r>
        <w:rPr>
          <w:rFonts w:ascii="Arial" w:eastAsia="sans-serif" w:hAnsi="Arial" w:cs="Arial"/>
          <w:color w:val="1F1F1F"/>
          <w:shd w:val="clear" w:color="auto" w:fill="FFFFFF"/>
        </w:rPr>
        <w:lastRenderedPageBreak/>
        <w:t>in Africa  due to high cost, limited o</w:t>
      </w:r>
      <w:r>
        <w:rPr>
          <w:rFonts w:ascii="Arial" w:eastAsia="sans-serif" w:hAnsi="Arial" w:cs="Arial"/>
          <w:color w:val="1F1F1F"/>
          <w:shd w:val="clear" w:color="auto" w:fill="FFFFFF"/>
        </w:rPr>
        <w:t>r untimely availability (Liverpool-Tasi et al., 2017) and  which provide a rapid nutrient supplement (</w:t>
      </w:r>
      <w:proofErr w:type="spellStart"/>
      <w:r>
        <w:rPr>
          <w:rFonts w:ascii="Arial" w:eastAsia="sans-serif" w:hAnsi="Arial" w:cs="Arial"/>
          <w:color w:val="1F1F1F"/>
          <w:shd w:val="clear" w:color="auto" w:fill="FFFFFF"/>
        </w:rPr>
        <w:t>Haufiku</w:t>
      </w:r>
      <w:proofErr w:type="spellEnd"/>
      <w:r>
        <w:rPr>
          <w:rFonts w:ascii="Arial" w:eastAsia="sans-serif" w:hAnsi="Arial" w:cs="Arial"/>
          <w:color w:val="1F1F1F"/>
          <w:shd w:val="clear" w:color="auto" w:fill="FFFFFF"/>
        </w:rPr>
        <w:t xml:space="preserve"> et al., 2025) but do little to improve the physical structure of the soil,(Ramesh et al., 2005), organic amendments from plant residues, animal ma</w:t>
      </w:r>
      <w:r>
        <w:rPr>
          <w:rFonts w:ascii="Arial" w:eastAsia="sans-serif" w:hAnsi="Arial" w:cs="Arial"/>
          <w:color w:val="1F1F1F"/>
          <w:shd w:val="clear" w:color="auto" w:fill="FFFFFF"/>
        </w:rPr>
        <w:t>nures, and other organic materials, provide carbon and nutrients, and increase soil biota and aggregation and porosity (Haynes &amp; Naidu, 1998). Experiments have shown that organic amendments can greatly improve water-stable aggregates and mean weight diamet</w:t>
      </w:r>
      <w:r>
        <w:rPr>
          <w:rFonts w:ascii="Arial" w:eastAsia="sans-serif" w:hAnsi="Arial" w:cs="Arial"/>
          <w:color w:val="1F1F1F"/>
          <w:shd w:val="clear" w:color="auto" w:fill="FFFFFF"/>
        </w:rPr>
        <w:t>er, thus improving soil erosion resistance and crop yields (</w:t>
      </w:r>
      <w:proofErr w:type="spellStart"/>
      <w:r>
        <w:rPr>
          <w:rFonts w:ascii="Arial" w:eastAsia="sans-serif" w:hAnsi="Arial" w:cs="Arial"/>
          <w:color w:val="1F1F1F"/>
          <w:shd w:val="clear" w:color="auto" w:fill="FFFFFF"/>
        </w:rPr>
        <w:t>Adesodun</w:t>
      </w:r>
      <w:proofErr w:type="spellEnd"/>
      <w:r>
        <w:rPr>
          <w:rFonts w:ascii="Arial" w:eastAsia="sans-serif" w:hAnsi="Arial" w:cs="Arial"/>
          <w:color w:val="1F1F1F"/>
          <w:shd w:val="clear" w:color="auto" w:fill="FFFFFF"/>
        </w:rPr>
        <w:t xml:space="preserve"> et al., 2005; </w:t>
      </w:r>
      <w:proofErr w:type="spellStart"/>
      <w:r>
        <w:rPr>
          <w:rFonts w:ascii="Arial" w:eastAsia="sans-serif" w:hAnsi="Arial" w:cs="Arial"/>
          <w:color w:val="1F1F1F"/>
          <w:shd w:val="clear" w:color="auto" w:fill="FFFFFF"/>
        </w:rPr>
        <w:t>Ojeniyi</w:t>
      </w:r>
      <w:proofErr w:type="spellEnd"/>
      <w:r>
        <w:rPr>
          <w:rFonts w:ascii="Arial" w:eastAsia="sans-serif" w:hAnsi="Arial" w:cs="Arial"/>
          <w:color w:val="1F1F1F"/>
          <w:shd w:val="clear" w:color="auto" w:fill="FFFFFF"/>
        </w:rPr>
        <w:t xml:space="preserve"> et al., 2017).  Poultry Manure </w:t>
      </w:r>
      <w:proofErr w:type="spellStart"/>
      <w:r>
        <w:rPr>
          <w:rFonts w:ascii="Arial" w:eastAsia="sans-serif" w:hAnsi="Arial" w:cs="Arial"/>
          <w:color w:val="1F1F1F"/>
          <w:shd w:val="clear" w:color="auto" w:fill="FFFFFF"/>
        </w:rPr>
        <w:t>manure</w:t>
      </w:r>
      <w:proofErr w:type="spellEnd"/>
      <w:r>
        <w:rPr>
          <w:rFonts w:ascii="Arial" w:eastAsia="sans-serif" w:hAnsi="Arial" w:cs="Arial"/>
          <w:color w:val="1F1F1F"/>
          <w:shd w:val="clear" w:color="auto" w:fill="FFFFFF"/>
        </w:rPr>
        <w:t xml:space="preserve"> is known for its capacity to increase microbial populations, which in turn produce polysaccharides that act as a binding agent </w:t>
      </w:r>
      <w:r>
        <w:rPr>
          <w:rFonts w:ascii="Arial" w:eastAsia="sans-serif" w:hAnsi="Arial" w:cs="Arial"/>
          <w:color w:val="1F1F1F"/>
          <w:shd w:val="clear" w:color="auto" w:fill="FFFFFF"/>
        </w:rPr>
        <w:t>for soil particles to form stable aggregates (</w:t>
      </w:r>
      <w:proofErr w:type="spellStart"/>
      <w:r>
        <w:rPr>
          <w:rFonts w:ascii="Arial" w:eastAsia="sans-serif" w:hAnsi="Arial" w:cs="Arial"/>
          <w:color w:val="1F1F1F"/>
          <w:shd w:val="clear" w:color="auto" w:fill="FFFFFF"/>
        </w:rPr>
        <w:t>Nnabude</w:t>
      </w:r>
      <w:proofErr w:type="spellEnd"/>
      <w:r>
        <w:rPr>
          <w:rFonts w:ascii="Arial" w:eastAsia="sans-serif" w:hAnsi="Arial" w:cs="Arial"/>
          <w:color w:val="1F1F1F"/>
          <w:shd w:val="clear" w:color="auto" w:fill="FFFFFF"/>
        </w:rPr>
        <w:t xml:space="preserve"> and </w:t>
      </w:r>
      <w:proofErr w:type="spellStart"/>
      <w:r>
        <w:rPr>
          <w:rFonts w:ascii="Arial" w:eastAsia="sans-serif" w:hAnsi="Arial" w:cs="Arial"/>
          <w:color w:val="1F1F1F"/>
          <w:shd w:val="clear" w:color="auto" w:fill="FFFFFF"/>
        </w:rPr>
        <w:t>Mbagwu</w:t>
      </w:r>
      <w:proofErr w:type="spellEnd"/>
      <w:r>
        <w:rPr>
          <w:rFonts w:ascii="Arial" w:eastAsia="sans-serif" w:hAnsi="Arial" w:cs="Arial"/>
          <w:color w:val="1F1F1F"/>
          <w:shd w:val="clear" w:color="auto" w:fill="FFFFFF"/>
        </w:rPr>
        <w:t>, 2001</w:t>
      </w:r>
      <w:proofErr w:type="gramStart"/>
      <w:r>
        <w:rPr>
          <w:rFonts w:ascii="Arial" w:eastAsia="sans-serif" w:hAnsi="Arial" w:cs="Arial"/>
          <w:color w:val="1F1F1F"/>
          <w:shd w:val="clear" w:color="auto" w:fill="FFFFFF"/>
        </w:rPr>
        <w:t>).The</w:t>
      </w:r>
      <w:proofErr w:type="gramEnd"/>
      <w:r>
        <w:rPr>
          <w:rFonts w:ascii="Arial" w:eastAsia="sans-serif" w:hAnsi="Arial" w:cs="Arial"/>
          <w:color w:val="1F1F1F"/>
          <w:shd w:val="clear" w:color="auto" w:fill="FFFFFF"/>
        </w:rPr>
        <w:t xml:space="preserve"> very porous nature of biochar, which serves as a permanent carbon sink, improves the water-holding capacity and aeration of </w:t>
      </w:r>
      <w:proofErr w:type="spellStart"/>
      <w:r>
        <w:rPr>
          <w:rFonts w:ascii="Arial" w:eastAsia="sans-serif" w:hAnsi="Arial" w:cs="Arial"/>
          <w:color w:val="1F1F1F"/>
          <w:shd w:val="clear" w:color="auto" w:fill="FFFFFF"/>
        </w:rPr>
        <w:t>Ultisols</w:t>
      </w:r>
      <w:proofErr w:type="spellEnd"/>
      <w:r>
        <w:rPr>
          <w:rFonts w:ascii="Arial" w:eastAsia="sans-serif" w:hAnsi="Arial" w:cs="Arial"/>
          <w:color w:val="1F1F1F"/>
          <w:shd w:val="clear" w:color="auto" w:fill="FFFFFF"/>
        </w:rPr>
        <w:t xml:space="preserve"> in sandy soils (</w:t>
      </w:r>
      <w:proofErr w:type="spellStart"/>
      <w:r>
        <w:rPr>
          <w:rFonts w:ascii="Arial" w:eastAsia="sans-serif" w:hAnsi="Arial" w:cs="Arial"/>
          <w:color w:val="1F1F1F"/>
          <w:shd w:val="clear" w:color="auto" w:fill="FFFFFF"/>
        </w:rPr>
        <w:t>Agber</w:t>
      </w:r>
      <w:proofErr w:type="spellEnd"/>
      <w:r>
        <w:rPr>
          <w:rFonts w:ascii="Arial" w:eastAsia="sans-serif" w:hAnsi="Arial" w:cs="Arial"/>
          <w:color w:val="1F1F1F"/>
          <w:shd w:val="clear" w:color="auto" w:fill="FFFFFF"/>
        </w:rPr>
        <w:t xml:space="preserve"> and </w:t>
      </w:r>
      <w:proofErr w:type="spellStart"/>
      <w:r>
        <w:rPr>
          <w:rFonts w:ascii="Arial" w:eastAsia="sans-serif" w:hAnsi="Arial" w:cs="Arial"/>
          <w:color w:val="1F1F1F"/>
          <w:shd w:val="clear" w:color="auto" w:fill="FFFFFF"/>
        </w:rPr>
        <w:t>Agoume</w:t>
      </w:r>
      <w:proofErr w:type="spellEnd"/>
      <w:r>
        <w:rPr>
          <w:rFonts w:ascii="Arial" w:eastAsia="sans-serif" w:hAnsi="Arial" w:cs="Arial"/>
          <w:color w:val="1F1F1F"/>
          <w:shd w:val="clear" w:color="auto" w:fill="FFFFFF"/>
        </w:rPr>
        <w:t>, 2015). Rice h</w:t>
      </w:r>
      <w:r>
        <w:rPr>
          <w:rFonts w:ascii="Arial" w:eastAsia="sans-serif" w:hAnsi="Arial" w:cs="Arial"/>
          <w:color w:val="1F1F1F"/>
          <w:shd w:val="clear" w:color="auto" w:fill="FFFFFF"/>
        </w:rPr>
        <w:t>usks or legume husks help in the slow release of nutrients and act as a physical mulch that shields the soil surface from the kinetic energy of raindrops.</w:t>
      </w:r>
    </w:p>
    <w:p w14:paraId="7D77AA09" w14:textId="77777777" w:rsidR="00B94E8C" w:rsidRDefault="00AD1B3A">
      <w:pPr>
        <w:tabs>
          <w:tab w:val="left" w:pos="3227"/>
        </w:tabs>
        <w:spacing w:before="240" w:line="360" w:lineRule="auto"/>
        <w:jc w:val="both"/>
        <w:rPr>
          <w:rFonts w:ascii="Arial" w:eastAsia="SimSun" w:hAnsi="Arial" w:cs="Arial"/>
          <w:sz w:val="24"/>
          <w:szCs w:val="24"/>
        </w:rPr>
      </w:pPr>
      <w:r>
        <w:rPr>
          <w:rFonts w:ascii="Arial" w:eastAsia="sans-serif" w:hAnsi="Arial" w:cs="Arial"/>
          <w:color w:val="1F1F1F"/>
          <w:sz w:val="24"/>
          <w:szCs w:val="24"/>
          <w:shd w:val="clear" w:color="auto" w:fill="FFFFFF"/>
        </w:rPr>
        <w:t>Despite the advantages, there is a lack of local data on the comparative role of different animal-bas</w:t>
      </w:r>
      <w:r>
        <w:rPr>
          <w:rFonts w:ascii="Arial" w:eastAsia="sans-serif" w:hAnsi="Arial" w:cs="Arial"/>
          <w:color w:val="1F1F1F"/>
          <w:sz w:val="24"/>
          <w:szCs w:val="24"/>
          <w:shd w:val="clear" w:color="auto" w:fill="FFFFFF"/>
        </w:rPr>
        <w:t xml:space="preserve">ed organic amendments on soil structural properties under the prevailing conditions of the </w:t>
      </w:r>
      <w:proofErr w:type="spellStart"/>
      <w:proofErr w:type="gramStart"/>
      <w:r>
        <w:rPr>
          <w:rFonts w:ascii="Arial" w:eastAsia="sans-serif" w:hAnsi="Arial" w:cs="Arial"/>
          <w:color w:val="1F1F1F"/>
          <w:sz w:val="24"/>
          <w:szCs w:val="24"/>
          <w:shd w:val="clear" w:color="auto" w:fill="FFFFFF"/>
        </w:rPr>
        <w:t>soils.There</w:t>
      </w:r>
      <w:proofErr w:type="spellEnd"/>
      <w:proofErr w:type="gramEnd"/>
      <w:r>
        <w:rPr>
          <w:rFonts w:ascii="Arial" w:eastAsia="sans-serif" w:hAnsi="Arial" w:cs="Arial"/>
          <w:color w:val="1F1F1F"/>
          <w:sz w:val="24"/>
          <w:szCs w:val="24"/>
          <w:shd w:val="clear" w:color="auto" w:fill="FFFFFF"/>
        </w:rPr>
        <w:t xml:space="preserve"> is an urgent need to determine the  organic amendment that offers the fastest and longest-lasting structural improvement for the leached soils of this ar</w:t>
      </w:r>
      <w:r>
        <w:rPr>
          <w:rFonts w:ascii="Arial" w:eastAsia="sans-serif" w:hAnsi="Arial" w:cs="Arial"/>
          <w:color w:val="1F1F1F"/>
          <w:sz w:val="24"/>
          <w:szCs w:val="24"/>
          <w:shd w:val="clear" w:color="auto" w:fill="FFFFFF"/>
        </w:rPr>
        <w:t xml:space="preserve">ea. This research, therefore, examines the role of different organic amendments, namely goat droppings, cow dung, poultry droppings, pig slurry, and their blends on </w:t>
      </w:r>
      <w:proofErr w:type="spellStart"/>
      <w:r>
        <w:rPr>
          <w:rFonts w:ascii="Arial" w:eastAsia="SimSun" w:hAnsi="Arial" w:cs="Arial"/>
          <w:sz w:val="24"/>
          <w:szCs w:val="24"/>
        </w:rPr>
        <w:t>on</w:t>
      </w:r>
      <w:proofErr w:type="spellEnd"/>
      <w:r>
        <w:rPr>
          <w:rFonts w:ascii="Arial" w:eastAsia="SimSun" w:hAnsi="Arial" w:cs="Arial"/>
          <w:sz w:val="24"/>
          <w:szCs w:val="24"/>
        </w:rPr>
        <w:t xml:space="preserve"> soil structural stability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w:t>
      </w:r>
      <w:r>
        <w:rPr>
          <w:rFonts w:ascii="Arial" w:eastAsia="SimSun" w:hAnsi="Arial" w:cs="Arial"/>
          <w:sz w:val="24"/>
          <w:szCs w:val="24"/>
        </w:rPr>
        <w:t xml:space="preserve">tropics </w:t>
      </w:r>
      <w:proofErr w:type="gramStart"/>
      <w:r>
        <w:rPr>
          <w:rFonts w:ascii="Arial" w:eastAsia="SimSun" w:hAnsi="Arial" w:cs="Arial"/>
          <w:sz w:val="24"/>
          <w:szCs w:val="24"/>
        </w:rPr>
        <w:t>of  Southeastern</w:t>
      </w:r>
      <w:proofErr w:type="gramEnd"/>
      <w:r>
        <w:rPr>
          <w:rFonts w:ascii="Arial" w:eastAsia="SimSun" w:hAnsi="Arial" w:cs="Arial"/>
          <w:sz w:val="24"/>
          <w:szCs w:val="24"/>
        </w:rPr>
        <w:t xml:space="preserve"> Nigeria.</w:t>
      </w:r>
    </w:p>
    <w:p w14:paraId="72C32057" w14:textId="77777777" w:rsidR="00B94E8C" w:rsidRDefault="00AD1B3A">
      <w:pPr>
        <w:spacing w:after="160" w:line="360" w:lineRule="auto"/>
        <w:jc w:val="both"/>
        <w:rPr>
          <w:rFonts w:ascii="Arial" w:hAnsi="Arial" w:cs="Arial"/>
          <w:b/>
          <w:color w:val="000000" w:themeColor="text1"/>
          <w:sz w:val="24"/>
          <w:szCs w:val="24"/>
        </w:rPr>
      </w:pPr>
      <w:r>
        <w:rPr>
          <w:rFonts w:ascii="Arial" w:eastAsia="sans-serif" w:hAnsi="Arial" w:cs="Arial"/>
          <w:color w:val="1F1F1F"/>
          <w:sz w:val="24"/>
          <w:szCs w:val="24"/>
          <w:shd w:val="clear" w:color="auto" w:fill="FFFFFF"/>
        </w:rPr>
        <w:t>. The aim was to determine the options that can most effectively improve soil structural properties, ultimately aiming to improve soil management practices for enhanced agricultural productivity in the region.</w:t>
      </w:r>
      <w:r>
        <w:rPr>
          <w:rFonts w:ascii="Arial" w:hAnsi="Arial" w:cs="Arial"/>
          <w:b/>
          <w:color w:val="000000" w:themeColor="text1"/>
          <w:sz w:val="24"/>
          <w:szCs w:val="24"/>
        </w:rPr>
        <w:br w:type="page"/>
      </w:r>
    </w:p>
    <w:p w14:paraId="42BC9A39" w14:textId="77777777" w:rsidR="00B94E8C" w:rsidRDefault="00AD1B3A">
      <w:pPr>
        <w:pStyle w:val="AbstHead"/>
        <w:spacing w:after="0"/>
        <w:jc w:val="both"/>
        <w:rPr>
          <w:rFonts w:ascii="Arial" w:hAnsi="Arial" w:cs="Arial"/>
        </w:rPr>
      </w:pPr>
      <w:r>
        <w:rPr>
          <w:rFonts w:ascii="Arial" w:hAnsi="Arial" w:cs="Arial"/>
        </w:rPr>
        <w:lastRenderedPageBreak/>
        <w:t xml:space="preserve">2. material and methods </w:t>
      </w:r>
    </w:p>
    <w:p w14:paraId="587556D8" w14:textId="77777777" w:rsidR="00B94E8C" w:rsidRDefault="00AD1B3A">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2.0 Materials and methods</w:t>
      </w:r>
    </w:p>
    <w:p w14:paraId="28918A04" w14:textId="77777777" w:rsidR="00B94E8C" w:rsidRDefault="00AD1B3A">
      <w:pPr>
        <w:jc w:val="both"/>
        <w:rPr>
          <w:rFonts w:ascii="Arial" w:hAnsi="Arial" w:cs="Arial"/>
          <w:sz w:val="24"/>
          <w:szCs w:val="24"/>
        </w:rPr>
      </w:pPr>
      <w:r>
        <w:rPr>
          <w:rFonts w:ascii="Arial" w:hAnsi="Arial" w:cs="Arial"/>
          <w:sz w:val="24"/>
          <w:szCs w:val="24"/>
        </w:rPr>
        <w:t>The experiment was carried out at the Federal University of Technology Owerri's Teaching and Research Farm in Imo State, which is situated between latitudes 05° 29' 06s and longitudes 07° 02' 06s. The Beni</w:t>
      </w:r>
      <w:r>
        <w:rPr>
          <w:rFonts w:ascii="Arial" w:hAnsi="Arial" w:cs="Arial"/>
          <w:sz w:val="24"/>
          <w:szCs w:val="24"/>
        </w:rPr>
        <w:t xml:space="preserve"> formation, also known as coastal plain sand, is the source of the soils (</w:t>
      </w:r>
      <w:proofErr w:type="spellStart"/>
      <w:r>
        <w:rPr>
          <w:rFonts w:ascii="Arial" w:hAnsi="Arial" w:cs="Arial"/>
          <w:sz w:val="24"/>
          <w:szCs w:val="24"/>
        </w:rPr>
        <w:t>Onweremadu</w:t>
      </w:r>
      <w:proofErr w:type="spellEnd"/>
      <w:r>
        <w:rPr>
          <w:rFonts w:ascii="Arial" w:hAnsi="Arial" w:cs="Arial"/>
          <w:sz w:val="24"/>
          <w:szCs w:val="24"/>
        </w:rPr>
        <w:t xml:space="preserve"> et al. 2021). The region has a longer wet season that lasts from April to November, mean daily minimum temperatures of 19–24°C and maximum temperatures of 28–35°C, and ave</w:t>
      </w:r>
      <w:r>
        <w:rPr>
          <w:rFonts w:ascii="Arial" w:hAnsi="Arial" w:cs="Arial"/>
          <w:sz w:val="24"/>
          <w:szCs w:val="24"/>
        </w:rPr>
        <w:t>rage relative humidity of up to 80%. Although semi-deciduous forests still make up the majority of the vegetation, agriculture and other human activities have changed it to include topsoil with a moderate humus composition.</w:t>
      </w:r>
    </w:p>
    <w:p w14:paraId="7268845B" w14:textId="77777777" w:rsidR="00B94E8C" w:rsidRDefault="00B94E8C">
      <w:pPr>
        <w:jc w:val="both"/>
        <w:rPr>
          <w:rFonts w:ascii="Arial" w:hAnsi="Arial" w:cs="Arial"/>
          <w:sz w:val="24"/>
          <w:szCs w:val="24"/>
        </w:rPr>
      </w:pPr>
    </w:p>
    <w:p w14:paraId="2EAA8D26" w14:textId="77777777" w:rsidR="00B94E8C" w:rsidRDefault="00AD1B3A">
      <w:pPr>
        <w:jc w:val="both"/>
        <w:rPr>
          <w:rFonts w:ascii="Arial" w:hAnsi="Arial" w:cs="Arial"/>
          <w:b/>
          <w:bCs/>
          <w:sz w:val="24"/>
          <w:szCs w:val="24"/>
          <w:lang w:eastAsia="zh-CN"/>
        </w:rPr>
      </w:pPr>
      <w:r>
        <w:rPr>
          <w:rFonts w:ascii="Arial" w:hAnsi="Arial" w:cs="Arial"/>
          <w:b/>
          <w:bCs/>
          <w:sz w:val="24"/>
          <w:szCs w:val="24"/>
        </w:rPr>
        <w:t>2.1 Sample collection and Exper</w:t>
      </w:r>
      <w:r>
        <w:rPr>
          <w:rFonts w:ascii="Arial" w:hAnsi="Arial" w:cs="Arial"/>
          <w:b/>
          <w:bCs/>
          <w:sz w:val="24"/>
          <w:szCs w:val="24"/>
        </w:rPr>
        <w:t>imental design</w:t>
      </w:r>
    </w:p>
    <w:p w14:paraId="5FF5A878" w14:textId="77777777" w:rsidR="00B94E8C" w:rsidRDefault="00AD1B3A">
      <w:pPr>
        <w:spacing w:line="360" w:lineRule="auto"/>
        <w:jc w:val="both"/>
        <w:rPr>
          <w:rFonts w:ascii="Arial" w:hAnsi="Arial" w:cs="Arial"/>
          <w:color w:val="000000" w:themeColor="text1"/>
          <w:sz w:val="24"/>
          <w:szCs w:val="24"/>
        </w:rPr>
      </w:pPr>
      <w:r>
        <w:rPr>
          <w:rFonts w:ascii="Arial" w:eastAsia="SimSun" w:hAnsi="Arial" w:cs="Arial"/>
          <w:color w:val="000000"/>
          <w:sz w:val="24"/>
          <w:szCs w:val="24"/>
          <w:lang w:eastAsia="zh-CN" w:bidi="ar"/>
        </w:rPr>
        <w:t xml:space="preserve">Soil samples were </w:t>
      </w:r>
      <w:proofErr w:type="spellStart"/>
      <w:r>
        <w:rPr>
          <w:rFonts w:ascii="Arial" w:eastAsia="SimSun" w:hAnsi="Arial" w:cs="Arial"/>
          <w:color w:val="000000"/>
          <w:sz w:val="24"/>
          <w:szCs w:val="24"/>
          <w:lang w:eastAsia="zh-CN" w:bidi="ar"/>
        </w:rPr>
        <w:t>were</w:t>
      </w:r>
      <w:proofErr w:type="spellEnd"/>
      <w:r>
        <w:rPr>
          <w:rFonts w:ascii="Arial" w:eastAsia="SimSun" w:hAnsi="Arial" w:cs="Arial"/>
          <w:color w:val="000000"/>
          <w:sz w:val="24"/>
          <w:szCs w:val="24"/>
          <w:lang w:eastAsia="zh-CN" w:bidi="ar"/>
        </w:rPr>
        <w:t xml:space="preserve"> collected with the aid of soil auger from a depth of 0-15cm and placed in a perforated bag. Every bag holds 10kg of sampled soil. In a randomized complete block design format, 0.25 kg of the organic amendments namely a</w:t>
      </w:r>
      <w:r>
        <w:rPr>
          <w:rFonts w:ascii="Arial" w:eastAsia="SimSun" w:hAnsi="Arial" w:cs="Arial"/>
          <w:color w:val="000000"/>
          <w:sz w:val="24"/>
          <w:szCs w:val="24"/>
          <w:lang w:eastAsia="zh-CN" w:bidi="ar"/>
        </w:rPr>
        <w:t>s</w:t>
      </w:r>
      <w:r>
        <w:rPr>
          <w:rFonts w:ascii="Arial" w:hAnsi="Arial" w:cs="Arial"/>
          <w:color w:val="000000" w:themeColor="text1"/>
          <w:sz w:val="24"/>
          <w:szCs w:val="24"/>
        </w:rPr>
        <w:t xml:space="preserve">, poultry droppings, goat droppings, cow dung and their combination were applied in three replicates to each bag. The combination </w:t>
      </w:r>
      <w:proofErr w:type="gramStart"/>
      <w:r>
        <w:rPr>
          <w:rFonts w:ascii="Arial" w:hAnsi="Arial" w:cs="Arial"/>
          <w:color w:val="000000" w:themeColor="text1"/>
          <w:sz w:val="24"/>
          <w:szCs w:val="24"/>
        </w:rPr>
        <w:t>were</w:t>
      </w:r>
      <w:proofErr w:type="gramEnd"/>
      <w:r>
        <w:rPr>
          <w:rFonts w:ascii="Arial" w:hAnsi="Arial" w:cs="Arial"/>
          <w:color w:val="000000" w:themeColor="text1"/>
          <w:sz w:val="24"/>
          <w:szCs w:val="24"/>
        </w:rPr>
        <w:t xml:space="preserve"> allowed to stay for one month before samples were taken for laboratory analyses.</w:t>
      </w:r>
    </w:p>
    <w:p w14:paraId="6E4CF03D" w14:textId="77777777" w:rsidR="00B94E8C" w:rsidRDefault="00AD1B3A">
      <w:pPr>
        <w:spacing w:line="360" w:lineRule="auto"/>
        <w:jc w:val="both"/>
        <w:rPr>
          <w:rFonts w:ascii="Arial" w:hAnsi="Arial" w:cs="Arial"/>
          <w:b/>
          <w:bCs/>
          <w:color w:val="000000" w:themeColor="text1"/>
          <w:sz w:val="24"/>
          <w:szCs w:val="24"/>
        </w:rPr>
      </w:pPr>
      <w:proofErr w:type="gramStart"/>
      <w:r>
        <w:rPr>
          <w:rFonts w:ascii="Arial" w:hAnsi="Arial" w:cs="Arial"/>
          <w:b/>
          <w:bCs/>
          <w:color w:val="000000" w:themeColor="text1"/>
          <w:sz w:val="24"/>
          <w:szCs w:val="24"/>
        </w:rPr>
        <w:t>2.2  Laboratory</w:t>
      </w:r>
      <w:proofErr w:type="gramEnd"/>
      <w:r>
        <w:rPr>
          <w:rFonts w:ascii="Arial" w:hAnsi="Arial" w:cs="Arial"/>
          <w:b/>
          <w:bCs/>
          <w:color w:val="000000" w:themeColor="text1"/>
          <w:sz w:val="24"/>
          <w:szCs w:val="24"/>
        </w:rPr>
        <w:t xml:space="preserve"> analyses</w:t>
      </w:r>
    </w:p>
    <w:p w14:paraId="18A93C8A" w14:textId="77777777" w:rsidR="00B94E8C" w:rsidRDefault="00AD1B3A">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2.2.1 Water St</w:t>
      </w:r>
      <w:r>
        <w:rPr>
          <w:rFonts w:ascii="Arial" w:hAnsi="Arial" w:cs="Arial"/>
          <w:b/>
          <w:color w:val="000000" w:themeColor="text1"/>
          <w:sz w:val="24"/>
          <w:szCs w:val="24"/>
        </w:rPr>
        <w:t>able aggregates determination</w:t>
      </w:r>
    </w:p>
    <w:p w14:paraId="2F842EA9" w14:textId="77777777" w:rsidR="00B94E8C" w:rsidRDefault="00AD1B3A">
      <w:pPr>
        <w:spacing w:line="360" w:lineRule="auto"/>
        <w:jc w:val="both"/>
        <w:rPr>
          <w:rFonts w:ascii="Arial" w:hAnsi="Arial" w:cs="Arial"/>
          <w:color w:val="000000" w:themeColor="text1"/>
          <w:sz w:val="24"/>
          <w:szCs w:val="24"/>
        </w:rPr>
      </w:pPr>
      <w:r>
        <w:rPr>
          <w:rFonts w:ascii="Arial" w:hAnsi="Arial" w:cs="Arial"/>
          <w:sz w:val="24"/>
          <w:szCs w:val="24"/>
        </w:rPr>
        <w:t>Using the method of (Kemper and Rosenau, 1986), 100g of soil samples were pre-wetted in distilled water and then poured into the uppermost nest of sieves of size 4.75, 2.00, 1.00, 0.50, and 0.25mm diameter respectively. Togeth</w:t>
      </w:r>
      <w:r>
        <w:rPr>
          <w:rFonts w:ascii="Arial" w:hAnsi="Arial" w:cs="Arial"/>
          <w:sz w:val="24"/>
          <w:szCs w:val="24"/>
        </w:rPr>
        <w:t>er with their samples, the packed sieves were submerged in water and oscillated vertically once every second for 30 cycles with an amplitude of 4 cm. During every oscillation, great care was taken to guarantee that the soil particles on the topmost sieve w</w:t>
      </w:r>
      <w:r>
        <w:rPr>
          <w:rFonts w:ascii="Arial" w:hAnsi="Arial" w:cs="Arial"/>
          <w:sz w:val="24"/>
          <w:szCs w:val="24"/>
        </w:rPr>
        <w:t>ere always below the water's surface. The aggregates that remained on each sieve after wet sieving were carefully moved into a moisture can, dried in an oven for 48 hours, and then weighed. </w:t>
      </w:r>
      <w:r>
        <w:rPr>
          <w:rFonts w:ascii="Arial" w:hAnsi="Arial" w:cs="Arial"/>
          <w:color w:val="000000" w:themeColor="text1"/>
          <w:sz w:val="24"/>
          <w:szCs w:val="24"/>
        </w:rPr>
        <w:t xml:space="preserve">Percent water-stable </w:t>
      </w:r>
      <w:proofErr w:type="gramStart"/>
      <w:r>
        <w:rPr>
          <w:rFonts w:ascii="Arial" w:hAnsi="Arial" w:cs="Arial"/>
          <w:color w:val="000000" w:themeColor="text1"/>
          <w:sz w:val="24"/>
          <w:szCs w:val="24"/>
        </w:rPr>
        <w:t>aggregates  (</w:t>
      </w:r>
      <w:proofErr w:type="gramEnd"/>
      <w:r>
        <w:rPr>
          <w:rFonts w:ascii="Arial" w:hAnsi="Arial" w:cs="Arial"/>
          <w:color w:val="000000" w:themeColor="text1"/>
          <w:sz w:val="24"/>
          <w:szCs w:val="24"/>
        </w:rPr>
        <w:t>WSA) = (Ma/Mt) ×100 …………</w:t>
      </w:r>
      <w:proofErr w:type="spellStart"/>
      <w:r>
        <w:rPr>
          <w:rFonts w:ascii="Arial" w:hAnsi="Arial" w:cs="Arial"/>
          <w:color w:val="000000" w:themeColor="text1"/>
          <w:sz w:val="24"/>
          <w:szCs w:val="24"/>
        </w:rPr>
        <w:t>Equ</w:t>
      </w:r>
      <w:proofErr w:type="spellEnd"/>
      <w:r>
        <w:rPr>
          <w:rFonts w:ascii="Arial" w:hAnsi="Arial" w:cs="Arial"/>
          <w:color w:val="000000" w:themeColor="text1"/>
          <w:sz w:val="24"/>
          <w:szCs w:val="24"/>
        </w:rPr>
        <w:t xml:space="preserve">. 1, </w:t>
      </w:r>
      <w:proofErr w:type="gramStart"/>
      <w:r>
        <w:rPr>
          <w:rFonts w:ascii="Arial" w:hAnsi="Arial" w:cs="Arial"/>
          <w:color w:val="000000" w:themeColor="text1"/>
          <w:sz w:val="24"/>
          <w:szCs w:val="24"/>
        </w:rPr>
        <w:t>where  Mt</w:t>
      </w:r>
      <w:proofErr w:type="gramEnd"/>
      <w:r>
        <w:rPr>
          <w:rFonts w:ascii="Arial" w:hAnsi="Arial" w:cs="Arial"/>
          <w:color w:val="000000" w:themeColor="text1"/>
          <w:sz w:val="24"/>
          <w:szCs w:val="24"/>
        </w:rPr>
        <w:t xml:space="preserve"> = total mass of the soil sieved (g) and  Ma</w:t>
      </w:r>
      <w:r>
        <w:rPr>
          <w:rFonts w:ascii="Arial" w:hAnsi="Arial" w:cs="Arial"/>
          <w:color w:val="000000" w:themeColor="text1"/>
          <w:sz w:val="24"/>
          <w:szCs w:val="24"/>
        </w:rPr>
        <w:softHyphen/>
      </w:r>
      <w:r>
        <w:rPr>
          <w:rFonts w:ascii="Arial" w:hAnsi="Arial" w:cs="Arial"/>
          <w:color w:val="000000" w:themeColor="text1"/>
          <w:sz w:val="24"/>
          <w:szCs w:val="24"/>
          <w:vertAlign w:val="subscript"/>
        </w:rPr>
        <w:t xml:space="preserve"> </w:t>
      </w:r>
      <w:r>
        <w:rPr>
          <w:rFonts w:ascii="Arial" w:hAnsi="Arial" w:cs="Arial"/>
          <w:color w:val="000000" w:themeColor="text1"/>
          <w:sz w:val="24"/>
          <w:szCs w:val="24"/>
        </w:rPr>
        <w:t>= Mass of resistant aggregate (g)</w:t>
      </w:r>
    </w:p>
    <w:p w14:paraId="7CFEC988" w14:textId="77777777" w:rsidR="00B94E8C" w:rsidRDefault="00AD1B3A">
      <w:pPr>
        <w:autoSpaceDE w:val="0"/>
        <w:autoSpaceDN w:val="0"/>
        <w:adjustRightInd w:val="0"/>
        <w:spacing w:line="360" w:lineRule="auto"/>
        <w:jc w:val="both"/>
        <w:rPr>
          <w:rFonts w:ascii="Arial" w:hAnsi="Arial" w:cs="Arial"/>
          <w:color w:val="231F20"/>
          <w:sz w:val="24"/>
          <w:szCs w:val="24"/>
        </w:rPr>
      </w:pPr>
      <w:r>
        <w:rPr>
          <w:rFonts w:ascii="Arial" w:hAnsi="Arial" w:cs="Arial"/>
          <w:b/>
          <w:sz w:val="24"/>
          <w:szCs w:val="24"/>
        </w:rPr>
        <w:t>2.2.2 Mean weight diameter (MWD)</w:t>
      </w:r>
      <w:r>
        <w:rPr>
          <w:rFonts w:ascii="Arial" w:hAnsi="Arial" w:cs="Arial"/>
          <w:sz w:val="24"/>
          <w:szCs w:val="24"/>
        </w:rPr>
        <w:t xml:space="preserve"> </w:t>
      </w:r>
      <w:r>
        <w:rPr>
          <w:rFonts w:ascii="Arial" w:hAnsi="Arial" w:cs="Arial"/>
          <w:color w:val="231F20"/>
          <w:sz w:val="24"/>
          <w:szCs w:val="24"/>
        </w:rPr>
        <w:t>of the water stable aggregates was calculated as (Kemper and Rosenau 1986) documented where MWD=</w:t>
      </w:r>
      <w:r>
        <w:rPr>
          <w:rFonts w:ascii="Arial" w:hAnsi="Arial" w:cs="Arial"/>
          <w:color w:val="231F20"/>
          <w:sz w:val="24"/>
          <w:szCs w:val="24"/>
        </w:rPr>
        <w:sym w:font="Symbol" w:char="F053"/>
      </w:r>
      <w:r>
        <w:rPr>
          <w:rFonts w:ascii="Arial" w:hAnsi="Arial" w:cs="Arial"/>
          <w:i/>
          <w:iCs/>
          <w:color w:val="231F20"/>
          <w:sz w:val="24"/>
          <w:szCs w:val="24"/>
        </w:rPr>
        <w:t xml:space="preserve">X </w:t>
      </w:r>
      <w:proofErr w:type="spellStart"/>
      <w:r>
        <w:rPr>
          <w:rFonts w:ascii="Arial" w:hAnsi="Arial" w:cs="Arial"/>
          <w:i/>
          <w:iCs/>
          <w:color w:val="231F20"/>
          <w:sz w:val="24"/>
          <w:szCs w:val="24"/>
        </w:rPr>
        <w:t>iWi</w:t>
      </w:r>
      <w:proofErr w:type="spellEnd"/>
      <w:r>
        <w:rPr>
          <w:rFonts w:ascii="Arial" w:hAnsi="Arial" w:cs="Arial"/>
          <w:i/>
          <w:iCs/>
          <w:color w:val="231F20"/>
          <w:sz w:val="24"/>
          <w:szCs w:val="24"/>
        </w:rPr>
        <w:t xml:space="preserve"> </w:t>
      </w:r>
      <w:r>
        <w:rPr>
          <w:rFonts w:ascii="Arial" w:hAnsi="Arial" w:cs="Arial"/>
          <w:color w:val="231F20"/>
          <w:sz w:val="24"/>
          <w:szCs w:val="24"/>
        </w:rPr>
        <w:t>…</w:t>
      </w:r>
      <w:proofErr w:type="spellStart"/>
      <w:r>
        <w:rPr>
          <w:rFonts w:ascii="Arial" w:hAnsi="Arial" w:cs="Arial"/>
          <w:color w:val="231F20"/>
          <w:sz w:val="24"/>
          <w:szCs w:val="24"/>
        </w:rPr>
        <w:t>Equ</w:t>
      </w:r>
      <w:proofErr w:type="spellEnd"/>
      <w:r>
        <w:rPr>
          <w:rFonts w:ascii="Arial" w:hAnsi="Arial" w:cs="Arial"/>
          <w:color w:val="231F20"/>
          <w:sz w:val="24"/>
          <w:szCs w:val="24"/>
        </w:rPr>
        <w:t xml:space="preserve">. 2. where: </w:t>
      </w:r>
      <w:r>
        <w:rPr>
          <w:rFonts w:ascii="Arial" w:hAnsi="Arial" w:cs="Arial"/>
          <w:i/>
          <w:iCs/>
          <w:color w:val="231F20"/>
          <w:sz w:val="24"/>
          <w:szCs w:val="24"/>
        </w:rPr>
        <w:t xml:space="preserve">Xi </w:t>
      </w:r>
      <w:r>
        <w:rPr>
          <w:rFonts w:ascii="Arial" w:hAnsi="Arial" w:cs="Arial"/>
          <w:color w:val="231F20"/>
          <w:sz w:val="24"/>
          <w:szCs w:val="24"/>
        </w:rPr>
        <w:t xml:space="preserve">is the mean </w:t>
      </w:r>
      <w:r>
        <w:rPr>
          <w:rFonts w:ascii="Arial" w:hAnsi="Arial" w:cs="Arial"/>
          <w:color w:val="231F20"/>
          <w:sz w:val="24"/>
          <w:szCs w:val="24"/>
        </w:rPr>
        <w:t xml:space="preserve">diameter of the </w:t>
      </w:r>
      <w:proofErr w:type="spellStart"/>
      <w:r>
        <w:rPr>
          <w:rFonts w:ascii="Arial" w:hAnsi="Arial" w:cs="Arial"/>
          <w:i/>
          <w:iCs/>
          <w:color w:val="231F20"/>
          <w:sz w:val="24"/>
          <w:szCs w:val="24"/>
        </w:rPr>
        <w:t>i</w:t>
      </w:r>
      <w:r>
        <w:rPr>
          <w:rFonts w:ascii="Arial" w:hAnsi="Arial" w:cs="Arial"/>
          <w:color w:val="231F20"/>
          <w:sz w:val="24"/>
          <w:szCs w:val="24"/>
        </w:rPr>
        <w:t>th</w:t>
      </w:r>
      <w:proofErr w:type="spellEnd"/>
      <w:r>
        <w:rPr>
          <w:rFonts w:ascii="Arial" w:hAnsi="Arial" w:cs="Arial"/>
          <w:color w:val="231F20"/>
          <w:sz w:val="24"/>
          <w:szCs w:val="24"/>
        </w:rPr>
        <w:t xml:space="preserve"> sieve size and </w:t>
      </w:r>
      <w:r>
        <w:rPr>
          <w:rFonts w:ascii="Arial" w:hAnsi="Arial" w:cs="Arial"/>
          <w:i/>
          <w:iCs/>
          <w:color w:val="231F20"/>
          <w:sz w:val="24"/>
          <w:szCs w:val="24"/>
        </w:rPr>
        <w:t xml:space="preserve">Wi </w:t>
      </w:r>
      <w:r>
        <w:rPr>
          <w:rFonts w:ascii="Arial" w:hAnsi="Arial" w:cs="Arial"/>
          <w:color w:val="231F20"/>
          <w:sz w:val="24"/>
          <w:szCs w:val="24"/>
        </w:rPr>
        <w:t xml:space="preserve">is the proportion of the total aggregates in the </w:t>
      </w:r>
      <w:proofErr w:type="spellStart"/>
      <w:r>
        <w:rPr>
          <w:rFonts w:ascii="Arial" w:hAnsi="Arial" w:cs="Arial"/>
          <w:color w:val="231F20"/>
          <w:sz w:val="24"/>
          <w:szCs w:val="24"/>
        </w:rPr>
        <w:t>i</w:t>
      </w:r>
      <w:proofErr w:type="spellEnd"/>
      <w:r>
        <w:rPr>
          <w:rFonts w:ascii="Arial" w:hAnsi="Arial" w:cs="Arial"/>
          <w:i/>
          <w:iCs/>
          <w:color w:val="231F20"/>
          <w:sz w:val="24"/>
          <w:szCs w:val="24"/>
        </w:rPr>
        <w:t xml:space="preserve"> </w:t>
      </w:r>
      <w:proofErr w:type="spellStart"/>
      <w:r>
        <w:rPr>
          <w:rFonts w:ascii="Arial" w:hAnsi="Arial" w:cs="Arial"/>
          <w:color w:val="231F20"/>
          <w:sz w:val="24"/>
          <w:szCs w:val="24"/>
        </w:rPr>
        <w:t>th</w:t>
      </w:r>
      <w:proofErr w:type="spellEnd"/>
      <w:r>
        <w:rPr>
          <w:rFonts w:ascii="Arial" w:hAnsi="Arial" w:cs="Arial"/>
          <w:color w:val="231F20"/>
          <w:sz w:val="24"/>
          <w:szCs w:val="24"/>
        </w:rPr>
        <w:t xml:space="preserve"> </w:t>
      </w:r>
      <w:r>
        <w:rPr>
          <w:rFonts w:ascii="Arial" w:hAnsi="Arial" w:cs="Arial"/>
          <w:color w:val="231F20"/>
          <w:sz w:val="24"/>
          <w:szCs w:val="24"/>
        </w:rPr>
        <w:lastRenderedPageBreak/>
        <w:t xml:space="preserve">fraction for water stable aggregates and dry aggregates stability analyses described </w:t>
      </w:r>
      <w:proofErr w:type="gramStart"/>
      <w:r>
        <w:rPr>
          <w:rFonts w:ascii="Arial" w:hAnsi="Arial" w:cs="Arial"/>
          <w:color w:val="231F20"/>
          <w:sz w:val="24"/>
          <w:szCs w:val="24"/>
        </w:rPr>
        <w:t>respectively  .</w:t>
      </w:r>
      <w:proofErr w:type="gramEnd"/>
      <w:r>
        <w:rPr>
          <w:rFonts w:ascii="Arial" w:hAnsi="Arial" w:cs="Arial"/>
          <w:color w:val="231F20"/>
          <w:sz w:val="24"/>
          <w:szCs w:val="24"/>
        </w:rPr>
        <w:t xml:space="preserve"> The higher the MWD values, the higher proportion of macro-aggre</w:t>
      </w:r>
      <w:r>
        <w:rPr>
          <w:rFonts w:ascii="Arial" w:hAnsi="Arial" w:cs="Arial"/>
          <w:color w:val="231F20"/>
          <w:sz w:val="24"/>
          <w:szCs w:val="24"/>
        </w:rPr>
        <w:t>gates in the sample and therefore better stability.</w:t>
      </w:r>
    </w:p>
    <w:p w14:paraId="558652D4" w14:textId="77777777" w:rsidR="00B94E8C" w:rsidRDefault="00AD1B3A">
      <w:pPr>
        <w:autoSpaceDE w:val="0"/>
        <w:autoSpaceDN w:val="0"/>
        <w:adjustRightInd w:val="0"/>
        <w:spacing w:line="360" w:lineRule="auto"/>
        <w:jc w:val="both"/>
        <w:rPr>
          <w:rFonts w:ascii="Arial" w:hAnsi="Arial" w:cs="Arial"/>
          <w:b/>
          <w:bCs/>
          <w:color w:val="231F20"/>
          <w:sz w:val="24"/>
          <w:szCs w:val="24"/>
        </w:rPr>
      </w:pPr>
      <w:r>
        <w:rPr>
          <w:rFonts w:ascii="Arial" w:hAnsi="Arial" w:cs="Arial"/>
          <w:b/>
          <w:bCs/>
          <w:color w:val="231F20"/>
          <w:sz w:val="24"/>
          <w:szCs w:val="24"/>
        </w:rPr>
        <w:t>2.2.3 Potential structural deformation index (PSDI)</w:t>
      </w:r>
    </w:p>
    <w:p w14:paraId="1D246290" w14:textId="77777777" w:rsidR="00B94E8C" w:rsidRDefault="00AD1B3A">
      <w:pPr>
        <w:jc w:val="both"/>
        <w:rPr>
          <w:rFonts w:ascii="Arial" w:eastAsia="SimSun" w:hAnsi="Arial" w:cs="Arial"/>
          <w:sz w:val="24"/>
          <w:szCs w:val="24"/>
        </w:rPr>
      </w:pPr>
      <w:r>
        <w:rPr>
          <w:rFonts w:ascii="Arial" w:hAnsi="Arial" w:cs="Arial"/>
          <w:sz w:val="24"/>
          <w:szCs w:val="24"/>
        </w:rPr>
        <w:t xml:space="preserve">The potential structural deformation index used to assess the susceptibility of the soils to disintegration as water touches the soil was </w:t>
      </w:r>
      <w:r>
        <w:rPr>
          <w:rFonts w:ascii="Arial" w:hAnsi="Arial" w:cs="Arial"/>
          <w:color w:val="231F20"/>
          <w:sz w:val="24"/>
          <w:szCs w:val="24"/>
        </w:rPr>
        <w:t>determined fol</w:t>
      </w:r>
      <w:r>
        <w:rPr>
          <w:rFonts w:ascii="Arial" w:hAnsi="Arial" w:cs="Arial"/>
          <w:color w:val="231F20"/>
          <w:sz w:val="24"/>
          <w:szCs w:val="24"/>
        </w:rPr>
        <w:t xml:space="preserve">lowing the method documented by Igwe and Nwokocha (2005) as </w:t>
      </w:r>
      <m:oMath>
        <m:r>
          <w:rPr>
            <w:rFonts w:ascii="Cambria Math" w:hAnsi="Cambria Math" w:cs="Arial"/>
            <w:sz w:val="24"/>
            <w:szCs w:val="24"/>
          </w:rPr>
          <m:t>PSDI</m:t>
        </m:r>
        <m:r>
          <w:rPr>
            <w:rFonts w:ascii="Cambria Math" w:hAnsi="Cambria Math" w:cs="Arial"/>
            <w:sz w:val="24"/>
            <w:szCs w:val="24"/>
          </w:rPr>
          <m:t xml:space="preserve"> ={1-</m:t>
        </m:r>
        <m:f>
          <m:fPr>
            <m:ctrlPr>
              <w:rPr>
                <w:rFonts w:ascii="Cambria Math" w:hAnsi="Cambria Math" w:cs="Arial"/>
                <w:i/>
                <w:sz w:val="24"/>
                <w:szCs w:val="24"/>
              </w:rPr>
            </m:ctrlPr>
          </m:fPr>
          <m:num>
            <m:r>
              <w:rPr>
                <w:rFonts w:ascii="Cambria Math" w:hAnsi="Cambria Math" w:cs="Arial"/>
                <w:sz w:val="24"/>
                <w:szCs w:val="24"/>
              </w:rPr>
              <m:t>MWDw</m:t>
            </m:r>
          </m:num>
          <m:den>
            <m:r>
              <w:rPr>
                <w:rFonts w:ascii="Cambria Math" w:hAnsi="Cambria Math" w:cs="Arial"/>
                <w:sz w:val="24"/>
                <w:szCs w:val="24"/>
              </w:rPr>
              <m:t>MWDd</m:t>
            </m:r>
          </m:den>
        </m:f>
        <m:r>
          <w:rPr>
            <w:rFonts w:ascii="Cambria Math" w:hAnsi="Cambria Math" w:cs="Arial"/>
            <w:sz w:val="24"/>
            <w:szCs w:val="24"/>
          </w:rPr>
          <m:t xml:space="preserve">  </m:t>
        </m:r>
        <m:r>
          <w:rPr>
            <w:rFonts w:ascii="Cambria Math" w:hAnsi="Cambria Math" w:cs="Arial"/>
            <w:sz w:val="24"/>
            <w:szCs w:val="24"/>
          </w:rPr>
          <m:t>x</m:t>
        </m:r>
        <m:r>
          <w:rPr>
            <w:rFonts w:ascii="Cambria Math" w:hAnsi="Cambria Math" w:cs="Arial"/>
            <w:sz w:val="24"/>
            <w:szCs w:val="24"/>
          </w:rPr>
          <m:t>100}</m:t>
        </m:r>
      </m:oMath>
      <w:r>
        <w:rPr>
          <w:rFonts w:ascii="Arial" w:hAnsi="Arial" w:cs="Arial"/>
          <w:sz w:val="24"/>
          <w:szCs w:val="24"/>
        </w:rPr>
        <w:t xml:space="preserve">  Equ</w:t>
      </w:r>
      <w:proofErr w:type="gramStart"/>
      <w:r>
        <w:rPr>
          <w:rFonts w:ascii="Arial" w:hAnsi="Arial" w:cs="Arial"/>
          <w:sz w:val="24"/>
          <w:szCs w:val="24"/>
        </w:rPr>
        <w:t>…..</w:t>
      </w:r>
      <w:proofErr w:type="gramEnd"/>
      <w:r>
        <w:rPr>
          <w:rFonts w:ascii="Arial" w:hAnsi="Arial" w:cs="Arial"/>
          <w:sz w:val="24"/>
          <w:szCs w:val="24"/>
        </w:rPr>
        <w:t>3.    Where MWDw= mean weight diamterwet sieving, MWDd= Mean weight diameter dry seiving.</w:t>
      </w:r>
    </w:p>
    <w:p w14:paraId="17E5F619" w14:textId="77777777" w:rsidR="00B94E8C" w:rsidRDefault="00B94E8C">
      <w:pPr>
        <w:jc w:val="both"/>
        <w:rPr>
          <w:rFonts w:ascii="Arial" w:hAnsi="Arial" w:cs="Arial"/>
        </w:rPr>
      </w:pPr>
    </w:p>
    <w:p w14:paraId="6C1ED101" w14:textId="77777777" w:rsidR="00B94E8C" w:rsidRDefault="00AD1B3A">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2.2.4 Degree of structural enhancement</w:t>
      </w:r>
    </w:p>
    <w:p w14:paraId="75450ED8" w14:textId="77777777" w:rsidR="00B94E8C" w:rsidRDefault="00AD1B3A">
      <w:pPr>
        <w:spacing w:line="360" w:lineRule="auto"/>
        <w:jc w:val="both"/>
        <w:rPr>
          <w:rFonts w:ascii="Arial" w:hAnsi="Arial" w:cs="Arial"/>
          <w:sz w:val="24"/>
          <w:szCs w:val="24"/>
        </w:rPr>
      </w:pPr>
      <w:r>
        <w:rPr>
          <w:rFonts w:ascii="Arial" w:eastAsia="SimSun" w:hAnsi="Arial" w:cs="Arial"/>
          <w:color w:val="000000"/>
          <w:sz w:val="24"/>
          <w:szCs w:val="24"/>
          <w:lang w:eastAsia="zh-CN" w:bidi="ar"/>
        </w:rPr>
        <w:t xml:space="preserve">The level of structural enhancement employed to assess improvements in soil structure resulting from treatments was determined using the formula </w:t>
      </w:r>
      <w:proofErr w:type="gramStart"/>
      <w:r>
        <w:rPr>
          <w:rFonts w:ascii="Arial" w:eastAsia="SimSun" w:hAnsi="Arial" w:cs="Arial"/>
          <w:color w:val="000000"/>
          <w:sz w:val="24"/>
          <w:szCs w:val="24"/>
          <w:lang w:eastAsia="zh-CN" w:bidi="ar"/>
        </w:rPr>
        <w:t>as  Chinedu</w:t>
      </w:r>
      <w:proofErr w:type="gramEnd"/>
      <w:r>
        <w:rPr>
          <w:rFonts w:ascii="Arial" w:eastAsia="SimSun" w:hAnsi="Arial" w:cs="Arial"/>
          <w:color w:val="000000"/>
          <w:sz w:val="24"/>
          <w:szCs w:val="24"/>
          <w:lang w:eastAsia="zh-CN" w:bidi="ar"/>
        </w:rPr>
        <w:t xml:space="preserve"> and Ahamefule (2012) documented.</w:t>
      </w:r>
    </w:p>
    <w:p w14:paraId="75575B7E" w14:textId="77777777" w:rsidR="00B94E8C" w:rsidRDefault="00AD1B3A">
      <w:pPr>
        <w:spacing w:line="360" w:lineRule="auto"/>
        <w:jc w:val="both"/>
        <w:rPr>
          <w:rFonts w:ascii="Arial" w:hAnsi="Arial" w:cs="Arial"/>
          <w:sz w:val="24"/>
          <w:szCs w:val="24"/>
        </w:rPr>
      </w:pPr>
      <w:r>
        <w:rPr>
          <w:rFonts w:ascii="Arial" w:eastAsia="SimSun" w:hAnsi="Arial" w:cs="Arial"/>
          <w:color w:val="000000"/>
          <w:sz w:val="24"/>
          <w:szCs w:val="24"/>
          <w:lang w:eastAsia="zh-CN" w:bidi="ar"/>
        </w:rPr>
        <w:t>DSE = 1 - (</w:t>
      </w:r>
      <w:proofErr w:type="spellStart"/>
      <w:r>
        <w:rPr>
          <w:rFonts w:ascii="Arial" w:eastAsia="SimSun" w:hAnsi="Arial" w:cs="Arial"/>
          <w:color w:val="000000"/>
          <w:sz w:val="24"/>
          <w:szCs w:val="24"/>
          <w:lang w:eastAsia="zh-CN" w:bidi="ar"/>
        </w:rPr>
        <w:t>MWDc</w:t>
      </w:r>
      <w:proofErr w:type="spellEnd"/>
      <w:r>
        <w:rPr>
          <w:rFonts w:ascii="Arial" w:eastAsia="SimSun" w:hAnsi="Arial" w:cs="Arial"/>
          <w:color w:val="000000"/>
          <w:sz w:val="24"/>
          <w:szCs w:val="24"/>
          <w:lang w:eastAsia="zh-CN" w:bidi="ar"/>
        </w:rPr>
        <w:t xml:space="preserve"> / </w:t>
      </w:r>
      <w:proofErr w:type="spellStart"/>
      <w:r>
        <w:rPr>
          <w:rFonts w:ascii="Arial" w:eastAsia="SimSun" w:hAnsi="Arial" w:cs="Arial"/>
          <w:color w:val="000000"/>
          <w:sz w:val="24"/>
          <w:szCs w:val="24"/>
          <w:lang w:eastAsia="zh-CN" w:bidi="ar"/>
        </w:rPr>
        <w:t>MWDt</w:t>
      </w:r>
      <w:proofErr w:type="spellEnd"/>
      <w:r>
        <w:rPr>
          <w:rFonts w:ascii="Arial" w:eastAsia="SimSun" w:hAnsi="Arial" w:cs="Arial"/>
          <w:color w:val="000000"/>
          <w:sz w:val="24"/>
          <w:szCs w:val="24"/>
          <w:lang w:eastAsia="zh-CN" w:bidi="ar"/>
        </w:rPr>
        <w:t xml:space="preserve">) × 100. </w:t>
      </w:r>
      <w:proofErr w:type="spellStart"/>
      <w:r>
        <w:rPr>
          <w:rFonts w:ascii="Arial" w:eastAsia="SimSun" w:hAnsi="Arial" w:cs="Arial"/>
          <w:color w:val="000000"/>
          <w:sz w:val="24"/>
          <w:szCs w:val="24"/>
          <w:lang w:eastAsia="zh-CN" w:bidi="ar"/>
        </w:rPr>
        <w:t>Equ</w:t>
      </w:r>
      <w:proofErr w:type="spellEnd"/>
      <w:r>
        <w:rPr>
          <w:rFonts w:ascii="Arial" w:eastAsia="SimSun" w:hAnsi="Arial" w:cs="Arial"/>
          <w:color w:val="000000"/>
          <w:sz w:val="24"/>
          <w:szCs w:val="24"/>
          <w:lang w:eastAsia="zh-CN" w:bidi="ar"/>
        </w:rPr>
        <w:t>….</w:t>
      </w:r>
      <w:r>
        <w:rPr>
          <w:rFonts w:ascii="Arial" w:eastAsia="SimSun" w:hAnsi="Arial" w:cs="Arial"/>
          <w:color w:val="000000"/>
          <w:sz w:val="24"/>
          <w:szCs w:val="24"/>
          <w:lang w:eastAsia="zh-CN"/>
        </w:rPr>
        <w:t>4</w:t>
      </w:r>
      <w:r>
        <w:rPr>
          <w:rFonts w:ascii="Arial" w:eastAsia="SimSun" w:hAnsi="Arial" w:cs="Arial"/>
          <w:color w:val="000000"/>
          <w:sz w:val="24"/>
          <w:szCs w:val="24"/>
          <w:lang w:eastAsia="zh-CN" w:bidi="ar"/>
        </w:rPr>
        <w:t xml:space="preserve"> Where </w:t>
      </w:r>
      <w:proofErr w:type="spellStart"/>
      <w:r>
        <w:rPr>
          <w:rFonts w:ascii="Arial" w:eastAsia="SimSun" w:hAnsi="Arial" w:cs="Arial"/>
          <w:color w:val="000000"/>
          <w:sz w:val="24"/>
          <w:szCs w:val="24"/>
          <w:lang w:eastAsia="zh-CN" w:bidi="ar"/>
        </w:rPr>
        <w:t>MWDc</w:t>
      </w:r>
      <w:proofErr w:type="spellEnd"/>
      <w:r>
        <w:rPr>
          <w:rFonts w:ascii="Arial" w:eastAsia="SimSun" w:hAnsi="Arial" w:cs="Arial"/>
          <w:color w:val="000000"/>
          <w:sz w:val="24"/>
          <w:szCs w:val="24"/>
          <w:lang w:eastAsia="zh-CN" w:bidi="ar"/>
        </w:rPr>
        <w:t xml:space="preserve"> represents the av</w:t>
      </w:r>
      <w:r>
        <w:rPr>
          <w:rFonts w:ascii="Arial" w:eastAsia="SimSun" w:hAnsi="Arial" w:cs="Arial"/>
          <w:color w:val="000000"/>
          <w:sz w:val="24"/>
          <w:szCs w:val="24"/>
          <w:lang w:eastAsia="zh-CN" w:bidi="ar"/>
        </w:rPr>
        <w:t xml:space="preserve">erage weight diameter for control and </w:t>
      </w:r>
      <w:proofErr w:type="spellStart"/>
      <w:r>
        <w:rPr>
          <w:rFonts w:ascii="Arial" w:eastAsia="SimSun" w:hAnsi="Arial" w:cs="Arial"/>
          <w:color w:val="000000"/>
          <w:sz w:val="24"/>
          <w:szCs w:val="24"/>
          <w:lang w:eastAsia="zh-CN" w:bidi="ar"/>
        </w:rPr>
        <w:t>MWDt</w:t>
      </w:r>
      <w:proofErr w:type="spellEnd"/>
      <w:r>
        <w:rPr>
          <w:rFonts w:ascii="Arial" w:eastAsia="SimSun" w:hAnsi="Arial" w:cs="Arial"/>
          <w:color w:val="000000"/>
          <w:sz w:val="24"/>
          <w:szCs w:val="24"/>
          <w:lang w:eastAsia="zh-CN" w:bidi="ar"/>
        </w:rPr>
        <w:t xml:space="preserve"> pertains to the treated soils. Positive values signify an input toward structural </w:t>
      </w:r>
      <w:proofErr w:type="spellStart"/>
      <w:proofErr w:type="gramStart"/>
      <w:r>
        <w:rPr>
          <w:rFonts w:ascii="Arial" w:eastAsia="SimSun" w:hAnsi="Arial" w:cs="Arial"/>
          <w:color w:val="000000"/>
          <w:sz w:val="24"/>
          <w:szCs w:val="24"/>
          <w:lang w:eastAsia="zh-CN" w:bidi="ar"/>
        </w:rPr>
        <w:t>improvements,while</w:t>
      </w:r>
      <w:proofErr w:type="spellEnd"/>
      <w:proofErr w:type="gramEnd"/>
      <w:r>
        <w:rPr>
          <w:rFonts w:ascii="Arial" w:eastAsia="SimSun" w:hAnsi="Arial" w:cs="Arial"/>
          <w:color w:val="000000"/>
          <w:sz w:val="24"/>
          <w:szCs w:val="24"/>
          <w:lang w:eastAsia="zh-CN" w:bidi="ar"/>
        </w:rPr>
        <w:t xml:space="preserve"> a negative value signifies a lack of contributions.</w:t>
      </w:r>
    </w:p>
    <w:p w14:paraId="335DE7B0" w14:textId="77777777" w:rsidR="00B94E8C" w:rsidRDefault="00AD1B3A">
      <w:pPr>
        <w:pStyle w:val="ListParagraph"/>
        <w:ind w:left="0"/>
        <w:jc w:val="both"/>
        <w:rPr>
          <w:rFonts w:ascii="Arial" w:eastAsiaTheme="minorEastAsia" w:hAnsi="Arial" w:cs="Arial"/>
          <w:color w:val="000000" w:themeColor="text1"/>
          <w:sz w:val="24"/>
          <w:szCs w:val="24"/>
        </w:rPr>
      </w:pPr>
      <w:r>
        <w:rPr>
          <w:rFonts w:ascii="Arial" w:hAnsi="Arial" w:cs="Arial"/>
          <w:color w:val="000000" w:themeColor="text1"/>
          <w:sz w:val="24"/>
          <w:szCs w:val="24"/>
        </w:rPr>
        <w:t>Particle size distribution was determined using hydrometer m</w:t>
      </w:r>
      <w:r>
        <w:rPr>
          <w:rFonts w:ascii="Arial" w:hAnsi="Arial" w:cs="Arial"/>
          <w:color w:val="000000" w:themeColor="text1"/>
          <w:sz w:val="24"/>
          <w:szCs w:val="24"/>
        </w:rPr>
        <w:t>ethod according to Gee and Or, (2002</w:t>
      </w:r>
      <w:r>
        <w:rPr>
          <w:rFonts w:ascii="Arial" w:hAnsi="Arial" w:cs="Arial"/>
          <w:color w:val="000000" w:themeColor="text1"/>
          <w:sz w:val="24"/>
          <w:szCs w:val="24"/>
        </w:rPr>
        <w:softHyphen/>
        <w:t xml:space="preserve">) </w:t>
      </w:r>
      <w:proofErr w:type="spellStart"/>
      <w:r>
        <w:rPr>
          <w:rFonts w:ascii="Arial" w:hAnsi="Arial" w:cs="Arial"/>
          <w:color w:val="000000" w:themeColor="text1"/>
          <w:sz w:val="24"/>
          <w:szCs w:val="24"/>
        </w:rPr>
        <w:t>mettod</w:t>
      </w:r>
      <w:proofErr w:type="spellEnd"/>
      <w:r>
        <w:rPr>
          <w:rFonts w:ascii="Arial" w:hAnsi="Arial" w:cs="Arial"/>
          <w:color w:val="000000" w:themeColor="text1"/>
          <w:sz w:val="24"/>
          <w:szCs w:val="24"/>
        </w:rPr>
        <w:t xml:space="preserve">. Bulk density was determined using core method as described by Blake and </w:t>
      </w:r>
      <w:proofErr w:type="gramStart"/>
      <w:r>
        <w:rPr>
          <w:rFonts w:ascii="Arial" w:hAnsi="Arial" w:cs="Arial"/>
          <w:color w:val="000000" w:themeColor="text1"/>
          <w:sz w:val="24"/>
          <w:szCs w:val="24"/>
        </w:rPr>
        <w:t>Hartge(</w:t>
      </w:r>
      <w:proofErr w:type="gramEnd"/>
      <w:r>
        <w:rPr>
          <w:rFonts w:ascii="Arial" w:hAnsi="Arial" w:cs="Arial"/>
          <w:color w:val="000000" w:themeColor="text1"/>
          <w:sz w:val="24"/>
          <w:szCs w:val="24"/>
        </w:rPr>
        <w:t xml:space="preserve">1986). Moisture content was determined by the </w:t>
      </w:r>
      <w:proofErr w:type="gramStart"/>
      <w:r>
        <w:rPr>
          <w:rFonts w:ascii="Arial" w:hAnsi="Arial" w:cs="Arial"/>
          <w:color w:val="000000" w:themeColor="text1"/>
          <w:sz w:val="24"/>
          <w:szCs w:val="24"/>
        </w:rPr>
        <w:t>method  of</w:t>
      </w:r>
      <w:proofErr w:type="gramEnd"/>
      <w:r>
        <w:rPr>
          <w:rFonts w:ascii="Arial" w:hAnsi="Arial" w:cs="Arial"/>
          <w:color w:val="000000" w:themeColor="text1"/>
          <w:sz w:val="24"/>
          <w:szCs w:val="24"/>
        </w:rPr>
        <w:t xml:space="preserve"> Landon (1991). Total porosity was </w:t>
      </w:r>
      <w:proofErr w:type="gramStart"/>
      <w:r>
        <w:rPr>
          <w:rFonts w:ascii="Arial" w:hAnsi="Arial" w:cs="Arial"/>
          <w:color w:val="000000" w:themeColor="text1"/>
          <w:sz w:val="24"/>
          <w:szCs w:val="24"/>
        </w:rPr>
        <w:t>calculated  as</w:t>
      </w:r>
      <w:proofErr w:type="gramEnd"/>
      <w:r>
        <w:rPr>
          <w:rFonts w:ascii="Arial" w:hAnsi="Arial" w:cs="Arial"/>
          <w:color w:val="000000" w:themeColor="text1"/>
          <w:sz w:val="24"/>
          <w:szCs w:val="24"/>
        </w:rPr>
        <w:t xml:space="preserve"> </w:t>
      </w:r>
      <w:r>
        <w:rPr>
          <w:rFonts w:ascii="Arial" w:eastAsiaTheme="minorEastAsia" w:hAnsi="Arial" w:cs="Arial"/>
          <w:color w:val="000000" w:themeColor="text1"/>
          <w:sz w:val="24"/>
          <w:szCs w:val="24"/>
        </w:rPr>
        <w:t>Landon (1991) documented</w:t>
      </w:r>
      <w:r>
        <w:rPr>
          <w:rFonts w:ascii="Arial" w:hAnsi="Arial" w:cs="Arial"/>
          <w:color w:val="000000" w:themeColor="text1"/>
          <w:sz w:val="24"/>
          <w:szCs w:val="24"/>
        </w:rPr>
        <w:t xml:space="preserve">  using the formular   </w:t>
      </w:r>
      <m:oMath>
        <m:r>
          <m:rPr>
            <m:nor/>
          </m:rPr>
          <w:rPr>
            <w:rFonts w:ascii="Cambria Math" w:hAnsi="Cambria Math" w:cs="Arial"/>
            <w:color w:val="000000" w:themeColor="text1"/>
            <w:sz w:val="24"/>
            <w:szCs w:val="24"/>
          </w:rPr>
          <m:t>1-</m:t>
        </m:r>
        <m:f>
          <m:fPr>
            <m:ctrlPr>
              <w:rPr>
                <w:rFonts w:ascii="Cambria Math" w:hAnsi="Cambria Math" w:cs="Arial"/>
                <w:i/>
                <w:color w:val="000000" w:themeColor="text1"/>
                <w:sz w:val="24"/>
                <w:szCs w:val="24"/>
              </w:rPr>
            </m:ctrlPr>
          </m:fPr>
          <m:num>
            <m:r>
              <m:rPr>
                <m:nor/>
              </m:rPr>
              <w:rPr>
                <w:rFonts w:ascii="Cambria Math" w:hAnsi="Cambria Math" w:cs="Arial"/>
                <w:i/>
                <w:color w:val="000000" w:themeColor="text1"/>
                <w:sz w:val="24"/>
                <w:szCs w:val="24"/>
              </w:rPr>
              <m:t>pb</m:t>
            </m:r>
          </m:num>
          <m:den>
            <m:r>
              <m:rPr>
                <m:nor/>
              </m:rPr>
              <w:rPr>
                <w:rFonts w:ascii="Cambria Math" w:hAnsi="Cambria Math" w:cs="Arial"/>
                <w:i/>
                <w:color w:val="000000" w:themeColor="text1"/>
                <w:sz w:val="24"/>
                <w:szCs w:val="24"/>
              </w:rPr>
              <m:t>ps</m:t>
            </m:r>
          </m:den>
        </m:f>
      </m:oMath>
      <w:r>
        <w:rPr>
          <w:rFonts w:ascii="Arial" w:eastAsiaTheme="minorEastAsia" w:hAnsi="Arial" w:cs="Arial"/>
          <w:color w:val="000000" w:themeColor="text1"/>
          <w:sz w:val="24"/>
          <w:szCs w:val="24"/>
        </w:rPr>
        <w:t xml:space="preserve"> ×100………</w:t>
      </w:r>
      <w:proofErr w:type="spellStart"/>
      <w:r>
        <w:rPr>
          <w:rFonts w:ascii="Arial" w:eastAsiaTheme="minorEastAsia" w:hAnsi="Arial" w:cs="Arial"/>
          <w:color w:val="000000" w:themeColor="text1"/>
          <w:sz w:val="24"/>
          <w:szCs w:val="24"/>
        </w:rPr>
        <w:t>Equ</w:t>
      </w:r>
      <w:proofErr w:type="spellEnd"/>
      <w:r>
        <w:rPr>
          <w:rFonts w:ascii="Arial" w:eastAsiaTheme="minorEastAsia" w:hAnsi="Arial" w:cs="Arial"/>
          <w:color w:val="000000" w:themeColor="text1"/>
          <w:sz w:val="24"/>
          <w:szCs w:val="24"/>
        </w:rPr>
        <w:t xml:space="preserve">. 4 </w:t>
      </w:r>
      <w:r>
        <w:rPr>
          <w:rFonts w:ascii="Arial" w:eastAsiaTheme="minorEastAsia" w:hAnsi="Arial" w:cs="Arial"/>
          <w:color w:val="000000" w:themeColor="text1"/>
          <w:sz w:val="24"/>
          <w:szCs w:val="24"/>
        </w:rPr>
        <w:tab/>
      </w:r>
      <w:proofErr w:type="spellStart"/>
      <w:r>
        <w:rPr>
          <w:rFonts w:ascii="Arial" w:eastAsiaTheme="minorEastAsia" w:hAnsi="Arial" w:cs="Arial"/>
          <w:color w:val="000000" w:themeColor="text1"/>
          <w:sz w:val="24"/>
          <w:szCs w:val="24"/>
        </w:rPr>
        <w:t>where</w:t>
      </w:r>
      <m:oMath>
        <m:r>
          <m:rPr>
            <m:nor/>
          </m:rPr>
          <w:rPr>
            <w:rFonts w:ascii="Cambria Math" w:hAnsi="Cambria Math" w:cs="Arial"/>
            <w:i/>
            <w:color w:val="000000" w:themeColor="text1"/>
            <w:sz w:val="24"/>
            <w:szCs w:val="24"/>
          </w:rPr>
          <m:t>pb</m:t>
        </m:r>
      </m:oMath>
      <w:proofErr w:type="spellEnd"/>
      <w:r>
        <w:rPr>
          <w:rFonts w:ascii="Arial" w:hAnsi="Arial" w:cs="Arial"/>
          <w:color w:val="000000" w:themeColor="text1"/>
          <w:sz w:val="24"/>
          <w:szCs w:val="24"/>
        </w:rPr>
        <w:t xml:space="preserve">= Bulk </w:t>
      </w:r>
      <w:proofErr w:type="spellStart"/>
      <w:proofErr w:type="gramStart"/>
      <w:r>
        <w:rPr>
          <w:rFonts w:ascii="Arial" w:hAnsi="Arial" w:cs="Arial"/>
          <w:color w:val="000000" w:themeColor="text1"/>
          <w:sz w:val="24"/>
          <w:szCs w:val="24"/>
        </w:rPr>
        <w:t>density,</w:t>
      </w:r>
      <m:oMath>
        <m:r>
          <m:rPr>
            <m:nor/>
          </m:rPr>
          <w:rPr>
            <w:rFonts w:ascii="Cambria Math" w:hAnsi="Cambria Math" w:cs="Arial"/>
            <w:i/>
            <w:color w:val="000000" w:themeColor="text1"/>
            <w:sz w:val="24"/>
            <w:szCs w:val="24"/>
          </w:rPr>
          <m:t>ps</m:t>
        </m:r>
      </m:oMath>
      <w:proofErr w:type="spellEnd"/>
      <w:proofErr w:type="gramEnd"/>
      <w:r>
        <w:rPr>
          <w:rFonts w:ascii="Arial" w:hAnsi="Arial" w:cs="Arial"/>
          <w:color w:val="000000" w:themeColor="text1"/>
          <w:sz w:val="24"/>
          <w:szCs w:val="24"/>
        </w:rPr>
        <w:t xml:space="preserve">=particle </w:t>
      </w:r>
      <w:proofErr w:type="spellStart"/>
      <w:r>
        <w:rPr>
          <w:rFonts w:ascii="Arial" w:hAnsi="Arial" w:cs="Arial"/>
          <w:color w:val="000000" w:themeColor="text1"/>
          <w:sz w:val="24"/>
          <w:szCs w:val="24"/>
        </w:rPr>
        <w:t>desnity</w:t>
      </w:r>
      <w:proofErr w:type="spellEnd"/>
      <w:r>
        <w:rPr>
          <w:rFonts w:ascii="Arial" w:hAnsi="Arial" w:cs="Arial"/>
          <w:color w:val="000000" w:themeColor="text1"/>
          <w:sz w:val="24"/>
          <w:szCs w:val="24"/>
        </w:rPr>
        <w:t xml:space="preserve"> value of 2.654 mgm</w:t>
      </w:r>
      <w:r>
        <w:rPr>
          <w:rFonts w:ascii="Arial" w:hAnsi="Arial" w:cs="Arial"/>
          <w:color w:val="000000" w:themeColor="text1"/>
          <w:sz w:val="24"/>
          <w:szCs w:val="24"/>
          <w:vertAlign w:val="superscript"/>
        </w:rPr>
        <w:t>-3</w:t>
      </w:r>
    </w:p>
    <w:p w14:paraId="348E089B" w14:textId="77777777" w:rsidR="00B94E8C" w:rsidRDefault="00B94E8C">
      <w:pPr>
        <w:pStyle w:val="ListParagraph"/>
        <w:ind w:left="360"/>
        <w:jc w:val="both"/>
        <w:rPr>
          <w:rFonts w:ascii="Arial" w:hAnsi="Arial" w:cs="Arial"/>
          <w:b/>
          <w:bCs/>
          <w:color w:val="000000" w:themeColor="text1"/>
          <w:sz w:val="24"/>
          <w:szCs w:val="24"/>
        </w:rPr>
      </w:pPr>
    </w:p>
    <w:p w14:paraId="47ECE897" w14:textId="77777777" w:rsidR="00B94E8C" w:rsidRDefault="00AD1B3A">
      <w:pPr>
        <w:pStyle w:val="ListParagraph"/>
        <w:ind w:left="0"/>
        <w:jc w:val="both"/>
        <w:rPr>
          <w:rFonts w:ascii="Arial" w:hAnsi="Arial" w:cs="Arial"/>
          <w:b/>
          <w:bCs/>
          <w:color w:val="000000" w:themeColor="text1"/>
          <w:sz w:val="24"/>
          <w:szCs w:val="24"/>
        </w:rPr>
      </w:pPr>
      <w:r>
        <w:rPr>
          <w:rFonts w:ascii="Arial" w:hAnsi="Arial" w:cs="Arial"/>
          <w:b/>
          <w:bCs/>
          <w:color w:val="000000" w:themeColor="text1"/>
          <w:sz w:val="24"/>
          <w:szCs w:val="24"/>
        </w:rPr>
        <w:t>2.3 Chemical properties</w:t>
      </w:r>
    </w:p>
    <w:p w14:paraId="66A3D13B" w14:textId="77777777" w:rsidR="00B94E8C" w:rsidRDefault="00AD1B3A">
      <w:pPr>
        <w:pStyle w:val="ListParagraph"/>
        <w:ind w:left="0"/>
        <w:jc w:val="both"/>
        <w:rPr>
          <w:rFonts w:ascii="Arial" w:hAnsi="Arial" w:cs="Arial"/>
          <w:b/>
          <w:color w:val="000000" w:themeColor="text1"/>
          <w:sz w:val="24"/>
          <w:szCs w:val="24"/>
        </w:rPr>
      </w:pPr>
      <w:r>
        <w:rPr>
          <w:rFonts w:ascii="Arial" w:hAnsi="Arial" w:cs="Arial"/>
          <w:color w:val="000000" w:themeColor="text1"/>
          <w:sz w:val="24"/>
          <w:szCs w:val="24"/>
        </w:rPr>
        <w:t>Soil pH was determined using 1: 2.5 s</w:t>
      </w:r>
      <w:r>
        <w:rPr>
          <w:rFonts w:ascii="Arial" w:hAnsi="Arial" w:cs="Arial"/>
          <w:sz w:val="24"/>
          <w:szCs w:val="24"/>
        </w:rPr>
        <w:t xml:space="preserve">oil/water in water (Hendershot et al.,1993). The Walkey &amp; Black wet oxidation method was used to analyze the organic carbon in the soil (Nelson and Sommers, 1982). The modified </w:t>
      </w:r>
      <w:proofErr w:type="spellStart"/>
      <w:r>
        <w:rPr>
          <w:rFonts w:ascii="Arial" w:hAnsi="Arial" w:cs="Arial"/>
          <w:sz w:val="24"/>
          <w:szCs w:val="24"/>
        </w:rPr>
        <w:t>Kjeldhal</w:t>
      </w:r>
      <w:proofErr w:type="spellEnd"/>
      <w:r>
        <w:rPr>
          <w:rFonts w:ascii="Arial" w:hAnsi="Arial" w:cs="Arial"/>
          <w:sz w:val="24"/>
          <w:szCs w:val="24"/>
        </w:rPr>
        <w:t xml:space="preserve"> method was used to calculate total nitrogen in accordance with Bremner</w:t>
      </w:r>
      <w:r>
        <w:rPr>
          <w:rFonts w:ascii="Arial" w:hAnsi="Arial" w:cs="Arial"/>
          <w:sz w:val="24"/>
          <w:szCs w:val="24"/>
        </w:rPr>
        <w:t xml:space="preserve"> &amp; Mulvaney's (1982) protocols. The Bray 11 method was used to determine the amount of phosphorus that was available (Olsen &amp; Sommers, 1982). Exchangeable bases were identified and described by Thomas (1982). The summation method of total exchangeable base</w:t>
      </w:r>
      <w:r>
        <w:rPr>
          <w:rFonts w:ascii="Arial" w:hAnsi="Arial" w:cs="Arial"/>
          <w:sz w:val="24"/>
          <w:szCs w:val="24"/>
        </w:rPr>
        <w:t>s and acids was used to calculate the effective cation exchange capacity (Brady and Weil 2017).</w:t>
      </w:r>
    </w:p>
    <w:p w14:paraId="359E9F3F" w14:textId="77777777" w:rsidR="00B94E8C" w:rsidRDefault="00AD1B3A">
      <w:pPr>
        <w:spacing w:before="240" w:line="36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2.4 Data analyses.</w:t>
      </w:r>
    </w:p>
    <w:p w14:paraId="2150136C" w14:textId="77777777" w:rsidR="00B94E8C" w:rsidRDefault="00AD1B3A">
      <w:pPr>
        <w:spacing w:before="240" w:line="360" w:lineRule="auto"/>
        <w:jc w:val="both"/>
        <w:rPr>
          <w:rFonts w:ascii="Arial" w:hAnsi="Arial" w:cs="Arial"/>
          <w:color w:val="000000" w:themeColor="text1"/>
          <w:sz w:val="24"/>
          <w:szCs w:val="24"/>
        </w:rPr>
      </w:pPr>
      <w:r>
        <w:rPr>
          <w:rFonts w:ascii="Arial" w:hAnsi="Arial" w:cs="Arial"/>
          <w:color w:val="000000" w:themeColor="text1"/>
          <w:sz w:val="24"/>
          <w:szCs w:val="24"/>
        </w:rPr>
        <w:t>Generated data were analyzed using analyses of variance (ANOVA). Significant means were separated using least significant difference at 5% pr</w:t>
      </w:r>
      <w:r>
        <w:rPr>
          <w:rFonts w:ascii="Arial" w:hAnsi="Arial" w:cs="Arial"/>
          <w:color w:val="000000" w:themeColor="text1"/>
          <w:sz w:val="24"/>
          <w:szCs w:val="24"/>
        </w:rPr>
        <w:t>obability level.</w:t>
      </w:r>
      <w:r>
        <w:rPr>
          <w:rFonts w:ascii="Arial" w:hAnsi="Arial" w:cs="Arial"/>
          <w:color w:val="000000" w:themeColor="text1"/>
          <w:sz w:val="24"/>
          <w:szCs w:val="24"/>
        </w:rPr>
        <w:br w:type="page"/>
      </w:r>
    </w:p>
    <w:p w14:paraId="1805E06B" w14:textId="77777777" w:rsidR="00B94E8C" w:rsidRDefault="00AD1B3A">
      <w:pPr>
        <w:spacing w:before="240" w:line="360" w:lineRule="auto"/>
        <w:jc w:val="both"/>
        <w:rPr>
          <w:rFonts w:ascii="Arial" w:hAnsi="Arial" w:cs="Arial"/>
          <w:b/>
          <w:color w:val="000000" w:themeColor="text1"/>
          <w:sz w:val="24"/>
          <w:szCs w:val="24"/>
        </w:rPr>
      </w:pPr>
      <w:r>
        <w:rPr>
          <w:rFonts w:ascii="Arial" w:hAnsi="Arial" w:cs="Arial"/>
          <w:color w:val="000000" w:themeColor="text1"/>
          <w:sz w:val="24"/>
          <w:szCs w:val="24"/>
        </w:rPr>
        <w:lastRenderedPageBreak/>
        <w:t xml:space="preserve">Correlation and regression analysis among selected soil properties and structural indexes were analyzed with (SAS, 2016). </w:t>
      </w:r>
    </w:p>
    <w:p w14:paraId="347F159B" w14:textId="77777777" w:rsidR="00B94E8C" w:rsidRDefault="00B94E8C">
      <w:pPr>
        <w:pStyle w:val="Body"/>
        <w:spacing w:after="0"/>
        <w:rPr>
          <w:rFonts w:ascii="Arial" w:hAnsi="Arial" w:cs="Arial"/>
        </w:rPr>
      </w:pPr>
    </w:p>
    <w:p w14:paraId="0A6C9FA6" w14:textId="77777777" w:rsidR="00B94E8C" w:rsidRDefault="00AD1B3A">
      <w:pPr>
        <w:pStyle w:val="Head1"/>
        <w:spacing w:after="0"/>
        <w:jc w:val="both"/>
        <w:rPr>
          <w:rFonts w:ascii="Arial" w:hAnsi="Arial" w:cs="Arial"/>
        </w:rPr>
      </w:pPr>
      <w:r>
        <w:rPr>
          <w:rFonts w:ascii="Arial" w:hAnsi="Arial" w:cs="Arial"/>
        </w:rPr>
        <w:t>3. results and discussion</w:t>
      </w:r>
    </w:p>
    <w:p w14:paraId="04354999" w14:textId="77777777" w:rsidR="00B94E8C" w:rsidRDefault="00B94E8C">
      <w:pPr>
        <w:pStyle w:val="Head1"/>
        <w:spacing w:after="0"/>
        <w:jc w:val="both"/>
        <w:rPr>
          <w:rFonts w:ascii="Arial" w:hAnsi="Arial" w:cs="Arial"/>
        </w:rPr>
      </w:pPr>
    </w:p>
    <w:p w14:paraId="0B551F18" w14:textId="77777777" w:rsidR="00B94E8C" w:rsidRDefault="00AD1B3A">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4.1: Selected physical and chemical properties of studied soil</w:t>
      </w:r>
    </w:p>
    <w:p w14:paraId="5B968B26" w14:textId="77777777" w:rsidR="00B94E8C" w:rsidRDefault="00AD1B3A">
      <w:pPr>
        <w:spacing w:line="360" w:lineRule="auto"/>
        <w:jc w:val="both"/>
        <w:rPr>
          <w:rFonts w:ascii="Arial" w:hAnsi="Arial" w:cs="Arial"/>
          <w:color w:val="000000" w:themeColor="text1"/>
          <w:sz w:val="24"/>
          <w:szCs w:val="24"/>
        </w:rPr>
      </w:pPr>
      <w:r>
        <w:rPr>
          <w:rFonts w:ascii="Arial" w:hAnsi="Arial" w:cs="Arial"/>
          <w:sz w:val="24"/>
          <w:szCs w:val="24"/>
        </w:rPr>
        <w:t>The results in Table 1 i</w:t>
      </w:r>
      <w:r>
        <w:rPr>
          <w:rFonts w:ascii="Arial" w:hAnsi="Arial" w:cs="Arial"/>
          <w:sz w:val="24"/>
          <w:szCs w:val="24"/>
        </w:rPr>
        <w:t>ndicate that the soils across all treatments were dominantly sandy, with sand contents ranging from 852.28 to 909.61 g kg⁻¹. Silt and clay fractions were comparatively low, a characteristic feature of soils in southeastern Nigeria developed on coastal plai</w:t>
      </w:r>
      <w:r>
        <w:rPr>
          <w:rFonts w:ascii="Arial" w:hAnsi="Arial" w:cs="Arial"/>
          <w:sz w:val="24"/>
          <w:szCs w:val="24"/>
        </w:rPr>
        <w:t>n sands and sandstone formations (</w:t>
      </w:r>
      <w:proofErr w:type="spellStart"/>
      <w:r>
        <w:rPr>
          <w:rFonts w:ascii="Arial" w:hAnsi="Arial" w:cs="Arial"/>
          <w:sz w:val="24"/>
          <w:szCs w:val="24"/>
        </w:rPr>
        <w:t>Ojanuga</w:t>
      </w:r>
      <w:proofErr w:type="spellEnd"/>
      <w:r>
        <w:rPr>
          <w:rFonts w:ascii="Arial" w:hAnsi="Arial" w:cs="Arial"/>
          <w:sz w:val="24"/>
          <w:szCs w:val="24"/>
        </w:rPr>
        <w:t xml:space="preserve">, 2006; </w:t>
      </w:r>
      <w:proofErr w:type="spellStart"/>
      <w:r>
        <w:rPr>
          <w:rFonts w:ascii="Arial" w:hAnsi="Arial" w:cs="Arial"/>
          <w:sz w:val="24"/>
          <w:szCs w:val="24"/>
        </w:rPr>
        <w:t>Nwite</w:t>
      </w:r>
      <w:proofErr w:type="spellEnd"/>
      <w:r>
        <w:rPr>
          <w:rFonts w:ascii="Arial" w:hAnsi="Arial" w:cs="Arial"/>
          <w:sz w:val="24"/>
          <w:szCs w:val="24"/>
        </w:rPr>
        <w:t xml:space="preserve"> et al., 2016). The dominance of sand explains the generally low clay contents and the narrow variation in silt/clay (S/C) ratios among treatments. All soils were classified predominantly as </w:t>
      </w:r>
      <w:r>
        <w:rPr>
          <w:rStyle w:val="Strong"/>
          <w:rFonts w:ascii="Arial" w:hAnsi="Arial" w:cs="Arial"/>
          <w:b w:val="0"/>
          <w:bCs w:val="0"/>
          <w:sz w:val="24"/>
          <w:szCs w:val="24"/>
        </w:rPr>
        <w:t>loamy sand</w:t>
      </w:r>
      <w:r>
        <w:rPr>
          <w:rFonts w:ascii="Arial" w:hAnsi="Arial" w:cs="Arial"/>
          <w:sz w:val="24"/>
          <w:szCs w:val="24"/>
        </w:rPr>
        <w:t xml:space="preserve">, except the mixture of amendments which was classified as </w:t>
      </w:r>
      <w:r>
        <w:rPr>
          <w:rStyle w:val="Strong"/>
          <w:rFonts w:ascii="Arial" w:hAnsi="Arial" w:cs="Arial"/>
          <w:b w:val="0"/>
          <w:bCs w:val="0"/>
          <w:sz w:val="24"/>
          <w:szCs w:val="24"/>
        </w:rPr>
        <w:t>sand</w:t>
      </w:r>
      <w:r>
        <w:rPr>
          <w:rFonts w:ascii="Arial" w:hAnsi="Arial" w:cs="Arial"/>
          <w:sz w:val="24"/>
          <w:szCs w:val="24"/>
        </w:rPr>
        <w:t>. Such coarse-textured soils are inherently prone to rapid drainage, low nutrient retention, weak aggregation, and high susceptibility to erosion, especially under intense tropical rainfall (Br</w:t>
      </w:r>
      <w:r>
        <w:rPr>
          <w:rFonts w:ascii="Arial" w:hAnsi="Arial" w:cs="Arial"/>
          <w:sz w:val="24"/>
          <w:szCs w:val="24"/>
        </w:rPr>
        <w:t>ady &amp; Weil, 2017</w:t>
      </w:r>
      <w:proofErr w:type="gramStart"/>
      <w:r>
        <w:rPr>
          <w:rFonts w:ascii="Arial" w:hAnsi="Arial" w:cs="Arial"/>
          <w:sz w:val="24"/>
          <w:szCs w:val="24"/>
        </w:rPr>
        <w:t>).</w:t>
      </w:r>
      <w:r>
        <w:rPr>
          <w:rFonts w:ascii="Arial" w:eastAsia="EPDYGGå¼«TimesNewRoman" w:hAnsi="Arial" w:cs="Arial"/>
          <w:color w:val="000000" w:themeColor="text1"/>
          <w:sz w:val="24"/>
          <w:szCs w:val="24"/>
        </w:rPr>
        <w:t>Values</w:t>
      </w:r>
      <w:proofErr w:type="gramEnd"/>
      <w:r>
        <w:rPr>
          <w:rFonts w:ascii="Arial" w:eastAsia="EPDYGGå¼«TimesNewRoman" w:hAnsi="Arial" w:cs="Arial"/>
          <w:color w:val="000000" w:themeColor="text1"/>
          <w:sz w:val="24"/>
          <w:szCs w:val="24"/>
        </w:rPr>
        <w:t xml:space="preserve"> of silt fraction indicated high degree of weathering. </w:t>
      </w:r>
      <w:proofErr w:type="spellStart"/>
      <w:proofErr w:type="gramStart"/>
      <w:r>
        <w:rPr>
          <w:rFonts w:ascii="Arial" w:eastAsia="TimesNewRomanPSMT" w:hAnsi="Arial" w:cs="Arial"/>
          <w:color w:val="000000" w:themeColor="text1"/>
          <w:sz w:val="24"/>
          <w:szCs w:val="24"/>
        </w:rPr>
        <w:t>Agim,etal</w:t>
      </w:r>
      <w:proofErr w:type="spellEnd"/>
      <w:proofErr w:type="gramEnd"/>
      <w:r>
        <w:rPr>
          <w:rFonts w:ascii="Arial" w:eastAsia="TimesNewRomanPSMT" w:hAnsi="Arial" w:cs="Arial"/>
          <w:color w:val="000000" w:themeColor="text1"/>
          <w:sz w:val="24"/>
          <w:szCs w:val="24"/>
        </w:rPr>
        <w:t xml:space="preserve"> (2012); </w:t>
      </w:r>
      <w:proofErr w:type="spellStart"/>
      <w:r>
        <w:rPr>
          <w:rFonts w:ascii="Arial" w:eastAsia="TimesNewRomanPSMT" w:hAnsi="Arial" w:cs="Arial"/>
          <w:color w:val="000000" w:themeColor="text1"/>
          <w:sz w:val="24"/>
          <w:szCs w:val="24"/>
        </w:rPr>
        <w:t>Igwe</w:t>
      </w:r>
      <w:proofErr w:type="spellEnd"/>
      <w:r>
        <w:rPr>
          <w:rFonts w:ascii="Arial" w:eastAsia="TimesNewRomanPSMT" w:hAnsi="Arial" w:cs="Arial"/>
          <w:color w:val="000000" w:themeColor="text1"/>
          <w:sz w:val="24"/>
          <w:szCs w:val="24"/>
        </w:rPr>
        <w:t xml:space="preserve"> and </w:t>
      </w:r>
      <w:proofErr w:type="spellStart"/>
      <w:r>
        <w:rPr>
          <w:rFonts w:ascii="Arial" w:eastAsia="TimesNewRomanPSMT" w:hAnsi="Arial" w:cs="Arial"/>
          <w:color w:val="000000" w:themeColor="text1"/>
          <w:sz w:val="24"/>
          <w:szCs w:val="24"/>
        </w:rPr>
        <w:t>Okebalama</w:t>
      </w:r>
      <w:proofErr w:type="spellEnd"/>
      <w:r>
        <w:rPr>
          <w:rFonts w:ascii="Arial" w:eastAsia="TimesNewRomanPSMT" w:hAnsi="Arial" w:cs="Arial"/>
          <w:color w:val="000000" w:themeColor="text1"/>
          <w:sz w:val="24"/>
          <w:szCs w:val="24"/>
        </w:rPr>
        <w:t xml:space="preserve"> (2006)</w:t>
      </w:r>
    </w:p>
    <w:p w14:paraId="396509D2" w14:textId="77777777" w:rsidR="00B94E8C" w:rsidRDefault="00AD1B3A">
      <w:pPr>
        <w:pStyle w:val="Heading3"/>
        <w:spacing w:line="360" w:lineRule="auto"/>
        <w:jc w:val="both"/>
        <w:rPr>
          <w:rFonts w:ascii="Arial" w:hAnsi="Arial" w:cs="Arial" w:hint="default"/>
          <w:sz w:val="24"/>
          <w:szCs w:val="24"/>
        </w:rPr>
      </w:pPr>
      <w:proofErr w:type="gramStart"/>
      <w:r>
        <w:rPr>
          <w:rStyle w:val="Strong"/>
          <w:rFonts w:ascii="Arial" w:hAnsi="Arial" w:cs="Arial" w:hint="default"/>
          <w:b/>
          <w:bCs/>
          <w:color w:val="000000" w:themeColor="text1"/>
          <w:sz w:val="24"/>
          <w:szCs w:val="24"/>
        </w:rPr>
        <w:t>4.1.1  Bu</w:t>
      </w:r>
      <w:r>
        <w:rPr>
          <w:rStyle w:val="Strong"/>
          <w:rFonts w:ascii="Arial" w:hAnsi="Arial" w:cs="Arial" w:hint="default"/>
          <w:b/>
          <w:bCs/>
          <w:sz w:val="24"/>
          <w:szCs w:val="24"/>
        </w:rPr>
        <w:t>lk</w:t>
      </w:r>
      <w:proofErr w:type="gramEnd"/>
      <w:r>
        <w:rPr>
          <w:rStyle w:val="Strong"/>
          <w:rFonts w:ascii="Arial" w:hAnsi="Arial" w:cs="Arial" w:hint="default"/>
          <w:b/>
          <w:bCs/>
          <w:sz w:val="24"/>
          <w:szCs w:val="24"/>
        </w:rPr>
        <w:t xml:space="preserve"> Density</w:t>
      </w:r>
    </w:p>
    <w:p w14:paraId="74368F08" w14:textId="77777777" w:rsidR="00B94E8C" w:rsidRDefault="00AD1B3A">
      <w:pPr>
        <w:pStyle w:val="NormalWeb"/>
        <w:spacing w:line="360" w:lineRule="auto"/>
        <w:jc w:val="both"/>
        <w:rPr>
          <w:rFonts w:ascii="Arial" w:hAnsi="Arial" w:cs="Arial"/>
        </w:rPr>
      </w:pPr>
      <w:r>
        <w:rPr>
          <w:rFonts w:ascii="Arial" w:hAnsi="Arial" w:cs="Arial"/>
        </w:rPr>
        <w:t xml:space="preserve">Bulk density measurements showed considerable variation (P ≤ 0.05) between the soil samples, with values ranging </w:t>
      </w:r>
      <w:r>
        <w:rPr>
          <w:rFonts w:ascii="Arial" w:hAnsi="Arial" w:cs="Arial"/>
        </w:rPr>
        <w:t>from 1.24 Mg m⁻³ in the soil under pig slurry to 1.56 Mg m⁻³ in the control. The high bulk density of the control soil can be attributed to compaction and poor structural integrity, which is common in degraded soils with low organic matter content (Lal, 20</w:t>
      </w:r>
      <w:r>
        <w:rPr>
          <w:rFonts w:ascii="Arial" w:hAnsi="Arial" w:cs="Arial"/>
        </w:rPr>
        <w:t>09). Bulk density measurements above 1.50 Mg m⁻³ in sandy loam and loamy sand soils can limit root development and water infiltration (USDA-NRCS, 2008). The low bulk density measurements in soils under pig slurry (1.24 Mg m⁻³) and cow dung (1.36 Mg m⁻³) su</w:t>
      </w:r>
      <w:r>
        <w:rPr>
          <w:rFonts w:ascii="Arial" w:hAnsi="Arial" w:cs="Arial"/>
        </w:rPr>
        <w:t xml:space="preserve">ggest better soil structural integrity before the incorporation of the amendments. This can be attributed to differences in the </w:t>
      </w:r>
      <w:proofErr w:type="gramStart"/>
      <w:r>
        <w:rPr>
          <w:rFonts w:ascii="Arial" w:hAnsi="Arial" w:cs="Arial"/>
        </w:rPr>
        <w:t>amount</w:t>
      </w:r>
      <w:proofErr w:type="gramEnd"/>
      <w:r>
        <w:rPr>
          <w:rFonts w:ascii="Arial" w:hAnsi="Arial" w:cs="Arial"/>
        </w:rPr>
        <w:t xml:space="preserve"> of organic residues, biological activity, and past land use practices. Low bulk density measurements are indicative of im</w:t>
      </w:r>
      <w:r>
        <w:rPr>
          <w:rFonts w:ascii="Arial" w:hAnsi="Arial" w:cs="Arial"/>
        </w:rPr>
        <w:t xml:space="preserve">proved soil pore continuity and lower soil compaction, which are essential for sustainable crop growth in coarse-textured soils (Bronick &amp; Lal, 2005). </w:t>
      </w:r>
    </w:p>
    <w:p w14:paraId="6C1A2CA0" w14:textId="77777777" w:rsidR="00B94E8C" w:rsidRDefault="00AD1B3A">
      <w:pPr>
        <w:pStyle w:val="NormalWeb"/>
        <w:spacing w:line="360" w:lineRule="auto"/>
        <w:jc w:val="both"/>
        <w:rPr>
          <w:rFonts w:ascii="Arial" w:hAnsi="Arial" w:cs="Arial"/>
          <w:b/>
          <w:bCs/>
        </w:rPr>
      </w:pPr>
      <w:r>
        <w:rPr>
          <w:rFonts w:ascii="Arial" w:hAnsi="Arial" w:cs="Arial"/>
          <w:b/>
          <w:bCs/>
        </w:rPr>
        <w:lastRenderedPageBreak/>
        <w:t>4.1.2 Total Porosity</w:t>
      </w:r>
    </w:p>
    <w:p w14:paraId="432EE6BE" w14:textId="77777777" w:rsidR="00B94E8C" w:rsidRDefault="00AD1B3A">
      <w:pPr>
        <w:pStyle w:val="NormalWeb"/>
        <w:spacing w:line="360" w:lineRule="auto"/>
        <w:jc w:val="both"/>
        <w:rPr>
          <w:rFonts w:ascii="Arial" w:hAnsi="Arial" w:cs="Arial"/>
        </w:rPr>
      </w:pPr>
      <w:r>
        <w:rPr>
          <w:rFonts w:ascii="Arial" w:hAnsi="Arial" w:cs="Arial"/>
        </w:rPr>
        <w:t>Total porosity was inversely related to bulk density, with measurements ranging fro</w:t>
      </w:r>
      <w:r>
        <w:rPr>
          <w:rFonts w:ascii="Arial" w:hAnsi="Arial" w:cs="Arial"/>
        </w:rPr>
        <w:t>m 41.22% in the control to 49.51% in the mixture of amendments (Table 1</w:t>
      </w:r>
      <w:proofErr w:type="gramStart"/>
      <w:r>
        <w:rPr>
          <w:rFonts w:ascii="Arial" w:hAnsi="Arial" w:cs="Arial"/>
        </w:rPr>
        <w:t>) .The</w:t>
      </w:r>
      <w:proofErr w:type="gramEnd"/>
      <w:r>
        <w:rPr>
          <w:rFonts w:ascii="Arial" w:hAnsi="Arial" w:cs="Arial"/>
        </w:rPr>
        <w:t xml:space="preserve"> relatively low porosity in the control soil underscores its poor physical state, with restricted pore and air-water movement. High porosity values in the amended soils underscore</w:t>
      </w:r>
      <w:r>
        <w:rPr>
          <w:rFonts w:ascii="Arial" w:hAnsi="Arial" w:cs="Arial"/>
        </w:rPr>
        <w:t xml:space="preserve"> good pore distribution and improved physical state, even before the application of the amendments. In sandy soils, total porosity is very much dependent on bulk density and organic matter content. Improved porosity enhances infiltration rates, decreases s</w:t>
      </w:r>
      <w:r>
        <w:rPr>
          <w:rFonts w:ascii="Arial" w:hAnsi="Arial" w:cs="Arial"/>
        </w:rPr>
        <w:t xml:space="preserve">urface runoff, and increases soil aeration, all of which are critical for root and microbial growth (Hillel, 2004). </w:t>
      </w:r>
    </w:p>
    <w:p w14:paraId="7956E129" w14:textId="77777777" w:rsidR="00B94E8C" w:rsidRDefault="00AD1B3A">
      <w:pPr>
        <w:pStyle w:val="NormalWeb"/>
        <w:spacing w:line="360" w:lineRule="auto"/>
        <w:jc w:val="both"/>
        <w:rPr>
          <w:rFonts w:ascii="Arial" w:hAnsi="Arial" w:cs="Arial"/>
          <w:b/>
          <w:bCs/>
        </w:rPr>
      </w:pPr>
      <w:r>
        <w:rPr>
          <w:rFonts w:ascii="Arial" w:hAnsi="Arial" w:cs="Arial"/>
          <w:b/>
          <w:bCs/>
        </w:rPr>
        <w:t>4.1.3 Soil Moisture Content</w:t>
      </w:r>
    </w:p>
    <w:p w14:paraId="1508CF71" w14:textId="77777777" w:rsidR="00B94E8C" w:rsidRDefault="00AD1B3A">
      <w:pPr>
        <w:pStyle w:val="NormalWeb"/>
        <w:spacing w:line="360" w:lineRule="auto"/>
        <w:jc w:val="both"/>
        <w:rPr>
          <w:rFonts w:ascii="Arial" w:hAnsi="Arial" w:cs="Arial"/>
        </w:rPr>
      </w:pPr>
      <w:r>
        <w:rPr>
          <w:rFonts w:ascii="Arial" w:hAnsi="Arial" w:cs="Arial"/>
        </w:rPr>
        <w:t xml:space="preserve">Soil moisture content was significantly (P ≤ 0.05) different among the treatments, with values ranging from </w:t>
      </w:r>
      <w:r>
        <w:rPr>
          <w:rFonts w:ascii="Arial" w:hAnsi="Arial" w:cs="Arial"/>
        </w:rPr>
        <w:t>200.16 g kg⁻¹ in the control to 654.77 g kg⁻¹ in the mixture of amendments. The low moisture content in the control soil is in line with its high bulk density, low porosity, and sandy texture, which are all contributing factors to low water-holding capacit</w:t>
      </w:r>
      <w:r>
        <w:rPr>
          <w:rFonts w:ascii="Arial" w:hAnsi="Arial" w:cs="Arial"/>
        </w:rPr>
        <w:t>y (Brady &amp; Weil, 2017</w:t>
      </w:r>
      <w:proofErr w:type="gramStart"/>
      <w:r>
        <w:rPr>
          <w:rFonts w:ascii="Arial" w:hAnsi="Arial" w:cs="Arial"/>
        </w:rPr>
        <w:t>).Higher</w:t>
      </w:r>
      <w:proofErr w:type="gramEnd"/>
      <w:r>
        <w:rPr>
          <w:rFonts w:ascii="Arial" w:hAnsi="Arial" w:cs="Arial"/>
        </w:rPr>
        <w:t xml:space="preserve"> moisture contents noted in soils treated with the mixture of amendment can be attributed to the improvement in the distribution of pore sizes and the water retention capacity in the micro- and mesopores. Despite the low water-</w:t>
      </w:r>
      <w:r>
        <w:rPr>
          <w:rFonts w:ascii="Arial" w:hAnsi="Arial" w:cs="Arial"/>
        </w:rPr>
        <w:t>holding capacity associated with sandy soils, the presence of organic residues can improve the retention of moisture in the soil through the improvement of aggregate stability and organic colloids (Lal, 2009; Hudson, 1994).</w:t>
      </w:r>
    </w:p>
    <w:p w14:paraId="0E0AEB1C" w14:textId="77777777" w:rsidR="00B94E8C" w:rsidRDefault="00AD1B3A">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Table1.Physical properties of th</w:t>
      </w:r>
      <w:r>
        <w:rPr>
          <w:rFonts w:ascii="Arial" w:hAnsi="Arial" w:cs="Arial"/>
          <w:b/>
          <w:color w:val="000000" w:themeColor="text1"/>
          <w:sz w:val="24"/>
          <w:szCs w:val="24"/>
        </w:rPr>
        <w:t>e soil samples before amendment</w:t>
      </w:r>
    </w:p>
    <w:p w14:paraId="53EA4878" w14:textId="77777777" w:rsidR="00B94E8C" w:rsidRDefault="00AD1B3A">
      <w:pPr>
        <w:spacing w:line="480" w:lineRule="auto"/>
        <w:jc w:val="both"/>
        <w:rPr>
          <w:rFonts w:ascii="Arial" w:eastAsia="TimesNewRomanPSMT" w:hAnsi="Arial" w:cs="Arial"/>
          <w:color w:val="000000" w:themeColor="text1"/>
          <w:sz w:val="24"/>
          <w:szCs w:val="24"/>
        </w:rPr>
      </w:pPr>
      <w:r>
        <w:rPr>
          <w:rFonts w:ascii="Arial" w:eastAsia="TimesNewRomanPSMT" w:hAnsi="Arial" w:cs="Arial"/>
          <w:b/>
          <w:bCs/>
          <w:noProof/>
          <w:color w:val="000000" w:themeColor="text1"/>
          <w:sz w:val="24"/>
          <w:szCs w:val="24"/>
          <w:lang w:val="en-GB" w:eastAsia="en-GB"/>
        </w:rPr>
        <mc:AlternateContent>
          <mc:Choice Requires="wps">
            <w:drawing>
              <wp:anchor distT="0" distB="0" distL="114300" distR="114300" simplePos="0" relativeHeight="251646976" behindDoc="0" locked="0" layoutInCell="1" allowOverlap="1" wp14:anchorId="7086D1A8" wp14:editId="7F2619A1">
                <wp:simplePos x="0" y="0"/>
                <wp:positionH relativeFrom="column">
                  <wp:posOffset>-59055</wp:posOffset>
                </wp:positionH>
                <wp:positionV relativeFrom="paragraph">
                  <wp:posOffset>1130300</wp:posOffset>
                </wp:positionV>
                <wp:extent cx="6323330" cy="10795"/>
                <wp:effectExtent l="0" t="4445" r="1270" b="13335"/>
                <wp:wrapNone/>
                <wp:docPr id="3" name="Straight Connector 3"/>
                <wp:cNvGraphicFramePr/>
                <a:graphic xmlns:a="http://schemas.openxmlformats.org/drawingml/2006/main">
                  <a:graphicData uri="http://schemas.microsoft.com/office/word/2010/wordprocessingShape">
                    <wps:wsp>
                      <wps:cNvCnPr/>
                      <wps:spPr>
                        <a:xfrm flipV="1">
                          <a:off x="0" y="0"/>
                          <a:ext cx="6323330" cy="10795"/>
                        </a:xfrm>
                        <a:prstGeom prst="line">
                          <a:avLst/>
                        </a:prstGeom>
                        <a:noFill/>
                        <a:ln w="9525" cap="flat" cmpd="sng" algn="ctr">
                          <a:solidFill>
                            <a:srgbClr val="000000"/>
                          </a:solidFill>
                          <a:prstDash val="solid"/>
                        </a:ln>
                        <a:effectLst/>
                      </wps:spPr>
                      <wps:bodyPr/>
                    </wps:wsp>
                  </a:graphicData>
                </a:graphic>
              </wp:anchor>
            </w:drawing>
          </mc:Choice>
          <mc:Fallback>
            <w:pict>
              <v:line w14:anchorId="4AFC1BB5" id="Straight Connector 3"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4.65pt,89pt" to="493.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&#1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48000" behindDoc="0" locked="0" layoutInCell="1" allowOverlap="1" wp14:anchorId="73B24293" wp14:editId="18B102CE">
                <wp:simplePos x="0" y="0"/>
                <wp:positionH relativeFrom="column">
                  <wp:posOffset>-15240</wp:posOffset>
                </wp:positionH>
                <wp:positionV relativeFrom="paragraph">
                  <wp:posOffset>444500</wp:posOffset>
                </wp:positionV>
                <wp:extent cx="6323330" cy="10795"/>
                <wp:effectExtent l="0" t="4445" r="1270" b="13335"/>
                <wp:wrapNone/>
                <wp:docPr id="4" name="Straight Connector 4"/>
                <wp:cNvGraphicFramePr/>
                <a:graphic xmlns:a="http://schemas.openxmlformats.org/drawingml/2006/main">
                  <a:graphicData uri="http://schemas.microsoft.com/office/word/2010/wordprocessingShape">
                    <wps:wsp>
                      <wps:cNvCnPr/>
                      <wps:spPr>
                        <a:xfrm flipV="1">
                          <a:off x="0" y="0"/>
                          <a:ext cx="6323330" cy="10795"/>
                        </a:xfrm>
                        <a:prstGeom prst="line">
                          <a:avLst/>
                        </a:prstGeom>
                        <a:noFill/>
                        <a:ln w="9525" cap="flat" cmpd="sng" algn="ctr">
                          <a:solidFill>
                            <a:srgbClr val="000000"/>
                          </a:solidFill>
                          <a:prstDash val="solid"/>
                        </a:ln>
                        <a:effectLst/>
                      </wps:spPr>
                      <wps:bodyPr/>
                    </wps:wsp>
                  </a:graphicData>
                </a:graphic>
              </wp:anchor>
            </w:drawing>
          </mc:Choice>
          <mc:Fallback>
            <w:pict>
              <v:line w14:anchorId="4FA6CB53" id="Straight Connector 4" o:spid="_x0000_s1026" style="position:absolute;flip:y;z-index:251648000;visibility:visible;mso-wrap-style:square;mso-wrap-distance-left:9pt;mso-wrap-distance-top:0;mso-wrap-distance-right:9pt;mso-wrap-distance-bottom:0;mso-position-horizontal:absolute;mso-position-horizontal-relative:text;mso-position-vertical:absolute;mso-position-vertical-relative:text" from="-1.2pt,35pt" to="496.7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"/>
            </w:pict>
          </mc:Fallback>
        </mc:AlternateContent>
      </w:r>
      <w:r>
        <w:rPr>
          <w:rFonts w:ascii="Arial" w:eastAsia="TimesNewRomanPSMT" w:hAnsi="Arial" w:cs="Arial"/>
          <w:noProof/>
          <w:color w:val="000000" w:themeColor="text1"/>
          <w:sz w:val="24"/>
          <w:szCs w:val="24"/>
          <w:lang w:val="en-GB" w:eastAsia="en-GB"/>
        </w:rPr>
        <mc:AlternateContent>
          <mc:Choice Requires="wps">
            <w:drawing>
              <wp:anchor distT="0" distB="0" distL="114300" distR="114300" simplePos="0" relativeHeight="251645952" behindDoc="0" locked="0" layoutInCell="1" allowOverlap="1" wp14:anchorId="59C566FC" wp14:editId="050CBCB3">
                <wp:simplePos x="0" y="0"/>
                <wp:positionH relativeFrom="column">
                  <wp:posOffset>1270</wp:posOffset>
                </wp:positionH>
                <wp:positionV relativeFrom="paragraph">
                  <wp:posOffset>133350</wp:posOffset>
                </wp:positionV>
                <wp:extent cx="6323330" cy="10795"/>
                <wp:effectExtent l="0" t="4445" r="1270" b="13335"/>
                <wp:wrapNone/>
                <wp:docPr id="2" name="Straight Connector 2"/>
                <wp:cNvGraphicFramePr/>
                <a:graphic xmlns:a="http://schemas.openxmlformats.org/drawingml/2006/main">
                  <a:graphicData uri="http://schemas.microsoft.com/office/word/2010/wordprocessingShape">
                    <wps:wsp>
                      <wps:cNvCnPr/>
                      <wps:spPr>
                        <a:xfrm flipV="1">
                          <a:off x="0" y="0"/>
                          <a:ext cx="6323483" cy="11017"/>
                        </a:xfrm>
                        <a:prstGeom prst="line">
                          <a:avLst/>
                        </a:prstGeom>
                        <a:noFill/>
                        <a:ln w="9525" cap="flat" cmpd="sng" algn="ctr">
                          <a:solidFill>
                            <a:srgbClr val="000000"/>
                          </a:solidFill>
                          <a:prstDash val="solid"/>
                        </a:ln>
                        <a:effectLst/>
                      </wps:spPr>
                      <wps:bodyPr/>
                    </wps:wsp>
                  </a:graphicData>
                </a:graphic>
              </wp:anchor>
            </w:drawing>
          </mc:Choice>
          <mc:Fallback>
            <w:pict>
              <v:line w14:anchorId="28BE4A84" id="Straight Connector 2" o:spid="_x0000_s1026" style="position:absolute;flip:y;z-index:251645952;visibility:visible;mso-wrap-style:square;mso-wrap-distance-left:9pt;mso-wrap-distance-top:0;mso-wrap-distance-right:9pt;mso-wrap-distance-bottom:0;mso-position-horizontal:absolute;mso-position-horizontal-relative:text;mso-position-vertical:absolute;mso-position-vertical-relative:text" from=".1pt,10.5pt" to="4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"/>
            </w:pict>
          </mc:Fallback>
        </mc:AlternateContent>
      </w:r>
    </w:p>
    <w:tbl>
      <w:tblPr>
        <w:tblStyle w:val="PlainTable41"/>
        <w:tblpPr w:leftFromText="180" w:rightFromText="180" w:vertAnchor="text" w:horzAnchor="margin" w:tblpX="-164" w:tblpY="-156"/>
        <w:tblW w:w="10815" w:type="dxa"/>
        <w:tblLayout w:type="fixed"/>
        <w:tblLook w:val="04A0" w:firstRow="1" w:lastRow="0" w:firstColumn="1" w:lastColumn="0" w:noHBand="0" w:noVBand="1"/>
      </w:tblPr>
      <w:tblGrid>
        <w:gridCol w:w="2445"/>
        <w:gridCol w:w="945"/>
        <w:gridCol w:w="840"/>
        <w:gridCol w:w="930"/>
        <w:gridCol w:w="915"/>
        <w:gridCol w:w="1230"/>
        <w:gridCol w:w="1245"/>
        <w:gridCol w:w="960"/>
        <w:gridCol w:w="1305"/>
      </w:tblGrid>
      <w:tr w:rsidR="00B94E8C" w14:paraId="3EB4A486" w14:textId="77777777" w:rsidTr="00B94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5DEAFF61" w14:textId="77777777" w:rsidR="00B94E8C" w:rsidRDefault="00AD1B3A">
            <w:pPr>
              <w:pStyle w:val="NoSpacing"/>
              <w:jc w:val="both"/>
              <w:rPr>
                <w:rFonts w:ascii="Arial" w:hAnsi="Arial" w:cs="Arial"/>
                <w:sz w:val="24"/>
                <w:szCs w:val="24"/>
              </w:rPr>
            </w:pPr>
            <w:r>
              <w:rPr>
                <w:rFonts w:ascii="Arial" w:hAnsi="Arial" w:cs="Arial"/>
                <w:sz w:val="24"/>
                <w:szCs w:val="24"/>
              </w:rPr>
              <w:lastRenderedPageBreak/>
              <w:t>Soil</w:t>
            </w:r>
          </w:p>
          <w:p w14:paraId="1B5419A3" w14:textId="77777777" w:rsidR="00B94E8C" w:rsidRDefault="00AD1B3A">
            <w:pPr>
              <w:pStyle w:val="NoSpacing"/>
              <w:jc w:val="both"/>
              <w:rPr>
                <w:rFonts w:ascii="Arial" w:hAnsi="Arial" w:cs="Arial"/>
                <w:sz w:val="24"/>
                <w:szCs w:val="24"/>
              </w:rPr>
            </w:pPr>
            <w:r>
              <w:rPr>
                <w:rFonts w:ascii="Arial" w:hAnsi="Arial" w:cs="Arial"/>
                <w:sz w:val="24"/>
                <w:szCs w:val="24"/>
              </w:rPr>
              <w:t>Samples under different Amendments</w:t>
            </w:r>
          </w:p>
        </w:tc>
        <w:tc>
          <w:tcPr>
            <w:tcW w:w="945" w:type="dxa"/>
          </w:tcPr>
          <w:p w14:paraId="04683D30"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840" w:type="dxa"/>
          </w:tcPr>
          <w:p w14:paraId="2E000C0B"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Silt</w:t>
            </w:r>
          </w:p>
        </w:tc>
        <w:tc>
          <w:tcPr>
            <w:tcW w:w="930" w:type="dxa"/>
          </w:tcPr>
          <w:p w14:paraId="52DABEE9"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Clay</w:t>
            </w:r>
          </w:p>
        </w:tc>
        <w:tc>
          <w:tcPr>
            <w:tcW w:w="915" w:type="dxa"/>
          </w:tcPr>
          <w:p w14:paraId="2CDAE456"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S/C Ratio</w:t>
            </w:r>
          </w:p>
        </w:tc>
        <w:tc>
          <w:tcPr>
            <w:tcW w:w="1230" w:type="dxa"/>
          </w:tcPr>
          <w:p w14:paraId="64767C19"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Textural Class</w:t>
            </w:r>
          </w:p>
        </w:tc>
        <w:tc>
          <w:tcPr>
            <w:tcW w:w="1245" w:type="dxa"/>
          </w:tcPr>
          <w:p w14:paraId="3083C883"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Bulk density</w:t>
            </w:r>
          </w:p>
        </w:tc>
        <w:tc>
          <w:tcPr>
            <w:tcW w:w="960" w:type="dxa"/>
          </w:tcPr>
          <w:p w14:paraId="4AB025FA"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Total porosity</w:t>
            </w:r>
          </w:p>
        </w:tc>
        <w:tc>
          <w:tcPr>
            <w:tcW w:w="1305" w:type="dxa"/>
          </w:tcPr>
          <w:p w14:paraId="62ADC03C"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Moisture      content</w:t>
            </w:r>
          </w:p>
        </w:tc>
      </w:tr>
      <w:tr w:rsidR="00B94E8C" w14:paraId="0237C943" w14:textId="77777777" w:rsidTr="00B94E8C">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14:paraId="331883A5" w14:textId="77777777" w:rsidR="00B94E8C" w:rsidRDefault="00B94E8C">
            <w:pPr>
              <w:pStyle w:val="NoSpacing"/>
              <w:jc w:val="both"/>
              <w:rPr>
                <w:rFonts w:ascii="Arial" w:hAnsi="Arial" w:cs="Arial"/>
                <w:sz w:val="24"/>
                <w:szCs w:val="24"/>
              </w:rPr>
            </w:pPr>
          </w:p>
        </w:tc>
        <w:tc>
          <w:tcPr>
            <w:tcW w:w="2715" w:type="dxa"/>
            <w:gridSpan w:val="3"/>
            <w:shd w:val="clear" w:color="auto" w:fill="F2F2F2" w:themeFill="background1" w:themeFillShade="F2"/>
          </w:tcPr>
          <w:p w14:paraId="4E7F180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gkg-1</w:t>
            </w:r>
          </w:p>
        </w:tc>
        <w:tc>
          <w:tcPr>
            <w:tcW w:w="915" w:type="dxa"/>
            <w:shd w:val="clear" w:color="auto" w:fill="F2F2F2" w:themeFill="background1" w:themeFillShade="F2"/>
          </w:tcPr>
          <w:p w14:paraId="7CCA6CA8"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30" w:type="dxa"/>
            <w:shd w:val="clear" w:color="auto" w:fill="F2F2F2" w:themeFill="background1" w:themeFillShade="F2"/>
          </w:tcPr>
          <w:p w14:paraId="7CB7633C"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45" w:type="dxa"/>
            <w:shd w:val="clear" w:color="auto" w:fill="F2F2F2" w:themeFill="background1" w:themeFillShade="F2"/>
          </w:tcPr>
          <w:p w14:paraId="2266FEE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mgm-3</w:t>
            </w:r>
          </w:p>
        </w:tc>
        <w:tc>
          <w:tcPr>
            <w:tcW w:w="960" w:type="dxa"/>
            <w:shd w:val="clear" w:color="auto" w:fill="F2F2F2" w:themeFill="background1" w:themeFillShade="F2"/>
          </w:tcPr>
          <w:p w14:paraId="644D41A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305" w:type="dxa"/>
            <w:shd w:val="clear" w:color="auto" w:fill="F2F2F2" w:themeFill="background1" w:themeFillShade="F2"/>
          </w:tcPr>
          <w:p w14:paraId="02DD635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gkg-1</w:t>
            </w:r>
          </w:p>
        </w:tc>
      </w:tr>
      <w:tr w:rsidR="00B94E8C" w14:paraId="54F5A284" w14:textId="77777777" w:rsidTr="00B94E8C">
        <w:tc>
          <w:tcPr>
            <w:cnfStyle w:val="001000000000" w:firstRow="0" w:lastRow="0" w:firstColumn="1" w:lastColumn="0" w:oddVBand="0" w:evenVBand="0" w:oddHBand="0" w:evenHBand="0" w:firstRowFirstColumn="0" w:firstRowLastColumn="0" w:lastRowFirstColumn="0" w:lastRowLastColumn="0"/>
            <w:tcW w:w="2445" w:type="dxa"/>
          </w:tcPr>
          <w:p w14:paraId="3130B09D" w14:textId="77777777" w:rsidR="00B94E8C" w:rsidRDefault="00AD1B3A">
            <w:pPr>
              <w:pStyle w:val="NoSpacing"/>
              <w:jc w:val="both"/>
              <w:rPr>
                <w:rFonts w:ascii="Arial" w:hAnsi="Arial" w:cs="Arial"/>
                <w:sz w:val="24"/>
                <w:szCs w:val="24"/>
              </w:rPr>
            </w:pPr>
            <w:r>
              <w:rPr>
                <w:rFonts w:ascii="Arial" w:hAnsi="Arial" w:cs="Arial"/>
                <w:sz w:val="24"/>
                <w:szCs w:val="24"/>
              </w:rPr>
              <w:t>Goat dropping (T1)</w:t>
            </w:r>
          </w:p>
        </w:tc>
        <w:tc>
          <w:tcPr>
            <w:tcW w:w="945" w:type="dxa"/>
          </w:tcPr>
          <w:p w14:paraId="33F4340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886.27</w:t>
            </w:r>
          </w:p>
        </w:tc>
        <w:tc>
          <w:tcPr>
            <w:tcW w:w="840" w:type="dxa"/>
          </w:tcPr>
          <w:p w14:paraId="3A7C96D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15.03</w:t>
            </w:r>
          </w:p>
        </w:tc>
        <w:tc>
          <w:tcPr>
            <w:tcW w:w="930" w:type="dxa"/>
          </w:tcPr>
          <w:p w14:paraId="58B33C4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98.7</w:t>
            </w:r>
          </w:p>
        </w:tc>
        <w:tc>
          <w:tcPr>
            <w:tcW w:w="915" w:type="dxa"/>
          </w:tcPr>
          <w:p w14:paraId="6F1B390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0.15</w:t>
            </w:r>
          </w:p>
        </w:tc>
        <w:tc>
          <w:tcPr>
            <w:tcW w:w="1230" w:type="dxa"/>
          </w:tcPr>
          <w:p w14:paraId="0268340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tcPr>
          <w:p w14:paraId="72A028D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1.43</w:t>
            </w:r>
          </w:p>
        </w:tc>
        <w:tc>
          <w:tcPr>
            <w:tcW w:w="960" w:type="dxa"/>
          </w:tcPr>
          <w:p w14:paraId="054B7A1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46.12</w:t>
            </w:r>
          </w:p>
        </w:tc>
        <w:tc>
          <w:tcPr>
            <w:tcW w:w="1305" w:type="dxa"/>
          </w:tcPr>
          <w:p w14:paraId="3B9818A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543.60</w:t>
            </w:r>
          </w:p>
        </w:tc>
      </w:tr>
      <w:tr w:rsidR="00B94E8C" w14:paraId="2261E895" w14:textId="77777777" w:rsidTr="00B94E8C">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14:paraId="6E688D79" w14:textId="77777777" w:rsidR="00B94E8C" w:rsidRDefault="00AD1B3A">
            <w:pPr>
              <w:pStyle w:val="NoSpacing"/>
              <w:jc w:val="both"/>
              <w:rPr>
                <w:rFonts w:ascii="Arial" w:hAnsi="Arial" w:cs="Arial"/>
                <w:sz w:val="24"/>
                <w:szCs w:val="24"/>
              </w:rPr>
            </w:pPr>
            <w:r>
              <w:rPr>
                <w:rFonts w:ascii="Arial" w:hAnsi="Arial" w:cs="Arial"/>
                <w:sz w:val="24"/>
                <w:szCs w:val="24"/>
              </w:rPr>
              <w:t>Cow dung (T2)</w:t>
            </w:r>
          </w:p>
        </w:tc>
        <w:tc>
          <w:tcPr>
            <w:tcW w:w="945" w:type="dxa"/>
            <w:shd w:val="clear" w:color="auto" w:fill="F2F2F2" w:themeFill="background1" w:themeFillShade="F2"/>
          </w:tcPr>
          <w:p w14:paraId="3C084DE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865.33</w:t>
            </w:r>
          </w:p>
        </w:tc>
        <w:tc>
          <w:tcPr>
            <w:tcW w:w="840" w:type="dxa"/>
            <w:shd w:val="clear" w:color="auto" w:fill="F2F2F2" w:themeFill="background1" w:themeFillShade="F2"/>
          </w:tcPr>
          <w:p w14:paraId="25A13C9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47.11</w:t>
            </w:r>
          </w:p>
        </w:tc>
        <w:tc>
          <w:tcPr>
            <w:tcW w:w="930" w:type="dxa"/>
            <w:shd w:val="clear" w:color="auto" w:fill="F2F2F2" w:themeFill="background1" w:themeFillShade="F2"/>
          </w:tcPr>
          <w:p w14:paraId="359EEE2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87.56</w:t>
            </w:r>
          </w:p>
        </w:tc>
        <w:tc>
          <w:tcPr>
            <w:tcW w:w="915" w:type="dxa"/>
            <w:shd w:val="clear" w:color="auto" w:fill="F2F2F2" w:themeFill="background1" w:themeFillShade="F2"/>
          </w:tcPr>
          <w:p w14:paraId="2D236B4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0.54</w:t>
            </w:r>
          </w:p>
        </w:tc>
        <w:tc>
          <w:tcPr>
            <w:tcW w:w="1230" w:type="dxa"/>
            <w:shd w:val="clear" w:color="auto" w:fill="F2F2F2" w:themeFill="background1" w:themeFillShade="F2"/>
          </w:tcPr>
          <w:p w14:paraId="42D7F24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14:paraId="7175E24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1.36</w:t>
            </w:r>
          </w:p>
        </w:tc>
        <w:tc>
          <w:tcPr>
            <w:tcW w:w="960" w:type="dxa"/>
            <w:shd w:val="clear" w:color="auto" w:fill="F2F2F2" w:themeFill="background1" w:themeFillShade="F2"/>
          </w:tcPr>
          <w:p w14:paraId="5275E9B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48.76</w:t>
            </w:r>
          </w:p>
        </w:tc>
        <w:tc>
          <w:tcPr>
            <w:tcW w:w="1305" w:type="dxa"/>
            <w:shd w:val="clear" w:color="auto" w:fill="F2F2F2" w:themeFill="background1" w:themeFillShade="F2"/>
          </w:tcPr>
          <w:p w14:paraId="10943FD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544.21</w:t>
            </w:r>
          </w:p>
        </w:tc>
      </w:tr>
      <w:tr w:rsidR="00B94E8C" w14:paraId="1BEA1A29" w14:textId="77777777" w:rsidTr="00B94E8C">
        <w:tc>
          <w:tcPr>
            <w:cnfStyle w:val="001000000000" w:firstRow="0" w:lastRow="0" w:firstColumn="1" w:lastColumn="0" w:oddVBand="0" w:evenVBand="0" w:oddHBand="0" w:evenHBand="0" w:firstRowFirstColumn="0" w:firstRowLastColumn="0" w:lastRowFirstColumn="0" w:lastRowLastColumn="0"/>
            <w:tcW w:w="2445" w:type="dxa"/>
          </w:tcPr>
          <w:p w14:paraId="21246EED" w14:textId="77777777" w:rsidR="00B94E8C" w:rsidRDefault="00AD1B3A">
            <w:pPr>
              <w:pStyle w:val="NoSpacing"/>
              <w:jc w:val="both"/>
              <w:rPr>
                <w:rFonts w:ascii="Arial" w:hAnsi="Arial" w:cs="Arial"/>
                <w:sz w:val="24"/>
                <w:szCs w:val="24"/>
              </w:rPr>
            </w:pPr>
            <w:r>
              <w:rPr>
                <w:rFonts w:ascii="Arial" w:hAnsi="Arial" w:cs="Arial"/>
                <w:sz w:val="24"/>
                <w:szCs w:val="24"/>
              </w:rPr>
              <w:t>Poultry dropping</w:t>
            </w:r>
          </w:p>
        </w:tc>
        <w:tc>
          <w:tcPr>
            <w:tcW w:w="945" w:type="dxa"/>
          </w:tcPr>
          <w:p w14:paraId="0DC048E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852.28</w:t>
            </w:r>
          </w:p>
        </w:tc>
        <w:tc>
          <w:tcPr>
            <w:tcW w:w="840" w:type="dxa"/>
          </w:tcPr>
          <w:p w14:paraId="24BA62D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16.23</w:t>
            </w:r>
          </w:p>
        </w:tc>
        <w:tc>
          <w:tcPr>
            <w:tcW w:w="930" w:type="dxa"/>
          </w:tcPr>
          <w:p w14:paraId="1D6FD66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131.49</w:t>
            </w:r>
          </w:p>
        </w:tc>
        <w:tc>
          <w:tcPr>
            <w:tcW w:w="915" w:type="dxa"/>
          </w:tcPr>
          <w:p w14:paraId="6680517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w:t>
            </w:r>
          </w:p>
        </w:tc>
        <w:tc>
          <w:tcPr>
            <w:tcW w:w="1230" w:type="dxa"/>
          </w:tcPr>
          <w:p w14:paraId="63C2BA6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tcPr>
          <w:p w14:paraId="40757EF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1.45</w:t>
            </w:r>
          </w:p>
        </w:tc>
        <w:tc>
          <w:tcPr>
            <w:tcW w:w="960" w:type="dxa"/>
          </w:tcPr>
          <w:p w14:paraId="7693E3F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45.36</w:t>
            </w:r>
          </w:p>
        </w:tc>
        <w:tc>
          <w:tcPr>
            <w:tcW w:w="1305" w:type="dxa"/>
          </w:tcPr>
          <w:p w14:paraId="229DD46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543.17</w:t>
            </w:r>
          </w:p>
        </w:tc>
      </w:tr>
      <w:tr w:rsidR="00B94E8C" w14:paraId="5AC946CD" w14:textId="77777777" w:rsidTr="00B94E8C">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14:paraId="7EFA46D8" w14:textId="77777777" w:rsidR="00B94E8C" w:rsidRDefault="00AD1B3A">
            <w:pPr>
              <w:pStyle w:val="NoSpacing"/>
              <w:jc w:val="both"/>
              <w:rPr>
                <w:rFonts w:ascii="Arial" w:hAnsi="Arial" w:cs="Arial"/>
                <w:sz w:val="24"/>
                <w:szCs w:val="24"/>
              </w:rPr>
            </w:pPr>
            <w:r>
              <w:rPr>
                <w:rFonts w:ascii="Arial" w:hAnsi="Arial" w:cs="Arial"/>
                <w:sz w:val="24"/>
                <w:szCs w:val="24"/>
              </w:rPr>
              <w:t>Pig slurry</w:t>
            </w:r>
          </w:p>
        </w:tc>
        <w:tc>
          <w:tcPr>
            <w:tcW w:w="945" w:type="dxa"/>
            <w:shd w:val="clear" w:color="auto" w:fill="F2F2F2" w:themeFill="background1" w:themeFillShade="F2"/>
          </w:tcPr>
          <w:p w14:paraId="627CD64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897.11</w:t>
            </w:r>
          </w:p>
        </w:tc>
        <w:tc>
          <w:tcPr>
            <w:tcW w:w="840" w:type="dxa"/>
            <w:shd w:val="clear" w:color="auto" w:fill="F2F2F2" w:themeFill="background1" w:themeFillShade="F2"/>
          </w:tcPr>
          <w:p w14:paraId="6A34A3A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24.33</w:t>
            </w:r>
          </w:p>
        </w:tc>
        <w:tc>
          <w:tcPr>
            <w:tcW w:w="930" w:type="dxa"/>
            <w:shd w:val="clear" w:color="auto" w:fill="F2F2F2" w:themeFill="background1" w:themeFillShade="F2"/>
          </w:tcPr>
          <w:p w14:paraId="00780DC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78.56</w:t>
            </w:r>
          </w:p>
        </w:tc>
        <w:tc>
          <w:tcPr>
            <w:tcW w:w="915" w:type="dxa"/>
            <w:shd w:val="clear" w:color="auto" w:fill="F2F2F2" w:themeFill="background1" w:themeFillShade="F2"/>
          </w:tcPr>
          <w:p w14:paraId="18B61EC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0.31</w:t>
            </w:r>
          </w:p>
        </w:tc>
        <w:tc>
          <w:tcPr>
            <w:tcW w:w="1230" w:type="dxa"/>
            <w:shd w:val="clear" w:color="auto" w:fill="F2F2F2" w:themeFill="background1" w:themeFillShade="F2"/>
          </w:tcPr>
          <w:p w14:paraId="1DC89A8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14:paraId="33DE172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1.24</w:t>
            </w:r>
          </w:p>
        </w:tc>
        <w:tc>
          <w:tcPr>
            <w:tcW w:w="960" w:type="dxa"/>
            <w:shd w:val="clear" w:color="auto" w:fill="F2F2F2" w:themeFill="background1" w:themeFillShade="F2"/>
          </w:tcPr>
          <w:p w14:paraId="6A2A57D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43.27</w:t>
            </w:r>
          </w:p>
        </w:tc>
        <w:tc>
          <w:tcPr>
            <w:tcW w:w="1305" w:type="dxa"/>
            <w:shd w:val="clear" w:color="auto" w:fill="F2F2F2" w:themeFill="background1" w:themeFillShade="F2"/>
          </w:tcPr>
          <w:p w14:paraId="7579C00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324.00</w:t>
            </w:r>
          </w:p>
        </w:tc>
      </w:tr>
      <w:tr w:rsidR="00B94E8C" w14:paraId="43E3B4EB" w14:textId="77777777" w:rsidTr="00B94E8C">
        <w:tc>
          <w:tcPr>
            <w:cnfStyle w:val="001000000000" w:firstRow="0" w:lastRow="0" w:firstColumn="1" w:lastColumn="0" w:oddVBand="0" w:evenVBand="0" w:oddHBand="0" w:evenHBand="0" w:firstRowFirstColumn="0" w:firstRowLastColumn="0" w:lastRowFirstColumn="0" w:lastRowLastColumn="0"/>
            <w:tcW w:w="2445" w:type="dxa"/>
          </w:tcPr>
          <w:p w14:paraId="76AE1A62" w14:textId="77777777" w:rsidR="00B94E8C" w:rsidRDefault="00AD1B3A">
            <w:pPr>
              <w:pStyle w:val="NoSpacing"/>
              <w:jc w:val="both"/>
              <w:rPr>
                <w:rFonts w:ascii="Arial" w:hAnsi="Arial" w:cs="Arial"/>
                <w:sz w:val="24"/>
                <w:szCs w:val="24"/>
              </w:rPr>
            </w:pPr>
            <w:r>
              <w:rPr>
                <w:rFonts w:ascii="Arial" w:hAnsi="Arial" w:cs="Arial"/>
                <w:sz w:val="24"/>
                <w:szCs w:val="24"/>
              </w:rPr>
              <w:t>Mixture of amendments</w:t>
            </w:r>
          </w:p>
        </w:tc>
        <w:tc>
          <w:tcPr>
            <w:tcW w:w="945" w:type="dxa"/>
          </w:tcPr>
          <w:p w14:paraId="103721B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909.61</w:t>
            </w:r>
          </w:p>
        </w:tc>
        <w:tc>
          <w:tcPr>
            <w:tcW w:w="840" w:type="dxa"/>
          </w:tcPr>
          <w:p w14:paraId="2E15CDC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26.53</w:t>
            </w:r>
          </w:p>
        </w:tc>
        <w:tc>
          <w:tcPr>
            <w:tcW w:w="930" w:type="dxa"/>
          </w:tcPr>
          <w:p w14:paraId="1584837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63.86</w:t>
            </w:r>
          </w:p>
        </w:tc>
        <w:tc>
          <w:tcPr>
            <w:tcW w:w="915" w:type="dxa"/>
          </w:tcPr>
          <w:p w14:paraId="17B4583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0.41</w:t>
            </w:r>
          </w:p>
        </w:tc>
        <w:tc>
          <w:tcPr>
            <w:tcW w:w="1230" w:type="dxa"/>
          </w:tcPr>
          <w:p w14:paraId="7CA892E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1245" w:type="dxa"/>
          </w:tcPr>
          <w:p w14:paraId="6A18F48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1.34</w:t>
            </w:r>
          </w:p>
        </w:tc>
        <w:tc>
          <w:tcPr>
            <w:tcW w:w="960" w:type="dxa"/>
          </w:tcPr>
          <w:p w14:paraId="5A6A7B1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49.51</w:t>
            </w:r>
          </w:p>
        </w:tc>
        <w:tc>
          <w:tcPr>
            <w:tcW w:w="1305" w:type="dxa"/>
          </w:tcPr>
          <w:p w14:paraId="4201389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654.77</w:t>
            </w:r>
          </w:p>
        </w:tc>
      </w:tr>
      <w:tr w:rsidR="00B94E8C" w14:paraId="3A2C9E6C" w14:textId="77777777" w:rsidTr="00B94E8C">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14:paraId="11A07597" w14:textId="77777777" w:rsidR="00B94E8C" w:rsidRDefault="00AD1B3A">
            <w:pPr>
              <w:pStyle w:val="NoSpacing"/>
              <w:jc w:val="both"/>
              <w:rPr>
                <w:rFonts w:ascii="Arial" w:hAnsi="Arial" w:cs="Arial"/>
                <w:sz w:val="24"/>
                <w:szCs w:val="24"/>
              </w:rPr>
            </w:pPr>
            <w:r>
              <w:rPr>
                <w:rFonts w:ascii="Arial" w:hAnsi="Arial" w:cs="Arial"/>
                <w:sz w:val="24"/>
                <w:szCs w:val="24"/>
              </w:rPr>
              <w:t>Control (T5)</w:t>
            </w:r>
          </w:p>
        </w:tc>
        <w:tc>
          <w:tcPr>
            <w:tcW w:w="945" w:type="dxa"/>
            <w:shd w:val="clear" w:color="auto" w:fill="F2F2F2" w:themeFill="background1" w:themeFillShade="F2"/>
          </w:tcPr>
          <w:p w14:paraId="53CBC9A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899.6</w:t>
            </w:r>
          </w:p>
        </w:tc>
        <w:tc>
          <w:tcPr>
            <w:tcW w:w="840" w:type="dxa"/>
            <w:shd w:val="clear" w:color="auto" w:fill="F2F2F2" w:themeFill="background1" w:themeFillShade="F2"/>
          </w:tcPr>
          <w:p w14:paraId="4C0383B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16.23</w:t>
            </w:r>
          </w:p>
        </w:tc>
        <w:tc>
          <w:tcPr>
            <w:tcW w:w="930" w:type="dxa"/>
            <w:shd w:val="clear" w:color="auto" w:fill="F2F2F2" w:themeFill="background1" w:themeFillShade="F2"/>
          </w:tcPr>
          <w:p w14:paraId="3DE146A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84.17</w:t>
            </w:r>
          </w:p>
        </w:tc>
        <w:tc>
          <w:tcPr>
            <w:tcW w:w="915" w:type="dxa"/>
            <w:shd w:val="clear" w:color="auto" w:fill="F2F2F2" w:themeFill="background1" w:themeFillShade="F2"/>
          </w:tcPr>
          <w:p w14:paraId="0660EEA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0.19</w:t>
            </w:r>
          </w:p>
        </w:tc>
        <w:tc>
          <w:tcPr>
            <w:tcW w:w="1230" w:type="dxa"/>
            <w:shd w:val="clear" w:color="auto" w:fill="F2F2F2" w:themeFill="background1" w:themeFillShade="F2"/>
          </w:tcPr>
          <w:p w14:paraId="4FAF6E8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14:paraId="18301B4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1.56</w:t>
            </w:r>
          </w:p>
        </w:tc>
        <w:tc>
          <w:tcPr>
            <w:tcW w:w="960" w:type="dxa"/>
            <w:shd w:val="clear" w:color="auto" w:fill="F2F2F2" w:themeFill="background1" w:themeFillShade="F2"/>
          </w:tcPr>
          <w:p w14:paraId="0893D57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41.22</w:t>
            </w:r>
          </w:p>
        </w:tc>
        <w:tc>
          <w:tcPr>
            <w:tcW w:w="1305" w:type="dxa"/>
            <w:shd w:val="clear" w:color="auto" w:fill="F2F2F2" w:themeFill="background1" w:themeFillShade="F2"/>
          </w:tcPr>
          <w:p w14:paraId="2A70886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200.16</w:t>
            </w:r>
          </w:p>
        </w:tc>
      </w:tr>
      <w:tr w:rsidR="00B94E8C" w14:paraId="4EA5485F" w14:textId="77777777" w:rsidTr="00B94E8C">
        <w:tc>
          <w:tcPr>
            <w:cnfStyle w:val="001000000000" w:firstRow="0" w:lastRow="0" w:firstColumn="1" w:lastColumn="0" w:oddVBand="0" w:evenVBand="0" w:oddHBand="0" w:evenHBand="0" w:firstRowFirstColumn="0" w:firstRowLastColumn="0" w:lastRowFirstColumn="0" w:lastRowLastColumn="0"/>
            <w:tcW w:w="2445" w:type="dxa"/>
          </w:tcPr>
          <w:p w14:paraId="5CC65D04" w14:textId="77777777" w:rsidR="00B94E8C" w:rsidRDefault="00AD1B3A">
            <w:pPr>
              <w:pStyle w:val="NoSpacing"/>
              <w:jc w:val="both"/>
              <w:rPr>
                <w:rFonts w:ascii="Arial" w:hAnsi="Arial" w:cs="Arial"/>
                <w:sz w:val="24"/>
                <w:szCs w:val="24"/>
              </w:rPr>
            </w:pPr>
            <w:r>
              <w:rPr>
                <w:rFonts w:ascii="Arial" w:hAnsi="Arial" w:cs="Arial"/>
                <w:sz w:val="24"/>
                <w:szCs w:val="24"/>
              </w:rPr>
              <w:t>LSD (P=0.05)</w:t>
            </w:r>
          </w:p>
        </w:tc>
        <w:tc>
          <w:tcPr>
            <w:tcW w:w="945" w:type="dxa"/>
          </w:tcPr>
          <w:p w14:paraId="40EB3CB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2.33*</w:t>
            </w:r>
          </w:p>
        </w:tc>
        <w:tc>
          <w:tcPr>
            <w:tcW w:w="840" w:type="dxa"/>
          </w:tcPr>
          <w:p w14:paraId="1B861A2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930" w:type="dxa"/>
          </w:tcPr>
          <w:p w14:paraId="02A5BE1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1.33*</w:t>
            </w:r>
          </w:p>
        </w:tc>
        <w:tc>
          <w:tcPr>
            <w:tcW w:w="915" w:type="dxa"/>
          </w:tcPr>
          <w:p w14:paraId="2B7AE24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230" w:type="dxa"/>
          </w:tcPr>
          <w:p w14:paraId="2447C12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45" w:type="dxa"/>
          </w:tcPr>
          <w:p w14:paraId="6FC982E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0.22*</w:t>
            </w:r>
          </w:p>
        </w:tc>
        <w:tc>
          <w:tcPr>
            <w:tcW w:w="960" w:type="dxa"/>
          </w:tcPr>
          <w:p w14:paraId="20AED4C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1.23*</w:t>
            </w:r>
          </w:p>
        </w:tc>
        <w:tc>
          <w:tcPr>
            <w:tcW w:w="1305" w:type="dxa"/>
          </w:tcPr>
          <w:p w14:paraId="6E264EA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43.21*</w:t>
            </w:r>
          </w:p>
        </w:tc>
      </w:tr>
    </w:tbl>
    <w:p w14:paraId="35D6325D" w14:textId="77777777" w:rsidR="00B94E8C" w:rsidRDefault="00AD1B3A">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t>4.2. Chemical properties.</w:t>
      </w:r>
    </w:p>
    <w:p w14:paraId="7556E90E" w14:textId="77777777" w:rsidR="00B94E8C" w:rsidRDefault="00AD1B3A">
      <w:pPr>
        <w:spacing w:line="480" w:lineRule="auto"/>
        <w:jc w:val="both"/>
        <w:rPr>
          <w:rFonts w:ascii="Arial" w:hAnsi="Arial" w:cs="Arial"/>
          <w:sz w:val="24"/>
          <w:szCs w:val="24"/>
        </w:rPr>
      </w:pPr>
      <w:r>
        <w:rPr>
          <w:rStyle w:val="Strong"/>
          <w:rFonts w:ascii="Arial" w:hAnsi="Arial" w:cs="Arial"/>
          <w:sz w:val="24"/>
          <w:szCs w:val="24"/>
        </w:rPr>
        <w:t>4.2.1 Soil Reaction (pH)</w:t>
      </w:r>
    </w:p>
    <w:p w14:paraId="2237C509" w14:textId="77777777" w:rsidR="00B94E8C" w:rsidRDefault="00AD1B3A">
      <w:pPr>
        <w:pStyle w:val="NormalWeb"/>
        <w:spacing w:line="360" w:lineRule="auto"/>
        <w:jc w:val="both"/>
        <w:rPr>
          <w:rFonts w:ascii="Arial" w:hAnsi="Arial" w:cs="Arial"/>
        </w:rPr>
      </w:pPr>
      <w:r>
        <w:rPr>
          <w:rFonts w:ascii="Arial" w:hAnsi="Arial" w:cs="Arial"/>
        </w:rPr>
        <w:t xml:space="preserve">The use of organic amendments resulted in a substantial rise in soil pH compared to the control, thus indicating a degree of reduction in soil acidity. The control soil had a strongly acidic pH (4.63) (Table 2), which is characteristic of highly weathered </w:t>
      </w:r>
      <w:r>
        <w:rPr>
          <w:rFonts w:ascii="Arial" w:hAnsi="Arial" w:cs="Arial"/>
        </w:rPr>
        <w:t>tropical soils in southeastern Nigeria, where leaching of basic cations and the dominance of exchangeable acidity are prevalent (Lal, 2009; Brady &amp; Weil, 2017). However, the soils treated with poultry droppings (5.77), pig slurry (5.61), goat droppings (5.</w:t>
      </w:r>
      <w:r>
        <w:rPr>
          <w:rFonts w:ascii="Arial" w:hAnsi="Arial" w:cs="Arial"/>
        </w:rPr>
        <w:t>34), and the mixture of amendments (5.85) showed a marked rise in pH values, which were significantly different at P ≤ 0.05. The liming properties of organic amendments can be explained by the release of basic cations such as Ca²⁺, Mg²⁺, K⁺, and Na⁺ ions d</w:t>
      </w:r>
      <w:r>
        <w:rPr>
          <w:rFonts w:ascii="Arial" w:hAnsi="Arial" w:cs="Arial"/>
        </w:rPr>
        <w:t xml:space="preserve">uring the process of decomposition, as well as the complexation of Al³⁺ and H⁺ ions by organic ligands (Haynes &amp; Naidu, 1998). Similar observations of increased soil pH values after manure application have been observed for </w:t>
      </w:r>
      <w:proofErr w:type="spellStart"/>
      <w:r>
        <w:rPr>
          <w:rFonts w:ascii="Arial" w:hAnsi="Arial" w:cs="Arial"/>
        </w:rPr>
        <w:t>Ultisols</w:t>
      </w:r>
      <w:proofErr w:type="spellEnd"/>
      <w:r>
        <w:rPr>
          <w:rFonts w:ascii="Arial" w:hAnsi="Arial" w:cs="Arial"/>
        </w:rPr>
        <w:t xml:space="preserve"> and </w:t>
      </w:r>
      <w:proofErr w:type="spellStart"/>
      <w:r>
        <w:rPr>
          <w:rFonts w:ascii="Arial" w:hAnsi="Arial" w:cs="Arial"/>
        </w:rPr>
        <w:t>Alfisols</w:t>
      </w:r>
      <w:proofErr w:type="spellEnd"/>
      <w:r>
        <w:rPr>
          <w:rFonts w:ascii="Arial" w:hAnsi="Arial" w:cs="Arial"/>
        </w:rPr>
        <w:t xml:space="preserve"> in souther</w:t>
      </w:r>
      <w:r>
        <w:rPr>
          <w:rFonts w:ascii="Arial" w:hAnsi="Arial" w:cs="Arial"/>
        </w:rPr>
        <w:t xml:space="preserve">n Nigeria (Agim et al., 2012; </w:t>
      </w:r>
      <w:proofErr w:type="spellStart"/>
      <w:r>
        <w:rPr>
          <w:rFonts w:ascii="Arial" w:hAnsi="Arial" w:cs="Arial"/>
        </w:rPr>
        <w:t>Ojeniyi</w:t>
      </w:r>
      <w:proofErr w:type="spellEnd"/>
      <w:r>
        <w:rPr>
          <w:rFonts w:ascii="Arial" w:hAnsi="Arial" w:cs="Arial"/>
        </w:rPr>
        <w:t xml:space="preserve"> et al., 2012; </w:t>
      </w:r>
      <w:proofErr w:type="spellStart"/>
      <w:r>
        <w:rPr>
          <w:rFonts w:ascii="Arial" w:hAnsi="Arial" w:cs="Arial"/>
        </w:rPr>
        <w:t>Adesodun</w:t>
      </w:r>
      <w:proofErr w:type="spellEnd"/>
      <w:r>
        <w:rPr>
          <w:rFonts w:ascii="Arial" w:hAnsi="Arial" w:cs="Arial"/>
        </w:rPr>
        <w:t xml:space="preserve"> et al., 2005).</w:t>
      </w:r>
    </w:p>
    <w:p w14:paraId="508EA2FD" w14:textId="77777777" w:rsidR="00B94E8C" w:rsidRDefault="00AD1B3A">
      <w:pPr>
        <w:pStyle w:val="Heading3"/>
        <w:spacing w:line="360" w:lineRule="auto"/>
        <w:jc w:val="both"/>
        <w:rPr>
          <w:rFonts w:ascii="Arial" w:hAnsi="Arial" w:cs="Arial" w:hint="default"/>
          <w:sz w:val="24"/>
          <w:szCs w:val="24"/>
        </w:rPr>
      </w:pPr>
      <w:r>
        <w:rPr>
          <w:rStyle w:val="Strong"/>
          <w:rFonts w:ascii="Arial" w:hAnsi="Arial" w:cs="Arial" w:hint="default"/>
          <w:b/>
          <w:bCs/>
          <w:sz w:val="24"/>
          <w:szCs w:val="24"/>
        </w:rPr>
        <w:t xml:space="preserve">4.2.2 Soil Organic Carbon (SOC) </w:t>
      </w:r>
    </w:p>
    <w:p w14:paraId="0B0FB102" w14:textId="77777777" w:rsidR="00B94E8C" w:rsidRDefault="00AD1B3A">
      <w:pPr>
        <w:spacing w:line="360" w:lineRule="auto"/>
        <w:jc w:val="both"/>
        <w:rPr>
          <w:rFonts w:ascii="Arial" w:hAnsi="Arial" w:cs="Arial"/>
          <w:sz w:val="24"/>
          <w:szCs w:val="24"/>
        </w:rPr>
      </w:pPr>
      <w:r>
        <w:rPr>
          <w:rFonts w:ascii="Arial" w:hAnsi="Arial" w:cs="Arial"/>
          <w:sz w:val="24"/>
          <w:szCs w:val="24"/>
        </w:rPr>
        <w:lastRenderedPageBreak/>
        <w:t>Application of organic amendments significantly increased SOC contents compared to the control. The control had the lowest SOC (0.48gkg</w:t>
      </w:r>
      <w:r>
        <w:rPr>
          <w:rFonts w:ascii="Arial" w:hAnsi="Arial" w:cs="Arial"/>
          <w:sz w:val="24"/>
          <w:szCs w:val="24"/>
          <w:vertAlign w:val="superscript"/>
        </w:rPr>
        <w:t>-1</w:t>
      </w:r>
      <w:r>
        <w:rPr>
          <w:rFonts w:ascii="Arial" w:hAnsi="Arial" w:cs="Arial"/>
          <w:sz w:val="24"/>
          <w:szCs w:val="24"/>
        </w:rPr>
        <w:t xml:space="preserve">) (Table </w:t>
      </w:r>
      <w:r>
        <w:rPr>
          <w:rFonts w:ascii="Arial" w:hAnsi="Arial" w:cs="Arial"/>
          <w:sz w:val="24"/>
          <w:szCs w:val="24"/>
        </w:rPr>
        <w:t>2), indicating depletion of organic matter due to continuous cultivation and erosion. On the other hand, the combination of organic amendments and goat droppings had the highest SOC (1.11gkg</w:t>
      </w:r>
      <w:r>
        <w:rPr>
          <w:rFonts w:ascii="Arial" w:hAnsi="Arial" w:cs="Arial"/>
          <w:sz w:val="24"/>
          <w:szCs w:val="24"/>
          <w:vertAlign w:val="superscript"/>
        </w:rPr>
        <w:t>-1</w:t>
      </w:r>
      <w:r>
        <w:rPr>
          <w:rFonts w:ascii="Arial" w:hAnsi="Arial" w:cs="Arial"/>
          <w:sz w:val="24"/>
          <w:szCs w:val="24"/>
        </w:rPr>
        <w:t xml:space="preserve"> and 1.07gkg</w:t>
      </w:r>
      <w:r>
        <w:rPr>
          <w:rFonts w:ascii="Arial" w:hAnsi="Arial" w:cs="Arial"/>
          <w:sz w:val="24"/>
          <w:szCs w:val="24"/>
          <w:vertAlign w:val="superscript"/>
        </w:rPr>
        <w:t>-1</w:t>
      </w:r>
      <w:r>
        <w:rPr>
          <w:rFonts w:ascii="Arial" w:hAnsi="Arial" w:cs="Arial"/>
          <w:sz w:val="24"/>
          <w:szCs w:val="24"/>
        </w:rPr>
        <w:t>, respectively). The increase in SOC level is attr</w:t>
      </w:r>
      <w:r>
        <w:rPr>
          <w:rFonts w:ascii="Arial" w:hAnsi="Arial" w:cs="Arial"/>
          <w:sz w:val="24"/>
          <w:szCs w:val="24"/>
        </w:rPr>
        <w:t xml:space="preserve">ibuted to the direct addition of organic carbon from manure application and the subsequent increase in microbial biomass and residues (Six et al., 2004). Increased </w:t>
      </w:r>
      <w:proofErr w:type="gramStart"/>
      <w:r>
        <w:rPr>
          <w:rFonts w:ascii="Arial" w:hAnsi="Arial" w:cs="Arial"/>
          <w:sz w:val="24"/>
          <w:szCs w:val="24"/>
        </w:rPr>
        <w:t>SOC  levels</w:t>
      </w:r>
      <w:proofErr w:type="gramEnd"/>
      <w:r>
        <w:rPr>
          <w:rFonts w:ascii="Arial" w:hAnsi="Arial" w:cs="Arial"/>
          <w:sz w:val="24"/>
          <w:szCs w:val="24"/>
        </w:rPr>
        <w:t xml:space="preserve"> improves aggregate stability, nutrient cycling, and overall soil health. These r</w:t>
      </w:r>
      <w:r>
        <w:rPr>
          <w:rFonts w:ascii="Arial" w:hAnsi="Arial" w:cs="Arial"/>
          <w:sz w:val="24"/>
          <w:szCs w:val="24"/>
        </w:rPr>
        <w:t>esults support previous research that showed organic amendments to be effective in restoring organic matter levels in degraded tropical soils (Mbagwu &amp; Piccolo, 1993; Lal, 2009).</w:t>
      </w:r>
    </w:p>
    <w:p w14:paraId="74065F2F" w14:textId="77777777" w:rsidR="00B94E8C" w:rsidRDefault="00AD1B3A">
      <w:pPr>
        <w:pStyle w:val="Heading3"/>
        <w:jc w:val="both"/>
        <w:rPr>
          <w:rFonts w:ascii="Arial" w:hAnsi="Arial" w:cs="Arial" w:hint="default"/>
          <w:sz w:val="24"/>
          <w:szCs w:val="24"/>
        </w:rPr>
      </w:pPr>
      <w:r>
        <w:rPr>
          <w:rStyle w:val="Strong"/>
          <w:rFonts w:ascii="Arial" w:hAnsi="Arial" w:cs="Arial" w:hint="default"/>
          <w:b/>
          <w:bCs/>
          <w:sz w:val="24"/>
          <w:szCs w:val="24"/>
        </w:rPr>
        <w:t>4.2.3 Available Phosphorus</w:t>
      </w:r>
    </w:p>
    <w:p w14:paraId="337E7686" w14:textId="77777777" w:rsidR="00B94E8C" w:rsidRDefault="00AD1B3A">
      <w:pPr>
        <w:pStyle w:val="Heading3"/>
        <w:spacing w:line="360" w:lineRule="auto"/>
        <w:jc w:val="both"/>
        <w:rPr>
          <w:rFonts w:ascii="Arial" w:hAnsi="Arial" w:cs="Arial" w:hint="default"/>
          <w:color w:val="FF0000"/>
          <w:sz w:val="24"/>
          <w:szCs w:val="24"/>
        </w:rPr>
      </w:pPr>
      <w:r>
        <w:rPr>
          <w:rFonts w:ascii="Arial" w:hAnsi="Arial" w:cs="Arial" w:hint="default"/>
          <w:b w:val="0"/>
          <w:bCs w:val="0"/>
          <w:sz w:val="24"/>
          <w:szCs w:val="24"/>
        </w:rPr>
        <w:t xml:space="preserve">Available phosphorus was significantly (P ≤ 0.05) </w:t>
      </w:r>
      <w:r>
        <w:rPr>
          <w:rFonts w:ascii="Arial" w:hAnsi="Arial" w:cs="Arial" w:hint="default"/>
          <w:b w:val="0"/>
          <w:bCs w:val="0"/>
          <w:sz w:val="24"/>
          <w:szCs w:val="24"/>
        </w:rPr>
        <w:t>different among treatments, with poultry manure having the highest concentration (71.13 mgkg</w:t>
      </w:r>
      <w:r>
        <w:rPr>
          <w:rFonts w:ascii="Arial" w:hAnsi="Arial" w:cs="Arial" w:hint="default"/>
          <w:b w:val="0"/>
          <w:bCs w:val="0"/>
          <w:sz w:val="24"/>
          <w:szCs w:val="24"/>
          <w:vertAlign w:val="superscript"/>
        </w:rPr>
        <w:t>-1</w:t>
      </w:r>
      <w:proofErr w:type="gramStart"/>
      <w:r>
        <w:rPr>
          <w:rFonts w:ascii="Arial" w:hAnsi="Arial" w:cs="Arial" w:hint="default"/>
          <w:b w:val="0"/>
          <w:bCs w:val="0"/>
          <w:sz w:val="24"/>
          <w:szCs w:val="24"/>
        </w:rPr>
        <w:t xml:space="preserve">) </w:t>
      </w:r>
      <w:r>
        <w:rPr>
          <w:rFonts w:ascii="Arial" w:hAnsi="Arial" w:cs="Arial" w:hint="default"/>
          <w:sz w:val="24"/>
          <w:szCs w:val="24"/>
        </w:rPr>
        <w:t xml:space="preserve"> </w:t>
      </w:r>
      <w:r>
        <w:rPr>
          <w:rFonts w:ascii="Arial" w:hAnsi="Arial" w:cs="Arial" w:hint="default"/>
          <w:b w:val="0"/>
          <w:bCs w:val="0"/>
          <w:sz w:val="24"/>
          <w:szCs w:val="24"/>
        </w:rPr>
        <w:t>(</w:t>
      </w:r>
      <w:proofErr w:type="gramEnd"/>
      <w:r>
        <w:rPr>
          <w:rFonts w:ascii="Arial" w:hAnsi="Arial" w:cs="Arial" w:hint="default"/>
          <w:b w:val="0"/>
          <w:bCs w:val="0"/>
          <w:sz w:val="24"/>
          <w:szCs w:val="24"/>
        </w:rPr>
        <w:t>Table 2), followed by the combination of amendments (60.00 ppm) and pig slurry (59.94 mgkg</w:t>
      </w:r>
      <w:r>
        <w:rPr>
          <w:rFonts w:ascii="Arial" w:hAnsi="Arial" w:cs="Arial" w:hint="default"/>
          <w:b w:val="0"/>
          <w:bCs w:val="0"/>
          <w:sz w:val="24"/>
          <w:szCs w:val="24"/>
          <w:vertAlign w:val="superscript"/>
        </w:rPr>
        <w:t>-1</w:t>
      </w:r>
      <w:r>
        <w:rPr>
          <w:rFonts w:ascii="Arial" w:hAnsi="Arial" w:cs="Arial" w:hint="default"/>
          <w:b w:val="0"/>
          <w:bCs w:val="0"/>
          <w:sz w:val="24"/>
          <w:szCs w:val="24"/>
        </w:rPr>
        <w:t>). The lower available P (</w:t>
      </w:r>
      <w:proofErr w:type="spellStart"/>
      <w:r>
        <w:rPr>
          <w:rFonts w:ascii="Arial" w:hAnsi="Arial" w:cs="Arial" w:hint="default"/>
          <w:b w:val="0"/>
          <w:bCs w:val="0"/>
          <w:sz w:val="24"/>
          <w:szCs w:val="24"/>
        </w:rPr>
        <w:t>Eshett</w:t>
      </w:r>
      <w:proofErr w:type="spellEnd"/>
      <w:r>
        <w:rPr>
          <w:rFonts w:ascii="Arial" w:hAnsi="Arial" w:cs="Arial" w:hint="default"/>
          <w:b w:val="0"/>
          <w:bCs w:val="0"/>
          <w:sz w:val="24"/>
          <w:szCs w:val="24"/>
        </w:rPr>
        <w:t xml:space="preserve"> et al. 1992) in the control soil </w:t>
      </w:r>
      <w:r>
        <w:rPr>
          <w:rFonts w:ascii="Arial" w:hAnsi="Arial" w:cs="Arial" w:hint="default"/>
          <w:b w:val="0"/>
          <w:bCs w:val="0"/>
          <w:sz w:val="24"/>
          <w:szCs w:val="24"/>
        </w:rPr>
        <w:t>(27.91 ppm) is typical of acidic tropical soils, where phosphorus is usually fixed by iron and aluminum oxides (</w:t>
      </w:r>
      <w:proofErr w:type="spellStart"/>
      <w:r>
        <w:rPr>
          <w:rFonts w:ascii="Arial" w:hAnsi="Arial" w:cs="Arial" w:hint="default"/>
          <w:b w:val="0"/>
          <w:bCs w:val="0"/>
          <w:sz w:val="24"/>
          <w:szCs w:val="24"/>
        </w:rPr>
        <w:t>Akamigbo</w:t>
      </w:r>
      <w:proofErr w:type="spellEnd"/>
      <w:r>
        <w:rPr>
          <w:rFonts w:ascii="Arial" w:hAnsi="Arial" w:cs="Arial" w:hint="default"/>
          <w:b w:val="0"/>
          <w:bCs w:val="0"/>
          <w:sz w:val="24"/>
          <w:szCs w:val="24"/>
        </w:rPr>
        <w:t xml:space="preserve"> and </w:t>
      </w:r>
      <w:proofErr w:type="spellStart"/>
      <w:r>
        <w:rPr>
          <w:rFonts w:ascii="Arial" w:hAnsi="Arial" w:cs="Arial" w:hint="default"/>
          <w:b w:val="0"/>
          <w:bCs w:val="0"/>
          <w:sz w:val="24"/>
          <w:szCs w:val="24"/>
        </w:rPr>
        <w:t>Igwe</w:t>
      </w:r>
      <w:proofErr w:type="spellEnd"/>
      <w:r>
        <w:rPr>
          <w:rFonts w:ascii="Arial" w:hAnsi="Arial" w:cs="Arial" w:hint="default"/>
          <w:b w:val="0"/>
          <w:bCs w:val="0"/>
          <w:sz w:val="24"/>
          <w:szCs w:val="24"/>
        </w:rPr>
        <w:t xml:space="preserve"> 1990, Brady &amp; Weil, 2017). Organic amendments increase the availability of phosphorus by releasing P during mineralization and</w:t>
      </w:r>
      <w:r>
        <w:rPr>
          <w:rFonts w:ascii="Arial" w:hAnsi="Arial" w:cs="Arial" w:hint="default"/>
          <w:b w:val="0"/>
          <w:bCs w:val="0"/>
          <w:sz w:val="24"/>
          <w:szCs w:val="24"/>
        </w:rPr>
        <w:t xml:space="preserve"> by preventing P fixation through competition and chelation of Fe and Al ions (</w:t>
      </w:r>
      <w:proofErr w:type="spellStart"/>
      <w:r>
        <w:rPr>
          <w:rFonts w:ascii="Arial" w:hAnsi="Arial" w:cs="Arial" w:hint="default"/>
          <w:b w:val="0"/>
          <w:bCs w:val="0"/>
          <w:sz w:val="24"/>
          <w:szCs w:val="24"/>
        </w:rPr>
        <w:t>Nziguheba</w:t>
      </w:r>
      <w:proofErr w:type="spellEnd"/>
      <w:r>
        <w:rPr>
          <w:rFonts w:ascii="Arial" w:hAnsi="Arial" w:cs="Arial" w:hint="default"/>
          <w:b w:val="0"/>
          <w:bCs w:val="0"/>
          <w:sz w:val="24"/>
          <w:szCs w:val="24"/>
        </w:rPr>
        <w:t xml:space="preserve"> &amp; </w:t>
      </w:r>
      <w:proofErr w:type="spellStart"/>
      <w:r>
        <w:rPr>
          <w:rFonts w:ascii="Arial" w:hAnsi="Arial" w:cs="Arial" w:hint="default"/>
          <w:b w:val="0"/>
          <w:bCs w:val="0"/>
          <w:sz w:val="24"/>
          <w:szCs w:val="24"/>
        </w:rPr>
        <w:t>Bünemann</w:t>
      </w:r>
      <w:proofErr w:type="spellEnd"/>
      <w:r>
        <w:rPr>
          <w:rFonts w:ascii="Arial" w:hAnsi="Arial" w:cs="Arial" w:hint="default"/>
          <w:b w:val="0"/>
          <w:bCs w:val="0"/>
          <w:sz w:val="24"/>
          <w:szCs w:val="24"/>
        </w:rPr>
        <w:t xml:space="preserve">, 2005). Poultry manure is known to have high concentrations of available phosphorus, hence its superior performance in this study, as also found by </w:t>
      </w:r>
      <w:proofErr w:type="spellStart"/>
      <w:r>
        <w:rPr>
          <w:rFonts w:ascii="Arial" w:hAnsi="Arial" w:cs="Arial" w:hint="default"/>
          <w:b w:val="0"/>
          <w:bCs w:val="0"/>
          <w:sz w:val="24"/>
          <w:szCs w:val="24"/>
        </w:rPr>
        <w:t>Ojeniyi</w:t>
      </w:r>
      <w:proofErr w:type="spellEnd"/>
      <w:r>
        <w:rPr>
          <w:rFonts w:ascii="Arial" w:hAnsi="Arial" w:cs="Arial" w:hint="default"/>
          <w:b w:val="0"/>
          <w:bCs w:val="0"/>
          <w:sz w:val="24"/>
          <w:szCs w:val="24"/>
        </w:rPr>
        <w:t xml:space="preserve"> </w:t>
      </w:r>
      <w:r>
        <w:rPr>
          <w:rFonts w:ascii="Arial" w:hAnsi="Arial" w:cs="Arial" w:hint="default"/>
          <w:b w:val="0"/>
          <w:bCs w:val="0"/>
          <w:sz w:val="24"/>
          <w:szCs w:val="24"/>
        </w:rPr>
        <w:t>et al. (2012) and Ayeni (2011).</w:t>
      </w:r>
    </w:p>
    <w:p w14:paraId="1595D49D" w14:textId="77777777" w:rsidR="00B94E8C" w:rsidRDefault="00AD1B3A">
      <w:pPr>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lang w:val="en-GB" w:eastAsia="en-GB"/>
        </w:rPr>
        <mc:AlternateContent>
          <mc:Choice Requires="wps">
            <w:drawing>
              <wp:anchor distT="0" distB="0" distL="114300" distR="114300" simplePos="0" relativeHeight="251657216" behindDoc="0" locked="0" layoutInCell="1" allowOverlap="1" wp14:anchorId="54AFC8C3" wp14:editId="76B5C158">
                <wp:simplePos x="0" y="0"/>
                <wp:positionH relativeFrom="column">
                  <wp:posOffset>153670</wp:posOffset>
                </wp:positionH>
                <wp:positionV relativeFrom="paragraph">
                  <wp:posOffset>219710</wp:posOffset>
                </wp:positionV>
                <wp:extent cx="8472170" cy="22225"/>
                <wp:effectExtent l="0" t="4445" r="5080" b="11430"/>
                <wp:wrapNone/>
                <wp:docPr id="22" name="Straight Connector 22"/>
                <wp:cNvGraphicFramePr/>
                <a:graphic xmlns:a="http://schemas.openxmlformats.org/drawingml/2006/main">
                  <a:graphicData uri="http://schemas.microsoft.com/office/word/2010/wordprocessingShape">
                    <wps:wsp>
                      <wps:cNvCnPr/>
                      <wps:spPr>
                        <a:xfrm>
                          <a:off x="0" y="0"/>
                          <a:ext cx="8471971" cy="22034"/>
                        </a:xfrm>
                        <a:prstGeom prst="line">
                          <a:avLst/>
                        </a:prstGeom>
                        <a:noFill/>
                        <a:ln w="9525" cap="flat" cmpd="sng" algn="ctr">
                          <a:solidFill>
                            <a:srgbClr val="000000"/>
                          </a:solidFill>
                          <a:prstDash val="solid"/>
                        </a:ln>
                        <a:effectLst/>
                      </wps:spPr>
                      <wps:bodyPr/>
                    </wps:wsp>
                  </a:graphicData>
                </a:graphic>
              </wp:anchor>
            </w:drawing>
          </mc:Choice>
          <mc:Fallback>
            <w:pict>
              <v:line w14:anchorId="26E16651" id="Straight Connector 2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1pt,17.3pt" to="679.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"/>
            </w:pict>
          </mc:Fallback>
        </mc:AlternateContent>
      </w:r>
      <w:r>
        <w:rPr>
          <w:rFonts w:ascii="Arial" w:hAnsi="Arial" w:cs="Arial"/>
          <w:b/>
          <w:bCs/>
          <w:color w:val="000000" w:themeColor="text1"/>
          <w:sz w:val="24"/>
          <w:szCs w:val="24"/>
        </w:rPr>
        <w:t>Table 2. Chemical properties of soil samples before amendment</w:t>
      </w:r>
    </w:p>
    <w:tbl>
      <w:tblPr>
        <w:tblStyle w:val="PlainTable41"/>
        <w:tblW w:w="11055" w:type="dxa"/>
        <w:tblLayout w:type="fixed"/>
        <w:tblLook w:val="04A0" w:firstRow="1" w:lastRow="0" w:firstColumn="1" w:lastColumn="0" w:noHBand="0" w:noVBand="1"/>
      </w:tblPr>
      <w:tblGrid>
        <w:gridCol w:w="1905"/>
        <w:gridCol w:w="855"/>
        <w:gridCol w:w="750"/>
        <w:gridCol w:w="1095"/>
        <w:gridCol w:w="840"/>
        <w:gridCol w:w="825"/>
        <w:gridCol w:w="765"/>
        <w:gridCol w:w="765"/>
        <w:gridCol w:w="825"/>
        <w:gridCol w:w="735"/>
        <w:gridCol w:w="855"/>
        <w:gridCol w:w="840"/>
      </w:tblGrid>
      <w:tr w:rsidR="00B94E8C" w14:paraId="4E36E77F" w14:textId="77777777" w:rsidTr="00B94E8C">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05" w:type="dxa"/>
          </w:tcPr>
          <w:p w14:paraId="300A4E06" w14:textId="77777777" w:rsidR="00B94E8C" w:rsidRDefault="00AD1B3A">
            <w:pPr>
              <w:pStyle w:val="NoSpacing"/>
              <w:jc w:val="both"/>
              <w:rPr>
                <w:rFonts w:ascii="Arial" w:hAnsi="Arial" w:cs="Arial"/>
                <w:sz w:val="24"/>
                <w:szCs w:val="24"/>
              </w:rPr>
            </w:pPr>
            <w:r>
              <w:rPr>
                <w:rFonts w:ascii="Arial" w:hAnsi="Arial" w:cs="Arial"/>
                <w:sz w:val="24"/>
                <w:szCs w:val="24"/>
              </w:rPr>
              <w:t>Samples</w:t>
            </w:r>
            <w:r>
              <w:rPr>
                <w:rFonts w:ascii="Arial" w:hAnsi="Arial" w:cs="Arial"/>
                <w:sz w:val="24"/>
                <w:szCs w:val="24"/>
              </w:rPr>
              <w:tab/>
            </w:r>
          </w:p>
        </w:tc>
        <w:tc>
          <w:tcPr>
            <w:tcW w:w="855" w:type="dxa"/>
          </w:tcPr>
          <w:p w14:paraId="165FFE7E"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pH</w:t>
            </w:r>
          </w:p>
        </w:tc>
        <w:tc>
          <w:tcPr>
            <w:tcW w:w="750" w:type="dxa"/>
          </w:tcPr>
          <w:p w14:paraId="7BB2F818"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SOC</w:t>
            </w:r>
          </w:p>
        </w:tc>
        <w:tc>
          <w:tcPr>
            <w:tcW w:w="1095" w:type="dxa"/>
          </w:tcPr>
          <w:p w14:paraId="1BE4A622"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Avail P</w:t>
            </w:r>
          </w:p>
        </w:tc>
        <w:tc>
          <w:tcPr>
            <w:tcW w:w="840" w:type="dxa"/>
          </w:tcPr>
          <w:p w14:paraId="2DC6321B"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Ca2+</w:t>
            </w:r>
          </w:p>
        </w:tc>
        <w:tc>
          <w:tcPr>
            <w:tcW w:w="825" w:type="dxa"/>
          </w:tcPr>
          <w:p w14:paraId="277D01CA"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w:t>
            </w:r>
          </w:p>
        </w:tc>
        <w:tc>
          <w:tcPr>
            <w:tcW w:w="765" w:type="dxa"/>
          </w:tcPr>
          <w:p w14:paraId="01BA5CE8"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Na+</w:t>
            </w:r>
          </w:p>
        </w:tc>
        <w:tc>
          <w:tcPr>
            <w:tcW w:w="765" w:type="dxa"/>
          </w:tcPr>
          <w:p w14:paraId="658ADE6F"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K+</w:t>
            </w:r>
          </w:p>
        </w:tc>
        <w:tc>
          <w:tcPr>
            <w:tcW w:w="825" w:type="dxa"/>
          </w:tcPr>
          <w:p w14:paraId="1B844456"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TEA</w:t>
            </w:r>
          </w:p>
        </w:tc>
        <w:tc>
          <w:tcPr>
            <w:tcW w:w="735" w:type="dxa"/>
          </w:tcPr>
          <w:p w14:paraId="3C3E52F6"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TEB</w:t>
            </w:r>
          </w:p>
        </w:tc>
        <w:tc>
          <w:tcPr>
            <w:tcW w:w="855" w:type="dxa"/>
          </w:tcPr>
          <w:p w14:paraId="3E01784A"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ECEC</w:t>
            </w:r>
          </w:p>
        </w:tc>
        <w:tc>
          <w:tcPr>
            <w:tcW w:w="840" w:type="dxa"/>
          </w:tcPr>
          <w:p w14:paraId="59708F50"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BS</w:t>
            </w:r>
          </w:p>
        </w:tc>
      </w:tr>
      <w:tr w:rsidR="00B94E8C" w14:paraId="61FF9113"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14:paraId="2B5BE182" w14:textId="77777777" w:rsidR="00B94E8C" w:rsidRDefault="00AD1B3A">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8240" behindDoc="0" locked="0" layoutInCell="1" allowOverlap="1" wp14:anchorId="35C74B60" wp14:editId="39A365D6">
                      <wp:simplePos x="0" y="0"/>
                      <wp:positionH relativeFrom="column">
                        <wp:posOffset>80010</wp:posOffset>
                      </wp:positionH>
                      <wp:positionV relativeFrom="paragraph">
                        <wp:posOffset>635</wp:posOffset>
                      </wp:positionV>
                      <wp:extent cx="8471535" cy="21590"/>
                      <wp:effectExtent l="0" t="4445" r="5715" b="12065"/>
                      <wp:wrapNone/>
                      <wp:docPr id="23" name="Straight Connector 23"/>
                      <wp:cNvGraphicFramePr/>
                      <a:graphic xmlns:a="http://schemas.openxmlformats.org/drawingml/2006/main">
                        <a:graphicData uri="http://schemas.microsoft.com/office/word/2010/wordprocessingShape">
                          <wps:wsp>
                            <wps:cNvCnPr/>
                            <wps:spPr>
                              <a:xfrm>
                                <a:off x="0" y="0"/>
                                <a:ext cx="8471535" cy="21590"/>
                              </a:xfrm>
                              <a:prstGeom prst="line">
                                <a:avLst/>
                              </a:prstGeom>
                              <a:noFill/>
                              <a:ln w="9525" cap="flat" cmpd="sng" algn="ctr">
                                <a:solidFill>
                                  <a:srgbClr val="000000"/>
                                </a:solidFill>
                                <a:prstDash val="solid"/>
                              </a:ln>
                              <a:effectLst/>
                            </wps:spPr>
                            <wps:bodyPr/>
                          </wps:wsp>
                        </a:graphicData>
                      </a:graphic>
                    </wp:anchor>
                  </w:drawing>
                </mc:Choice>
                <mc:Fallback>
                  <w:pict>
                    <v:line w14:anchorId="6F0D1848" id="Straight Connector 2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3pt,.05pt" to="673.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"/>
                  </w:pict>
                </mc:Fallback>
              </mc:AlternateContent>
            </w:r>
          </w:p>
        </w:tc>
        <w:tc>
          <w:tcPr>
            <w:tcW w:w="855" w:type="dxa"/>
            <w:shd w:val="clear" w:color="auto" w:fill="F2F2F2" w:themeFill="background1" w:themeFillShade="F2"/>
          </w:tcPr>
          <w:p w14:paraId="7EE7010E"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50" w:type="dxa"/>
            <w:shd w:val="clear" w:color="auto" w:fill="F2F2F2" w:themeFill="background1" w:themeFillShade="F2"/>
          </w:tcPr>
          <w:p w14:paraId="7F20653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w:t>
            </w:r>
            <w:r>
              <w:rPr>
                <w:rFonts w:ascii="Arial" w:hAnsi="Arial" w:cs="Arial"/>
                <w:sz w:val="24"/>
                <w:szCs w:val="24"/>
                <w:vertAlign w:val="superscript"/>
              </w:rPr>
              <w:t>-1</w:t>
            </w:r>
          </w:p>
        </w:tc>
        <w:tc>
          <w:tcPr>
            <w:tcW w:w="1095" w:type="dxa"/>
            <w:shd w:val="clear" w:color="auto" w:fill="F2F2F2" w:themeFill="background1" w:themeFillShade="F2"/>
          </w:tcPr>
          <w:p w14:paraId="18D7641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mgkg</w:t>
            </w:r>
            <w:r>
              <w:rPr>
                <w:rFonts w:ascii="Arial" w:hAnsi="Arial" w:cs="Arial"/>
                <w:sz w:val="24"/>
                <w:szCs w:val="24"/>
                <w:vertAlign w:val="superscript"/>
              </w:rPr>
              <w:t>-1</w:t>
            </w:r>
          </w:p>
        </w:tc>
        <w:tc>
          <w:tcPr>
            <w:tcW w:w="5610" w:type="dxa"/>
            <w:gridSpan w:val="7"/>
            <w:shd w:val="clear" w:color="auto" w:fill="F2F2F2" w:themeFill="background1" w:themeFillShade="F2"/>
          </w:tcPr>
          <w:p w14:paraId="1A289FDA" w14:textId="77777777" w:rsidR="00B94E8C" w:rsidRDefault="00AD1B3A">
            <w:pPr>
              <w:pStyle w:val="NoSpacing"/>
              <w:ind w:firstLineChars="1050" w:firstLine="25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cmolk</w:t>
            </w:r>
            <w:r>
              <w:rPr>
                <w:rFonts w:ascii="Arial" w:hAnsi="Arial" w:cs="Arial"/>
                <w:sz w:val="24"/>
                <w:szCs w:val="24"/>
                <w:vertAlign w:val="superscript"/>
              </w:rPr>
              <w:t>g-</w:t>
            </w:r>
            <w:r>
              <w:rPr>
                <w:rFonts w:ascii="Arial" w:hAnsi="Arial" w:cs="Arial"/>
                <w:sz w:val="24"/>
                <w:szCs w:val="24"/>
              </w:rPr>
              <w:t>1</w:t>
            </w:r>
          </w:p>
        </w:tc>
        <w:tc>
          <w:tcPr>
            <w:tcW w:w="840" w:type="dxa"/>
            <w:shd w:val="clear" w:color="auto" w:fill="F2F2F2" w:themeFill="background1" w:themeFillShade="F2"/>
          </w:tcPr>
          <w:p w14:paraId="2389369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r>
      <w:tr w:rsidR="00B94E8C" w14:paraId="12B313BF"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tcPr>
          <w:p w14:paraId="246D606B" w14:textId="77777777" w:rsidR="00B94E8C" w:rsidRDefault="00AD1B3A">
            <w:pPr>
              <w:pStyle w:val="NoSpacing"/>
              <w:jc w:val="both"/>
              <w:rPr>
                <w:rFonts w:ascii="Arial" w:hAnsi="Arial" w:cs="Arial"/>
                <w:sz w:val="24"/>
                <w:szCs w:val="24"/>
              </w:rPr>
            </w:pPr>
            <w:r>
              <w:rPr>
                <w:rFonts w:ascii="Arial" w:hAnsi="Arial" w:cs="Arial"/>
                <w:sz w:val="24"/>
                <w:szCs w:val="24"/>
              </w:rPr>
              <w:t>Control</w:t>
            </w:r>
          </w:p>
        </w:tc>
        <w:tc>
          <w:tcPr>
            <w:tcW w:w="855" w:type="dxa"/>
          </w:tcPr>
          <w:p w14:paraId="1318AC8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4.63</w:t>
            </w:r>
          </w:p>
        </w:tc>
        <w:tc>
          <w:tcPr>
            <w:tcW w:w="750" w:type="dxa"/>
          </w:tcPr>
          <w:p w14:paraId="349FB81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0.48</w:t>
            </w:r>
          </w:p>
        </w:tc>
        <w:tc>
          <w:tcPr>
            <w:tcW w:w="1095" w:type="dxa"/>
          </w:tcPr>
          <w:p w14:paraId="6E655C2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27.91</w:t>
            </w:r>
          </w:p>
        </w:tc>
        <w:tc>
          <w:tcPr>
            <w:tcW w:w="840" w:type="dxa"/>
          </w:tcPr>
          <w:p w14:paraId="418C7D2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825" w:type="dxa"/>
          </w:tcPr>
          <w:p w14:paraId="45A97A1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0.46</w:t>
            </w:r>
          </w:p>
        </w:tc>
        <w:tc>
          <w:tcPr>
            <w:tcW w:w="765" w:type="dxa"/>
          </w:tcPr>
          <w:p w14:paraId="11BC833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0.02</w:t>
            </w:r>
          </w:p>
        </w:tc>
        <w:tc>
          <w:tcPr>
            <w:tcW w:w="765" w:type="dxa"/>
          </w:tcPr>
          <w:p w14:paraId="0801BE4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0.04</w:t>
            </w:r>
          </w:p>
        </w:tc>
        <w:tc>
          <w:tcPr>
            <w:tcW w:w="825" w:type="dxa"/>
          </w:tcPr>
          <w:p w14:paraId="45EE5F1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0.73</w:t>
            </w:r>
          </w:p>
        </w:tc>
        <w:tc>
          <w:tcPr>
            <w:tcW w:w="735" w:type="dxa"/>
          </w:tcPr>
          <w:p w14:paraId="64C314B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0.22</w:t>
            </w:r>
          </w:p>
        </w:tc>
        <w:tc>
          <w:tcPr>
            <w:tcW w:w="855" w:type="dxa"/>
          </w:tcPr>
          <w:p w14:paraId="2AFF0AD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0.95</w:t>
            </w:r>
          </w:p>
        </w:tc>
        <w:tc>
          <w:tcPr>
            <w:tcW w:w="840" w:type="dxa"/>
          </w:tcPr>
          <w:p w14:paraId="154EFFA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96.79</w:t>
            </w:r>
          </w:p>
        </w:tc>
      </w:tr>
      <w:tr w:rsidR="00B94E8C" w14:paraId="0C7652ED" w14:textId="77777777" w:rsidTr="00B94E8C">
        <w:trPr>
          <w:trHeight w:val="55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14:paraId="7B094AF1" w14:textId="77777777" w:rsidR="00B94E8C" w:rsidRDefault="00AD1B3A">
            <w:pPr>
              <w:pStyle w:val="NoSpacing"/>
              <w:jc w:val="both"/>
              <w:rPr>
                <w:rFonts w:ascii="Arial" w:hAnsi="Arial" w:cs="Arial"/>
                <w:sz w:val="24"/>
                <w:szCs w:val="24"/>
              </w:rPr>
            </w:pPr>
            <w:r>
              <w:rPr>
                <w:rFonts w:ascii="Arial" w:hAnsi="Arial" w:cs="Arial"/>
                <w:sz w:val="24"/>
                <w:szCs w:val="24"/>
              </w:rPr>
              <w:t xml:space="preserve">Mixture </w:t>
            </w:r>
            <w:r>
              <w:rPr>
                <w:rFonts w:ascii="Arial" w:hAnsi="Arial" w:cs="Arial"/>
                <w:sz w:val="24"/>
                <w:szCs w:val="24"/>
              </w:rPr>
              <w:t>of amendments</w:t>
            </w:r>
          </w:p>
        </w:tc>
        <w:tc>
          <w:tcPr>
            <w:tcW w:w="855" w:type="dxa"/>
            <w:shd w:val="clear" w:color="auto" w:fill="F2F2F2" w:themeFill="background1" w:themeFillShade="F2"/>
          </w:tcPr>
          <w:p w14:paraId="2E8D077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5.85</w:t>
            </w:r>
          </w:p>
        </w:tc>
        <w:tc>
          <w:tcPr>
            <w:tcW w:w="750" w:type="dxa"/>
            <w:shd w:val="clear" w:color="auto" w:fill="F2F2F2" w:themeFill="background1" w:themeFillShade="F2"/>
          </w:tcPr>
          <w:p w14:paraId="7364739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1.11</w:t>
            </w:r>
          </w:p>
        </w:tc>
        <w:tc>
          <w:tcPr>
            <w:tcW w:w="1095" w:type="dxa"/>
            <w:shd w:val="clear" w:color="auto" w:fill="F2F2F2" w:themeFill="background1" w:themeFillShade="F2"/>
          </w:tcPr>
          <w:p w14:paraId="6FB432E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60.00</w:t>
            </w:r>
          </w:p>
        </w:tc>
        <w:tc>
          <w:tcPr>
            <w:tcW w:w="840" w:type="dxa"/>
            <w:shd w:val="clear" w:color="auto" w:fill="F2F2F2" w:themeFill="background1" w:themeFillShade="F2"/>
          </w:tcPr>
          <w:p w14:paraId="6F111B2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6.87</w:t>
            </w:r>
          </w:p>
        </w:tc>
        <w:tc>
          <w:tcPr>
            <w:tcW w:w="825" w:type="dxa"/>
            <w:shd w:val="clear" w:color="auto" w:fill="F2F2F2" w:themeFill="background1" w:themeFillShade="F2"/>
          </w:tcPr>
          <w:p w14:paraId="7E4CC97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0.33</w:t>
            </w:r>
          </w:p>
        </w:tc>
        <w:tc>
          <w:tcPr>
            <w:tcW w:w="765" w:type="dxa"/>
            <w:shd w:val="clear" w:color="auto" w:fill="F2F2F2" w:themeFill="background1" w:themeFillShade="F2"/>
          </w:tcPr>
          <w:p w14:paraId="62DAC48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0.09</w:t>
            </w:r>
          </w:p>
        </w:tc>
        <w:tc>
          <w:tcPr>
            <w:tcW w:w="765" w:type="dxa"/>
            <w:shd w:val="clear" w:color="auto" w:fill="F2F2F2" w:themeFill="background1" w:themeFillShade="F2"/>
          </w:tcPr>
          <w:p w14:paraId="7DB1920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0.18</w:t>
            </w:r>
          </w:p>
        </w:tc>
        <w:tc>
          <w:tcPr>
            <w:tcW w:w="825" w:type="dxa"/>
            <w:shd w:val="clear" w:color="auto" w:fill="F2F2F2" w:themeFill="background1" w:themeFillShade="F2"/>
          </w:tcPr>
          <w:p w14:paraId="203D135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735" w:type="dxa"/>
            <w:shd w:val="clear" w:color="auto" w:fill="F2F2F2" w:themeFill="background1" w:themeFillShade="F2"/>
          </w:tcPr>
          <w:p w14:paraId="621B5B4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1.87</w:t>
            </w:r>
          </w:p>
        </w:tc>
        <w:tc>
          <w:tcPr>
            <w:tcW w:w="855" w:type="dxa"/>
            <w:shd w:val="clear" w:color="auto" w:fill="F2F2F2" w:themeFill="background1" w:themeFillShade="F2"/>
          </w:tcPr>
          <w:p w14:paraId="4E88890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2.24</w:t>
            </w:r>
          </w:p>
        </w:tc>
        <w:tc>
          <w:tcPr>
            <w:tcW w:w="840" w:type="dxa"/>
            <w:shd w:val="clear" w:color="auto" w:fill="F2F2F2" w:themeFill="background1" w:themeFillShade="F2"/>
          </w:tcPr>
          <w:p w14:paraId="66FCD4A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99.57</w:t>
            </w:r>
          </w:p>
        </w:tc>
      </w:tr>
      <w:tr w:rsidR="00B94E8C" w14:paraId="4C70504D"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tcPr>
          <w:p w14:paraId="3257FC2E" w14:textId="77777777" w:rsidR="00B94E8C" w:rsidRDefault="00AD1B3A">
            <w:pPr>
              <w:pStyle w:val="NoSpacing"/>
              <w:jc w:val="both"/>
              <w:rPr>
                <w:rFonts w:ascii="Arial" w:hAnsi="Arial" w:cs="Arial"/>
                <w:sz w:val="24"/>
                <w:szCs w:val="24"/>
              </w:rPr>
            </w:pPr>
            <w:r>
              <w:rPr>
                <w:rFonts w:ascii="Arial" w:hAnsi="Arial" w:cs="Arial"/>
                <w:sz w:val="24"/>
                <w:szCs w:val="24"/>
              </w:rPr>
              <w:t>Poultry dropping</w:t>
            </w:r>
          </w:p>
        </w:tc>
        <w:tc>
          <w:tcPr>
            <w:tcW w:w="855" w:type="dxa"/>
          </w:tcPr>
          <w:p w14:paraId="74723F6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5.77</w:t>
            </w:r>
          </w:p>
        </w:tc>
        <w:tc>
          <w:tcPr>
            <w:tcW w:w="750" w:type="dxa"/>
          </w:tcPr>
          <w:p w14:paraId="5DF6882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0.59</w:t>
            </w:r>
          </w:p>
        </w:tc>
        <w:tc>
          <w:tcPr>
            <w:tcW w:w="1095" w:type="dxa"/>
          </w:tcPr>
          <w:p w14:paraId="55D28CF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71.13</w:t>
            </w:r>
          </w:p>
        </w:tc>
        <w:tc>
          <w:tcPr>
            <w:tcW w:w="840" w:type="dxa"/>
          </w:tcPr>
          <w:p w14:paraId="09760A0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11.6</w:t>
            </w:r>
          </w:p>
        </w:tc>
        <w:tc>
          <w:tcPr>
            <w:tcW w:w="825" w:type="dxa"/>
          </w:tcPr>
          <w:p w14:paraId="106AF6B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0.53</w:t>
            </w:r>
          </w:p>
        </w:tc>
        <w:tc>
          <w:tcPr>
            <w:tcW w:w="765" w:type="dxa"/>
          </w:tcPr>
          <w:p w14:paraId="7287E4A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w:t>
            </w:r>
          </w:p>
        </w:tc>
        <w:tc>
          <w:tcPr>
            <w:tcW w:w="765" w:type="dxa"/>
          </w:tcPr>
          <w:p w14:paraId="625CE05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0.26</w:t>
            </w:r>
          </w:p>
        </w:tc>
        <w:tc>
          <w:tcPr>
            <w:tcW w:w="825" w:type="dxa"/>
          </w:tcPr>
          <w:p w14:paraId="20186B6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w:t>
            </w:r>
          </w:p>
        </w:tc>
        <w:tc>
          <w:tcPr>
            <w:tcW w:w="735" w:type="dxa"/>
          </w:tcPr>
          <w:p w14:paraId="63DD7F3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3.12</w:t>
            </w:r>
          </w:p>
        </w:tc>
        <w:tc>
          <w:tcPr>
            <w:tcW w:w="855" w:type="dxa"/>
          </w:tcPr>
          <w:p w14:paraId="4367878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3.32</w:t>
            </w:r>
          </w:p>
        </w:tc>
        <w:tc>
          <w:tcPr>
            <w:tcW w:w="840" w:type="dxa"/>
          </w:tcPr>
          <w:p w14:paraId="75C61DC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99.89</w:t>
            </w:r>
          </w:p>
        </w:tc>
      </w:tr>
      <w:tr w:rsidR="00B94E8C" w14:paraId="2A07CB6F"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14:paraId="0BC57610" w14:textId="77777777" w:rsidR="00B94E8C" w:rsidRDefault="00AD1B3A">
            <w:pPr>
              <w:pStyle w:val="NoSpacing"/>
              <w:jc w:val="both"/>
              <w:rPr>
                <w:rFonts w:ascii="Arial" w:hAnsi="Arial" w:cs="Arial"/>
                <w:sz w:val="24"/>
                <w:szCs w:val="24"/>
              </w:rPr>
            </w:pPr>
            <w:r>
              <w:rPr>
                <w:rFonts w:ascii="Arial" w:hAnsi="Arial" w:cs="Arial"/>
                <w:sz w:val="24"/>
                <w:szCs w:val="24"/>
              </w:rPr>
              <w:t>Goat dropping</w:t>
            </w:r>
          </w:p>
        </w:tc>
        <w:tc>
          <w:tcPr>
            <w:tcW w:w="855" w:type="dxa"/>
            <w:shd w:val="clear" w:color="auto" w:fill="F2F2F2" w:themeFill="background1" w:themeFillShade="F2"/>
          </w:tcPr>
          <w:p w14:paraId="314F005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5.34</w:t>
            </w:r>
          </w:p>
        </w:tc>
        <w:tc>
          <w:tcPr>
            <w:tcW w:w="750" w:type="dxa"/>
            <w:shd w:val="clear" w:color="auto" w:fill="F2F2F2" w:themeFill="background1" w:themeFillShade="F2"/>
          </w:tcPr>
          <w:p w14:paraId="3ECD73E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1.07</w:t>
            </w:r>
          </w:p>
        </w:tc>
        <w:tc>
          <w:tcPr>
            <w:tcW w:w="1095" w:type="dxa"/>
            <w:shd w:val="clear" w:color="auto" w:fill="F2F2F2" w:themeFill="background1" w:themeFillShade="F2"/>
          </w:tcPr>
          <w:p w14:paraId="6AE464B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19.62</w:t>
            </w:r>
          </w:p>
        </w:tc>
        <w:tc>
          <w:tcPr>
            <w:tcW w:w="840" w:type="dxa"/>
            <w:shd w:val="clear" w:color="auto" w:fill="F2F2F2" w:themeFill="background1" w:themeFillShade="F2"/>
          </w:tcPr>
          <w:p w14:paraId="56F9C89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w:t>
            </w:r>
          </w:p>
        </w:tc>
        <w:tc>
          <w:tcPr>
            <w:tcW w:w="825" w:type="dxa"/>
            <w:shd w:val="clear" w:color="auto" w:fill="F2F2F2" w:themeFill="background1" w:themeFillShade="F2"/>
          </w:tcPr>
          <w:p w14:paraId="4790C3D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0.1</w:t>
            </w:r>
          </w:p>
        </w:tc>
        <w:tc>
          <w:tcPr>
            <w:tcW w:w="765" w:type="dxa"/>
            <w:shd w:val="clear" w:color="auto" w:fill="F2F2F2" w:themeFill="background1" w:themeFillShade="F2"/>
          </w:tcPr>
          <w:p w14:paraId="17B5BC1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0.05</w:t>
            </w:r>
          </w:p>
        </w:tc>
        <w:tc>
          <w:tcPr>
            <w:tcW w:w="765" w:type="dxa"/>
            <w:shd w:val="clear" w:color="auto" w:fill="F2F2F2" w:themeFill="background1" w:themeFillShade="F2"/>
          </w:tcPr>
          <w:p w14:paraId="31FC8B0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0.14</w:t>
            </w:r>
          </w:p>
        </w:tc>
        <w:tc>
          <w:tcPr>
            <w:tcW w:w="825" w:type="dxa"/>
            <w:shd w:val="clear" w:color="auto" w:fill="F2F2F2" w:themeFill="background1" w:themeFillShade="F2"/>
          </w:tcPr>
          <w:p w14:paraId="406F586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0.19</w:t>
            </w:r>
          </w:p>
        </w:tc>
        <w:tc>
          <w:tcPr>
            <w:tcW w:w="735" w:type="dxa"/>
            <w:shd w:val="clear" w:color="auto" w:fill="F2F2F2" w:themeFill="background1" w:themeFillShade="F2"/>
          </w:tcPr>
          <w:p w14:paraId="0A9E2EE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1.03</w:t>
            </w:r>
          </w:p>
        </w:tc>
        <w:tc>
          <w:tcPr>
            <w:tcW w:w="855" w:type="dxa"/>
            <w:shd w:val="clear" w:color="auto" w:fill="F2F2F2" w:themeFill="background1" w:themeFillShade="F2"/>
          </w:tcPr>
          <w:p w14:paraId="7178EC3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1.22</w:t>
            </w:r>
          </w:p>
        </w:tc>
        <w:tc>
          <w:tcPr>
            <w:tcW w:w="840" w:type="dxa"/>
            <w:shd w:val="clear" w:color="auto" w:fill="F2F2F2" w:themeFill="background1" w:themeFillShade="F2"/>
          </w:tcPr>
          <w:p w14:paraId="470BC81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99.73</w:t>
            </w:r>
          </w:p>
        </w:tc>
      </w:tr>
      <w:tr w:rsidR="00B94E8C" w14:paraId="7BB608E1"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tcPr>
          <w:p w14:paraId="08143A31" w14:textId="77777777" w:rsidR="00B94E8C" w:rsidRDefault="00AD1B3A">
            <w:pPr>
              <w:pStyle w:val="NoSpacing"/>
              <w:jc w:val="both"/>
              <w:rPr>
                <w:rFonts w:ascii="Arial" w:hAnsi="Arial" w:cs="Arial"/>
                <w:sz w:val="24"/>
                <w:szCs w:val="24"/>
              </w:rPr>
            </w:pPr>
            <w:r>
              <w:rPr>
                <w:rFonts w:ascii="Arial" w:hAnsi="Arial" w:cs="Arial"/>
                <w:sz w:val="24"/>
                <w:szCs w:val="24"/>
              </w:rPr>
              <w:t>Pig slurry</w:t>
            </w:r>
          </w:p>
        </w:tc>
        <w:tc>
          <w:tcPr>
            <w:tcW w:w="855" w:type="dxa"/>
          </w:tcPr>
          <w:p w14:paraId="0B092D9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5.61</w:t>
            </w:r>
          </w:p>
        </w:tc>
        <w:tc>
          <w:tcPr>
            <w:tcW w:w="750" w:type="dxa"/>
          </w:tcPr>
          <w:p w14:paraId="7A27A24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0.93</w:t>
            </w:r>
          </w:p>
        </w:tc>
        <w:tc>
          <w:tcPr>
            <w:tcW w:w="1095" w:type="dxa"/>
          </w:tcPr>
          <w:p w14:paraId="5D8920C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59.94</w:t>
            </w:r>
          </w:p>
        </w:tc>
        <w:tc>
          <w:tcPr>
            <w:tcW w:w="840" w:type="dxa"/>
          </w:tcPr>
          <w:p w14:paraId="70BB924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4.77</w:t>
            </w:r>
          </w:p>
        </w:tc>
        <w:tc>
          <w:tcPr>
            <w:tcW w:w="825" w:type="dxa"/>
          </w:tcPr>
          <w:p w14:paraId="66E70CF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765" w:type="dxa"/>
          </w:tcPr>
          <w:p w14:paraId="48E9976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0.09</w:t>
            </w:r>
          </w:p>
        </w:tc>
        <w:tc>
          <w:tcPr>
            <w:tcW w:w="765" w:type="dxa"/>
          </w:tcPr>
          <w:p w14:paraId="446145C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0.07</w:t>
            </w:r>
          </w:p>
        </w:tc>
        <w:tc>
          <w:tcPr>
            <w:tcW w:w="825" w:type="dxa"/>
          </w:tcPr>
          <w:p w14:paraId="62BF699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0.45</w:t>
            </w:r>
          </w:p>
        </w:tc>
        <w:tc>
          <w:tcPr>
            <w:tcW w:w="735" w:type="dxa"/>
          </w:tcPr>
          <w:p w14:paraId="6443A95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1.33</w:t>
            </w:r>
          </w:p>
        </w:tc>
        <w:tc>
          <w:tcPr>
            <w:tcW w:w="855" w:type="dxa"/>
          </w:tcPr>
          <w:p w14:paraId="12C356E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1.88</w:t>
            </w:r>
          </w:p>
        </w:tc>
        <w:tc>
          <w:tcPr>
            <w:tcW w:w="840" w:type="dxa"/>
          </w:tcPr>
          <w:p w14:paraId="6AE8B00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97.81</w:t>
            </w:r>
          </w:p>
        </w:tc>
      </w:tr>
      <w:tr w:rsidR="00B94E8C" w14:paraId="15E433E2"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14:paraId="117FA830" w14:textId="77777777" w:rsidR="00B94E8C" w:rsidRDefault="00AD1B3A">
            <w:pPr>
              <w:pStyle w:val="NoSpacing"/>
              <w:jc w:val="both"/>
              <w:rPr>
                <w:rFonts w:ascii="Arial" w:hAnsi="Arial" w:cs="Arial"/>
                <w:sz w:val="24"/>
                <w:szCs w:val="24"/>
              </w:rPr>
            </w:pPr>
            <w:r>
              <w:rPr>
                <w:rFonts w:ascii="Arial" w:hAnsi="Arial" w:cs="Arial"/>
                <w:sz w:val="24"/>
                <w:szCs w:val="24"/>
              </w:rPr>
              <w:lastRenderedPageBreak/>
              <w:t>Cow dung</w:t>
            </w:r>
          </w:p>
        </w:tc>
        <w:tc>
          <w:tcPr>
            <w:tcW w:w="855" w:type="dxa"/>
            <w:shd w:val="clear" w:color="auto" w:fill="F2F2F2" w:themeFill="background1" w:themeFillShade="F2"/>
          </w:tcPr>
          <w:p w14:paraId="6963E41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4.95</w:t>
            </w:r>
          </w:p>
        </w:tc>
        <w:tc>
          <w:tcPr>
            <w:tcW w:w="750" w:type="dxa"/>
            <w:shd w:val="clear" w:color="auto" w:fill="F2F2F2" w:themeFill="background1" w:themeFillShade="F2"/>
          </w:tcPr>
          <w:p w14:paraId="38316DF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0.84</w:t>
            </w:r>
          </w:p>
        </w:tc>
        <w:tc>
          <w:tcPr>
            <w:tcW w:w="1095" w:type="dxa"/>
            <w:shd w:val="clear" w:color="auto" w:fill="F2F2F2" w:themeFill="background1" w:themeFillShade="F2"/>
          </w:tcPr>
          <w:p w14:paraId="5B53838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52.31</w:t>
            </w:r>
          </w:p>
        </w:tc>
        <w:tc>
          <w:tcPr>
            <w:tcW w:w="840" w:type="dxa"/>
            <w:shd w:val="clear" w:color="auto" w:fill="F2F2F2" w:themeFill="background1" w:themeFillShade="F2"/>
          </w:tcPr>
          <w:p w14:paraId="2DE8B43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3.17</w:t>
            </w:r>
          </w:p>
        </w:tc>
        <w:tc>
          <w:tcPr>
            <w:tcW w:w="825" w:type="dxa"/>
            <w:shd w:val="clear" w:color="auto" w:fill="F2F2F2" w:themeFill="background1" w:themeFillShade="F2"/>
          </w:tcPr>
          <w:p w14:paraId="53579A3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0.6</w:t>
            </w:r>
          </w:p>
        </w:tc>
        <w:tc>
          <w:tcPr>
            <w:tcW w:w="765" w:type="dxa"/>
            <w:shd w:val="clear" w:color="auto" w:fill="F2F2F2" w:themeFill="background1" w:themeFillShade="F2"/>
          </w:tcPr>
          <w:p w14:paraId="62C34AA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0.03</w:t>
            </w:r>
          </w:p>
        </w:tc>
        <w:tc>
          <w:tcPr>
            <w:tcW w:w="765" w:type="dxa"/>
            <w:shd w:val="clear" w:color="auto" w:fill="F2F2F2" w:themeFill="background1" w:themeFillShade="F2"/>
          </w:tcPr>
          <w:p w14:paraId="7914B8D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0.08</w:t>
            </w:r>
          </w:p>
        </w:tc>
        <w:tc>
          <w:tcPr>
            <w:tcW w:w="825" w:type="dxa"/>
            <w:shd w:val="clear" w:color="auto" w:fill="F2F2F2" w:themeFill="background1" w:themeFillShade="F2"/>
          </w:tcPr>
          <w:p w14:paraId="2B051DA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0.21</w:t>
            </w:r>
          </w:p>
        </w:tc>
        <w:tc>
          <w:tcPr>
            <w:tcW w:w="735" w:type="dxa"/>
            <w:shd w:val="clear" w:color="auto" w:fill="F2F2F2" w:themeFill="background1" w:themeFillShade="F2"/>
          </w:tcPr>
          <w:p w14:paraId="7E50479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0.97</w:t>
            </w:r>
          </w:p>
        </w:tc>
        <w:tc>
          <w:tcPr>
            <w:tcW w:w="855" w:type="dxa"/>
            <w:shd w:val="clear" w:color="auto" w:fill="F2F2F2" w:themeFill="background1" w:themeFillShade="F2"/>
          </w:tcPr>
          <w:p w14:paraId="68D7729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1.18</w:t>
            </w:r>
          </w:p>
        </w:tc>
        <w:tc>
          <w:tcPr>
            <w:tcW w:w="840" w:type="dxa"/>
            <w:shd w:val="clear" w:color="auto" w:fill="F2F2F2" w:themeFill="background1" w:themeFillShade="F2"/>
          </w:tcPr>
          <w:p w14:paraId="2C53620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99.54</w:t>
            </w:r>
          </w:p>
        </w:tc>
      </w:tr>
      <w:tr w:rsidR="00B94E8C" w14:paraId="30982ADA" w14:textId="77777777" w:rsidTr="00B94E8C">
        <w:trPr>
          <w:trHeight w:val="279"/>
        </w:trPr>
        <w:tc>
          <w:tcPr>
            <w:cnfStyle w:val="001000000000" w:firstRow="0" w:lastRow="0" w:firstColumn="1" w:lastColumn="0" w:oddVBand="0" w:evenVBand="0" w:oddHBand="0" w:evenHBand="0" w:firstRowFirstColumn="0" w:firstRowLastColumn="0" w:lastRowFirstColumn="0" w:lastRowLastColumn="0"/>
            <w:tcW w:w="1905" w:type="dxa"/>
          </w:tcPr>
          <w:p w14:paraId="6EA72550" w14:textId="77777777" w:rsidR="00B94E8C" w:rsidRDefault="00AD1B3A">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4C8692EA" wp14:editId="61BF027B">
                      <wp:simplePos x="0" y="0"/>
                      <wp:positionH relativeFrom="column">
                        <wp:posOffset>52070</wp:posOffset>
                      </wp:positionH>
                      <wp:positionV relativeFrom="paragraph">
                        <wp:posOffset>493395</wp:posOffset>
                      </wp:positionV>
                      <wp:extent cx="8471535" cy="21590"/>
                      <wp:effectExtent l="0" t="4445" r="5715" b="12065"/>
                      <wp:wrapNone/>
                      <wp:docPr id="24" name="Straight Connector 24"/>
                      <wp:cNvGraphicFramePr/>
                      <a:graphic xmlns:a="http://schemas.openxmlformats.org/drawingml/2006/main">
                        <a:graphicData uri="http://schemas.microsoft.com/office/word/2010/wordprocessingShape">
                          <wps:wsp>
                            <wps:cNvCnPr/>
                            <wps:spPr>
                              <a:xfrm>
                                <a:off x="0" y="0"/>
                                <a:ext cx="8471535" cy="21590"/>
                              </a:xfrm>
                              <a:prstGeom prst="line">
                                <a:avLst/>
                              </a:prstGeom>
                              <a:noFill/>
                              <a:ln w="9525" cap="flat" cmpd="sng" algn="ctr">
                                <a:solidFill>
                                  <a:srgbClr val="000000"/>
                                </a:solidFill>
                                <a:prstDash val="solid"/>
                              </a:ln>
                              <a:effectLst/>
                            </wps:spPr>
                            <wps:bodyPr/>
                          </wps:wsp>
                        </a:graphicData>
                      </a:graphic>
                    </wp:anchor>
                  </w:drawing>
                </mc:Choice>
                <mc:Fallback>
                  <w:pict>
                    <v:line w14:anchorId="11A037F2"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38.85pt" to="671.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"/>
                  </w:pict>
                </mc:Fallback>
              </mc:AlternateContent>
            </w:r>
            <w:r>
              <w:rPr>
                <w:rFonts w:ascii="Arial" w:hAnsi="Arial" w:cs="Arial"/>
                <w:sz w:val="24"/>
                <w:szCs w:val="24"/>
              </w:rPr>
              <w:t>LSD (P=0.05)</w:t>
            </w:r>
          </w:p>
        </w:tc>
        <w:tc>
          <w:tcPr>
            <w:tcW w:w="855" w:type="dxa"/>
          </w:tcPr>
          <w:p w14:paraId="1D4F617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0.34*</w:t>
            </w:r>
          </w:p>
        </w:tc>
        <w:tc>
          <w:tcPr>
            <w:tcW w:w="750" w:type="dxa"/>
          </w:tcPr>
          <w:p w14:paraId="095A6E7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0.02</w:t>
            </w:r>
          </w:p>
        </w:tc>
        <w:tc>
          <w:tcPr>
            <w:tcW w:w="1095" w:type="dxa"/>
          </w:tcPr>
          <w:p w14:paraId="6D4D98F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5.89*</w:t>
            </w:r>
          </w:p>
        </w:tc>
        <w:tc>
          <w:tcPr>
            <w:tcW w:w="840" w:type="dxa"/>
          </w:tcPr>
          <w:p w14:paraId="54F1F04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1.65*</w:t>
            </w:r>
          </w:p>
        </w:tc>
        <w:tc>
          <w:tcPr>
            <w:tcW w:w="825" w:type="dxa"/>
          </w:tcPr>
          <w:p w14:paraId="609AD43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765" w:type="dxa"/>
          </w:tcPr>
          <w:p w14:paraId="2ECB28D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765" w:type="dxa"/>
          </w:tcPr>
          <w:p w14:paraId="42EA1C5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825" w:type="dxa"/>
          </w:tcPr>
          <w:p w14:paraId="2A4F035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735" w:type="dxa"/>
          </w:tcPr>
          <w:p w14:paraId="343FD52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0.56*</w:t>
            </w:r>
          </w:p>
        </w:tc>
        <w:tc>
          <w:tcPr>
            <w:tcW w:w="855" w:type="dxa"/>
          </w:tcPr>
          <w:p w14:paraId="0FE0397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0.02*</w:t>
            </w:r>
          </w:p>
        </w:tc>
        <w:tc>
          <w:tcPr>
            <w:tcW w:w="840" w:type="dxa"/>
          </w:tcPr>
          <w:p w14:paraId="280A5CD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r>
    </w:tbl>
    <w:p w14:paraId="58B0AE02" w14:textId="77777777" w:rsidR="00B94E8C" w:rsidRDefault="00AD1B3A">
      <w:pPr>
        <w:spacing w:line="48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SOM=Soil organic carbon, AP=Available phosphorus, ECEC=Effective cation exchange </w:t>
      </w:r>
      <w:proofErr w:type="gramStart"/>
      <w:r>
        <w:rPr>
          <w:rFonts w:ascii="Arial" w:hAnsi="Arial" w:cs="Arial"/>
          <w:bCs/>
          <w:color w:val="000000" w:themeColor="text1"/>
          <w:sz w:val="24"/>
          <w:szCs w:val="24"/>
        </w:rPr>
        <w:t>capacity,*</w:t>
      </w:r>
      <w:proofErr w:type="gramEnd"/>
      <w:r>
        <w:rPr>
          <w:rFonts w:ascii="Arial" w:hAnsi="Arial" w:cs="Arial"/>
          <w:bCs/>
          <w:color w:val="000000" w:themeColor="text1"/>
          <w:sz w:val="24"/>
          <w:szCs w:val="24"/>
        </w:rPr>
        <w:t xml:space="preserve">=significant at 5 % probability level, **=Highly significant at 5 % probability level, ns=not significant at 5 % probability level, </w:t>
      </w:r>
    </w:p>
    <w:p w14:paraId="0D106124" w14:textId="77777777" w:rsidR="00B94E8C" w:rsidRDefault="00B94E8C">
      <w:pPr>
        <w:spacing w:line="480" w:lineRule="auto"/>
        <w:jc w:val="both"/>
        <w:rPr>
          <w:rFonts w:ascii="Arial" w:hAnsi="Arial" w:cs="Arial"/>
          <w:b/>
          <w:bCs/>
          <w:color w:val="000000" w:themeColor="text1"/>
          <w:sz w:val="24"/>
          <w:szCs w:val="24"/>
        </w:rPr>
      </w:pPr>
    </w:p>
    <w:p w14:paraId="486B5075" w14:textId="77777777" w:rsidR="00B94E8C" w:rsidRDefault="00B94E8C">
      <w:pPr>
        <w:spacing w:line="480" w:lineRule="auto"/>
        <w:jc w:val="both"/>
        <w:rPr>
          <w:rFonts w:ascii="Arial" w:hAnsi="Arial" w:cs="Arial"/>
          <w:b/>
          <w:bCs/>
          <w:color w:val="000000" w:themeColor="text1"/>
          <w:sz w:val="24"/>
          <w:szCs w:val="24"/>
        </w:rPr>
        <w:sectPr w:rsidR="00B94E8C" w:rsidSect="00410464">
          <w:headerReference w:type="even" r:id="rId15"/>
          <w:headerReference w:type="default" r:id="rId16"/>
          <w:footerReference w:type="default" r:id="rId17"/>
          <w:headerReference w:type="first" r:id="rId18"/>
          <w:type w:val="continuous"/>
          <w:pgSz w:w="12240" w:h="15840"/>
          <w:pgMar w:top="1440" w:right="1440" w:bottom="1440" w:left="851" w:header="720" w:footer="720" w:gutter="0"/>
          <w:pgNumType w:start="29"/>
          <w:cols w:space="720"/>
          <w:docGrid w:linePitch="360"/>
        </w:sectPr>
      </w:pPr>
    </w:p>
    <w:p w14:paraId="57FA830D" w14:textId="77777777" w:rsidR="00B94E8C" w:rsidRDefault="00AD1B3A">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 xml:space="preserve">4.3.0 Effect of organic amendment on water stable aggregates and mean weight </w:t>
      </w:r>
      <w:proofErr w:type="gramStart"/>
      <w:r>
        <w:rPr>
          <w:rFonts w:ascii="Arial" w:hAnsi="Arial" w:cs="Arial"/>
          <w:b/>
          <w:bCs/>
          <w:color w:val="000000" w:themeColor="text1"/>
          <w:sz w:val="24"/>
          <w:szCs w:val="24"/>
        </w:rPr>
        <w:t>diameter..</w:t>
      </w:r>
      <w:proofErr w:type="gramEnd"/>
    </w:p>
    <w:p w14:paraId="40826ECD" w14:textId="77777777" w:rsidR="00B94E8C" w:rsidRDefault="00AD1B3A">
      <w:pPr>
        <w:jc w:val="both"/>
        <w:rPr>
          <w:rFonts w:ascii="Arial" w:hAnsi="Arial" w:cs="Arial"/>
          <w:b/>
          <w:bCs/>
          <w:color w:val="000000" w:themeColor="text1"/>
          <w:sz w:val="24"/>
          <w:szCs w:val="24"/>
        </w:rPr>
      </w:pPr>
      <w:r>
        <w:rPr>
          <w:rStyle w:val="Strong"/>
          <w:rFonts w:ascii="Arial" w:hAnsi="Arial" w:cs="Arial"/>
          <w:sz w:val="24"/>
          <w:szCs w:val="24"/>
        </w:rPr>
        <w:t>4</w:t>
      </w:r>
      <w:r>
        <w:rPr>
          <w:rFonts w:ascii="Arial" w:hAnsi="Arial" w:cs="Arial"/>
          <w:b/>
          <w:bCs/>
          <w:color w:val="000000" w:themeColor="text1"/>
          <w:sz w:val="24"/>
          <w:szCs w:val="24"/>
        </w:rPr>
        <w:t>.3.1 Water sta</w:t>
      </w:r>
      <w:r>
        <w:rPr>
          <w:rFonts w:ascii="Arial" w:hAnsi="Arial" w:cs="Arial"/>
          <w:b/>
          <w:bCs/>
          <w:color w:val="000000" w:themeColor="text1"/>
          <w:sz w:val="24"/>
          <w:szCs w:val="24"/>
        </w:rPr>
        <w:t xml:space="preserve">ble </w:t>
      </w:r>
      <w:proofErr w:type="spellStart"/>
      <w:r>
        <w:rPr>
          <w:rFonts w:ascii="Arial" w:hAnsi="Arial" w:cs="Arial"/>
          <w:b/>
          <w:bCs/>
          <w:color w:val="000000" w:themeColor="text1"/>
          <w:sz w:val="24"/>
          <w:szCs w:val="24"/>
        </w:rPr>
        <w:t>aggreagte</w:t>
      </w:r>
      <w:proofErr w:type="spellEnd"/>
      <w:r>
        <w:rPr>
          <w:rFonts w:ascii="Arial" w:hAnsi="Arial" w:cs="Arial"/>
          <w:b/>
          <w:bCs/>
          <w:color w:val="000000" w:themeColor="text1"/>
          <w:sz w:val="24"/>
          <w:szCs w:val="24"/>
        </w:rPr>
        <w:t xml:space="preserve"> </w:t>
      </w:r>
      <w:proofErr w:type="gramStart"/>
      <w:r>
        <w:rPr>
          <w:rFonts w:ascii="Arial" w:hAnsi="Arial" w:cs="Arial"/>
          <w:b/>
          <w:bCs/>
          <w:color w:val="000000" w:themeColor="text1"/>
          <w:sz w:val="24"/>
          <w:szCs w:val="24"/>
        </w:rPr>
        <w:t>aggregates  (</w:t>
      </w:r>
      <w:proofErr w:type="gramEnd"/>
      <w:r>
        <w:rPr>
          <w:rFonts w:ascii="Arial" w:hAnsi="Arial" w:cs="Arial"/>
          <w:b/>
          <w:bCs/>
          <w:color w:val="000000" w:themeColor="text1"/>
          <w:sz w:val="24"/>
          <w:szCs w:val="24"/>
        </w:rPr>
        <w:t>WSA).</w:t>
      </w:r>
    </w:p>
    <w:p w14:paraId="66E18995" w14:textId="77777777" w:rsidR="00B94E8C" w:rsidRDefault="00B94E8C">
      <w:pPr>
        <w:jc w:val="both"/>
        <w:rPr>
          <w:rFonts w:ascii="Arial" w:hAnsi="Arial" w:cs="Arial"/>
          <w:color w:val="000000" w:themeColor="text1"/>
          <w:sz w:val="24"/>
          <w:szCs w:val="24"/>
        </w:rPr>
      </w:pPr>
    </w:p>
    <w:p w14:paraId="75681488" w14:textId="77777777" w:rsidR="00B94E8C" w:rsidRDefault="00AD1B3A">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The results of the water-stable aggregates after the application of the organic amendment are shown in Table 3.  The availability and distribution of the aggregates in the sieves did not show a distinct pattern. The result</w:t>
      </w:r>
      <w:r>
        <w:rPr>
          <w:rFonts w:ascii="Arial" w:hAnsi="Arial" w:cs="Arial"/>
          <w:color w:val="000000" w:themeColor="text1"/>
          <w:sz w:val="24"/>
          <w:szCs w:val="24"/>
        </w:rPr>
        <w:t>s show a marked improvement in the structural properties of the soils amended with organic amendments compared to the control soil. The result showed that the sieves &gt; 0.25mm were favored. This result implies that the soils at sizes &lt;0.25 mm are loose, hav</w:t>
      </w:r>
      <w:r>
        <w:rPr>
          <w:rFonts w:ascii="Arial" w:hAnsi="Arial" w:cs="Arial"/>
          <w:color w:val="000000" w:themeColor="text1"/>
          <w:sz w:val="24"/>
          <w:szCs w:val="24"/>
        </w:rPr>
        <w:t xml:space="preserve">e low organic matter and clay content to bind them due to leaching and high mineralization rates. Among the organic amendments, the highest WSA &gt;0.25 </w:t>
      </w:r>
      <w:proofErr w:type="gramStart"/>
      <w:r>
        <w:rPr>
          <w:rFonts w:ascii="Arial" w:hAnsi="Arial" w:cs="Arial"/>
          <w:color w:val="000000" w:themeColor="text1"/>
          <w:sz w:val="24"/>
          <w:szCs w:val="24"/>
        </w:rPr>
        <w:t>mm  (</w:t>
      </w:r>
      <w:proofErr w:type="gramEnd"/>
      <w:r>
        <w:rPr>
          <w:rFonts w:ascii="Arial" w:hAnsi="Arial" w:cs="Arial"/>
          <w:color w:val="000000" w:themeColor="text1"/>
          <w:sz w:val="24"/>
          <w:szCs w:val="24"/>
        </w:rPr>
        <w:t>58.04%) was recorded in goat dropping soil, followed by pig slurry soil (49.16%). The result obtained</w:t>
      </w:r>
      <w:r>
        <w:rPr>
          <w:rFonts w:ascii="Arial" w:hAnsi="Arial" w:cs="Arial"/>
          <w:color w:val="000000" w:themeColor="text1"/>
          <w:sz w:val="24"/>
          <w:szCs w:val="24"/>
        </w:rPr>
        <w:t xml:space="preserve"> in goat dropping and pig </w:t>
      </w:r>
      <w:proofErr w:type="gramStart"/>
      <w:r>
        <w:rPr>
          <w:rFonts w:ascii="Arial" w:hAnsi="Arial" w:cs="Arial"/>
          <w:color w:val="000000" w:themeColor="text1"/>
          <w:sz w:val="24"/>
          <w:szCs w:val="24"/>
        </w:rPr>
        <w:t>slurry  amended</w:t>
      </w:r>
      <w:proofErr w:type="gramEnd"/>
      <w:r>
        <w:rPr>
          <w:rFonts w:ascii="Arial" w:hAnsi="Arial" w:cs="Arial"/>
          <w:color w:val="000000" w:themeColor="text1"/>
          <w:sz w:val="24"/>
          <w:szCs w:val="24"/>
        </w:rPr>
        <w:t xml:space="preserve"> soils  suggests that the availability of organic carbon in the soils was showcased which promoted the formation of aggregates (Angers and </w:t>
      </w:r>
      <w:proofErr w:type="spellStart"/>
      <w:r>
        <w:rPr>
          <w:rFonts w:ascii="Arial" w:hAnsi="Arial" w:cs="Arial"/>
          <w:color w:val="000000" w:themeColor="text1"/>
          <w:sz w:val="24"/>
          <w:szCs w:val="24"/>
        </w:rPr>
        <w:t>Girroux</w:t>
      </w:r>
      <w:proofErr w:type="spellEnd"/>
      <w:r>
        <w:rPr>
          <w:rFonts w:ascii="Arial" w:hAnsi="Arial" w:cs="Arial"/>
          <w:color w:val="000000" w:themeColor="text1"/>
          <w:sz w:val="24"/>
          <w:szCs w:val="24"/>
        </w:rPr>
        <w:t xml:space="preserve"> 1996.</w:t>
      </w:r>
    </w:p>
    <w:p w14:paraId="34E8ABD4" w14:textId="77777777" w:rsidR="00B94E8C" w:rsidRDefault="00AD1B3A">
      <w:pPr>
        <w:tabs>
          <w:tab w:val="right" w:pos="9358"/>
        </w:tabs>
        <w:spacing w:line="480" w:lineRule="auto"/>
        <w:jc w:val="both"/>
        <w:rPr>
          <w:rFonts w:ascii="Arial" w:hAnsi="Arial" w:cs="Arial"/>
          <w:b/>
          <w:bCs/>
          <w:color w:val="000000" w:themeColor="text1"/>
          <w:sz w:val="24"/>
          <w:szCs w:val="24"/>
        </w:rPr>
      </w:pPr>
      <w:r>
        <w:rPr>
          <w:rStyle w:val="Strong"/>
          <w:rFonts w:ascii="Arial" w:hAnsi="Arial" w:cs="Arial"/>
          <w:sz w:val="24"/>
          <w:szCs w:val="24"/>
        </w:rPr>
        <w:t>4.3.2</w:t>
      </w:r>
      <w:r>
        <w:rPr>
          <w:rFonts w:ascii="Arial" w:hAnsi="Arial" w:cs="Arial"/>
          <w:b/>
          <w:bCs/>
          <w:color w:val="000000" w:themeColor="text1"/>
          <w:sz w:val="24"/>
          <w:szCs w:val="24"/>
        </w:rPr>
        <w:t xml:space="preserve"> Mean Weight Diameter of Wet Aggregates</w:t>
      </w:r>
    </w:p>
    <w:p w14:paraId="5D14B8C2" w14:textId="77777777" w:rsidR="00B94E8C" w:rsidRDefault="00AD1B3A">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Mean weight diame</w:t>
      </w:r>
      <w:r>
        <w:rPr>
          <w:rFonts w:ascii="Arial" w:hAnsi="Arial" w:cs="Arial"/>
          <w:color w:val="000000" w:themeColor="text1"/>
          <w:sz w:val="24"/>
          <w:szCs w:val="24"/>
        </w:rPr>
        <w:t xml:space="preserve">ter of wet aggregates is an indicator of the resistance of soil structure to rainfall and water splash. The results shown in Table 3 indicate that the organic amendments significantly (P ≤ 0.05) increased the MWD of wet aggregates compared to the control. </w:t>
      </w:r>
      <w:r>
        <w:rPr>
          <w:rFonts w:ascii="Arial" w:hAnsi="Arial" w:cs="Arial"/>
          <w:color w:val="000000" w:themeColor="text1"/>
          <w:sz w:val="24"/>
          <w:szCs w:val="24"/>
        </w:rPr>
        <w:t>The control soil had a very low MWD of 0.17, indicating that the soil structure was highly degraded and susceptible to wetting-induced breakdown. Low MWD values are typical of highly degraded tropical soils with low organic matter and poor aggregation (Bro</w:t>
      </w:r>
      <w:r>
        <w:rPr>
          <w:rFonts w:ascii="Arial" w:hAnsi="Arial" w:cs="Arial"/>
          <w:color w:val="000000" w:themeColor="text1"/>
          <w:sz w:val="24"/>
          <w:szCs w:val="24"/>
        </w:rPr>
        <w:t>nick &amp; Lal, 2005; Agim, 2016).</w:t>
      </w:r>
    </w:p>
    <w:p w14:paraId="7F00D505" w14:textId="77777777" w:rsidR="00B94E8C" w:rsidRDefault="00AD1B3A">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The MWD of wet aggregates was highest in pig slurry (0.59), followed by goat dropping (0.41), cow dung (0.33), poultry droppings (0.31), and mixture of amendments (0.23). The results show that the organic amendments improve t</w:t>
      </w:r>
      <w:r>
        <w:rPr>
          <w:rFonts w:ascii="Arial" w:hAnsi="Arial" w:cs="Arial"/>
          <w:color w:val="000000" w:themeColor="text1"/>
          <w:sz w:val="24"/>
          <w:szCs w:val="24"/>
        </w:rPr>
        <w:t xml:space="preserve">he stability of wet aggregates, indicating that they provide organic binding materials that enhance aggregate cohesion and resistance to slaking. This is in agreement with </w:t>
      </w:r>
      <w:proofErr w:type="spellStart"/>
      <w:r>
        <w:rPr>
          <w:rFonts w:ascii="Arial" w:hAnsi="Arial" w:cs="Arial"/>
          <w:color w:val="000000" w:themeColor="text1"/>
          <w:sz w:val="24"/>
          <w:szCs w:val="24"/>
        </w:rPr>
        <w:t>Tisdall</w:t>
      </w:r>
      <w:proofErr w:type="spellEnd"/>
      <w:r>
        <w:rPr>
          <w:rFonts w:ascii="Arial" w:hAnsi="Arial" w:cs="Arial"/>
          <w:color w:val="000000" w:themeColor="text1"/>
          <w:sz w:val="24"/>
          <w:szCs w:val="24"/>
        </w:rPr>
        <w:t xml:space="preserve"> &amp; </w:t>
      </w:r>
      <w:proofErr w:type="spellStart"/>
      <w:r>
        <w:rPr>
          <w:rFonts w:ascii="Arial" w:hAnsi="Arial" w:cs="Arial"/>
          <w:color w:val="000000" w:themeColor="text1"/>
          <w:sz w:val="24"/>
          <w:szCs w:val="24"/>
        </w:rPr>
        <w:t>Oades</w:t>
      </w:r>
      <w:proofErr w:type="spellEnd"/>
      <w:r>
        <w:rPr>
          <w:rFonts w:ascii="Arial" w:hAnsi="Arial" w:cs="Arial"/>
          <w:color w:val="000000" w:themeColor="text1"/>
          <w:sz w:val="24"/>
          <w:szCs w:val="24"/>
        </w:rPr>
        <w:t>, (1982), Six et al., (2004) who stated that the application of organ</w:t>
      </w:r>
      <w:r>
        <w:rPr>
          <w:rFonts w:ascii="Arial" w:hAnsi="Arial" w:cs="Arial"/>
          <w:color w:val="000000" w:themeColor="text1"/>
          <w:sz w:val="24"/>
          <w:szCs w:val="24"/>
        </w:rPr>
        <w:t>ic amendments increases microbial activity, leading to the production of polysaccharides and other binding materials that improve aggregate stability under wet conditions.</w:t>
      </w:r>
    </w:p>
    <w:p w14:paraId="5DF92C42" w14:textId="77777777" w:rsidR="00B94E8C" w:rsidRDefault="00AD1B3A">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Table 3. Water stable aggregates of soil samples before amendment</w:t>
      </w:r>
      <w:r>
        <w:rPr>
          <w:rFonts w:ascii="Arial" w:hAnsi="Arial" w:cs="Arial"/>
          <w:color w:val="000000" w:themeColor="text1"/>
          <w:sz w:val="24"/>
          <w:szCs w:val="24"/>
        </w:rPr>
        <w:tab/>
      </w:r>
    </w:p>
    <w:tbl>
      <w:tblPr>
        <w:tblStyle w:val="PlainTable41"/>
        <w:tblW w:w="9956" w:type="dxa"/>
        <w:jc w:val="center"/>
        <w:tblLayout w:type="fixed"/>
        <w:tblLook w:val="04A0" w:firstRow="1" w:lastRow="0" w:firstColumn="1" w:lastColumn="0" w:noHBand="0" w:noVBand="1"/>
      </w:tblPr>
      <w:tblGrid>
        <w:gridCol w:w="2558"/>
        <w:gridCol w:w="1470"/>
        <w:gridCol w:w="1185"/>
        <w:gridCol w:w="1065"/>
        <w:gridCol w:w="1185"/>
        <w:gridCol w:w="1425"/>
        <w:gridCol w:w="1068"/>
      </w:tblGrid>
      <w:tr w:rsidR="00B94E8C" w14:paraId="62D0132A" w14:textId="77777777" w:rsidTr="00B94E8C">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558" w:type="dxa"/>
          </w:tcPr>
          <w:p w14:paraId="3B23BB2A" w14:textId="77777777" w:rsidR="00B94E8C" w:rsidRDefault="00AD1B3A">
            <w:pPr>
              <w:pStyle w:val="NoSpacing"/>
              <w:jc w:val="both"/>
              <w:rPr>
                <w:rFonts w:ascii="Arial" w:hAnsi="Arial" w:cs="Arial"/>
                <w:sz w:val="24"/>
                <w:szCs w:val="24"/>
              </w:rPr>
            </w:pPr>
            <w:r>
              <w:rPr>
                <w:rFonts w:ascii="Arial" w:hAnsi="Arial" w:cs="Arial"/>
                <w:noProof/>
                <w:sz w:val="24"/>
              </w:rPr>
              <mc:AlternateContent>
                <mc:Choice Requires="wps">
                  <w:drawing>
                    <wp:anchor distT="0" distB="0" distL="114300" distR="114300" simplePos="0" relativeHeight="251661312" behindDoc="0" locked="0" layoutInCell="1" allowOverlap="1" wp14:anchorId="77CF22F7" wp14:editId="607D485A">
                      <wp:simplePos x="0" y="0"/>
                      <wp:positionH relativeFrom="column">
                        <wp:posOffset>-80645</wp:posOffset>
                      </wp:positionH>
                      <wp:positionV relativeFrom="paragraph">
                        <wp:posOffset>1905</wp:posOffset>
                      </wp:positionV>
                      <wp:extent cx="6391275" cy="9525"/>
                      <wp:effectExtent l="0" t="19050" r="9525" b="28575"/>
                      <wp:wrapNone/>
                      <wp:docPr id="5" name="Straight Connector 1"/>
                      <wp:cNvGraphicFramePr/>
                      <a:graphic xmlns:a="http://schemas.openxmlformats.org/drawingml/2006/main">
                        <a:graphicData uri="http://schemas.microsoft.com/office/word/2010/wordprocessingShape">
                          <wps:wsp>
                            <wps:cNvCnPr/>
                            <wps:spPr>
                              <a:xfrm>
                                <a:off x="405765" y="5523865"/>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082CF6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5pt,.15pt" to="49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" strokeweight="3pt"/>
                  </w:pict>
                </mc:Fallback>
              </mc:AlternateContent>
            </w:r>
            <w:r>
              <w:rPr>
                <w:rFonts w:ascii="Arial" w:hAnsi="Arial" w:cs="Arial"/>
                <w:sz w:val="24"/>
                <w:szCs w:val="24"/>
              </w:rPr>
              <w:t>Sample</w:t>
            </w:r>
          </w:p>
        </w:tc>
        <w:tc>
          <w:tcPr>
            <w:tcW w:w="1470" w:type="dxa"/>
            <w:noWrap/>
          </w:tcPr>
          <w:p w14:paraId="64D01645"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5-2.0</w:t>
            </w:r>
          </w:p>
        </w:tc>
        <w:tc>
          <w:tcPr>
            <w:tcW w:w="1185" w:type="dxa"/>
            <w:noWrap/>
          </w:tcPr>
          <w:p w14:paraId="1DF33101"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2-1</w:t>
            </w:r>
          </w:p>
        </w:tc>
        <w:tc>
          <w:tcPr>
            <w:tcW w:w="1065" w:type="dxa"/>
            <w:noWrap/>
          </w:tcPr>
          <w:p w14:paraId="15ABC856"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1-0.5</w:t>
            </w:r>
          </w:p>
        </w:tc>
        <w:tc>
          <w:tcPr>
            <w:tcW w:w="1185" w:type="dxa"/>
            <w:noWrap/>
          </w:tcPr>
          <w:p w14:paraId="7A313DF7"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0.5-0.25</w:t>
            </w:r>
          </w:p>
        </w:tc>
        <w:tc>
          <w:tcPr>
            <w:tcW w:w="1425" w:type="dxa"/>
          </w:tcPr>
          <w:p w14:paraId="4E232BCF"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WSA&gt;0.25</w:t>
            </w:r>
          </w:p>
        </w:tc>
        <w:tc>
          <w:tcPr>
            <w:tcW w:w="1068" w:type="dxa"/>
            <w:noWrap/>
          </w:tcPr>
          <w:p w14:paraId="36548070"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MWDw</w:t>
            </w:r>
            <w:proofErr w:type="spellEnd"/>
          </w:p>
        </w:tc>
      </w:tr>
      <w:tr w:rsidR="00B94E8C" w14:paraId="76457C29" w14:textId="77777777" w:rsidTr="00B94E8C">
        <w:trPr>
          <w:trHeight w:val="311"/>
          <w:jc w:val="center"/>
        </w:trPr>
        <w:tc>
          <w:tcPr>
            <w:cnfStyle w:val="001000000000" w:firstRow="0" w:lastRow="0" w:firstColumn="1" w:lastColumn="0" w:oddVBand="0" w:evenVBand="0" w:oddHBand="0" w:evenHBand="0" w:firstRowFirstColumn="0" w:firstRowLastColumn="0" w:lastRowFirstColumn="0" w:lastRowLastColumn="0"/>
            <w:tcW w:w="2558" w:type="dxa"/>
          </w:tcPr>
          <w:p w14:paraId="637C213A" w14:textId="77777777" w:rsidR="00B94E8C" w:rsidRDefault="00AD1B3A">
            <w:pPr>
              <w:pStyle w:val="NoSpacing"/>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63360" behindDoc="0" locked="0" layoutInCell="1" allowOverlap="1" wp14:anchorId="414D90D1" wp14:editId="57B97FE2">
                      <wp:simplePos x="0" y="0"/>
                      <wp:positionH relativeFrom="column">
                        <wp:posOffset>-71120</wp:posOffset>
                      </wp:positionH>
                      <wp:positionV relativeFrom="paragraph">
                        <wp:posOffset>175895</wp:posOffset>
                      </wp:positionV>
                      <wp:extent cx="6391275" cy="9525"/>
                      <wp:effectExtent l="0" t="19050" r="9525" b="28575"/>
                      <wp:wrapNone/>
                      <wp:docPr id="6" name="Straight Connector 6"/>
                      <wp:cNvGraphicFramePr/>
                      <a:graphic xmlns:a="http://schemas.openxmlformats.org/drawingml/2006/main">
                        <a:graphicData uri="http://schemas.microsoft.com/office/word/2010/wordprocessingShape">
                          <wps:wsp>
                            <wps:cNvCnPr/>
                            <wps:spPr>
                              <a:xfrm>
                                <a:off x="0" y="0"/>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37B791F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pt,13.85pt" to="497.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" strokeweight="3pt"/>
                  </w:pict>
                </mc:Fallback>
              </mc:AlternateContent>
            </w:r>
          </w:p>
        </w:tc>
        <w:tc>
          <w:tcPr>
            <w:tcW w:w="4905" w:type="dxa"/>
            <w:gridSpan w:val="4"/>
            <w:noWrap/>
          </w:tcPr>
          <w:p w14:paraId="2C138849" w14:textId="77777777" w:rsidR="00B94E8C" w:rsidRDefault="00AD1B3A">
            <w:pPr>
              <w:pStyle w:val="NoSpacing"/>
              <w:ind w:firstLineChars="850" w:firstLine="204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sieve </w:t>
            </w:r>
            <w:proofErr w:type="gramStart"/>
            <w:r>
              <w:rPr>
                <w:rFonts w:ascii="Arial" w:hAnsi="Arial" w:cs="Arial"/>
                <w:sz w:val="24"/>
                <w:szCs w:val="24"/>
              </w:rPr>
              <w:t>sizes  (</w:t>
            </w:r>
            <w:proofErr w:type="gramEnd"/>
            <w:r>
              <w:rPr>
                <w:rFonts w:ascii="Arial" w:hAnsi="Arial" w:cs="Arial"/>
                <w:sz w:val="24"/>
                <w:szCs w:val="24"/>
              </w:rPr>
              <w:t>mm)</w:t>
            </w:r>
          </w:p>
        </w:tc>
        <w:tc>
          <w:tcPr>
            <w:tcW w:w="1425" w:type="dxa"/>
          </w:tcPr>
          <w:p w14:paraId="046026AC" w14:textId="77777777" w:rsidR="00B94E8C" w:rsidRDefault="00AD1B3A">
            <w:pPr>
              <w:pStyle w:val="NoSpacing"/>
              <w:ind w:firstLineChars="200" w:firstLine="48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68" w:type="dxa"/>
            <w:noWrap/>
          </w:tcPr>
          <w:p w14:paraId="77B8594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08ABC6F9"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14:paraId="62B937D7" w14:textId="77777777" w:rsidR="00B94E8C" w:rsidRDefault="00AD1B3A">
            <w:pPr>
              <w:pStyle w:val="NoSpacing"/>
              <w:jc w:val="both"/>
              <w:rPr>
                <w:rFonts w:ascii="Arial" w:hAnsi="Arial" w:cs="Arial"/>
                <w:sz w:val="24"/>
                <w:szCs w:val="24"/>
              </w:rPr>
            </w:pPr>
            <w:r>
              <w:rPr>
                <w:rFonts w:ascii="Arial" w:hAnsi="Arial" w:cs="Arial"/>
                <w:sz w:val="24"/>
                <w:szCs w:val="24"/>
                <w:lang w:eastAsia="zh-CN"/>
              </w:rPr>
              <w:t>Goat dropping</w:t>
            </w:r>
          </w:p>
        </w:tc>
        <w:tc>
          <w:tcPr>
            <w:tcW w:w="1470" w:type="dxa"/>
            <w:noWrap/>
          </w:tcPr>
          <w:p w14:paraId="76A0123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2.61</w:t>
            </w:r>
          </w:p>
        </w:tc>
        <w:tc>
          <w:tcPr>
            <w:tcW w:w="1185" w:type="dxa"/>
            <w:noWrap/>
          </w:tcPr>
          <w:p w14:paraId="75E6A88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5.71</w:t>
            </w:r>
          </w:p>
        </w:tc>
        <w:tc>
          <w:tcPr>
            <w:tcW w:w="1065" w:type="dxa"/>
            <w:noWrap/>
          </w:tcPr>
          <w:p w14:paraId="2CDC553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10.73</w:t>
            </w:r>
          </w:p>
        </w:tc>
        <w:tc>
          <w:tcPr>
            <w:tcW w:w="1185" w:type="dxa"/>
            <w:noWrap/>
          </w:tcPr>
          <w:p w14:paraId="1BBE7A9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38.99</w:t>
            </w:r>
          </w:p>
        </w:tc>
        <w:tc>
          <w:tcPr>
            <w:tcW w:w="1425" w:type="dxa"/>
            <w:noWrap/>
          </w:tcPr>
          <w:p w14:paraId="757201F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58.04</w:t>
            </w:r>
          </w:p>
        </w:tc>
        <w:tc>
          <w:tcPr>
            <w:tcW w:w="1068" w:type="dxa"/>
            <w:noWrap/>
          </w:tcPr>
          <w:p w14:paraId="31C25E6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0.41</w:t>
            </w:r>
          </w:p>
        </w:tc>
      </w:tr>
      <w:tr w:rsidR="00B94E8C" w14:paraId="4D464F02"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14:paraId="40FCEB1D"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Cow dung</w:t>
            </w:r>
          </w:p>
        </w:tc>
        <w:tc>
          <w:tcPr>
            <w:tcW w:w="1470" w:type="dxa"/>
            <w:shd w:val="clear" w:color="auto" w:fill="F2F2F2" w:themeFill="background1" w:themeFillShade="F2"/>
            <w:noWrap/>
          </w:tcPr>
          <w:p w14:paraId="41D49B4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2.30</w:t>
            </w:r>
          </w:p>
        </w:tc>
        <w:tc>
          <w:tcPr>
            <w:tcW w:w="1185" w:type="dxa"/>
            <w:shd w:val="clear" w:color="auto" w:fill="F2F2F2" w:themeFill="background1" w:themeFillShade="F2"/>
            <w:noWrap/>
          </w:tcPr>
          <w:p w14:paraId="1455507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6.85</w:t>
            </w:r>
          </w:p>
        </w:tc>
        <w:tc>
          <w:tcPr>
            <w:tcW w:w="1065" w:type="dxa"/>
            <w:shd w:val="clear" w:color="auto" w:fill="F2F2F2" w:themeFill="background1" w:themeFillShade="F2"/>
            <w:noWrap/>
          </w:tcPr>
          <w:p w14:paraId="27FD2AD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5.51</w:t>
            </w:r>
          </w:p>
        </w:tc>
        <w:tc>
          <w:tcPr>
            <w:tcW w:w="1185" w:type="dxa"/>
            <w:shd w:val="clear" w:color="auto" w:fill="F2F2F2" w:themeFill="background1" w:themeFillShade="F2"/>
            <w:noWrap/>
          </w:tcPr>
          <w:p w14:paraId="36606D3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28.83</w:t>
            </w:r>
          </w:p>
        </w:tc>
        <w:tc>
          <w:tcPr>
            <w:tcW w:w="1425" w:type="dxa"/>
            <w:shd w:val="clear" w:color="auto" w:fill="F2F2F2" w:themeFill="background1" w:themeFillShade="F2"/>
            <w:noWrap/>
          </w:tcPr>
          <w:p w14:paraId="2C4BAAC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43.49</w:t>
            </w:r>
          </w:p>
        </w:tc>
        <w:tc>
          <w:tcPr>
            <w:tcW w:w="1068" w:type="dxa"/>
            <w:shd w:val="clear" w:color="auto" w:fill="F2F2F2" w:themeFill="background1" w:themeFillShade="F2"/>
            <w:noWrap/>
          </w:tcPr>
          <w:p w14:paraId="6DE38A8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0.33</w:t>
            </w:r>
          </w:p>
        </w:tc>
      </w:tr>
      <w:tr w:rsidR="00B94E8C" w14:paraId="27FCB075"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14:paraId="1D51E435" w14:textId="77777777" w:rsidR="00B94E8C" w:rsidRDefault="00AD1B3A">
            <w:pPr>
              <w:pStyle w:val="NoSpacing"/>
              <w:jc w:val="both"/>
              <w:rPr>
                <w:rFonts w:ascii="Arial" w:hAnsi="Arial" w:cs="Arial"/>
                <w:sz w:val="24"/>
                <w:szCs w:val="24"/>
              </w:rPr>
            </w:pPr>
            <w:r>
              <w:rPr>
                <w:rFonts w:ascii="Arial" w:hAnsi="Arial" w:cs="Arial"/>
                <w:sz w:val="24"/>
                <w:szCs w:val="24"/>
                <w:lang w:eastAsia="zh-CN"/>
              </w:rPr>
              <w:t>Poultry dropping</w:t>
            </w:r>
          </w:p>
        </w:tc>
        <w:tc>
          <w:tcPr>
            <w:tcW w:w="1470" w:type="dxa"/>
            <w:noWrap/>
          </w:tcPr>
          <w:p w14:paraId="69AC8EF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2.70</w:t>
            </w:r>
          </w:p>
        </w:tc>
        <w:tc>
          <w:tcPr>
            <w:tcW w:w="1185" w:type="dxa"/>
            <w:noWrap/>
          </w:tcPr>
          <w:p w14:paraId="1BF6293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5.39</w:t>
            </w:r>
          </w:p>
        </w:tc>
        <w:tc>
          <w:tcPr>
            <w:tcW w:w="1065" w:type="dxa"/>
            <w:noWrap/>
          </w:tcPr>
          <w:p w14:paraId="4D97403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7.16</w:t>
            </w:r>
          </w:p>
        </w:tc>
        <w:tc>
          <w:tcPr>
            <w:tcW w:w="1185" w:type="dxa"/>
            <w:noWrap/>
          </w:tcPr>
          <w:p w14:paraId="3E87BB7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24.64</w:t>
            </w:r>
          </w:p>
        </w:tc>
        <w:tc>
          <w:tcPr>
            <w:tcW w:w="1425" w:type="dxa"/>
            <w:noWrap/>
          </w:tcPr>
          <w:p w14:paraId="782FF8F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39.87</w:t>
            </w:r>
          </w:p>
        </w:tc>
        <w:tc>
          <w:tcPr>
            <w:tcW w:w="1068" w:type="dxa"/>
            <w:noWrap/>
          </w:tcPr>
          <w:p w14:paraId="636EAD5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0.31</w:t>
            </w:r>
          </w:p>
        </w:tc>
      </w:tr>
      <w:tr w:rsidR="00B94E8C" w14:paraId="6A8FD877"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14:paraId="240A47C8" w14:textId="77777777" w:rsidR="00B94E8C" w:rsidRDefault="00AD1B3A">
            <w:pPr>
              <w:pStyle w:val="NoSpacing"/>
              <w:jc w:val="both"/>
              <w:rPr>
                <w:rFonts w:ascii="Arial" w:hAnsi="Arial" w:cs="Arial"/>
                <w:sz w:val="24"/>
                <w:szCs w:val="24"/>
              </w:rPr>
            </w:pPr>
            <w:r>
              <w:rPr>
                <w:rFonts w:ascii="Arial" w:hAnsi="Arial" w:cs="Arial"/>
                <w:sz w:val="24"/>
                <w:szCs w:val="24"/>
                <w:lang w:eastAsia="zh-CN"/>
              </w:rPr>
              <w:t>Pig slurry</w:t>
            </w:r>
          </w:p>
        </w:tc>
        <w:tc>
          <w:tcPr>
            <w:tcW w:w="1470" w:type="dxa"/>
            <w:shd w:val="clear" w:color="auto" w:fill="F2F2F2" w:themeFill="background1" w:themeFillShade="F2"/>
            <w:noWrap/>
          </w:tcPr>
          <w:p w14:paraId="39707DE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1.53</w:t>
            </w:r>
          </w:p>
        </w:tc>
        <w:tc>
          <w:tcPr>
            <w:tcW w:w="1185" w:type="dxa"/>
            <w:shd w:val="clear" w:color="auto" w:fill="F2F2F2" w:themeFill="background1" w:themeFillShade="F2"/>
            <w:noWrap/>
          </w:tcPr>
          <w:p w14:paraId="2B99D96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4.12</w:t>
            </w:r>
          </w:p>
        </w:tc>
        <w:tc>
          <w:tcPr>
            <w:tcW w:w="1065" w:type="dxa"/>
            <w:shd w:val="clear" w:color="auto" w:fill="F2F2F2" w:themeFill="background1" w:themeFillShade="F2"/>
            <w:noWrap/>
          </w:tcPr>
          <w:p w14:paraId="48356AB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4.49</w:t>
            </w:r>
          </w:p>
        </w:tc>
        <w:tc>
          <w:tcPr>
            <w:tcW w:w="1185" w:type="dxa"/>
            <w:shd w:val="clear" w:color="auto" w:fill="F2F2F2" w:themeFill="background1" w:themeFillShade="F2"/>
            <w:noWrap/>
          </w:tcPr>
          <w:p w14:paraId="444C518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39.02</w:t>
            </w:r>
          </w:p>
        </w:tc>
        <w:tc>
          <w:tcPr>
            <w:tcW w:w="1425" w:type="dxa"/>
            <w:shd w:val="clear" w:color="auto" w:fill="F2F2F2" w:themeFill="background1" w:themeFillShade="F2"/>
            <w:noWrap/>
          </w:tcPr>
          <w:p w14:paraId="3EDFF6A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49.16</w:t>
            </w:r>
          </w:p>
        </w:tc>
        <w:tc>
          <w:tcPr>
            <w:tcW w:w="1068" w:type="dxa"/>
            <w:shd w:val="clear" w:color="auto" w:fill="F2F2F2" w:themeFill="background1" w:themeFillShade="F2"/>
            <w:noWrap/>
          </w:tcPr>
          <w:p w14:paraId="3106BD1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0.59</w:t>
            </w:r>
          </w:p>
        </w:tc>
      </w:tr>
      <w:tr w:rsidR="00B94E8C" w14:paraId="4812ECE7"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14:paraId="2B703C47" w14:textId="77777777" w:rsidR="00B94E8C" w:rsidRDefault="00AD1B3A">
            <w:pPr>
              <w:pStyle w:val="NoSpacing"/>
              <w:jc w:val="both"/>
              <w:rPr>
                <w:rFonts w:ascii="Arial" w:hAnsi="Arial" w:cs="Arial"/>
                <w:sz w:val="24"/>
                <w:szCs w:val="24"/>
              </w:rPr>
            </w:pPr>
            <w:r>
              <w:rPr>
                <w:rFonts w:ascii="Arial" w:hAnsi="Arial" w:cs="Arial"/>
                <w:sz w:val="24"/>
                <w:szCs w:val="24"/>
                <w:lang w:eastAsia="zh-CN"/>
              </w:rPr>
              <w:t xml:space="preserve">Mixture of </w:t>
            </w:r>
            <w:r>
              <w:rPr>
                <w:rFonts w:ascii="Arial" w:hAnsi="Arial" w:cs="Arial"/>
                <w:sz w:val="24"/>
                <w:szCs w:val="24"/>
                <w:lang w:eastAsia="zh-CN"/>
              </w:rPr>
              <w:t>amendments</w:t>
            </w:r>
          </w:p>
        </w:tc>
        <w:tc>
          <w:tcPr>
            <w:tcW w:w="1470" w:type="dxa"/>
            <w:noWrap/>
          </w:tcPr>
          <w:p w14:paraId="0BC52A9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1.12</w:t>
            </w:r>
          </w:p>
        </w:tc>
        <w:tc>
          <w:tcPr>
            <w:tcW w:w="1185" w:type="dxa"/>
            <w:noWrap/>
          </w:tcPr>
          <w:p w14:paraId="2600931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3.81</w:t>
            </w:r>
          </w:p>
        </w:tc>
        <w:tc>
          <w:tcPr>
            <w:tcW w:w="1065" w:type="dxa"/>
            <w:noWrap/>
          </w:tcPr>
          <w:p w14:paraId="7F16B85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4.28</w:t>
            </w:r>
          </w:p>
        </w:tc>
        <w:tc>
          <w:tcPr>
            <w:tcW w:w="1185" w:type="dxa"/>
            <w:noWrap/>
          </w:tcPr>
          <w:p w14:paraId="25AA87D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27.44</w:t>
            </w:r>
          </w:p>
        </w:tc>
        <w:tc>
          <w:tcPr>
            <w:tcW w:w="1425" w:type="dxa"/>
            <w:noWrap/>
          </w:tcPr>
          <w:p w14:paraId="1A294F5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36.65</w:t>
            </w:r>
          </w:p>
        </w:tc>
        <w:tc>
          <w:tcPr>
            <w:tcW w:w="1068" w:type="dxa"/>
            <w:noWrap/>
          </w:tcPr>
          <w:p w14:paraId="3DD5A47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0.23</w:t>
            </w:r>
          </w:p>
        </w:tc>
      </w:tr>
      <w:tr w:rsidR="00B94E8C" w14:paraId="10B0D73F"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14:paraId="19172FF0" w14:textId="77777777" w:rsidR="00B94E8C" w:rsidRDefault="00AD1B3A">
            <w:pPr>
              <w:pStyle w:val="NoSpacing"/>
              <w:jc w:val="both"/>
              <w:rPr>
                <w:rFonts w:ascii="Arial" w:hAnsi="Arial" w:cs="Arial"/>
                <w:sz w:val="24"/>
                <w:szCs w:val="24"/>
              </w:rPr>
            </w:pPr>
            <w:r>
              <w:rPr>
                <w:rFonts w:ascii="Arial" w:hAnsi="Arial" w:cs="Arial"/>
                <w:sz w:val="24"/>
                <w:szCs w:val="24"/>
                <w:lang w:eastAsia="zh-CN"/>
              </w:rPr>
              <w:t>Control</w:t>
            </w:r>
          </w:p>
        </w:tc>
        <w:tc>
          <w:tcPr>
            <w:tcW w:w="1470" w:type="dxa"/>
            <w:shd w:val="clear" w:color="auto" w:fill="F2F2F2" w:themeFill="background1" w:themeFillShade="F2"/>
            <w:noWrap/>
          </w:tcPr>
          <w:p w14:paraId="2996D1B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1.20</w:t>
            </w:r>
          </w:p>
        </w:tc>
        <w:tc>
          <w:tcPr>
            <w:tcW w:w="1185" w:type="dxa"/>
            <w:shd w:val="clear" w:color="auto" w:fill="F2F2F2" w:themeFill="background1" w:themeFillShade="F2"/>
            <w:noWrap/>
          </w:tcPr>
          <w:p w14:paraId="19F951C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3.15</w:t>
            </w:r>
          </w:p>
        </w:tc>
        <w:tc>
          <w:tcPr>
            <w:tcW w:w="1065" w:type="dxa"/>
            <w:shd w:val="clear" w:color="auto" w:fill="F2F2F2" w:themeFill="background1" w:themeFillShade="F2"/>
            <w:noWrap/>
          </w:tcPr>
          <w:p w14:paraId="0CC2D40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2.98</w:t>
            </w:r>
          </w:p>
        </w:tc>
        <w:tc>
          <w:tcPr>
            <w:tcW w:w="1185" w:type="dxa"/>
            <w:shd w:val="clear" w:color="auto" w:fill="F2F2F2" w:themeFill="background1" w:themeFillShade="F2"/>
            <w:noWrap/>
          </w:tcPr>
          <w:p w14:paraId="294DB64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13.91</w:t>
            </w:r>
          </w:p>
        </w:tc>
        <w:tc>
          <w:tcPr>
            <w:tcW w:w="1425" w:type="dxa"/>
            <w:shd w:val="clear" w:color="auto" w:fill="F2F2F2" w:themeFill="background1" w:themeFillShade="F2"/>
            <w:noWrap/>
          </w:tcPr>
          <w:p w14:paraId="2556036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21.24</w:t>
            </w:r>
          </w:p>
        </w:tc>
        <w:tc>
          <w:tcPr>
            <w:tcW w:w="1068" w:type="dxa"/>
            <w:shd w:val="clear" w:color="auto" w:fill="F2F2F2" w:themeFill="background1" w:themeFillShade="F2"/>
            <w:noWrap/>
          </w:tcPr>
          <w:p w14:paraId="6FCC6E5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0.17</w:t>
            </w:r>
          </w:p>
        </w:tc>
      </w:tr>
      <w:tr w:rsidR="00B94E8C" w14:paraId="3C9116BA" w14:textId="77777777" w:rsidTr="00B94E8C">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14:paraId="6B3E39D1" w14:textId="77777777" w:rsidR="00B94E8C" w:rsidRDefault="00AD1B3A">
            <w:pPr>
              <w:pStyle w:val="NoSpacing"/>
              <w:jc w:val="both"/>
              <w:rPr>
                <w:rFonts w:ascii="Arial" w:hAnsi="Arial" w:cs="Arial"/>
                <w:sz w:val="24"/>
                <w:szCs w:val="24"/>
              </w:rPr>
            </w:pPr>
            <w:r>
              <w:rPr>
                <w:rFonts w:ascii="Arial" w:hAnsi="Arial" w:cs="Arial"/>
                <w:sz w:val="24"/>
                <w:szCs w:val="24"/>
                <w:lang w:eastAsia="zh-CN"/>
              </w:rPr>
              <w:t>LSD (P=0.05)</w:t>
            </w:r>
          </w:p>
        </w:tc>
        <w:tc>
          <w:tcPr>
            <w:tcW w:w="1470" w:type="dxa"/>
          </w:tcPr>
          <w:p w14:paraId="4D3CEE0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185" w:type="dxa"/>
          </w:tcPr>
          <w:p w14:paraId="358459F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1065" w:type="dxa"/>
          </w:tcPr>
          <w:p w14:paraId="317CF16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185" w:type="dxa"/>
          </w:tcPr>
          <w:p w14:paraId="2146335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1.89*</w:t>
            </w:r>
          </w:p>
        </w:tc>
        <w:tc>
          <w:tcPr>
            <w:tcW w:w="1425" w:type="dxa"/>
          </w:tcPr>
          <w:p w14:paraId="1D2B930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1.23*</w:t>
            </w:r>
          </w:p>
        </w:tc>
        <w:tc>
          <w:tcPr>
            <w:tcW w:w="1068" w:type="dxa"/>
          </w:tcPr>
          <w:p w14:paraId="2BB43CE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0.11*</w:t>
            </w:r>
          </w:p>
        </w:tc>
      </w:tr>
    </w:tbl>
    <w:p w14:paraId="2521A8E0" w14:textId="77777777" w:rsidR="00B94E8C" w:rsidRDefault="00AD1B3A">
      <w:pPr>
        <w:spacing w:line="480" w:lineRule="auto"/>
        <w:jc w:val="both"/>
        <w:rPr>
          <w:rFonts w:ascii="Arial" w:hAnsi="Arial" w:cs="Arial"/>
          <w:color w:val="000000" w:themeColor="text1"/>
          <w:sz w:val="24"/>
          <w:szCs w:val="24"/>
        </w:rPr>
      </w:pPr>
      <w:r>
        <w:rPr>
          <w:rFonts w:ascii="Arial" w:hAnsi="Arial" w:cs="Arial"/>
          <w:noProof/>
          <w:sz w:val="24"/>
        </w:rPr>
        <mc:AlternateContent>
          <mc:Choice Requires="wps">
            <w:drawing>
              <wp:anchor distT="0" distB="0" distL="114300" distR="114300" simplePos="0" relativeHeight="251665408" behindDoc="0" locked="0" layoutInCell="1" allowOverlap="1" wp14:anchorId="026BF8C4" wp14:editId="03332DC1">
                <wp:simplePos x="0" y="0"/>
                <wp:positionH relativeFrom="column">
                  <wp:posOffset>-175260</wp:posOffset>
                </wp:positionH>
                <wp:positionV relativeFrom="paragraph">
                  <wp:posOffset>45085</wp:posOffset>
                </wp:positionV>
                <wp:extent cx="6391275" cy="9525"/>
                <wp:effectExtent l="0" t="19050" r="9525" b="28575"/>
                <wp:wrapNone/>
                <wp:docPr id="7" name="Straight Connector 7"/>
                <wp:cNvGraphicFramePr/>
                <a:graphic xmlns:a="http://schemas.openxmlformats.org/drawingml/2006/main">
                  <a:graphicData uri="http://schemas.microsoft.com/office/word/2010/wordprocessingShape">
                    <wps:wsp>
                      <wps:cNvCnPr/>
                      <wps:spPr>
                        <a:xfrm>
                          <a:off x="0" y="0"/>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36AFBC4D"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8pt,3.55pt" to="489.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" strokeweight="3pt"/>
            </w:pict>
          </mc:Fallback>
        </mc:AlternateContent>
      </w:r>
    </w:p>
    <w:p w14:paraId="175861E9" w14:textId="77777777" w:rsidR="00B94E8C" w:rsidRDefault="00AD1B3A">
      <w:pPr>
        <w:spacing w:line="360" w:lineRule="auto"/>
        <w:jc w:val="both"/>
        <w:rPr>
          <w:rStyle w:val="Strong"/>
          <w:rFonts w:ascii="Arial" w:hAnsi="Arial" w:cs="Arial"/>
          <w:sz w:val="24"/>
          <w:szCs w:val="24"/>
        </w:rPr>
      </w:pPr>
      <w:r>
        <w:rPr>
          <w:rFonts w:ascii="Arial" w:hAnsi="Arial" w:cs="Arial"/>
          <w:color w:val="000000" w:themeColor="text1"/>
          <w:sz w:val="24"/>
          <w:szCs w:val="24"/>
        </w:rPr>
        <w:t xml:space="preserve">WSA= water stable aggregates, NS=not significant, *=significant at 5% level of probability, </w:t>
      </w:r>
      <w:proofErr w:type="spellStart"/>
      <w:r>
        <w:rPr>
          <w:rFonts w:ascii="Arial" w:hAnsi="Arial" w:cs="Arial"/>
          <w:color w:val="000000" w:themeColor="text1"/>
          <w:sz w:val="24"/>
          <w:szCs w:val="24"/>
        </w:rPr>
        <w:t>MWDw</w:t>
      </w:r>
      <w:proofErr w:type="spellEnd"/>
      <w:r>
        <w:rPr>
          <w:rFonts w:ascii="Arial" w:hAnsi="Arial" w:cs="Arial"/>
          <w:color w:val="000000" w:themeColor="text1"/>
          <w:sz w:val="24"/>
          <w:szCs w:val="24"/>
        </w:rPr>
        <w:t xml:space="preserve">=Mean weight diameter by wet sieving </w:t>
      </w:r>
    </w:p>
    <w:p w14:paraId="34B0D487" w14:textId="77777777" w:rsidR="00B94E8C" w:rsidRDefault="00B94E8C">
      <w:pPr>
        <w:jc w:val="both"/>
        <w:rPr>
          <w:rStyle w:val="Strong"/>
          <w:rFonts w:ascii="Arial" w:hAnsi="Arial" w:cs="Arial"/>
          <w:sz w:val="24"/>
          <w:szCs w:val="24"/>
        </w:rPr>
      </w:pPr>
    </w:p>
    <w:p w14:paraId="7ED61150" w14:textId="77777777" w:rsidR="00B94E8C" w:rsidRDefault="00AD1B3A">
      <w:pPr>
        <w:jc w:val="both"/>
        <w:rPr>
          <w:rStyle w:val="Strong"/>
          <w:rFonts w:ascii="Arial" w:hAnsi="Arial" w:cs="Arial"/>
          <w:sz w:val="24"/>
          <w:szCs w:val="24"/>
        </w:rPr>
      </w:pPr>
      <w:proofErr w:type="gramStart"/>
      <w:r>
        <w:rPr>
          <w:rStyle w:val="Strong"/>
          <w:rFonts w:ascii="Arial" w:hAnsi="Arial" w:cs="Arial"/>
          <w:sz w:val="24"/>
          <w:szCs w:val="24"/>
        </w:rPr>
        <w:t xml:space="preserve">4.3.3  </w:t>
      </w:r>
      <w:r>
        <w:rPr>
          <w:rFonts w:ascii="Arial" w:hAnsi="Arial" w:cs="Arial"/>
          <w:b/>
          <w:bCs/>
          <w:sz w:val="24"/>
          <w:szCs w:val="24"/>
        </w:rPr>
        <w:t>Mean</w:t>
      </w:r>
      <w:proofErr w:type="gramEnd"/>
      <w:r>
        <w:rPr>
          <w:rFonts w:ascii="Arial" w:hAnsi="Arial" w:cs="Arial"/>
          <w:b/>
          <w:bCs/>
          <w:sz w:val="24"/>
          <w:szCs w:val="24"/>
        </w:rPr>
        <w:t xml:space="preserve"> weight diameter dry </w:t>
      </w:r>
      <w:proofErr w:type="spellStart"/>
      <w:r>
        <w:rPr>
          <w:rFonts w:ascii="Arial" w:hAnsi="Arial" w:cs="Arial"/>
          <w:b/>
          <w:bCs/>
          <w:sz w:val="24"/>
          <w:szCs w:val="24"/>
        </w:rPr>
        <w:t>sieveing</w:t>
      </w:r>
      <w:proofErr w:type="spellEnd"/>
      <w:r>
        <w:rPr>
          <w:rFonts w:ascii="Arial" w:hAnsi="Arial" w:cs="Arial"/>
          <w:b/>
          <w:bCs/>
          <w:sz w:val="24"/>
          <w:szCs w:val="24"/>
        </w:rPr>
        <w:t xml:space="preserve"> (</w:t>
      </w:r>
      <w:proofErr w:type="spellStart"/>
      <w:r>
        <w:rPr>
          <w:rFonts w:ascii="Arial" w:hAnsi="Arial" w:cs="Arial"/>
          <w:b/>
          <w:bCs/>
          <w:sz w:val="24"/>
          <w:szCs w:val="24"/>
        </w:rPr>
        <w:t>MWDd</w:t>
      </w:r>
      <w:proofErr w:type="spellEnd"/>
      <w:r>
        <w:rPr>
          <w:rFonts w:ascii="Arial" w:hAnsi="Arial" w:cs="Arial"/>
          <w:b/>
          <w:bCs/>
          <w:sz w:val="24"/>
          <w:szCs w:val="24"/>
        </w:rPr>
        <w:t>).</w:t>
      </w:r>
    </w:p>
    <w:p w14:paraId="756314D5" w14:textId="77777777" w:rsidR="00B94E8C" w:rsidRDefault="00AD1B3A">
      <w:pPr>
        <w:spacing w:line="360" w:lineRule="auto"/>
        <w:jc w:val="both"/>
        <w:rPr>
          <w:rFonts w:ascii="Arial" w:hAnsi="Arial" w:cs="Arial"/>
          <w:sz w:val="24"/>
          <w:szCs w:val="24"/>
        </w:rPr>
      </w:pPr>
      <w:r>
        <w:rPr>
          <w:rFonts w:ascii="Arial" w:hAnsi="Arial" w:cs="Arial"/>
          <w:sz w:val="24"/>
          <w:szCs w:val="24"/>
        </w:rPr>
        <w:t xml:space="preserve">Dry aggregate </w:t>
      </w:r>
      <w:proofErr w:type="spellStart"/>
      <w:r>
        <w:rPr>
          <w:rFonts w:ascii="Arial" w:hAnsi="Arial" w:cs="Arial"/>
          <w:sz w:val="24"/>
          <w:szCs w:val="24"/>
        </w:rPr>
        <w:t>MWDd</w:t>
      </w:r>
      <w:proofErr w:type="spellEnd"/>
      <w:r>
        <w:rPr>
          <w:rFonts w:ascii="Arial" w:hAnsi="Arial" w:cs="Arial"/>
          <w:sz w:val="24"/>
          <w:szCs w:val="24"/>
        </w:rPr>
        <w:t xml:space="preserve"> values tended to be lower and more variable than wet aggregate MWD values. This is to be expected, since dry aggregates are less affected by manageme</w:t>
      </w:r>
      <w:r>
        <w:rPr>
          <w:rFonts w:ascii="Arial" w:hAnsi="Arial" w:cs="Arial"/>
          <w:sz w:val="24"/>
          <w:szCs w:val="24"/>
        </w:rPr>
        <w:t xml:space="preserve">nt-induced changes than wet aggregates, which are direct indicators of organic matter-mediated stabilization processes (Kemper &amp; Rosenau, 1986). The similarity in dry aggregate MWD values among treatments suggests that soil texture and mineral composition </w:t>
      </w:r>
      <w:r>
        <w:rPr>
          <w:rFonts w:ascii="Arial" w:hAnsi="Arial" w:cs="Arial"/>
          <w:sz w:val="24"/>
          <w:szCs w:val="24"/>
        </w:rPr>
        <w:t xml:space="preserve">were the dominant factors in the formation of dry aggregates before the application of soil amendments. However, the fact that dry aggregate MWD </w:t>
      </w:r>
      <w:r>
        <w:rPr>
          <w:rFonts w:ascii="Arial" w:hAnsi="Arial" w:cs="Arial"/>
          <w:sz w:val="24"/>
          <w:szCs w:val="24"/>
        </w:rPr>
        <w:lastRenderedPageBreak/>
        <w:t xml:space="preserve">was lower in amended soils than in the control soil suggests that the impact of soil amendments was greater in </w:t>
      </w:r>
      <w:r>
        <w:rPr>
          <w:rFonts w:ascii="Arial" w:hAnsi="Arial" w:cs="Arial"/>
          <w:sz w:val="24"/>
          <w:szCs w:val="24"/>
        </w:rPr>
        <w:t>wet conditions, where the role of organic matter in protecting aggregates from water-induced disruption was highlighted.</w:t>
      </w:r>
    </w:p>
    <w:p w14:paraId="7523296F" w14:textId="77777777" w:rsidR="00B94E8C" w:rsidRDefault="00AD1B3A">
      <w:pPr>
        <w:pStyle w:val="Heading3"/>
        <w:jc w:val="both"/>
        <w:rPr>
          <w:rFonts w:ascii="Arial" w:hAnsi="Arial" w:cs="Arial" w:hint="default"/>
          <w:sz w:val="24"/>
          <w:szCs w:val="24"/>
        </w:rPr>
      </w:pPr>
      <w:proofErr w:type="gramStart"/>
      <w:r>
        <w:rPr>
          <w:rStyle w:val="Strong"/>
          <w:rFonts w:ascii="Arial" w:hAnsi="Arial" w:cs="Arial" w:hint="default"/>
          <w:b/>
          <w:bCs/>
          <w:sz w:val="24"/>
          <w:szCs w:val="24"/>
        </w:rPr>
        <w:t>4.3.4  Degree</w:t>
      </w:r>
      <w:proofErr w:type="gramEnd"/>
      <w:r>
        <w:rPr>
          <w:rStyle w:val="Strong"/>
          <w:rFonts w:ascii="Arial" w:hAnsi="Arial" w:cs="Arial" w:hint="default"/>
          <w:b/>
          <w:bCs/>
          <w:sz w:val="24"/>
          <w:szCs w:val="24"/>
        </w:rPr>
        <w:t xml:space="preserve"> of Structural Enhancement (DSE) </w:t>
      </w:r>
    </w:p>
    <w:p w14:paraId="60F9837B" w14:textId="32C7D045" w:rsidR="00B94E8C" w:rsidRDefault="00AD1B3A">
      <w:pPr>
        <w:spacing w:line="360" w:lineRule="auto"/>
        <w:jc w:val="both"/>
        <w:rPr>
          <w:rFonts w:ascii="Arial" w:hAnsi="Arial" w:cs="Arial"/>
          <w:sz w:val="24"/>
          <w:szCs w:val="24"/>
        </w:rPr>
      </w:pPr>
      <w:r>
        <w:rPr>
          <w:rFonts w:ascii="Arial" w:hAnsi="Arial" w:cs="Arial"/>
          <w:sz w:val="24"/>
          <w:szCs w:val="24"/>
        </w:rPr>
        <w:t xml:space="preserve">The degree of structural enhancement (DSE) presented in Table </w:t>
      </w:r>
      <w:r w:rsidR="00972B7C">
        <w:rPr>
          <w:rFonts w:ascii="Arial" w:hAnsi="Arial" w:cs="Arial"/>
          <w:sz w:val="24"/>
          <w:szCs w:val="24"/>
        </w:rPr>
        <w:t>4</w:t>
      </w:r>
      <w:r>
        <w:rPr>
          <w:rFonts w:ascii="Arial" w:hAnsi="Arial" w:cs="Arial"/>
          <w:sz w:val="24"/>
          <w:szCs w:val="24"/>
        </w:rPr>
        <w:t xml:space="preserve"> is a measure of the over</w:t>
      </w:r>
      <w:r>
        <w:rPr>
          <w:rFonts w:ascii="Arial" w:hAnsi="Arial" w:cs="Arial"/>
          <w:sz w:val="24"/>
          <w:szCs w:val="24"/>
        </w:rPr>
        <w:t>all improvement in soil structure resulting from the application of soil amendments based on changes in wet and dry aggregate stability. The DSE values showed highly significant (P = 0.05) improvements in soil structure resulting from the application of or</w:t>
      </w:r>
      <w:r>
        <w:rPr>
          <w:rFonts w:ascii="Arial" w:hAnsi="Arial" w:cs="Arial"/>
          <w:sz w:val="24"/>
          <w:szCs w:val="24"/>
        </w:rPr>
        <w:t>ganic amendments. The poultry droppings showed the highest degree of structural enhancement (DSE) value of 97.33%, followed closely by cow dung (94.00%), pig slurry (89.82%), mixture of amendments (89.44%), and goat droppings (87.04%). On the other hand, t</w:t>
      </w:r>
      <w:r>
        <w:rPr>
          <w:rFonts w:ascii="Arial" w:hAnsi="Arial" w:cs="Arial"/>
          <w:sz w:val="24"/>
          <w:szCs w:val="24"/>
        </w:rPr>
        <w:t xml:space="preserve">he control soil showed a very low DSE value of 26.38%, thus confirming its poor structure.  Chinedu and Ahamefule (2012) also reported similar findings while working on a clay loam soil at Nsukka Southeastern Nigeria. </w:t>
      </w:r>
    </w:p>
    <w:p w14:paraId="5F35DEC6" w14:textId="77777777" w:rsidR="00B94E8C" w:rsidRDefault="00AD1B3A">
      <w:pPr>
        <w:spacing w:line="360" w:lineRule="auto"/>
        <w:jc w:val="both"/>
        <w:rPr>
          <w:rFonts w:ascii="Arial" w:hAnsi="Arial" w:cs="Arial"/>
          <w:b/>
          <w:bCs/>
          <w:color w:val="000000" w:themeColor="text1"/>
          <w:sz w:val="24"/>
          <w:szCs w:val="24"/>
        </w:rPr>
      </w:pPr>
      <w:r>
        <w:rPr>
          <w:rFonts w:ascii="Arial" w:hAnsi="Arial" w:cs="Arial"/>
          <w:sz w:val="24"/>
          <w:szCs w:val="24"/>
        </w:rPr>
        <w:t xml:space="preserve">The remarkably high DSE values under poultry droppings and cow dung can be linked to their relatively high nutrient content and high rates of decomposition, which enhance microbial biomass and the production of organic binding </w:t>
      </w:r>
      <w:proofErr w:type="spellStart"/>
      <w:proofErr w:type="gramStart"/>
      <w:r>
        <w:rPr>
          <w:rFonts w:ascii="Arial" w:hAnsi="Arial" w:cs="Arial"/>
          <w:sz w:val="24"/>
          <w:szCs w:val="24"/>
        </w:rPr>
        <w:t>agents.In</w:t>
      </w:r>
      <w:proofErr w:type="spellEnd"/>
      <w:proofErr w:type="gramEnd"/>
      <w:r>
        <w:rPr>
          <w:rFonts w:ascii="Arial" w:hAnsi="Arial" w:cs="Arial"/>
          <w:sz w:val="24"/>
          <w:szCs w:val="24"/>
        </w:rPr>
        <w:t xml:space="preserve"> particular, poultry</w:t>
      </w:r>
      <w:r>
        <w:rPr>
          <w:rFonts w:ascii="Arial" w:hAnsi="Arial" w:cs="Arial"/>
          <w:sz w:val="24"/>
          <w:szCs w:val="24"/>
        </w:rPr>
        <w:t xml:space="preserve"> manure is recognized to contain readily available organic carbon and calcium, which are essential for aggregate stabilization and clay particle flocculation (Haynes &amp; Naidu, 1998; Bronick &amp; Lal, 2005). The low DSE value in the control soil is indicative o</w:t>
      </w:r>
      <w:r>
        <w:rPr>
          <w:rFonts w:ascii="Arial" w:hAnsi="Arial" w:cs="Arial"/>
          <w:sz w:val="24"/>
          <w:szCs w:val="24"/>
        </w:rPr>
        <w:t>f the lack of external organic amendment, thereby resulting in poor aggregation, susceptibility to wetting, and erosion (</w:t>
      </w:r>
      <w:proofErr w:type="spellStart"/>
      <w:r>
        <w:rPr>
          <w:rFonts w:ascii="Arial" w:hAnsi="Arial" w:cs="Arial"/>
          <w:sz w:val="24"/>
          <w:szCs w:val="24"/>
        </w:rPr>
        <w:t>Adesodun</w:t>
      </w:r>
      <w:proofErr w:type="spellEnd"/>
      <w:r>
        <w:rPr>
          <w:rFonts w:ascii="Arial" w:hAnsi="Arial" w:cs="Arial"/>
          <w:sz w:val="24"/>
          <w:szCs w:val="24"/>
        </w:rPr>
        <w:t xml:space="preserve"> et al., 2005; </w:t>
      </w:r>
      <w:proofErr w:type="spellStart"/>
      <w:r>
        <w:rPr>
          <w:rFonts w:ascii="Arial" w:hAnsi="Arial" w:cs="Arial"/>
          <w:sz w:val="24"/>
          <w:szCs w:val="24"/>
        </w:rPr>
        <w:t>Nwite</w:t>
      </w:r>
      <w:proofErr w:type="spellEnd"/>
      <w:r>
        <w:rPr>
          <w:rFonts w:ascii="Arial" w:hAnsi="Arial" w:cs="Arial"/>
          <w:sz w:val="24"/>
          <w:szCs w:val="24"/>
        </w:rPr>
        <w:t xml:space="preserve"> et al., 2016).</w:t>
      </w:r>
    </w:p>
    <w:p w14:paraId="30B02AA5" w14:textId="77777777" w:rsidR="00B94E8C" w:rsidRDefault="00B94E8C">
      <w:pPr>
        <w:spacing w:line="360" w:lineRule="auto"/>
        <w:jc w:val="both"/>
        <w:rPr>
          <w:rFonts w:ascii="Arial" w:hAnsi="Arial" w:cs="Arial"/>
          <w:b/>
          <w:bCs/>
          <w:color w:val="000000" w:themeColor="text1"/>
          <w:sz w:val="24"/>
          <w:szCs w:val="24"/>
        </w:rPr>
      </w:pPr>
    </w:p>
    <w:p w14:paraId="7160D82D" w14:textId="77777777" w:rsidR="00B94E8C" w:rsidRDefault="00AD1B3A">
      <w:pPr>
        <w:spacing w:line="480" w:lineRule="auto"/>
        <w:jc w:val="both"/>
        <w:rPr>
          <w:rFonts w:ascii="Arial" w:hAnsi="Arial" w:cs="Arial"/>
          <w:b/>
          <w:bCs/>
          <w:color w:val="000000" w:themeColor="text1"/>
          <w:sz w:val="24"/>
          <w:szCs w:val="24"/>
        </w:rPr>
      </w:pPr>
      <w:r>
        <w:rPr>
          <w:rStyle w:val="Strong"/>
          <w:rFonts w:ascii="Arial" w:hAnsi="Arial" w:cs="Arial"/>
          <w:sz w:val="24"/>
          <w:szCs w:val="24"/>
        </w:rPr>
        <w:t xml:space="preserve">4.3.5. </w:t>
      </w:r>
      <w:r>
        <w:rPr>
          <w:rFonts w:ascii="Arial" w:hAnsi="Arial" w:cs="Arial"/>
          <w:b/>
          <w:bCs/>
          <w:color w:val="000000" w:themeColor="text1"/>
          <w:sz w:val="24"/>
          <w:szCs w:val="24"/>
        </w:rPr>
        <w:t>Potential structural deformation index PSDI</w:t>
      </w:r>
    </w:p>
    <w:p w14:paraId="2B522731" w14:textId="74F80F6D" w:rsidR="00B94E8C" w:rsidRDefault="00AD1B3A">
      <w:pPr>
        <w:spacing w:line="480" w:lineRule="auto"/>
        <w:jc w:val="both"/>
        <w:rPr>
          <w:rFonts w:ascii="Arial" w:hAnsi="Arial" w:cs="Arial"/>
          <w:color w:val="000000" w:themeColor="text1"/>
          <w:sz w:val="24"/>
          <w:szCs w:val="24"/>
        </w:rPr>
      </w:pPr>
      <w:r>
        <w:rPr>
          <w:rFonts w:ascii="Arial" w:hAnsi="Arial" w:cs="Arial"/>
          <w:sz w:val="24"/>
          <w:szCs w:val="24"/>
        </w:rPr>
        <w:t xml:space="preserve">Table </w:t>
      </w:r>
      <w:r w:rsidR="00972B7C">
        <w:rPr>
          <w:rFonts w:ascii="Arial" w:hAnsi="Arial" w:cs="Arial"/>
          <w:sz w:val="24"/>
          <w:szCs w:val="24"/>
        </w:rPr>
        <w:t>4</w:t>
      </w:r>
      <w:r>
        <w:rPr>
          <w:rFonts w:ascii="Arial" w:hAnsi="Arial" w:cs="Arial"/>
          <w:sz w:val="24"/>
          <w:szCs w:val="24"/>
        </w:rPr>
        <w:t xml:space="preserve"> presents the significant differ</w:t>
      </w:r>
      <w:r>
        <w:rPr>
          <w:rFonts w:ascii="Arial" w:hAnsi="Arial" w:cs="Arial"/>
          <w:sz w:val="24"/>
          <w:szCs w:val="24"/>
        </w:rPr>
        <w:t>ences (LSD, P = 0.05) in the Potential Structural Deformation Index (PSDI) of the studied soil as affected by various organic amendments. The control soil had the highest PSDI value of 79.26%, showing very high potential susceptibility to structural deform</w:t>
      </w:r>
      <w:r>
        <w:rPr>
          <w:rFonts w:ascii="Arial" w:hAnsi="Arial" w:cs="Arial"/>
          <w:sz w:val="24"/>
          <w:szCs w:val="24"/>
        </w:rPr>
        <w:t xml:space="preserve">ation. The very high PSDI value of the control </w:t>
      </w:r>
      <w:r>
        <w:rPr>
          <w:rFonts w:ascii="Arial" w:hAnsi="Arial" w:cs="Arial"/>
          <w:sz w:val="24"/>
          <w:szCs w:val="24"/>
        </w:rPr>
        <w:lastRenderedPageBreak/>
        <w:t>soil confirms its poor structural integrity and high potential susceptibility to deformation, a characteristic common in soils with low organic matter content and low biological binding agents. Recent research</w:t>
      </w:r>
      <w:r>
        <w:rPr>
          <w:rFonts w:ascii="Arial" w:hAnsi="Arial" w:cs="Arial"/>
          <w:sz w:val="24"/>
          <w:szCs w:val="24"/>
        </w:rPr>
        <w:t xml:space="preserve"> highlights that soils without organic amendments are highly susceptible to aggregate slaking and dispersion because of the low organic carbon content and low microbial activity (Wang et al 2013). The lower PSDI value for pig slurry is also consistent with</w:t>
      </w:r>
      <w:r>
        <w:rPr>
          <w:rFonts w:ascii="Arial" w:hAnsi="Arial" w:cs="Arial"/>
          <w:sz w:val="24"/>
          <w:szCs w:val="24"/>
        </w:rPr>
        <w:t xml:space="preserve"> its higher aggregate stability values for wet aggregation indices, further emphasizing its effectiveness in enhancing soil structural stability under wetting stress. Conversely, poultry dropping and the mixture of amendments had high PSDI values (&gt;74%), s</w:t>
      </w:r>
      <w:r>
        <w:rPr>
          <w:rFonts w:ascii="Arial" w:hAnsi="Arial" w:cs="Arial"/>
          <w:sz w:val="24"/>
          <w:szCs w:val="24"/>
        </w:rPr>
        <w:t>uggesting low protection against deformation. While poultry manure is highly nutritious, its fast mineralization and low contribution of non-degradable carbon may impact the durability of binding agents required for higher aggregate stability.</w:t>
      </w:r>
    </w:p>
    <w:p w14:paraId="09B64B8F" w14:textId="7B25882F" w:rsidR="00B94E8C" w:rsidRDefault="00AD1B3A">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Table </w:t>
      </w:r>
      <w:r w:rsidR="00972B7C">
        <w:rPr>
          <w:rFonts w:ascii="Arial" w:hAnsi="Arial" w:cs="Arial"/>
          <w:b/>
          <w:bCs/>
          <w:color w:val="000000" w:themeColor="text1"/>
          <w:sz w:val="24"/>
          <w:szCs w:val="24"/>
        </w:rPr>
        <w:t>4</w:t>
      </w:r>
      <w:r>
        <w:rPr>
          <w:rFonts w:ascii="Arial" w:hAnsi="Arial" w:cs="Arial"/>
          <w:b/>
          <w:bCs/>
          <w:color w:val="000000" w:themeColor="text1"/>
          <w:sz w:val="24"/>
          <w:szCs w:val="24"/>
        </w:rPr>
        <w:t>: Deg</w:t>
      </w:r>
      <w:r>
        <w:rPr>
          <w:rFonts w:ascii="Arial" w:hAnsi="Arial" w:cs="Arial"/>
          <w:b/>
          <w:bCs/>
          <w:color w:val="000000" w:themeColor="text1"/>
          <w:sz w:val="24"/>
          <w:szCs w:val="24"/>
        </w:rPr>
        <w:t>ree of structural enhancement and potential structural deformation of studied soil.</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2625"/>
        <w:gridCol w:w="3165"/>
      </w:tblGrid>
      <w:tr w:rsidR="00B94E8C" w14:paraId="7CA0310B" w14:textId="77777777">
        <w:tc>
          <w:tcPr>
            <w:tcW w:w="3408" w:type="dxa"/>
          </w:tcPr>
          <w:p w14:paraId="317D6EBD" w14:textId="77777777" w:rsidR="00B94E8C" w:rsidRDefault="00AD1B3A">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7456" behindDoc="0" locked="0" layoutInCell="1" allowOverlap="1" wp14:anchorId="5D6F0195" wp14:editId="069C9203">
                      <wp:simplePos x="0" y="0"/>
                      <wp:positionH relativeFrom="column">
                        <wp:posOffset>-81915</wp:posOffset>
                      </wp:positionH>
                      <wp:positionV relativeFrom="paragraph">
                        <wp:posOffset>519430</wp:posOffset>
                      </wp:positionV>
                      <wp:extent cx="5793105" cy="1905"/>
                      <wp:effectExtent l="0" t="19050" r="17145" b="36195"/>
                      <wp:wrapNone/>
                      <wp:docPr id="11" name="Straight Connector 11"/>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28B6316F"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45pt,40.9pt" to="449.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" strokeweight="3pt"/>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9504" behindDoc="0" locked="0" layoutInCell="1" allowOverlap="1" wp14:anchorId="3F9A239A" wp14:editId="1754B2B9">
                      <wp:simplePos x="0" y="0"/>
                      <wp:positionH relativeFrom="column">
                        <wp:posOffset>-81915</wp:posOffset>
                      </wp:positionH>
                      <wp:positionV relativeFrom="paragraph">
                        <wp:posOffset>5715</wp:posOffset>
                      </wp:positionV>
                      <wp:extent cx="5793105" cy="1905"/>
                      <wp:effectExtent l="0" t="19050" r="17145" b="36195"/>
                      <wp:wrapNone/>
                      <wp:docPr id="12" name="Straight Connector 12"/>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7A5F9AAA" id="Straight Connector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45pt,.45pt" to="44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" strokeweight="3pt"/>
                  </w:pict>
                </mc:Fallback>
              </mc:AlternateContent>
            </w:r>
            <w:r>
              <w:rPr>
                <w:rFonts w:ascii="Arial" w:hAnsi="Arial" w:cs="Arial"/>
                <w:sz w:val="24"/>
                <w:szCs w:val="24"/>
              </w:rPr>
              <w:t>Organic amendments</w:t>
            </w:r>
          </w:p>
        </w:tc>
        <w:tc>
          <w:tcPr>
            <w:tcW w:w="2625" w:type="dxa"/>
          </w:tcPr>
          <w:p w14:paraId="340E0E92" w14:textId="77777777" w:rsidR="00B94E8C" w:rsidRDefault="00AD1B3A">
            <w:pPr>
              <w:pStyle w:val="NoSpacing"/>
              <w:jc w:val="both"/>
              <w:rPr>
                <w:rFonts w:ascii="Arial" w:hAnsi="Arial" w:cs="Arial"/>
                <w:sz w:val="24"/>
                <w:szCs w:val="24"/>
              </w:rPr>
            </w:pPr>
            <w:r>
              <w:rPr>
                <w:rFonts w:ascii="Arial" w:hAnsi="Arial" w:cs="Arial"/>
                <w:sz w:val="24"/>
                <w:szCs w:val="24"/>
              </w:rPr>
              <w:t>Degree of structural enhancement (DSE)</w:t>
            </w:r>
          </w:p>
        </w:tc>
        <w:tc>
          <w:tcPr>
            <w:tcW w:w="3165" w:type="dxa"/>
          </w:tcPr>
          <w:p w14:paraId="1A51BC93" w14:textId="77777777" w:rsidR="00B94E8C" w:rsidRDefault="00AD1B3A">
            <w:pPr>
              <w:pStyle w:val="NoSpacing"/>
              <w:jc w:val="both"/>
              <w:rPr>
                <w:rFonts w:ascii="Arial" w:hAnsi="Arial" w:cs="Arial"/>
                <w:sz w:val="24"/>
                <w:szCs w:val="24"/>
              </w:rPr>
            </w:pPr>
            <w:r>
              <w:rPr>
                <w:rFonts w:ascii="Arial" w:hAnsi="Arial" w:cs="Arial"/>
                <w:sz w:val="24"/>
                <w:szCs w:val="24"/>
              </w:rPr>
              <w:t>Potential structural</w:t>
            </w:r>
          </w:p>
          <w:p w14:paraId="4CBC1C75" w14:textId="77777777" w:rsidR="00B94E8C" w:rsidRDefault="00AD1B3A">
            <w:pPr>
              <w:pStyle w:val="NoSpacing"/>
              <w:jc w:val="both"/>
              <w:rPr>
                <w:rFonts w:ascii="Arial" w:hAnsi="Arial" w:cs="Arial"/>
                <w:sz w:val="24"/>
                <w:szCs w:val="24"/>
              </w:rPr>
            </w:pPr>
            <w:r>
              <w:rPr>
                <w:rFonts w:ascii="Arial" w:hAnsi="Arial" w:cs="Arial"/>
                <w:sz w:val="24"/>
                <w:szCs w:val="24"/>
              </w:rPr>
              <w:t>Deformation index</w:t>
            </w:r>
          </w:p>
          <w:p w14:paraId="679C922A" w14:textId="77777777" w:rsidR="00B94E8C" w:rsidRDefault="00AD1B3A">
            <w:pPr>
              <w:pStyle w:val="NoSpacing"/>
              <w:jc w:val="both"/>
              <w:rPr>
                <w:rFonts w:ascii="Arial" w:hAnsi="Arial" w:cs="Arial"/>
                <w:sz w:val="24"/>
                <w:szCs w:val="24"/>
              </w:rPr>
            </w:pPr>
            <w:r>
              <w:rPr>
                <w:rFonts w:ascii="Arial" w:hAnsi="Arial" w:cs="Arial"/>
                <w:sz w:val="24"/>
                <w:szCs w:val="24"/>
              </w:rPr>
              <w:t>(PSDI)</w:t>
            </w:r>
          </w:p>
        </w:tc>
      </w:tr>
      <w:tr w:rsidR="00B94E8C" w14:paraId="4603B0B4" w14:textId="77777777">
        <w:tc>
          <w:tcPr>
            <w:tcW w:w="3408" w:type="dxa"/>
          </w:tcPr>
          <w:p w14:paraId="28866065" w14:textId="77777777" w:rsidR="00B94E8C" w:rsidRDefault="00AD1B3A">
            <w:pPr>
              <w:pStyle w:val="NoSpacing"/>
              <w:jc w:val="both"/>
              <w:rPr>
                <w:rFonts w:ascii="Arial" w:hAnsi="Arial" w:cs="Arial"/>
                <w:sz w:val="24"/>
                <w:szCs w:val="24"/>
              </w:rPr>
            </w:pPr>
            <w:r>
              <w:rPr>
                <w:rFonts w:ascii="Arial" w:hAnsi="Arial" w:cs="Arial"/>
                <w:sz w:val="24"/>
                <w:szCs w:val="24"/>
                <w:lang w:eastAsia="zh-CN"/>
              </w:rPr>
              <w:t>Goat dropping</w:t>
            </w:r>
          </w:p>
        </w:tc>
        <w:tc>
          <w:tcPr>
            <w:tcW w:w="2625" w:type="dxa"/>
          </w:tcPr>
          <w:p w14:paraId="462CBDA9" w14:textId="77777777" w:rsidR="00B94E8C" w:rsidRDefault="00AD1B3A">
            <w:pPr>
              <w:pStyle w:val="NoSpacing"/>
              <w:jc w:val="both"/>
              <w:rPr>
                <w:rFonts w:ascii="Arial" w:hAnsi="Arial" w:cs="Arial"/>
                <w:sz w:val="28"/>
                <w:szCs w:val="28"/>
                <w:lang w:eastAsia="zh-CN"/>
              </w:rPr>
            </w:pPr>
            <w:r>
              <w:rPr>
                <w:rFonts w:ascii="Arial" w:hAnsi="Arial" w:cs="Arial"/>
                <w:sz w:val="28"/>
                <w:szCs w:val="28"/>
                <w:lang w:eastAsia="zh-CN"/>
              </w:rPr>
              <w:t>58.53</w:t>
            </w:r>
          </w:p>
        </w:tc>
        <w:tc>
          <w:tcPr>
            <w:tcW w:w="3165" w:type="dxa"/>
          </w:tcPr>
          <w:p w14:paraId="3D74D45C"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67.96</w:t>
            </w:r>
          </w:p>
        </w:tc>
      </w:tr>
      <w:tr w:rsidR="00B94E8C" w14:paraId="56A5D1E4" w14:textId="77777777">
        <w:tc>
          <w:tcPr>
            <w:tcW w:w="3408" w:type="dxa"/>
            <w:shd w:val="clear" w:color="auto" w:fill="F2F2F2" w:themeFill="background1" w:themeFillShade="F2"/>
          </w:tcPr>
          <w:p w14:paraId="169EB6B8" w14:textId="77777777" w:rsidR="00B94E8C" w:rsidRDefault="00AD1B3A">
            <w:pPr>
              <w:pStyle w:val="NoSpacing"/>
              <w:jc w:val="both"/>
              <w:rPr>
                <w:rFonts w:ascii="Arial" w:hAnsi="Arial" w:cs="Arial"/>
                <w:sz w:val="24"/>
                <w:szCs w:val="24"/>
              </w:rPr>
            </w:pPr>
            <w:r>
              <w:rPr>
                <w:rFonts w:ascii="Arial" w:hAnsi="Arial" w:cs="Arial"/>
                <w:sz w:val="24"/>
                <w:szCs w:val="24"/>
                <w:lang w:eastAsia="zh-CN"/>
              </w:rPr>
              <w:t>Cow dung</w:t>
            </w:r>
          </w:p>
        </w:tc>
        <w:tc>
          <w:tcPr>
            <w:tcW w:w="2625" w:type="dxa"/>
            <w:shd w:val="clear" w:color="auto" w:fill="F2F2F2" w:themeFill="background1" w:themeFillShade="F2"/>
          </w:tcPr>
          <w:p w14:paraId="61D475B3"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48.48</w:t>
            </w:r>
          </w:p>
        </w:tc>
        <w:tc>
          <w:tcPr>
            <w:tcW w:w="3165" w:type="dxa"/>
            <w:shd w:val="clear" w:color="auto" w:fill="F2F2F2" w:themeFill="background1" w:themeFillShade="F2"/>
          </w:tcPr>
          <w:p w14:paraId="2EB45175"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69.72</w:t>
            </w:r>
          </w:p>
        </w:tc>
      </w:tr>
      <w:tr w:rsidR="00B94E8C" w14:paraId="4C7B9816" w14:textId="77777777">
        <w:tc>
          <w:tcPr>
            <w:tcW w:w="3408" w:type="dxa"/>
          </w:tcPr>
          <w:p w14:paraId="3271F03F" w14:textId="77777777" w:rsidR="00B94E8C" w:rsidRDefault="00AD1B3A">
            <w:pPr>
              <w:pStyle w:val="NoSpacing"/>
              <w:jc w:val="both"/>
              <w:rPr>
                <w:rFonts w:ascii="Arial" w:hAnsi="Arial" w:cs="Arial"/>
                <w:sz w:val="24"/>
                <w:szCs w:val="24"/>
              </w:rPr>
            </w:pPr>
            <w:r>
              <w:rPr>
                <w:rFonts w:ascii="Arial" w:hAnsi="Arial" w:cs="Arial"/>
                <w:sz w:val="24"/>
                <w:szCs w:val="24"/>
                <w:lang w:eastAsia="zh-CN"/>
              </w:rPr>
              <w:t>Poultry dropping</w:t>
            </w:r>
          </w:p>
        </w:tc>
        <w:tc>
          <w:tcPr>
            <w:tcW w:w="2625" w:type="dxa"/>
          </w:tcPr>
          <w:p w14:paraId="581A6140"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45.16</w:t>
            </w:r>
          </w:p>
        </w:tc>
        <w:tc>
          <w:tcPr>
            <w:tcW w:w="3165" w:type="dxa"/>
          </w:tcPr>
          <w:p w14:paraId="0711AF37"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75.96</w:t>
            </w:r>
          </w:p>
        </w:tc>
      </w:tr>
      <w:tr w:rsidR="00B94E8C" w14:paraId="4D32EFE5" w14:textId="77777777">
        <w:tc>
          <w:tcPr>
            <w:tcW w:w="3408" w:type="dxa"/>
            <w:shd w:val="clear" w:color="auto" w:fill="F2F2F2" w:themeFill="background1" w:themeFillShade="F2"/>
          </w:tcPr>
          <w:p w14:paraId="3C866C4B" w14:textId="77777777" w:rsidR="00B94E8C" w:rsidRDefault="00AD1B3A">
            <w:pPr>
              <w:pStyle w:val="NoSpacing"/>
              <w:jc w:val="both"/>
              <w:rPr>
                <w:rFonts w:ascii="Arial" w:hAnsi="Arial" w:cs="Arial"/>
                <w:sz w:val="24"/>
                <w:szCs w:val="24"/>
              </w:rPr>
            </w:pPr>
            <w:r>
              <w:rPr>
                <w:rFonts w:ascii="Arial" w:hAnsi="Arial" w:cs="Arial"/>
                <w:sz w:val="24"/>
                <w:szCs w:val="24"/>
                <w:lang w:eastAsia="zh-CN"/>
              </w:rPr>
              <w:t>Pig slurry</w:t>
            </w:r>
          </w:p>
        </w:tc>
        <w:tc>
          <w:tcPr>
            <w:tcW w:w="2625" w:type="dxa"/>
            <w:shd w:val="clear" w:color="auto" w:fill="F2F2F2" w:themeFill="background1" w:themeFillShade="F2"/>
          </w:tcPr>
          <w:p w14:paraId="0BF54D18"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71.18</w:t>
            </w:r>
          </w:p>
        </w:tc>
        <w:tc>
          <w:tcPr>
            <w:tcW w:w="3165" w:type="dxa"/>
            <w:shd w:val="clear" w:color="auto" w:fill="F2F2F2" w:themeFill="background1" w:themeFillShade="F2"/>
          </w:tcPr>
          <w:p w14:paraId="5C9B4F02"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40.40</w:t>
            </w:r>
          </w:p>
        </w:tc>
      </w:tr>
      <w:tr w:rsidR="00B94E8C" w14:paraId="663BF909" w14:textId="77777777">
        <w:tc>
          <w:tcPr>
            <w:tcW w:w="3408" w:type="dxa"/>
          </w:tcPr>
          <w:p w14:paraId="3629FACF" w14:textId="77777777" w:rsidR="00B94E8C" w:rsidRDefault="00AD1B3A">
            <w:pPr>
              <w:pStyle w:val="NoSpacing"/>
              <w:jc w:val="both"/>
              <w:rPr>
                <w:rFonts w:ascii="Arial" w:hAnsi="Arial" w:cs="Arial"/>
                <w:sz w:val="24"/>
                <w:szCs w:val="24"/>
              </w:rPr>
            </w:pPr>
            <w:r>
              <w:rPr>
                <w:rFonts w:ascii="Arial" w:hAnsi="Arial" w:cs="Arial"/>
                <w:sz w:val="24"/>
                <w:szCs w:val="24"/>
                <w:lang w:eastAsia="zh-CN"/>
              </w:rPr>
              <w:t>Mixture of amendments</w:t>
            </w:r>
          </w:p>
        </w:tc>
        <w:tc>
          <w:tcPr>
            <w:tcW w:w="2625" w:type="dxa"/>
          </w:tcPr>
          <w:p w14:paraId="0387B025"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26.08</w:t>
            </w:r>
          </w:p>
        </w:tc>
        <w:tc>
          <w:tcPr>
            <w:tcW w:w="3165" w:type="dxa"/>
          </w:tcPr>
          <w:p w14:paraId="077D1FDC"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74.15</w:t>
            </w:r>
          </w:p>
        </w:tc>
      </w:tr>
      <w:tr w:rsidR="00B94E8C" w14:paraId="7124705E" w14:textId="77777777">
        <w:tc>
          <w:tcPr>
            <w:tcW w:w="3408" w:type="dxa"/>
            <w:shd w:val="clear" w:color="auto" w:fill="F2F2F2" w:themeFill="background1" w:themeFillShade="F2"/>
          </w:tcPr>
          <w:p w14:paraId="25CDBE5D" w14:textId="77777777" w:rsidR="00B94E8C" w:rsidRDefault="00AD1B3A">
            <w:pPr>
              <w:pStyle w:val="NoSpacing"/>
              <w:jc w:val="both"/>
              <w:rPr>
                <w:rFonts w:ascii="Arial" w:hAnsi="Arial" w:cs="Arial"/>
                <w:sz w:val="24"/>
                <w:szCs w:val="24"/>
              </w:rPr>
            </w:pPr>
            <w:r>
              <w:rPr>
                <w:rFonts w:ascii="Arial" w:hAnsi="Arial" w:cs="Arial"/>
                <w:sz w:val="24"/>
                <w:szCs w:val="24"/>
                <w:lang w:eastAsia="zh-CN"/>
              </w:rPr>
              <w:t>Control</w:t>
            </w:r>
          </w:p>
        </w:tc>
        <w:tc>
          <w:tcPr>
            <w:tcW w:w="2625" w:type="dxa"/>
            <w:shd w:val="clear" w:color="auto" w:fill="F2F2F2" w:themeFill="background1" w:themeFillShade="F2"/>
          </w:tcPr>
          <w:p w14:paraId="610CC56F"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w:t>
            </w:r>
          </w:p>
        </w:tc>
        <w:tc>
          <w:tcPr>
            <w:tcW w:w="3165" w:type="dxa"/>
            <w:shd w:val="clear" w:color="auto" w:fill="F2F2F2" w:themeFill="background1" w:themeFillShade="F2"/>
          </w:tcPr>
          <w:p w14:paraId="41FF1063"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79.26</w:t>
            </w:r>
          </w:p>
        </w:tc>
      </w:tr>
      <w:tr w:rsidR="00B94E8C" w14:paraId="09DF39DE" w14:textId="77777777">
        <w:tc>
          <w:tcPr>
            <w:tcW w:w="3408" w:type="dxa"/>
          </w:tcPr>
          <w:p w14:paraId="1DF7AE27"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LSD(P=0.05)</w:t>
            </w:r>
          </w:p>
        </w:tc>
        <w:tc>
          <w:tcPr>
            <w:tcW w:w="2625" w:type="dxa"/>
          </w:tcPr>
          <w:p w14:paraId="41E0C624"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2.33*</w:t>
            </w:r>
          </w:p>
        </w:tc>
        <w:tc>
          <w:tcPr>
            <w:tcW w:w="3165" w:type="dxa"/>
          </w:tcPr>
          <w:p w14:paraId="671E20DA" w14:textId="77777777" w:rsidR="00B94E8C" w:rsidRDefault="00AD1B3A">
            <w:pPr>
              <w:pStyle w:val="NoSpacing"/>
              <w:jc w:val="both"/>
              <w:rPr>
                <w:rFonts w:ascii="Arial" w:hAnsi="Arial" w:cs="Arial"/>
                <w:sz w:val="24"/>
                <w:szCs w:val="24"/>
                <w:lang w:eastAsia="zh-CN"/>
              </w:rPr>
            </w:pPr>
            <w:r>
              <w:rPr>
                <w:rFonts w:ascii="Arial" w:hAnsi="Arial" w:cs="Arial"/>
                <w:sz w:val="24"/>
                <w:szCs w:val="24"/>
                <w:lang w:eastAsia="zh-CN"/>
              </w:rPr>
              <w:t>3.65*</w:t>
            </w:r>
          </w:p>
        </w:tc>
      </w:tr>
    </w:tbl>
    <w:p w14:paraId="53BBB7FD" w14:textId="77777777" w:rsidR="00B94E8C" w:rsidRDefault="00AD1B3A">
      <w:pPr>
        <w:spacing w:line="480" w:lineRule="auto"/>
        <w:jc w:val="both"/>
        <w:rPr>
          <w:rFonts w:ascii="Arial" w:hAnsi="Arial" w:cs="Arial"/>
          <w:color w:val="000000" w:themeColor="text1"/>
          <w:sz w:val="24"/>
          <w:szCs w:val="24"/>
        </w:rPr>
      </w:pPr>
      <w:r>
        <w:rPr>
          <w:rFonts w:ascii="Arial" w:hAnsi="Arial" w:cs="Arial"/>
          <w:noProof/>
          <w:sz w:val="24"/>
          <w:szCs w:val="24"/>
          <w:lang w:val="en-GB" w:eastAsia="en-GB"/>
        </w:rPr>
        <mc:AlternateContent>
          <mc:Choice Requires="wps">
            <w:drawing>
              <wp:anchor distT="0" distB="0" distL="114300" distR="114300" simplePos="0" relativeHeight="251656192" behindDoc="0" locked="0" layoutInCell="1" allowOverlap="1" wp14:anchorId="27592CA3" wp14:editId="2312435B">
                <wp:simplePos x="0" y="0"/>
                <wp:positionH relativeFrom="column">
                  <wp:posOffset>-43815</wp:posOffset>
                </wp:positionH>
                <wp:positionV relativeFrom="paragraph">
                  <wp:posOffset>23495</wp:posOffset>
                </wp:positionV>
                <wp:extent cx="5793105" cy="1905"/>
                <wp:effectExtent l="0" t="19050" r="17145" b="36195"/>
                <wp:wrapNone/>
                <wp:docPr id="13" name="Straight Connector 13"/>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39CF5C39" id="Straight Connector 13"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3.45pt,1.85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" strokeweight="3pt"/>
            </w:pict>
          </mc:Fallback>
        </mc:AlternateContent>
      </w:r>
    </w:p>
    <w:p w14:paraId="638E438B" w14:textId="77777777" w:rsidR="00B94E8C" w:rsidRDefault="00AD1B3A">
      <w:pPr>
        <w:spacing w:line="480" w:lineRule="auto"/>
        <w:jc w:val="both"/>
        <w:rPr>
          <w:rFonts w:ascii="Arial" w:eastAsia="TimesNewRomanPSMT" w:hAnsi="Arial" w:cs="Arial"/>
          <w:color w:val="000000" w:themeColor="text1"/>
          <w:sz w:val="24"/>
          <w:szCs w:val="24"/>
        </w:rPr>
      </w:pPr>
      <w:r>
        <w:rPr>
          <w:rFonts w:ascii="Arial" w:hAnsi="Arial" w:cs="Arial"/>
          <w:color w:val="000000" w:themeColor="text1"/>
          <w:sz w:val="24"/>
          <w:szCs w:val="24"/>
        </w:rPr>
        <w:t>LSD= Least significant difference, *= Significant at 5% probability level</w:t>
      </w:r>
    </w:p>
    <w:p w14:paraId="63C21525" w14:textId="77777777" w:rsidR="00B94E8C" w:rsidRDefault="00AD1B3A">
      <w:pPr>
        <w:spacing w:line="480" w:lineRule="auto"/>
        <w:jc w:val="both"/>
        <w:rPr>
          <w:rFonts w:ascii="Arial" w:hAnsi="Arial" w:cs="Arial"/>
          <w:b/>
          <w:bCs/>
          <w:color w:val="000000" w:themeColor="text1"/>
          <w:sz w:val="24"/>
          <w:szCs w:val="24"/>
        </w:rPr>
      </w:pPr>
      <w:r>
        <w:rPr>
          <w:rStyle w:val="Strong"/>
          <w:rFonts w:ascii="Arial" w:hAnsi="Arial" w:cs="Arial"/>
          <w:sz w:val="24"/>
          <w:szCs w:val="24"/>
        </w:rPr>
        <w:t xml:space="preserve">4.4 </w:t>
      </w:r>
      <w:r>
        <w:rPr>
          <w:rFonts w:ascii="Arial" w:hAnsi="Arial" w:cs="Arial"/>
          <w:b/>
          <w:bCs/>
          <w:color w:val="000000" w:themeColor="text1"/>
          <w:sz w:val="24"/>
          <w:szCs w:val="24"/>
        </w:rPr>
        <w:t>Correlation among selected soil property</w:t>
      </w:r>
    </w:p>
    <w:p w14:paraId="27B20AA1" w14:textId="47434F2A" w:rsidR="00B94E8C" w:rsidRDefault="00AD1B3A">
      <w:pPr>
        <w:spacing w:line="360" w:lineRule="auto"/>
        <w:jc w:val="both"/>
        <w:rPr>
          <w:rFonts w:ascii="Arial" w:hAnsi="Arial" w:cs="Arial"/>
          <w:sz w:val="24"/>
          <w:szCs w:val="24"/>
        </w:rPr>
      </w:pPr>
      <w:r>
        <w:rPr>
          <w:rFonts w:ascii="Arial" w:hAnsi="Arial" w:cs="Arial"/>
          <w:sz w:val="24"/>
          <w:szCs w:val="24"/>
        </w:rPr>
        <w:t xml:space="preserve">There was a significant (P=0.05) relationship between aggregate stability and silt in both wet and dry conditions (Table </w:t>
      </w:r>
      <w:r w:rsidR="00972B7C">
        <w:rPr>
          <w:rFonts w:ascii="Arial" w:hAnsi="Arial" w:cs="Arial"/>
          <w:sz w:val="24"/>
          <w:szCs w:val="24"/>
        </w:rPr>
        <w:t>5</w:t>
      </w:r>
      <w:r>
        <w:rPr>
          <w:rFonts w:ascii="Arial" w:hAnsi="Arial" w:cs="Arial"/>
          <w:sz w:val="24"/>
          <w:szCs w:val="24"/>
        </w:rPr>
        <w:t xml:space="preserve">). With SOC (R=0.77) and clay (R=0.82), the best </w:t>
      </w:r>
      <w:r>
        <w:rPr>
          <w:rFonts w:ascii="Arial" w:hAnsi="Arial" w:cs="Arial"/>
          <w:sz w:val="24"/>
          <w:szCs w:val="24"/>
        </w:rPr>
        <w:lastRenderedPageBreak/>
        <w:t>correlation of water stable aggregates (WSA &gt;0.25) was discovered. Bulk density and S</w:t>
      </w:r>
      <w:r>
        <w:rPr>
          <w:rFonts w:ascii="Arial" w:hAnsi="Arial" w:cs="Arial"/>
          <w:sz w:val="24"/>
          <w:szCs w:val="24"/>
        </w:rPr>
        <w:t>OC had a negative correlation with WSA&gt; 0.25 mm (R=-0.49 and R=-0.54), respectively. When considered independently, the degree of structural enhancement was negatively correlated with bulk density (R = - 0.67) and positively correlated with ECEC (R = 0.48)</w:t>
      </w:r>
      <w:r>
        <w:rPr>
          <w:rFonts w:ascii="Arial" w:hAnsi="Arial" w:cs="Arial"/>
          <w:sz w:val="24"/>
          <w:szCs w:val="24"/>
        </w:rPr>
        <w:t>, SOC (R = 0.67), and clay (R = 0.69). In contrast, the clay fraction accounted for approximately 82% of the value of WSA&gt;0.25, while organic matter accounted for 77%. Similarly, clay was responsible for roughly 69% of the structure's value, while effectiv</w:t>
      </w:r>
      <w:r>
        <w:rPr>
          <w:rFonts w:ascii="Arial" w:hAnsi="Arial" w:cs="Arial"/>
          <w:sz w:val="24"/>
          <w:szCs w:val="24"/>
        </w:rPr>
        <w:t>e cation exchange capacity accounted for 48% of the increase.</w:t>
      </w:r>
    </w:p>
    <w:p w14:paraId="744E8253" w14:textId="77777777" w:rsidR="00B94E8C" w:rsidRDefault="00B94E8C">
      <w:pPr>
        <w:tabs>
          <w:tab w:val="center" w:pos="4768"/>
        </w:tabs>
        <w:jc w:val="both"/>
        <w:rPr>
          <w:rFonts w:ascii="Arial" w:eastAsia="TimesNewRomanPSMT" w:hAnsi="Arial" w:cs="Arial"/>
          <w:color w:val="000000" w:themeColor="text1"/>
          <w:sz w:val="24"/>
          <w:szCs w:val="24"/>
        </w:rPr>
        <w:sectPr w:rsidR="00B94E8C" w:rsidSect="00410464">
          <w:headerReference w:type="even" r:id="rId19"/>
          <w:headerReference w:type="default" r:id="rId20"/>
          <w:footerReference w:type="default" r:id="rId21"/>
          <w:headerReference w:type="first" r:id="rId22"/>
          <w:pgSz w:w="12240" w:h="15840"/>
          <w:pgMar w:top="1440" w:right="1440" w:bottom="1440" w:left="1440" w:header="720" w:footer="720" w:gutter="0"/>
          <w:pgNumType w:start="32"/>
          <w:cols w:space="720"/>
          <w:docGrid w:linePitch="360"/>
        </w:sectPr>
      </w:pPr>
    </w:p>
    <w:p w14:paraId="02EAA111" w14:textId="5C9B40AE" w:rsidR="00B94E8C" w:rsidRDefault="00AD1B3A">
      <w:pPr>
        <w:spacing w:line="480" w:lineRule="auto"/>
        <w:jc w:val="both"/>
        <w:rPr>
          <w:rFonts w:ascii="Arial" w:hAnsi="Arial" w:cs="Arial"/>
          <w:b/>
          <w:color w:val="000000" w:themeColor="text1"/>
          <w:sz w:val="24"/>
          <w:szCs w:val="24"/>
        </w:rPr>
      </w:pPr>
      <w:r>
        <w:rPr>
          <w:rFonts w:ascii="Arial" w:hAnsi="Arial" w:cs="Arial"/>
          <w:b/>
          <w:noProof/>
          <w:color w:val="000000" w:themeColor="text1"/>
          <w:sz w:val="24"/>
          <w:szCs w:val="24"/>
          <w:lang w:val="en-GB" w:eastAsia="en-GB"/>
        </w:rPr>
        <w:lastRenderedPageBreak/>
        <mc:AlternateContent>
          <mc:Choice Requires="wps">
            <w:drawing>
              <wp:anchor distT="0" distB="0" distL="114300" distR="114300" simplePos="0" relativeHeight="251650048" behindDoc="0" locked="0" layoutInCell="1" allowOverlap="1" wp14:anchorId="0EAEC13E" wp14:editId="6138306D">
                <wp:simplePos x="0" y="0"/>
                <wp:positionH relativeFrom="column">
                  <wp:posOffset>87630</wp:posOffset>
                </wp:positionH>
                <wp:positionV relativeFrom="paragraph">
                  <wp:posOffset>231140</wp:posOffset>
                </wp:positionV>
                <wp:extent cx="7744460" cy="10795"/>
                <wp:effectExtent l="0" t="4445" r="8890" b="13335"/>
                <wp:wrapNone/>
                <wp:docPr id="8" name="Straight Connector 8"/>
                <wp:cNvGraphicFramePr/>
                <a:graphic xmlns:a="http://schemas.openxmlformats.org/drawingml/2006/main">
                  <a:graphicData uri="http://schemas.microsoft.com/office/word/2010/wordprocessingShape">
                    <wps:wsp>
                      <wps:cNvCnPr/>
                      <wps:spPr>
                        <a:xfrm>
                          <a:off x="0" y="0"/>
                          <a:ext cx="7744422" cy="11017"/>
                        </a:xfrm>
                        <a:prstGeom prst="line">
                          <a:avLst/>
                        </a:prstGeom>
                        <a:noFill/>
                        <a:ln w="9525" cap="flat" cmpd="sng" algn="ctr">
                          <a:solidFill>
                            <a:srgbClr val="000000"/>
                          </a:solidFill>
                          <a:prstDash val="solid"/>
                        </a:ln>
                        <a:effectLst/>
                      </wps:spPr>
                      <wps:bodyPr/>
                    </wps:wsp>
                  </a:graphicData>
                </a:graphic>
              </wp:anchor>
            </w:drawing>
          </mc:Choice>
          <mc:Fallback>
            <w:pict>
              <v:line w14:anchorId="30885713" id="Straight Connector 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6.9pt,18.2pt" to="61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"/>
            </w:pict>
          </mc:Fallback>
        </mc:AlternateContent>
      </w:r>
      <w:r>
        <w:rPr>
          <w:rFonts w:ascii="Arial" w:hAnsi="Arial" w:cs="Arial"/>
          <w:b/>
          <w:color w:val="000000" w:themeColor="text1"/>
          <w:sz w:val="24"/>
          <w:szCs w:val="24"/>
        </w:rPr>
        <w:t xml:space="preserve">Table </w:t>
      </w:r>
      <w:r w:rsidR="00972B7C">
        <w:rPr>
          <w:rFonts w:ascii="Arial" w:hAnsi="Arial" w:cs="Arial"/>
          <w:b/>
          <w:color w:val="000000" w:themeColor="text1"/>
          <w:sz w:val="24"/>
          <w:szCs w:val="24"/>
        </w:rPr>
        <w:t>5</w:t>
      </w:r>
      <w:r>
        <w:rPr>
          <w:rFonts w:ascii="Arial" w:hAnsi="Arial" w:cs="Arial"/>
          <w:b/>
          <w:color w:val="000000" w:themeColor="text1"/>
          <w:sz w:val="24"/>
          <w:szCs w:val="24"/>
        </w:rPr>
        <w:t>: Correlation matrix among selected soil properties</w:t>
      </w:r>
    </w:p>
    <w:tbl>
      <w:tblPr>
        <w:tblStyle w:val="PlainTable41"/>
        <w:tblW w:w="12368" w:type="dxa"/>
        <w:tblLook w:val="04A0" w:firstRow="1" w:lastRow="0" w:firstColumn="1" w:lastColumn="0" w:noHBand="0" w:noVBand="1"/>
      </w:tblPr>
      <w:tblGrid>
        <w:gridCol w:w="1810"/>
        <w:gridCol w:w="937"/>
        <w:gridCol w:w="222"/>
        <w:gridCol w:w="937"/>
        <w:gridCol w:w="937"/>
        <w:gridCol w:w="937"/>
        <w:gridCol w:w="937"/>
        <w:gridCol w:w="937"/>
        <w:gridCol w:w="937"/>
        <w:gridCol w:w="937"/>
        <w:gridCol w:w="777"/>
        <w:gridCol w:w="1384"/>
        <w:gridCol w:w="816"/>
        <w:gridCol w:w="710"/>
      </w:tblGrid>
      <w:tr w:rsidR="00B94E8C" w14:paraId="49204A6B" w14:textId="77777777" w:rsidTr="00B94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14:paraId="7E31C6D7" w14:textId="77777777" w:rsidR="00B94E8C" w:rsidRDefault="00AD1B3A">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2096" behindDoc="0" locked="0" layoutInCell="1" allowOverlap="1" wp14:anchorId="43A6BBAF" wp14:editId="6E7B0C9A">
                      <wp:simplePos x="0" y="0"/>
                      <wp:positionH relativeFrom="column">
                        <wp:posOffset>-18415</wp:posOffset>
                      </wp:positionH>
                      <wp:positionV relativeFrom="paragraph">
                        <wp:posOffset>216535</wp:posOffset>
                      </wp:positionV>
                      <wp:extent cx="7743825" cy="10795"/>
                      <wp:effectExtent l="0" t="4445" r="9525" b="13335"/>
                      <wp:wrapNone/>
                      <wp:docPr id="9" name="Straight Connector 9"/>
                      <wp:cNvGraphicFramePr/>
                      <a:graphic xmlns:a="http://schemas.openxmlformats.org/drawingml/2006/main">
                        <a:graphicData uri="http://schemas.microsoft.com/office/word/2010/wordprocessingShape">
                          <wps:wsp>
                            <wps:cNvCnPr/>
                            <wps:spPr>
                              <a:xfrm>
                                <a:off x="0" y="0"/>
                                <a:ext cx="7743825" cy="10795"/>
                              </a:xfrm>
                              <a:prstGeom prst="line">
                                <a:avLst/>
                              </a:prstGeom>
                              <a:noFill/>
                              <a:ln w="9525" cap="flat" cmpd="sng" algn="ctr">
                                <a:solidFill>
                                  <a:srgbClr val="000000"/>
                                </a:solidFill>
                                <a:prstDash val="solid"/>
                              </a:ln>
                              <a:effectLst/>
                            </wps:spPr>
                            <wps:bodyPr/>
                          </wps:wsp>
                        </a:graphicData>
                      </a:graphic>
                    </wp:anchor>
                  </w:drawing>
                </mc:Choice>
                <mc:Fallback>
                  <w:pict>
                    <v:line w14:anchorId="2F32A849" id="Straight Connector 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45pt,17.05pt" to="608.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"/>
                  </w:pict>
                </mc:Fallback>
              </mc:AlternateContent>
            </w:r>
            <w:r>
              <w:rPr>
                <w:rFonts w:ascii="Arial" w:hAnsi="Arial" w:cs="Arial"/>
                <w:sz w:val="24"/>
                <w:szCs w:val="24"/>
              </w:rPr>
              <w:t>Soil property</w:t>
            </w:r>
          </w:p>
        </w:tc>
        <w:tc>
          <w:tcPr>
            <w:tcW w:w="863" w:type="dxa"/>
          </w:tcPr>
          <w:p w14:paraId="56A612C1"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pH</w:t>
            </w:r>
          </w:p>
        </w:tc>
        <w:tc>
          <w:tcPr>
            <w:tcW w:w="236" w:type="dxa"/>
          </w:tcPr>
          <w:p w14:paraId="3C2A4F34" w14:textId="77777777" w:rsidR="00B94E8C" w:rsidRDefault="00B94E8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3E2D569B"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SOC</w:t>
            </w:r>
          </w:p>
        </w:tc>
        <w:tc>
          <w:tcPr>
            <w:tcW w:w="863" w:type="dxa"/>
          </w:tcPr>
          <w:p w14:paraId="6C60548B"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AP</w:t>
            </w:r>
          </w:p>
        </w:tc>
        <w:tc>
          <w:tcPr>
            <w:tcW w:w="863" w:type="dxa"/>
          </w:tcPr>
          <w:p w14:paraId="46984957"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EC</w:t>
            </w:r>
          </w:p>
        </w:tc>
        <w:tc>
          <w:tcPr>
            <w:tcW w:w="863" w:type="dxa"/>
          </w:tcPr>
          <w:p w14:paraId="5B42575C"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BD</w:t>
            </w:r>
          </w:p>
        </w:tc>
        <w:tc>
          <w:tcPr>
            <w:tcW w:w="948" w:type="dxa"/>
          </w:tcPr>
          <w:p w14:paraId="1B1E4C93"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MC</w:t>
            </w:r>
          </w:p>
        </w:tc>
        <w:tc>
          <w:tcPr>
            <w:tcW w:w="863" w:type="dxa"/>
          </w:tcPr>
          <w:p w14:paraId="746C694F"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863" w:type="dxa"/>
          </w:tcPr>
          <w:p w14:paraId="7E10E798"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Silt</w:t>
            </w:r>
          </w:p>
        </w:tc>
        <w:tc>
          <w:tcPr>
            <w:tcW w:w="848" w:type="dxa"/>
          </w:tcPr>
          <w:p w14:paraId="6991A1A3"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Clay</w:t>
            </w:r>
          </w:p>
        </w:tc>
        <w:tc>
          <w:tcPr>
            <w:tcW w:w="1128" w:type="dxa"/>
          </w:tcPr>
          <w:p w14:paraId="12F2C7F4"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WSA&gt;0.25</w:t>
            </w:r>
          </w:p>
        </w:tc>
        <w:tc>
          <w:tcPr>
            <w:tcW w:w="848" w:type="dxa"/>
          </w:tcPr>
          <w:p w14:paraId="06ED9809"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MWD</w:t>
            </w:r>
          </w:p>
        </w:tc>
        <w:tc>
          <w:tcPr>
            <w:tcW w:w="598" w:type="dxa"/>
          </w:tcPr>
          <w:p w14:paraId="63EE542E" w14:textId="77777777" w:rsidR="00B94E8C" w:rsidRDefault="00AD1B3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DSE</w:t>
            </w:r>
          </w:p>
        </w:tc>
      </w:tr>
      <w:tr w:rsidR="00B94E8C" w14:paraId="42D9250D"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76D3BF50" w14:textId="77777777" w:rsidR="00B94E8C" w:rsidRDefault="00AD1B3A">
            <w:pPr>
              <w:pStyle w:val="NoSpacing"/>
              <w:jc w:val="both"/>
              <w:rPr>
                <w:rFonts w:ascii="Arial" w:hAnsi="Arial" w:cs="Arial"/>
                <w:sz w:val="24"/>
                <w:szCs w:val="24"/>
              </w:rPr>
            </w:pPr>
            <w:r>
              <w:rPr>
                <w:rFonts w:ascii="Arial" w:hAnsi="Arial" w:cs="Arial"/>
                <w:sz w:val="24"/>
                <w:szCs w:val="24"/>
              </w:rPr>
              <w:t>DSE</w:t>
            </w:r>
          </w:p>
        </w:tc>
        <w:tc>
          <w:tcPr>
            <w:tcW w:w="863" w:type="dxa"/>
            <w:shd w:val="clear" w:color="auto" w:fill="F2F2F2" w:themeFill="background1" w:themeFillShade="F2"/>
          </w:tcPr>
          <w:p w14:paraId="345F551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w:t>
            </w:r>
          </w:p>
        </w:tc>
        <w:tc>
          <w:tcPr>
            <w:tcW w:w="236" w:type="dxa"/>
            <w:shd w:val="clear" w:color="auto" w:fill="F2F2F2" w:themeFill="background1" w:themeFillShade="F2"/>
          </w:tcPr>
          <w:p w14:paraId="485095CB"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568F744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863" w:type="dxa"/>
            <w:shd w:val="clear" w:color="auto" w:fill="F2F2F2" w:themeFill="background1" w:themeFillShade="F2"/>
          </w:tcPr>
          <w:p w14:paraId="586D627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0.02ns</w:t>
            </w:r>
          </w:p>
        </w:tc>
        <w:tc>
          <w:tcPr>
            <w:tcW w:w="863" w:type="dxa"/>
            <w:shd w:val="clear" w:color="auto" w:fill="F2F2F2" w:themeFill="background1" w:themeFillShade="F2"/>
          </w:tcPr>
          <w:p w14:paraId="776888A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0.48*</w:t>
            </w:r>
          </w:p>
        </w:tc>
        <w:tc>
          <w:tcPr>
            <w:tcW w:w="863" w:type="dxa"/>
            <w:shd w:val="clear" w:color="auto" w:fill="F2F2F2" w:themeFill="background1" w:themeFillShade="F2"/>
          </w:tcPr>
          <w:p w14:paraId="004EC1A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948" w:type="dxa"/>
            <w:shd w:val="clear" w:color="auto" w:fill="F2F2F2" w:themeFill="background1" w:themeFillShade="F2"/>
          </w:tcPr>
          <w:p w14:paraId="68675DC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shd w:val="clear" w:color="auto" w:fill="F2F2F2" w:themeFill="background1" w:themeFillShade="F2"/>
          </w:tcPr>
          <w:p w14:paraId="6084C99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0.19ns</w:t>
            </w:r>
          </w:p>
        </w:tc>
        <w:tc>
          <w:tcPr>
            <w:tcW w:w="863" w:type="dxa"/>
            <w:shd w:val="clear" w:color="auto" w:fill="F2F2F2" w:themeFill="background1" w:themeFillShade="F2"/>
          </w:tcPr>
          <w:p w14:paraId="6137C16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48" w:type="dxa"/>
            <w:shd w:val="clear" w:color="auto" w:fill="F2F2F2" w:themeFill="background1" w:themeFillShade="F2"/>
          </w:tcPr>
          <w:p w14:paraId="3304B60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0.69*</w:t>
            </w:r>
          </w:p>
        </w:tc>
        <w:tc>
          <w:tcPr>
            <w:tcW w:w="1128" w:type="dxa"/>
            <w:shd w:val="clear" w:color="auto" w:fill="F2F2F2" w:themeFill="background1" w:themeFillShade="F2"/>
          </w:tcPr>
          <w:p w14:paraId="56C7602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0.87*</w:t>
            </w:r>
          </w:p>
        </w:tc>
        <w:tc>
          <w:tcPr>
            <w:tcW w:w="848" w:type="dxa"/>
            <w:shd w:val="clear" w:color="auto" w:fill="F2F2F2" w:themeFill="background1" w:themeFillShade="F2"/>
          </w:tcPr>
          <w:p w14:paraId="39C010C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0.77*</w:t>
            </w:r>
          </w:p>
        </w:tc>
        <w:tc>
          <w:tcPr>
            <w:tcW w:w="598" w:type="dxa"/>
            <w:shd w:val="clear" w:color="auto" w:fill="F2F2F2" w:themeFill="background1" w:themeFillShade="F2"/>
          </w:tcPr>
          <w:p w14:paraId="184FA77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B94E8C" w14:paraId="4CF5B2CE" w14:textId="77777777" w:rsidTr="00B94E8C">
        <w:tc>
          <w:tcPr>
            <w:cnfStyle w:val="001000000000" w:firstRow="0" w:lastRow="0" w:firstColumn="1" w:lastColumn="0" w:oddVBand="0" w:evenVBand="0" w:oddHBand="0" w:evenHBand="0" w:firstRowFirstColumn="0" w:firstRowLastColumn="0" w:lastRowFirstColumn="0" w:lastRowLastColumn="0"/>
            <w:tcW w:w="1650" w:type="dxa"/>
          </w:tcPr>
          <w:p w14:paraId="1F6F37DF" w14:textId="77777777" w:rsidR="00B94E8C" w:rsidRDefault="00AD1B3A">
            <w:pPr>
              <w:pStyle w:val="NoSpacing"/>
              <w:jc w:val="both"/>
              <w:rPr>
                <w:rFonts w:ascii="Arial" w:hAnsi="Arial" w:cs="Arial"/>
                <w:sz w:val="24"/>
                <w:szCs w:val="24"/>
              </w:rPr>
            </w:pPr>
            <w:r>
              <w:rPr>
                <w:rFonts w:ascii="Arial" w:hAnsi="Arial" w:cs="Arial"/>
                <w:sz w:val="24"/>
                <w:szCs w:val="24"/>
              </w:rPr>
              <w:t>MWD</w:t>
            </w:r>
          </w:p>
        </w:tc>
        <w:tc>
          <w:tcPr>
            <w:tcW w:w="863" w:type="dxa"/>
          </w:tcPr>
          <w:p w14:paraId="08BF18D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236" w:type="dxa"/>
          </w:tcPr>
          <w:p w14:paraId="2627C33F"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5E7A200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0.37ns</w:t>
            </w:r>
          </w:p>
        </w:tc>
        <w:tc>
          <w:tcPr>
            <w:tcW w:w="863" w:type="dxa"/>
          </w:tcPr>
          <w:p w14:paraId="0E2A913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0.23ns</w:t>
            </w:r>
          </w:p>
        </w:tc>
        <w:tc>
          <w:tcPr>
            <w:tcW w:w="863" w:type="dxa"/>
          </w:tcPr>
          <w:p w14:paraId="1211D66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tcPr>
          <w:p w14:paraId="515BFF92"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948" w:type="dxa"/>
          </w:tcPr>
          <w:p w14:paraId="5168541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14:paraId="2A6DC35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863" w:type="dxa"/>
          </w:tcPr>
          <w:p w14:paraId="4FEC2FD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48" w:type="dxa"/>
          </w:tcPr>
          <w:p w14:paraId="32F4CE6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0.73*</w:t>
            </w:r>
          </w:p>
        </w:tc>
        <w:tc>
          <w:tcPr>
            <w:tcW w:w="1128" w:type="dxa"/>
          </w:tcPr>
          <w:p w14:paraId="74A0450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0.49*</w:t>
            </w:r>
          </w:p>
        </w:tc>
        <w:tc>
          <w:tcPr>
            <w:tcW w:w="848" w:type="dxa"/>
          </w:tcPr>
          <w:p w14:paraId="4385DD9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598" w:type="dxa"/>
          </w:tcPr>
          <w:p w14:paraId="0191AF1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05EE1004"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08D9794F" w14:textId="77777777" w:rsidR="00B94E8C" w:rsidRDefault="00AD1B3A">
            <w:pPr>
              <w:pStyle w:val="NoSpacing"/>
              <w:jc w:val="both"/>
              <w:rPr>
                <w:rFonts w:ascii="Arial" w:hAnsi="Arial" w:cs="Arial"/>
                <w:sz w:val="24"/>
                <w:szCs w:val="24"/>
              </w:rPr>
            </w:pPr>
            <w:r>
              <w:rPr>
                <w:rFonts w:ascii="Arial" w:hAnsi="Arial" w:cs="Arial"/>
                <w:sz w:val="24"/>
                <w:szCs w:val="24"/>
              </w:rPr>
              <w:t>WSA&gt;0.25mm</w:t>
            </w:r>
          </w:p>
        </w:tc>
        <w:tc>
          <w:tcPr>
            <w:tcW w:w="863" w:type="dxa"/>
            <w:shd w:val="clear" w:color="auto" w:fill="F2F2F2" w:themeFill="background1" w:themeFillShade="F2"/>
          </w:tcPr>
          <w:p w14:paraId="1A0F7CE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236" w:type="dxa"/>
            <w:shd w:val="clear" w:color="auto" w:fill="F2F2F2" w:themeFill="background1" w:themeFillShade="F2"/>
          </w:tcPr>
          <w:p w14:paraId="5F3876E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1436377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0.77*</w:t>
            </w:r>
          </w:p>
        </w:tc>
        <w:tc>
          <w:tcPr>
            <w:tcW w:w="863" w:type="dxa"/>
            <w:shd w:val="clear" w:color="auto" w:fill="F2F2F2" w:themeFill="background1" w:themeFillShade="F2"/>
          </w:tcPr>
          <w:p w14:paraId="7EFB796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shd w:val="clear" w:color="auto" w:fill="F2F2F2" w:themeFill="background1" w:themeFillShade="F2"/>
          </w:tcPr>
          <w:p w14:paraId="106D005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0.17ns</w:t>
            </w:r>
          </w:p>
        </w:tc>
        <w:tc>
          <w:tcPr>
            <w:tcW w:w="863" w:type="dxa"/>
            <w:shd w:val="clear" w:color="auto" w:fill="F2F2F2" w:themeFill="background1" w:themeFillShade="F2"/>
          </w:tcPr>
          <w:p w14:paraId="40B3E68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-0.49*</w:t>
            </w:r>
          </w:p>
        </w:tc>
        <w:tc>
          <w:tcPr>
            <w:tcW w:w="948" w:type="dxa"/>
            <w:shd w:val="clear" w:color="auto" w:fill="F2F2F2" w:themeFill="background1" w:themeFillShade="F2"/>
          </w:tcPr>
          <w:p w14:paraId="50A05EE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0.37ns</w:t>
            </w:r>
          </w:p>
        </w:tc>
        <w:tc>
          <w:tcPr>
            <w:tcW w:w="863" w:type="dxa"/>
            <w:shd w:val="clear" w:color="auto" w:fill="F2F2F2" w:themeFill="background1" w:themeFillShade="F2"/>
          </w:tcPr>
          <w:p w14:paraId="3364A54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shd w:val="clear" w:color="auto" w:fill="F2F2F2" w:themeFill="background1" w:themeFillShade="F2"/>
          </w:tcPr>
          <w:p w14:paraId="372619F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48" w:type="dxa"/>
            <w:shd w:val="clear" w:color="auto" w:fill="F2F2F2" w:themeFill="background1" w:themeFillShade="F2"/>
          </w:tcPr>
          <w:p w14:paraId="4BC006C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0.82*</w:t>
            </w:r>
          </w:p>
        </w:tc>
        <w:tc>
          <w:tcPr>
            <w:tcW w:w="1128" w:type="dxa"/>
            <w:shd w:val="clear" w:color="auto" w:fill="F2F2F2" w:themeFill="background1" w:themeFillShade="F2"/>
          </w:tcPr>
          <w:p w14:paraId="20D0000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48" w:type="dxa"/>
            <w:shd w:val="clear" w:color="auto" w:fill="F2F2F2" w:themeFill="background1" w:themeFillShade="F2"/>
          </w:tcPr>
          <w:p w14:paraId="669D747D"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14:paraId="418AD3D9"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1381C020" w14:textId="77777777" w:rsidTr="00B94E8C">
        <w:tc>
          <w:tcPr>
            <w:cnfStyle w:val="001000000000" w:firstRow="0" w:lastRow="0" w:firstColumn="1" w:lastColumn="0" w:oddVBand="0" w:evenVBand="0" w:oddHBand="0" w:evenHBand="0" w:firstRowFirstColumn="0" w:firstRowLastColumn="0" w:lastRowFirstColumn="0" w:lastRowLastColumn="0"/>
            <w:tcW w:w="1650" w:type="dxa"/>
          </w:tcPr>
          <w:p w14:paraId="18E91750" w14:textId="77777777" w:rsidR="00B94E8C" w:rsidRDefault="00AD1B3A">
            <w:pPr>
              <w:pStyle w:val="NoSpacing"/>
              <w:jc w:val="both"/>
              <w:rPr>
                <w:rFonts w:ascii="Arial" w:hAnsi="Arial" w:cs="Arial"/>
                <w:sz w:val="24"/>
                <w:szCs w:val="24"/>
              </w:rPr>
            </w:pPr>
            <w:r>
              <w:rPr>
                <w:rFonts w:ascii="Arial" w:hAnsi="Arial" w:cs="Arial"/>
                <w:sz w:val="24"/>
                <w:szCs w:val="24"/>
              </w:rPr>
              <w:t>Clay</w:t>
            </w:r>
          </w:p>
        </w:tc>
        <w:tc>
          <w:tcPr>
            <w:tcW w:w="863" w:type="dxa"/>
          </w:tcPr>
          <w:p w14:paraId="413011D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236" w:type="dxa"/>
          </w:tcPr>
          <w:p w14:paraId="6C28F3F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7A233D0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0.73**</w:t>
            </w:r>
          </w:p>
        </w:tc>
        <w:tc>
          <w:tcPr>
            <w:tcW w:w="863" w:type="dxa"/>
          </w:tcPr>
          <w:p w14:paraId="34E9966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0.12ns</w:t>
            </w:r>
          </w:p>
        </w:tc>
        <w:tc>
          <w:tcPr>
            <w:tcW w:w="863" w:type="dxa"/>
          </w:tcPr>
          <w:p w14:paraId="003BCB4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0.44*</w:t>
            </w:r>
          </w:p>
        </w:tc>
        <w:tc>
          <w:tcPr>
            <w:tcW w:w="863" w:type="dxa"/>
          </w:tcPr>
          <w:p w14:paraId="10F339A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948" w:type="dxa"/>
          </w:tcPr>
          <w:p w14:paraId="5DF80FC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tcPr>
          <w:p w14:paraId="1082A93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0.12ns</w:t>
            </w:r>
          </w:p>
        </w:tc>
        <w:tc>
          <w:tcPr>
            <w:tcW w:w="863" w:type="dxa"/>
          </w:tcPr>
          <w:p w14:paraId="7FA226B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48" w:type="dxa"/>
          </w:tcPr>
          <w:p w14:paraId="0AB48A8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128" w:type="dxa"/>
          </w:tcPr>
          <w:p w14:paraId="4B34537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3172A298"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14:paraId="15D47B1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5E5D9088"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73B43EA6" w14:textId="77777777" w:rsidR="00B94E8C" w:rsidRDefault="00AD1B3A">
            <w:pPr>
              <w:pStyle w:val="NoSpacing"/>
              <w:jc w:val="both"/>
              <w:rPr>
                <w:rFonts w:ascii="Arial" w:hAnsi="Arial" w:cs="Arial"/>
                <w:sz w:val="24"/>
                <w:szCs w:val="24"/>
              </w:rPr>
            </w:pPr>
            <w:r>
              <w:rPr>
                <w:rFonts w:ascii="Arial" w:hAnsi="Arial" w:cs="Arial"/>
                <w:sz w:val="24"/>
                <w:szCs w:val="24"/>
              </w:rPr>
              <w:t>Silt</w:t>
            </w:r>
          </w:p>
        </w:tc>
        <w:tc>
          <w:tcPr>
            <w:tcW w:w="863" w:type="dxa"/>
            <w:shd w:val="clear" w:color="auto" w:fill="F2F2F2" w:themeFill="background1" w:themeFillShade="F2"/>
          </w:tcPr>
          <w:p w14:paraId="64D45AE4"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236" w:type="dxa"/>
            <w:shd w:val="clear" w:color="auto" w:fill="F2F2F2" w:themeFill="background1" w:themeFillShade="F2"/>
          </w:tcPr>
          <w:p w14:paraId="41AFCEF2"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10A2E5E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shd w:val="clear" w:color="auto" w:fill="F2F2F2" w:themeFill="background1" w:themeFillShade="F2"/>
          </w:tcPr>
          <w:p w14:paraId="545A3CB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863" w:type="dxa"/>
            <w:shd w:val="clear" w:color="auto" w:fill="F2F2F2" w:themeFill="background1" w:themeFillShade="F2"/>
          </w:tcPr>
          <w:p w14:paraId="24D7E6A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shd w:val="clear" w:color="auto" w:fill="F2F2F2" w:themeFill="background1" w:themeFillShade="F2"/>
          </w:tcPr>
          <w:p w14:paraId="09B7D0D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0.42*</w:t>
            </w:r>
          </w:p>
        </w:tc>
        <w:tc>
          <w:tcPr>
            <w:tcW w:w="948" w:type="dxa"/>
            <w:shd w:val="clear" w:color="auto" w:fill="F2F2F2" w:themeFill="background1" w:themeFillShade="F2"/>
          </w:tcPr>
          <w:p w14:paraId="6BD452F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shd w:val="clear" w:color="auto" w:fill="F2F2F2" w:themeFill="background1" w:themeFillShade="F2"/>
          </w:tcPr>
          <w:p w14:paraId="4B8100FD"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0.43*</w:t>
            </w:r>
          </w:p>
        </w:tc>
        <w:tc>
          <w:tcPr>
            <w:tcW w:w="863" w:type="dxa"/>
            <w:shd w:val="clear" w:color="auto" w:fill="F2F2F2" w:themeFill="background1" w:themeFillShade="F2"/>
          </w:tcPr>
          <w:p w14:paraId="2F0FC99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48" w:type="dxa"/>
            <w:shd w:val="clear" w:color="auto" w:fill="F2F2F2" w:themeFill="background1" w:themeFillShade="F2"/>
          </w:tcPr>
          <w:p w14:paraId="0BB5A45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14:paraId="526E4218"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6AEA7E2A"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14:paraId="40F6FD3B"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55F88588" w14:textId="77777777" w:rsidTr="00B94E8C">
        <w:tc>
          <w:tcPr>
            <w:cnfStyle w:val="001000000000" w:firstRow="0" w:lastRow="0" w:firstColumn="1" w:lastColumn="0" w:oddVBand="0" w:evenVBand="0" w:oddHBand="0" w:evenHBand="0" w:firstRowFirstColumn="0" w:firstRowLastColumn="0" w:lastRowFirstColumn="0" w:lastRowLastColumn="0"/>
            <w:tcW w:w="1650" w:type="dxa"/>
          </w:tcPr>
          <w:p w14:paraId="467E91EA" w14:textId="77777777" w:rsidR="00B94E8C" w:rsidRDefault="00AD1B3A">
            <w:pPr>
              <w:pStyle w:val="NoSpacing"/>
              <w:jc w:val="both"/>
              <w:rPr>
                <w:rFonts w:ascii="Arial" w:hAnsi="Arial" w:cs="Arial"/>
                <w:sz w:val="24"/>
                <w:szCs w:val="24"/>
              </w:rPr>
            </w:pPr>
            <w:r>
              <w:rPr>
                <w:rFonts w:ascii="Arial" w:hAnsi="Arial" w:cs="Arial"/>
                <w:sz w:val="24"/>
                <w:szCs w:val="24"/>
              </w:rPr>
              <w:t>Sand</w:t>
            </w:r>
          </w:p>
        </w:tc>
        <w:tc>
          <w:tcPr>
            <w:tcW w:w="863" w:type="dxa"/>
          </w:tcPr>
          <w:p w14:paraId="00B0960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0.29ns</w:t>
            </w:r>
          </w:p>
        </w:tc>
        <w:tc>
          <w:tcPr>
            <w:tcW w:w="236" w:type="dxa"/>
          </w:tcPr>
          <w:p w14:paraId="1179349C"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71E40DE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tcPr>
          <w:p w14:paraId="54F5417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14:paraId="5FDDA13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tcPr>
          <w:p w14:paraId="547D8D4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948" w:type="dxa"/>
          </w:tcPr>
          <w:p w14:paraId="6FA274CC"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tcPr>
          <w:p w14:paraId="4667AE4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tcPr>
          <w:p w14:paraId="12965A9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2D1D7F6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14:paraId="5FACC57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02205188"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14:paraId="2CE4861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5CFB550F"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3A27A233" w14:textId="77777777" w:rsidR="00B94E8C" w:rsidRDefault="00AD1B3A">
            <w:pPr>
              <w:pStyle w:val="NoSpacing"/>
              <w:jc w:val="both"/>
              <w:rPr>
                <w:rFonts w:ascii="Arial" w:hAnsi="Arial" w:cs="Arial"/>
                <w:sz w:val="24"/>
                <w:szCs w:val="24"/>
              </w:rPr>
            </w:pPr>
            <w:r>
              <w:rPr>
                <w:rFonts w:ascii="Arial" w:hAnsi="Arial" w:cs="Arial"/>
                <w:sz w:val="24"/>
                <w:szCs w:val="24"/>
              </w:rPr>
              <w:t>MC</w:t>
            </w:r>
          </w:p>
        </w:tc>
        <w:tc>
          <w:tcPr>
            <w:tcW w:w="863" w:type="dxa"/>
            <w:shd w:val="clear" w:color="auto" w:fill="F2F2F2" w:themeFill="background1" w:themeFillShade="F2"/>
          </w:tcPr>
          <w:p w14:paraId="1D8658AB"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2.22ns</w:t>
            </w:r>
          </w:p>
        </w:tc>
        <w:tc>
          <w:tcPr>
            <w:tcW w:w="236" w:type="dxa"/>
            <w:shd w:val="clear" w:color="auto" w:fill="F2F2F2" w:themeFill="background1" w:themeFillShade="F2"/>
          </w:tcPr>
          <w:p w14:paraId="46045F4E"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30C8FC3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shd w:val="clear" w:color="auto" w:fill="F2F2F2" w:themeFill="background1" w:themeFillShade="F2"/>
          </w:tcPr>
          <w:p w14:paraId="2981A640"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0.52*</w:t>
            </w:r>
          </w:p>
        </w:tc>
        <w:tc>
          <w:tcPr>
            <w:tcW w:w="863" w:type="dxa"/>
            <w:shd w:val="clear" w:color="auto" w:fill="F2F2F2" w:themeFill="background1" w:themeFillShade="F2"/>
          </w:tcPr>
          <w:p w14:paraId="6DD3A2EA"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0.63*</w:t>
            </w:r>
          </w:p>
        </w:tc>
        <w:tc>
          <w:tcPr>
            <w:tcW w:w="863" w:type="dxa"/>
            <w:shd w:val="clear" w:color="auto" w:fill="F2F2F2" w:themeFill="background1" w:themeFillShade="F2"/>
          </w:tcPr>
          <w:p w14:paraId="6B1DD7A7"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948" w:type="dxa"/>
            <w:shd w:val="clear" w:color="auto" w:fill="F2F2F2" w:themeFill="background1" w:themeFillShade="F2"/>
          </w:tcPr>
          <w:p w14:paraId="72E70A3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14:paraId="247EE2A1"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32C8F27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620A66A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14:paraId="4410903F"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4A7AA59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14:paraId="5E2F707D"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4CD6F1C3" w14:textId="77777777" w:rsidTr="00B94E8C">
        <w:tc>
          <w:tcPr>
            <w:cnfStyle w:val="001000000000" w:firstRow="0" w:lastRow="0" w:firstColumn="1" w:lastColumn="0" w:oddVBand="0" w:evenVBand="0" w:oddHBand="0" w:evenHBand="0" w:firstRowFirstColumn="0" w:firstRowLastColumn="0" w:lastRowFirstColumn="0" w:lastRowLastColumn="0"/>
            <w:tcW w:w="1650" w:type="dxa"/>
          </w:tcPr>
          <w:p w14:paraId="30FAFEA3" w14:textId="77777777" w:rsidR="00B94E8C" w:rsidRDefault="00AD1B3A">
            <w:pPr>
              <w:pStyle w:val="NoSpacing"/>
              <w:jc w:val="both"/>
              <w:rPr>
                <w:rFonts w:ascii="Arial" w:hAnsi="Arial" w:cs="Arial"/>
                <w:sz w:val="24"/>
                <w:szCs w:val="24"/>
              </w:rPr>
            </w:pPr>
            <w:r>
              <w:rPr>
                <w:rFonts w:ascii="Arial" w:hAnsi="Arial" w:cs="Arial"/>
                <w:sz w:val="24"/>
                <w:szCs w:val="24"/>
              </w:rPr>
              <w:t>BD</w:t>
            </w:r>
          </w:p>
        </w:tc>
        <w:tc>
          <w:tcPr>
            <w:tcW w:w="863" w:type="dxa"/>
          </w:tcPr>
          <w:p w14:paraId="2807730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4.67*</w:t>
            </w:r>
          </w:p>
        </w:tc>
        <w:tc>
          <w:tcPr>
            <w:tcW w:w="236" w:type="dxa"/>
          </w:tcPr>
          <w:p w14:paraId="40D5B0A2"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60E61AC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-0.54*</w:t>
            </w:r>
          </w:p>
        </w:tc>
        <w:tc>
          <w:tcPr>
            <w:tcW w:w="863" w:type="dxa"/>
          </w:tcPr>
          <w:p w14:paraId="769F3683"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0.01ns</w:t>
            </w:r>
          </w:p>
        </w:tc>
        <w:tc>
          <w:tcPr>
            <w:tcW w:w="863" w:type="dxa"/>
          </w:tcPr>
          <w:p w14:paraId="54FB2C16"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14:paraId="42D7226E"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948" w:type="dxa"/>
          </w:tcPr>
          <w:p w14:paraId="5250B90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14:paraId="7DD6AD3C"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14:paraId="2FC0CE62"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12BA5B8C"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14:paraId="1256CA7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26A16749"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14:paraId="1904164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3F6B555A"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6D05B57B" w14:textId="77777777" w:rsidR="00B94E8C" w:rsidRDefault="00AD1B3A">
            <w:pPr>
              <w:pStyle w:val="NoSpacing"/>
              <w:jc w:val="both"/>
              <w:rPr>
                <w:rFonts w:ascii="Arial" w:hAnsi="Arial" w:cs="Arial"/>
                <w:sz w:val="24"/>
                <w:szCs w:val="24"/>
              </w:rPr>
            </w:pPr>
            <w:r>
              <w:rPr>
                <w:rFonts w:ascii="Arial" w:hAnsi="Arial" w:cs="Arial"/>
                <w:sz w:val="24"/>
                <w:szCs w:val="24"/>
              </w:rPr>
              <w:t>ECEC</w:t>
            </w:r>
          </w:p>
        </w:tc>
        <w:tc>
          <w:tcPr>
            <w:tcW w:w="863" w:type="dxa"/>
            <w:shd w:val="clear" w:color="auto" w:fill="F2F2F2" w:themeFill="background1" w:themeFillShade="F2"/>
          </w:tcPr>
          <w:p w14:paraId="0F10224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0.62*</w:t>
            </w:r>
          </w:p>
        </w:tc>
        <w:tc>
          <w:tcPr>
            <w:tcW w:w="236" w:type="dxa"/>
            <w:shd w:val="clear" w:color="auto" w:fill="F2F2F2" w:themeFill="background1" w:themeFillShade="F2"/>
          </w:tcPr>
          <w:p w14:paraId="78FEC0BF"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603554D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0.46*</w:t>
            </w:r>
          </w:p>
        </w:tc>
        <w:tc>
          <w:tcPr>
            <w:tcW w:w="863" w:type="dxa"/>
            <w:shd w:val="clear" w:color="auto" w:fill="F2F2F2" w:themeFill="background1" w:themeFillShade="F2"/>
          </w:tcPr>
          <w:p w14:paraId="7905E80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shd w:val="clear" w:color="auto" w:fill="F2F2F2" w:themeFill="background1" w:themeFillShade="F2"/>
          </w:tcPr>
          <w:p w14:paraId="72A2EF11"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14:paraId="6FBA44B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shd w:val="clear" w:color="auto" w:fill="F2F2F2" w:themeFill="background1" w:themeFillShade="F2"/>
          </w:tcPr>
          <w:p w14:paraId="57EA8C0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5C0AABE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2071A21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42636E9F"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14:paraId="7B979AAE"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02160C0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14:paraId="22D779E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7C0299CC" w14:textId="77777777" w:rsidTr="00B94E8C">
        <w:tc>
          <w:tcPr>
            <w:cnfStyle w:val="001000000000" w:firstRow="0" w:lastRow="0" w:firstColumn="1" w:lastColumn="0" w:oddVBand="0" w:evenVBand="0" w:oddHBand="0" w:evenHBand="0" w:firstRowFirstColumn="0" w:firstRowLastColumn="0" w:lastRowFirstColumn="0" w:lastRowLastColumn="0"/>
            <w:tcW w:w="1650" w:type="dxa"/>
          </w:tcPr>
          <w:p w14:paraId="13B63969" w14:textId="77777777" w:rsidR="00B94E8C" w:rsidRDefault="00AD1B3A">
            <w:pPr>
              <w:pStyle w:val="NoSpacing"/>
              <w:jc w:val="both"/>
              <w:rPr>
                <w:rFonts w:ascii="Arial" w:hAnsi="Arial" w:cs="Arial"/>
                <w:sz w:val="24"/>
                <w:szCs w:val="24"/>
              </w:rPr>
            </w:pPr>
            <w:r>
              <w:rPr>
                <w:rFonts w:ascii="Arial" w:hAnsi="Arial" w:cs="Arial"/>
                <w:sz w:val="24"/>
                <w:szCs w:val="24"/>
              </w:rPr>
              <w:t>AP</w:t>
            </w:r>
          </w:p>
        </w:tc>
        <w:tc>
          <w:tcPr>
            <w:tcW w:w="863" w:type="dxa"/>
          </w:tcPr>
          <w:p w14:paraId="50C5313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236" w:type="dxa"/>
          </w:tcPr>
          <w:p w14:paraId="37FDA3B5"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14:paraId="187E2E59"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0.43*</w:t>
            </w:r>
          </w:p>
        </w:tc>
        <w:tc>
          <w:tcPr>
            <w:tcW w:w="863" w:type="dxa"/>
          </w:tcPr>
          <w:p w14:paraId="3BC4CCC5"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tcPr>
          <w:p w14:paraId="07F0838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14:paraId="30F1887D"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tcPr>
          <w:p w14:paraId="3D0DE5B9"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14:paraId="5932BA8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14:paraId="0A2AC276"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2572CE2F"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14:paraId="405CA615"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14:paraId="3D5C58A2"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14:paraId="1AC1130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4E8C" w14:paraId="179C07FF" w14:textId="77777777" w:rsidTr="00B94E8C">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14:paraId="0AD32D29" w14:textId="77777777" w:rsidR="00B94E8C" w:rsidRDefault="00AD1B3A">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4144" behindDoc="0" locked="0" layoutInCell="1" allowOverlap="1" wp14:anchorId="019F5C98" wp14:editId="59AFF561">
                      <wp:simplePos x="0" y="0"/>
                      <wp:positionH relativeFrom="column">
                        <wp:posOffset>53975</wp:posOffset>
                      </wp:positionH>
                      <wp:positionV relativeFrom="paragraph">
                        <wp:posOffset>192405</wp:posOffset>
                      </wp:positionV>
                      <wp:extent cx="7743825" cy="10795"/>
                      <wp:effectExtent l="0" t="4445" r="9525" b="13335"/>
                      <wp:wrapNone/>
                      <wp:docPr id="10" name="Straight Connector 10"/>
                      <wp:cNvGraphicFramePr/>
                      <a:graphic xmlns:a="http://schemas.openxmlformats.org/drawingml/2006/main">
                        <a:graphicData uri="http://schemas.microsoft.com/office/word/2010/wordprocessingShape">
                          <wps:wsp>
                            <wps:cNvCnPr/>
                            <wps:spPr>
                              <a:xfrm>
                                <a:off x="0" y="0"/>
                                <a:ext cx="7743825" cy="10795"/>
                              </a:xfrm>
                              <a:prstGeom prst="line">
                                <a:avLst/>
                              </a:prstGeom>
                              <a:noFill/>
                              <a:ln w="9525" cap="flat" cmpd="sng" algn="ctr">
                                <a:solidFill>
                                  <a:srgbClr val="000000"/>
                                </a:solidFill>
                                <a:prstDash val="solid"/>
                              </a:ln>
                              <a:effectLst/>
                            </wps:spPr>
                            <wps:bodyPr/>
                          </wps:wsp>
                        </a:graphicData>
                      </a:graphic>
                    </wp:anchor>
                  </w:drawing>
                </mc:Choice>
                <mc:Fallback>
                  <w:pict>
                    <v:line w14:anchorId="37FF2FC1"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25pt,15.15pt" to="6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"/>
                  </w:pict>
                </mc:Fallback>
              </mc:AlternateContent>
            </w:r>
            <w:r>
              <w:rPr>
                <w:rFonts w:ascii="Arial" w:hAnsi="Arial" w:cs="Arial"/>
                <w:sz w:val="24"/>
                <w:szCs w:val="24"/>
              </w:rPr>
              <w:t>SOC</w:t>
            </w:r>
          </w:p>
        </w:tc>
        <w:tc>
          <w:tcPr>
            <w:tcW w:w="863" w:type="dxa"/>
            <w:shd w:val="clear" w:color="auto" w:fill="F2F2F2" w:themeFill="background1" w:themeFillShade="F2"/>
          </w:tcPr>
          <w:p w14:paraId="62782FB8"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236" w:type="dxa"/>
            <w:shd w:val="clear" w:color="auto" w:fill="F2F2F2" w:themeFill="background1" w:themeFillShade="F2"/>
          </w:tcPr>
          <w:p w14:paraId="37CB9E08"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14:paraId="197A59DF" w14:textId="77777777" w:rsidR="00B94E8C" w:rsidRDefault="00AD1B3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14:paraId="05D6860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11DF5424"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3FABAE0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shd w:val="clear" w:color="auto" w:fill="F2F2F2" w:themeFill="background1" w:themeFillShade="F2"/>
          </w:tcPr>
          <w:p w14:paraId="383F8720"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782FAEE3"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14:paraId="5855399E"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589045AD"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14:paraId="31CDF18A"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14:paraId="44B7FFFE"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14:paraId="61E48A57" w14:textId="77777777" w:rsidR="00B94E8C" w:rsidRDefault="00B94E8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7EB73B0" w14:textId="77777777" w:rsidR="00B94E8C" w:rsidRDefault="00AD1B3A">
      <w:pPr>
        <w:ind w:right="-705"/>
        <w:jc w:val="both"/>
        <w:rPr>
          <w:rFonts w:ascii="Arial" w:hAnsi="Arial" w:cs="Arial"/>
          <w:bCs/>
          <w:color w:val="000000" w:themeColor="text1"/>
          <w:sz w:val="24"/>
          <w:szCs w:val="24"/>
        </w:rPr>
      </w:pPr>
      <w:r>
        <w:rPr>
          <w:rFonts w:ascii="Arial" w:hAnsi="Arial" w:cs="Arial"/>
          <w:bCs/>
          <w:color w:val="000000" w:themeColor="text1"/>
          <w:sz w:val="24"/>
          <w:szCs w:val="24"/>
        </w:rPr>
        <w:t xml:space="preserve">SOM=Soil organic carbon, AP=Available phosphorus, ECEC=Effective cation exchange </w:t>
      </w:r>
      <w:proofErr w:type="spellStart"/>
      <w:proofErr w:type="gramStart"/>
      <w:r>
        <w:rPr>
          <w:rFonts w:ascii="Arial" w:hAnsi="Arial" w:cs="Arial"/>
          <w:bCs/>
          <w:color w:val="000000" w:themeColor="text1"/>
          <w:sz w:val="24"/>
          <w:szCs w:val="24"/>
        </w:rPr>
        <w:t>capacity,BD</w:t>
      </w:r>
      <w:proofErr w:type="spellEnd"/>
      <w:proofErr w:type="gramEnd"/>
      <w:r>
        <w:rPr>
          <w:rFonts w:ascii="Arial" w:hAnsi="Arial" w:cs="Arial"/>
          <w:bCs/>
          <w:color w:val="000000" w:themeColor="text1"/>
          <w:sz w:val="24"/>
          <w:szCs w:val="24"/>
        </w:rPr>
        <w:t>=Bulk density,*</w:t>
      </w:r>
      <w:r>
        <w:rPr>
          <w:rFonts w:ascii="Arial" w:hAnsi="Arial" w:cs="Arial"/>
          <w:bCs/>
          <w:color w:val="000000" w:themeColor="text1"/>
          <w:sz w:val="24"/>
          <w:szCs w:val="24"/>
        </w:rPr>
        <w:t xml:space="preserve">=significant at 5 % probability level, **=Highly significant at 5 % probability level, NS=not significant at 5 % probability level, WSA= Water stable </w:t>
      </w:r>
      <w:proofErr w:type="spellStart"/>
      <w:r>
        <w:rPr>
          <w:rFonts w:ascii="Arial" w:hAnsi="Arial" w:cs="Arial"/>
          <w:bCs/>
          <w:color w:val="000000" w:themeColor="text1"/>
          <w:sz w:val="24"/>
          <w:szCs w:val="24"/>
        </w:rPr>
        <w:t>aggregates,MWD</w:t>
      </w:r>
      <w:proofErr w:type="spellEnd"/>
      <w:r>
        <w:rPr>
          <w:rFonts w:ascii="Arial" w:hAnsi="Arial" w:cs="Arial"/>
          <w:bCs/>
          <w:color w:val="000000" w:themeColor="text1"/>
          <w:sz w:val="24"/>
          <w:szCs w:val="24"/>
        </w:rPr>
        <w:t xml:space="preserve">=Mean weight </w:t>
      </w:r>
      <w:proofErr w:type="spellStart"/>
      <w:r>
        <w:rPr>
          <w:rFonts w:ascii="Arial" w:hAnsi="Arial" w:cs="Arial"/>
          <w:bCs/>
          <w:color w:val="000000" w:themeColor="text1"/>
          <w:sz w:val="24"/>
          <w:szCs w:val="24"/>
        </w:rPr>
        <w:t>diameter,DSE</w:t>
      </w:r>
      <w:proofErr w:type="spellEnd"/>
      <w:r>
        <w:rPr>
          <w:rFonts w:ascii="Arial" w:hAnsi="Arial" w:cs="Arial"/>
          <w:bCs/>
          <w:color w:val="000000" w:themeColor="text1"/>
          <w:sz w:val="24"/>
          <w:szCs w:val="24"/>
        </w:rPr>
        <w:t>=Degree of structural enhancement</w:t>
      </w:r>
    </w:p>
    <w:p w14:paraId="7EC20DA9" w14:textId="77777777" w:rsidR="00B94E8C" w:rsidRDefault="00B94E8C">
      <w:pPr>
        <w:tabs>
          <w:tab w:val="left" w:pos="5413"/>
        </w:tabs>
        <w:spacing w:line="480" w:lineRule="auto"/>
        <w:jc w:val="both"/>
        <w:rPr>
          <w:rFonts w:ascii="Arial" w:hAnsi="Arial" w:cs="Arial"/>
          <w:b/>
          <w:bCs/>
          <w:color w:val="000000" w:themeColor="text1"/>
          <w:sz w:val="24"/>
          <w:szCs w:val="24"/>
        </w:rPr>
        <w:sectPr w:rsidR="00B94E8C" w:rsidSect="00410464">
          <w:pgSz w:w="12240" w:h="15840"/>
          <w:pgMar w:top="1440" w:right="1440" w:bottom="1440" w:left="1440" w:header="720" w:footer="720" w:gutter="0"/>
          <w:cols w:space="720"/>
          <w:docGrid w:linePitch="360"/>
        </w:sectPr>
      </w:pPr>
    </w:p>
    <w:p w14:paraId="75930DB8" w14:textId="77777777" w:rsidR="00B94E8C" w:rsidRDefault="00B94E8C">
      <w:pPr>
        <w:spacing w:line="480" w:lineRule="auto"/>
        <w:ind w:left="3600"/>
        <w:jc w:val="both"/>
        <w:rPr>
          <w:rFonts w:ascii="Arial" w:hAnsi="Arial" w:cs="Arial"/>
          <w:b/>
          <w:bCs/>
          <w:color w:val="000000" w:themeColor="text1"/>
          <w:sz w:val="24"/>
          <w:szCs w:val="24"/>
        </w:rPr>
      </w:pPr>
    </w:p>
    <w:p w14:paraId="25823977" w14:textId="77777777" w:rsidR="00B94E8C" w:rsidRDefault="00AD1B3A">
      <w:pPr>
        <w:pStyle w:val="NormalWeb"/>
        <w:jc w:val="both"/>
        <w:rPr>
          <w:rFonts w:ascii="Arial" w:hAnsi="Arial" w:cs="Arial"/>
          <w:b/>
          <w:bCs/>
        </w:rPr>
      </w:pPr>
      <w:r>
        <w:rPr>
          <w:rStyle w:val="Strong"/>
          <w:rFonts w:ascii="Arial" w:hAnsi="Arial" w:cs="Arial"/>
        </w:rPr>
        <w:t xml:space="preserve">4.5 </w:t>
      </w:r>
      <w:r>
        <w:rPr>
          <w:rFonts w:ascii="Arial" w:hAnsi="Arial" w:cs="Arial"/>
          <w:b/>
          <w:bCs/>
        </w:rPr>
        <w:t>CONCLUSION</w:t>
      </w:r>
    </w:p>
    <w:p w14:paraId="0FE35A2F" w14:textId="77777777" w:rsidR="00B94E8C" w:rsidRDefault="00AD1B3A">
      <w:pPr>
        <w:spacing w:line="360" w:lineRule="auto"/>
        <w:jc w:val="both"/>
        <w:rPr>
          <w:rFonts w:ascii="Arial" w:hAnsi="Arial" w:cs="Arial"/>
          <w:color w:val="FF0000"/>
          <w:sz w:val="24"/>
          <w:szCs w:val="24"/>
        </w:rPr>
        <w:sectPr w:rsidR="00B94E8C" w:rsidSect="00410464">
          <w:pgSz w:w="11907" w:h="16840"/>
          <w:pgMar w:top="22" w:right="1440" w:bottom="1440" w:left="1440" w:header="720" w:footer="720" w:gutter="0"/>
          <w:paperSrc w:first="15" w:other="15"/>
          <w:cols w:space="720"/>
          <w:docGrid w:linePitch="360"/>
        </w:sectPr>
      </w:pPr>
      <w:r>
        <w:rPr>
          <w:rFonts w:ascii="Arial" w:hAnsi="Arial" w:cs="Arial"/>
          <w:sz w:val="24"/>
          <w:szCs w:val="24"/>
        </w:rPr>
        <w:t>This research work evaluated the e</w:t>
      </w:r>
      <w:r>
        <w:rPr>
          <w:rFonts w:ascii="Arial" w:eastAsia="SimSun" w:hAnsi="Arial" w:cs="Arial"/>
          <w:sz w:val="24"/>
          <w:szCs w:val="24"/>
        </w:rPr>
        <w:t xml:space="preserve">ffects of organic amendments on soil structural stability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tropics </w:t>
      </w:r>
      <w:proofErr w:type="gramStart"/>
      <w:r>
        <w:rPr>
          <w:rFonts w:ascii="Arial" w:eastAsia="SimSun" w:hAnsi="Arial" w:cs="Arial"/>
          <w:sz w:val="24"/>
          <w:szCs w:val="24"/>
        </w:rPr>
        <w:t>of  Southeastern</w:t>
      </w:r>
      <w:proofErr w:type="gramEnd"/>
      <w:r>
        <w:rPr>
          <w:rFonts w:ascii="Arial" w:eastAsia="SimSun" w:hAnsi="Arial" w:cs="Arial"/>
          <w:sz w:val="24"/>
          <w:szCs w:val="24"/>
        </w:rPr>
        <w:t xml:space="preserve"> Nigeria.</w:t>
      </w:r>
      <w:r>
        <w:rPr>
          <w:rFonts w:ascii="Arial" w:hAnsi="Arial" w:cs="Arial"/>
          <w:sz w:val="24"/>
          <w:szCs w:val="24"/>
        </w:rPr>
        <w:t xml:space="preserve"> The application of organic amendments significantly improved the phy</w:t>
      </w:r>
      <w:r>
        <w:rPr>
          <w:rFonts w:ascii="Arial" w:hAnsi="Arial" w:cs="Arial"/>
          <w:sz w:val="24"/>
          <w:szCs w:val="24"/>
        </w:rPr>
        <w:t>sical, chemical, and structural properties of the soil. The bulk density of the soil decreased, while the total porosity and moisture content increased, which indicated an improvement in the soil's pore continuity and water-holding capacity. The soil pH be</w:t>
      </w:r>
      <w:r>
        <w:rPr>
          <w:rFonts w:ascii="Arial" w:hAnsi="Arial" w:cs="Arial"/>
          <w:sz w:val="24"/>
          <w:szCs w:val="24"/>
        </w:rPr>
        <w:t>came more neutral. Water-stable aggregates, mean weight diameter, and degree of structural improvement were significantly higher in the organic-amended soils than in the control soil which has higher values of potential structural deformation index. Poultr</w:t>
      </w:r>
      <w:r>
        <w:rPr>
          <w:rFonts w:ascii="Arial" w:hAnsi="Arial" w:cs="Arial"/>
          <w:sz w:val="24"/>
          <w:szCs w:val="24"/>
        </w:rPr>
        <w:t xml:space="preserve">y droppings, pig slurry and pig cow dung were the best treatments in increasing the aggregate stability and degree of structural improvement. Correlation analysis also revealed that soil organic carbon, clay content, and effective cation exchange capacity </w:t>
      </w:r>
      <w:r>
        <w:rPr>
          <w:rFonts w:ascii="Arial" w:hAnsi="Arial" w:cs="Arial"/>
          <w:sz w:val="24"/>
          <w:szCs w:val="24"/>
        </w:rPr>
        <w:t xml:space="preserve">were major driving forces of aggregate stability and improvement, while bulk density was a negative force. The use of locally available animal manure, such as poultry dropping and cow dung, can greatly improve soil structure quality and mitigate the risks </w:t>
      </w:r>
      <w:r>
        <w:rPr>
          <w:rFonts w:ascii="Arial" w:hAnsi="Arial" w:cs="Arial"/>
          <w:sz w:val="24"/>
          <w:szCs w:val="24"/>
        </w:rPr>
        <w:t>of soil degradation in southeastern Nigeria.</w:t>
      </w:r>
    </w:p>
    <w:p w14:paraId="7DE69D3C" w14:textId="77777777" w:rsidR="00B94E8C" w:rsidRDefault="00B94E8C">
      <w:pPr>
        <w:pStyle w:val="ReferHead"/>
        <w:spacing w:after="0"/>
        <w:jc w:val="both"/>
        <w:rPr>
          <w:rFonts w:ascii="Arial" w:hAnsi="Arial" w:cs="Arial"/>
          <w:bCs/>
        </w:rPr>
      </w:pPr>
      <w:bookmarkStart w:id="1" w:name="_GoBack"/>
      <w:bookmarkEnd w:id="1"/>
    </w:p>
    <w:p w14:paraId="132AFB04" w14:textId="77777777" w:rsidR="00B94E8C" w:rsidRDefault="00AD1B3A">
      <w:pPr>
        <w:pStyle w:val="ReferHead"/>
        <w:spacing w:after="0"/>
        <w:jc w:val="both"/>
        <w:rPr>
          <w:rFonts w:ascii="Arial" w:hAnsi="Arial" w:cs="Arial"/>
          <w:bCs/>
        </w:rPr>
      </w:pPr>
      <w:r>
        <w:rPr>
          <w:rFonts w:ascii="Arial" w:hAnsi="Arial" w:cs="Arial"/>
          <w:bCs/>
        </w:rPr>
        <w:t>Consent (where ever applicable)</w:t>
      </w:r>
    </w:p>
    <w:p w14:paraId="72EC7170" w14:textId="77777777" w:rsidR="00B94E8C" w:rsidRDefault="00AD1B3A">
      <w:pPr>
        <w:pStyle w:val="ReferHead"/>
        <w:spacing w:after="0"/>
        <w:jc w:val="both"/>
        <w:rPr>
          <w:rFonts w:ascii="Arial" w:hAnsi="Arial" w:cs="Arial"/>
          <w:b w:val="0"/>
          <w:sz w:val="20"/>
        </w:rPr>
      </w:pPr>
      <w:r>
        <w:rPr>
          <w:rFonts w:ascii="Arial" w:hAnsi="Arial" w:cs="Arial"/>
          <w:bCs/>
        </w:rPr>
        <w:t>Not Applicable</w:t>
      </w:r>
    </w:p>
    <w:p w14:paraId="73C8BD3C" w14:textId="77777777" w:rsidR="00B94E8C" w:rsidRDefault="00B94E8C">
      <w:pPr>
        <w:pStyle w:val="ReferHead"/>
        <w:spacing w:after="0"/>
        <w:jc w:val="both"/>
        <w:rPr>
          <w:rFonts w:ascii="Arial" w:hAnsi="Arial" w:cs="Arial"/>
          <w:bCs/>
        </w:rPr>
      </w:pPr>
    </w:p>
    <w:p w14:paraId="7710A832" w14:textId="77777777" w:rsidR="00B94E8C" w:rsidRDefault="00AD1B3A">
      <w:pPr>
        <w:pStyle w:val="ReferHead"/>
        <w:spacing w:after="0"/>
        <w:jc w:val="both"/>
        <w:rPr>
          <w:rFonts w:ascii="Arial" w:hAnsi="Arial" w:cs="Arial"/>
          <w:bCs/>
        </w:rPr>
      </w:pPr>
      <w:r>
        <w:rPr>
          <w:rFonts w:ascii="Arial" w:hAnsi="Arial" w:cs="Arial"/>
          <w:bCs/>
        </w:rPr>
        <w:t>Ethical approval (where ever applicable)</w:t>
      </w:r>
    </w:p>
    <w:p w14:paraId="55117AAD" w14:textId="77777777" w:rsidR="00B94E8C" w:rsidRDefault="00B94E8C">
      <w:pPr>
        <w:pStyle w:val="ReferHead"/>
        <w:spacing w:after="0"/>
        <w:jc w:val="both"/>
        <w:rPr>
          <w:rFonts w:ascii="Arial" w:hAnsi="Arial" w:cs="Arial"/>
          <w:bCs/>
        </w:rPr>
      </w:pPr>
    </w:p>
    <w:p w14:paraId="1A9C2A13" w14:textId="77777777" w:rsidR="00B94E8C" w:rsidRDefault="00AD1B3A">
      <w:pPr>
        <w:pStyle w:val="ReferHead"/>
        <w:spacing w:after="0"/>
        <w:jc w:val="both"/>
        <w:rPr>
          <w:rFonts w:ascii="Arial" w:hAnsi="Arial" w:cs="Arial"/>
        </w:rPr>
      </w:pPr>
      <w:r>
        <w:rPr>
          <w:rFonts w:ascii="Arial" w:hAnsi="Arial" w:cs="Arial"/>
        </w:rPr>
        <w:t>Not applicable</w:t>
      </w:r>
    </w:p>
    <w:p w14:paraId="7406CB9A" w14:textId="77777777" w:rsidR="00B94E8C" w:rsidRDefault="00B94E8C">
      <w:pPr>
        <w:pStyle w:val="ReferHead"/>
        <w:spacing w:after="0"/>
        <w:jc w:val="both"/>
        <w:rPr>
          <w:rFonts w:ascii="Arial" w:hAnsi="Arial" w:cs="Arial"/>
        </w:rPr>
      </w:pPr>
    </w:p>
    <w:p w14:paraId="43BDD5B2" w14:textId="77777777" w:rsidR="00B94E8C" w:rsidRDefault="00AD1B3A">
      <w:pPr>
        <w:pStyle w:val="ReferHead"/>
        <w:spacing w:after="0"/>
        <w:jc w:val="both"/>
        <w:rPr>
          <w:rFonts w:ascii="Arial" w:hAnsi="Arial" w:cs="Arial"/>
        </w:rPr>
      </w:pPr>
      <w:r>
        <w:rPr>
          <w:rFonts w:ascii="Arial" w:hAnsi="Arial" w:cs="Arial"/>
        </w:rPr>
        <w:t>References</w:t>
      </w:r>
    </w:p>
    <w:p w14:paraId="64BBE627" w14:textId="77777777" w:rsidR="00B94E8C" w:rsidRDefault="00AD1B3A">
      <w:pPr>
        <w:pStyle w:val="NormalWeb"/>
        <w:jc w:val="both"/>
        <w:rPr>
          <w:rFonts w:ascii="Arial" w:hAnsi="Arial" w:cs="Arial"/>
          <w:color w:val="000000" w:themeColor="text1"/>
        </w:rPr>
      </w:pPr>
      <w:proofErr w:type="spellStart"/>
      <w:r>
        <w:rPr>
          <w:rFonts w:ascii="Arial" w:hAnsi="Arial" w:cs="Arial"/>
          <w:color w:val="000000" w:themeColor="text1"/>
        </w:rPr>
        <w:t>Adesodun</w:t>
      </w:r>
      <w:proofErr w:type="spellEnd"/>
      <w:r>
        <w:rPr>
          <w:rFonts w:ascii="Arial" w:hAnsi="Arial" w:cs="Arial"/>
          <w:color w:val="000000" w:themeColor="text1"/>
        </w:rPr>
        <w:t xml:space="preserve">, J. K., Mbagwu, J. S. </w:t>
      </w:r>
      <w:r>
        <w:rPr>
          <w:rFonts w:ascii="Arial" w:hAnsi="Arial" w:cs="Arial"/>
          <w:color w:val="000000" w:themeColor="text1"/>
        </w:rPr>
        <w:t xml:space="preserve">C., &amp; Oti, N. (2005). Distribution of carbon, nitrogen and phosphorus in water-stable aggregates of an organic waste-amended </w:t>
      </w:r>
      <w:proofErr w:type="spellStart"/>
      <w:r>
        <w:rPr>
          <w:rFonts w:ascii="Arial" w:hAnsi="Arial" w:cs="Arial"/>
          <w:color w:val="000000" w:themeColor="text1"/>
        </w:rPr>
        <w:t>Ultisol</w:t>
      </w:r>
      <w:proofErr w:type="spellEnd"/>
      <w:r>
        <w:rPr>
          <w:rFonts w:ascii="Arial" w:hAnsi="Arial" w:cs="Arial"/>
          <w:color w:val="000000" w:themeColor="text1"/>
        </w:rPr>
        <w:t xml:space="preserve"> in southern Nigeria. </w:t>
      </w:r>
      <w:r>
        <w:rPr>
          <w:rStyle w:val="Emphasis"/>
          <w:rFonts w:ascii="Arial" w:hAnsi="Arial" w:cs="Arial"/>
          <w:color w:val="000000" w:themeColor="text1"/>
        </w:rPr>
        <w:t>Bioresource Technology</w:t>
      </w:r>
      <w:r>
        <w:rPr>
          <w:rFonts w:ascii="Arial" w:hAnsi="Arial" w:cs="Arial"/>
          <w:color w:val="000000" w:themeColor="text1"/>
        </w:rPr>
        <w:t>, 96, 509–516.</w:t>
      </w:r>
    </w:p>
    <w:p w14:paraId="177953DE" w14:textId="77777777" w:rsidR="00B94E8C" w:rsidRDefault="00AD1B3A">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Agim L.C., Osuji G.E., </w:t>
      </w:r>
      <w:proofErr w:type="spellStart"/>
      <w:r>
        <w:rPr>
          <w:rFonts w:ascii="Arial" w:hAnsi="Arial" w:cs="Arial"/>
          <w:color w:val="000000" w:themeColor="text1"/>
          <w:sz w:val="24"/>
          <w:szCs w:val="24"/>
        </w:rPr>
        <w:t>Onweremadu</w:t>
      </w:r>
      <w:proofErr w:type="spellEnd"/>
      <w:r>
        <w:rPr>
          <w:rFonts w:ascii="Arial" w:hAnsi="Arial" w:cs="Arial"/>
          <w:color w:val="000000" w:themeColor="text1"/>
          <w:sz w:val="24"/>
          <w:szCs w:val="24"/>
        </w:rPr>
        <w:t xml:space="preserve"> E.U., </w:t>
      </w:r>
      <w:proofErr w:type="spellStart"/>
      <w:r>
        <w:rPr>
          <w:rFonts w:ascii="Arial" w:hAnsi="Arial" w:cs="Arial"/>
          <w:color w:val="000000" w:themeColor="text1"/>
          <w:sz w:val="24"/>
          <w:szCs w:val="24"/>
        </w:rPr>
        <w:t>Ndukwu</w:t>
      </w:r>
      <w:proofErr w:type="spellEnd"/>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B.N.,&amp;</w:t>
      </w:r>
      <w:proofErr w:type="gram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Osuaku</w:t>
      </w:r>
      <w:proofErr w:type="spellEnd"/>
      <w:r>
        <w:rPr>
          <w:rFonts w:ascii="Arial" w:hAnsi="Arial" w:cs="Arial"/>
          <w:color w:val="000000" w:themeColor="text1"/>
          <w:sz w:val="24"/>
          <w:szCs w:val="24"/>
        </w:rPr>
        <w:t xml:space="preserve"> S.K. (2012) Seasonal</w:t>
      </w:r>
    </w:p>
    <w:p w14:paraId="24931C21" w14:textId="77777777" w:rsidR="00B94E8C" w:rsidRDefault="00AD1B3A">
      <w:pPr>
        <w:pStyle w:val="NoSpacing"/>
        <w:jc w:val="both"/>
        <w:rPr>
          <w:rFonts w:ascii="Arial" w:hAnsi="Arial" w:cs="Arial"/>
          <w:color w:val="000000" w:themeColor="text1"/>
          <w:sz w:val="24"/>
          <w:szCs w:val="24"/>
        </w:rPr>
      </w:pPr>
      <w:r>
        <w:rPr>
          <w:rFonts w:ascii="Arial" w:hAnsi="Arial" w:cs="Arial"/>
          <w:color w:val="000000" w:themeColor="text1"/>
          <w:sz w:val="24"/>
          <w:szCs w:val="24"/>
        </w:rPr>
        <w:t>Dynamics of Soil Organic Matter and Total Nitrogen in soils under different land uses in</w:t>
      </w:r>
    </w:p>
    <w:p w14:paraId="3AAAE578" w14:textId="77777777" w:rsidR="00B94E8C" w:rsidRDefault="00AD1B3A">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Owerri Southeastern </w:t>
      </w:r>
      <w:proofErr w:type="spellStart"/>
      <w:r>
        <w:rPr>
          <w:rFonts w:ascii="Arial" w:hAnsi="Arial" w:cs="Arial"/>
          <w:color w:val="000000" w:themeColor="text1"/>
          <w:sz w:val="24"/>
          <w:szCs w:val="24"/>
        </w:rPr>
        <w:t>Nigeria.Vol</w:t>
      </w:r>
      <w:proofErr w:type="spellEnd"/>
      <w:r>
        <w:rPr>
          <w:rFonts w:ascii="Arial" w:hAnsi="Arial" w:cs="Arial"/>
          <w:color w:val="000000" w:themeColor="text1"/>
          <w:sz w:val="24"/>
          <w:szCs w:val="24"/>
        </w:rPr>
        <w:t>. 11 No. 1 (2012).</w:t>
      </w:r>
    </w:p>
    <w:p w14:paraId="4932115F" w14:textId="77777777" w:rsidR="00B94E8C" w:rsidRDefault="00B94E8C">
      <w:pPr>
        <w:pStyle w:val="NoSpacing"/>
        <w:jc w:val="both"/>
        <w:rPr>
          <w:rFonts w:ascii="Arial" w:hAnsi="Arial" w:cs="Arial"/>
          <w:color w:val="000000" w:themeColor="text1"/>
          <w:sz w:val="24"/>
          <w:szCs w:val="24"/>
        </w:rPr>
      </w:pPr>
    </w:p>
    <w:p w14:paraId="20D14F1E" w14:textId="77777777" w:rsidR="00B94E8C" w:rsidRDefault="00AD1B3A">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Agim, L.C (2016). Structural stability, erodibility and organic amendment effects on soils of </w:t>
      </w:r>
      <w:r>
        <w:rPr>
          <w:rFonts w:ascii="Arial" w:hAnsi="Arial" w:cs="Arial"/>
          <w:color w:val="000000" w:themeColor="text1"/>
          <w:sz w:val="24"/>
          <w:szCs w:val="24"/>
        </w:rPr>
        <w:t xml:space="preserve">some geologic formations in Southeastern </w:t>
      </w:r>
      <w:proofErr w:type="spellStart"/>
      <w:r>
        <w:rPr>
          <w:rFonts w:ascii="Arial" w:hAnsi="Arial" w:cs="Arial"/>
          <w:color w:val="000000" w:themeColor="text1"/>
          <w:sz w:val="24"/>
          <w:szCs w:val="24"/>
        </w:rPr>
        <w:t>Nigeria.A</w:t>
      </w:r>
      <w:proofErr w:type="spellEnd"/>
      <w:r>
        <w:rPr>
          <w:rFonts w:ascii="Arial" w:hAnsi="Arial" w:cs="Arial"/>
          <w:color w:val="000000" w:themeColor="text1"/>
          <w:sz w:val="24"/>
          <w:szCs w:val="24"/>
        </w:rPr>
        <w:t xml:space="preserve"> </w:t>
      </w:r>
      <w:proofErr w:type="spellStart"/>
      <w:proofErr w:type="gramStart"/>
      <w:r>
        <w:rPr>
          <w:rFonts w:ascii="Arial" w:hAnsi="Arial" w:cs="Arial"/>
          <w:color w:val="000000" w:themeColor="text1"/>
          <w:sz w:val="24"/>
          <w:szCs w:val="24"/>
        </w:rPr>
        <w:t>Ph.D</w:t>
      </w:r>
      <w:proofErr w:type="spellEnd"/>
      <w:proofErr w:type="gramEnd"/>
      <w:r>
        <w:rPr>
          <w:rFonts w:ascii="Arial" w:hAnsi="Arial" w:cs="Arial"/>
          <w:color w:val="000000" w:themeColor="text1"/>
          <w:sz w:val="24"/>
          <w:szCs w:val="24"/>
        </w:rPr>
        <w:t xml:space="preserve"> thesis submitted to the department of Soil Science, University of Nigeria, Nsukka, In Partial Fulfilment Of The Requirements for the award of Doctor Of Philosophy (</w:t>
      </w:r>
      <w:proofErr w:type="spellStart"/>
      <w:r>
        <w:rPr>
          <w:rFonts w:ascii="Arial" w:hAnsi="Arial" w:cs="Arial"/>
          <w:color w:val="000000" w:themeColor="text1"/>
          <w:sz w:val="24"/>
          <w:szCs w:val="24"/>
        </w:rPr>
        <w:t>Ph.D</w:t>
      </w:r>
      <w:proofErr w:type="spellEnd"/>
      <w:r>
        <w:rPr>
          <w:rFonts w:ascii="Arial" w:hAnsi="Arial" w:cs="Arial"/>
          <w:color w:val="000000" w:themeColor="text1"/>
          <w:sz w:val="24"/>
          <w:szCs w:val="24"/>
        </w:rPr>
        <w:t>) Degree in Soil Science with Sp</w:t>
      </w:r>
      <w:r>
        <w:rPr>
          <w:rFonts w:ascii="Arial" w:hAnsi="Arial" w:cs="Arial"/>
          <w:color w:val="000000" w:themeColor="text1"/>
          <w:sz w:val="24"/>
          <w:szCs w:val="24"/>
        </w:rPr>
        <w:t>ecialization in Soil Physics / Conservation</w:t>
      </w:r>
    </w:p>
    <w:p w14:paraId="18D4F111" w14:textId="77777777" w:rsidR="00B94E8C" w:rsidRDefault="00AD1B3A">
      <w:pPr>
        <w:pStyle w:val="NormalWeb"/>
        <w:spacing w:before="120" w:beforeAutospacing="0" w:after="120" w:afterAutospacing="0" w:line="360" w:lineRule="auto"/>
        <w:jc w:val="both"/>
        <w:rPr>
          <w:rFonts w:ascii="Arial" w:eastAsia="sans-serif" w:hAnsi="Arial" w:cs="Arial"/>
          <w:color w:val="000000" w:themeColor="text1"/>
          <w:shd w:val="clear" w:color="auto" w:fill="FFFFFF"/>
        </w:rPr>
      </w:pPr>
      <w:proofErr w:type="spellStart"/>
      <w:r>
        <w:rPr>
          <w:rFonts w:ascii="Arial" w:eastAsia="sans-serif" w:hAnsi="Arial" w:cs="Arial"/>
          <w:color w:val="000000" w:themeColor="text1"/>
          <w:shd w:val="clear" w:color="auto" w:fill="FFFFFF"/>
        </w:rPr>
        <w:t>Ahukaemere</w:t>
      </w:r>
      <w:proofErr w:type="spellEnd"/>
      <w:r>
        <w:rPr>
          <w:rFonts w:ascii="Arial" w:eastAsia="sans-serif" w:hAnsi="Arial" w:cs="Arial"/>
          <w:color w:val="000000" w:themeColor="text1"/>
          <w:shd w:val="clear" w:color="auto" w:fill="FFFFFF"/>
        </w:rPr>
        <w:t xml:space="preserve">, C. P., </w:t>
      </w:r>
      <w:proofErr w:type="spellStart"/>
      <w:r>
        <w:rPr>
          <w:rFonts w:ascii="Arial" w:eastAsia="sans-serif" w:hAnsi="Arial" w:cs="Arial"/>
          <w:color w:val="000000" w:themeColor="text1"/>
          <w:shd w:val="clear" w:color="auto" w:fill="FFFFFF"/>
        </w:rPr>
        <w:t>Ndukwu</w:t>
      </w:r>
      <w:proofErr w:type="spellEnd"/>
      <w:r>
        <w:rPr>
          <w:rFonts w:ascii="Arial" w:eastAsia="sans-serif" w:hAnsi="Arial" w:cs="Arial"/>
          <w:color w:val="000000" w:themeColor="text1"/>
          <w:shd w:val="clear" w:color="auto" w:fill="FFFFFF"/>
        </w:rPr>
        <w:t>, B. N., &amp; Agim, L. C. (2016). Soil structural stability and organic carbon enrichment in selected land use types in Southeastern Nigeria. </w:t>
      </w:r>
      <w:r>
        <w:rPr>
          <w:rFonts w:ascii="Arial" w:eastAsia="sans-serif" w:hAnsi="Arial" w:cs="Arial"/>
          <w:i/>
          <w:iCs/>
          <w:color w:val="000000" w:themeColor="text1"/>
          <w:shd w:val="clear" w:color="auto" w:fill="FFFFFF"/>
        </w:rPr>
        <w:t xml:space="preserve">Journal of Soil Science and Environmental </w:t>
      </w:r>
      <w:r>
        <w:rPr>
          <w:rFonts w:ascii="Arial" w:eastAsia="sans-serif" w:hAnsi="Arial" w:cs="Arial"/>
          <w:i/>
          <w:iCs/>
          <w:color w:val="000000" w:themeColor="text1"/>
          <w:shd w:val="clear" w:color="auto" w:fill="FFFFFF"/>
        </w:rPr>
        <w:t>Management</w:t>
      </w:r>
      <w:r>
        <w:rPr>
          <w:rFonts w:ascii="Arial" w:eastAsia="sans-serif" w:hAnsi="Arial" w:cs="Arial"/>
          <w:color w:val="000000" w:themeColor="text1"/>
          <w:shd w:val="clear" w:color="auto" w:fill="FFFFFF"/>
        </w:rPr>
        <w:t>, 7(5), 54-61.</w:t>
      </w:r>
    </w:p>
    <w:p w14:paraId="3C30D15F" w14:textId="77777777" w:rsidR="00B94E8C" w:rsidRDefault="00AD1B3A">
      <w:pPr>
        <w:jc w:val="both"/>
        <w:rPr>
          <w:rFonts w:ascii="Arial" w:eastAsia="SimSun" w:hAnsi="Arial" w:cs="Arial"/>
          <w:color w:val="000000" w:themeColor="text1"/>
          <w:sz w:val="24"/>
          <w:szCs w:val="24"/>
        </w:rPr>
      </w:pPr>
      <w:proofErr w:type="spellStart"/>
      <w:r>
        <w:rPr>
          <w:rFonts w:ascii="Arial" w:eastAsia="SimSun" w:hAnsi="Arial" w:cs="Arial"/>
          <w:color w:val="000000" w:themeColor="text1"/>
          <w:sz w:val="24"/>
          <w:szCs w:val="24"/>
        </w:rPr>
        <w:t>Akamigbo</w:t>
      </w:r>
      <w:proofErr w:type="spellEnd"/>
      <w:r>
        <w:rPr>
          <w:rFonts w:ascii="Arial" w:eastAsia="SimSun" w:hAnsi="Arial" w:cs="Arial"/>
          <w:color w:val="000000" w:themeColor="text1"/>
          <w:sz w:val="24"/>
          <w:szCs w:val="24"/>
        </w:rPr>
        <w:t xml:space="preserve">, F.O.R, </w:t>
      </w:r>
      <w:r>
        <w:rPr>
          <w:rFonts w:ascii="Arial" w:hAnsi="Arial" w:cs="Arial"/>
          <w:color w:val="000000" w:themeColor="text1"/>
          <w:sz w:val="24"/>
          <w:szCs w:val="24"/>
        </w:rPr>
        <w:t>&amp;</w:t>
      </w:r>
      <w:r>
        <w:rPr>
          <w:rFonts w:ascii="Arial" w:eastAsia="SimSun" w:hAnsi="Arial" w:cs="Arial"/>
          <w:color w:val="000000" w:themeColor="text1"/>
          <w:sz w:val="24"/>
          <w:szCs w:val="24"/>
        </w:rPr>
        <w:t xml:space="preserve"> </w:t>
      </w:r>
      <w:proofErr w:type="spellStart"/>
      <w:r>
        <w:rPr>
          <w:rFonts w:ascii="Arial" w:eastAsia="SimSun" w:hAnsi="Arial" w:cs="Arial"/>
          <w:color w:val="000000" w:themeColor="text1"/>
          <w:sz w:val="24"/>
          <w:szCs w:val="24"/>
        </w:rPr>
        <w:t>Igwe</w:t>
      </w:r>
      <w:proofErr w:type="spellEnd"/>
      <w:r>
        <w:rPr>
          <w:rFonts w:ascii="Arial" w:eastAsia="SimSun" w:hAnsi="Arial" w:cs="Arial"/>
          <w:color w:val="000000" w:themeColor="text1"/>
          <w:sz w:val="24"/>
          <w:szCs w:val="24"/>
        </w:rPr>
        <w:t xml:space="preserve"> C.A (1990). Morphology, genesis and taxonomy of three soil series in Eastern Nigeria. Samaru Journal of Agricultural Research.7:33-48</w:t>
      </w:r>
    </w:p>
    <w:p w14:paraId="37DD0C31" w14:textId="77777777" w:rsidR="00B94E8C" w:rsidRDefault="00AD1B3A">
      <w:pPr>
        <w:pStyle w:val="NormalWeb"/>
        <w:jc w:val="both"/>
        <w:rPr>
          <w:rFonts w:ascii="Arial" w:hAnsi="Arial" w:cs="Arial"/>
          <w:color w:val="000000" w:themeColor="text1"/>
        </w:rPr>
      </w:pPr>
      <w:r>
        <w:rPr>
          <w:rFonts w:ascii="Arial" w:hAnsi="Arial" w:cs="Arial"/>
          <w:color w:val="000000" w:themeColor="text1"/>
        </w:rPr>
        <w:t xml:space="preserve">Akindele, I. O., &amp; Chukwu, G. O. (2014). Soil degradation and erosion in </w:t>
      </w:r>
      <w:r>
        <w:rPr>
          <w:rFonts w:ascii="Arial" w:hAnsi="Arial" w:cs="Arial"/>
          <w:color w:val="000000" w:themeColor="text1"/>
        </w:rPr>
        <w:t xml:space="preserve">southeastern Nigeria: Causes, effects, and control measures. </w:t>
      </w:r>
      <w:r>
        <w:rPr>
          <w:rStyle w:val="Emphasis"/>
          <w:rFonts w:ascii="Arial" w:hAnsi="Arial" w:cs="Arial"/>
          <w:color w:val="000000" w:themeColor="text1"/>
        </w:rPr>
        <w:t>International Journal of Soil and Water Conservation</w:t>
      </w:r>
      <w:r>
        <w:rPr>
          <w:rFonts w:ascii="Arial" w:hAnsi="Arial" w:cs="Arial"/>
          <w:color w:val="000000" w:themeColor="text1"/>
        </w:rPr>
        <w:t>, 2(2), 17–25.</w:t>
      </w:r>
    </w:p>
    <w:p w14:paraId="3629961C" w14:textId="77777777" w:rsidR="00B94E8C" w:rsidRDefault="00AD1B3A">
      <w:pPr>
        <w:autoSpaceDE w:val="0"/>
        <w:autoSpaceDN w:val="0"/>
        <w:adjustRightInd w:val="0"/>
        <w:spacing w:line="480"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Akamigbo</w:t>
      </w:r>
      <w:proofErr w:type="spellEnd"/>
      <w:r>
        <w:rPr>
          <w:rFonts w:ascii="Arial" w:hAnsi="Arial" w:cs="Arial"/>
          <w:color w:val="000000" w:themeColor="text1"/>
          <w:sz w:val="24"/>
          <w:szCs w:val="24"/>
        </w:rPr>
        <w:t xml:space="preserve">, F.O.R.&amp; </w:t>
      </w:r>
      <w:proofErr w:type="spellStart"/>
      <w:r>
        <w:rPr>
          <w:rFonts w:ascii="Arial" w:hAnsi="Arial" w:cs="Arial"/>
          <w:color w:val="000000" w:themeColor="text1"/>
          <w:sz w:val="24"/>
          <w:szCs w:val="24"/>
        </w:rPr>
        <w:t>Igwe</w:t>
      </w:r>
      <w:proofErr w:type="spellEnd"/>
      <w:r>
        <w:rPr>
          <w:rFonts w:ascii="Arial" w:hAnsi="Arial" w:cs="Arial"/>
          <w:color w:val="000000" w:themeColor="text1"/>
          <w:sz w:val="24"/>
          <w:szCs w:val="24"/>
        </w:rPr>
        <w:t>, C.A. (1990). Morphology, geography, genesis and taxonomy of three soil series in Eastern Nigeria. Samaru</w:t>
      </w:r>
      <w:r>
        <w:rPr>
          <w:rFonts w:ascii="Arial" w:hAnsi="Arial" w:cs="Arial"/>
          <w:color w:val="000000" w:themeColor="text1"/>
          <w:sz w:val="24"/>
          <w:szCs w:val="24"/>
        </w:rPr>
        <w:t xml:space="preserve"> Journal of Agricultural Research 7: 33-48</w:t>
      </w:r>
    </w:p>
    <w:p w14:paraId="74706FA2" w14:textId="77777777" w:rsidR="00B94E8C" w:rsidRDefault="00AD1B3A">
      <w:pPr>
        <w:jc w:val="both"/>
        <w:rPr>
          <w:rFonts w:ascii="Arial" w:hAnsi="Arial" w:cs="Arial"/>
          <w:color w:val="000000" w:themeColor="text1"/>
          <w:sz w:val="24"/>
          <w:szCs w:val="24"/>
        </w:rPr>
      </w:pPr>
      <w:r>
        <w:rPr>
          <w:rFonts w:ascii="Arial" w:eastAsia="SimSun" w:hAnsi="Arial" w:cs="Arial"/>
          <w:color w:val="000000" w:themeColor="text1"/>
          <w:sz w:val="24"/>
          <w:szCs w:val="24"/>
          <w:shd w:val="clear" w:color="auto" w:fill="FFFFFF"/>
        </w:rPr>
        <w:t>Ayeni. L.S. (2011</w:t>
      </w:r>
      <w:proofErr w:type="gramStart"/>
      <w:r>
        <w:rPr>
          <w:rFonts w:ascii="Arial" w:eastAsia="SimSun" w:hAnsi="Arial" w:cs="Arial"/>
          <w:color w:val="000000" w:themeColor="text1"/>
          <w:sz w:val="24"/>
          <w:szCs w:val="24"/>
          <w:shd w:val="clear" w:color="auto" w:fill="FFFFFF"/>
        </w:rPr>
        <w:t>).Integrated</w:t>
      </w:r>
      <w:proofErr w:type="gramEnd"/>
      <w:r>
        <w:rPr>
          <w:rFonts w:ascii="Arial" w:eastAsia="SimSun" w:hAnsi="Arial" w:cs="Arial"/>
          <w:color w:val="000000" w:themeColor="text1"/>
          <w:sz w:val="24"/>
          <w:szCs w:val="24"/>
          <w:shd w:val="clear" w:color="auto" w:fill="FFFFFF"/>
        </w:rPr>
        <w:t xml:space="preserve"> plant nutrition </w:t>
      </w:r>
      <w:proofErr w:type="spellStart"/>
      <w:r>
        <w:rPr>
          <w:rFonts w:ascii="Arial" w:eastAsia="SimSun" w:hAnsi="Arial" w:cs="Arial"/>
          <w:color w:val="000000" w:themeColor="text1"/>
          <w:sz w:val="24"/>
          <w:szCs w:val="24"/>
          <w:shd w:val="clear" w:color="auto" w:fill="FFFFFF"/>
        </w:rPr>
        <w:t>Mnagement</w:t>
      </w:r>
      <w:proofErr w:type="spellEnd"/>
      <w:r>
        <w:rPr>
          <w:rFonts w:ascii="Arial" w:eastAsia="SimSun" w:hAnsi="Arial" w:cs="Arial"/>
          <w:color w:val="000000" w:themeColor="text1"/>
          <w:sz w:val="24"/>
          <w:szCs w:val="24"/>
          <w:shd w:val="clear" w:color="auto" w:fill="FFFFFF"/>
        </w:rPr>
        <w:t>: A panacea for sustainable crop production in Nigeria. International Journal of Soil Science,6,19-24</w:t>
      </w:r>
    </w:p>
    <w:p w14:paraId="1877944A" w14:textId="77777777" w:rsidR="00B94E8C" w:rsidRDefault="00AD1B3A">
      <w:pPr>
        <w:pStyle w:val="NormalWeb"/>
        <w:jc w:val="both"/>
        <w:rPr>
          <w:rFonts w:ascii="Arial" w:hAnsi="Arial" w:cs="Arial"/>
          <w:color w:val="000000" w:themeColor="text1"/>
        </w:rPr>
      </w:pPr>
      <w:r>
        <w:rPr>
          <w:rFonts w:ascii="Arial" w:hAnsi="Arial" w:cs="Arial"/>
          <w:color w:val="000000" w:themeColor="text1"/>
        </w:rPr>
        <w:t>Blum, W. E. H. (2005). Functions of soil for society and</w:t>
      </w:r>
      <w:r>
        <w:rPr>
          <w:rFonts w:ascii="Arial" w:hAnsi="Arial" w:cs="Arial"/>
          <w:color w:val="000000" w:themeColor="text1"/>
        </w:rPr>
        <w:t xml:space="preserve"> the environment. </w:t>
      </w:r>
      <w:r>
        <w:rPr>
          <w:rStyle w:val="Emphasis"/>
          <w:rFonts w:ascii="Arial" w:hAnsi="Arial" w:cs="Arial"/>
          <w:color w:val="000000" w:themeColor="text1"/>
        </w:rPr>
        <w:t>Reviews in Environmental Science and Bio/Technology</w:t>
      </w:r>
      <w:r>
        <w:rPr>
          <w:rFonts w:ascii="Arial" w:hAnsi="Arial" w:cs="Arial"/>
          <w:color w:val="000000" w:themeColor="text1"/>
        </w:rPr>
        <w:t>, 4(3), 75–79.</w:t>
      </w:r>
    </w:p>
    <w:p w14:paraId="3E8086DE" w14:textId="77777777" w:rsidR="00B94E8C" w:rsidRDefault="00AD1B3A">
      <w:pPr>
        <w:pStyle w:val="NormalWeb"/>
        <w:jc w:val="both"/>
        <w:rPr>
          <w:rFonts w:ascii="Arial" w:hAnsi="Arial" w:cs="Arial"/>
          <w:color w:val="000000" w:themeColor="text1"/>
        </w:rPr>
      </w:pPr>
      <w:r>
        <w:rPr>
          <w:rFonts w:ascii="Arial" w:hAnsi="Arial" w:cs="Arial"/>
          <w:color w:val="000000" w:themeColor="text1"/>
        </w:rPr>
        <w:t xml:space="preserve">Bronick, C. J., &amp; Lal, R. (2005). Soil structure and management: A review. </w:t>
      </w:r>
      <w:proofErr w:type="spellStart"/>
      <w:r>
        <w:rPr>
          <w:rStyle w:val="Emphasis"/>
          <w:rFonts w:ascii="Arial" w:hAnsi="Arial" w:cs="Arial"/>
          <w:color w:val="000000" w:themeColor="text1"/>
        </w:rPr>
        <w:t>Geoderma</w:t>
      </w:r>
      <w:proofErr w:type="spellEnd"/>
      <w:r>
        <w:rPr>
          <w:rFonts w:ascii="Arial" w:hAnsi="Arial" w:cs="Arial"/>
          <w:color w:val="000000" w:themeColor="text1"/>
        </w:rPr>
        <w:t>, 124, 3–22.</w:t>
      </w:r>
    </w:p>
    <w:p w14:paraId="63C2BE06" w14:textId="77777777" w:rsidR="00B94E8C" w:rsidRDefault="00AD1B3A">
      <w:pPr>
        <w:jc w:val="both"/>
        <w:rPr>
          <w:rFonts w:ascii="Arial" w:hAnsi="Arial" w:cs="Arial"/>
          <w:color w:val="000000" w:themeColor="text1"/>
          <w:sz w:val="24"/>
          <w:szCs w:val="24"/>
        </w:rPr>
      </w:pPr>
      <w:r>
        <w:rPr>
          <w:rFonts w:ascii="Arial" w:eastAsia="SimSun" w:hAnsi="Arial" w:cs="Arial"/>
          <w:color w:val="000000" w:themeColor="text1"/>
          <w:sz w:val="24"/>
          <w:szCs w:val="24"/>
          <w:lang w:eastAsia="zh-CN" w:bidi="ar"/>
        </w:rPr>
        <w:t xml:space="preserve">Chinedu1P, P. </w:t>
      </w:r>
      <w:r>
        <w:rPr>
          <w:rFonts w:ascii="Arial" w:hAnsi="Arial" w:cs="Arial"/>
          <w:color w:val="000000" w:themeColor="text1"/>
          <w:sz w:val="24"/>
          <w:szCs w:val="24"/>
        </w:rPr>
        <w:t>&amp;</w:t>
      </w:r>
      <w:r>
        <w:rPr>
          <w:rFonts w:ascii="Arial" w:eastAsia="SimSun" w:hAnsi="Arial" w:cs="Arial"/>
          <w:color w:val="000000" w:themeColor="text1"/>
          <w:sz w:val="24"/>
          <w:szCs w:val="24"/>
          <w:lang w:eastAsia="zh-CN" w:bidi="ar"/>
        </w:rPr>
        <w:t xml:space="preserve"> </w:t>
      </w:r>
      <w:proofErr w:type="gramStart"/>
      <w:r>
        <w:rPr>
          <w:rFonts w:ascii="Arial" w:eastAsia="SimSun" w:hAnsi="Arial" w:cs="Arial"/>
          <w:color w:val="000000" w:themeColor="text1"/>
          <w:sz w:val="24"/>
          <w:szCs w:val="24"/>
          <w:lang w:eastAsia="zh-CN" w:bidi="ar"/>
        </w:rPr>
        <w:t>Ahamefule ,</w:t>
      </w:r>
      <w:proofErr w:type="gramEnd"/>
      <w:r>
        <w:rPr>
          <w:rFonts w:ascii="Arial" w:eastAsia="SimSun" w:hAnsi="Arial" w:cs="Arial"/>
          <w:color w:val="000000" w:themeColor="text1"/>
          <w:sz w:val="24"/>
          <w:szCs w:val="24"/>
          <w:lang w:eastAsia="zh-CN" w:bidi="ar"/>
        </w:rPr>
        <w:t xml:space="preserve"> E. H (2012). Assessment Of Structural Stability </w:t>
      </w:r>
      <w:r>
        <w:rPr>
          <w:rFonts w:ascii="Arial" w:eastAsia="SimSun" w:hAnsi="Arial" w:cs="Arial"/>
          <w:color w:val="000000" w:themeColor="text1"/>
          <w:sz w:val="24"/>
          <w:szCs w:val="24"/>
          <w:lang w:eastAsia="zh-CN" w:bidi="ar"/>
        </w:rPr>
        <w:t xml:space="preserve">Of A Degraded </w:t>
      </w:r>
      <w:proofErr w:type="gramStart"/>
      <w:r>
        <w:rPr>
          <w:rFonts w:ascii="Arial" w:eastAsia="SimSun" w:hAnsi="Arial" w:cs="Arial"/>
          <w:color w:val="000000" w:themeColor="text1"/>
          <w:sz w:val="24"/>
          <w:szCs w:val="24"/>
          <w:lang w:eastAsia="zh-CN" w:bidi="ar"/>
        </w:rPr>
        <w:t>Sandy  Clay</w:t>
      </w:r>
      <w:proofErr w:type="gramEnd"/>
      <w:r>
        <w:rPr>
          <w:rFonts w:ascii="Arial" w:eastAsia="SimSun" w:hAnsi="Arial" w:cs="Arial"/>
          <w:color w:val="000000" w:themeColor="text1"/>
          <w:sz w:val="24"/>
          <w:szCs w:val="24"/>
          <w:lang w:eastAsia="zh-CN" w:bidi="ar"/>
        </w:rPr>
        <w:t xml:space="preserve"> Loam Soil Under Cover Crops In South-Eastern  </w:t>
      </w:r>
      <w:proofErr w:type="spellStart"/>
      <w:r>
        <w:rPr>
          <w:rFonts w:ascii="Arial" w:eastAsia="SimSun" w:hAnsi="Arial" w:cs="Arial"/>
          <w:color w:val="000000" w:themeColor="text1"/>
          <w:sz w:val="24"/>
          <w:szCs w:val="24"/>
          <w:lang w:eastAsia="zh-CN" w:bidi="ar"/>
        </w:rPr>
        <w:t>Nigeria.Agro</w:t>
      </w:r>
      <w:proofErr w:type="spellEnd"/>
      <w:r>
        <w:rPr>
          <w:rFonts w:ascii="Arial" w:eastAsia="SimSun" w:hAnsi="Arial" w:cs="Arial"/>
          <w:color w:val="000000" w:themeColor="text1"/>
          <w:sz w:val="24"/>
          <w:szCs w:val="24"/>
          <w:lang w:eastAsia="zh-CN" w:bidi="ar"/>
        </w:rPr>
        <w:t>-Science Journal of Tropical Agriculture, Food, Environment and Extension Volume 11 Number 3 September  pp 44 - 50</w:t>
      </w:r>
    </w:p>
    <w:p w14:paraId="4100E20B" w14:textId="77777777" w:rsidR="00B94E8C" w:rsidRDefault="00B94E8C">
      <w:pPr>
        <w:jc w:val="both"/>
        <w:rPr>
          <w:rFonts w:ascii="Arial" w:eastAsia="SimSun" w:hAnsi="Arial" w:cs="Arial"/>
          <w:color w:val="000000" w:themeColor="text1"/>
          <w:sz w:val="21"/>
          <w:szCs w:val="21"/>
          <w:shd w:val="clear" w:color="auto" w:fill="FFFFFF"/>
        </w:rPr>
      </w:pPr>
    </w:p>
    <w:p w14:paraId="59EC8F1E" w14:textId="77777777" w:rsidR="00B94E8C" w:rsidRDefault="00AD1B3A">
      <w:pPr>
        <w:jc w:val="both"/>
        <w:rPr>
          <w:rFonts w:ascii="Arial" w:hAnsi="Arial" w:cs="Arial"/>
          <w:color w:val="000000" w:themeColor="text1"/>
          <w:sz w:val="24"/>
          <w:szCs w:val="24"/>
        </w:rPr>
      </w:pPr>
      <w:r>
        <w:rPr>
          <w:rFonts w:ascii="Arial" w:eastAsia="SimSun" w:hAnsi="Arial" w:cs="Arial"/>
          <w:color w:val="000000" w:themeColor="text1"/>
          <w:sz w:val="21"/>
          <w:szCs w:val="21"/>
          <w:shd w:val="clear" w:color="auto" w:fill="FFFFFF"/>
        </w:rPr>
        <w:lastRenderedPageBreak/>
        <w:t xml:space="preserve">Blake, </w:t>
      </w:r>
      <w:proofErr w:type="gramStart"/>
      <w:r>
        <w:rPr>
          <w:rFonts w:ascii="Arial" w:eastAsia="SimSun" w:hAnsi="Arial" w:cs="Arial"/>
          <w:color w:val="000000" w:themeColor="text1"/>
          <w:sz w:val="21"/>
          <w:szCs w:val="21"/>
          <w:shd w:val="clear" w:color="auto" w:fill="FFFFFF"/>
        </w:rPr>
        <w:t>G.R</w:t>
      </w:r>
      <w:proofErr w:type="gramEnd"/>
      <w:r>
        <w:rPr>
          <w:rFonts w:ascii="Arial" w:eastAsia="SimSun" w:hAnsi="Arial" w:cs="Arial"/>
          <w:color w:val="000000" w:themeColor="text1"/>
          <w:sz w:val="21"/>
          <w:szCs w:val="21"/>
          <w:shd w:val="clear" w:color="auto" w:fill="FFFFFF"/>
        </w:rPr>
        <w:t xml:space="preserve"> </w:t>
      </w:r>
      <w:r>
        <w:rPr>
          <w:rFonts w:ascii="Arial" w:hAnsi="Arial" w:cs="Arial"/>
          <w:color w:val="000000" w:themeColor="text1"/>
          <w:sz w:val="24"/>
          <w:szCs w:val="24"/>
        </w:rPr>
        <w:t>&amp;</w:t>
      </w:r>
      <w:r>
        <w:rPr>
          <w:rFonts w:ascii="Arial" w:eastAsia="SimSun" w:hAnsi="Arial" w:cs="Arial"/>
          <w:color w:val="000000" w:themeColor="text1"/>
          <w:sz w:val="21"/>
          <w:szCs w:val="21"/>
          <w:shd w:val="clear" w:color="auto" w:fill="FFFFFF"/>
        </w:rPr>
        <w:t xml:space="preserve"> Hartge, K.H (1986).Bulk density. In Klute, </w:t>
      </w:r>
      <w:proofErr w:type="gramStart"/>
      <w:r>
        <w:rPr>
          <w:rFonts w:ascii="Arial" w:eastAsia="SimSun" w:hAnsi="Arial" w:cs="Arial"/>
          <w:color w:val="000000" w:themeColor="text1"/>
          <w:sz w:val="21"/>
          <w:szCs w:val="21"/>
          <w:shd w:val="clear" w:color="auto" w:fill="FFFFFF"/>
        </w:rPr>
        <w:t>A.,(</w:t>
      </w:r>
      <w:proofErr w:type="gramEnd"/>
      <w:r>
        <w:rPr>
          <w:rFonts w:ascii="Arial" w:eastAsia="SimSun" w:hAnsi="Arial" w:cs="Arial"/>
          <w:color w:val="000000" w:themeColor="text1"/>
          <w:sz w:val="21"/>
          <w:szCs w:val="21"/>
          <w:shd w:val="clear" w:color="auto" w:fill="FFFFFF"/>
        </w:rPr>
        <w:t>Eds.).Methods of soil analyses, part 1-Physical and mineralogical methods, 2</w:t>
      </w:r>
      <w:r>
        <w:rPr>
          <w:rFonts w:ascii="Arial" w:eastAsia="SimSun" w:hAnsi="Arial" w:cs="Arial"/>
          <w:color w:val="000000" w:themeColor="text1"/>
          <w:sz w:val="21"/>
          <w:szCs w:val="21"/>
          <w:shd w:val="clear" w:color="auto" w:fill="FFFFFF"/>
          <w:vertAlign w:val="superscript"/>
        </w:rPr>
        <w:t>nd</w:t>
      </w:r>
      <w:r>
        <w:rPr>
          <w:rFonts w:ascii="Arial" w:eastAsia="SimSun" w:hAnsi="Arial" w:cs="Arial"/>
          <w:color w:val="000000" w:themeColor="text1"/>
          <w:sz w:val="21"/>
          <w:szCs w:val="21"/>
          <w:shd w:val="clear" w:color="auto" w:fill="FFFFFF"/>
        </w:rPr>
        <w:t xml:space="preserve"> Edition, Agronomy monograph 9, American Society of Agronomy-Soil Science Society of America, Madison, 363-382.</w:t>
      </w:r>
    </w:p>
    <w:p w14:paraId="633B6AE8"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Brady, N. C., &amp; Weil, R. R. (2017). </w:t>
      </w:r>
      <w:r>
        <w:rPr>
          <w:rFonts w:ascii="Arial" w:hAnsi="Arial" w:cs="Arial"/>
          <w:i/>
          <w:iCs/>
          <w:color w:val="000000" w:themeColor="text1"/>
        </w:rPr>
        <w:t xml:space="preserve">The nature and properties </w:t>
      </w:r>
      <w:r>
        <w:rPr>
          <w:rFonts w:ascii="Arial" w:hAnsi="Arial" w:cs="Arial"/>
          <w:i/>
          <w:iCs/>
          <w:color w:val="000000" w:themeColor="text1"/>
        </w:rPr>
        <w:t>of soils</w:t>
      </w:r>
      <w:r>
        <w:rPr>
          <w:rFonts w:ascii="Arial" w:hAnsi="Arial" w:cs="Arial"/>
          <w:color w:val="000000" w:themeColor="text1"/>
        </w:rPr>
        <w:t xml:space="preserve"> (15th ed.). Pearson Education, Upper Saddle River, NJ.</w:t>
      </w:r>
    </w:p>
    <w:p w14:paraId="79812D87" w14:textId="77777777" w:rsidR="00B94E8C" w:rsidRDefault="00AD1B3A">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Bremner, J. M., &amp; Mulvaney, C. S. (1982). Nitrogen - Total. In A. L. Page, R. H. Miller, &amp; D. R. Keeney (Eds.), Methods of Soil Analysis, Part 2 (pp. 595-624). American Society of Agronomy.</w:t>
      </w:r>
    </w:p>
    <w:p w14:paraId="6BBC9FC8" w14:textId="77777777" w:rsidR="00B94E8C" w:rsidRDefault="00AD1B3A">
      <w:pPr>
        <w:pStyle w:val="NormalWeb"/>
        <w:spacing w:after="240" w:line="360" w:lineRule="auto"/>
        <w:ind w:left="720" w:hanging="720"/>
        <w:jc w:val="both"/>
        <w:rPr>
          <w:rFonts w:ascii="Arial" w:hAnsi="Arial" w:cs="Arial"/>
          <w:color w:val="000000" w:themeColor="text1"/>
        </w:rPr>
      </w:pPr>
      <w:proofErr w:type="spellStart"/>
      <w:proofErr w:type="gramStart"/>
      <w:r>
        <w:rPr>
          <w:rFonts w:ascii="Arial" w:hAnsi="Arial" w:cs="Arial"/>
          <w:color w:val="000000" w:themeColor="text1"/>
        </w:rPr>
        <w:t>Bo</w:t>
      </w:r>
      <w:r>
        <w:rPr>
          <w:rFonts w:ascii="Arial" w:hAnsi="Arial" w:cs="Arial"/>
          <w:color w:val="000000" w:themeColor="text1"/>
        </w:rPr>
        <w:t>t,A</w:t>
      </w:r>
      <w:proofErr w:type="spellEnd"/>
      <w:r>
        <w:rPr>
          <w:rFonts w:ascii="Arial" w:hAnsi="Arial" w:cs="Arial"/>
          <w:color w:val="000000" w:themeColor="text1"/>
        </w:rPr>
        <w:t>.</w:t>
      </w:r>
      <w:proofErr w:type="gramEnd"/>
      <w:r>
        <w:rPr>
          <w:rFonts w:ascii="Arial" w:hAnsi="Arial" w:cs="Arial"/>
          <w:color w:val="000000" w:themeColor="text1"/>
        </w:rPr>
        <w:t xml:space="preserve">, &amp; Benites J.A (2005). </w:t>
      </w:r>
      <w:proofErr w:type="spellStart"/>
      <w:r>
        <w:rPr>
          <w:rFonts w:ascii="Arial" w:hAnsi="Arial" w:cs="Arial"/>
          <w:color w:val="000000" w:themeColor="text1"/>
        </w:rPr>
        <w:t>Importants</w:t>
      </w:r>
      <w:proofErr w:type="spellEnd"/>
      <w:r>
        <w:rPr>
          <w:rFonts w:ascii="Arial" w:hAnsi="Arial" w:cs="Arial"/>
          <w:color w:val="000000" w:themeColor="text1"/>
        </w:rPr>
        <w:t xml:space="preserve"> of Soil organic </w:t>
      </w:r>
      <w:proofErr w:type="spellStart"/>
      <w:proofErr w:type="gramStart"/>
      <w:r>
        <w:rPr>
          <w:rFonts w:ascii="Arial" w:hAnsi="Arial" w:cs="Arial"/>
          <w:color w:val="000000" w:themeColor="text1"/>
        </w:rPr>
        <w:t>matter,Key</w:t>
      </w:r>
      <w:proofErr w:type="spellEnd"/>
      <w:proofErr w:type="gramEnd"/>
      <w:r>
        <w:rPr>
          <w:rFonts w:ascii="Arial" w:hAnsi="Arial" w:cs="Arial"/>
          <w:color w:val="000000" w:themeColor="text1"/>
        </w:rPr>
        <w:t xml:space="preserve"> to drought resistant soil and sustained food production, FAO Soil Bulletin, Rome</w:t>
      </w:r>
    </w:p>
    <w:p w14:paraId="3E4AB2B8"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Gee, G. W., &amp; Or, D. (2002). Particle-size analysis. In J. H. Dane and G. C. Topp (Eds.), </w:t>
      </w:r>
      <w:r>
        <w:rPr>
          <w:rFonts w:ascii="Arial" w:hAnsi="Arial" w:cs="Arial"/>
          <w:i/>
          <w:iCs/>
          <w:color w:val="000000" w:themeColor="text1"/>
        </w:rPr>
        <w:t>Methods of Soil Ana</w:t>
      </w:r>
      <w:r>
        <w:rPr>
          <w:rFonts w:ascii="Arial" w:hAnsi="Arial" w:cs="Arial"/>
          <w:i/>
          <w:iCs/>
          <w:color w:val="000000" w:themeColor="text1"/>
        </w:rPr>
        <w:t>lysis: Part 4—Physical Methods</w:t>
      </w:r>
      <w:r>
        <w:rPr>
          <w:rFonts w:ascii="Arial" w:hAnsi="Arial" w:cs="Arial"/>
          <w:color w:val="000000" w:themeColor="text1"/>
        </w:rPr>
        <w:t xml:space="preserve"> (pp. 255–293). Soil Science Society of America.</w:t>
      </w:r>
    </w:p>
    <w:p w14:paraId="52B70872" w14:textId="77777777" w:rsidR="00B94E8C" w:rsidRDefault="00AD1B3A">
      <w:pPr>
        <w:pStyle w:val="NoSpacing"/>
        <w:spacing w:line="276"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Eshett</w:t>
      </w:r>
      <w:proofErr w:type="spellEnd"/>
      <w:r>
        <w:rPr>
          <w:rFonts w:ascii="Arial" w:hAnsi="Arial" w:cs="Arial"/>
          <w:color w:val="000000" w:themeColor="text1"/>
          <w:sz w:val="24"/>
          <w:szCs w:val="24"/>
        </w:rPr>
        <w:t xml:space="preserve">, </w:t>
      </w:r>
      <w:proofErr w:type="spellStart"/>
      <w:proofErr w:type="gramStart"/>
      <w:r>
        <w:rPr>
          <w:rFonts w:ascii="Arial" w:hAnsi="Arial" w:cs="Arial"/>
          <w:color w:val="000000" w:themeColor="text1"/>
          <w:sz w:val="24"/>
          <w:szCs w:val="24"/>
        </w:rPr>
        <w:t>E.T,Omueti</w:t>
      </w:r>
      <w:proofErr w:type="spellEnd"/>
      <w:proofErr w:type="gramEnd"/>
      <w:r>
        <w:rPr>
          <w:rFonts w:ascii="Arial" w:hAnsi="Arial" w:cs="Arial"/>
          <w:color w:val="000000" w:themeColor="text1"/>
          <w:sz w:val="24"/>
          <w:szCs w:val="24"/>
        </w:rPr>
        <w:t xml:space="preserve">, J.A,&amp; </w:t>
      </w:r>
      <w:proofErr w:type="spellStart"/>
      <w:r>
        <w:rPr>
          <w:rFonts w:ascii="Arial" w:hAnsi="Arial" w:cs="Arial"/>
          <w:color w:val="000000" w:themeColor="text1"/>
          <w:sz w:val="24"/>
          <w:szCs w:val="24"/>
        </w:rPr>
        <w:t>Juo</w:t>
      </w:r>
      <w:proofErr w:type="spellEnd"/>
      <w:r>
        <w:rPr>
          <w:rFonts w:ascii="Arial" w:hAnsi="Arial" w:cs="Arial"/>
          <w:color w:val="000000" w:themeColor="text1"/>
          <w:sz w:val="24"/>
          <w:szCs w:val="24"/>
        </w:rPr>
        <w:t>, S.A.R (1985). Soil chemical properties and mineralogy in relation to southeastern Nigeria, Nigeria Journal of Agricultural Science 12:377-386.</w:t>
      </w:r>
    </w:p>
    <w:p w14:paraId="52CBE1D1" w14:textId="77777777" w:rsidR="00B94E8C" w:rsidRDefault="00AD1B3A">
      <w:pPr>
        <w:pStyle w:val="NoSpacing"/>
        <w:spacing w:line="276" w:lineRule="auto"/>
        <w:jc w:val="both"/>
        <w:rPr>
          <w:rFonts w:ascii="Arial" w:hAnsi="Arial" w:cs="Arial"/>
          <w:color w:val="000000" w:themeColor="text1"/>
          <w:sz w:val="24"/>
          <w:szCs w:val="24"/>
        </w:rPr>
      </w:pPr>
      <w:r>
        <w:rPr>
          <w:rFonts w:ascii="Arial" w:hAnsi="Arial" w:cs="Arial"/>
          <w:color w:val="000000" w:themeColor="text1"/>
          <w:sz w:val="24"/>
          <w:szCs w:val="24"/>
        </w:rPr>
        <w:t>Forth, H.D (1984). Fundamentals of soil science. 7</w:t>
      </w:r>
      <w:r>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Ed. John Willy and Sons Publishers</w:t>
      </w:r>
    </w:p>
    <w:p w14:paraId="72A2F80C" w14:textId="77777777" w:rsidR="00B94E8C" w:rsidRDefault="00AD1B3A">
      <w:pPr>
        <w:pStyle w:val="NormalWeb"/>
        <w:jc w:val="both"/>
        <w:rPr>
          <w:rFonts w:ascii="Arial" w:hAnsi="Arial" w:cs="Arial"/>
          <w:color w:val="000000" w:themeColor="text1"/>
        </w:rPr>
      </w:pPr>
      <w:r>
        <w:rPr>
          <w:rFonts w:ascii="Arial" w:hAnsi="Arial" w:cs="Arial"/>
          <w:color w:val="000000" w:themeColor="text1"/>
        </w:rPr>
        <w:t xml:space="preserve">Food and Agriculture Organization of the United Nations (FAO). (2015). </w:t>
      </w:r>
      <w:r>
        <w:rPr>
          <w:rStyle w:val="Emphasis"/>
          <w:rFonts w:ascii="Arial" w:hAnsi="Arial" w:cs="Arial"/>
          <w:color w:val="000000" w:themeColor="text1"/>
        </w:rPr>
        <w:t>Status of the World’s Soil Resources (SWSR) – Main Report</w:t>
      </w:r>
      <w:r>
        <w:rPr>
          <w:rFonts w:ascii="Arial" w:hAnsi="Arial" w:cs="Arial"/>
          <w:color w:val="000000" w:themeColor="text1"/>
        </w:rPr>
        <w:t>. FAO and ITPS, Rome.</w:t>
      </w:r>
    </w:p>
    <w:p w14:paraId="7112DE7D" w14:textId="77777777" w:rsidR="00B94E8C" w:rsidRDefault="00AD1B3A">
      <w:pPr>
        <w:pStyle w:val="NormalWeb"/>
        <w:jc w:val="both"/>
        <w:rPr>
          <w:rFonts w:ascii="Arial" w:hAnsi="Arial" w:cs="Arial"/>
          <w:color w:val="000000" w:themeColor="text1"/>
        </w:rPr>
      </w:pPr>
      <w:r>
        <w:rPr>
          <w:rFonts w:ascii="Arial" w:hAnsi="Arial" w:cs="Arial"/>
          <w:color w:val="000000" w:themeColor="text1"/>
        </w:rPr>
        <w:t xml:space="preserve">Haynes, R. J., &amp; Naidu, R. (1998). Influence of lime, fertilizer and manure applications on soil organic matter content and soil physical conditions: A review. </w:t>
      </w:r>
      <w:r>
        <w:rPr>
          <w:rStyle w:val="Emphasis"/>
          <w:rFonts w:ascii="Arial" w:hAnsi="Arial" w:cs="Arial"/>
          <w:color w:val="000000" w:themeColor="text1"/>
        </w:rPr>
        <w:t>Nutrient Cycling in Agroecosystems</w:t>
      </w:r>
      <w:r>
        <w:rPr>
          <w:rFonts w:ascii="Arial" w:hAnsi="Arial" w:cs="Arial"/>
          <w:color w:val="000000" w:themeColor="text1"/>
        </w:rPr>
        <w:t>, 51, 123–137.</w:t>
      </w:r>
    </w:p>
    <w:p w14:paraId="7BEE649B" w14:textId="77777777" w:rsidR="00B94E8C" w:rsidRDefault="00AD1B3A">
      <w:pPr>
        <w:jc w:val="both"/>
        <w:rPr>
          <w:rFonts w:ascii="Arial" w:eastAsia="Helvetica" w:hAnsi="Arial" w:cs="Arial"/>
          <w:color w:val="000000" w:themeColor="text1"/>
          <w:sz w:val="24"/>
          <w:szCs w:val="24"/>
          <w:shd w:val="clear" w:color="auto" w:fill="FFFFFF"/>
        </w:rPr>
      </w:pPr>
      <w:proofErr w:type="spellStart"/>
      <w:r>
        <w:rPr>
          <w:rFonts w:ascii="Arial" w:eastAsia="Helvetica" w:hAnsi="Arial" w:cs="Arial"/>
          <w:color w:val="000000" w:themeColor="text1"/>
          <w:sz w:val="24"/>
          <w:szCs w:val="24"/>
          <w:shd w:val="clear" w:color="auto" w:fill="FFFFFF"/>
        </w:rPr>
        <w:t>Haufiku</w:t>
      </w:r>
      <w:proofErr w:type="spellEnd"/>
      <w:r>
        <w:rPr>
          <w:rFonts w:ascii="Arial" w:eastAsia="Helvetica" w:hAnsi="Arial" w:cs="Arial"/>
          <w:color w:val="000000" w:themeColor="text1"/>
          <w:sz w:val="24"/>
          <w:szCs w:val="24"/>
          <w:shd w:val="clear" w:color="auto" w:fill="FFFFFF"/>
        </w:rPr>
        <w:t xml:space="preserve">, A.M., </w:t>
      </w:r>
      <w:proofErr w:type="spellStart"/>
      <w:r>
        <w:rPr>
          <w:rFonts w:ascii="Arial" w:eastAsia="Helvetica" w:hAnsi="Arial" w:cs="Arial"/>
          <w:color w:val="000000" w:themeColor="text1"/>
          <w:sz w:val="24"/>
          <w:szCs w:val="24"/>
          <w:shd w:val="clear" w:color="auto" w:fill="FFFFFF"/>
        </w:rPr>
        <w:t>Ausiku</w:t>
      </w:r>
      <w:proofErr w:type="spellEnd"/>
      <w:r>
        <w:rPr>
          <w:rFonts w:ascii="Arial" w:eastAsia="Helvetica" w:hAnsi="Arial" w:cs="Arial"/>
          <w:color w:val="000000" w:themeColor="text1"/>
          <w:sz w:val="24"/>
          <w:szCs w:val="24"/>
          <w:shd w:val="clear" w:color="auto" w:fill="FFFFFF"/>
        </w:rPr>
        <w:t>, P.A. &amp; Huttunen, S. (202</w:t>
      </w:r>
      <w:r>
        <w:rPr>
          <w:rFonts w:ascii="Arial" w:eastAsia="Helvetica" w:hAnsi="Arial" w:cs="Arial"/>
          <w:color w:val="000000" w:themeColor="text1"/>
          <w:sz w:val="24"/>
          <w:szCs w:val="24"/>
          <w:shd w:val="clear" w:color="auto" w:fill="FFFFFF"/>
        </w:rPr>
        <w:t>5). The role of organic and inorganic soil amendments on soil physicochemical properties and wheat (</w:t>
      </w:r>
      <w:r>
        <w:rPr>
          <w:rFonts w:ascii="Arial" w:eastAsia="Helvetica" w:hAnsi="Arial" w:cs="Arial"/>
          <w:i/>
          <w:iCs/>
          <w:color w:val="000000" w:themeColor="text1"/>
          <w:sz w:val="24"/>
          <w:szCs w:val="24"/>
          <w:shd w:val="clear" w:color="auto" w:fill="FFFFFF"/>
        </w:rPr>
        <w:t>Triticum aestivum</w:t>
      </w:r>
      <w:r>
        <w:rPr>
          <w:rFonts w:ascii="Arial" w:eastAsia="Helvetica" w:hAnsi="Arial" w:cs="Arial"/>
          <w:color w:val="000000" w:themeColor="text1"/>
          <w:sz w:val="24"/>
          <w:szCs w:val="24"/>
          <w:shd w:val="clear" w:color="auto" w:fill="FFFFFF"/>
        </w:rPr>
        <w:t> L.) agronomic performance in Semi-arid North-Central Namibia: A Review. </w:t>
      </w:r>
      <w:proofErr w:type="spellStart"/>
      <w:r>
        <w:rPr>
          <w:rFonts w:ascii="Arial" w:eastAsia="Helvetica" w:hAnsi="Arial" w:cs="Arial"/>
          <w:i/>
          <w:iCs/>
          <w:color w:val="000000" w:themeColor="text1"/>
          <w:sz w:val="24"/>
          <w:szCs w:val="24"/>
          <w:shd w:val="clear" w:color="auto" w:fill="FFFFFF"/>
        </w:rPr>
        <w:t>Discov</w:t>
      </w:r>
      <w:proofErr w:type="spellEnd"/>
      <w:r>
        <w:rPr>
          <w:rFonts w:ascii="Arial" w:eastAsia="Helvetica" w:hAnsi="Arial" w:cs="Arial"/>
          <w:i/>
          <w:iCs/>
          <w:color w:val="000000" w:themeColor="text1"/>
          <w:sz w:val="24"/>
          <w:szCs w:val="24"/>
          <w:shd w:val="clear" w:color="auto" w:fill="FFFFFF"/>
        </w:rPr>
        <w:t xml:space="preserve"> Agric</w:t>
      </w:r>
      <w:r>
        <w:rPr>
          <w:rFonts w:ascii="Arial" w:eastAsia="Helvetica" w:hAnsi="Arial" w:cs="Arial"/>
          <w:color w:val="000000" w:themeColor="text1"/>
          <w:sz w:val="24"/>
          <w:szCs w:val="24"/>
          <w:shd w:val="clear" w:color="auto" w:fill="FFFFFF"/>
        </w:rPr>
        <w:t xml:space="preserve"> 3, </w:t>
      </w:r>
      <w:proofErr w:type="gramStart"/>
      <w:r>
        <w:rPr>
          <w:rFonts w:ascii="Arial" w:eastAsia="Helvetica" w:hAnsi="Arial" w:cs="Arial"/>
          <w:color w:val="000000" w:themeColor="text1"/>
          <w:sz w:val="24"/>
          <w:szCs w:val="24"/>
          <w:shd w:val="clear" w:color="auto" w:fill="FFFFFF"/>
        </w:rPr>
        <w:t>215 .</w:t>
      </w:r>
      <w:proofErr w:type="gramEnd"/>
      <w:r>
        <w:rPr>
          <w:rFonts w:ascii="Arial" w:eastAsia="Helvetica" w:hAnsi="Arial" w:cs="Arial"/>
          <w:color w:val="000000" w:themeColor="text1"/>
          <w:sz w:val="24"/>
          <w:szCs w:val="24"/>
          <w:shd w:val="clear" w:color="auto" w:fill="FFFFFF"/>
        </w:rPr>
        <w:t xml:space="preserve"> </w:t>
      </w:r>
      <w:hyperlink r:id="rId23" w:history="1">
        <w:r>
          <w:rPr>
            <w:rStyle w:val="Hyperlink"/>
            <w:rFonts w:ascii="Arial" w:eastAsia="Helvetica" w:hAnsi="Arial" w:cs="Arial"/>
            <w:color w:val="000000" w:themeColor="text1"/>
            <w:sz w:val="24"/>
            <w:szCs w:val="24"/>
            <w:shd w:val="clear" w:color="auto" w:fill="FFFFFF"/>
          </w:rPr>
          <w:t>https://doi.org/10.1007/s44279-025-00383-5</w:t>
        </w:r>
      </w:hyperlink>
    </w:p>
    <w:p w14:paraId="0396909D" w14:textId="77777777" w:rsidR="00B94E8C" w:rsidRDefault="00B94E8C">
      <w:pPr>
        <w:spacing w:before="240"/>
        <w:ind w:left="720" w:hanging="720"/>
        <w:contextualSpacing/>
        <w:jc w:val="both"/>
        <w:rPr>
          <w:rFonts w:ascii="Arial" w:hAnsi="Arial" w:cs="Arial"/>
          <w:color w:val="000000" w:themeColor="text1"/>
          <w:sz w:val="24"/>
          <w:szCs w:val="24"/>
        </w:rPr>
      </w:pPr>
    </w:p>
    <w:p w14:paraId="423685B7" w14:textId="77777777" w:rsidR="00B94E8C" w:rsidRDefault="00AD1B3A">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Hendershot, W. H., Lalande, H., &amp; Duquette, M. (1993). Soil reaction and exchangeable acidity. In M. R. Carter (Ed.), Soil Sampling and Methods of Analysis (pp. 141-145). Lewis Publishers.</w:t>
      </w:r>
    </w:p>
    <w:p w14:paraId="40B49D8A" w14:textId="77777777" w:rsidR="00B94E8C" w:rsidRDefault="00B94E8C">
      <w:pPr>
        <w:jc w:val="both"/>
        <w:rPr>
          <w:rFonts w:ascii="Arial" w:hAnsi="Arial" w:cs="Arial"/>
          <w:color w:val="000000" w:themeColor="text1"/>
          <w:sz w:val="24"/>
          <w:szCs w:val="24"/>
        </w:rPr>
      </w:pPr>
    </w:p>
    <w:p w14:paraId="6C0C8BB9" w14:textId="77777777" w:rsidR="00B94E8C" w:rsidRDefault="00AD1B3A">
      <w:pPr>
        <w:jc w:val="both"/>
        <w:rPr>
          <w:rFonts w:ascii="Arial" w:hAnsi="Arial" w:cs="Arial"/>
          <w:color w:val="000000" w:themeColor="text1"/>
          <w:sz w:val="24"/>
          <w:szCs w:val="24"/>
        </w:rPr>
      </w:pPr>
      <w:proofErr w:type="spellStart"/>
      <w:proofErr w:type="gramStart"/>
      <w:r>
        <w:rPr>
          <w:rFonts w:ascii="Arial" w:hAnsi="Arial" w:cs="Arial"/>
          <w:color w:val="000000" w:themeColor="text1"/>
          <w:sz w:val="24"/>
          <w:szCs w:val="24"/>
        </w:rPr>
        <w:t>Hillel,D</w:t>
      </w:r>
      <w:proofErr w:type="spellEnd"/>
      <w:r>
        <w:rPr>
          <w:rFonts w:ascii="Arial" w:hAnsi="Arial" w:cs="Arial"/>
          <w:color w:val="000000" w:themeColor="text1"/>
          <w:sz w:val="24"/>
          <w:szCs w:val="24"/>
        </w:rPr>
        <w:t>.</w:t>
      </w:r>
      <w:proofErr w:type="gramEnd"/>
      <w:r>
        <w:rPr>
          <w:rFonts w:ascii="Arial" w:hAnsi="Arial" w:cs="Arial"/>
          <w:color w:val="000000" w:themeColor="text1"/>
          <w:sz w:val="24"/>
          <w:szCs w:val="24"/>
        </w:rPr>
        <w:t>(2004).Introduction to soil environmental Soil physics. Elsevier Academic Press Amsterdam, XVi,</w:t>
      </w:r>
      <w:proofErr w:type="gramStart"/>
      <w:r>
        <w:rPr>
          <w:rFonts w:ascii="Arial" w:hAnsi="Arial" w:cs="Arial"/>
          <w:color w:val="000000" w:themeColor="text1"/>
          <w:sz w:val="24"/>
          <w:szCs w:val="24"/>
        </w:rPr>
        <w:t>494  ISBN</w:t>
      </w:r>
      <w:proofErr w:type="gramEnd"/>
      <w:r>
        <w:rPr>
          <w:rFonts w:ascii="Arial" w:hAnsi="Arial" w:cs="Arial"/>
          <w:color w:val="000000" w:themeColor="text1"/>
          <w:sz w:val="24"/>
          <w:szCs w:val="24"/>
        </w:rPr>
        <w:t>:0-12-38655-6</w:t>
      </w:r>
    </w:p>
    <w:p w14:paraId="38593B2F" w14:textId="77777777" w:rsidR="00B94E8C" w:rsidRDefault="00AD1B3A">
      <w:pPr>
        <w:jc w:val="both"/>
        <w:rPr>
          <w:rFonts w:ascii="Arial" w:eastAsia="SimSun" w:hAnsi="Arial" w:cs="Arial"/>
          <w:color w:val="000000" w:themeColor="text1"/>
          <w:sz w:val="24"/>
          <w:szCs w:val="24"/>
          <w:shd w:val="clear" w:color="auto" w:fill="FFFFFF"/>
        </w:rPr>
      </w:pPr>
      <w:proofErr w:type="spellStart"/>
      <w:proofErr w:type="gramStart"/>
      <w:r>
        <w:rPr>
          <w:rFonts w:ascii="Arial" w:eastAsia="SimSun" w:hAnsi="Arial" w:cs="Arial"/>
          <w:color w:val="000000" w:themeColor="text1"/>
          <w:sz w:val="24"/>
          <w:szCs w:val="24"/>
          <w:shd w:val="clear" w:color="auto" w:fill="FFFFFF"/>
        </w:rPr>
        <w:t>Hudson,B</w:t>
      </w:r>
      <w:proofErr w:type="gramEnd"/>
      <w:r>
        <w:rPr>
          <w:rFonts w:ascii="Arial" w:eastAsia="SimSun" w:hAnsi="Arial" w:cs="Arial"/>
          <w:color w:val="000000" w:themeColor="text1"/>
          <w:sz w:val="24"/>
          <w:szCs w:val="24"/>
          <w:shd w:val="clear" w:color="auto" w:fill="FFFFFF"/>
        </w:rPr>
        <w:t>.D</w:t>
      </w:r>
      <w:proofErr w:type="spellEnd"/>
      <w:r>
        <w:rPr>
          <w:rFonts w:ascii="Arial" w:eastAsia="SimSun" w:hAnsi="Arial" w:cs="Arial"/>
          <w:color w:val="000000" w:themeColor="text1"/>
          <w:sz w:val="24"/>
          <w:szCs w:val="24"/>
          <w:shd w:val="clear" w:color="auto" w:fill="FFFFFF"/>
        </w:rPr>
        <w:t xml:space="preserve"> (1994). Soil organic matter and available water holding capacity. Journal of Soil and water conservation, 49,189-194</w:t>
      </w:r>
    </w:p>
    <w:p w14:paraId="52404108" w14:textId="77777777" w:rsidR="00B94E8C" w:rsidRDefault="00B94E8C">
      <w:pPr>
        <w:jc w:val="both"/>
        <w:rPr>
          <w:rFonts w:ascii="Arial" w:eastAsia="SimSun" w:hAnsi="Arial" w:cs="Arial"/>
          <w:sz w:val="24"/>
          <w:szCs w:val="24"/>
        </w:rPr>
      </w:pPr>
    </w:p>
    <w:p w14:paraId="060BAA46" w14:textId="77777777" w:rsidR="00B94E8C" w:rsidRDefault="00AD1B3A">
      <w:pPr>
        <w:jc w:val="both"/>
        <w:rPr>
          <w:rFonts w:ascii="Arial" w:hAnsi="Arial" w:cs="Arial"/>
          <w:color w:val="000000" w:themeColor="text1"/>
          <w:sz w:val="24"/>
          <w:szCs w:val="24"/>
        </w:rPr>
      </w:pPr>
      <w:r>
        <w:rPr>
          <w:rFonts w:ascii="Arial" w:eastAsia="SimSun" w:hAnsi="Arial" w:cs="Arial"/>
          <w:sz w:val="24"/>
          <w:szCs w:val="24"/>
        </w:rPr>
        <w:t xml:space="preserve">Igwe C.A </w:t>
      </w:r>
      <w:r>
        <w:rPr>
          <w:rFonts w:ascii="Arial" w:hAnsi="Arial" w:cs="Arial"/>
          <w:color w:val="000000" w:themeColor="text1"/>
          <w:sz w:val="24"/>
          <w:szCs w:val="24"/>
        </w:rPr>
        <w:t>&amp;</w:t>
      </w:r>
      <w:r>
        <w:rPr>
          <w:rFonts w:ascii="Arial" w:eastAsia="SimSun" w:hAnsi="Arial" w:cs="Arial"/>
          <w:sz w:val="24"/>
          <w:szCs w:val="24"/>
        </w:rPr>
        <w:t xml:space="preserve"> Nwokocha D. (2005). Influence of soil properties on aggregate stability of a highly degraded tropical soil in Eastern Nigeria. International </w:t>
      </w:r>
      <w:proofErr w:type="spellStart"/>
      <w:r>
        <w:rPr>
          <w:rFonts w:ascii="Arial" w:eastAsia="SimSun" w:hAnsi="Arial" w:cs="Arial"/>
          <w:sz w:val="24"/>
          <w:szCs w:val="24"/>
        </w:rPr>
        <w:t>Agro</w:t>
      </w:r>
      <w:proofErr w:type="spellEnd"/>
      <w:r>
        <w:rPr>
          <w:rFonts w:ascii="Arial" w:eastAsia="SimSun" w:hAnsi="Arial" w:cs="Arial"/>
          <w:sz w:val="24"/>
          <w:szCs w:val="24"/>
        </w:rPr>
        <w:t xml:space="preserve"> Physics, 19:131-139</w:t>
      </w:r>
    </w:p>
    <w:p w14:paraId="088FF528"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Kemper, W. D., &amp; Rosenau, R. C. (1986). Aggregate stability and size distributi</w:t>
      </w:r>
      <w:r>
        <w:rPr>
          <w:rFonts w:ascii="Arial" w:hAnsi="Arial" w:cs="Arial"/>
          <w:color w:val="000000" w:themeColor="text1"/>
        </w:rPr>
        <w:t xml:space="preserve">on. In A. Klute (Ed.), </w:t>
      </w:r>
      <w:r>
        <w:rPr>
          <w:rFonts w:ascii="Arial" w:hAnsi="Arial" w:cs="Arial"/>
          <w:i/>
          <w:iCs/>
          <w:color w:val="000000" w:themeColor="text1"/>
        </w:rPr>
        <w:t>Methods of Soil Analysis: Part 1—Physical and Mineralogical Methods</w:t>
      </w:r>
      <w:r>
        <w:rPr>
          <w:rFonts w:ascii="Arial" w:hAnsi="Arial" w:cs="Arial"/>
          <w:color w:val="000000" w:themeColor="text1"/>
        </w:rPr>
        <w:t xml:space="preserve"> (2nd ed., pp. 425–442). ASA and SSSA.</w:t>
      </w:r>
    </w:p>
    <w:p w14:paraId="15BCBC14" w14:textId="77777777" w:rsidR="00B94E8C" w:rsidRDefault="00AD1B3A">
      <w:pPr>
        <w:pStyle w:val="NormalWeb"/>
        <w:jc w:val="both"/>
        <w:rPr>
          <w:rFonts w:ascii="Arial" w:hAnsi="Arial" w:cs="Arial"/>
          <w:color w:val="000000" w:themeColor="text1"/>
        </w:rPr>
      </w:pPr>
      <w:r>
        <w:rPr>
          <w:rFonts w:ascii="Arial" w:hAnsi="Arial" w:cs="Arial"/>
          <w:color w:val="000000" w:themeColor="text1"/>
        </w:rPr>
        <w:lastRenderedPageBreak/>
        <w:t xml:space="preserve">Lal, R. (2009). Challenges and opportunities in soil organic matter research. </w:t>
      </w:r>
      <w:r>
        <w:rPr>
          <w:rStyle w:val="Emphasis"/>
          <w:rFonts w:ascii="Arial" w:hAnsi="Arial" w:cs="Arial"/>
          <w:color w:val="000000" w:themeColor="text1"/>
        </w:rPr>
        <w:t>European Journal of Soil Science</w:t>
      </w:r>
      <w:r>
        <w:rPr>
          <w:rFonts w:ascii="Arial" w:hAnsi="Arial" w:cs="Arial"/>
          <w:color w:val="000000" w:themeColor="text1"/>
        </w:rPr>
        <w:t>, 60, 158–169.</w:t>
      </w:r>
    </w:p>
    <w:p w14:paraId="0487F5C1" w14:textId="77777777" w:rsidR="00B94E8C" w:rsidRDefault="00AD1B3A">
      <w:pPr>
        <w:autoSpaceDE w:val="0"/>
        <w:autoSpaceDN w:val="0"/>
        <w:adjustRightInd w:val="0"/>
        <w:spacing w:line="360" w:lineRule="auto"/>
        <w:ind w:left="720" w:hanging="541"/>
        <w:jc w:val="both"/>
        <w:rPr>
          <w:rFonts w:ascii="Arial" w:hAnsi="Arial" w:cs="Arial"/>
          <w:color w:val="000000" w:themeColor="text1"/>
          <w:sz w:val="24"/>
          <w:szCs w:val="24"/>
        </w:rPr>
      </w:pPr>
      <w:r>
        <w:rPr>
          <w:rFonts w:ascii="Arial" w:hAnsi="Arial" w:cs="Arial"/>
          <w:color w:val="000000" w:themeColor="text1"/>
          <w:sz w:val="24"/>
          <w:szCs w:val="24"/>
        </w:rPr>
        <w:t>La</w:t>
      </w:r>
      <w:r>
        <w:rPr>
          <w:rFonts w:ascii="Arial" w:hAnsi="Arial" w:cs="Arial"/>
          <w:color w:val="000000" w:themeColor="text1"/>
          <w:sz w:val="24"/>
          <w:szCs w:val="24"/>
        </w:rPr>
        <w:t xml:space="preserve">ndon, J.R. (1991). Booker tropical soil manual: A hand book for soil </w:t>
      </w:r>
      <w:proofErr w:type="gramStart"/>
      <w:r>
        <w:rPr>
          <w:rFonts w:ascii="Arial" w:hAnsi="Arial" w:cs="Arial"/>
          <w:color w:val="000000" w:themeColor="text1"/>
          <w:sz w:val="24"/>
          <w:szCs w:val="24"/>
        </w:rPr>
        <w:t>Surveyors  and</w:t>
      </w:r>
      <w:proofErr w:type="gramEnd"/>
      <w:r>
        <w:rPr>
          <w:rFonts w:ascii="Arial" w:hAnsi="Arial" w:cs="Arial"/>
          <w:color w:val="000000" w:themeColor="text1"/>
          <w:sz w:val="24"/>
          <w:szCs w:val="24"/>
        </w:rPr>
        <w:t xml:space="preserve"> Agricultural land evaluation in the tropics, </w:t>
      </w:r>
      <w:proofErr w:type="spellStart"/>
      <w:r>
        <w:rPr>
          <w:rFonts w:ascii="Arial" w:hAnsi="Arial" w:cs="Arial"/>
          <w:color w:val="000000" w:themeColor="text1"/>
          <w:sz w:val="24"/>
          <w:szCs w:val="24"/>
        </w:rPr>
        <w:t>Paper back</w:t>
      </w:r>
      <w:proofErr w:type="spellEnd"/>
      <w:r>
        <w:rPr>
          <w:rFonts w:ascii="Arial" w:hAnsi="Arial" w:cs="Arial"/>
          <w:color w:val="000000" w:themeColor="text1"/>
          <w:sz w:val="24"/>
          <w:szCs w:val="24"/>
        </w:rPr>
        <w:t xml:space="preserve"> edition, Long man Scientific and </w:t>
      </w:r>
      <w:proofErr w:type="spellStart"/>
      <w:r>
        <w:rPr>
          <w:rFonts w:ascii="Arial" w:hAnsi="Arial" w:cs="Arial"/>
          <w:color w:val="000000" w:themeColor="text1"/>
          <w:sz w:val="24"/>
          <w:szCs w:val="24"/>
        </w:rPr>
        <w:t>Technical,U.K</w:t>
      </w:r>
      <w:proofErr w:type="spellEnd"/>
      <w:r>
        <w:rPr>
          <w:rFonts w:ascii="Arial" w:hAnsi="Arial" w:cs="Arial"/>
          <w:color w:val="000000" w:themeColor="text1"/>
          <w:sz w:val="24"/>
          <w:szCs w:val="24"/>
        </w:rPr>
        <w:t>.</w:t>
      </w:r>
    </w:p>
    <w:p w14:paraId="6EEBA036" w14:textId="77777777" w:rsidR="00B94E8C" w:rsidRDefault="00AD1B3A">
      <w:pPr>
        <w:jc w:val="both"/>
        <w:rPr>
          <w:rFonts w:ascii="Arial" w:eastAsia="serif" w:hAnsi="Arial" w:cs="Arial"/>
          <w:color w:val="000000" w:themeColor="text1"/>
          <w:sz w:val="24"/>
          <w:szCs w:val="24"/>
          <w:shd w:val="clear" w:color="auto" w:fill="FFFFFF"/>
        </w:rPr>
      </w:pPr>
      <w:r>
        <w:rPr>
          <w:rFonts w:ascii="Arial" w:eastAsia="serif" w:hAnsi="Arial" w:cs="Arial"/>
          <w:color w:val="000000" w:themeColor="text1"/>
          <w:sz w:val="24"/>
          <w:szCs w:val="24"/>
          <w:shd w:val="clear" w:color="auto" w:fill="FFFFFF"/>
        </w:rPr>
        <w:t>Liverpool-</w:t>
      </w:r>
      <w:proofErr w:type="spellStart"/>
      <w:r>
        <w:rPr>
          <w:rFonts w:ascii="Arial" w:eastAsia="serif" w:hAnsi="Arial" w:cs="Arial"/>
          <w:color w:val="000000" w:themeColor="text1"/>
          <w:sz w:val="24"/>
          <w:szCs w:val="24"/>
          <w:shd w:val="clear" w:color="auto" w:fill="FFFFFF"/>
        </w:rPr>
        <w:t>Tasie</w:t>
      </w:r>
      <w:proofErr w:type="spellEnd"/>
      <w:r>
        <w:rPr>
          <w:rFonts w:ascii="Arial" w:eastAsia="serif" w:hAnsi="Arial" w:cs="Arial"/>
          <w:color w:val="000000" w:themeColor="text1"/>
          <w:sz w:val="24"/>
          <w:szCs w:val="24"/>
          <w:shd w:val="clear" w:color="auto" w:fill="FFFFFF"/>
        </w:rPr>
        <w:t xml:space="preserve"> LSO, </w:t>
      </w:r>
      <w:proofErr w:type="spellStart"/>
      <w:r>
        <w:rPr>
          <w:rFonts w:ascii="Arial" w:eastAsia="serif" w:hAnsi="Arial" w:cs="Arial"/>
          <w:color w:val="000000" w:themeColor="text1"/>
          <w:sz w:val="24"/>
          <w:szCs w:val="24"/>
          <w:shd w:val="clear" w:color="auto" w:fill="FFFFFF"/>
        </w:rPr>
        <w:t>Omonona</w:t>
      </w:r>
      <w:proofErr w:type="spellEnd"/>
      <w:r>
        <w:rPr>
          <w:rFonts w:ascii="Arial" w:eastAsia="serif" w:hAnsi="Arial" w:cs="Arial"/>
          <w:color w:val="000000" w:themeColor="text1"/>
          <w:sz w:val="24"/>
          <w:szCs w:val="24"/>
          <w:shd w:val="clear" w:color="auto" w:fill="FFFFFF"/>
        </w:rPr>
        <w:t xml:space="preserve"> BT, Sanou A, Ogunleye W.O (2017). Is in</w:t>
      </w:r>
      <w:r>
        <w:rPr>
          <w:rFonts w:ascii="Arial" w:eastAsia="serif" w:hAnsi="Arial" w:cs="Arial"/>
          <w:color w:val="000000" w:themeColor="text1"/>
          <w:sz w:val="24"/>
          <w:szCs w:val="24"/>
          <w:shd w:val="clear" w:color="auto" w:fill="FFFFFF"/>
        </w:rPr>
        <w:t xml:space="preserve">creasing inorganic fertilizer use for maize production in SSA a profitable proposition? Evidence from Nigeria. Food Policy. </w:t>
      </w:r>
      <w:proofErr w:type="gramStart"/>
      <w:r>
        <w:rPr>
          <w:rFonts w:ascii="Arial" w:eastAsia="serif" w:hAnsi="Arial" w:cs="Arial"/>
          <w:color w:val="000000" w:themeColor="text1"/>
          <w:sz w:val="24"/>
          <w:szCs w:val="24"/>
          <w:shd w:val="clear" w:color="auto" w:fill="FFFFFF"/>
        </w:rPr>
        <w:t>;67:41</w:t>
      </w:r>
      <w:proofErr w:type="gramEnd"/>
      <w:r>
        <w:rPr>
          <w:rFonts w:ascii="Arial" w:eastAsia="serif" w:hAnsi="Arial" w:cs="Arial"/>
          <w:color w:val="000000" w:themeColor="text1"/>
          <w:sz w:val="24"/>
          <w:szCs w:val="24"/>
          <w:shd w:val="clear" w:color="auto" w:fill="FFFFFF"/>
        </w:rPr>
        <w:t>-51. </w:t>
      </w:r>
      <w:hyperlink r:id="rId24" w:history="1">
        <w:r>
          <w:rPr>
            <w:rStyle w:val="Hyperlink"/>
            <w:rFonts w:ascii="Arial" w:eastAsia="serif" w:hAnsi="Arial" w:cs="Arial"/>
            <w:color w:val="000000" w:themeColor="text1"/>
            <w:sz w:val="24"/>
            <w:szCs w:val="24"/>
            <w:shd w:val="clear" w:color="auto" w:fill="FFFFFF"/>
          </w:rPr>
          <w:t>https://doi.org/10.1016/j.foodpol.2016.09.011</w:t>
        </w:r>
      </w:hyperlink>
      <w:r>
        <w:rPr>
          <w:rFonts w:ascii="Arial" w:eastAsia="serif" w:hAnsi="Arial" w:cs="Arial"/>
          <w:color w:val="000000" w:themeColor="text1"/>
          <w:sz w:val="24"/>
          <w:szCs w:val="24"/>
          <w:shd w:val="clear" w:color="auto" w:fill="FFFFFF"/>
        </w:rPr>
        <w:t>.</w:t>
      </w:r>
    </w:p>
    <w:p w14:paraId="606E332C" w14:textId="77777777" w:rsidR="00B94E8C" w:rsidRDefault="00B94E8C">
      <w:pPr>
        <w:autoSpaceDE w:val="0"/>
        <w:autoSpaceDN w:val="0"/>
        <w:adjustRightInd w:val="0"/>
        <w:spacing w:line="480" w:lineRule="auto"/>
        <w:ind w:left="720" w:hanging="541"/>
        <w:jc w:val="both"/>
        <w:rPr>
          <w:rFonts w:ascii="Arial" w:hAnsi="Arial" w:cs="Arial"/>
          <w:color w:val="000000" w:themeColor="text1"/>
          <w:sz w:val="24"/>
          <w:szCs w:val="24"/>
        </w:rPr>
      </w:pPr>
    </w:p>
    <w:p w14:paraId="7EAE0D0D" w14:textId="77777777" w:rsidR="00B94E8C" w:rsidRDefault="00AD1B3A">
      <w:pPr>
        <w:spacing w:line="480" w:lineRule="auto"/>
        <w:ind w:left="720" w:hanging="541"/>
        <w:jc w:val="both"/>
        <w:rPr>
          <w:rFonts w:ascii="Arial" w:hAnsi="Arial" w:cs="Arial"/>
          <w:color w:val="000000" w:themeColor="text1"/>
          <w:sz w:val="24"/>
          <w:szCs w:val="24"/>
        </w:rPr>
      </w:pPr>
      <w:r>
        <w:rPr>
          <w:rFonts w:ascii="Arial" w:hAnsi="Arial" w:cs="Arial"/>
          <w:color w:val="000000" w:themeColor="text1"/>
          <w:sz w:val="24"/>
          <w:szCs w:val="24"/>
        </w:rPr>
        <w:t xml:space="preserve">Mbagwu, J.S.C., Piccolo A., &amp; </w:t>
      </w:r>
      <w:proofErr w:type="spellStart"/>
      <w:r>
        <w:rPr>
          <w:rFonts w:ascii="Arial" w:hAnsi="Arial" w:cs="Arial"/>
          <w:color w:val="000000" w:themeColor="text1"/>
          <w:sz w:val="24"/>
          <w:szCs w:val="24"/>
        </w:rPr>
        <w:t>Mbila</w:t>
      </w:r>
      <w:proofErr w:type="spellEnd"/>
      <w:r>
        <w:rPr>
          <w:rFonts w:ascii="Arial" w:hAnsi="Arial" w:cs="Arial"/>
          <w:color w:val="000000" w:themeColor="text1"/>
          <w:sz w:val="24"/>
          <w:szCs w:val="24"/>
        </w:rPr>
        <w:t xml:space="preserve"> M.O (1993). Water stability of aggregates of some tropical soils treated with humic substances. </w:t>
      </w:r>
      <w:proofErr w:type="spellStart"/>
      <w:r>
        <w:rPr>
          <w:rFonts w:ascii="Arial" w:hAnsi="Arial" w:cs="Arial"/>
          <w:color w:val="000000" w:themeColor="text1"/>
          <w:sz w:val="24"/>
          <w:szCs w:val="24"/>
        </w:rPr>
        <w:t>Pedologie</w:t>
      </w:r>
      <w:proofErr w:type="spellEnd"/>
      <w:r>
        <w:rPr>
          <w:rFonts w:ascii="Arial" w:hAnsi="Arial" w:cs="Arial"/>
          <w:color w:val="000000" w:themeColor="text1"/>
          <w:sz w:val="24"/>
          <w:szCs w:val="24"/>
        </w:rPr>
        <w:t>, Gent, XL111-2:269-28.</w:t>
      </w:r>
    </w:p>
    <w:p w14:paraId="7637A567" w14:textId="77777777" w:rsidR="00B94E8C" w:rsidRDefault="00AD1B3A">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Nelson, D. W., &amp; Sommers, L. E. (1982). Total carbon, organic carbon, and organic matter. I</w:t>
      </w:r>
      <w:r>
        <w:rPr>
          <w:rFonts w:ascii="Arial" w:hAnsi="Arial" w:cs="Arial"/>
          <w:color w:val="000000" w:themeColor="text1"/>
          <w:sz w:val="24"/>
          <w:szCs w:val="24"/>
        </w:rPr>
        <w:t>n A. L. Page, R. H. Miller, &amp; D. R. Keeney (Eds.), Methods of Soil Analysis, Part 2 (pp. 539-579). American Society of Agronomy.</w:t>
      </w:r>
    </w:p>
    <w:p w14:paraId="4FD16005" w14:textId="77777777" w:rsidR="00B94E8C" w:rsidRDefault="00AD1B3A">
      <w:pPr>
        <w:pStyle w:val="NormalWeb"/>
        <w:jc w:val="both"/>
        <w:rPr>
          <w:rFonts w:ascii="Arial" w:hAnsi="Arial" w:cs="Arial"/>
          <w:color w:val="000000" w:themeColor="text1"/>
        </w:rPr>
      </w:pPr>
      <w:proofErr w:type="spellStart"/>
      <w:r>
        <w:rPr>
          <w:rFonts w:ascii="Arial" w:hAnsi="Arial" w:cs="Arial"/>
          <w:color w:val="000000" w:themeColor="text1"/>
        </w:rPr>
        <w:t>Nwite</w:t>
      </w:r>
      <w:proofErr w:type="spellEnd"/>
      <w:r>
        <w:rPr>
          <w:rFonts w:ascii="Arial" w:hAnsi="Arial" w:cs="Arial"/>
          <w:color w:val="000000" w:themeColor="text1"/>
        </w:rPr>
        <w:t xml:space="preserve">, J. C., </w:t>
      </w:r>
      <w:proofErr w:type="spellStart"/>
      <w:r>
        <w:rPr>
          <w:rFonts w:ascii="Arial" w:hAnsi="Arial" w:cs="Arial"/>
          <w:color w:val="000000" w:themeColor="text1"/>
        </w:rPr>
        <w:t>Akubugwo</w:t>
      </w:r>
      <w:proofErr w:type="spellEnd"/>
      <w:r>
        <w:rPr>
          <w:rFonts w:ascii="Arial" w:hAnsi="Arial" w:cs="Arial"/>
          <w:color w:val="000000" w:themeColor="text1"/>
        </w:rPr>
        <w:t xml:space="preserve">, E. I., &amp; </w:t>
      </w:r>
      <w:proofErr w:type="spellStart"/>
      <w:r>
        <w:rPr>
          <w:rFonts w:ascii="Arial" w:hAnsi="Arial" w:cs="Arial"/>
          <w:color w:val="000000" w:themeColor="text1"/>
        </w:rPr>
        <w:t>Obiefuna</w:t>
      </w:r>
      <w:proofErr w:type="spellEnd"/>
      <w:r>
        <w:rPr>
          <w:rFonts w:ascii="Arial" w:hAnsi="Arial" w:cs="Arial"/>
          <w:color w:val="000000" w:themeColor="text1"/>
        </w:rPr>
        <w:t xml:space="preserve">, J. C. (2016). Soil degradation and management practices in southeastern Nigeria. </w:t>
      </w:r>
      <w:r>
        <w:rPr>
          <w:rStyle w:val="Emphasis"/>
          <w:rFonts w:ascii="Arial" w:hAnsi="Arial" w:cs="Arial"/>
          <w:color w:val="000000" w:themeColor="text1"/>
        </w:rPr>
        <w:t>Jou</w:t>
      </w:r>
      <w:r>
        <w:rPr>
          <w:rStyle w:val="Emphasis"/>
          <w:rFonts w:ascii="Arial" w:hAnsi="Arial" w:cs="Arial"/>
          <w:color w:val="000000" w:themeColor="text1"/>
        </w:rPr>
        <w:t>rnal of Soil Science and Environmental Management</w:t>
      </w:r>
      <w:r>
        <w:rPr>
          <w:rFonts w:ascii="Arial" w:hAnsi="Arial" w:cs="Arial"/>
          <w:color w:val="000000" w:themeColor="text1"/>
        </w:rPr>
        <w:t>, 7(8), 148–156.</w:t>
      </w:r>
    </w:p>
    <w:p w14:paraId="2E5D868B" w14:textId="77777777" w:rsidR="00B94E8C" w:rsidRDefault="00AD1B3A">
      <w:pPr>
        <w:pStyle w:val="NormalWeb"/>
        <w:jc w:val="both"/>
        <w:rPr>
          <w:rFonts w:ascii="Arial" w:hAnsi="Arial" w:cs="Arial"/>
          <w:color w:val="000000" w:themeColor="text1"/>
        </w:rPr>
      </w:pPr>
      <w:r>
        <w:rPr>
          <w:rFonts w:ascii="Arial" w:hAnsi="Arial" w:cs="Arial"/>
          <w:color w:val="000000" w:themeColor="text1"/>
        </w:rPr>
        <w:t xml:space="preserve">Nziguheba, G., &amp; </w:t>
      </w:r>
      <w:proofErr w:type="gramStart"/>
      <w:r>
        <w:rPr>
          <w:rFonts w:ascii="Arial" w:hAnsi="Arial" w:cs="Arial"/>
          <w:color w:val="000000" w:themeColor="text1"/>
        </w:rPr>
        <w:t>Bünemann,.</w:t>
      </w:r>
      <w:proofErr w:type="gramEnd"/>
      <w:r>
        <w:rPr>
          <w:rFonts w:ascii="Arial" w:hAnsi="Arial" w:cs="Arial"/>
          <w:color w:val="000000" w:themeColor="text1"/>
        </w:rPr>
        <w:t xml:space="preserve"> (2005). Organic phosphorus dynamics in tropical agroecosystems. 10.1079/9780851998220.0243.</w:t>
      </w:r>
    </w:p>
    <w:p w14:paraId="54FF5D75" w14:textId="77777777" w:rsidR="00B94E8C" w:rsidRDefault="00AD1B3A">
      <w:pPr>
        <w:pStyle w:val="NormalWeb"/>
        <w:jc w:val="both"/>
        <w:rPr>
          <w:rFonts w:ascii="Arial" w:hAnsi="Arial" w:cs="Arial"/>
          <w:color w:val="000000" w:themeColor="text1"/>
        </w:rPr>
      </w:pPr>
      <w:proofErr w:type="spellStart"/>
      <w:r>
        <w:rPr>
          <w:rFonts w:ascii="Arial" w:hAnsi="Arial" w:cs="Arial"/>
          <w:color w:val="000000" w:themeColor="text1"/>
        </w:rPr>
        <w:t>Ojeniyi</w:t>
      </w:r>
      <w:proofErr w:type="spellEnd"/>
      <w:r>
        <w:rPr>
          <w:rFonts w:ascii="Arial" w:hAnsi="Arial" w:cs="Arial"/>
          <w:color w:val="000000" w:themeColor="text1"/>
        </w:rPr>
        <w:t>, S. O., Olatunji, O. A., &amp; Adebisi, S. A. (2017). Effects of o</w:t>
      </w:r>
      <w:r>
        <w:rPr>
          <w:rFonts w:ascii="Arial" w:hAnsi="Arial" w:cs="Arial"/>
          <w:color w:val="000000" w:themeColor="text1"/>
        </w:rPr>
        <w:t xml:space="preserve">rganic amendments on soil aggregate stability and crop performance in southeastern Nigeria. </w:t>
      </w:r>
      <w:r>
        <w:rPr>
          <w:rStyle w:val="Emphasis"/>
          <w:rFonts w:ascii="Arial" w:hAnsi="Arial" w:cs="Arial"/>
          <w:color w:val="000000" w:themeColor="text1"/>
        </w:rPr>
        <w:t>Soil Research Journal</w:t>
      </w:r>
      <w:r>
        <w:rPr>
          <w:rFonts w:ascii="Arial" w:hAnsi="Arial" w:cs="Arial"/>
          <w:color w:val="000000" w:themeColor="text1"/>
        </w:rPr>
        <w:t>, 15(1), 23–33.</w:t>
      </w:r>
    </w:p>
    <w:p w14:paraId="63B13EF9"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Olsen, S. R., &amp; Sommers, L. E. (1982). Phosphorus. In A. L. Page (Ed.), </w:t>
      </w:r>
      <w:r>
        <w:rPr>
          <w:rFonts w:ascii="Arial" w:hAnsi="Arial" w:cs="Arial"/>
          <w:i/>
          <w:iCs/>
          <w:color w:val="000000" w:themeColor="text1"/>
        </w:rPr>
        <w:t>Methods of Soil Analysis: Part 2—Chemical and Microbiol</w:t>
      </w:r>
      <w:r>
        <w:rPr>
          <w:rFonts w:ascii="Arial" w:hAnsi="Arial" w:cs="Arial"/>
          <w:i/>
          <w:iCs/>
          <w:color w:val="000000" w:themeColor="text1"/>
        </w:rPr>
        <w:t>ogical Properties</w:t>
      </w:r>
      <w:r>
        <w:rPr>
          <w:rFonts w:ascii="Arial" w:hAnsi="Arial" w:cs="Arial"/>
          <w:color w:val="000000" w:themeColor="text1"/>
        </w:rPr>
        <w:t xml:space="preserve"> (pp. 403–430). ASA and SSSA.</w:t>
      </w:r>
    </w:p>
    <w:p w14:paraId="21C9BEC2" w14:textId="77777777" w:rsidR="00B94E8C" w:rsidRDefault="00AD1B3A">
      <w:pPr>
        <w:jc w:val="both"/>
        <w:rPr>
          <w:rFonts w:ascii="Arial" w:eastAsia="SimSun" w:hAnsi="Arial" w:cs="Arial"/>
          <w:color w:val="000000" w:themeColor="text1"/>
          <w:sz w:val="24"/>
          <w:szCs w:val="24"/>
          <w:shd w:val="clear" w:color="auto" w:fill="FFFFFF"/>
        </w:rPr>
      </w:pPr>
      <w:proofErr w:type="spellStart"/>
      <w:proofErr w:type="gramStart"/>
      <w:r>
        <w:rPr>
          <w:rFonts w:ascii="Arial" w:eastAsia="SimSun" w:hAnsi="Arial" w:cs="Arial"/>
          <w:color w:val="000000" w:themeColor="text1"/>
          <w:sz w:val="24"/>
          <w:szCs w:val="24"/>
          <w:shd w:val="clear" w:color="auto" w:fill="FFFFFF"/>
        </w:rPr>
        <w:t>Onwualu</w:t>
      </w:r>
      <w:proofErr w:type="spellEnd"/>
      <w:r>
        <w:rPr>
          <w:rFonts w:ascii="Arial" w:eastAsia="SimSun" w:hAnsi="Arial" w:cs="Arial"/>
          <w:color w:val="000000" w:themeColor="text1"/>
          <w:sz w:val="24"/>
          <w:szCs w:val="24"/>
          <w:shd w:val="clear" w:color="auto" w:fill="FFFFFF"/>
        </w:rPr>
        <w:t xml:space="preserve"> ,</w:t>
      </w:r>
      <w:proofErr w:type="gramEnd"/>
      <w:r>
        <w:rPr>
          <w:rFonts w:ascii="Arial" w:eastAsia="SimSun" w:hAnsi="Arial" w:cs="Arial"/>
          <w:color w:val="000000" w:themeColor="text1"/>
          <w:sz w:val="24"/>
          <w:szCs w:val="24"/>
          <w:shd w:val="clear" w:color="auto" w:fill="FFFFFF"/>
        </w:rPr>
        <w:t xml:space="preserve"> A.P </w:t>
      </w:r>
      <w:r>
        <w:rPr>
          <w:rFonts w:ascii="Arial" w:hAnsi="Arial" w:cs="Arial"/>
          <w:color w:val="000000" w:themeColor="text1"/>
          <w:sz w:val="24"/>
          <w:szCs w:val="24"/>
        </w:rPr>
        <w:t>&amp;</w:t>
      </w:r>
      <w:r>
        <w:rPr>
          <w:rFonts w:ascii="Arial" w:eastAsia="SimSun" w:hAnsi="Arial" w:cs="Arial"/>
          <w:color w:val="000000" w:themeColor="text1"/>
          <w:sz w:val="24"/>
          <w:szCs w:val="24"/>
          <w:shd w:val="clear" w:color="auto" w:fill="FFFFFF"/>
        </w:rPr>
        <w:t xml:space="preserve"> Ahaneku, I.E.(2001).Conservation and conventional tillage effects on soil properties and Soybean production. </w:t>
      </w:r>
      <w:proofErr w:type="spellStart"/>
      <w:r>
        <w:rPr>
          <w:rFonts w:ascii="Arial" w:eastAsia="SimSun" w:hAnsi="Arial" w:cs="Arial"/>
          <w:color w:val="000000" w:themeColor="text1"/>
          <w:sz w:val="24"/>
          <w:szCs w:val="24"/>
          <w:shd w:val="clear" w:color="auto" w:fill="FFFFFF"/>
        </w:rPr>
        <w:t>Agro</w:t>
      </w:r>
      <w:proofErr w:type="spellEnd"/>
      <w:r>
        <w:rPr>
          <w:rFonts w:ascii="Arial" w:eastAsia="SimSun" w:hAnsi="Arial" w:cs="Arial"/>
          <w:color w:val="000000" w:themeColor="text1"/>
          <w:sz w:val="24"/>
          <w:szCs w:val="24"/>
          <w:shd w:val="clear" w:color="auto" w:fill="FFFFFF"/>
        </w:rPr>
        <w:t xml:space="preserve"> Science, 2 (2):26-36</w:t>
      </w:r>
    </w:p>
    <w:p w14:paraId="53A7EC52" w14:textId="77777777" w:rsidR="00B94E8C" w:rsidRDefault="00B94E8C">
      <w:pPr>
        <w:jc w:val="both"/>
        <w:rPr>
          <w:rFonts w:ascii="Arial" w:eastAsia="SimSun" w:hAnsi="Arial" w:cs="Arial"/>
          <w:color w:val="000000" w:themeColor="text1"/>
          <w:sz w:val="24"/>
          <w:szCs w:val="24"/>
        </w:rPr>
      </w:pPr>
    </w:p>
    <w:p w14:paraId="6C21E971" w14:textId="77777777" w:rsidR="00B94E8C" w:rsidRDefault="00AD1B3A">
      <w:pPr>
        <w:jc w:val="both"/>
        <w:rPr>
          <w:rFonts w:ascii="Arial" w:eastAsia="SimSun" w:hAnsi="Arial" w:cs="Arial"/>
          <w:color w:val="000000" w:themeColor="text1"/>
          <w:sz w:val="24"/>
          <w:szCs w:val="24"/>
        </w:rPr>
      </w:pPr>
      <w:r>
        <w:rPr>
          <w:rFonts w:ascii="Arial" w:eastAsia="SimSun" w:hAnsi="Arial" w:cs="Arial"/>
          <w:color w:val="000000" w:themeColor="text1"/>
          <w:sz w:val="24"/>
          <w:szCs w:val="24"/>
        </w:rPr>
        <w:t xml:space="preserve">Ramesh P., Singh M. </w:t>
      </w:r>
      <w:r>
        <w:rPr>
          <w:rFonts w:ascii="Arial" w:hAnsi="Arial" w:cs="Arial"/>
          <w:color w:val="000000" w:themeColor="text1"/>
          <w:sz w:val="24"/>
          <w:szCs w:val="24"/>
        </w:rPr>
        <w:t>&amp;</w:t>
      </w:r>
      <w:r>
        <w:rPr>
          <w:rFonts w:ascii="Arial" w:eastAsia="SimSun" w:hAnsi="Arial" w:cs="Arial"/>
          <w:color w:val="000000" w:themeColor="text1"/>
          <w:sz w:val="24"/>
          <w:szCs w:val="24"/>
        </w:rPr>
        <w:t xml:space="preserve"> Rao A.S. (2005). Organic farming: Its relevance to the Indian context. Current Sci., 88 (4), 561-568. </w:t>
      </w:r>
      <w:hyperlink r:id="rId25" w:history="1">
        <w:r>
          <w:rPr>
            <w:rStyle w:val="Hyperlink"/>
            <w:rFonts w:ascii="Arial" w:eastAsia="SimSun" w:hAnsi="Arial" w:cs="Arial"/>
            <w:color w:val="000000" w:themeColor="text1"/>
            <w:sz w:val="24"/>
            <w:szCs w:val="24"/>
          </w:rPr>
          <w:t>https://doi.org/10.2307/24110255</w:t>
        </w:r>
      </w:hyperlink>
    </w:p>
    <w:p w14:paraId="6C058437" w14:textId="77777777" w:rsidR="00B94E8C" w:rsidRDefault="00AD1B3A">
      <w:pPr>
        <w:pStyle w:val="NormalWeb"/>
        <w:spacing w:before="120" w:beforeAutospacing="0" w:after="120" w:afterAutospacing="0" w:line="360" w:lineRule="auto"/>
        <w:jc w:val="both"/>
        <w:rPr>
          <w:rFonts w:ascii="Arial" w:eastAsia="sans-serif" w:hAnsi="Arial" w:cs="Arial"/>
          <w:color w:val="000000" w:themeColor="text1"/>
          <w:shd w:val="clear" w:color="auto" w:fill="FFFFFF"/>
        </w:rPr>
      </w:pPr>
      <w:proofErr w:type="spellStart"/>
      <w:r>
        <w:rPr>
          <w:rFonts w:ascii="Arial" w:eastAsia="sans-serif" w:hAnsi="Arial" w:cs="Arial"/>
          <w:color w:val="000000" w:themeColor="text1"/>
          <w:shd w:val="clear" w:color="auto" w:fill="FFFFFF"/>
        </w:rPr>
        <w:t>Nnabude</w:t>
      </w:r>
      <w:proofErr w:type="spellEnd"/>
      <w:r>
        <w:rPr>
          <w:rFonts w:ascii="Arial" w:eastAsia="sans-serif" w:hAnsi="Arial" w:cs="Arial"/>
          <w:color w:val="000000" w:themeColor="text1"/>
          <w:shd w:val="clear" w:color="auto" w:fill="FFFFFF"/>
        </w:rPr>
        <w:t xml:space="preserve">, P. C., &amp; Mbagwu, J. S. C. (2001). Physico-chemical properties </w:t>
      </w:r>
      <w:r>
        <w:rPr>
          <w:rFonts w:ascii="Arial" w:eastAsia="sans-serif" w:hAnsi="Arial" w:cs="Arial"/>
          <w:color w:val="000000" w:themeColor="text1"/>
          <w:shd w:val="clear" w:color="auto" w:fill="FFFFFF"/>
        </w:rPr>
        <w:t xml:space="preserve">and productivity of a degraded </w:t>
      </w:r>
      <w:proofErr w:type="spellStart"/>
      <w:r>
        <w:rPr>
          <w:rFonts w:ascii="Arial" w:eastAsia="sans-serif" w:hAnsi="Arial" w:cs="Arial"/>
          <w:color w:val="000000" w:themeColor="text1"/>
          <w:shd w:val="clear" w:color="auto" w:fill="FFFFFF"/>
        </w:rPr>
        <w:t>Ultisol</w:t>
      </w:r>
      <w:proofErr w:type="spellEnd"/>
      <w:r>
        <w:rPr>
          <w:rFonts w:ascii="Arial" w:eastAsia="sans-serif" w:hAnsi="Arial" w:cs="Arial"/>
          <w:color w:val="000000" w:themeColor="text1"/>
          <w:shd w:val="clear" w:color="auto" w:fill="FFFFFF"/>
        </w:rPr>
        <w:t xml:space="preserve"> amended with fresh and decomposed rice wastes. </w:t>
      </w:r>
      <w:r>
        <w:rPr>
          <w:rFonts w:ascii="Arial" w:eastAsia="sans-serif" w:hAnsi="Arial" w:cs="Arial"/>
          <w:i/>
          <w:iCs/>
          <w:color w:val="000000" w:themeColor="text1"/>
          <w:shd w:val="clear" w:color="auto" w:fill="FFFFFF"/>
        </w:rPr>
        <w:t>Bioresource Technology</w:t>
      </w:r>
      <w:r>
        <w:rPr>
          <w:rFonts w:ascii="Arial" w:eastAsia="sans-serif" w:hAnsi="Arial" w:cs="Arial"/>
          <w:color w:val="000000" w:themeColor="text1"/>
          <w:shd w:val="clear" w:color="auto" w:fill="FFFFFF"/>
        </w:rPr>
        <w:t>, 76(3), 265-272.</w:t>
      </w:r>
    </w:p>
    <w:p w14:paraId="2AAE2F0A" w14:textId="77777777" w:rsidR="00B94E8C" w:rsidRDefault="00AD1B3A">
      <w:pPr>
        <w:jc w:val="both"/>
        <w:rPr>
          <w:rFonts w:ascii="Arial" w:eastAsia="SimSun" w:hAnsi="Arial" w:cs="Arial"/>
          <w:color w:val="000000" w:themeColor="text1"/>
          <w:sz w:val="24"/>
          <w:szCs w:val="24"/>
        </w:rPr>
      </w:pPr>
      <w:proofErr w:type="spellStart"/>
      <w:r>
        <w:rPr>
          <w:rFonts w:ascii="Arial" w:eastAsia="Helvetica" w:hAnsi="Arial" w:cs="Arial"/>
          <w:color w:val="000000" w:themeColor="text1"/>
          <w:sz w:val="24"/>
          <w:szCs w:val="24"/>
          <w:shd w:val="clear" w:color="auto" w:fill="FFFFFF"/>
        </w:rPr>
        <w:t>Ojanuga</w:t>
      </w:r>
      <w:proofErr w:type="spellEnd"/>
      <w:r>
        <w:rPr>
          <w:rFonts w:ascii="Arial" w:eastAsia="Helvetica" w:hAnsi="Arial" w:cs="Arial"/>
          <w:color w:val="000000" w:themeColor="text1"/>
          <w:sz w:val="24"/>
          <w:szCs w:val="24"/>
          <w:shd w:val="clear" w:color="auto" w:fill="FFFFFF"/>
        </w:rPr>
        <w:t xml:space="preserve">, A.G. (2006). </w:t>
      </w:r>
      <w:proofErr w:type="spellStart"/>
      <w:r>
        <w:rPr>
          <w:rFonts w:ascii="Arial" w:eastAsia="Helvetica" w:hAnsi="Arial" w:cs="Arial"/>
          <w:color w:val="000000" w:themeColor="text1"/>
          <w:sz w:val="24"/>
          <w:szCs w:val="24"/>
          <w:shd w:val="clear" w:color="auto" w:fill="FFFFFF"/>
        </w:rPr>
        <w:t>Agro</w:t>
      </w:r>
      <w:proofErr w:type="spellEnd"/>
      <w:r>
        <w:rPr>
          <w:rFonts w:ascii="Arial" w:eastAsia="Helvetica" w:hAnsi="Arial" w:cs="Arial"/>
          <w:color w:val="000000" w:themeColor="text1"/>
          <w:sz w:val="24"/>
          <w:szCs w:val="24"/>
          <w:shd w:val="clear" w:color="auto" w:fill="FFFFFF"/>
        </w:rPr>
        <w:t xml:space="preserve"> ecological zones of Nigeria </w:t>
      </w:r>
      <w:proofErr w:type="spellStart"/>
      <w:r>
        <w:rPr>
          <w:rFonts w:ascii="Arial" w:eastAsia="Helvetica" w:hAnsi="Arial" w:cs="Arial"/>
          <w:color w:val="000000" w:themeColor="text1"/>
          <w:sz w:val="24"/>
          <w:szCs w:val="24"/>
          <w:shd w:val="clear" w:color="auto" w:fill="FFFFFF"/>
        </w:rPr>
        <w:t>Manual.In</w:t>
      </w:r>
      <w:proofErr w:type="spellEnd"/>
      <w:r>
        <w:rPr>
          <w:rFonts w:ascii="Arial" w:eastAsia="Helvetica" w:hAnsi="Arial" w:cs="Arial"/>
          <w:color w:val="000000" w:themeColor="text1"/>
          <w:sz w:val="24"/>
          <w:szCs w:val="24"/>
          <w:shd w:val="clear" w:color="auto" w:fill="FFFFFF"/>
        </w:rPr>
        <w:t xml:space="preserve">: </w:t>
      </w:r>
      <w:proofErr w:type="spellStart"/>
      <w:r>
        <w:rPr>
          <w:rFonts w:ascii="Arial" w:eastAsia="Helvetica" w:hAnsi="Arial" w:cs="Arial"/>
          <w:color w:val="000000" w:themeColor="text1"/>
          <w:sz w:val="24"/>
          <w:szCs w:val="24"/>
          <w:shd w:val="clear" w:color="auto" w:fill="FFFFFF"/>
        </w:rPr>
        <w:t>Berding</w:t>
      </w:r>
      <w:proofErr w:type="spellEnd"/>
      <w:r>
        <w:rPr>
          <w:rFonts w:ascii="Arial" w:eastAsia="Helvetica" w:hAnsi="Arial" w:cs="Arial"/>
          <w:color w:val="000000" w:themeColor="text1"/>
          <w:sz w:val="24"/>
          <w:szCs w:val="24"/>
          <w:shd w:val="clear" w:color="auto" w:fill="FFFFFF"/>
        </w:rPr>
        <w:t xml:space="preserve">, F. and </w:t>
      </w:r>
      <w:proofErr w:type="spellStart"/>
      <w:r>
        <w:rPr>
          <w:rFonts w:ascii="Arial" w:eastAsia="Helvetica" w:hAnsi="Arial" w:cs="Arial"/>
          <w:color w:val="000000" w:themeColor="text1"/>
          <w:sz w:val="24"/>
          <w:szCs w:val="24"/>
          <w:shd w:val="clear" w:color="auto" w:fill="FFFFFF"/>
        </w:rPr>
        <w:t>Chude</w:t>
      </w:r>
      <w:proofErr w:type="spellEnd"/>
      <w:r>
        <w:rPr>
          <w:rFonts w:ascii="Arial" w:eastAsia="Helvetica" w:hAnsi="Arial" w:cs="Arial"/>
          <w:color w:val="000000" w:themeColor="text1"/>
          <w:sz w:val="24"/>
          <w:szCs w:val="24"/>
          <w:shd w:val="clear" w:color="auto" w:fill="FFFFFF"/>
        </w:rPr>
        <w:t xml:space="preserve"> V.O (Eds.). National Special </w:t>
      </w:r>
      <w:proofErr w:type="spellStart"/>
      <w:r>
        <w:rPr>
          <w:rFonts w:ascii="Arial" w:eastAsia="Helvetica" w:hAnsi="Arial" w:cs="Arial"/>
          <w:color w:val="000000" w:themeColor="text1"/>
          <w:sz w:val="24"/>
          <w:szCs w:val="24"/>
          <w:shd w:val="clear" w:color="auto" w:fill="FFFFFF"/>
        </w:rPr>
        <w:t>programme</w:t>
      </w:r>
      <w:proofErr w:type="spellEnd"/>
      <w:r>
        <w:rPr>
          <w:rFonts w:ascii="Arial" w:eastAsia="Helvetica" w:hAnsi="Arial" w:cs="Arial"/>
          <w:color w:val="000000" w:themeColor="text1"/>
          <w:sz w:val="24"/>
          <w:szCs w:val="24"/>
          <w:shd w:val="clear" w:color="auto" w:fill="FFFFFF"/>
        </w:rPr>
        <w:t xml:space="preserve"> for</w:t>
      </w:r>
      <w:r>
        <w:rPr>
          <w:rFonts w:ascii="Arial" w:eastAsia="Helvetica" w:hAnsi="Arial" w:cs="Arial"/>
          <w:color w:val="000000" w:themeColor="text1"/>
          <w:sz w:val="24"/>
          <w:szCs w:val="24"/>
          <w:shd w:val="clear" w:color="auto" w:fill="FFFFFF"/>
        </w:rPr>
        <w:t xml:space="preserve"> food security (NSPFS) and FAO,124</w:t>
      </w:r>
    </w:p>
    <w:p w14:paraId="774F4C40" w14:textId="77777777" w:rsidR="00B94E8C" w:rsidRDefault="00AD1B3A">
      <w:pPr>
        <w:jc w:val="both"/>
        <w:rPr>
          <w:rFonts w:ascii="Arial" w:eastAsia="SimSun" w:hAnsi="Arial" w:cs="Arial"/>
          <w:color w:val="000000" w:themeColor="text1"/>
          <w:sz w:val="24"/>
          <w:szCs w:val="24"/>
        </w:rPr>
      </w:pPr>
      <w:proofErr w:type="spellStart"/>
      <w:r>
        <w:rPr>
          <w:rFonts w:ascii="Arial" w:eastAsia="SimSun" w:hAnsi="Arial" w:cs="Arial"/>
          <w:color w:val="000000" w:themeColor="text1"/>
          <w:sz w:val="24"/>
          <w:szCs w:val="24"/>
        </w:rPr>
        <w:t>Ojeniyi</w:t>
      </w:r>
      <w:proofErr w:type="spellEnd"/>
      <w:r>
        <w:rPr>
          <w:rFonts w:ascii="Arial" w:eastAsia="SimSun" w:hAnsi="Arial" w:cs="Arial"/>
          <w:color w:val="000000" w:themeColor="text1"/>
          <w:sz w:val="24"/>
          <w:szCs w:val="24"/>
        </w:rPr>
        <w:t xml:space="preserve">, S.O. Ikotun, </w:t>
      </w:r>
      <w:proofErr w:type="gramStart"/>
      <w:r>
        <w:rPr>
          <w:rFonts w:ascii="Arial" w:eastAsia="SimSun" w:hAnsi="Arial" w:cs="Arial"/>
          <w:color w:val="000000" w:themeColor="text1"/>
          <w:sz w:val="24"/>
          <w:szCs w:val="24"/>
        </w:rPr>
        <w:t>O.,</w:t>
      </w:r>
      <w:proofErr w:type="spellStart"/>
      <w:r>
        <w:rPr>
          <w:rFonts w:ascii="Arial" w:eastAsia="SimSun" w:hAnsi="Arial" w:cs="Arial"/>
          <w:color w:val="000000" w:themeColor="text1"/>
          <w:sz w:val="24"/>
          <w:szCs w:val="24"/>
        </w:rPr>
        <w:t>Adejoro</w:t>
      </w:r>
      <w:proofErr w:type="spellEnd"/>
      <w:proofErr w:type="gramEnd"/>
      <w:r>
        <w:rPr>
          <w:rFonts w:ascii="Arial" w:eastAsia="SimSun" w:hAnsi="Arial" w:cs="Arial"/>
          <w:color w:val="000000" w:themeColor="text1"/>
          <w:sz w:val="24"/>
          <w:szCs w:val="24"/>
        </w:rPr>
        <w:t xml:space="preserve">, S.A. </w:t>
      </w:r>
      <w:r>
        <w:rPr>
          <w:rFonts w:ascii="Arial" w:hAnsi="Arial" w:cs="Arial"/>
          <w:color w:val="000000" w:themeColor="text1"/>
          <w:sz w:val="24"/>
          <w:szCs w:val="24"/>
        </w:rPr>
        <w:t>&amp;</w:t>
      </w:r>
      <w:r>
        <w:rPr>
          <w:rFonts w:ascii="Arial" w:eastAsia="SimSun" w:hAnsi="Arial" w:cs="Arial"/>
          <w:color w:val="000000" w:themeColor="text1"/>
          <w:sz w:val="24"/>
          <w:szCs w:val="24"/>
        </w:rPr>
        <w:t xml:space="preserve"> </w:t>
      </w:r>
      <w:proofErr w:type="spellStart"/>
      <w:r>
        <w:rPr>
          <w:rFonts w:ascii="Arial" w:eastAsia="SimSun" w:hAnsi="Arial" w:cs="Arial"/>
          <w:color w:val="000000" w:themeColor="text1"/>
          <w:sz w:val="24"/>
          <w:szCs w:val="24"/>
        </w:rPr>
        <w:t>Amusan</w:t>
      </w:r>
      <w:proofErr w:type="spellEnd"/>
      <w:r>
        <w:rPr>
          <w:rFonts w:ascii="Arial" w:eastAsia="SimSun" w:hAnsi="Arial" w:cs="Arial"/>
          <w:color w:val="000000" w:themeColor="text1"/>
          <w:sz w:val="24"/>
          <w:szCs w:val="24"/>
        </w:rPr>
        <w:t xml:space="preserve"> O (2012). Soil and plant nutrients composition, growth and yield of </w:t>
      </w:r>
      <w:proofErr w:type="spellStart"/>
      <w:r>
        <w:rPr>
          <w:rFonts w:ascii="Arial" w:eastAsia="SimSun" w:hAnsi="Arial" w:cs="Arial"/>
          <w:color w:val="000000" w:themeColor="text1"/>
          <w:sz w:val="24"/>
          <w:szCs w:val="24"/>
        </w:rPr>
        <w:t>cassva</w:t>
      </w:r>
      <w:proofErr w:type="spellEnd"/>
      <w:r>
        <w:rPr>
          <w:rFonts w:ascii="Arial" w:eastAsia="SimSun" w:hAnsi="Arial" w:cs="Arial"/>
          <w:color w:val="000000" w:themeColor="text1"/>
          <w:sz w:val="24"/>
          <w:szCs w:val="24"/>
        </w:rPr>
        <w:t xml:space="preserve"> as </w:t>
      </w:r>
      <w:proofErr w:type="spellStart"/>
      <w:r>
        <w:rPr>
          <w:rFonts w:ascii="Arial" w:eastAsia="SimSun" w:hAnsi="Arial" w:cs="Arial"/>
          <w:color w:val="000000" w:themeColor="text1"/>
          <w:sz w:val="24"/>
          <w:szCs w:val="24"/>
        </w:rPr>
        <w:t>influnced</w:t>
      </w:r>
      <w:proofErr w:type="spellEnd"/>
      <w:r>
        <w:rPr>
          <w:rFonts w:ascii="Arial" w:eastAsia="SimSun" w:hAnsi="Arial" w:cs="Arial"/>
          <w:color w:val="000000" w:themeColor="text1"/>
          <w:sz w:val="24"/>
          <w:szCs w:val="24"/>
        </w:rPr>
        <w:t xml:space="preserve"> by integrated application of NPK </w:t>
      </w:r>
      <w:proofErr w:type="spellStart"/>
      <w:r>
        <w:rPr>
          <w:rFonts w:ascii="Arial" w:eastAsia="SimSun" w:hAnsi="Arial" w:cs="Arial"/>
          <w:color w:val="000000" w:themeColor="text1"/>
          <w:sz w:val="24"/>
          <w:szCs w:val="24"/>
        </w:rPr>
        <w:t>fertilzer</w:t>
      </w:r>
      <w:proofErr w:type="spellEnd"/>
      <w:r>
        <w:rPr>
          <w:rFonts w:ascii="Arial" w:eastAsia="SimSun" w:hAnsi="Arial" w:cs="Arial"/>
          <w:color w:val="000000" w:themeColor="text1"/>
          <w:sz w:val="24"/>
          <w:szCs w:val="24"/>
        </w:rPr>
        <w:t xml:space="preserve"> and poultry manure. N Y Sci. J.,5(9):62-68</w:t>
      </w:r>
      <w:r>
        <w:rPr>
          <w:rFonts w:ascii="Arial" w:eastAsia="SimSun" w:hAnsi="Arial" w:cs="Arial"/>
          <w:color w:val="000000" w:themeColor="text1"/>
          <w:sz w:val="24"/>
          <w:szCs w:val="24"/>
        </w:rPr>
        <w:t>). (ISSN:1554-0200</w:t>
      </w:r>
      <w:proofErr w:type="gramStart"/>
      <w:r>
        <w:rPr>
          <w:rFonts w:ascii="Arial" w:eastAsia="SimSun" w:hAnsi="Arial" w:cs="Arial"/>
          <w:color w:val="000000" w:themeColor="text1"/>
          <w:sz w:val="24"/>
          <w:szCs w:val="24"/>
        </w:rPr>
        <w:t>).</w:t>
      </w:r>
      <w:r>
        <w:rPr>
          <w:rFonts w:ascii="Arial" w:eastAsia="SimSun" w:hAnsi="Arial" w:cs="Arial"/>
          <w:i/>
          <w:iCs/>
          <w:color w:val="000000" w:themeColor="text1"/>
          <w:sz w:val="24"/>
          <w:szCs w:val="24"/>
        </w:rPr>
        <w:t>(</w:t>
      </w:r>
      <w:proofErr w:type="gramEnd"/>
      <w:r>
        <w:rPr>
          <w:rFonts w:ascii="Arial" w:eastAsia="SimSun" w:hAnsi="Arial" w:cs="Arial"/>
          <w:i/>
          <w:iCs/>
          <w:color w:val="000000" w:themeColor="text1"/>
          <w:sz w:val="24"/>
          <w:szCs w:val="24"/>
        </w:rPr>
        <w:t>PDF) Soil and Plant Nutrient Composition, Growth and Yield of Cassava as Influenced by Integrated Application of NPK Fertilizer and Poultry Manure</w:t>
      </w:r>
      <w:r>
        <w:rPr>
          <w:rFonts w:ascii="Arial" w:eastAsia="SimSun" w:hAnsi="Arial" w:cs="Arial"/>
          <w:color w:val="000000" w:themeColor="text1"/>
          <w:sz w:val="24"/>
          <w:szCs w:val="24"/>
        </w:rPr>
        <w:t xml:space="preserve">. Available from: </w:t>
      </w:r>
      <w:hyperlink r:id="rId26" w:anchor="fullTextFileContent" w:history="1">
        <w:r>
          <w:rPr>
            <w:rStyle w:val="Hyperlink"/>
            <w:rFonts w:ascii="Arial" w:eastAsia="SimSun" w:hAnsi="Arial" w:cs="Arial"/>
            <w:color w:val="000000" w:themeColor="text1"/>
            <w:sz w:val="24"/>
            <w:szCs w:val="24"/>
          </w:rPr>
          <w:t>https://www.researchgate.</w:t>
        </w:r>
        <w:r>
          <w:rPr>
            <w:rStyle w:val="Hyperlink"/>
            <w:rFonts w:ascii="Arial" w:eastAsia="SimSun" w:hAnsi="Arial" w:cs="Arial"/>
            <w:color w:val="000000" w:themeColor="text1"/>
            <w:sz w:val="24"/>
            <w:szCs w:val="24"/>
          </w:rPr>
          <w:t>net/publication/324828081_Soil_and_Plant_Nutrient_Composition_Growth_and_Yield_of_Cassava_as_Influenced_by_Integrated_Application_of_NPK_Fertilizer_and_Poultry_Manure#fullTextFileContent</w:t>
        </w:r>
      </w:hyperlink>
      <w:r>
        <w:rPr>
          <w:rFonts w:ascii="Arial" w:eastAsia="SimSun" w:hAnsi="Arial" w:cs="Arial"/>
          <w:color w:val="000000" w:themeColor="text1"/>
          <w:sz w:val="24"/>
          <w:szCs w:val="24"/>
        </w:rPr>
        <w:t xml:space="preserve"> [accessed online Feb 14 2026].</w:t>
      </w:r>
    </w:p>
    <w:p w14:paraId="382D273D" w14:textId="77777777" w:rsidR="00B94E8C" w:rsidRDefault="00B94E8C">
      <w:pPr>
        <w:jc w:val="both"/>
        <w:rPr>
          <w:rFonts w:ascii="Arial" w:eastAsia="SimSun" w:hAnsi="Arial" w:cs="Arial"/>
          <w:color w:val="000000" w:themeColor="text1"/>
          <w:sz w:val="24"/>
          <w:szCs w:val="24"/>
        </w:rPr>
      </w:pPr>
    </w:p>
    <w:p w14:paraId="37472FE5" w14:textId="77777777" w:rsidR="00B94E8C" w:rsidRDefault="00AD1B3A">
      <w:pPr>
        <w:jc w:val="both"/>
        <w:rPr>
          <w:rFonts w:ascii="Arial" w:hAnsi="Arial" w:cs="Arial"/>
          <w:sz w:val="24"/>
          <w:szCs w:val="24"/>
        </w:rPr>
      </w:pPr>
      <w:proofErr w:type="spellStart"/>
      <w:r>
        <w:rPr>
          <w:rFonts w:ascii="Arial" w:eastAsia="SimSun" w:hAnsi="Arial" w:cs="Arial"/>
          <w:color w:val="000000"/>
          <w:sz w:val="24"/>
          <w:szCs w:val="24"/>
          <w:lang w:eastAsia="zh-CN" w:bidi="ar"/>
        </w:rPr>
        <w:t>Onweremadu</w:t>
      </w:r>
      <w:proofErr w:type="spellEnd"/>
      <w:r>
        <w:rPr>
          <w:rFonts w:ascii="Arial" w:eastAsia="SimSun" w:hAnsi="Arial" w:cs="Arial"/>
          <w:color w:val="000000"/>
          <w:sz w:val="24"/>
          <w:szCs w:val="24"/>
          <w:lang w:eastAsia="zh-CN" w:bidi="ar"/>
        </w:rPr>
        <w:t xml:space="preserve"> </w:t>
      </w:r>
      <w:proofErr w:type="gramStart"/>
      <w:r>
        <w:rPr>
          <w:rFonts w:ascii="Arial" w:eastAsia="SimSun" w:hAnsi="Arial" w:cs="Arial"/>
          <w:color w:val="000000"/>
          <w:sz w:val="24"/>
          <w:szCs w:val="24"/>
          <w:lang w:eastAsia="zh-CN" w:bidi="ar"/>
        </w:rPr>
        <w:t>E.U</w:t>
      </w:r>
      <w:proofErr w:type="gramEnd"/>
      <w:r>
        <w:rPr>
          <w:rFonts w:ascii="Arial" w:eastAsia="SimSun" w:hAnsi="Arial" w:cs="Arial"/>
          <w:color w:val="000000"/>
          <w:sz w:val="24"/>
          <w:szCs w:val="24"/>
          <w:lang w:eastAsia="zh-CN" w:bidi="ar"/>
        </w:rPr>
        <w:t xml:space="preserve">, </w:t>
      </w:r>
      <w:proofErr w:type="spellStart"/>
      <w:r>
        <w:rPr>
          <w:rFonts w:ascii="Arial" w:eastAsia="SimSun" w:hAnsi="Arial" w:cs="Arial"/>
          <w:color w:val="000000"/>
          <w:sz w:val="24"/>
          <w:szCs w:val="24"/>
          <w:lang w:eastAsia="zh-CN" w:bidi="ar"/>
        </w:rPr>
        <w:t>Agim</w:t>
      </w:r>
      <w:proofErr w:type="spellEnd"/>
      <w:r>
        <w:rPr>
          <w:rFonts w:ascii="Arial" w:eastAsia="SimSun" w:hAnsi="Arial" w:cs="Arial"/>
          <w:color w:val="000000"/>
          <w:sz w:val="24"/>
          <w:szCs w:val="24"/>
          <w:lang w:eastAsia="zh-CN" w:bidi="ar"/>
        </w:rPr>
        <w:t xml:space="preserve"> L.C, Chukwu E.D,</w:t>
      </w:r>
      <w:r>
        <w:rPr>
          <w:rFonts w:ascii="Arial" w:eastAsia="SimSun" w:hAnsi="Arial" w:cs="Arial"/>
          <w:color w:val="000000"/>
          <w:sz w:val="24"/>
          <w:szCs w:val="24"/>
          <w:lang w:eastAsia="zh-CN" w:bidi="ar"/>
        </w:rPr>
        <w:t xml:space="preserve"> </w:t>
      </w:r>
      <w:proofErr w:type="spellStart"/>
      <w:r>
        <w:rPr>
          <w:rFonts w:ascii="Arial" w:eastAsia="SimSun" w:hAnsi="Arial" w:cs="Arial"/>
          <w:color w:val="000000"/>
          <w:sz w:val="24"/>
          <w:szCs w:val="24"/>
          <w:lang w:eastAsia="zh-CN" w:bidi="ar"/>
        </w:rPr>
        <w:t>Okoli</w:t>
      </w:r>
      <w:proofErr w:type="spellEnd"/>
      <w:r>
        <w:rPr>
          <w:rFonts w:ascii="Arial" w:eastAsia="SimSun" w:hAnsi="Arial" w:cs="Arial"/>
          <w:color w:val="000000"/>
          <w:sz w:val="24"/>
          <w:szCs w:val="24"/>
          <w:lang w:eastAsia="zh-CN" w:bidi="ar"/>
        </w:rPr>
        <w:t xml:space="preserve"> H.N </w:t>
      </w:r>
      <w:r>
        <w:rPr>
          <w:rFonts w:ascii="Arial" w:hAnsi="Arial" w:cs="Arial"/>
          <w:color w:val="000000" w:themeColor="text1"/>
          <w:sz w:val="24"/>
          <w:szCs w:val="24"/>
        </w:rPr>
        <w:t>&amp;</w:t>
      </w:r>
      <w:r>
        <w:rPr>
          <w:rFonts w:ascii="Arial" w:eastAsia="SimSun" w:hAnsi="Arial" w:cs="Arial"/>
          <w:color w:val="000000"/>
          <w:sz w:val="24"/>
          <w:szCs w:val="24"/>
          <w:lang w:eastAsia="zh-CN" w:bidi="ar"/>
        </w:rPr>
        <w:t xml:space="preserve"> </w:t>
      </w:r>
      <w:proofErr w:type="spellStart"/>
      <w:r>
        <w:rPr>
          <w:rFonts w:ascii="Arial" w:eastAsia="SimSun" w:hAnsi="Arial" w:cs="Arial"/>
          <w:color w:val="000000"/>
          <w:sz w:val="24"/>
          <w:szCs w:val="24"/>
          <w:lang w:eastAsia="zh-CN" w:bidi="ar"/>
        </w:rPr>
        <w:t>Afangide</w:t>
      </w:r>
      <w:proofErr w:type="spellEnd"/>
      <w:r>
        <w:rPr>
          <w:rFonts w:ascii="Arial" w:eastAsia="SimSun" w:hAnsi="Arial" w:cs="Arial"/>
          <w:color w:val="000000"/>
          <w:sz w:val="24"/>
          <w:szCs w:val="24"/>
          <w:lang w:eastAsia="zh-CN" w:bidi="ar"/>
        </w:rPr>
        <w:t xml:space="preserve"> I,(2021).Selected Determinants of Soil Structural Stability in Soil Profile of a Humid Tropical Environment of South Eastern Nigeria.  Futo Journal Series (</w:t>
      </w:r>
      <w:proofErr w:type="gramStart"/>
      <w:r>
        <w:rPr>
          <w:rFonts w:ascii="Arial" w:eastAsia="SimSun" w:hAnsi="Arial" w:cs="Arial"/>
          <w:color w:val="000000"/>
          <w:sz w:val="24"/>
          <w:szCs w:val="24"/>
          <w:lang w:eastAsia="zh-CN" w:bidi="ar"/>
        </w:rPr>
        <w:t>FUTOJNLS)  e</w:t>
      </w:r>
      <w:proofErr w:type="gramEnd"/>
      <w:r>
        <w:rPr>
          <w:rFonts w:ascii="Arial" w:eastAsia="SimSun" w:hAnsi="Arial" w:cs="Arial"/>
          <w:color w:val="000000"/>
          <w:sz w:val="24"/>
          <w:szCs w:val="24"/>
          <w:lang w:eastAsia="zh-CN" w:bidi="ar"/>
        </w:rPr>
        <w:t xml:space="preserve">-ISSN : 2476-8456 p-ISSN : 2467-8325 </w:t>
      </w:r>
    </w:p>
    <w:p w14:paraId="41052AC6" w14:textId="77777777" w:rsidR="00B94E8C" w:rsidRDefault="00AD1B3A">
      <w:pPr>
        <w:jc w:val="both"/>
        <w:rPr>
          <w:rFonts w:ascii="Arial" w:eastAsia="sans-serif" w:hAnsi="Arial" w:cs="Arial"/>
          <w:color w:val="000000" w:themeColor="text1"/>
          <w:sz w:val="24"/>
          <w:szCs w:val="24"/>
          <w:shd w:val="clear" w:color="auto" w:fill="FFFFFF"/>
        </w:rPr>
      </w:pPr>
      <w:r>
        <w:rPr>
          <w:rFonts w:ascii="Arial" w:eastAsia="SimSun" w:hAnsi="Arial" w:cs="Arial"/>
          <w:color w:val="000000"/>
          <w:sz w:val="24"/>
          <w:szCs w:val="24"/>
          <w:lang w:eastAsia="zh-CN" w:bidi="ar"/>
        </w:rPr>
        <w:t xml:space="preserve">Volume </w:t>
      </w:r>
      <w:proofErr w:type="gramStart"/>
      <w:r>
        <w:rPr>
          <w:rFonts w:ascii="Arial" w:eastAsia="SimSun" w:hAnsi="Arial" w:cs="Arial"/>
          <w:color w:val="000000"/>
          <w:sz w:val="24"/>
          <w:szCs w:val="24"/>
          <w:lang w:eastAsia="zh-CN" w:bidi="ar"/>
        </w:rPr>
        <w:t>7,(</w:t>
      </w:r>
      <w:proofErr w:type="gramEnd"/>
      <w:r>
        <w:rPr>
          <w:rFonts w:ascii="Arial" w:eastAsia="SimSun" w:hAnsi="Arial" w:cs="Arial"/>
          <w:color w:val="000000"/>
          <w:sz w:val="24"/>
          <w:szCs w:val="24"/>
          <w:lang w:eastAsia="zh-CN" w:bidi="ar"/>
        </w:rPr>
        <w:t>2),-50-57 .</w:t>
      </w:r>
      <w:r>
        <w:rPr>
          <w:rFonts w:ascii="Arial" w:eastAsia="SourceSansPro" w:hAnsi="Arial" w:cs="Arial"/>
          <w:color w:val="000000"/>
          <w:sz w:val="24"/>
          <w:szCs w:val="24"/>
          <w:lang w:eastAsia="zh-CN" w:bidi="ar"/>
        </w:rPr>
        <w:t xml:space="preserve"> </w:t>
      </w:r>
      <w:r>
        <w:rPr>
          <w:rFonts w:ascii="Arial" w:eastAsia="SourceSansPro" w:hAnsi="Arial" w:cs="Arial"/>
          <w:color w:val="3874A1"/>
          <w:sz w:val="24"/>
          <w:szCs w:val="24"/>
          <w:lang w:eastAsia="zh-CN" w:bidi="ar"/>
        </w:rPr>
        <w:t>https:</w:t>
      </w:r>
      <w:r>
        <w:rPr>
          <w:rFonts w:ascii="Arial" w:eastAsia="SourceSansPro" w:hAnsi="Arial" w:cs="Arial"/>
          <w:color w:val="3874A1"/>
          <w:sz w:val="24"/>
          <w:szCs w:val="24"/>
          <w:lang w:eastAsia="zh-CN" w:bidi="ar"/>
        </w:rPr>
        <w:t>//www.researchgate.net/publication/360555127</w:t>
      </w:r>
    </w:p>
    <w:p w14:paraId="7E46CBD0" w14:textId="77777777" w:rsidR="00B94E8C" w:rsidRDefault="00AD1B3A">
      <w:pPr>
        <w:pStyle w:val="NormalWeb"/>
        <w:spacing w:before="120" w:beforeAutospacing="0" w:after="120" w:afterAutospacing="0" w:line="360" w:lineRule="auto"/>
        <w:jc w:val="both"/>
        <w:rPr>
          <w:rFonts w:ascii="Arial" w:hAnsi="Arial" w:cs="Arial"/>
          <w:color w:val="000000" w:themeColor="text1"/>
        </w:rPr>
      </w:pPr>
      <w:proofErr w:type="spellStart"/>
      <w:r>
        <w:rPr>
          <w:rFonts w:ascii="Arial" w:eastAsia="sans-serif" w:hAnsi="Arial" w:cs="Arial"/>
          <w:color w:val="000000" w:themeColor="text1"/>
          <w:shd w:val="clear" w:color="auto" w:fill="FFFFFF"/>
        </w:rPr>
        <w:t>Onweremadu</w:t>
      </w:r>
      <w:proofErr w:type="spellEnd"/>
      <w:r>
        <w:rPr>
          <w:rFonts w:ascii="Arial" w:eastAsia="sans-serif" w:hAnsi="Arial" w:cs="Arial"/>
          <w:color w:val="000000" w:themeColor="text1"/>
          <w:shd w:val="clear" w:color="auto" w:fill="FFFFFF"/>
        </w:rPr>
        <w:t xml:space="preserve">, E. U., Okon, M. A., &amp; Peter, K. D. (2011). Soil organic carbon and physical properties of </w:t>
      </w:r>
      <w:proofErr w:type="spellStart"/>
      <w:r>
        <w:rPr>
          <w:rFonts w:ascii="Arial" w:eastAsia="sans-serif" w:hAnsi="Arial" w:cs="Arial"/>
          <w:color w:val="000000" w:themeColor="text1"/>
          <w:shd w:val="clear" w:color="auto" w:fill="FFFFFF"/>
        </w:rPr>
        <w:t>Ultisols</w:t>
      </w:r>
      <w:proofErr w:type="spellEnd"/>
      <w:r>
        <w:rPr>
          <w:rFonts w:ascii="Arial" w:eastAsia="sans-serif" w:hAnsi="Arial" w:cs="Arial"/>
          <w:color w:val="000000" w:themeColor="text1"/>
          <w:shd w:val="clear" w:color="auto" w:fill="FFFFFF"/>
        </w:rPr>
        <w:t xml:space="preserve"> under different management systems in Owerri, Southeastern Nigeria. </w:t>
      </w:r>
      <w:r>
        <w:rPr>
          <w:rFonts w:ascii="Arial" w:eastAsia="sans-serif" w:hAnsi="Arial" w:cs="Arial"/>
          <w:i/>
          <w:iCs/>
          <w:color w:val="000000" w:themeColor="text1"/>
          <w:shd w:val="clear" w:color="auto" w:fill="FFFFFF"/>
        </w:rPr>
        <w:t xml:space="preserve">International Journal of </w:t>
      </w:r>
      <w:r>
        <w:rPr>
          <w:rFonts w:ascii="Arial" w:eastAsia="sans-serif" w:hAnsi="Arial" w:cs="Arial"/>
          <w:i/>
          <w:iCs/>
          <w:color w:val="000000" w:themeColor="text1"/>
          <w:shd w:val="clear" w:color="auto" w:fill="FFFFFF"/>
        </w:rPr>
        <w:t>Agricultural Research</w:t>
      </w:r>
      <w:r>
        <w:rPr>
          <w:rFonts w:ascii="Arial" w:eastAsia="sans-serif" w:hAnsi="Arial" w:cs="Arial"/>
          <w:color w:val="000000" w:themeColor="text1"/>
          <w:shd w:val="clear" w:color="auto" w:fill="FFFFFF"/>
        </w:rPr>
        <w:t>, 6(12), 834-841.</w:t>
      </w:r>
    </w:p>
    <w:p w14:paraId="7D05DB40"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Soil Survey Staff. (2014). </w:t>
      </w:r>
      <w:r>
        <w:rPr>
          <w:rFonts w:ascii="Arial" w:hAnsi="Arial" w:cs="Arial"/>
          <w:i/>
          <w:iCs/>
          <w:color w:val="000000" w:themeColor="text1"/>
        </w:rPr>
        <w:t>Keys to Soil Taxonomy</w:t>
      </w:r>
      <w:r>
        <w:rPr>
          <w:rFonts w:ascii="Arial" w:hAnsi="Arial" w:cs="Arial"/>
          <w:color w:val="000000" w:themeColor="text1"/>
        </w:rPr>
        <w:t xml:space="preserve"> (12th ed.). USDA-Natural Resources Conservation Service.</w:t>
      </w:r>
    </w:p>
    <w:p w14:paraId="64B92DA5" w14:textId="77777777" w:rsidR="00B94E8C" w:rsidRDefault="00AD1B3A">
      <w:pPr>
        <w:spacing w:line="480" w:lineRule="auto"/>
        <w:ind w:left="720" w:hanging="541"/>
        <w:jc w:val="both"/>
        <w:rPr>
          <w:rFonts w:ascii="Arial" w:eastAsia="SimSun" w:hAnsi="Arial" w:cs="Arial"/>
          <w:color w:val="000000" w:themeColor="text1"/>
          <w:sz w:val="24"/>
          <w:szCs w:val="24"/>
        </w:rPr>
      </w:pPr>
      <w:proofErr w:type="spellStart"/>
      <w:r>
        <w:rPr>
          <w:rFonts w:ascii="Arial" w:eastAsia="SimSun" w:hAnsi="Arial" w:cs="Arial"/>
          <w:color w:val="000000" w:themeColor="text1"/>
          <w:sz w:val="24"/>
          <w:szCs w:val="24"/>
        </w:rPr>
        <w:t>Onwualu</w:t>
      </w:r>
      <w:proofErr w:type="spellEnd"/>
      <w:r>
        <w:rPr>
          <w:rFonts w:ascii="Arial" w:eastAsia="SimSun" w:hAnsi="Arial" w:cs="Arial"/>
          <w:color w:val="000000" w:themeColor="text1"/>
          <w:sz w:val="24"/>
          <w:szCs w:val="24"/>
        </w:rPr>
        <w:t xml:space="preserve">, </w:t>
      </w:r>
      <w:proofErr w:type="gramStart"/>
      <w:r>
        <w:rPr>
          <w:rFonts w:ascii="Arial" w:eastAsia="SimSun" w:hAnsi="Arial" w:cs="Arial"/>
          <w:color w:val="000000" w:themeColor="text1"/>
          <w:sz w:val="24"/>
          <w:szCs w:val="24"/>
        </w:rPr>
        <w:t xml:space="preserve">A.P  </w:t>
      </w:r>
      <w:r>
        <w:rPr>
          <w:rFonts w:ascii="Arial" w:hAnsi="Arial" w:cs="Arial"/>
          <w:color w:val="000000" w:themeColor="text1"/>
          <w:sz w:val="24"/>
          <w:szCs w:val="24"/>
        </w:rPr>
        <w:t>&amp;</w:t>
      </w:r>
      <w:proofErr w:type="spellStart"/>
      <w:proofErr w:type="gramEnd"/>
      <w:r>
        <w:rPr>
          <w:rFonts w:ascii="Arial" w:eastAsia="SimSun" w:hAnsi="Arial" w:cs="Arial"/>
          <w:color w:val="000000" w:themeColor="text1"/>
          <w:sz w:val="24"/>
          <w:szCs w:val="24"/>
        </w:rPr>
        <w:t>Ahaneku</w:t>
      </w:r>
      <w:proofErr w:type="spellEnd"/>
      <w:r>
        <w:rPr>
          <w:rFonts w:ascii="Arial" w:eastAsia="SimSun" w:hAnsi="Arial" w:cs="Arial"/>
          <w:color w:val="000000" w:themeColor="text1"/>
          <w:sz w:val="24"/>
          <w:szCs w:val="24"/>
        </w:rPr>
        <w:t>, I.E (2001). Conservation and conventional tillage effects on soil properties and soybea</w:t>
      </w:r>
      <w:r>
        <w:rPr>
          <w:rFonts w:ascii="Arial" w:eastAsia="SimSun" w:hAnsi="Arial" w:cs="Arial"/>
          <w:color w:val="000000" w:themeColor="text1"/>
          <w:sz w:val="24"/>
          <w:szCs w:val="24"/>
        </w:rPr>
        <w:t xml:space="preserve">n production. </w:t>
      </w:r>
      <w:proofErr w:type="spellStart"/>
      <w:r>
        <w:rPr>
          <w:rFonts w:ascii="Arial" w:eastAsia="SimSun" w:hAnsi="Arial" w:cs="Arial"/>
          <w:color w:val="000000" w:themeColor="text1"/>
          <w:sz w:val="24"/>
          <w:szCs w:val="24"/>
        </w:rPr>
        <w:t>AgroScience</w:t>
      </w:r>
      <w:proofErr w:type="spellEnd"/>
      <w:r>
        <w:rPr>
          <w:rFonts w:ascii="Arial" w:eastAsia="SimSun" w:hAnsi="Arial" w:cs="Arial"/>
          <w:color w:val="000000" w:themeColor="text1"/>
          <w:sz w:val="24"/>
          <w:szCs w:val="24"/>
        </w:rPr>
        <w:t>, 2 (2):26-36</w:t>
      </w:r>
    </w:p>
    <w:p w14:paraId="2F18F579" w14:textId="77777777" w:rsidR="00B94E8C" w:rsidRDefault="00AD1B3A">
      <w:pPr>
        <w:spacing w:line="480" w:lineRule="auto"/>
        <w:ind w:left="720" w:hanging="541"/>
        <w:jc w:val="both"/>
        <w:rPr>
          <w:rFonts w:ascii="Arial" w:hAnsi="Arial" w:cs="Arial"/>
          <w:color w:val="000000" w:themeColor="text1"/>
          <w:sz w:val="24"/>
          <w:szCs w:val="24"/>
        </w:rPr>
      </w:pPr>
      <w:r>
        <w:rPr>
          <w:rFonts w:ascii="Arial" w:hAnsi="Arial" w:cs="Arial"/>
          <w:color w:val="000000" w:themeColor="text1"/>
          <w:sz w:val="24"/>
          <w:szCs w:val="24"/>
        </w:rPr>
        <w:t xml:space="preserve">Six, J., Elliott, E. T., Paustian, K., &amp; Doran, J. W. (2004). Aggregation and soil organic matter accumulation in cultivated and native grassland soils. </w:t>
      </w:r>
      <w:r>
        <w:rPr>
          <w:rStyle w:val="Emphasis"/>
          <w:rFonts w:ascii="Arial" w:hAnsi="Arial" w:cs="Arial"/>
          <w:color w:val="000000" w:themeColor="text1"/>
          <w:sz w:val="24"/>
          <w:szCs w:val="24"/>
        </w:rPr>
        <w:t>Soil Science Society of America Journal</w:t>
      </w:r>
      <w:r>
        <w:rPr>
          <w:rFonts w:ascii="Arial" w:hAnsi="Arial" w:cs="Arial"/>
          <w:color w:val="000000" w:themeColor="text1"/>
          <w:sz w:val="24"/>
          <w:szCs w:val="24"/>
        </w:rPr>
        <w:t>, 66, 1362–1370.</w:t>
      </w:r>
    </w:p>
    <w:p w14:paraId="6B8DF753" w14:textId="77777777" w:rsidR="00B94E8C" w:rsidRDefault="00AD1B3A">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Tisdall,</w:t>
      </w:r>
      <w:r>
        <w:rPr>
          <w:rFonts w:ascii="Arial" w:hAnsi="Arial" w:cs="Arial"/>
          <w:color w:val="000000" w:themeColor="text1"/>
        </w:rPr>
        <w:t xml:space="preserve"> J. M., &amp; </w:t>
      </w:r>
      <w:proofErr w:type="spellStart"/>
      <w:r>
        <w:rPr>
          <w:rFonts w:ascii="Arial" w:hAnsi="Arial" w:cs="Arial"/>
          <w:color w:val="000000" w:themeColor="text1"/>
        </w:rPr>
        <w:t>Oades</w:t>
      </w:r>
      <w:proofErr w:type="spellEnd"/>
      <w:r>
        <w:rPr>
          <w:rFonts w:ascii="Arial" w:hAnsi="Arial" w:cs="Arial"/>
          <w:color w:val="000000" w:themeColor="text1"/>
        </w:rPr>
        <w:t xml:space="preserve">, J. M. (1982). Organic matter and water-stable aggregates in soils. </w:t>
      </w:r>
      <w:r>
        <w:rPr>
          <w:rFonts w:ascii="Arial" w:hAnsi="Arial" w:cs="Arial"/>
          <w:i/>
          <w:iCs/>
          <w:color w:val="000000" w:themeColor="text1"/>
        </w:rPr>
        <w:t>Journal of Soil Science</w:t>
      </w:r>
      <w:r>
        <w:rPr>
          <w:rFonts w:ascii="Arial" w:hAnsi="Arial" w:cs="Arial"/>
          <w:color w:val="000000" w:themeColor="text1"/>
        </w:rPr>
        <w:t xml:space="preserve">, 33(2), 141–163. </w:t>
      </w:r>
      <w:hyperlink r:id="rId27" w:history="1">
        <w:r>
          <w:rPr>
            <w:rStyle w:val="Hyperlink"/>
            <w:rFonts w:ascii="Arial" w:hAnsi="Arial" w:cs="Arial"/>
            <w:color w:val="000000" w:themeColor="text1"/>
          </w:rPr>
          <w:t>https://doi.org/10.1111/j.1365-2389.1982.tb01755.x</w:t>
        </w:r>
      </w:hyperlink>
    </w:p>
    <w:p w14:paraId="40561939" w14:textId="77777777" w:rsidR="00B94E8C" w:rsidRDefault="00AD1B3A">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 Thomas, G. W. (1982). Exchangeable cations. In A. L. Page, R. H. Miller, &amp; D. R. Keeney (Eds.), Methods of Soil Analysis, Part 2 (pp. 159-165). American Society of Agronomy.</w:t>
      </w:r>
    </w:p>
    <w:p w14:paraId="4212731A" w14:textId="77777777" w:rsidR="00B94E8C" w:rsidRDefault="00B94E8C">
      <w:pPr>
        <w:jc w:val="both"/>
        <w:rPr>
          <w:rFonts w:ascii="Arial" w:eastAsia="SimSun" w:hAnsi="Arial" w:cs="Arial"/>
          <w:color w:val="000000"/>
          <w:sz w:val="24"/>
          <w:szCs w:val="24"/>
          <w:shd w:val="clear" w:color="auto" w:fill="FEFCED"/>
        </w:rPr>
      </w:pPr>
    </w:p>
    <w:p w14:paraId="58D68CA7" w14:textId="77777777" w:rsidR="00B94E8C" w:rsidRDefault="00AD1B3A">
      <w:pPr>
        <w:jc w:val="both"/>
        <w:rPr>
          <w:rFonts w:ascii="Arial" w:eastAsia="SimSun" w:hAnsi="Arial" w:cs="Arial"/>
          <w:color w:val="000000"/>
          <w:sz w:val="24"/>
          <w:szCs w:val="24"/>
          <w:shd w:val="clear" w:color="auto" w:fill="FEFCED"/>
        </w:rPr>
      </w:pPr>
      <w:r>
        <w:rPr>
          <w:rFonts w:ascii="Arial" w:eastAsia="SimSun" w:hAnsi="Arial" w:cs="Arial"/>
          <w:sz w:val="24"/>
          <w:szCs w:val="24"/>
        </w:rPr>
        <w:t xml:space="preserve">Wang F., Tong Y.A, Zhang J.S, &amp; </w:t>
      </w:r>
      <w:proofErr w:type="spellStart"/>
      <w:r>
        <w:rPr>
          <w:rFonts w:ascii="Arial" w:eastAsia="SimSun" w:hAnsi="Arial" w:cs="Arial"/>
          <w:sz w:val="24"/>
          <w:szCs w:val="24"/>
        </w:rPr>
        <w:t>coffie</w:t>
      </w:r>
      <w:proofErr w:type="spellEnd"/>
      <w:r>
        <w:rPr>
          <w:rFonts w:ascii="Arial" w:eastAsia="SimSun" w:hAnsi="Arial" w:cs="Arial"/>
          <w:sz w:val="24"/>
          <w:szCs w:val="24"/>
        </w:rPr>
        <w:t xml:space="preserve"> J.N (2013). Effects of various organic materials on soil aggregate stability and soil microbial properties on the loess </w:t>
      </w:r>
      <w:proofErr w:type="spellStart"/>
      <w:r>
        <w:rPr>
          <w:rFonts w:ascii="Arial" w:eastAsia="SimSun" w:hAnsi="Arial" w:cs="Arial"/>
          <w:sz w:val="24"/>
          <w:szCs w:val="24"/>
        </w:rPr>
        <w:t>Plateu</w:t>
      </w:r>
      <w:proofErr w:type="spellEnd"/>
      <w:r>
        <w:rPr>
          <w:rFonts w:ascii="Arial" w:eastAsia="SimSun" w:hAnsi="Arial" w:cs="Arial"/>
          <w:sz w:val="24"/>
          <w:szCs w:val="24"/>
        </w:rPr>
        <w:t xml:space="preserve"> of China. Plant Soil Environ. 59(4) 162=168.</w:t>
      </w:r>
      <w:r>
        <w:rPr>
          <w:rFonts w:ascii="Arial" w:eastAsia="SimSun" w:hAnsi="Arial" w:cs="Arial"/>
          <w:color w:val="000000"/>
          <w:sz w:val="24"/>
          <w:szCs w:val="24"/>
          <w:shd w:val="clear" w:color="auto" w:fill="FEFCED"/>
        </w:rPr>
        <w:t>doi: 10.17221/702/2012-PSE.</w:t>
      </w:r>
    </w:p>
    <w:p w14:paraId="39DEC533" w14:textId="77777777" w:rsidR="00B94E8C" w:rsidRDefault="00B94E8C">
      <w:pPr>
        <w:pStyle w:val="Appendix"/>
        <w:spacing w:after="0"/>
        <w:jc w:val="both"/>
        <w:rPr>
          <w:rFonts w:ascii="Arial" w:hAnsi="Arial" w:cs="Arial"/>
          <w:b w:val="0"/>
        </w:rPr>
      </w:pPr>
    </w:p>
    <w:sectPr w:rsidR="00B94E8C" w:rsidSect="00410464">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0812" w14:textId="77777777" w:rsidR="00AD1B3A" w:rsidRDefault="00AD1B3A">
      <w:r>
        <w:separator/>
      </w:r>
    </w:p>
  </w:endnote>
  <w:endnote w:type="continuationSeparator" w:id="0">
    <w:p w14:paraId="79720DE9" w14:textId="77777777" w:rsidR="00AD1B3A" w:rsidRDefault="00AD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EPDYGGå¼«TimesNewRoman">
    <w:altName w:val="Segoe Print"/>
    <w:charset w:val="00"/>
    <w:family w:val="swiss"/>
    <w:pitch w:val="default"/>
    <w:sig w:usb0="00000000" w:usb1="00000000" w:usb2="00000000" w:usb3="00000000" w:csb0="00000001" w:csb1="00000000"/>
  </w:font>
  <w:font w:name="TimesNewRomanPSMT">
    <w:altName w:val="Microsoft JhengHei"/>
    <w:charset w:val="00"/>
    <w:family w:val="swiss"/>
    <w:pitch w:val="default"/>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SourceSansPro">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FF4B" w14:textId="77777777" w:rsidR="00410464" w:rsidRDefault="00410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862B" w14:textId="77777777" w:rsidR="00410464" w:rsidRDefault="00410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D5F9" w14:textId="77777777" w:rsidR="00B94E8C" w:rsidRDefault="00B94E8C">
    <w:pPr>
      <w:pStyle w:val="Footer"/>
      <w:rPr>
        <w:rFonts w:ascii="Arial" w:hAnsi="Arial" w:cs="Arial"/>
        <w:sz w:val="16"/>
      </w:rPr>
    </w:pPr>
  </w:p>
  <w:p w14:paraId="6FEF9BA1" w14:textId="77777777" w:rsidR="00B94E8C" w:rsidRDefault="00AD1B3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6325816" w14:textId="77777777" w:rsidR="00B94E8C" w:rsidRDefault="00B94E8C">
    <w:pPr>
      <w:pStyle w:val="Footer"/>
      <w:rPr>
        <w:rFonts w:ascii="Arial" w:hAnsi="Arial" w:cs="Arial"/>
        <w:sz w:val="16"/>
      </w:rPr>
    </w:pPr>
  </w:p>
  <w:p w14:paraId="646A33B5" w14:textId="77777777" w:rsidR="00B94E8C" w:rsidRDefault="00AD1B3A">
    <w:pPr>
      <w:pStyle w:val="Footer"/>
      <w:rPr>
        <w:rFonts w:ascii="Arial" w:hAnsi="Arial" w:cs="Arial"/>
        <w:i/>
        <w:sz w:val="16"/>
      </w:rPr>
    </w:pPr>
    <w:r>
      <w:rPr>
        <w:rFonts w:ascii="Arial" w:hAnsi="Arial" w:cs="Arial"/>
        <w:i/>
        <w:sz w:val="16"/>
      </w:rPr>
      <w:t>*Corresponding</w:t>
    </w:r>
    <w:r>
      <w:rPr>
        <w:rFonts w:ascii="Arial" w:hAnsi="Arial" w:cs="Arial"/>
        <w:i/>
        <w:sz w:val="16"/>
      </w:rPr>
      <w:t xml:space="preserve">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0230" w14:textId="77777777" w:rsidR="00B94E8C" w:rsidRDefault="00AD1B3A">
    <w:pPr>
      <w:pStyle w:val="Footer"/>
      <w:tabs>
        <w:tab w:val="clear" w:pos="4320"/>
        <w:tab w:val="clear" w:pos="8640"/>
        <w:tab w:val="center" w:pos="4513"/>
        <w:tab w:val="left" w:pos="7002"/>
        <w:tab w:val="right" w:pos="9026"/>
      </w:tabs>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ab/>
    </w:r>
  </w:p>
  <w:p w14:paraId="0928B3F9" w14:textId="77777777" w:rsidR="00B94E8C" w:rsidRDefault="00AD1B3A">
    <w:pPr>
      <w:pStyle w:val="Footer"/>
      <w:tabs>
        <w:tab w:val="clear" w:pos="4320"/>
        <w:tab w:val="clear" w:pos="8640"/>
        <w:tab w:val="center" w:pos="4513"/>
        <w:tab w:val="center" w:pos="6568"/>
        <w:tab w:val="right" w:pos="9026"/>
        <w:tab w:val="right" w:pos="12958"/>
      </w:tabs>
      <w:jc w:val="center"/>
    </w:pPr>
    <w:r>
      <w:t>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396734"/>
    </w:sdtPr>
    <w:sdtEndPr/>
    <w:sdtContent>
      <w:p w14:paraId="31EC4FE1" w14:textId="77777777" w:rsidR="00B94E8C" w:rsidRDefault="00AD1B3A">
        <w:pPr>
          <w:pStyle w:val="Footer"/>
          <w:tabs>
            <w:tab w:val="clear" w:pos="4320"/>
            <w:tab w:val="clear" w:pos="8640"/>
            <w:tab w:val="center" w:pos="4513"/>
            <w:tab w:val="right" w:pos="9026"/>
          </w:tabs>
          <w:jc w:val="center"/>
        </w:pPr>
        <w:r>
          <w:fldChar w:fldCharType="begin"/>
        </w:r>
        <w:r>
          <w:instrText xml:space="preserve"> PAGE   \* MERGEFORMAT </w:instrText>
        </w:r>
        <w:r>
          <w:fldChar w:fldCharType="separate"/>
        </w:r>
        <w:r>
          <w:t>42</w:t>
        </w:r>
        <w:r>
          <w:fldChar w:fldCharType="end"/>
        </w:r>
      </w:p>
    </w:sdtContent>
  </w:sdt>
  <w:p w14:paraId="51C12F4C" w14:textId="77777777" w:rsidR="00B94E8C" w:rsidRDefault="00B94E8C">
    <w:pPr>
      <w:pStyle w:val="Footer"/>
      <w:tabs>
        <w:tab w:val="clear" w:pos="4320"/>
        <w:tab w:val="clear" w:pos="8640"/>
        <w:tab w:val="center" w:pos="4513"/>
        <w:tab w:val="right" w:pos="902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3020" w14:textId="77777777" w:rsidR="00B94E8C" w:rsidRDefault="00B9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7CA0" w14:textId="77777777" w:rsidR="00AD1B3A" w:rsidRDefault="00AD1B3A">
      <w:r>
        <w:separator/>
      </w:r>
    </w:p>
  </w:footnote>
  <w:footnote w:type="continuationSeparator" w:id="0">
    <w:p w14:paraId="5025DFA5" w14:textId="77777777" w:rsidR="00AD1B3A" w:rsidRDefault="00AD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F5AE" w14:textId="27D13AB2" w:rsidR="00410464" w:rsidRDefault="00410464">
    <w:pPr>
      <w:pStyle w:val="Header"/>
    </w:pPr>
    <w:r>
      <w:rPr>
        <w:noProof/>
      </w:rPr>
      <w:pict w14:anchorId="4390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C392" w14:textId="55C4229E" w:rsidR="00410464" w:rsidRDefault="00410464">
    <w:pPr>
      <w:pStyle w:val="Header"/>
    </w:pPr>
    <w:r>
      <w:rPr>
        <w:noProof/>
      </w:rPr>
      <w:pict w14:anchorId="7212C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84.1pt;height:77.1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97EE" w14:textId="0C36F430" w:rsidR="00410464" w:rsidRDefault="00410464">
    <w:pPr>
      <w:pStyle w:val="Header"/>
    </w:pPr>
    <w:r>
      <w:rPr>
        <w:noProof/>
      </w:rPr>
      <w:pict w14:anchorId="4FC67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84.1pt;height:77.1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3DFF" w14:textId="67EF17F1" w:rsidR="00410464" w:rsidRDefault="00410464">
    <w:pPr>
      <w:pStyle w:val="Header"/>
    </w:pPr>
    <w:r>
      <w:rPr>
        <w:noProof/>
      </w:rPr>
      <w:pict w14:anchorId="70903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84.1pt;height:77.1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AB57" w14:textId="71BF95C0" w:rsidR="00410464" w:rsidRDefault="00410464">
    <w:pPr>
      <w:pStyle w:val="Header"/>
    </w:pPr>
    <w:r>
      <w:rPr>
        <w:noProof/>
      </w:rPr>
      <w:pict w14:anchorId="628A6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2046" w14:textId="24CF46C6" w:rsidR="00B94E8C" w:rsidRDefault="00410464">
    <w:pPr>
      <w:ind w:left="2160"/>
      <w:jc w:val="center"/>
      <w:rPr>
        <w:rFonts w:ascii="Times New Roman" w:eastAsia="Calibri" w:hAnsi="Times New Roman"/>
        <w:i/>
        <w:sz w:val="18"/>
        <w:szCs w:val="22"/>
      </w:rPr>
    </w:pPr>
    <w:r>
      <w:rPr>
        <w:noProof/>
      </w:rPr>
      <w:pict w14:anchorId="5C402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C7CD76" w14:textId="77777777" w:rsidR="00B94E8C" w:rsidRDefault="00AD1B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021EBE7" w14:textId="77777777" w:rsidR="00B94E8C" w:rsidRDefault="00AD1B3A">
    <w:pPr>
      <w:jc w:val="center"/>
      <w:rPr>
        <w:rFonts w:ascii="Times New Roman" w:eastAsia="Calibri" w:hAnsi="Times New Roman"/>
        <w:i/>
        <w:sz w:val="18"/>
        <w:szCs w:val="22"/>
      </w:rPr>
    </w:pPr>
    <w:r>
      <w:rPr>
        <w:rFonts w:ascii="Times New Roman" w:eastAsia="Calibri" w:hAnsi="Times New Roman"/>
        <w:i/>
        <w:sz w:val="18"/>
        <w:szCs w:val="22"/>
      </w:rPr>
      <w:t>.</w:t>
    </w:r>
  </w:p>
  <w:p w14:paraId="4063D40F" w14:textId="77777777" w:rsidR="00B94E8C" w:rsidRDefault="00AD1B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0CB26CE" w14:textId="77777777" w:rsidR="00B94E8C" w:rsidRDefault="00AD1B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C9C8122" w14:textId="77777777" w:rsidR="00B94E8C" w:rsidRDefault="00AD1B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12B617" w14:textId="77777777" w:rsidR="00B94E8C" w:rsidRDefault="00AD1B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57E1" w14:textId="4750DD5A" w:rsidR="00410464" w:rsidRDefault="00410464">
    <w:pPr>
      <w:pStyle w:val="Header"/>
    </w:pPr>
    <w:r>
      <w:rPr>
        <w:noProof/>
      </w:rPr>
      <w:pict w14:anchorId="153FB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B1A6" w14:textId="45C3288A" w:rsidR="00410464" w:rsidRDefault="00410464">
    <w:pPr>
      <w:pStyle w:val="Header"/>
    </w:pPr>
    <w:r>
      <w:rPr>
        <w:noProof/>
      </w:rPr>
      <w:pict w14:anchorId="20DC7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6A92" w14:textId="72CDA93D" w:rsidR="00410464" w:rsidRDefault="00410464">
    <w:pPr>
      <w:pStyle w:val="Header"/>
    </w:pPr>
    <w:r>
      <w:rPr>
        <w:noProof/>
      </w:rPr>
      <w:pict w14:anchorId="40896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E4F7" w14:textId="4F0920B1" w:rsidR="00410464" w:rsidRDefault="00410464">
    <w:pPr>
      <w:pStyle w:val="Header"/>
    </w:pPr>
    <w:r>
      <w:rPr>
        <w:noProof/>
      </w:rPr>
      <w:pict w14:anchorId="449CD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FAAF" w14:textId="019199BB" w:rsidR="00410464" w:rsidRDefault="00410464">
    <w:pPr>
      <w:pStyle w:val="Header"/>
    </w:pPr>
    <w:r>
      <w:rPr>
        <w:noProof/>
      </w:rPr>
      <w:pict w14:anchorId="1D708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4460" w14:textId="4C67EEA6" w:rsidR="00410464" w:rsidRDefault="00410464">
    <w:pPr>
      <w:pStyle w:val="Header"/>
    </w:pPr>
    <w:r>
      <w:rPr>
        <w:noProof/>
      </w:rPr>
      <w:pict w14:anchorId="643E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675"/>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1C2B"/>
    <w:rsid w:val="00401927"/>
    <w:rsid w:val="0041027F"/>
    <w:rsid w:val="00410464"/>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79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2B7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1B3A"/>
    <w:rsid w:val="00AE008F"/>
    <w:rsid w:val="00B01FCD"/>
    <w:rsid w:val="00B1776C"/>
    <w:rsid w:val="00B52583"/>
    <w:rsid w:val="00B52896"/>
    <w:rsid w:val="00B94E8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48EB4C38"/>
    <w:rsid w:val="4D3F0047"/>
    <w:rsid w:val="7497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26DC88EE"/>
  <w15:docId w15:val="{1BCDBE16-17F9-4087-B842-E51BD099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next w:val="Normal"/>
    <w:uiPriority w:val="9"/>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before="240" w:after="200" w:line="360" w:lineRule="auto"/>
      <w:ind w:left="420"/>
      <w:contextualSpacing/>
    </w:pPr>
    <w:rPr>
      <w:rFonts w:eastAsiaTheme="minorHAnsi"/>
      <w:sz w:val="28"/>
      <w:szCs w:val="28"/>
    </w:rPr>
  </w:style>
  <w:style w:type="paragraph" w:styleId="NoSpacing">
    <w:name w:val="No Spacing"/>
    <w:uiPriority w:val="1"/>
    <w:qFormat/>
    <w:rPr>
      <w:rFonts w:ascii="Calibri" w:eastAsia="Calibri" w:hAnsi="Calibri"/>
      <w:lang w:val="en-US" w:eastAsia="en-US"/>
    </w:rPr>
  </w:style>
  <w:style w:type="table" w:customStyle="1" w:styleId="PlainTable41">
    <w:name w:val="Plain Table 41"/>
    <w:basedOn w:val="TableNormal"/>
    <w:uiPriority w:val="44"/>
    <w:qFormat/>
    <w:rPr>
      <w:rFonts w:eastAsia="SimSu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C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researchgate.net/publication/324828081_Soil_and_Plant_Nutrient_Composition_Growth_and_Yield_of_Cassava_as_Influenced_by_Integrated_Application_of_NPK_Fertilizer_and_Poultry_Manure"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2307/2411025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foodpol.2016.09.01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doi.org/10.1007/s44279-025-00383-5" TargetMode="Externa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doi.org/10.1111/j.1365-2389.1982.tb01755.x" TargetMode="External"/><Relationship Id="rId30" Type="http://schemas.openxmlformats.org/officeDocument/2006/relationships/footer" Target="footer6.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D3AB1-C5D9-4F98-8685-2C446379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22</Pages>
  <Words>5962</Words>
  <Characters>33985</Characters>
  <Application>Microsoft Office Word</Application>
  <DocSecurity>0</DocSecurity>
  <Lines>283</Lines>
  <Paragraphs>79</Paragraphs>
  <ScaleCrop>false</ScaleCrop>
  <Company>aaaa</Company>
  <LinksUpToDate>false</LinksUpToDate>
  <CharactersWithSpaces>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2014-10-25T14:34:00Z</dcterms:created>
  <dcterms:modified xsi:type="dcterms:W3CDTF">2026-02-21T10:41:00Z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21D2693A1F3B4318A99172B97D05FC2D_13</vt:lpwstr>
  </property>
</Properties>
</file>