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7E2" w:rsidRDefault="005346AD" w:rsidP="00A463C3">
      <w:pPr>
        <w:spacing w:line="240" w:lineRule="auto"/>
        <w:jc w:val="center"/>
        <w:rPr>
          <w:rFonts w:ascii="Times New Roman" w:hAnsi="Times New Roman" w:cs="Times New Roman"/>
          <w:b/>
          <w:sz w:val="20"/>
          <w:szCs w:val="20"/>
        </w:rPr>
      </w:pPr>
      <w:r w:rsidRPr="00C41FD7">
        <w:rPr>
          <w:rFonts w:ascii="Times New Roman" w:hAnsi="Times New Roman" w:cs="Times New Roman"/>
          <w:b/>
          <w:sz w:val="20"/>
          <w:szCs w:val="20"/>
        </w:rPr>
        <w:t>EFFICACY OF ORGANIC AND INORGANIC SOIL AMENDMENTS ON THE GROWTH OF INDIGENOUS VEGETABLES: IMPLICATIONS FOR WATERSHED RESTORATION IN SOUTHEASTERN NIGERIA</w:t>
      </w:r>
    </w:p>
    <w:p w:rsidR="00FA145A" w:rsidRPr="00ED6FB7" w:rsidRDefault="00FA145A" w:rsidP="00FA145A">
      <w:pPr>
        <w:pStyle w:val="BodyText"/>
        <w:spacing w:before="1"/>
        <w:rPr>
          <w:spacing w:val="-2"/>
          <w:sz w:val="20"/>
          <w:szCs w:val="20"/>
        </w:rPr>
      </w:pPr>
      <w:bookmarkStart w:id="0" w:name="_GoBack"/>
      <w:bookmarkEnd w:id="0"/>
    </w:p>
    <w:p w:rsidR="00F04001" w:rsidRPr="00C41FD7" w:rsidRDefault="00F04001" w:rsidP="00F04001">
      <w:pPr>
        <w:spacing w:line="240" w:lineRule="auto"/>
        <w:rPr>
          <w:rFonts w:ascii="Times New Roman" w:hAnsi="Times New Roman" w:cs="Times New Roman"/>
          <w:b/>
          <w:sz w:val="20"/>
          <w:szCs w:val="20"/>
        </w:rPr>
      </w:pPr>
    </w:p>
    <w:p w:rsidR="001C27E2" w:rsidRPr="00C41FD7" w:rsidRDefault="00C82EF3" w:rsidP="00A463C3">
      <w:pPr>
        <w:spacing w:line="240" w:lineRule="auto"/>
        <w:jc w:val="both"/>
        <w:rPr>
          <w:rFonts w:ascii="Times New Roman" w:hAnsi="Times New Roman" w:cs="Times New Roman"/>
          <w:sz w:val="20"/>
          <w:szCs w:val="20"/>
        </w:rPr>
      </w:pPr>
      <w:r w:rsidRPr="00C41FD7">
        <w:rPr>
          <w:rFonts w:ascii="Times New Roman" w:hAnsi="Times New Roman" w:cs="Times New Roman"/>
          <w:b/>
          <w:sz w:val="20"/>
          <w:szCs w:val="20"/>
        </w:rPr>
        <w:t>Abstract</w:t>
      </w:r>
    </w:p>
    <w:p w:rsidR="001C27E2" w:rsidRPr="00C41FD7" w:rsidRDefault="001C27E2" w:rsidP="00A463C3">
      <w:pPr>
        <w:spacing w:line="240" w:lineRule="auto"/>
        <w:jc w:val="both"/>
        <w:rPr>
          <w:rFonts w:ascii="Times New Roman" w:hAnsi="Times New Roman" w:cs="Times New Roman"/>
          <w:sz w:val="20"/>
          <w:szCs w:val="20"/>
        </w:rPr>
      </w:pPr>
      <w:r w:rsidRPr="00C41FD7">
        <w:rPr>
          <w:rFonts w:ascii="Times New Roman" w:hAnsi="Times New Roman" w:cs="Times New Roman"/>
          <w:sz w:val="20"/>
          <w:szCs w:val="20"/>
        </w:rPr>
        <w:t xml:space="preserve">Restoring degraded watersheds requires strategies that rebuild soil fertility and promote vegetative cover. This study evaluated the effectiveness of organic (poultry manure) and inorganic (NPK 15:15:15) soil amendments in enhancing the growth of two indigenous, </w:t>
      </w:r>
      <w:r w:rsidR="005346AD" w:rsidRPr="00C41FD7">
        <w:rPr>
          <w:rFonts w:ascii="Times New Roman" w:hAnsi="Times New Roman" w:cs="Times New Roman"/>
          <w:sz w:val="20"/>
          <w:szCs w:val="20"/>
        </w:rPr>
        <w:t xml:space="preserve">nutrient-responsive vegetables; </w:t>
      </w:r>
      <w:r w:rsidRPr="00C41FD7">
        <w:rPr>
          <w:rFonts w:ascii="Times New Roman" w:hAnsi="Times New Roman" w:cs="Times New Roman"/>
          <w:i/>
          <w:sz w:val="20"/>
          <w:szCs w:val="20"/>
        </w:rPr>
        <w:t xml:space="preserve">Amaranthus </w:t>
      </w:r>
      <w:proofErr w:type="spellStart"/>
      <w:r w:rsidRPr="00C41FD7">
        <w:rPr>
          <w:rFonts w:ascii="Times New Roman" w:hAnsi="Times New Roman" w:cs="Times New Roman"/>
          <w:i/>
          <w:sz w:val="20"/>
          <w:szCs w:val="20"/>
        </w:rPr>
        <w:t>hybridus</w:t>
      </w:r>
      <w:proofErr w:type="spellEnd"/>
      <w:r w:rsidRPr="00C41FD7">
        <w:rPr>
          <w:rFonts w:ascii="Times New Roman" w:hAnsi="Times New Roman" w:cs="Times New Roman"/>
          <w:sz w:val="20"/>
          <w:szCs w:val="20"/>
        </w:rPr>
        <w:t xml:space="preserve"> L. (African </w:t>
      </w:r>
      <w:r w:rsidR="00C82EF3" w:rsidRPr="00C41FD7">
        <w:rPr>
          <w:rFonts w:ascii="Times New Roman" w:hAnsi="Times New Roman" w:cs="Times New Roman"/>
          <w:sz w:val="20"/>
          <w:szCs w:val="20"/>
        </w:rPr>
        <w:t xml:space="preserve">spinach) and </w:t>
      </w:r>
      <w:proofErr w:type="spellStart"/>
      <w:r w:rsidRPr="00C41FD7">
        <w:rPr>
          <w:rFonts w:ascii="Times New Roman" w:hAnsi="Times New Roman" w:cs="Times New Roman"/>
          <w:i/>
          <w:sz w:val="20"/>
          <w:szCs w:val="20"/>
        </w:rPr>
        <w:t>Telfairia</w:t>
      </w:r>
      <w:proofErr w:type="spellEnd"/>
      <w:r w:rsidRPr="00C41FD7">
        <w:rPr>
          <w:rFonts w:ascii="Times New Roman" w:hAnsi="Times New Roman" w:cs="Times New Roman"/>
          <w:i/>
          <w:sz w:val="20"/>
          <w:szCs w:val="20"/>
        </w:rPr>
        <w:t xml:space="preserve"> </w:t>
      </w:r>
      <w:proofErr w:type="spellStart"/>
      <w:r w:rsidRPr="00C41FD7">
        <w:rPr>
          <w:rFonts w:ascii="Times New Roman" w:hAnsi="Times New Roman" w:cs="Times New Roman"/>
          <w:i/>
          <w:sz w:val="20"/>
          <w:szCs w:val="20"/>
        </w:rPr>
        <w:t>occidentalis</w:t>
      </w:r>
      <w:proofErr w:type="spellEnd"/>
      <w:r w:rsidR="005346AD" w:rsidRPr="00C41FD7">
        <w:rPr>
          <w:rFonts w:ascii="Times New Roman" w:hAnsi="Times New Roman" w:cs="Times New Roman"/>
          <w:sz w:val="20"/>
          <w:szCs w:val="20"/>
        </w:rPr>
        <w:t xml:space="preserve"> Hook f. (fluted pumpkin), </w:t>
      </w:r>
      <w:r w:rsidRPr="00C41FD7">
        <w:rPr>
          <w:rFonts w:ascii="Times New Roman" w:hAnsi="Times New Roman" w:cs="Times New Roman"/>
          <w:sz w:val="20"/>
          <w:szCs w:val="20"/>
        </w:rPr>
        <w:t>as a potential restoration tool for degraded tropical watershed soils. A randomized block pot experiment was conducted with three treatments: poultry manure, NPK fertilizer, and an unamended control. Growth parameters (plant height, stem girth, number of leaves, leaf area) were monitored over six weeks. Results showed that both amendments significantly (p &lt; 0.05) improved all growth parameters compared to the control. NPK fertilizer produced the tallest plants for both</w:t>
      </w:r>
      <w:r w:rsidR="005346AD" w:rsidRPr="00C41FD7">
        <w:rPr>
          <w:rFonts w:ascii="Times New Roman" w:hAnsi="Times New Roman" w:cs="Times New Roman"/>
          <w:sz w:val="20"/>
          <w:szCs w:val="20"/>
        </w:rPr>
        <w:t xml:space="preserve"> </w:t>
      </w:r>
      <w:r w:rsidR="005346AD" w:rsidRPr="00C41FD7">
        <w:rPr>
          <w:rFonts w:ascii="Times New Roman" w:hAnsi="Times New Roman" w:cs="Times New Roman"/>
          <w:i/>
          <w:sz w:val="20"/>
          <w:szCs w:val="20"/>
        </w:rPr>
        <w:t xml:space="preserve">A. </w:t>
      </w:r>
      <w:proofErr w:type="spellStart"/>
      <w:r w:rsidR="005346AD" w:rsidRPr="00C41FD7">
        <w:rPr>
          <w:rFonts w:ascii="Times New Roman" w:hAnsi="Times New Roman" w:cs="Times New Roman"/>
          <w:i/>
          <w:sz w:val="20"/>
          <w:szCs w:val="20"/>
        </w:rPr>
        <w:t>hybridus</w:t>
      </w:r>
      <w:proofErr w:type="spellEnd"/>
      <w:r w:rsidR="005346AD" w:rsidRPr="00C41FD7">
        <w:rPr>
          <w:rFonts w:ascii="Times New Roman" w:hAnsi="Times New Roman" w:cs="Times New Roman"/>
          <w:sz w:val="20"/>
          <w:szCs w:val="20"/>
        </w:rPr>
        <w:t xml:space="preserve"> (104.06 cm) and </w:t>
      </w:r>
      <w:r w:rsidRPr="00C41FD7">
        <w:rPr>
          <w:rFonts w:ascii="Times New Roman" w:hAnsi="Times New Roman" w:cs="Times New Roman"/>
          <w:i/>
          <w:sz w:val="20"/>
          <w:szCs w:val="20"/>
        </w:rPr>
        <w:t xml:space="preserve">T. </w:t>
      </w:r>
      <w:proofErr w:type="spellStart"/>
      <w:r w:rsidRPr="00C41FD7">
        <w:rPr>
          <w:rFonts w:ascii="Times New Roman" w:hAnsi="Times New Roman" w:cs="Times New Roman"/>
          <w:i/>
          <w:sz w:val="20"/>
          <w:szCs w:val="20"/>
        </w:rPr>
        <w:t>occidentalis</w:t>
      </w:r>
      <w:proofErr w:type="spellEnd"/>
      <w:r w:rsidRPr="00C41FD7">
        <w:rPr>
          <w:rFonts w:ascii="Times New Roman" w:hAnsi="Times New Roman" w:cs="Times New Roman"/>
          <w:sz w:val="20"/>
          <w:szCs w:val="20"/>
        </w:rPr>
        <w:t xml:space="preserve"> (61.52 cm) and the largest leaf area. Poultry manure resulted in th</w:t>
      </w:r>
      <w:r w:rsidR="005346AD" w:rsidRPr="00C41FD7">
        <w:rPr>
          <w:rFonts w:ascii="Times New Roman" w:hAnsi="Times New Roman" w:cs="Times New Roman"/>
          <w:sz w:val="20"/>
          <w:szCs w:val="20"/>
        </w:rPr>
        <w:t xml:space="preserve">e highest number of leaves for </w:t>
      </w:r>
      <w:r w:rsidRPr="00C41FD7">
        <w:rPr>
          <w:rFonts w:ascii="Times New Roman" w:hAnsi="Times New Roman" w:cs="Times New Roman"/>
          <w:i/>
          <w:sz w:val="20"/>
          <w:szCs w:val="20"/>
        </w:rPr>
        <w:t xml:space="preserve">T. </w:t>
      </w:r>
      <w:proofErr w:type="spellStart"/>
      <w:r w:rsidRPr="00C41FD7">
        <w:rPr>
          <w:rFonts w:ascii="Times New Roman" w:hAnsi="Times New Roman" w:cs="Times New Roman"/>
          <w:i/>
          <w:sz w:val="20"/>
          <w:szCs w:val="20"/>
        </w:rPr>
        <w:t>occidentalis</w:t>
      </w:r>
      <w:proofErr w:type="spellEnd"/>
      <w:r w:rsidRPr="00C41FD7">
        <w:rPr>
          <w:rFonts w:ascii="Times New Roman" w:hAnsi="Times New Roman" w:cs="Times New Roman"/>
          <w:sz w:val="20"/>
          <w:szCs w:val="20"/>
        </w:rPr>
        <w:t xml:space="preserve"> (30.08). While NPK promoted rapid initial growth, poultry manure demonstrated robust performance in overall biomass development. The study concludes t</w:t>
      </w:r>
      <w:r w:rsidR="005346AD" w:rsidRPr="00C41FD7">
        <w:rPr>
          <w:rFonts w:ascii="Times New Roman" w:hAnsi="Times New Roman" w:cs="Times New Roman"/>
          <w:sz w:val="20"/>
          <w:szCs w:val="20"/>
        </w:rPr>
        <w:t xml:space="preserve">hat integrating both amendments </w:t>
      </w:r>
      <w:r w:rsidRPr="00C41FD7">
        <w:rPr>
          <w:rFonts w:ascii="Times New Roman" w:hAnsi="Times New Roman" w:cs="Times New Roman"/>
          <w:sz w:val="20"/>
          <w:szCs w:val="20"/>
        </w:rPr>
        <w:t>using NPK for quick initial establishment and organic m</w:t>
      </w:r>
      <w:r w:rsidR="005346AD" w:rsidRPr="00C41FD7">
        <w:rPr>
          <w:rFonts w:ascii="Times New Roman" w:hAnsi="Times New Roman" w:cs="Times New Roman"/>
          <w:sz w:val="20"/>
          <w:szCs w:val="20"/>
        </w:rPr>
        <w:t xml:space="preserve">anure for sustained soil health, </w:t>
      </w:r>
      <w:r w:rsidRPr="00C41FD7">
        <w:rPr>
          <w:rFonts w:ascii="Times New Roman" w:hAnsi="Times New Roman" w:cs="Times New Roman"/>
          <w:sz w:val="20"/>
          <w:szCs w:val="20"/>
        </w:rPr>
        <w:t>offers a promising, sustainable strategy for enhancing vegetative cover and initiating ecological recovery in degraded watersheds of southeastern Nigeria.</w:t>
      </w:r>
    </w:p>
    <w:p w:rsidR="001C27E2" w:rsidRPr="00C41FD7" w:rsidRDefault="005346AD" w:rsidP="00A463C3">
      <w:pPr>
        <w:spacing w:line="240" w:lineRule="auto"/>
        <w:jc w:val="both"/>
        <w:rPr>
          <w:rFonts w:ascii="Times New Roman" w:hAnsi="Times New Roman" w:cs="Times New Roman"/>
          <w:sz w:val="20"/>
          <w:szCs w:val="20"/>
        </w:rPr>
      </w:pPr>
      <w:r w:rsidRPr="00C41FD7">
        <w:rPr>
          <w:rFonts w:ascii="Times New Roman" w:hAnsi="Times New Roman" w:cs="Times New Roman"/>
          <w:b/>
          <w:sz w:val="20"/>
          <w:szCs w:val="20"/>
        </w:rPr>
        <w:t>Keywords</w:t>
      </w:r>
      <w:r w:rsidRPr="00C41FD7">
        <w:rPr>
          <w:rFonts w:ascii="Times New Roman" w:hAnsi="Times New Roman" w:cs="Times New Roman"/>
          <w:sz w:val="20"/>
          <w:szCs w:val="20"/>
        </w:rPr>
        <w:t>:</w:t>
      </w:r>
      <w:r w:rsidR="001C27E2" w:rsidRPr="00C41FD7">
        <w:rPr>
          <w:rFonts w:ascii="Times New Roman" w:hAnsi="Times New Roman" w:cs="Times New Roman"/>
          <w:sz w:val="20"/>
          <w:szCs w:val="20"/>
        </w:rPr>
        <w:t xml:space="preserve"> Soil restoration, P</w:t>
      </w:r>
      <w:r w:rsidRPr="00C41FD7">
        <w:rPr>
          <w:rFonts w:ascii="Times New Roman" w:hAnsi="Times New Roman" w:cs="Times New Roman"/>
          <w:sz w:val="20"/>
          <w:szCs w:val="20"/>
        </w:rPr>
        <w:t xml:space="preserve">oultry manure, NPK fertilizer, </w:t>
      </w:r>
      <w:r w:rsidR="001C27E2" w:rsidRPr="00C41FD7">
        <w:rPr>
          <w:rFonts w:ascii="Times New Roman" w:hAnsi="Times New Roman" w:cs="Times New Roman"/>
          <w:i/>
          <w:sz w:val="20"/>
          <w:szCs w:val="20"/>
        </w:rPr>
        <w:t xml:space="preserve">Amaranthus </w:t>
      </w:r>
      <w:proofErr w:type="spellStart"/>
      <w:r w:rsidR="001C27E2" w:rsidRPr="00C41FD7">
        <w:rPr>
          <w:rFonts w:ascii="Times New Roman" w:hAnsi="Times New Roman" w:cs="Times New Roman"/>
          <w:i/>
          <w:sz w:val="20"/>
          <w:szCs w:val="20"/>
        </w:rPr>
        <w:t>hybridus</w:t>
      </w:r>
      <w:proofErr w:type="spellEnd"/>
      <w:r w:rsidRPr="00C41FD7">
        <w:rPr>
          <w:rFonts w:ascii="Times New Roman" w:hAnsi="Times New Roman" w:cs="Times New Roman"/>
          <w:sz w:val="20"/>
          <w:szCs w:val="20"/>
        </w:rPr>
        <w:t xml:space="preserve">, </w:t>
      </w:r>
      <w:proofErr w:type="spellStart"/>
      <w:r w:rsidR="001C27E2" w:rsidRPr="00C41FD7">
        <w:rPr>
          <w:rFonts w:ascii="Times New Roman" w:hAnsi="Times New Roman" w:cs="Times New Roman"/>
          <w:i/>
          <w:sz w:val="20"/>
          <w:szCs w:val="20"/>
        </w:rPr>
        <w:t>Telfairia</w:t>
      </w:r>
      <w:proofErr w:type="spellEnd"/>
      <w:r w:rsidR="001C27E2" w:rsidRPr="00C41FD7">
        <w:rPr>
          <w:rFonts w:ascii="Times New Roman" w:hAnsi="Times New Roman" w:cs="Times New Roman"/>
          <w:i/>
          <w:sz w:val="20"/>
          <w:szCs w:val="20"/>
        </w:rPr>
        <w:t xml:space="preserve"> </w:t>
      </w:r>
      <w:proofErr w:type="spellStart"/>
      <w:r w:rsidR="001C27E2" w:rsidRPr="00C41FD7">
        <w:rPr>
          <w:rFonts w:ascii="Times New Roman" w:hAnsi="Times New Roman" w:cs="Times New Roman"/>
          <w:i/>
          <w:sz w:val="20"/>
          <w:szCs w:val="20"/>
        </w:rPr>
        <w:t>occidentalis</w:t>
      </w:r>
      <w:proofErr w:type="spellEnd"/>
      <w:r w:rsidR="001C27E2" w:rsidRPr="00C41FD7">
        <w:rPr>
          <w:rFonts w:ascii="Times New Roman" w:hAnsi="Times New Roman" w:cs="Times New Roman"/>
          <w:sz w:val="20"/>
          <w:szCs w:val="20"/>
        </w:rPr>
        <w:t>, Tropical soils, Ecological rehabilitation.</w:t>
      </w:r>
    </w:p>
    <w:p w:rsidR="001C27E2" w:rsidRPr="00C41FD7" w:rsidRDefault="005346AD" w:rsidP="00A463C3">
      <w:pPr>
        <w:spacing w:line="240" w:lineRule="auto"/>
        <w:jc w:val="both"/>
        <w:rPr>
          <w:rFonts w:ascii="Times New Roman" w:hAnsi="Times New Roman" w:cs="Times New Roman"/>
          <w:sz w:val="20"/>
          <w:szCs w:val="20"/>
        </w:rPr>
      </w:pPr>
      <w:r w:rsidRPr="00C41FD7">
        <w:rPr>
          <w:rFonts w:ascii="Times New Roman" w:hAnsi="Times New Roman" w:cs="Times New Roman"/>
          <w:b/>
          <w:sz w:val="20"/>
          <w:szCs w:val="20"/>
        </w:rPr>
        <w:t>1. Introduction</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Watershed restoration is the process of repairing damage to a watershed and its natural ecosystems caused by poor development choices via human activities.</w:t>
      </w:r>
      <w:r w:rsidR="006550DC">
        <w:rPr>
          <w:rFonts w:ascii="Times New Roman" w:hAnsi="Times New Roman" w:cs="Times New Roman"/>
          <w:sz w:val="20"/>
          <w:szCs w:val="20"/>
        </w:rPr>
        <w:t xml:space="preserve"> </w:t>
      </w:r>
      <w:r w:rsidRPr="00257AC1">
        <w:rPr>
          <w:rFonts w:ascii="Times New Roman" w:hAnsi="Times New Roman" w:cs="Times New Roman"/>
          <w:sz w:val="20"/>
          <w:szCs w:val="20"/>
        </w:rPr>
        <w:t xml:space="preserve">Human activities have altered </w:t>
      </w:r>
      <w:r w:rsidR="006550DC">
        <w:rPr>
          <w:rFonts w:ascii="Times New Roman" w:hAnsi="Times New Roman" w:cs="Times New Roman"/>
          <w:sz w:val="20"/>
          <w:szCs w:val="20"/>
        </w:rPr>
        <w:t>watersheds worldwide [1]</w:t>
      </w:r>
      <w:r w:rsidRPr="00257AC1">
        <w:rPr>
          <w:rFonts w:ascii="Times New Roman" w:hAnsi="Times New Roman" w:cs="Times New Roman"/>
          <w:sz w:val="20"/>
          <w:szCs w:val="20"/>
        </w:rPr>
        <w:t xml:space="preserve">. Many watersheds in Nigeria today are degraded and are in critical condition due to overexploitation. Many of these watershed forests are being widely devastated by clearance for agriculture, logging and cutting for fuels, overgrazing and badly managed road construction. Worst still, a good number of urban riverbanks in the country have become dumpsites for city garbage which make them to </w:t>
      </w:r>
      <w:r w:rsidR="006550DC">
        <w:rPr>
          <w:rFonts w:ascii="Times New Roman" w:hAnsi="Times New Roman" w:cs="Times New Roman"/>
          <w:sz w:val="20"/>
          <w:szCs w:val="20"/>
        </w:rPr>
        <w:t>have unsightly looks [2]</w:t>
      </w:r>
      <w:r w:rsidRPr="00257AC1">
        <w:rPr>
          <w:rFonts w:ascii="Times New Roman" w:hAnsi="Times New Roman" w:cs="Times New Roman"/>
          <w:sz w:val="20"/>
          <w:szCs w:val="20"/>
        </w:rPr>
        <w:t>. Watersheds in Anambra state are characterized by wanton deforestation, indiscriminate land use patt</w:t>
      </w:r>
      <w:r w:rsidR="006550DC">
        <w:rPr>
          <w:rFonts w:ascii="Times New Roman" w:hAnsi="Times New Roman" w:cs="Times New Roman"/>
          <w:sz w:val="20"/>
          <w:szCs w:val="20"/>
        </w:rPr>
        <w:t>erns and poor management [3]</w:t>
      </w:r>
      <w:r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Changes on soil surfaces at the watershed scale can influence the flow of water and nutrients to the water bodies resulting in impacts</w:t>
      </w:r>
      <w:r w:rsidR="006550DC">
        <w:rPr>
          <w:rFonts w:ascii="Times New Roman" w:hAnsi="Times New Roman" w:cs="Times New Roman"/>
          <w:sz w:val="20"/>
          <w:szCs w:val="20"/>
        </w:rPr>
        <w:t xml:space="preserve"> on stream water quality [4], [5], [6]</w:t>
      </w:r>
      <w:r w:rsidRPr="00257AC1">
        <w:rPr>
          <w:rFonts w:ascii="Times New Roman" w:hAnsi="Times New Roman" w:cs="Times New Roman"/>
          <w:sz w:val="20"/>
          <w:szCs w:val="20"/>
        </w:rPr>
        <w:t>, due to increased sedimentation, nutrient and pollutant concentrations, and modified</w:t>
      </w:r>
      <w:r w:rsidR="006550DC">
        <w:rPr>
          <w:rFonts w:ascii="Times New Roman" w:hAnsi="Times New Roman" w:cs="Times New Roman"/>
          <w:sz w:val="20"/>
          <w:szCs w:val="20"/>
        </w:rPr>
        <w:t xml:space="preserve"> hydrological patterns [7], [8]</w:t>
      </w:r>
      <w:r w:rsidRPr="00257AC1">
        <w:rPr>
          <w:rFonts w:ascii="Times New Roman" w:hAnsi="Times New Roman" w:cs="Times New Roman"/>
          <w:sz w:val="20"/>
          <w:szCs w:val="20"/>
        </w:rPr>
        <w:t>. However, these effects can be modulated by the riparian corridor at local scales, so that the characteristics of the riparian zone influence surface runoff, stream-bank erosion, sedimentation, nutrient and pollutant transport, as well as environment conditions for the aquatic</w:t>
      </w:r>
      <w:r w:rsidR="006550DC">
        <w:rPr>
          <w:rFonts w:ascii="Times New Roman" w:hAnsi="Times New Roman" w:cs="Times New Roman"/>
          <w:sz w:val="20"/>
          <w:szCs w:val="20"/>
        </w:rPr>
        <w:t xml:space="preserve"> biological communities [9], [10]</w:t>
      </w:r>
      <w:r w:rsidRPr="00257AC1">
        <w:rPr>
          <w:rFonts w:ascii="Times New Roman" w:hAnsi="Times New Roman" w:cs="Times New Roman"/>
          <w:sz w:val="20"/>
          <w:szCs w:val="20"/>
        </w:rPr>
        <w:t>. Several studies found that both factors at the watershed scale and at the riparian corridor scale ca</w:t>
      </w:r>
      <w:r w:rsidR="000371C2">
        <w:rPr>
          <w:rFonts w:ascii="Times New Roman" w:hAnsi="Times New Roman" w:cs="Times New Roman"/>
          <w:sz w:val="20"/>
          <w:szCs w:val="20"/>
        </w:rPr>
        <w:t>n influence structural [11], [12]</w:t>
      </w:r>
      <w:r w:rsidRPr="00257AC1">
        <w:rPr>
          <w:rFonts w:ascii="Times New Roman" w:hAnsi="Times New Roman" w:cs="Times New Roman"/>
          <w:sz w:val="20"/>
          <w:szCs w:val="20"/>
        </w:rPr>
        <w:t xml:space="preserve"> and f</w:t>
      </w:r>
      <w:r w:rsidR="000371C2">
        <w:rPr>
          <w:rFonts w:ascii="Times New Roman" w:hAnsi="Times New Roman" w:cs="Times New Roman"/>
          <w:sz w:val="20"/>
          <w:szCs w:val="20"/>
        </w:rPr>
        <w:t>unctional variables [13], [14], [15]</w:t>
      </w:r>
      <w:r w:rsidRPr="00257AC1">
        <w:rPr>
          <w:rFonts w:ascii="Times New Roman" w:hAnsi="Times New Roman" w:cs="Times New Roman"/>
          <w:sz w:val="20"/>
          <w:szCs w:val="20"/>
        </w:rPr>
        <w:t xml:space="preserve"> of lotic ecosystems. Participatory approaches and community watershed management plans have been widely used, with varying success to reconcile the overlay of human activities on natura</w:t>
      </w:r>
      <w:r w:rsidR="000371C2">
        <w:rPr>
          <w:rFonts w:ascii="Times New Roman" w:hAnsi="Times New Roman" w:cs="Times New Roman"/>
          <w:sz w:val="20"/>
          <w:szCs w:val="20"/>
        </w:rPr>
        <w:t>lly defined watershed [16]</w:t>
      </w:r>
      <w:r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Restoration projects include;</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Excavating fill from watersheds/wetlands. Many watersheds are filled with rocks and debris. Removing the fills provides more storage for storm water while creating habitat for wildlife, birds and amphibians.</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Replanting/Revegetation. The local structure of riparian forests can influence the availability of coarse particulate organic matte</w:t>
      </w:r>
      <w:r w:rsidR="00FE2005">
        <w:rPr>
          <w:rFonts w:ascii="Times New Roman" w:hAnsi="Times New Roman" w:cs="Times New Roman"/>
          <w:sz w:val="20"/>
          <w:szCs w:val="20"/>
        </w:rPr>
        <w:t>r, leaf breakdown rates [15]</w:t>
      </w:r>
      <w:r w:rsidRPr="00257AC1">
        <w:rPr>
          <w:rFonts w:ascii="Times New Roman" w:hAnsi="Times New Roman" w:cs="Times New Roman"/>
          <w:sz w:val="20"/>
          <w:szCs w:val="20"/>
        </w:rPr>
        <w:t xml:space="preserve"> and characteris</w:t>
      </w:r>
      <w:r w:rsidR="00FE2005">
        <w:rPr>
          <w:rFonts w:ascii="Times New Roman" w:hAnsi="Times New Roman" w:cs="Times New Roman"/>
          <w:sz w:val="20"/>
          <w:szCs w:val="20"/>
        </w:rPr>
        <w:t>tics of stream water [17]</w:t>
      </w:r>
      <w:r w:rsidRPr="00257AC1">
        <w:rPr>
          <w:rFonts w:ascii="Times New Roman" w:hAnsi="Times New Roman" w:cs="Times New Roman"/>
          <w:sz w:val="20"/>
          <w:szCs w:val="20"/>
        </w:rPr>
        <w:t>. Replanting wetlands and stream banks to provide shade, plant diversity and habitat for wildlife. Plants provide habitat, soak up rain, cool and clean the air and water and provide food for fish and wildlife. Restoration always involves revegetation; the process of removing nuisance and invasive plants and replanting with native trees, shrubs and groundwater. Reforestation will produce wood and sequester carbon. Indirectly, reforestation can also reduce a range of negative environmental externalities attributed to existing farming systems, such as damage to waterways by siltation from erosion and eutrophication fro</w:t>
      </w:r>
      <w:r w:rsidR="00FE2005">
        <w:rPr>
          <w:rFonts w:ascii="Times New Roman" w:hAnsi="Times New Roman" w:cs="Times New Roman"/>
          <w:sz w:val="20"/>
          <w:szCs w:val="20"/>
        </w:rPr>
        <w:t>m runoff of nutrients [18]</w:t>
      </w:r>
      <w:r w:rsidRPr="00257AC1">
        <w:rPr>
          <w:rFonts w:ascii="Times New Roman" w:hAnsi="Times New Roman" w:cs="Times New Roman"/>
          <w:sz w:val="20"/>
          <w:szCs w:val="20"/>
        </w:rPr>
        <w:t xml:space="preserve">. According to Nweke </w:t>
      </w:r>
      <w:r w:rsidRPr="00257AC1">
        <w:rPr>
          <w:rFonts w:ascii="Times New Roman" w:hAnsi="Times New Roman" w:cs="Times New Roman"/>
          <w:i/>
          <w:sz w:val="20"/>
          <w:szCs w:val="20"/>
        </w:rPr>
        <w:t xml:space="preserve">et </w:t>
      </w:r>
      <w:proofErr w:type="gramStart"/>
      <w:r w:rsidRPr="00257AC1">
        <w:rPr>
          <w:rFonts w:ascii="Times New Roman" w:hAnsi="Times New Roman" w:cs="Times New Roman"/>
          <w:i/>
          <w:sz w:val="20"/>
          <w:szCs w:val="20"/>
        </w:rPr>
        <w:t>al</w:t>
      </w:r>
      <w:r w:rsidR="00FE2005">
        <w:rPr>
          <w:rFonts w:ascii="Times New Roman" w:hAnsi="Times New Roman" w:cs="Times New Roman"/>
          <w:sz w:val="20"/>
          <w:szCs w:val="20"/>
        </w:rPr>
        <w:t xml:space="preserve"> .</w:t>
      </w:r>
      <w:proofErr w:type="gramEnd"/>
      <w:r w:rsidR="00FE2005">
        <w:rPr>
          <w:rFonts w:ascii="Times New Roman" w:hAnsi="Times New Roman" w:cs="Times New Roman"/>
          <w:sz w:val="20"/>
          <w:szCs w:val="20"/>
        </w:rPr>
        <w:t xml:space="preserve"> [19]</w:t>
      </w:r>
      <w:r w:rsidRPr="00257AC1">
        <w:rPr>
          <w:rFonts w:ascii="Times New Roman" w:hAnsi="Times New Roman" w:cs="Times New Roman"/>
          <w:sz w:val="20"/>
          <w:szCs w:val="20"/>
        </w:rPr>
        <w:t>, information on fas</w:t>
      </w:r>
      <w:r w:rsidR="00FE2005">
        <w:rPr>
          <w:rFonts w:ascii="Times New Roman" w:hAnsi="Times New Roman" w:cs="Times New Roman"/>
          <w:sz w:val="20"/>
          <w:szCs w:val="20"/>
        </w:rPr>
        <w:t xml:space="preserve">t growing nitrogen fixing trees </w:t>
      </w:r>
      <w:r w:rsidRPr="00257AC1">
        <w:rPr>
          <w:rFonts w:ascii="Times New Roman" w:hAnsi="Times New Roman" w:cs="Times New Roman"/>
          <w:sz w:val="20"/>
          <w:szCs w:val="20"/>
        </w:rPr>
        <w:t xml:space="preserve">and shrubs that can be pruned </w:t>
      </w:r>
      <w:r w:rsidRPr="00257AC1">
        <w:rPr>
          <w:rFonts w:ascii="Times New Roman" w:hAnsi="Times New Roman" w:cs="Times New Roman"/>
          <w:sz w:val="20"/>
          <w:szCs w:val="20"/>
        </w:rPr>
        <w:lastRenderedPageBreak/>
        <w:t>continuously and provide mulch or manure even in dry season to reclaim the fertility of the degraded land have bee</w:t>
      </w:r>
      <w:r w:rsidR="00FE2005">
        <w:rPr>
          <w:rFonts w:ascii="Times New Roman" w:hAnsi="Times New Roman" w:cs="Times New Roman"/>
          <w:sz w:val="20"/>
          <w:szCs w:val="20"/>
        </w:rPr>
        <w:t>n propounded by NAS [20], [21]</w:t>
      </w:r>
      <w:r w:rsidRPr="00257AC1">
        <w:rPr>
          <w:rFonts w:ascii="Times New Roman" w:hAnsi="Times New Roman" w:cs="Times New Roman"/>
          <w:sz w:val="20"/>
          <w:szCs w:val="20"/>
        </w:rPr>
        <w:t>.</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Restructuring a stream channel to remove development like buildings built next to the stream or in the floodplain and prior attempts to control its flow.</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Removing buildings or streets from a floodplain to give a stream space to spread out and reduce downstream flooding.</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Removing culverts or other structures that constrict stream flow and cause water temperature to rise or block fish from swimming through.</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Creating backwater channels or ponds to create habitat for fish and wildlife.</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Restoration projects require an integrated approach combining hydrological, biological and social considerations. Human activities </w:t>
      </w:r>
      <w:proofErr w:type="gramStart"/>
      <w:r w:rsidRPr="00257AC1">
        <w:rPr>
          <w:rFonts w:ascii="Times New Roman" w:hAnsi="Times New Roman" w:cs="Times New Roman"/>
          <w:sz w:val="20"/>
          <w:szCs w:val="20"/>
        </w:rPr>
        <w:t>has</w:t>
      </w:r>
      <w:proofErr w:type="gramEnd"/>
      <w:r w:rsidRPr="00257AC1">
        <w:rPr>
          <w:rFonts w:ascii="Times New Roman" w:hAnsi="Times New Roman" w:cs="Times New Roman"/>
          <w:sz w:val="20"/>
          <w:szCs w:val="20"/>
        </w:rPr>
        <w:t xml:space="preserve"> carved up and fragmented many of the natural vegetation patterns that formerly covered our watersheds. However, without human influence, vegetation patterns would not be uniform due to different vegetation communities arising from different environmental conditions and events. At the larger spatial scales, differences between watersheds can influence the biological communities, but that combined effects of environmental changes at the riparian corridor scale can determine the final compositi</w:t>
      </w:r>
      <w:r w:rsidR="004B6B70">
        <w:rPr>
          <w:rFonts w:ascii="Times New Roman" w:hAnsi="Times New Roman" w:cs="Times New Roman"/>
          <w:sz w:val="20"/>
          <w:szCs w:val="20"/>
        </w:rPr>
        <w:t>on of these communities [22]</w:t>
      </w:r>
      <w:r w:rsidRPr="00257AC1">
        <w:rPr>
          <w:rFonts w:ascii="Times New Roman" w:hAnsi="Times New Roman" w:cs="Times New Roman"/>
          <w:sz w:val="20"/>
          <w:szCs w:val="20"/>
        </w:rPr>
        <w:t xml:space="preserve">. </w:t>
      </w:r>
    </w:p>
    <w:p w:rsidR="00BE110A" w:rsidRPr="00257AC1" w:rsidRDefault="00BE110A" w:rsidP="00BE110A">
      <w:pPr>
        <w:spacing w:line="240" w:lineRule="auto"/>
        <w:jc w:val="both"/>
        <w:rPr>
          <w:rFonts w:ascii="Times New Roman" w:hAnsi="Times New Roman" w:cs="Times New Roman"/>
          <w:sz w:val="20"/>
          <w:szCs w:val="20"/>
        </w:rPr>
      </w:pPr>
      <w:proofErr w:type="spellStart"/>
      <w:r w:rsidRPr="00257AC1">
        <w:rPr>
          <w:rFonts w:ascii="Times New Roman" w:hAnsi="Times New Roman" w:cs="Times New Roman"/>
          <w:sz w:val="20"/>
          <w:szCs w:val="20"/>
        </w:rPr>
        <w:t>Vasi</w:t>
      </w:r>
      <w:proofErr w:type="spellEnd"/>
      <w:r w:rsidRPr="00257AC1">
        <w:rPr>
          <w:rFonts w:ascii="Times New Roman" w:hAnsi="Times New Roman" w:cs="Times New Roman"/>
          <w:sz w:val="20"/>
          <w:szCs w:val="20"/>
        </w:rPr>
        <w:t xml:space="preserve"> </w:t>
      </w:r>
      <w:r w:rsidRPr="00257AC1">
        <w:rPr>
          <w:rFonts w:ascii="Times New Roman" w:hAnsi="Times New Roman" w:cs="Times New Roman"/>
          <w:i/>
          <w:sz w:val="20"/>
          <w:szCs w:val="20"/>
        </w:rPr>
        <w:t>et al</w:t>
      </w:r>
      <w:r w:rsidR="001C5E3B">
        <w:rPr>
          <w:rFonts w:ascii="Times New Roman" w:hAnsi="Times New Roman" w:cs="Times New Roman"/>
          <w:sz w:val="20"/>
          <w:szCs w:val="20"/>
        </w:rPr>
        <w:t>. [23]</w:t>
      </w:r>
      <w:r w:rsidRPr="00257AC1">
        <w:rPr>
          <w:rFonts w:ascii="Times New Roman" w:hAnsi="Times New Roman" w:cs="Times New Roman"/>
          <w:sz w:val="20"/>
          <w:szCs w:val="20"/>
        </w:rPr>
        <w:t xml:space="preserve">, highlighted that watershed biodiversity is threatened by a variety of factors, such as habitat degradation, pollution, building of dams, overexploitation, species </w:t>
      </w:r>
      <w:r w:rsidR="00B14DC6">
        <w:rPr>
          <w:rFonts w:ascii="Times New Roman" w:hAnsi="Times New Roman" w:cs="Times New Roman"/>
          <w:sz w:val="20"/>
          <w:szCs w:val="20"/>
        </w:rPr>
        <w:t>invasion and climate change [24]</w:t>
      </w:r>
      <w:r w:rsidRPr="00257AC1">
        <w:rPr>
          <w:rFonts w:ascii="Times New Roman" w:hAnsi="Times New Roman" w:cs="Times New Roman"/>
          <w:sz w:val="20"/>
          <w:szCs w:val="20"/>
        </w:rPr>
        <w:t>. In response to these challenges, conservationists have recently focused on trying to adapt conservation planning guidelines derived for the protection of terrestrial habitats and species to the unique chara</w:t>
      </w:r>
      <w:r w:rsidR="00B14DC6">
        <w:rPr>
          <w:rFonts w:ascii="Times New Roman" w:hAnsi="Times New Roman" w:cs="Times New Roman"/>
          <w:sz w:val="20"/>
          <w:szCs w:val="20"/>
        </w:rPr>
        <w:t>cteristics of watersheds [25]</w:t>
      </w:r>
      <w:r w:rsidRPr="00257AC1">
        <w:rPr>
          <w:rFonts w:ascii="Times New Roman" w:hAnsi="Times New Roman" w:cs="Times New Roman"/>
          <w:sz w:val="20"/>
          <w:szCs w:val="20"/>
        </w:rPr>
        <w:t xml:space="preserve">. Furthermore, </w:t>
      </w:r>
      <w:proofErr w:type="spellStart"/>
      <w:r w:rsidRPr="00257AC1">
        <w:rPr>
          <w:rFonts w:ascii="Times New Roman" w:hAnsi="Times New Roman" w:cs="Times New Roman"/>
          <w:sz w:val="20"/>
          <w:szCs w:val="20"/>
        </w:rPr>
        <w:t>Jovanovska</w:t>
      </w:r>
      <w:proofErr w:type="spellEnd"/>
      <w:r w:rsidRPr="00257AC1">
        <w:rPr>
          <w:rFonts w:ascii="Times New Roman" w:hAnsi="Times New Roman" w:cs="Times New Roman"/>
          <w:sz w:val="20"/>
          <w:szCs w:val="20"/>
        </w:rPr>
        <w:t xml:space="preserve"> </w:t>
      </w:r>
      <w:r w:rsidR="00B14DC6">
        <w:rPr>
          <w:rFonts w:ascii="Times New Roman" w:hAnsi="Times New Roman" w:cs="Times New Roman"/>
          <w:i/>
          <w:sz w:val="20"/>
          <w:szCs w:val="20"/>
        </w:rPr>
        <w:t xml:space="preserve">et al. </w:t>
      </w:r>
      <w:r w:rsidR="00B14DC6">
        <w:rPr>
          <w:rFonts w:ascii="Times New Roman" w:hAnsi="Times New Roman" w:cs="Times New Roman"/>
          <w:sz w:val="20"/>
          <w:szCs w:val="20"/>
        </w:rPr>
        <w:t>[26]</w:t>
      </w:r>
      <w:r w:rsidRPr="00257AC1">
        <w:rPr>
          <w:rFonts w:ascii="Times New Roman" w:hAnsi="Times New Roman" w:cs="Times New Roman"/>
          <w:sz w:val="20"/>
          <w:szCs w:val="20"/>
        </w:rPr>
        <w:t>, recommend pursuing the assessment of watershed habitats following ecological integrity.</w:t>
      </w:r>
    </w:p>
    <w:p w:rsidR="00BE110A" w:rsidRPr="00257AC1" w:rsidRDefault="00B14DC6" w:rsidP="00BE110A">
      <w:pPr>
        <w:spacing w:line="240" w:lineRule="auto"/>
        <w:jc w:val="both"/>
        <w:rPr>
          <w:rFonts w:ascii="Times New Roman" w:hAnsi="Times New Roman" w:cs="Times New Roman"/>
          <w:sz w:val="20"/>
          <w:szCs w:val="20"/>
        </w:rPr>
      </w:pPr>
      <w:r>
        <w:rPr>
          <w:rFonts w:ascii="Times New Roman" w:hAnsi="Times New Roman" w:cs="Times New Roman"/>
          <w:sz w:val="20"/>
          <w:szCs w:val="20"/>
        </w:rPr>
        <w:t>In Eswaran and Reich [27]</w:t>
      </w:r>
      <w:r w:rsidR="00BE110A" w:rsidRPr="00257AC1">
        <w:rPr>
          <w:rFonts w:ascii="Times New Roman" w:hAnsi="Times New Roman" w:cs="Times New Roman"/>
          <w:sz w:val="20"/>
          <w:szCs w:val="20"/>
        </w:rPr>
        <w:t>, soil is a complex mixture of inorganic materials (sand, silt and clay), decaying organic matter, water, air and a great array of organisms. Soils are the bedrock of terrestrial ecosystems, the crux of life’s intricate web, and an indispensable factor in our planet’s biogeochemical cycles. They are vital natural resource underpinning almost every aspect of human lif</w:t>
      </w:r>
      <w:r>
        <w:rPr>
          <w:rFonts w:ascii="Times New Roman" w:hAnsi="Times New Roman" w:cs="Times New Roman"/>
          <w:sz w:val="20"/>
          <w:szCs w:val="20"/>
        </w:rPr>
        <w:t>e and ecological function [28]</w:t>
      </w:r>
      <w:r w:rsidR="00BE110A" w:rsidRPr="00257AC1">
        <w:rPr>
          <w:rFonts w:ascii="Times New Roman" w:hAnsi="Times New Roman" w:cs="Times New Roman"/>
          <w:sz w:val="20"/>
          <w:szCs w:val="20"/>
        </w:rPr>
        <w:t xml:space="preserve">. Soil is the foundation of agri-food system and the medium in which nearly all food-producing crops grow. After the oceans, soil is the largest active carbon store and one cubic meter of soil can store up to 600 liters of water, allowing crops to grow even during </w:t>
      </w:r>
      <w:r w:rsidR="00250D61">
        <w:rPr>
          <w:rFonts w:ascii="Times New Roman" w:hAnsi="Times New Roman" w:cs="Times New Roman"/>
          <w:sz w:val="20"/>
          <w:szCs w:val="20"/>
        </w:rPr>
        <w:t>dry periods [29</w:t>
      </w:r>
      <w:r>
        <w:rPr>
          <w:rFonts w:ascii="Times New Roman" w:hAnsi="Times New Roman" w:cs="Times New Roman"/>
          <w:sz w:val="20"/>
          <w:szCs w:val="20"/>
        </w:rPr>
        <w:t>]</w:t>
      </w:r>
      <w:r w:rsidR="00BE110A"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Soil has three basic properties which aid in its identification and </w:t>
      </w:r>
      <w:proofErr w:type="spellStart"/>
      <w:r w:rsidRPr="00257AC1">
        <w:rPr>
          <w:rFonts w:ascii="Times New Roman" w:hAnsi="Times New Roman" w:cs="Times New Roman"/>
          <w:sz w:val="20"/>
          <w:szCs w:val="20"/>
        </w:rPr>
        <w:t>taxanomy</w:t>
      </w:r>
      <w:proofErr w:type="spellEnd"/>
      <w:r w:rsidRPr="00257AC1">
        <w:rPr>
          <w:rFonts w:ascii="Times New Roman" w:hAnsi="Times New Roman" w:cs="Times New Roman"/>
          <w:sz w:val="20"/>
          <w:szCs w:val="20"/>
        </w:rPr>
        <w:t xml:space="preserve">: </w:t>
      </w:r>
      <w:proofErr w:type="spellStart"/>
      <w:r w:rsidRPr="00257AC1">
        <w:rPr>
          <w:rFonts w:ascii="Times New Roman" w:hAnsi="Times New Roman" w:cs="Times New Roman"/>
          <w:sz w:val="20"/>
          <w:szCs w:val="20"/>
        </w:rPr>
        <w:t>colour</w:t>
      </w:r>
      <w:proofErr w:type="spellEnd"/>
      <w:r w:rsidRPr="00257AC1">
        <w:rPr>
          <w:rFonts w:ascii="Times New Roman" w:hAnsi="Times New Roman" w:cs="Times New Roman"/>
          <w:sz w:val="20"/>
          <w:szCs w:val="20"/>
        </w:rPr>
        <w:t xml:space="preserve">, structure and texture. Soils often vary substantially from place to place within a watershed among different watersheds. </w:t>
      </w:r>
      <w:proofErr w:type="spellStart"/>
      <w:r w:rsidRPr="00257AC1">
        <w:rPr>
          <w:rFonts w:ascii="Times New Roman" w:hAnsi="Times New Roman" w:cs="Times New Roman"/>
          <w:sz w:val="20"/>
          <w:szCs w:val="20"/>
        </w:rPr>
        <w:t>Histols</w:t>
      </w:r>
      <w:proofErr w:type="spellEnd"/>
      <w:r w:rsidRPr="00257AC1">
        <w:rPr>
          <w:rFonts w:ascii="Times New Roman" w:hAnsi="Times New Roman" w:cs="Times New Roman"/>
          <w:sz w:val="20"/>
          <w:szCs w:val="20"/>
        </w:rPr>
        <w:t xml:space="preserve">, are poorly drained with a high organic content. These are wetland soils (soils where a constant presence of water allows for the growth of water-tolerant plants, but breakdown of organic matter is slow due to anaerobic condition of the soil). </w:t>
      </w:r>
      <w:proofErr w:type="spellStart"/>
      <w:r w:rsidRPr="00257AC1">
        <w:rPr>
          <w:rFonts w:ascii="Times New Roman" w:hAnsi="Times New Roman" w:cs="Times New Roman"/>
          <w:sz w:val="20"/>
          <w:szCs w:val="20"/>
        </w:rPr>
        <w:t>Oxisols</w:t>
      </w:r>
      <w:proofErr w:type="spellEnd"/>
      <w:r w:rsidRPr="00257AC1">
        <w:rPr>
          <w:rFonts w:ascii="Times New Roman" w:hAnsi="Times New Roman" w:cs="Times New Roman"/>
          <w:sz w:val="20"/>
          <w:szCs w:val="20"/>
        </w:rPr>
        <w:t>, occur throughout the tropics; these soils are low in nutrients because most available nutrients are being utilized. The extremely high turnover rate (of matter and particularly nutrients) in the tropics makes these soils when taken alone, highly infertile. This is one of the key reasons why deforestation in the tropical watersheds creates a serious dilemma; once the vegetation cover is removed; there is little capacity for the site to self-restore. Soils represent the largest active organic components including carbon and nitrogen</w:t>
      </w:r>
      <w:r w:rsidR="00250D61">
        <w:rPr>
          <w:rFonts w:ascii="Times New Roman" w:hAnsi="Times New Roman" w:cs="Times New Roman"/>
          <w:sz w:val="20"/>
          <w:szCs w:val="20"/>
        </w:rPr>
        <w:t xml:space="preserve"> in agricultural lands [30]</w:t>
      </w:r>
      <w:r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Soils are the fulcrum upon which the wheel of life spins, facilitating vital ecosystem functions that nourish and sustain life on earth. Soils form the bedrock of terrestrial ecosystems, supporting a diverse array of flora and fauna including a myriad of microorganisms that drive biogeochemical processes. Soils multifaceted role in supporting plant growth, regulating water flow, cycling nutrients, and hosting a vast array of biodiversity, forms the basis of our ecosystems, acts as carbon sinks, playing an integral role in climate regulation and mitigation of greenhouse gas emissions. Soils play a pivotal role in water regulation, absorbing, storing, purifying water through soil-water interactions that are influenced by factors like soil cation exchange capacity, porosity </w:t>
      </w:r>
      <w:r w:rsidR="00250D61">
        <w:rPr>
          <w:rFonts w:ascii="Times New Roman" w:hAnsi="Times New Roman" w:cs="Times New Roman"/>
          <w:sz w:val="20"/>
          <w:szCs w:val="20"/>
        </w:rPr>
        <w:t>and land management [28]</w:t>
      </w:r>
      <w:r w:rsidRPr="00257AC1">
        <w:rPr>
          <w:rFonts w:ascii="Times New Roman" w:hAnsi="Times New Roman" w:cs="Times New Roman"/>
          <w:sz w:val="20"/>
          <w:szCs w:val="20"/>
        </w:rPr>
        <w:t>. Soils are essential buffer or “regulato</w:t>
      </w:r>
      <w:r w:rsidR="00250D61">
        <w:rPr>
          <w:rFonts w:ascii="Times New Roman" w:hAnsi="Times New Roman" w:cs="Times New Roman"/>
          <w:sz w:val="20"/>
          <w:szCs w:val="20"/>
        </w:rPr>
        <w:t>r” of climate change [31]</w:t>
      </w:r>
      <w:r w:rsidRPr="00257AC1">
        <w:rPr>
          <w:rFonts w:ascii="Times New Roman" w:hAnsi="Times New Roman" w:cs="Times New Roman"/>
          <w:sz w:val="20"/>
          <w:szCs w:val="20"/>
        </w:rPr>
        <w:t xml:space="preserve">. However, anthropogenic pressures and climate change impacts have instigated an alarming decay in the ecosystem services that soils provide, endangering </w:t>
      </w:r>
      <w:r w:rsidR="00250D61">
        <w:rPr>
          <w:rFonts w:ascii="Times New Roman" w:hAnsi="Times New Roman" w:cs="Times New Roman"/>
          <w:sz w:val="20"/>
          <w:szCs w:val="20"/>
        </w:rPr>
        <w:t>planetary wellbeing [28]</w:t>
      </w:r>
      <w:r w:rsidRPr="00257AC1">
        <w:rPr>
          <w:rFonts w:ascii="Times New Roman" w:hAnsi="Times New Roman" w:cs="Times New Roman"/>
          <w:sz w:val="20"/>
          <w:szCs w:val="20"/>
        </w:rPr>
        <w:t xml:space="preserve">. </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Global soils are under great pressure which includes soil erosion, loss of soil organic carbon and biodiversity, pollution, acidification and </w:t>
      </w:r>
      <w:proofErr w:type="spellStart"/>
      <w:r w:rsidRPr="00257AC1">
        <w:rPr>
          <w:rFonts w:ascii="Times New Roman" w:hAnsi="Times New Roman" w:cs="Times New Roman"/>
          <w:sz w:val="20"/>
          <w:szCs w:val="20"/>
        </w:rPr>
        <w:t>sodification</w:t>
      </w:r>
      <w:proofErr w:type="spellEnd"/>
      <w:r w:rsidRPr="00257AC1">
        <w:rPr>
          <w:rFonts w:ascii="Times New Roman" w:hAnsi="Times New Roman" w:cs="Times New Roman"/>
          <w:sz w:val="20"/>
          <w:szCs w:val="20"/>
        </w:rPr>
        <w:t>, salinization, nutrient imbalance, compaction, sealing and wa</w:t>
      </w:r>
      <w:r w:rsidR="00250D61">
        <w:rPr>
          <w:rFonts w:ascii="Times New Roman" w:hAnsi="Times New Roman" w:cs="Times New Roman"/>
          <w:sz w:val="20"/>
          <w:szCs w:val="20"/>
        </w:rPr>
        <w:t>ter logging [29]</w:t>
      </w:r>
      <w:r w:rsidRPr="00257AC1">
        <w:rPr>
          <w:rFonts w:ascii="Times New Roman" w:hAnsi="Times New Roman" w:cs="Times New Roman"/>
          <w:sz w:val="20"/>
          <w:szCs w:val="20"/>
        </w:rPr>
        <w:t xml:space="preserve">. Overexploitation, intense farming, improper irrigation practices, industrial pollution and urbanization contribute substantially to these threats, accelerating the degradation process. Among these threats, erosion is particularly pertinent. This natural process accelerated by human activities results in the removal of the fertile topsoil layer affecting the soils ability to retain water, nutrients and organic matter. All these threats underline the urgent need for sustainable soil management and </w:t>
      </w:r>
      <w:r w:rsidR="00250D61">
        <w:rPr>
          <w:rFonts w:ascii="Times New Roman" w:hAnsi="Times New Roman" w:cs="Times New Roman"/>
          <w:sz w:val="20"/>
          <w:szCs w:val="20"/>
        </w:rPr>
        <w:t>restoration efforts [28]</w:t>
      </w:r>
      <w:r w:rsidRPr="00257AC1">
        <w:rPr>
          <w:rFonts w:ascii="Times New Roman" w:hAnsi="Times New Roman" w:cs="Times New Roman"/>
          <w:sz w:val="20"/>
          <w:szCs w:val="20"/>
        </w:rPr>
        <w:t>.</w:t>
      </w:r>
    </w:p>
    <w:p w:rsidR="00BE110A" w:rsidRPr="00257AC1" w:rsidRDefault="00BE110A" w:rsidP="00BE110A">
      <w:pPr>
        <w:spacing w:before="240" w:line="240" w:lineRule="auto"/>
        <w:jc w:val="both"/>
        <w:rPr>
          <w:rFonts w:ascii="Times New Roman" w:hAnsi="Times New Roman" w:cs="Times New Roman"/>
          <w:sz w:val="20"/>
          <w:szCs w:val="20"/>
          <w:vertAlign w:val="subscript"/>
        </w:rPr>
      </w:pPr>
      <w:r w:rsidRPr="00257AC1">
        <w:rPr>
          <w:rFonts w:ascii="Times New Roman" w:hAnsi="Times New Roman" w:cs="Times New Roman"/>
          <w:sz w:val="20"/>
          <w:szCs w:val="20"/>
        </w:rPr>
        <w:lastRenderedPageBreak/>
        <w:t>Soil nutrients are critical elements for plant growth and productivity. The bio availability of nutrients in the soil solution may determine root growth, root proliferation and specific functional responses that depend on the prevailing nut</w:t>
      </w:r>
      <w:r w:rsidR="00250D61">
        <w:rPr>
          <w:rFonts w:ascii="Times New Roman" w:hAnsi="Times New Roman" w:cs="Times New Roman"/>
          <w:sz w:val="20"/>
          <w:szCs w:val="20"/>
        </w:rPr>
        <w:t>rient status of the plant [32]</w:t>
      </w:r>
      <w:r w:rsidRPr="00257AC1">
        <w:rPr>
          <w:rFonts w:ascii="Times New Roman" w:hAnsi="Times New Roman" w:cs="Times New Roman"/>
          <w:sz w:val="20"/>
          <w:szCs w:val="20"/>
        </w:rPr>
        <w:t>. Soil fertility and nutrient dynamics play a crucial role in maintaining ecosystem productivity, influencing plant growth, species composition and overall forest health. Understanding soil fertility in forests is essential for developing sustainable management strategies, particularly i</w:t>
      </w:r>
      <w:r w:rsidR="00250D61">
        <w:rPr>
          <w:rFonts w:ascii="Times New Roman" w:hAnsi="Times New Roman" w:cs="Times New Roman"/>
          <w:sz w:val="20"/>
          <w:szCs w:val="20"/>
        </w:rPr>
        <w:t>n the tropical regions [33]</w:t>
      </w:r>
      <w:r w:rsidRPr="00257AC1">
        <w:rPr>
          <w:rFonts w:ascii="Times New Roman" w:hAnsi="Times New Roman" w:cs="Times New Roman"/>
          <w:sz w:val="20"/>
          <w:szCs w:val="20"/>
        </w:rPr>
        <w:t>. A global study highlighted that 39 to 70 % and 58 to 81% of the total organic carbon are stored on 30 to 50cm soil respectively. However, the presence of large soil carbon and nitrogen stocks and their sensitivity to land management practices correspond to a threat and an opportunity. Management of soil carbon and nitrogen in agricultural lands such as crop residues, conservation tillage, crop rotation, integrated nutrient management and efficient irrigation in proper ways play positive roles for soil fertility, maintaining soil and environmental quality. This gives an opportunity to reduce erosion and increase organic matter in the soil surface and thus for cli</w:t>
      </w:r>
      <w:r w:rsidR="00FB6523">
        <w:rPr>
          <w:rFonts w:ascii="Times New Roman" w:hAnsi="Times New Roman" w:cs="Times New Roman"/>
          <w:sz w:val="20"/>
          <w:szCs w:val="20"/>
        </w:rPr>
        <w:t>mate change mitigation [30]</w:t>
      </w:r>
      <w:r w:rsidRPr="00257AC1">
        <w:rPr>
          <w:rFonts w:ascii="Times New Roman" w:hAnsi="Times New Roman" w:cs="Times New Roman"/>
          <w:sz w:val="20"/>
          <w:szCs w:val="20"/>
        </w:rPr>
        <w:t>.</w:t>
      </w:r>
    </w:p>
    <w:p w:rsidR="00BE110A" w:rsidRPr="00257AC1" w:rsidRDefault="00BE110A" w:rsidP="00BE110A">
      <w:pPr>
        <w:spacing w:before="240"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Okereke </w:t>
      </w:r>
      <w:r w:rsidRPr="00257AC1">
        <w:rPr>
          <w:rFonts w:ascii="Times New Roman" w:hAnsi="Times New Roman" w:cs="Times New Roman"/>
          <w:i/>
          <w:sz w:val="20"/>
          <w:szCs w:val="20"/>
        </w:rPr>
        <w:t>et al</w:t>
      </w:r>
      <w:r w:rsidR="00FB6523">
        <w:rPr>
          <w:rFonts w:ascii="Times New Roman" w:hAnsi="Times New Roman" w:cs="Times New Roman"/>
          <w:sz w:val="20"/>
          <w:szCs w:val="20"/>
        </w:rPr>
        <w:t>. [33]</w:t>
      </w:r>
      <w:r w:rsidRPr="00257AC1">
        <w:rPr>
          <w:rFonts w:ascii="Times New Roman" w:hAnsi="Times New Roman" w:cs="Times New Roman"/>
          <w:sz w:val="20"/>
          <w:szCs w:val="20"/>
        </w:rPr>
        <w:t>, further documented that, Nitrogen (N), Phosphorus (P) and Potassium (K) are key macronutrients essential for plant growth and ecosystem productivity. Studies have shown that nitrogen availability in secondary forests can be influenced by microbial activity, organic matter decomposition and atmospheric decomposition. Phosphorus availability is often limited in tropical soils due to strong fixation by iron and aluminum oxides, making it a critical factor in forest regeneration. Potassium, though not as limiting as nitrogen and phosphorus, plays a vital role in plant metabolic processes and soil cation exchange capacity. Young soils tend to have high phosphorus availability and low nitrogen availability. Nitrogen gradually accumulates in soils as they age while they become more depleted in phosphorus. Potassium can be more easily leached than nitrogen and phosphorus. In terrestrial ecosystems, potassium shows a greater loss from the plant canopy by foliar leaching than other nutrients such as nitrogen an</w:t>
      </w:r>
      <w:r w:rsidR="00FB6523">
        <w:rPr>
          <w:rFonts w:ascii="Times New Roman" w:hAnsi="Times New Roman" w:cs="Times New Roman"/>
          <w:sz w:val="20"/>
          <w:szCs w:val="20"/>
        </w:rPr>
        <w:t>d phosphorus [34]</w:t>
      </w:r>
      <w:r w:rsidRPr="00257AC1">
        <w:rPr>
          <w:rFonts w:ascii="Times New Roman" w:hAnsi="Times New Roman" w:cs="Times New Roman"/>
          <w:sz w:val="20"/>
          <w:szCs w:val="20"/>
        </w:rPr>
        <w:t>.</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Land degradation in tropical watersheds, characterized by severe soil fertility depletion and erosion, poses a critical threat to ecosystem services and food </w:t>
      </w:r>
      <w:r w:rsidR="00FB6523">
        <w:rPr>
          <w:rFonts w:ascii="Times New Roman" w:hAnsi="Times New Roman" w:cs="Times New Roman"/>
          <w:color w:val="000000" w:themeColor="text1"/>
          <w:sz w:val="20"/>
          <w:szCs w:val="20"/>
        </w:rPr>
        <w:t>security [28], [31]</w:t>
      </w:r>
      <w:r w:rsidRPr="00BE110A">
        <w:rPr>
          <w:rFonts w:ascii="Times New Roman" w:hAnsi="Times New Roman" w:cs="Times New Roman"/>
          <w:color w:val="000000" w:themeColor="text1"/>
          <w:sz w:val="20"/>
          <w:szCs w:val="20"/>
        </w:rPr>
        <w:t>. In southeastern Nigeria, intense anthropogenic pressure has transformed watersheds from forested ecosystems to landscapes dominated by erosion-prone soils with low organic matter</w:t>
      </w:r>
      <w:r w:rsidR="00FB6523">
        <w:rPr>
          <w:rFonts w:ascii="Times New Roman" w:hAnsi="Times New Roman" w:cs="Times New Roman"/>
          <w:color w:val="000000" w:themeColor="text1"/>
          <w:sz w:val="20"/>
          <w:szCs w:val="20"/>
        </w:rPr>
        <w:t xml:space="preserve"> and nutrient content [3]</w:t>
      </w:r>
      <w:r w:rsidRPr="00BE110A">
        <w:rPr>
          <w:rFonts w:ascii="Times New Roman" w:hAnsi="Times New Roman" w:cs="Times New Roman"/>
          <w:color w:val="000000" w:themeColor="text1"/>
          <w:sz w:val="20"/>
          <w:szCs w:val="20"/>
        </w:rPr>
        <w:t>. Restoring such lands necessitates interventions that rapidly stabilize soils, replenish nutrients, and re-establish productive vegetative cover to halt erosion and j</w:t>
      </w:r>
      <w:r w:rsidR="005346AD" w:rsidRPr="00BE110A">
        <w:rPr>
          <w:rFonts w:ascii="Times New Roman" w:hAnsi="Times New Roman" w:cs="Times New Roman"/>
          <w:color w:val="000000" w:themeColor="text1"/>
          <w:sz w:val="20"/>
          <w:szCs w:val="20"/>
        </w:rPr>
        <w:t>umpstart ecological succession.</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Soil amendments are central to this effort. Inorganic fertilizers (e.g., NPK) provide readily available nutrients for rapid plant growth but risk leaching, soil acidification, and do not impr</w:t>
      </w:r>
      <w:r w:rsidR="00FB6523">
        <w:rPr>
          <w:rFonts w:ascii="Times New Roman" w:hAnsi="Times New Roman" w:cs="Times New Roman"/>
          <w:color w:val="000000" w:themeColor="text1"/>
          <w:sz w:val="20"/>
          <w:szCs w:val="20"/>
        </w:rPr>
        <w:t>ove soil structure [35], [36]</w:t>
      </w:r>
      <w:r w:rsidRPr="00BE110A">
        <w:rPr>
          <w:rFonts w:ascii="Times New Roman" w:hAnsi="Times New Roman" w:cs="Times New Roman"/>
          <w:color w:val="000000" w:themeColor="text1"/>
          <w:sz w:val="20"/>
          <w:szCs w:val="20"/>
        </w:rPr>
        <w:t>. Organic amendments, such as manure, release nutrients slowly, enhance soil organic matter, water-holding capacity, and microbial activity, fostering</w:t>
      </w:r>
      <w:r w:rsidR="00165F12">
        <w:rPr>
          <w:rFonts w:ascii="Times New Roman" w:hAnsi="Times New Roman" w:cs="Times New Roman"/>
          <w:color w:val="000000" w:themeColor="text1"/>
          <w:sz w:val="20"/>
          <w:szCs w:val="20"/>
        </w:rPr>
        <w:t xml:space="preserve"> long-term soil health [37], [38]</w:t>
      </w:r>
      <w:r w:rsidRPr="00BE110A">
        <w:rPr>
          <w:rFonts w:ascii="Times New Roman" w:hAnsi="Times New Roman" w:cs="Times New Roman"/>
          <w:color w:val="000000" w:themeColor="text1"/>
          <w:sz w:val="20"/>
          <w:szCs w:val="20"/>
        </w:rPr>
        <w:t>. An integrated approach is often advocated for sustainable soil fertility mana</w:t>
      </w:r>
      <w:r w:rsidR="00165F12">
        <w:rPr>
          <w:rFonts w:ascii="Times New Roman" w:hAnsi="Times New Roman" w:cs="Times New Roman"/>
          <w:color w:val="000000" w:themeColor="text1"/>
          <w:sz w:val="20"/>
          <w:szCs w:val="20"/>
        </w:rPr>
        <w:t>gement [39]</w:t>
      </w:r>
      <w:r w:rsidR="005346AD" w:rsidRPr="00BE110A">
        <w:rPr>
          <w:rFonts w:ascii="Times New Roman" w:hAnsi="Times New Roman" w:cs="Times New Roman"/>
          <w:color w:val="000000" w:themeColor="text1"/>
          <w:sz w:val="20"/>
          <w:szCs w:val="20"/>
        </w:rPr>
        <w:t>.</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choice of plant species is equally vital for restoration. Indigenous, fast-growing, and multi-purpose species </w:t>
      </w:r>
      <w:r w:rsidR="005346AD" w:rsidRPr="00BE110A">
        <w:rPr>
          <w:rFonts w:ascii="Times New Roman" w:hAnsi="Times New Roman" w:cs="Times New Roman"/>
          <w:color w:val="000000" w:themeColor="text1"/>
          <w:sz w:val="20"/>
          <w:szCs w:val="20"/>
        </w:rPr>
        <w:t xml:space="preserve">are ideal. </w:t>
      </w:r>
      <w:r w:rsidR="005346AD" w:rsidRPr="00BE110A">
        <w:rPr>
          <w:rFonts w:ascii="Times New Roman" w:hAnsi="Times New Roman" w:cs="Times New Roman"/>
          <w:i/>
          <w:color w:val="000000" w:themeColor="text1"/>
          <w:sz w:val="20"/>
          <w:szCs w:val="20"/>
        </w:rPr>
        <w:t xml:space="preserve">Amaranthus </w:t>
      </w:r>
      <w:proofErr w:type="spellStart"/>
      <w:r w:rsidR="005346AD"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xml:space="preserve"> L. (African spinach) is a drought-tolerant C₄ plant known for its adaptability to poor soils and high nutrition</w:t>
      </w:r>
      <w:r w:rsidR="00165F12">
        <w:rPr>
          <w:rFonts w:ascii="Times New Roman" w:hAnsi="Times New Roman" w:cs="Times New Roman"/>
          <w:color w:val="000000" w:themeColor="text1"/>
          <w:sz w:val="20"/>
          <w:szCs w:val="20"/>
        </w:rPr>
        <w:t>al value [40], [41]</w:t>
      </w:r>
      <w:r w:rsidR="005346AD" w:rsidRPr="00BE110A">
        <w:rPr>
          <w:rFonts w:ascii="Times New Roman" w:hAnsi="Times New Roman" w:cs="Times New Roman"/>
          <w:color w:val="000000" w:themeColor="text1"/>
          <w:sz w:val="20"/>
          <w:szCs w:val="20"/>
        </w:rPr>
        <w:t xml:space="preserve">. </w:t>
      </w:r>
      <w:proofErr w:type="spellStart"/>
      <w:r w:rsidRPr="00BE110A">
        <w:rPr>
          <w:rFonts w:ascii="Times New Roman" w:hAnsi="Times New Roman" w:cs="Times New Roman"/>
          <w:i/>
          <w:color w:val="000000" w:themeColor="text1"/>
          <w:sz w:val="20"/>
          <w:szCs w:val="20"/>
        </w:rPr>
        <w:t>Telfairia</w:t>
      </w:r>
      <w:proofErr w:type="spellEnd"/>
      <w:r w:rsidRPr="00BE110A">
        <w:rPr>
          <w:rFonts w:ascii="Times New Roman" w:hAnsi="Times New Roman" w:cs="Times New Roman"/>
          <w:i/>
          <w:color w:val="000000" w:themeColor="text1"/>
          <w:sz w:val="20"/>
          <w:szCs w:val="20"/>
        </w:rPr>
        <w:t xml:space="preserve"> </w:t>
      </w:r>
      <w:proofErr w:type="spellStart"/>
      <w:r w:rsidRPr="00BE110A">
        <w:rPr>
          <w:rFonts w:ascii="Times New Roman" w:hAnsi="Times New Roman" w:cs="Times New Roman"/>
          <w:i/>
          <w:color w:val="000000" w:themeColor="text1"/>
          <w:sz w:val="20"/>
          <w:szCs w:val="20"/>
        </w:rPr>
        <w:t>occidentalis</w:t>
      </w:r>
      <w:proofErr w:type="spellEnd"/>
      <w:r w:rsidRPr="00BE110A">
        <w:rPr>
          <w:rFonts w:ascii="Times New Roman" w:hAnsi="Times New Roman" w:cs="Times New Roman"/>
          <w:color w:val="000000" w:themeColor="text1"/>
          <w:sz w:val="20"/>
          <w:szCs w:val="20"/>
        </w:rPr>
        <w:t xml:space="preserve"> Hook f. (fluted pumpkin) is a perennial vine valued for its edible leaves, tolerance to varied conditions, and utility in agroforestry sys</w:t>
      </w:r>
      <w:r w:rsidR="00165F12">
        <w:rPr>
          <w:rFonts w:ascii="Times New Roman" w:hAnsi="Times New Roman" w:cs="Times New Roman"/>
          <w:color w:val="000000" w:themeColor="text1"/>
          <w:sz w:val="20"/>
          <w:szCs w:val="20"/>
        </w:rPr>
        <w:t>tems [42], [43]</w:t>
      </w:r>
      <w:r w:rsidRPr="00BE110A">
        <w:rPr>
          <w:rFonts w:ascii="Times New Roman" w:hAnsi="Times New Roman" w:cs="Times New Roman"/>
          <w:color w:val="000000" w:themeColor="text1"/>
          <w:sz w:val="20"/>
          <w:szCs w:val="20"/>
        </w:rPr>
        <w:t>. Their use in restoration can provide both ecological ben</w:t>
      </w:r>
      <w:r w:rsidR="008B6F31" w:rsidRPr="00BE110A">
        <w:rPr>
          <w:rFonts w:ascii="Times New Roman" w:hAnsi="Times New Roman" w:cs="Times New Roman"/>
          <w:color w:val="000000" w:themeColor="text1"/>
          <w:sz w:val="20"/>
          <w:szCs w:val="20"/>
        </w:rPr>
        <w:t>efits and socio-economic value.</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This study therefore aimed to evaluate and compare the effectiveness of organic (poultry manure) and inorganic (NPK) soil amendments on t</w:t>
      </w:r>
      <w:r w:rsidR="008B6F31" w:rsidRPr="00BE110A">
        <w:rPr>
          <w:rFonts w:ascii="Times New Roman" w:hAnsi="Times New Roman" w:cs="Times New Roman"/>
          <w:color w:val="000000" w:themeColor="text1"/>
          <w:sz w:val="20"/>
          <w:szCs w:val="20"/>
        </w:rPr>
        <w:t xml:space="preserve">he early growth performance of </w:t>
      </w:r>
      <w:r w:rsidR="008B6F31" w:rsidRPr="00BE110A">
        <w:rPr>
          <w:rFonts w:ascii="Times New Roman" w:hAnsi="Times New Roman" w:cs="Times New Roman"/>
          <w:i/>
          <w:color w:val="000000" w:themeColor="text1"/>
          <w:sz w:val="20"/>
          <w:szCs w:val="20"/>
        </w:rPr>
        <w:t xml:space="preserve">A. </w:t>
      </w:r>
      <w:proofErr w:type="spellStart"/>
      <w:r w:rsidR="008B6F31" w:rsidRPr="00BE110A">
        <w:rPr>
          <w:rFonts w:ascii="Times New Roman" w:hAnsi="Times New Roman" w:cs="Times New Roman"/>
          <w:i/>
          <w:color w:val="000000" w:themeColor="text1"/>
          <w:sz w:val="20"/>
          <w:szCs w:val="20"/>
        </w:rPr>
        <w:t>hybridus</w:t>
      </w:r>
      <w:proofErr w:type="spellEnd"/>
      <w:r w:rsidR="008B6F31" w:rsidRPr="00BE110A">
        <w:rPr>
          <w:rFonts w:ascii="Times New Roman" w:hAnsi="Times New Roman" w:cs="Times New Roman"/>
          <w:color w:val="000000" w:themeColor="text1"/>
          <w:sz w:val="20"/>
          <w:szCs w:val="20"/>
        </w:rPr>
        <w:t xml:space="preserve"> and </w:t>
      </w:r>
      <w:r w:rsidRPr="00BE110A">
        <w:rPr>
          <w:rFonts w:ascii="Times New Roman" w:hAnsi="Times New Roman" w:cs="Times New Roman"/>
          <w:i/>
          <w:color w:val="000000" w:themeColor="text1"/>
          <w:sz w:val="20"/>
          <w:szCs w:val="20"/>
        </w:rPr>
        <w:t xml:space="preserve">T. </w:t>
      </w:r>
      <w:proofErr w:type="spellStart"/>
      <w:r w:rsidRPr="00BE110A">
        <w:rPr>
          <w:rFonts w:ascii="Times New Roman" w:hAnsi="Times New Roman" w:cs="Times New Roman"/>
          <w:i/>
          <w:color w:val="000000" w:themeColor="text1"/>
          <w:sz w:val="20"/>
          <w:szCs w:val="20"/>
        </w:rPr>
        <w:t>occidentalis</w:t>
      </w:r>
      <w:proofErr w:type="spellEnd"/>
      <w:r w:rsidRPr="00BE110A">
        <w:rPr>
          <w:rFonts w:ascii="Times New Roman" w:hAnsi="Times New Roman" w:cs="Times New Roman"/>
          <w:color w:val="000000" w:themeColor="text1"/>
          <w:sz w:val="20"/>
          <w:szCs w:val="20"/>
        </w:rPr>
        <w:t>. The findings are intended to inform cost-effective and sustainable soil restoration protocols for revegetating degraded watershed slopes in Nigeria's humid tropics, contributing to both ecological recovery and livelihood support.</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 Mater</w:t>
      </w:r>
      <w:r w:rsidR="008B6F31" w:rsidRPr="00BE110A">
        <w:rPr>
          <w:rFonts w:ascii="Times New Roman" w:hAnsi="Times New Roman" w:cs="Times New Roman"/>
          <w:b/>
          <w:color w:val="000000" w:themeColor="text1"/>
          <w:sz w:val="20"/>
          <w:szCs w:val="20"/>
        </w:rPr>
        <w:t>ials and Methods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2.1. Experim</w:t>
      </w:r>
      <w:r w:rsidR="008B6F31" w:rsidRPr="00BE110A">
        <w:rPr>
          <w:rFonts w:ascii="Times New Roman" w:hAnsi="Times New Roman" w:cs="Times New Roman"/>
          <w:b/>
          <w:color w:val="000000" w:themeColor="text1"/>
          <w:sz w:val="20"/>
          <w:szCs w:val="20"/>
        </w:rPr>
        <w:t>ental Site and Soil Collection</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pot experiment was conducted in </w:t>
      </w:r>
      <w:proofErr w:type="spellStart"/>
      <w:r w:rsidRPr="00BE110A">
        <w:rPr>
          <w:rFonts w:ascii="Times New Roman" w:hAnsi="Times New Roman" w:cs="Times New Roman"/>
          <w:color w:val="000000" w:themeColor="text1"/>
          <w:sz w:val="20"/>
          <w:szCs w:val="20"/>
        </w:rPr>
        <w:t>Awka</w:t>
      </w:r>
      <w:proofErr w:type="spellEnd"/>
      <w:r w:rsidRPr="00BE110A">
        <w:rPr>
          <w:rFonts w:ascii="Times New Roman" w:hAnsi="Times New Roman" w:cs="Times New Roman"/>
          <w:color w:val="000000" w:themeColor="text1"/>
          <w:sz w:val="20"/>
          <w:szCs w:val="20"/>
        </w:rPr>
        <w:t xml:space="preserve">, Anambra State, southeastern Nigeria. Topsoil (0-10 cm depth) was collected from a degraded section of the university watershed, characterized as nutrient-poor </w:t>
      </w:r>
      <w:proofErr w:type="spellStart"/>
      <w:r w:rsidR="00F93ED8">
        <w:rPr>
          <w:rFonts w:ascii="Times New Roman" w:hAnsi="Times New Roman" w:cs="Times New Roman"/>
          <w:color w:val="000000" w:themeColor="text1"/>
          <w:sz w:val="20"/>
          <w:szCs w:val="20"/>
        </w:rPr>
        <w:t>Oxisol</w:t>
      </w:r>
      <w:proofErr w:type="spellEnd"/>
      <w:r w:rsidR="00F93ED8">
        <w:rPr>
          <w:rFonts w:ascii="Times New Roman" w:hAnsi="Times New Roman" w:cs="Times New Roman"/>
          <w:color w:val="000000" w:themeColor="text1"/>
          <w:sz w:val="20"/>
          <w:szCs w:val="20"/>
        </w:rPr>
        <w:t xml:space="preserve"> [27]</w:t>
      </w:r>
      <w:r w:rsidRPr="00BE110A">
        <w:rPr>
          <w:rFonts w:ascii="Times New Roman" w:hAnsi="Times New Roman" w:cs="Times New Roman"/>
          <w:color w:val="000000" w:themeColor="text1"/>
          <w:sz w:val="20"/>
          <w:szCs w:val="20"/>
        </w:rPr>
        <w:t>. The soil was homogenized, sieved (2 mm), and used as the growth medium.</w:t>
      </w:r>
    </w:p>
    <w:p w:rsidR="001C27E2" w:rsidRPr="00BE110A" w:rsidRDefault="001C27E2" w:rsidP="00A463C3">
      <w:pPr>
        <w:spacing w:line="240" w:lineRule="auto"/>
        <w:jc w:val="both"/>
        <w:rPr>
          <w:rFonts w:ascii="Times New Roman" w:hAnsi="Times New Roman" w:cs="Times New Roman"/>
          <w:b/>
          <w:color w:val="000000" w:themeColor="text1"/>
          <w:sz w:val="20"/>
          <w:szCs w:val="20"/>
        </w:rPr>
      </w:pPr>
      <w:r w:rsidRPr="00BE110A">
        <w:rPr>
          <w:rFonts w:ascii="Times New Roman" w:hAnsi="Times New Roman" w:cs="Times New Roman"/>
          <w:b/>
          <w:color w:val="000000" w:themeColor="text1"/>
          <w:sz w:val="20"/>
          <w:szCs w:val="20"/>
        </w:rPr>
        <w:t>2.2. Expe</w:t>
      </w:r>
      <w:r w:rsidR="008B6F31" w:rsidRPr="00BE110A">
        <w:rPr>
          <w:rFonts w:ascii="Times New Roman" w:hAnsi="Times New Roman" w:cs="Times New Roman"/>
          <w:b/>
          <w:color w:val="000000" w:themeColor="text1"/>
          <w:sz w:val="20"/>
          <w:szCs w:val="20"/>
        </w:rPr>
        <w:t>rimental Design and Treatments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The experiment was laid out in a Randomized Complete Block Design (RCBD) with three treatments and six replications per test crop. The treatments were:</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lastRenderedPageBreak/>
        <w:t>1.  Organic Amendment (OA):</w:t>
      </w:r>
      <w:r w:rsidR="001C27E2" w:rsidRPr="00BE110A">
        <w:rPr>
          <w:rFonts w:ascii="Times New Roman" w:hAnsi="Times New Roman" w:cs="Times New Roman"/>
          <w:color w:val="000000" w:themeColor="text1"/>
          <w:sz w:val="20"/>
          <w:szCs w:val="20"/>
        </w:rPr>
        <w:t xml:space="preserve"> Poultry manure applied at a rate of 10 tons/ha (equivalent to ~2% w/w in pots). The manure was sun-dried, cured for two weeks, and thoroughly incorporated into the soil two weeks before transplanting to allow for partial decomposition.</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2.  </w:t>
      </w:r>
      <w:r w:rsidR="001C27E2" w:rsidRPr="00BE110A">
        <w:rPr>
          <w:rFonts w:ascii="Times New Roman" w:hAnsi="Times New Roman" w:cs="Times New Roman"/>
          <w:b/>
          <w:color w:val="000000" w:themeColor="text1"/>
          <w:sz w:val="20"/>
          <w:szCs w:val="20"/>
        </w:rPr>
        <w:t>Inorganic Amendment (IA)</w:t>
      </w:r>
      <w:r w:rsidRPr="00BE110A">
        <w:rPr>
          <w:rFonts w:ascii="Times New Roman" w:hAnsi="Times New Roman" w:cs="Times New Roman"/>
          <w:color w:val="000000" w:themeColor="text1"/>
          <w:sz w:val="20"/>
          <w:szCs w:val="20"/>
        </w:rPr>
        <w:t>:</w:t>
      </w:r>
      <w:r w:rsidR="001C27E2" w:rsidRPr="00BE110A">
        <w:rPr>
          <w:rFonts w:ascii="Times New Roman" w:hAnsi="Times New Roman" w:cs="Times New Roman"/>
          <w:color w:val="000000" w:themeColor="text1"/>
          <w:sz w:val="20"/>
          <w:szCs w:val="20"/>
        </w:rPr>
        <w:t xml:space="preserve"> NPK (15:15:15) fertilizer applied at the recommended rate of 200 kg/ha (equivalent to 0.1 g N/P₂O₅/K₂O per kg soil). The fertilizer was incorporated into the soil 3-4 days before transplanting.</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3.</w:t>
      </w:r>
      <w:r w:rsidRPr="00BE110A">
        <w:rPr>
          <w:rFonts w:ascii="Times New Roman" w:hAnsi="Times New Roman" w:cs="Times New Roman"/>
          <w:color w:val="000000" w:themeColor="text1"/>
          <w:sz w:val="20"/>
          <w:szCs w:val="20"/>
        </w:rPr>
        <w:t xml:space="preserve">  </w:t>
      </w:r>
      <w:r w:rsidRPr="00BE110A">
        <w:rPr>
          <w:rFonts w:ascii="Times New Roman" w:hAnsi="Times New Roman" w:cs="Times New Roman"/>
          <w:b/>
          <w:color w:val="000000" w:themeColor="text1"/>
          <w:sz w:val="20"/>
          <w:szCs w:val="20"/>
        </w:rPr>
        <w:t>Control (C):</w:t>
      </w:r>
      <w:r w:rsidR="001C27E2" w:rsidRPr="00BE110A">
        <w:rPr>
          <w:rFonts w:ascii="Times New Roman" w:hAnsi="Times New Roman" w:cs="Times New Roman"/>
          <w:color w:val="000000" w:themeColor="text1"/>
          <w:sz w:val="20"/>
          <w:szCs w:val="20"/>
        </w:rPr>
        <w:t xml:space="preserve"> Unamended soil.</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2.3. Plant Mat</w:t>
      </w:r>
      <w:r w:rsidR="008B6F31" w:rsidRPr="00BE110A">
        <w:rPr>
          <w:rFonts w:ascii="Times New Roman" w:hAnsi="Times New Roman" w:cs="Times New Roman"/>
          <w:b/>
          <w:color w:val="000000" w:themeColor="text1"/>
          <w:sz w:val="20"/>
          <w:szCs w:val="20"/>
        </w:rPr>
        <w:t>erials and Agronomic Practices</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Seeds of </w:t>
      </w:r>
      <w:r w:rsidRPr="00BE110A">
        <w:rPr>
          <w:rFonts w:ascii="Times New Roman" w:hAnsi="Times New Roman" w:cs="Times New Roman"/>
          <w:i/>
          <w:color w:val="000000" w:themeColor="text1"/>
          <w:sz w:val="20"/>
          <w:szCs w:val="20"/>
        </w:rPr>
        <w:t xml:space="preserve">Amaranthus </w:t>
      </w:r>
      <w:proofErr w:type="spellStart"/>
      <w:r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xml:space="preserve"> L. and </w:t>
      </w:r>
      <w:proofErr w:type="spellStart"/>
      <w:r w:rsidR="001C27E2" w:rsidRPr="00BE110A">
        <w:rPr>
          <w:rFonts w:ascii="Times New Roman" w:hAnsi="Times New Roman" w:cs="Times New Roman"/>
          <w:i/>
          <w:color w:val="000000" w:themeColor="text1"/>
          <w:sz w:val="20"/>
          <w:szCs w:val="20"/>
        </w:rPr>
        <w:t>Telfairia</w:t>
      </w:r>
      <w:proofErr w:type="spellEnd"/>
      <w:r w:rsidR="001C27E2" w:rsidRPr="00BE110A">
        <w:rPr>
          <w:rFonts w:ascii="Times New Roman" w:hAnsi="Times New Roman" w:cs="Times New Roman"/>
          <w:i/>
          <w:color w:val="000000" w:themeColor="text1"/>
          <w:sz w:val="20"/>
          <w:szCs w:val="20"/>
        </w:rPr>
        <w:t xml:space="preserve"> </w:t>
      </w:r>
      <w:proofErr w:type="spellStart"/>
      <w:r w:rsidR="001C27E2" w:rsidRPr="00BE110A">
        <w:rPr>
          <w:rFonts w:ascii="Times New Roman" w:hAnsi="Times New Roman" w:cs="Times New Roman"/>
          <w:i/>
          <w:color w:val="000000" w:themeColor="text1"/>
          <w:sz w:val="20"/>
          <w:szCs w:val="20"/>
        </w:rPr>
        <w:t>occidentalis</w:t>
      </w:r>
      <w:proofErr w:type="spellEnd"/>
      <w:r w:rsidR="001C27E2" w:rsidRPr="00BE110A">
        <w:rPr>
          <w:rFonts w:ascii="Times New Roman" w:hAnsi="Times New Roman" w:cs="Times New Roman"/>
          <w:color w:val="000000" w:themeColor="text1"/>
          <w:sz w:val="20"/>
          <w:szCs w:val="20"/>
        </w:rPr>
        <w:t xml:space="preserve"> Hook f. were obtained from certified local sources. Seeds were first sown in nursery boxes. Two weeks after germination, uniform seedlings were transplanted into polybags (two seedlings per bag) containing the treated soils.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Plants were watered regularly to maintain field capacity. No pesticides were applied.</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2.4. Data Collection</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Growth parameters were measured weekly for six weeks post-transplanting on randomly selected representative plants.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Plant Height (cm):</w:t>
      </w:r>
      <w:r w:rsidRPr="00BE110A">
        <w:rPr>
          <w:rFonts w:ascii="Times New Roman" w:hAnsi="Times New Roman" w:cs="Times New Roman"/>
          <w:color w:val="000000" w:themeColor="text1"/>
          <w:sz w:val="20"/>
          <w:szCs w:val="20"/>
        </w:rPr>
        <w:t xml:space="preserve"> Measured from soil level to the terminal bud using a meter rule.</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Stem Girth (cm):</w:t>
      </w:r>
      <w:r w:rsidR="001C27E2" w:rsidRPr="00BE110A">
        <w:rPr>
          <w:rFonts w:ascii="Times New Roman" w:hAnsi="Times New Roman" w:cs="Times New Roman"/>
          <w:color w:val="000000" w:themeColor="text1"/>
          <w:sz w:val="20"/>
          <w:szCs w:val="20"/>
        </w:rPr>
        <w:t xml:space="preserve"> Measured at the base of the stem using a </w:t>
      </w:r>
      <w:proofErr w:type="spellStart"/>
      <w:r w:rsidR="001C27E2" w:rsidRPr="00BE110A">
        <w:rPr>
          <w:rFonts w:ascii="Times New Roman" w:hAnsi="Times New Roman" w:cs="Times New Roman"/>
          <w:color w:val="000000" w:themeColor="text1"/>
          <w:sz w:val="20"/>
          <w:szCs w:val="20"/>
        </w:rPr>
        <w:t>vernier</w:t>
      </w:r>
      <w:proofErr w:type="spellEnd"/>
      <w:r w:rsidR="001C27E2" w:rsidRPr="00BE110A">
        <w:rPr>
          <w:rFonts w:ascii="Times New Roman" w:hAnsi="Times New Roman" w:cs="Times New Roman"/>
          <w:color w:val="000000" w:themeColor="text1"/>
          <w:sz w:val="20"/>
          <w:szCs w:val="20"/>
        </w:rPr>
        <w:t xml:space="preserve"> caliper.</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Number of Leaves:</w:t>
      </w:r>
      <w:r w:rsidRPr="00BE110A">
        <w:rPr>
          <w:rFonts w:ascii="Times New Roman" w:hAnsi="Times New Roman" w:cs="Times New Roman"/>
          <w:color w:val="000000" w:themeColor="text1"/>
          <w:sz w:val="20"/>
          <w:szCs w:val="20"/>
        </w:rPr>
        <w:t xml:space="preserve"> All fully expanded leaves were counted.</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Leaf</w:t>
      </w:r>
      <w:r w:rsidR="008B6F31" w:rsidRPr="00BE110A">
        <w:rPr>
          <w:rFonts w:ascii="Times New Roman" w:hAnsi="Times New Roman" w:cs="Times New Roman"/>
          <w:b/>
          <w:color w:val="000000" w:themeColor="text1"/>
          <w:sz w:val="20"/>
          <w:szCs w:val="20"/>
        </w:rPr>
        <w:t xml:space="preserve"> Area (cm²):</w:t>
      </w:r>
      <w:r w:rsidR="008B6F31" w:rsidRPr="00BE110A">
        <w:rPr>
          <w:rFonts w:ascii="Times New Roman" w:hAnsi="Times New Roman" w:cs="Times New Roman"/>
          <w:color w:val="000000" w:themeColor="text1"/>
          <w:sz w:val="20"/>
          <w:szCs w:val="20"/>
        </w:rPr>
        <w:t xml:space="preserve"> For </w:t>
      </w:r>
      <w:r w:rsidR="008B6F31" w:rsidRPr="00BE110A">
        <w:rPr>
          <w:rFonts w:ascii="Times New Roman" w:hAnsi="Times New Roman" w:cs="Times New Roman"/>
          <w:i/>
          <w:color w:val="000000" w:themeColor="text1"/>
          <w:sz w:val="20"/>
          <w:szCs w:val="20"/>
        </w:rPr>
        <w:t xml:space="preserve">A. </w:t>
      </w:r>
      <w:proofErr w:type="spellStart"/>
      <w:r w:rsidR="008B6F31"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leaf area (LA) was estimated using the model: LA = 0.34 × (Lea</w:t>
      </w:r>
      <w:r w:rsidR="008B6F31" w:rsidRPr="00BE110A">
        <w:rPr>
          <w:rFonts w:ascii="Times New Roman" w:hAnsi="Times New Roman" w:cs="Times New Roman"/>
          <w:color w:val="000000" w:themeColor="text1"/>
          <w:sz w:val="20"/>
          <w:szCs w:val="20"/>
        </w:rPr>
        <w:t xml:space="preserve">f Length × Maximum Width). For </w:t>
      </w:r>
      <w:r w:rsidRPr="00BE110A">
        <w:rPr>
          <w:rFonts w:ascii="Times New Roman" w:hAnsi="Times New Roman" w:cs="Times New Roman"/>
          <w:i/>
          <w:color w:val="000000" w:themeColor="text1"/>
          <w:sz w:val="20"/>
          <w:szCs w:val="20"/>
        </w:rPr>
        <w:t xml:space="preserve">T. </w:t>
      </w:r>
      <w:proofErr w:type="spellStart"/>
      <w:r w:rsidRPr="00BE110A">
        <w:rPr>
          <w:rFonts w:ascii="Times New Roman" w:hAnsi="Times New Roman" w:cs="Times New Roman"/>
          <w:i/>
          <w:color w:val="000000" w:themeColor="text1"/>
          <w:sz w:val="20"/>
          <w:szCs w:val="20"/>
        </w:rPr>
        <w:t>occidentalis</w:t>
      </w:r>
      <w:proofErr w:type="spellEnd"/>
      <w:r w:rsidRPr="00BE110A">
        <w:rPr>
          <w:rFonts w:ascii="Times New Roman" w:hAnsi="Times New Roman" w:cs="Times New Roman"/>
          <w:color w:val="000000" w:themeColor="text1"/>
          <w:sz w:val="20"/>
          <w:szCs w:val="20"/>
        </w:rPr>
        <w:t>, the formula LA = (Length of central leaflet × Maximum width of central leaflet × Number of leaf</w:t>
      </w:r>
      <w:r w:rsidR="00F37E1A">
        <w:rPr>
          <w:rFonts w:ascii="Times New Roman" w:hAnsi="Times New Roman" w:cs="Times New Roman"/>
          <w:color w:val="000000" w:themeColor="text1"/>
          <w:sz w:val="20"/>
          <w:szCs w:val="20"/>
        </w:rPr>
        <w:t>lets) was used [44]</w:t>
      </w:r>
      <w:r w:rsidR="008B6F31" w:rsidRPr="00BE110A">
        <w:rPr>
          <w:rFonts w:ascii="Times New Roman" w:hAnsi="Times New Roman" w:cs="Times New Roman"/>
          <w:color w:val="000000" w:themeColor="text1"/>
          <w:sz w:val="20"/>
          <w:szCs w:val="20"/>
        </w:rPr>
        <w:t>.</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2.5. Statistical Analysis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Data were subjected to one-way Analysis of Variance (ANOVA) using SPSS software (Version 25). Treatment means were separated using Fisher’s Least Significant Difference (LSD) test at a 5% probability level (p &lt; 0.05). Graphs were generated using Microsoft Excel.</w:t>
      </w:r>
    </w:p>
    <w:p w:rsidR="001C27E2" w:rsidRPr="00BE110A" w:rsidRDefault="00F8161E"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3. Results</w:t>
      </w:r>
    </w:p>
    <w:p w:rsidR="001C27E2" w:rsidRPr="00BE110A" w:rsidRDefault="001C27E2" w:rsidP="00A463C3">
      <w:pPr>
        <w:spacing w:line="240" w:lineRule="auto"/>
        <w:jc w:val="both"/>
        <w:rPr>
          <w:rFonts w:ascii="Times New Roman" w:hAnsi="Times New Roman" w:cs="Times New Roman"/>
          <w:b/>
          <w:color w:val="000000" w:themeColor="text1"/>
          <w:sz w:val="20"/>
          <w:szCs w:val="20"/>
        </w:rPr>
      </w:pPr>
      <w:r w:rsidRPr="00BE110A">
        <w:rPr>
          <w:rFonts w:ascii="Times New Roman" w:hAnsi="Times New Roman" w:cs="Times New Roman"/>
          <w:b/>
          <w:color w:val="000000" w:themeColor="text1"/>
          <w:sz w:val="20"/>
          <w:szCs w:val="20"/>
        </w:rPr>
        <w:t>3.1. Growth Perf</w:t>
      </w:r>
      <w:r w:rsidR="00F8161E" w:rsidRPr="00BE110A">
        <w:rPr>
          <w:rFonts w:ascii="Times New Roman" w:hAnsi="Times New Roman" w:cs="Times New Roman"/>
          <w:b/>
          <w:color w:val="000000" w:themeColor="text1"/>
          <w:sz w:val="20"/>
          <w:szCs w:val="20"/>
        </w:rPr>
        <w:t xml:space="preserve">ormance of Amaranthus </w:t>
      </w:r>
      <w:proofErr w:type="spellStart"/>
      <w:r w:rsidR="00F8161E" w:rsidRPr="00BE110A">
        <w:rPr>
          <w:rFonts w:ascii="Times New Roman" w:hAnsi="Times New Roman" w:cs="Times New Roman"/>
          <w:b/>
          <w:color w:val="000000" w:themeColor="text1"/>
          <w:sz w:val="20"/>
          <w:szCs w:val="20"/>
        </w:rPr>
        <w:t>hybridus</w:t>
      </w:r>
      <w:proofErr w:type="spellEnd"/>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All gr</w:t>
      </w:r>
      <w:r w:rsidR="00F8161E" w:rsidRPr="00BE110A">
        <w:rPr>
          <w:rFonts w:ascii="Times New Roman" w:hAnsi="Times New Roman" w:cs="Times New Roman"/>
          <w:color w:val="000000" w:themeColor="text1"/>
          <w:sz w:val="20"/>
          <w:szCs w:val="20"/>
        </w:rPr>
        <w:t xml:space="preserve">owth parameters of </w:t>
      </w:r>
      <w:r w:rsidR="00F8161E" w:rsidRPr="00BE110A">
        <w:rPr>
          <w:rFonts w:ascii="Times New Roman" w:hAnsi="Times New Roman" w:cs="Times New Roman"/>
          <w:i/>
          <w:color w:val="000000" w:themeColor="text1"/>
          <w:sz w:val="20"/>
          <w:szCs w:val="20"/>
        </w:rPr>
        <w:t xml:space="preserve">A. </w:t>
      </w:r>
      <w:proofErr w:type="spellStart"/>
      <w:r w:rsidR="00F8161E"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xml:space="preserve"> were significantly (p &lt; 0.05) influenced by soil amendments (Table 1, Fig. 1). Plants treated with NPK fertilizer attained the greatest height (104.06 cm) and stem girth (2.52 cm), though not statistically different from poultry manure in height. Poultry manure also produced robust growth (101.28 cm height, 2.29 cm girth). The control plants were severely stunted (26.22 cm height, 1.04 cm girth). A similar trend was observed for leaf development; NPK produced the highest number of leaves (17.33) and largest leaf area (80.42 cm²), followed closely by poultry manure. The control showed minimal leaf expansion (13.17 cm²).</w:t>
      </w:r>
    </w:p>
    <w:p w:rsidR="001C27E2" w:rsidRPr="00BE110A" w:rsidRDefault="001C27E2" w:rsidP="00A463C3">
      <w:pPr>
        <w:spacing w:line="240" w:lineRule="auto"/>
        <w:jc w:val="both"/>
        <w:rPr>
          <w:rFonts w:ascii="Times New Roman" w:hAnsi="Times New Roman" w:cs="Times New Roman"/>
          <w:color w:val="000000" w:themeColor="text1"/>
          <w:sz w:val="20"/>
          <w:szCs w:val="20"/>
        </w:rPr>
      </w:pPr>
    </w:p>
    <w:p w:rsidR="001C27E2" w:rsidRPr="00E914C0" w:rsidRDefault="001C27E2" w:rsidP="00A463C3">
      <w:pPr>
        <w:spacing w:line="240" w:lineRule="auto"/>
        <w:jc w:val="both"/>
        <w:rPr>
          <w:rFonts w:ascii="Times New Roman" w:hAnsi="Times New Roman" w:cs="Times New Roman"/>
          <w:b/>
          <w:color w:val="000000" w:themeColor="text1"/>
          <w:sz w:val="20"/>
          <w:szCs w:val="20"/>
        </w:rPr>
      </w:pPr>
      <w:r w:rsidRPr="00E914C0">
        <w:rPr>
          <w:rFonts w:ascii="Times New Roman" w:hAnsi="Times New Roman" w:cs="Times New Roman"/>
          <w:b/>
          <w:color w:val="000000" w:themeColor="text1"/>
          <w:sz w:val="20"/>
          <w:szCs w:val="20"/>
        </w:rPr>
        <w:t>Table 1: Effect of so</w:t>
      </w:r>
      <w:r w:rsidR="00AF3957" w:rsidRPr="00E914C0">
        <w:rPr>
          <w:rFonts w:ascii="Times New Roman" w:hAnsi="Times New Roman" w:cs="Times New Roman"/>
          <w:b/>
          <w:color w:val="000000" w:themeColor="text1"/>
          <w:sz w:val="20"/>
          <w:szCs w:val="20"/>
        </w:rPr>
        <w:t xml:space="preserve">il amendments on the growth of </w:t>
      </w:r>
      <w:r w:rsidRPr="00E914C0">
        <w:rPr>
          <w:rFonts w:ascii="Times New Roman" w:hAnsi="Times New Roman" w:cs="Times New Roman"/>
          <w:b/>
          <w:i/>
          <w:color w:val="000000" w:themeColor="text1"/>
          <w:sz w:val="20"/>
          <w:szCs w:val="20"/>
        </w:rPr>
        <w:t xml:space="preserve">Amaranthus </w:t>
      </w:r>
      <w:proofErr w:type="spellStart"/>
      <w:r w:rsidRPr="00E914C0">
        <w:rPr>
          <w:rFonts w:ascii="Times New Roman" w:hAnsi="Times New Roman" w:cs="Times New Roman"/>
          <w:b/>
          <w:i/>
          <w:color w:val="000000" w:themeColor="text1"/>
          <w:sz w:val="20"/>
          <w:szCs w:val="20"/>
        </w:rPr>
        <w:t>hybridus</w:t>
      </w:r>
      <w:proofErr w:type="spellEnd"/>
      <w:r w:rsidRPr="00E914C0">
        <w:rPr>
          <w:rFonts w:ascii="Times New Roman" w:hAnsi="Times New Roman" w:cs="Times New Roman"/>
          <w:b/>
          <w:color w:val="000000" w:themeColor="text1"/>
          <w:sz w:val="20"/>
          <w:szCs w:val="20"/>
        </w:rPr>
        <w:t xml:space="preserve"> L. </w:t>
      </w:r>
      <w:r w:rsidR="00AF3957" w:rsidRPr="00E914C0">
        <w:rPr>
          <w:rFonts w:ascii="Times New Roman" w:hAnsi="Times New Roman" w:cs="Times New Roman"/>
          <w:b/>
          <w:color w:val="000000" w:themeColor="text1"/>
          <w:sz w:val="20"/>
          <w:szCs w:val="20"/>
        </w:rPr>
        <w:t>(6 weeks after transplanting).</w:t>
      </w:r>
    </w:p>
    <w:tbl>
      <w:tblPr>
        <w:tblStyle w:val="TableGrid"/>
        <w:tblW w:w="9351" w:type="dxa"/>
        <w:tblLook w:val="04A0" w:firstRow="1" w:lastRow="0" w:firstColumn="1" w:lastColumn="0" w:noHBand="0" w:noVBand="1"/>
      </w:tblPr>
      <w:tblGrid>
        <w:gridCol w:w="1838"/>
        <w:gridCol w:w="1985"/>
        <w:gridCol w:w="1842"/>
        <w:gridCol w:w="1843"/>
        <w:gridCol w:w="1843"/>
      </w:tblGrid>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Treatment</w:t>
            </w:r>
          </w:p>
        </w:tc>
        <w:tc>
          <w:tcPr>
            <w:tcW w:w="1985"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Plant Height (cm)</w:t>
            </w:r>
          </w:p>
        </w:tc>
        <w:tc>
          <w:tcPr>
            <w:tcW w:w="1842"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Stem Girth (cm)</w:t>
            </w:r>
          </w:p>
        </w:tc>
        <w:tc>
          <w:tcPr>
            <w:tcW w:w="1843"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Number of Leaves</w:t>
            </w:r>
          </w:p>
        </w:tc>
        <w:tc>
          <w:tcPr>
            <w:tcW w:w="1843"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Leaf Area (cm²)</w:t>
            </w:r>
          </w:p>
        </w:tc>
      </w:tr>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Control</w:t>
            </w:r>
          </w:p>
        </w:tc>
        <w:tc>
          <w:tcPr>
            <w:tcW w:w="1985"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26.22</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2.24</w:t>
            </w:r>
          </w:p>
        </w:tc>
        <w:tc>
          <w:tcPr>
            <w:tcW w:w="1842"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1.04</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0.01</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8.00</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0.47</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13.17</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0.02</w:t>
            </w:r>
          </w:p>
        </w:tc>
      </w:tr>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Poultry Manure</w:t>
            </w:r>
          </w:p>
        </w:tc>
        <w:tc>
          <w:tcPr>
            <w:tcW w:w="1985"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101.28</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0.41</w:t>
            </w:r>
          </w:p>
        </w:tc>
        <w:tc>
          <w:tcPr>
            <w:tcW w:w="1842"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2.29</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0.04</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15.33</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1.18</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78.63</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0.07</w:t>
            </w:r>
          </w:p>
        </w:tc>
      </w:tr>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NPK 15:15:15</w:t>
            </w:r>
          </w:p>
        </w:tc>
        <w:tc>
          <w:tcPr>
            <w:tcW w:w="1985"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104.06</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0.11</w:t>
            </w:r>
          </w:p>
        </w:tc>
        <w:tc>
          <w:tcPr>
            <w:tcW w:w="1842"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2.52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0.05</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17.33</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0.71</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80.42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0.02</w:t>
            </w:r>
          </w:p>
        </w:tc>
      </w:tr>
      <w:tr w:rsidR="00BE110A" w:rsidRPr="00BE110A" w:rsidTr="00A463C3">
        <w:tc>
          <w:tcPr>
            <w:tcW w:w="1838" w:type="dxa"/>
          </w:tcPr>
          <w:p w:rsidR="00D82955" w:rsidRPr="00BE110A" w:rsidRDefault="00D82955" w:rsidP="00A463C3">
            <w:pPr>
              <w:jc w:val="both"/>
              <w:rPr>
                <w:rFonts w:ascii="Times New Roman" w:eastAsia="Times New Roman" w:hAnsi="Times New Roman" w:cs="Times New Roman"/>
                <w:b/>
                <w:bCs/>
                <w:color w:val="000000" w:themeColor="text1"/>
                <w:bdr w:val="none" w:sz="0" w:space="0" w:color="auto" w:frame="1"/>
              </w:rPr>
            </w:pPr>
            <w:r w:rsidRPr="00BE110A">
              <w:rPr>
                <w:rFonts w:ascii="Times New Roman" w:eastAsia="Times New Roman" w:hAnsi="Times New Roman" w:cs="Times New Roman"/>
                <w:b/>
                <w:bCs/>
                <w:color w:val="000000" w:themeColor="text1"/>
                <w:bdr w:val="none" w:sz="0" w:space="0" w:color="auto" w:frame="1"/>
              </w:rPr>
              <w:t>LSD (p&lt;0.05)</w:t>
            </w:r>
          </w:p>
        </w:tc>
        <w:tc>
          <w:tcPr>
            <w:tcW w:w="1985"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4.12</w:t>
            </w:r>
          </w:p>
        </w:tc>
        <w:tc>
          <w:tcPr>
            <w:tcW w:w="1842"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0.08</w:t>
            </w:r>
          </w:p>
        </w:tc>
        <w:tc>
          <w:tcPr>
            <w:tcW w:w="1843"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2.15</w:t>
            </w:r>
          </w:p>
        </w:tc>
        <w:tc>
          <w:tcPr>
            <w:tcW w:w="1843"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0.52</w:t>
            </w:r>
          </w:p>
        </w:tc>
      </w:tr>
    </w:tbl>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Values are means ± standard deviation. Means in a column followed by different superscrip</w:t>
      </w:r>
      <w:r w:rsidR="00AF3957" w:rsidRPr="00BE110A">
        <w:rPr>
          <w:rFonts w:ascii="Times New Roman" w:hAnsi="Times New Roman" w:cs="Times New Roman"/>
          <w:color w:val="000000" w:themeColor="text1"/>
          <w:sz w:val="20"/>
          <w:szCs w:val="20"/>
        </w:rPr>
        <w:t>ts are significantly different.</w:t>
      </w:r>
    </w:p>
    <w:p w:rsidR="00F62D8E" w:rsidRDefault="00A463C3" w:rsidP="00A463C3">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BE110A">
        <w:rPr>
          <w:rFonts w:ascii="Times New Roman" w:hAnsi="Times New Roman" w:cs="Times New Roman"/>
          <w:noProof/>
          <w:color w:val="000000" w:themeColor="text1"/>
          <w:sz w:val="20"/>
          <w:szCs w:val="20"/>
        </w:rPr>
        <w:lastRenderedPageBreak/>
        <mc:AlternateContent>
          <mc:Choice Requires="wps">
            <w:drawing>
              <wp:anchor distT="0" distB="0" distL="114300" distR="114300" simplePos="0" relativeHeight="251661312" behindDoc="0" locked="0" layoutInCell="1" allowOverlap="1" wp14:anchorId="4002F8E4" wp14:editId="4D131134">
                <wp:simplePos x="0" y="0"/>
                <wp:positionH relativeFrom="column">
                  <wp:posOffset>4315423</wp:posOffset>
                </wp:positionH>
                <wp:positionV relativeFrom="paragraph">
                  <wp:posOffset>68580</wp:posOffset>
                </wp:positionV>
                <wp:extent cx="1269365" cy="32258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26936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63C3" w:rsidRPr="008F348E" w:rsidRDefault="00A463C3" w:rsidP="00A463C3">
                            <w:pPr>
                              <w:rPr>
                                <w:rFonts w:ascii="Times New Roman" w:hAnsi="Times New Roman" w:cs="Times New Roman"/>
                                <w:i/>
                                <w:color w:val="595959" w:themeColor="text1" w:themeTint="A6"/>
                                <w:sz w:val="18"/>
                                <w:szCs w:val="18"/>
                              </w:rPr>
                            </w:pPr>
                            <w:r w:rsidRPr="008F348E">
                              <w:rPr>
                                <w:rFonts w:ascii="Times New Roman" w:hAnsi="Times New Roman" w:cs="Times New Roman"/>
                                <w:color w:val="595959" w:themeColor="text1" w:themeTint="A6"/>
                                <w:sz w:val="18"/>
                                <w:szCs w:val="18"/>
                              </w:rPr>
                              <w:t xml:space="preserve">for </w:t>
                            </w:r>
                            <w:r>
                              <w:rPr>
                                <w:rFonts w:ascii="Times New Roman" w:hAnsi="Times New Roman" w:cs="Times New Roman"/>
                                <w:i/>
                                <w:color w:val="595959" w:themeColor="text1" w:themeTint="A6"/>
                                <w:sz w:val="18"/>
                                <w:szCs w:val="18"/>
                              </w:rPr>
                              <w:t xml:space="preserve">A. </w:t>
                            </w:r>
                            <w:proofErr w:type="spellStart"/>
                            <w:r>
                              <w:rPr>
                                <w:rFonts w:ascii="Times New Roman" w:hAnsi="Times New Roman" w:cs="Times New Roman"/>
                                <w:i/>
                                <w:color w:val="595959" w:themeColor="text1" w:themeTint="A6"/>
                                <w:sz w:val="18"/>
                                <w:szCs w:val="18"/>
                              </w:rPr>
                              <w:t>hybridus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02F8E4" id="_x0000_t202" coordsize="21600,21600" o:spt="202" path="m,l,21600r21600,l21600,xe">
                <v:stroke joinstyle="miter"/>
                <v:path gradientshapeok="t" o:connecttype="rect"/>
              </v:shapetype>
              <v:shape id="Text Box 4" o:spid="_x0000_s1026" type="#_x0000_t202" style="position:absolute;left:0;text-align:left;margin-left:339.8pt;margin-top:5.4pt;width:99.95pt;height:25.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" filled="f" stroked="f" strokeweight=".5pt">
                <v:textbox>
                  <w:txbxContent>
                    <w:p w:rsidR="00A463C3" w:rsidRPr="008F348E" w:rsidRDefault="00A463C3" w:rsidP="00A463C3">
                      <w:pPr>
                        <w:rPr>
                          <w:rFonts w:ascii="Times New Roman" w:hAnsi="Times New Roman" w:cs="Times New Roman"/>
                          <w:i/>
                          <w:color w:val="595959" w:themeColor="text1" w:themeTint="A6"/>
                          <w:sz w:val="18"/>
                          <w:szCs w:val="18"/>
                        </w:rPr>
                      </w:pPr>
                      <w:r w:rsidRPr="008F348E">
                        <w:rPr>
                          <w:rFonts w:ascii="Times New Roman" w:hAnsi="Times New Roman" w:cs="Times New Roman"/>
                          <w:color w:val="595959" w:themeColor="text1" w:themeTint="A6"/>
                          <w:sz w:val="18"/>
                          <w:szCs w:val="18"/>
                        </w:rPr>
                        <w:t xml:space="preserve">for </w:t>
                      </w:r>
                      <w:r>
                        <w:rPr>
                          <w:rFonts w:ascii="Times New Roman" w:hAnsi="Times New Roman" w:cs="Times New Roman"/>
                          <w:i/>
                          <w:color w:val="595959" w:themeColor="text1" w:themeTint="A6"/>
                          <w:sz w:val="18"/>
                          <w:szCs w:val="18"/>
                        </w:rPr>
                        <w:t xml:space="preserve">A. </w:t>
                      </w:r>
                      <w:proofErr w:type="spellStart"/>
                      <w:r>
                        <w:rPr>
                          <w:rFonts w:ascii="Times New Roman" w:hAnsi="Times New Roman" w:cs="Times New Roman"/>
                          <w:i/>
                          <w:color w:val="595959" w:themeColor="text1" w:themeTint="A6"/>
                          <w:sz w:val="18"/>
                          <w:szCs w:val="18"/>
                        </w:rPr>
                        <w:t>hybridus</w:t>
                      </w:r>
                      <w:proofErr w:type="spellEnd"/>
                    </w:p>
                  </w:txbxContent>
                </v:textbox>
              </v:shape>
            </w:pict>
          </mc:Fallback>
        </mc:AlternateContent>
      </w:r>
      <w:r w:rsidR="00F62D8E" w:rsidRPr="00BE110A">
        <w:rPr>
          <w:rFonts w:ascii="Times New Roman" w:eastAsia="Times New Roman" w:hAnsi="Times New Roman" w:cs="Times New Roman"/>
          <w:noProof/>
          <w:color w:val="000000" w:themeColor="text1"/>
          <w:sz w:val="20"/>
          <w:szCs w:val="20"/>
        </w:rPr>
        <w:drawing>
          <wp:inline distT="0" distB="0" distL="0" distR="0" wp14:anchorId="6F87D194" wp14:editId="488004DD">
            <wp:extent cx="6233684" cy="3636085"/>
            <wp:effectExtent l="0" t="0" r="0" b="2540"/>
            <wp:docPr id="3" name="Picture 3" descr="C:\Users\finih\Downloads\Code_Generated_Im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inih\Downloads\Code_Generated_Image (3).pn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Effect>
                                <a14:saturation sat="3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274085" cy="3659651"/>
                    </a:xfrm>
                    <a:prstGeom prst="rect">
                      <a:avLst/>
                    </a:prstGeom>
                    <a:noFill/>
                    <a:ln>
                      <a:noFill/>
                    </a:ln>
                  </pic:spPr>
                </pic:pic>
              </a:graphicData>
            </a:graphic>
          </wp:inline>
        </w:drawing>
      </w:r>
    </w:p>
    <w:p w:rsidR="00F74414" w:rsidRPr="00F62D8E" w:rsidRDefault="00F74414" w:rsidP="00A463C3">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Fig.1. </w:t>
      </w:r>
    </w:p>
    <w:p w:rsidR="004372E0" w:rsidRPr="00BE110A" w:rsidRDefault="004372E0"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data reveals a clear physiological response to nutrient supplementation. For the treatment </w:t>
      </w:r>
      <w:proofErr w:type="gramStart"/>
      <w:r w:rsidRPr="00BE110A">
        <w:rPr>
          <w:rFonts w:ascii="Times New Roman" w:hAnsi="Times New Roman" w:cs="Times New Roman"/>
          <w:color w:val="000000" w:themeColor="text1"/>
          <w:sz w:val="20"/>
          <w:szCs w:val="20"/>
        </w:rPr>
        <w:t>efficacy,  there</w:t>
      </w:r>
      <w:proofErr w:type="gramEnd"/>
      <w:r w:rsidRPr="00BE110A">
        <w:rPr>
          <w:rFonts w:ascii="Times New Roman" w:hAnsi="Times New Roman" w:cs="Times New Roman"/>
          <w:color w:val="000000" w:themeColor="text1"/>
          <w:sz w:val="20"/>
          <w:szCs w:val="20"/>
        </w:rPr>
        <w:t xml:space="preserve"> was a massive growth surge in both the organic (Poultry Manure) and inorganic (NPK) groups compared to the Control. Plant height and leaf area, in particular, increased by approximately 400% and 500% respectively when treated.</w:t>
      </w:r>
    </w:p>
    <w:p w:rsidR="004372E0" w:rsidRPr="00BE110A" w:rsidRDefault="004372E0"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While NPK 15:15:15 consistently recorded the highest values across all four parameters, the difference between NPK and Poultry Manure was relatively small. For instance, there was only a 2.7% difference in plant height and a 2.2% difference in leaf area.</w:t>
      </w:r>
    </w:p>
    <w:p w:rsidR="001C27E2" w:rsidRPr="00BE110A" w:rsidRDefault="004372E0"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The high values for Leaf Area and Plant Height in the treated groups suggest that the nitrogen content in both fertilizers effectively stimulated photosynthesis and cell expansion. The increased Stem Girth indicates that the plants also developed the structural strength necessary to support the expanded foliage. However, both NPK 15:15:15 and Poultry Manure are highly effective at boosting growth, making Poultry Manure a very viable organic substitute for more expensive inorganic fertilizers given the marginal performance gap.</w:t>
      </w:r>
    </w:p>
    <w:p w:rsidR="001C27E2" w:rsidRPr="00BE110A" w:rsidRDefault="001C27E2" w:rsidP="00A463C3">
      <w:pPr>
        <w:spacing w:line="240" w:lineRule="auto"/>
        <w:jc w:val="both"/>
        <w:rPr>
          <w:rFonts w:ascii="Times New Roman" w:hAnsi="Times New Roman" w:cs="Times New Roman"/>
          <w:b/>
          <w:color w:val="000000" w:themeColor="text1"/>
          <w:sz w:val="20"/>
          <w:szCs w:val="20"/>
        </w:rPr>
      </w:pPr>
      <w:r w:rsidRPr="00BE110A">
        <w:rPr>
          <w:rFonts w:ascii="Times New Roman" w:hAnsi="Times New Roman" w:cs="Times New Roman"/>
          <w:b/>
          <w:color w:val="000000" w:themeColor="text1"/>
          <w:sz w:val="20"/>
          <w:szCs w:val="20"/>
        </w:rPr>
        <w:t xml:space="preserve">3.2. Growth Performance of </w:t>
      </w:r>
      <w:proofErr w:type="spellStart"/>
      <w:r w:rsidRPr="00BE110A">
        <w:rPr>
          <w:rFonts w:ascii="Times New Roman" w:hAnsi="Times New Roman" w:cs="Times New Roman"/>
          <w:b/>
          <w:i/>
          <w:color w:val="000000" w:themeColor="text1"/>
          <w:sz w:val="20"/>
          <w:szCs w:val="20"/>
        </w:rPr>
        <w:t>Telfairi</w:t>
      </w:r>
      <w:r w:rsidR="00AF3957" w:rsidRPr="00BE110A">
        <w:rPr>
          <w:rFonts w:ascii="Times New Roman" w:hAnsi="Times New Roman" w:cs="Times New Roman"/>
          <w:b/>
          <w:i/>
          <w:color w:val="000000" w:themeColor="text1"/>
          <w:sz w:val="20"/>
          <w:szCs w:val="20"/>
        </w:rPr>
        <w:t>a</w:t>
      </w:r>
      <w:proofErr w:type="spellEnd"/>
      <w:r w:rsidR="00AF3957" w:rsidRPr="00BE110A">
        <w:rPr>
          <w:rFonts w:ascii="Times New Roman" w:hAnsi="Times New Roman" w:cs="Times New Roman"/>
          <w:b/>
          <w:i/>
          <w:color w:val="000000" w:themeColor="text1"/>
          <w:sz w:val="20"/>
          <w:szCs w:val="20"/>
        </w:rPr>
        <w:t xml:space="preserve"> </w:t>
      </w:r>
      <w:proofErr w:type="spellStart"/>
      <w:r w:rsidR="00AF3957" w:rsidRPr="00BE110A">
        <w:rPr>
          <w:rFonts w:ascii="Times New Roman" w:hAnsi="Times New Roman" w:cs="Times New Roman"/>
          <w:b/>
          <w:i/>
          <w:color w:val="000000" w:themeColor="text1"/>
          <w:sz w:val="20"/>
          <w:szCs w:val="20"/>
        </w:rPr>
        <w:t>occidentalis</w:t>
      </w:r>
      <w:proofErr w:type="spellEnd"/>
    </w:p>
    <w:p w:rsidR="001C27E2" w:rsidRPr="00BE110A" w:rsidRDefault="00AF3957"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growth response of </w:t>
      </w:r>
      <w:r w:rsidR="001C27E2" w:rsidRPr="00BE110A">
        <w:rPr>
          <w:rFonts w:ascii="Times New Roman" w:hAnsi="Times New Roman" w:cs="Times New Roman"/>
          <w:i/>
          <w:color w:val="000000" w:themeColor="text1"/>
          <w:sz w:val="20"/>
          <w:szCs w:val="20"/>
        </w:rPr>
        <w:t xml:space="preserve">T. </w:t>
      </w:r>
      <w:proofErr w:type="spellStart"/>
      <w:r w:rsidR="001C27E2" w:rsidRPr="00BE110A">
        <w:rPr>
          <w:rFonts w:ascii="Times New Roman" w:hAnsi="Times New Roman" w:cs="Times New Roman"/>
          <w:i/>
          <w:color w:val="000000" w:themeColor="text1"/>
          <w:sz w:val="20"/>
          <w:szCs w:val="20"/>
        </w:rPr>
        <w:t>occidentalis</w:t>
      </w:r>
      <w:proofErr w:type="spellEnd"/>
      <w:r w:rsidR="001C27E2" w:rsidRPr="00BE110A">
        <w:rPr>
          <w:rFonts w:ascii="Times New Roman" w:hAnsi="Times New Roman" w:cs="Times New Roman"/>
          <w:color w:val="000000" w:themeColor="text1"/>
          <w:sz w:val="20"/>
          <w:szCs w:val="20"/>
        </w:rPr>
        <w:t xml:space="preserve"> to amendments was equally pronounced and significant (p &lt; 0.05) (Table 2, Fig. 2). NPK fertilizer again produced the tallest plants (61.52 cm) and thickest stems (7.00 cm). Interestingly, poultry manure resulted in the highest number of leaves (30.08), slightly surpassing NPK (29.50). For leaf area, NPK treatment yielded the highest value (70.02 cm²), followed by poultry manure (66.81 cm²). Control plants exhibited extremely poor growth across all pa</w:t>
      </w:r>
      <w:r w:rsidRPr="00BE110A">
        <w:rPr>
          <w:rFonts w:ascii="Times New Roman" w:hAnsi="Times New Roman" w:cs="Times New Roman"/>
          <w:color w:val="000000" w:themeColor="text1"/>
          <w:sz w:val="20"/>
          <w:szCs w:val="20"/>
        </w:rPr>
        <w:t>rameters.</w:t>
      </w:r>
    </w:p>
    <w:p w:rsidR="001C27E2" w:rsidRPr="00E914C0" w:rsidRDefault="001C27E2" w:rsidP="00A463C3">
      <w:pPr>
        <w:spacing w:line="240" w:lineRule="auto"/>
        <w:jc w:val="both"/>
        <w:rPr>
          <w:rFonts w:ascii="Times New Roman" w:hAnsi="Times New Roman" w:cs="Times New Roman"/>
          <w:b/>
          <w:color w:val="000000" w:themeColor="text1"/>
          <w:sz w:val="20"/>
          <w:szCs w:val="20"/>
        </w:rPr>
      </w:pPr>
      <w:r w:rsidRPr="00E914C0">
        <w:rPr>
          <w:rFonts w:ascii="Times New Roman" w:hAnsi="Times New Roman" w:cs="Times New Roman"/>
          <w:b/>
          <w:color w:val="000000" w:themeColor="text1"/>
          <w:sz w:val="20"/>
          <w:szCs w:val="20"/>
        </w:rPr>
        <w:t>Table 2: Effect of so</w:t>
      </w:r>
      <w:r w:rsidR="00AF3957" w:rsidRPr="00E914C0">
        <w:rPr>
          <w:rFonts w:ascii="Times New Roman" w:hAnsi="Times New Roman" w:cs="Times New Roman"/>
          <w:b/>
          <w:color w:val="000000" w:themeColor="text1"/>
          <w:sz w:val="20"/>
          <w:szCs w:val="20"/>
        </w:rPr>
        <w:t xml:space="preserve">il amendments on the growth of </w:t>
      </w:r>
      <w:proofErr w:type="spellStart"/>
      <w:r w:rsidR="00AF3957" w:rsidRPr="00E914C0">
        <w:rPr>
          <w:rFonts w:ascii="Times New Roman" w:hAnsi="Times New Roman" w:cs="Times New Roman"/>
          <w:b/>
          <w:i/>
          <w:color w:val="000000" w:themeColor="text1"/>
          <w:sz w:val="20"/>
          <w:szCs w:val="20"/>
        </w:rPr>
        <w:t>Telfairia</w:t>
      </w:r>
      <w:proofErr w:type="spellEnd"/>
      <w:r w:rsidR="00AF3957" w:rsidRPr="00E914C0">
        <w:rPr>
          <w:rFonts w:ascii="Times New Roman" w:hAnsi="Times New Roman" w:cs="Times New Roman"/>
          <w:b/>
          <w:i/>
          <w:color w:val="000000" w:themeColor="text1"/>
          <w:sz w:val="20"/>
          <w:szCs w:val="20"/>
        </w:rPr>
        <w:t xml:space="preserve"> </w:t>
      </w:r>
      <w:proofErr w:type="spellStart"/>
      <w:r w:rsidR="00AF3957" w:rsidRPr="00E914C0">
        <w:rPr>
          <w:rFonts w:ascii="Times New Roman" w:hAnsi="Times New Roman" w:cs="Times New Roman"/>
          <w:b/>
          <w:i/>
          <w:color w:val="000000" w:themeColor="text1"/>
          <w:sz w:val="20"/>
          <w:szCs w:val="20"/>
        </w:rPr>
        <w:t>occidentalis</w:t>
      </w:r>
      <w:proofErr w:type="spellEnd"/>
      <w:r w:rsidRPr="00E914C0">
        <w:rPr>
          <w:rFonts w:ascii="Times New Roman" w:hAnsi="Times New Roman" w:cs="Times New Roman"/>
          <w:b/>
          <w:color w:val="000000" w:themeColor="text1"/>
          <w:sz w:val="20"/>
          <w:szCs w:val="20"/>
        </w:rPr>
        <w:t xml:space="preserve"> Hook f. </w:t>
      </w:r>
      <w:r w:rsidR="00E914C0">
        <w:rPr>
          <w:rFonts w:ascii="Times New Roman" w:hAnsi="Times New Roman" w:cs="Times New Roman"/>
          <w:b/>
          <w:color w:val="000000" w:themeColor="text1"/>
          <w:sz w:val="20"/>
          <w:szCs w:val="20"/>
        </w:rPr>
        <w:t>(6 weeks after transplanting)</w:t>
      </w:r>
    </w:p>
    <w:tbl>
      <w:tblPr>
        <w:tblStyle w:val="TableGrid"/>
        <w:tblW w:w="9351" w:type="dxa"/>
        <w:tblLook w:val="04A0" w:firstRow="1" w:lastRow="0" w:firstColumn="1" w:lastColumn="0" w:noHBand="0" w:noVBand="1"/>
      </w:tblPr>
      <w:tblGrid>
        <w:gridCol w:w="1838"/>
        <w:gridCol w:w="1843"/>
        <w:gridCol w:w="1701"/>
        <w:gridCol w:w="1984"/>
        <w:gridCol w:w="1985"/>
      </w:tblGrid>
      <w:tr w:rsidR="00BE110A" w:rsidRPr="00BE110A" w:rsidTr="00A463C3">
        <w:tc>
          <w:tcPr>
            <w:tcW w:w="1838"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Treatment</w:t>
            </w:r>
          </w:p>
        </w:tc>
        <w:tc>
          <w:tcPr>
            <w:tcW w:w="1843"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Plant Height (cm)</w:t>
            </w:r>
          </w:p>
        </w:tc>
        <w:tc>
          <w:tcPr>
            <w:tcW w:w="1701"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Stem Girth (cm)</w:t>
            </w:r>
          </w:p>
        </w:tc>
        <w:tc>
          <w:tcPr>
            <w:tcW w:w="1984"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Number of Leaves</w:t>
            </w:r>
          </w:p>
        </w:tc>
        <w:tc>
          <w:tcPr>
            <w:tcW w:w="1985"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Leaf Area (cm²)</w:t>
            </w:r>
          </w:p>
        </w:tc>
      </w:tr>
      <w:tr w:rsidR="00BE110A" w:rsidRPr="00BE110A" w:rsidTr="00A463C3">
        <w:tc>
          <w:tcPr>
            <w:tcW w:w="1838" w:type="dxa"/>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b/>
                <w:bCs/>
                <w:color w:val="000000" w:themeColor="text1"/>
                <w:bdr w:val="none" w:sz="0" w:space="0" w:color="auto" w:frame="1"/>
              </w:rPr>
              <w:t>Control</w:t>
            </w:r>
          </w:p>
        </w:tc>
        <w:tc>
          <w:tcPr>
            <w:tcW w:w="1843"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14.76</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0.13</w:t>
            </w:r>
          </w:p>
        </w:tc>
        <w:tc>
          <w:tcPr>
            <w:tcW w:w="1701"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2.52</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0.02</w:t>
            </w:r>
          </w:p>
        </w:tc>
        <w:tc>
          <w:tcPr>
            <w:tcW w:w="1984"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16.50</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0.94</w:t>
            </w:r>
          </w:p>
        </w:tc>
        <w:tc>
          <w:tcPr>
            <w:tcW w:w="1985"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9.89</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0.01</w:t>
            </w:r>
          </w:p>
        </w:tc>
      </w:tr>
      <w:tr w:rsidR="00BE110A" w:rsidRPr="00BE110A" w:rsidTr="00A463C3">
        <w:tc>
          <w:tcPr>
            <w:tcW w:w="1838" w:type="dxa"/>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b/>
                <w:bCs/>
                <w:color w:val="000000" w:themeColor="text1"/>
                <w:bdr w:val="none" w:sz="0" w:space="0" w:color="auto" w:frame="1"/>
              </w:rPr>
              <w:t>Poultry Manure</w:t>
            </w:r>
          </w:p>
        </w:tc>
        <w:tc>
          <w:tcPr>
            <w:tcW w:w="1843"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48.19</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0.51</w:t>
            </w:r>
          </w:p>
        </w:tc>
        <w:tc>
          <w:tcPr>
            <w:tcW w:w="1701"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6.60</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0.09</w:t>
            </w:r>
          </w:p>
        </w:tc>
        <w:tc>
          <w:tcPr>
            <w:tcW w:w="1984"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30.08</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1.30</w:t>
            </w:r>
          </w:p>
        </w:tc>
        <w:tc>
          <w:tcPr>
            <w:tcW w:w="1985"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66.81</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0.18</w:t>
            </w:r>
          </w:p>
        </w:tc>
      </w:tr>
      <w:tr w:rsidR="00BE110A" w:rsidRPr="00BE110A" w:rsidTr="00A463C3">
        <w:tc>
          <w:tcPr>
            <w:tcW w:w="1838" w:type="dxa"/>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b/>
                <w:bCs/>
                <w:color w:val="000000" w:themeColor="text1"/>
                <w:bdr w:val="none" w:sz="0" w:space="0" w:color="auto" w:frame="1"/>
              </w:rPr>
              <w:t>NPK 15:15:15</w:t>
            </w:r>
          </w:p>
        </w:tc>
        <w:tc>
          <w:tcPr>
            <w:tcW w:w="1843"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61.52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0.16</w:t>
            </w:r>
          </w:p>
        </w:tc>
        <w:tc>
          <w:tcPr>
            <w:tcW w:w="1701"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7.00</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0.05</w:t>
            </w:r>
          </w:p>
        </w:tc>
        <w:tc>
          <w:tcPr>
            <w:tcW w:w="1984"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29.50</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2.12</w:t>
            </w:r>
          </w:p>
        </w:tc>
        <w:tc>
          <w:tcPr>
            <w:tcW w:w="1985"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70.02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0.02</w:t>
            </w:r>
          </w:p>
        </w:tc>
      </w:tr>
      <w:tr w:rsidR="00BE110A" w:rsidRPr="00BE110A" w:rsidTr="00A463C3">
        <w:tc>
          <w:tcPr>
            <w:tcW w:w="1838" w:type="dxa"/>
          </w:tcPr>
          <w:p w:rsidR="00AF3957" w:rsidRPr="00BE110A" w:rsidRDefault="00AF3957" w:rsidP="00A463C3">
            <w:pPr>
              <w:jc w:val="both"/>
              <w:rPr>
                <w:rFonts w:ascii="Times New Roman" w:hAnsi="Times New Roman" w:cs="Times New Roman"/>
                <w:b/>
                <w:bCs/>
                <w:color w:val="000000" w:themeColor="text1"/>
                <w:bdr w:val="none" w:sz="0" w:space="0" w:color="auto" w:frame="1"/>
              </w:rPr>
            </w:pPr>
            <w:r w:rsidRPr="00BE110A">
              <w:rPr>
                <w:rFonts w:ascii="Times New Roman" w:hAnsi="Times New Roman" w:cs="Times New Roman"/>
                <w:b/>
                <w:bCs/>
                <w:color w:val="000000" w:themeColor="text1"/>
                <w:bdr w:val="none" w:sz="0" w:space="0" w:color="auto" w:frame="1"/>
              </w:rPr>
              <w:t>LSD (p&lt;0.05)</w:t>
            </w:r>
          </w:p>
        </w:tc>
        <w:tc>
          <w:tcPr>
            <w:tcW w:w="1843"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0.85</w:t>
            </w:r>
          </w:p>
        </w:tc>
        <w:tc>
          <w:tcPr>
            <w:tcW w:w="1701"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0.14</w:t>
            </w:r>
          </w:p>
        </w:tc>
        <w:tc>
          <w:tcPr>
            <w:tcW w:w="1984"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3.64</w:t>
            </w:r>
          </w:p>
        </w:tc>
        <w:tc>
          <w:tcPr>
            <w:tcW w:w="1985"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0.27</w:t>
            </w:r>
          </w:p>
        </w:tc>
      </w:tr>
    </w:tbl>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lastRenderedPageBreak/>
        <w:t>Values are means ± standard deviation. Means in a column followed by different superscript</w:t>
      </w:r>
      <w:r w:rsidR="009F184F" w:rsidRPr="00BE110A">
        <w:rPr>
          <w:rFonts w:ascii="Times New Roman" w:hAnsi="Times New Roman" w:cs="Times New Roman"/>
          <w:color w:val="000000" w:themeColor="text1"/>
          <w:sz w:val="20"/>
          <w:szCs w:val="20"/>
        </w:rPr>
        <w:t>s are significantly different.</w:t>
      </w:r>
    </w:p>
    <w:p w:rsidR="008F348E" w:rsidRDefault="008F348E" w:rsidP="00A463C3">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BE110A">
        <w:rPr>
          <w:rFonts w:ascii="Times New Roman" w:hAnsi="Times New Roman" w:cs="Times New Roman"/>
          <w:noProof/>
          <w:color w:val="000000" w:themeColor="text1"/>
          <w:sz w:val="20"/>
          <w:szCs w:val="20"/>
        </w:rPr>
        <mc:AlternateContent>
          <mc:Choice Requires="wps">
            <w:drawing>
              <wp:anchor distT="0" distB="0" distL="114300" distR="114300" simplePos="0" relativeHeight="251659264" behindDoc="0" locked="0" layoutInCell="1" allowOverlap="1" wp14:anchorId="724773EA" wp14:editId="3A36CBD9">
                <wp:simplePos x="0" y="0"/>
                <wp:positionH relativeFrom="column">
                  <wp:posOffset>4400550</wp:posOffset>
                </wp:positionH>
                <wp:positionV relativeFrom="paragraph">
                  <wp:posOffset>73623</wp:posOffset>
                </wp:positionV>
                <wp:extent cx="1269365" cy="32258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26936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48E" w:rsidRPr="008F348E" w:rsidRDefault="008F348E">
                            <w:pPr>
                              <w:rPr>
                                <w:rFonts w:ascii="Times New Roman" w:hAnsi="Times New Roman" w:cs="Times New Roman"/>
                                <w:i/>
                                <w:color w:val="595959" w:themeColor="text1" w:themeTint="A6"/>
                                <w:sz w:val="18"/>
                                <w:szCs w:val="18"/>
                              </w:rPr>
                            </w:pPr>
                            <w:r w:rsidRPr="008F348E">
                              <w:rPr>
                                <w:rFonts w:ascii="Times New Roman" w:hAnsi="Times New Roman" w:cs="Times New Roman"/>
                                <w:color w:val="595959" w:themeColor="text1" w:themeTint="A6"/>
                                <w:sz w:val="18"/>
                                <w:szCs w:val="18"/>
                              </w:rPr>
                              <w:t xml:space="preserve">for </w:t>
                            </w:r>
                            <w:r w:rsidRPr="008F348E">
                              <w:rPr>
                                <w:rFonts w:ascii="Times New Roman" w:hAnsi="Times New Roman" w:cs="Times New Roman"/>
                                <w:i/>
                                <w:color w:val="595959" w:themeColor="text1" w:themeTint="A6"/>
                                <w:sz w:val="18"/>
                                <w:szCs w:val="18"/>
                              </w:rPr>
                              <w:t xml:space="preserve">T. </w:t>
                            </w:r>
                            <w:proofErr w:type="spellStart"/>
                            <w:r w:rsidRPr="008F348E">
                              <w:rPr>
                                <w:rFonts w:ascii="Times New Roman" w:hAnsi="Times New Roman" w:cs="Times New Roman"/>
                                <w:i/>
                                <w:color w:val="595959" w:themeColor="text1" w:themeTint="A6"/>
                                <w:sz w:val="18"/>
                                <w:szCs w:val="18"/>
                              </w:rPr>
                              <w:t>occidentalis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4773EA" id="Text Box 2" o:spid="_x0000_s1027" type="#_x0000_t202" style="position:absolute;left:0;text-align:left;margin-left:346.5pt;margin-top:5.8pt;width:99.95pt;height:2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" filled="f" stroked="f" strokeweight=".5pt">
                <v:textbox>
                  <w:txbxContent>
                    <w:p w:rsidR="008F348E" w:rsidRPr="008F348E" w:rsidRDefault="008F348E">
                      <w:pPr>
                        <w:rPr>
                          <w:rFonts w:ascii="Times New Roman" w:hAnsi="Times New Roman" w:cs="Times New Roman"/>
                          <w:i/>
                          <w:color w:val="595959" w:themeColor="text1" w:themeTint="A6"/>
                          <w:sz w:val="18"/>
                          <w:szCs w:val="18"/>
                        </w:rPr>
                      </w:pPr>
                      <w:r w:rsidRPr="008F348E">
                        <w:rPr>
                          <w:rFonts w:ascii="Times New Roman" w:hAnsi="Times New Roman" w:cs="Times New Roman"/>
                          <w:color w:val="595959" w:themeColor="text1" w:themeTint="A6"/>
                          <w:sz w:val="18"/>
                          <w:szCs w:val="18"/>
                        </w:rPr>
                        <w:t xml:space="preserve">for </w:t>
                      </w:r>
                      <w:r w:rsidRPr="008F348E">
                        <w:rPr>
                          <w:rFonts w:ascii="Times New Roman" w:hAnsi="Times New Roman" w:cs="Times New Roman"/>
                          <w:i/>
                          <w:color w:val="595959" w:themeColor="text1" w:themeTint="A6"/>
                          <w:sz w:val="18"/>
                          <w:szCs w:val="18"/>
                        </w:rPr>
                        <w:t xml:space="preserve">T. </w:t>
                      </w:r>
                      <w:proofErr w:type="spellStart"/>
                      <w:r w:rsidRPr="008F348E">
                        <w:rPr>
                          <w:rFonts w:ascii="Times New Roman" w:hAnsi="Times New Roman" w:cs="Times New Roman"/>
                          <w:i/>
                          <w:color w:val="595959" w:themeColor="text1" w:themeTint="A6"/>
                          <w:sz w:val="18"/>
                          <w:szCs w:val="18"/>
                        </w:rPr>
                        <w:t>occidentalis</w:t>
                      </w:r>
                      <w:proofErr w:type="spellEnd"/>
                    </w:p>
                  </w:txbxContent>
                </v:textbox>
              </v:shape>
            </w:pict>
          </mc:Fallback>
        </mc:AlternateContent>
      </w:r>
      <w:r w:rsidRPr="00BE110A">
        <w:rPr>
          <w:rFonts w:ascii="Times New Roman" w:eastAsia="Times New Roman" w:hAnsi="Times New Roman" w:cs="Times New Roman"/>
          <w:noProof/>
          <w:color w:val="000000" w:themeColor="text1"/>
          <w:sz w:val="20"/>
          <w:szCs w:val="20"/>
        </w:rPr>
        <w:drawing>
          <wp:inline distT="0" distB="0" distL="0" distR="0" wp14:anchorId="633716C7" wp14:editId="5371AD0E">
            <wp:extent cx="6013525" cy="3507667"/>
            <wp:effectExtent l="0" t="0" r="6350" b="0"/>
            <wp:docPr id="1" name="Picture 1" descr="C:\Users\finih\Downloads\Code_Generated_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inih\Downloads\Code_Generated_Image (4).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037047" cy="3521387"/>
                    </a:xfrm>
                    <a:prstGeom prst="rect">
                      <a:avLst/>
                    </a:prstGeom>
                    <a:noFill/>
                    <a:ln>
                      <a:noFill/>
                    </a:ln>
                  </pic:spPr>
                </pic:pic>
              </a:graphicData>
            </a:graphic>
          </wp:inline>
        </w:drawing>
      </w:r>
    </w:p>
    <w:p w:rsidR="00F74414" w:rsidRPr="008F348E" w:rsidRDefault="00F74414" w:rsidP="00A463C3">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Fig. 2. </w:t>
      </w:r>
    </w:p>
    <w:p w:rsidR="00F62D8E" w:rsidRPr="00BE110A" w:rsidRDefault="00F62D8E" w:rsidP="00A463C3">
      <w:pPr>
        <w:pStyle w:val="NormalWeb"/>
        <w:spacing w:after="0" w:afterAutospacing="0"/>
        <w:jc w:val="both"/>
        <w:rPr>
          <w:color w:val="000000" w:themeColor="text1"/>
          <w:sz w:val="20"/>
          <w:szCs w:val="20"/>
        </w:rPr>
      </w:pPr>
      <w:r w:rsidRPr="00BE110A">
        <w:rPr>
          <w:color w:val="000000" w:themeColor="text1"/>
          <w:sz w:val="20"/>
          <w:szCs w:val="20"/>
        </w:rPr>
        <w:t xml:space="preserve">The data showed a significant growth response in all parameters when nutrients are added. The </w:t>
      </w:r>
      <w:r w:rsidRPr="00BE110A">
        <w:rPr>
          <w:bCs/>
          <w:color w:val="000000" w:themeColor="text1"/>
          <w:sz w:val="20"/>
          <w:szCs w:val="20"/>
          <w:bdr w:val="none" w:sz="0" w:space="0" w:color="auto" w:frame="1"/>
        </w:rPr>
        <w:t>Control</w:t>
      </w:r>
      <w:r w:rsidRPr="00BE110A">
        <w:rPr>
          <w:color w:val="000000" w:themeColor="text1"/>
          <w:sz w:val="20"/>
          <w:szCs w:val="20"/>
        </w:rPr>
        <w:t xml:space="preserve"> group consistently shows the lowest values, particularly in </w:t>
      </w:r>
      <w:r w:rsidRPr="00BE110A">
        <w:rPr>
          <w:bCs/>
          <w:color w:val="000000" w:themeColor="text1"/>
          <w:sz w:val="20"/>
          <w:szCs w:val="20"/>
          <w:bdr w:val="none" w:sz="0" w:space="0" w:color="auto" w:frame="1"/>
        </w:rPr>
        <w:t>Leaf Area (</w:t>
      </w:r>
      <w:r w:rsidRPr="00BE110A">
        <w:rPr>
          <w:rStyle w:val="math-inline"/>
          <w:bCs/>
          <w:color w:val="000000" w:themeColor="text1"/>
          <w:sz w:val="20"/>
          <w:szCs w:val="20"/>
          <w:bdr w:val="none" w:sz="0" w:space="0" w:color="auto" w:frame="1"/>
        </w:rPr>
        <w:t>9.89cm</w:t>
      </w:r>
      <w:r w:rsidRPr="00BE110A">
        <w:rPr>
          <w:rStyle w:val="math-inline"/>
          <w:bCs/>
          <w:color w:val="000000" w:themeColor="text1"/>
          <w:sz w:val="20"/>
          <w:szCs w:val="20"/>
          <w:bdr w:val="none" w:sz="0" w:space="0" w:color="auto" w:frame="1"/>
          <w:vertAlign w:val="superscript"/>
        </w:rPr>
        <w:t>2</w:t>
      </w:r>
      <w:r w:rsidRPr="00BE110A">
        <w:rPr>
          <w:bCs/>
          <w:color w:val="000000" w:themeColor="text1"/>
          <w:sz w:val="20"/>
          <w:szCs w:val="20"/>
          <w:bdr w:val="none" w:sz="0" w:space="0" w:color="auto" w:frame="1"/>
        </w:rPr>
        <w:t>)</w:t>
      </w:r>
      <w:r w:rsidRPr="00BE110A">
        <w:rPr>
          <w:color w:val="000000" w:themeColor="text1"/>
          <w:sz w:val="20"/>
          <w:szCs w:val="20"/>
        </w:rPr>
        <w:t xml:space="preserve">, indicating that without supplementation, the plants lack the resources for efficient photosynthesis and expansion. </w:t>
      </w:r>
      <w:r w:rsidRPr="00BE110A">
        <w:rPr>
          <w:bCs/>
          <w:color w:val="000000" w:themeColor="text1"/>
          <w:sz w:val="20"/>
          <w:szCs w:val="20"/>
          <w:bdr w:val="none" w:sz="0" w:space="0" w:color="auto" w:frame="1"/>
        </w:rPr>
        <w:t>NPK 15:15:15</w:t>
      </w:r>
      <w:r w:rsidRPr="00BE110A">
        <w:rPr>
          <w:color w:val="000000" w:themeColor="text1"/>
          <w:sz w:val="20"/>
          <w:szCs w:val="20"/>
        </w:rPr>
        <w:t xml:space="preserve"> led to the highest </w:t>
      </w:r>
      <w:r w:rsidRPr="00BE110A">
        <w:rPr>
          <w:bCs/>
          <w:color w:val="000000" w:themeColor="text1"/>
          <w:sz w:val="20"/>
          <w:szCs w:val="20"/>
          <w:bdr w:val="none" w:sz="0" w:space="0" w:color="auto" w:frame="1"/>
        </w:rPr>
        <w:t>plant height (</w:t>
      </w:r>
      <w:r w:rsidRPr="00BE110A">
        <w:rPr>
          <w:rStyle w:val="math-inline"/>
          <w:bCs/>
          <w:color w:val="000000" w:themeColor="text1"/>
          <w:sz w:val="20"/>
          <w:szCs w:val="20"/>
          <w:bdr w:val="none" w:sz="0" w:space="0" w:color="auto" w:frame="1"/>
        </w:rPr>
        <w:t>61.52cm</w:t>
      </w:r>
      <w:r w:rsidRPr="00BE110A">
        <w:rPr>
          <w:bCs/>
          <w:color w:val="000000" w:themeColor="text1"/>
          <w:sz w:val="20"/>
          <w:szCs w:val="20"/>
          <w:bdr w:val="none" w:sz="0" w:space="0" w:color="auto" w:frame="1"/>
        </w:rPr>
        <w:t>)</w:t>
      </w:r>
      <w:r w:rsidRPr="00BE110A">
        <w:rPr>
          <w:color w:val="000000" w:themeColor="text1"/>
          <w:sz w:val="20"/>
          <w:szCs w:val="20"/>
        </w:rPr>
        <w:t xml:space="preserve"> and </w:t>
      </w:r>
      <w:r w:rsidRPr="00BE110A">
        <w:rPr>
          <w:bCs/>
          <w:color w:val="000000" w:themeColor="text1"/>
          <w:sz w:val="20"/>
          <w:szCs w:val="20"/>
          <w:bdr w:val="none" w:sz="0" w:space="0" w:color="auto" w:frame="1"/>
        </w:rPr>
        <w:t>stem girth (</w:t>
      </w:r>
      <w:r w:rsidRPr="00BE110A">
        <w:rPr>
          <w:rStyle w:val="math-inline"/>
          <w:bCs/>
          <w:color w:val="000000" w:themeColor="text1"/>
          <w:sz w:val="20"/>
          <w:szCs w:val="20"/>
          <w:bdr w:val="none" w:sz="0" w:space="0" w:color="auto" w:frame="1"/>
        </w:rPr>
        <w:t>7.00cm</w:t>
      </w:r>
      <w:r w:rsidRPr="00BE110A">
        <w:rPr>
          <w:bCs/>
          <w:color w:val="000000" w:themeColor="text1"/>
          <w:sz w:val="20"/>
          <w:szCs w:val="20"/>
          <w:bdr w:val="none" w:sz="0" w:space="0" w:color="auto" w:frame="1"/>
        </w:rPr>
        <w:t>)</w:t>
      </w:r>
      <w:r w:rsidRPr="00BE110A">
        <w:rPr>
          <w:color w:val="000000" w:themeColor="text1"/>
          <w:sz w:val="20"/>
          <w:szCs w:val="20"/>
        </w:rPr>
        <w:t xml:space="preserve">. This suggests that the readily available nitrogen and phosphorus in inorganic fertilizer are highly effective for rapid structural development and vertical growth. </w:t>
      </w:r>
    </w:p>
    <w:p w:rsidR="00F62D8E" w:rsidRPr="00BE110A" w:rsidRDefault="00F62D8E" w:rsidP="00A463C3">
      <w:pPr>
        <w:pStyle w:val="NormalWeb"/>
        <w:spacing w:after="0" w:afterAutospacing="0"/>
        <w:jc w:val="both"/>
        <w:rPr>
          <w:color w:val="000000" w:themeColor="text1"/>
          <w:sz w:val="20"/>
          <w:szCs w:val="20"/>
        </w:rPr>
      </w:pPr>
      <w:r w:rsidRPr="00BE110A">
        <w:rPr>
          <w:color w:val="000000" w:themeColor="text1"/>
          <w:sz w:val="20"/>
          <w:szCs w:val="20"/>
        </w:rPr>
        <w:t xml:space="preserve">Interestingly, </w:t>
      </w:r>
      <w:r w:rsidRPr="00BE110A">
        <w:rPr>
          <w:bCs/>
          <w:color w:val="000000" w:themeColor="text1"/>
          <w:sz w:val="20"/>
          <w:szCs w:val="20"/>
          <w:bdr w:val="none" w:sz="0" w:space="0" w:color="auto" w:frame="1"/>
        </w:rPr>
        <w:t>poultry manure</w:t>
      </w:r>
      <w:r w:rsidRPr="00BE110A">
        <w:rPr>
          <w:color w:val="000000" w:themeColor="text1"/>
          <w:sz w:val="20"/>
          <w:szCs w:val="20"/>
        </w:rPr>
        <w:t xml:space="preserve"> produced the highest </w:t>
      </w:r>
      <w:r w:rsidRPr="00BE110A">
        <w:rPr>
          <w:bCs/>
          <w:color w:val="000000" w:themeColor="text1"/>
          <w:sz w:val="20"/>
          <w:szCs w:val="20"/>
          <w:bdr w:val="none" w:sz="0" w:space="0" w:color="auto" w:frame="1"/>
        </w:rPr>
        <w:t>number of leaves (</w:t>
      </w:r>
      <w:r w:rsidRPr="00BE110A">
        <w:rPr>
          <w:rStyle w:val="math-inline"/>
          <w:bCs/>
          <w:color w:val="000000" w:themeColor="text1"/>
          <w:sz w:val="20"/>
          <w:szCs w:val="20"/>
          <w:bdr w:val="none" w:sz="0" w:space="0" w:color="auto" w:frame="1"/>
        </w:rPr>
        <w:t>30.08</w:t>
      </w:r>
      <w:r w:rsidRPr="00BE110A">
        <w:rPr>
          <w:bCs/>
          <w:color w:val="000000" w:themeColor="text1"/>
          <w:sz w:val="20"/>
          <w:szCs w:val="20"/>
          <w:bdr w:val="none" w:sz="0" w:space="0" w:color="auto" w:frame="1"/>
        </w:rPr>
        <w:t>)</w:t>
      </w:r>
      <w:r w:rsidRPr="00BE110A">
        <w:rPr>
          <w:color w:val="000000" w:themeColor="text1"/>
          <w:sz w:val="20"/>
          <w:szCs w:val="20"/>
        </w:rPr>
        <w:t xml:space="preserve">, slightly outperforming NPK. This indicates that organic manure may promote better lateral branching or a higher frequency of leaf primordia initiation. More so, while NPK had the largest </w:t>
      </w:r>
      <w:r w:rsidRPr="00BE110A">
        <w:rPr>
          <w:bCs/>
          <w:color w:val="000000" w:themeColor="text1"/>
          <w:sz w:val="20"/>
          <w:szCs w:val="20"/>
          <w:bdr w:val="none" w:sz="0" w:space="0" w:color="auto" w:frame="1"/>
        </w:rPr>
        <w:t>leaf area (</w:t>
      </w:r>
      <w:r w:rsidRPr="00BE110A">
        <w:rPr>
          <w:rStyle w:val="math-inline"/>
          <w:bCs/>
          <w:color w:val="000000" w:themeColor="text1"/>
          <w:sz w:val="20"/>
          <w:szCs w:val="20"/>
          <w:bdr w:val="none" w:sz="0" w:space="0" w:color="auto" w:frame="1"/>
        </w:rPr>
        <w:t>70.02cm</w:t>
      </w:r>
      <w:r w:rsidRPr="00BE110A">
        <w:rPr>
          <w:rStyle w:val="math-inline"/>
          <w:bCs/>
          <w:color w:val="000000" w:themeColor="text1"/>
          <w:sz w:val="20"/>
          <w:szCs w:val="20"/>
          <w:bdr w:val="none" w:sz="0" w:space="0" w:color="auto" w:frame="1"/>
          <w:vertAlign w:val="superscript"/>
        </w:rPr>
        <w:t>2</w:t>
      </w:r>
      <w:r w:rsidRPr="00BE110A">
        <w:rPr>
          <w:bCs/>
          <w:color w:val="000000" w:themeColor="text1"/>
          <w:sz w:val="20"/>
          <w:szCs w:val="20"/>
          <w:bdr w:val="none" w:sz="0" w:space="0" w:color="auto" w:frame="1"/>
        </w:rPr>
        <w:t>)</w:t>
      </w:r>
      <w:r w:rsidRPr="00BE110A">
        <w:rPr>
          <w:color w:val="000000" w:themeColor="text1"/>
          <w:sz w:val="20"/>
          <w:szCs w:val="20"/>
        </w:rPr>
        <w:t>, Poultry Manure followed very closely (</w:t>
      </w:r>
      <w:r w:rsidRPr="00BE110A">
        <w:rPr>
          <w:rStyle w:val="math-inline"/>
          <w:color w:val="000000" w:themeColor="text1"/>
          <w:sz w:val="20"/>
          <w:szCs w:val="20"/>
          <w:bdr w:val="none" w:sz="0" w:space="0" w:color="auto" w:frame="1"/>
        </w:rPr>
        <w:t>66.81cm</w:t>
      </w:r>
      <w:r w:rsidRPr="00BE110A">
        <w:rPr>
          <w:rStyle w:val="math-inline"/>
          <w:color w:val="000000" w:themeColor="text1"/>
          <w:sz w:val="20"/>
          <w:szCs w:val="20"/>
          <w:bdr w:val="none" w:sz="0" w:space="0" w:color="auto" w:frame="1"/>
          <w:vertAlign w:val="superscript"/>
        </w:rPr>
        <w:t>2</w:t>
      </w:r>
      <w:r w:rsidRPr="00BE110A">
        <w:rPr>
          <w:color w:val="000000" w:themeColor="text1"/>
          <w:sz w:val="20"/>
          <w:szCs w:val="20"/>
        </w:rPr>
        <w:t>). The massive increase in leaf area compared to the control group suggests that both treatments greatly enhance the plant's ability to intercept light for growth.</w:t>
      </w:r>
    </w:p>
    <w:p w:rsidR="00F62D8E" w:rsidRPr="00BE110A" w:rsidRDefault="00F62D8E" w:rsidP="00A463C3">
      <w:pPr>
        <w:pStyle w:val="NormalWeb"/>
        <w:spacing w:after="0" w:afterAutospacing="0"/>
        <w:jc w:val="both"/>
        <w:rPr>
          <w:color w:val="000000" w:themeColor="text1"/>
          <w:sz w:val="20"/>
          <w:szCs w:val="20"/>
        </w:rPr>
      </w:pPr>
      <w:r w:rsidRPr="00BE110A">
        <w:rPr>
          <w:color w:val="000000" w:themeColor="text1"/>
          <w:sz w:val="20"/>
          <w:szCs w:val="20"/>
        </w:rPr>
        <w:t>For overall vertical and structural growth, NPK 15:15:15 provides the best results. However, Poultry Manure is a highly effective organic alternative, specifically for maximizing the number of leaves, which is a key harvest index for many leafy crops.</w:t>
      </w:r>
    </w:p>
    <w:p w:rsidR="004372E0" w:rsidRPr="00BE110A" w:rsidRDefault="004372E0" w:rsidP="00A463C3">
      <w:pPr>
        <w:tabs>
          <w:tab w:val="left" w:pos="1635"/>
        </w:tabs>
        <w:spacing w:before="240" w:line="240" w:lineRule="auto"/>
        <w:jc w:val="both"/>
        <w:rPr>
          <w:rFonts w:ascii="Times New Roman" w:eastAsia="Times New Roman" w:hAnsi="Times New Roman" w:cs="Times New Roman"/>
          <w:b/>
          <w:color w:val="000000" w:themeColor="text1"/>
          <w:sz w:val="20"/>
          <w:szCs w:val="20"/>
        </w:rPr>
      </w:pPr>
      <w:r w:rsidRPr="00BE110A">
        <w:rPr>
          <w:rFonts w:ascii="Times New Roman" w:eastAsia="Times New Roman" w:hAnsi="Times New Roman" w:cs="Times New Roman"/>
          <w:b/>
          <w:color w:val="000000" w:themeColor="text1"/>
          <w:sz w:val="20"/>
          <w:szCs w:val="20"/>
        </w:rPr>
        <w:t>Table 3: Comparative Analysis of the N.P.K Soil Nutrients at the two Different Sites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63"/>
        <w:gridCol w:w="2364"/>
        <w:gridCol w:w="2266"/>
      </w:tblGrid>
      <w:tr w:rsidR="00BE110A" w:rsidRPr="00BE110A" w:rsidTr="000858A7">
        <w:trPr>
          <w:trHeight w:val="510"/>
        </w:trPr>
        <w:tc>
          <w:tcPr>
            <w:tcW w:w="2363" w:type="dxa"/>
            <w:vMerge w:val="restart"/>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Sites</w:t>
            </w:r>
          </w:p>
        </w:tc>
        <w:tc>
          <w:tcPr>
            <w:tcW w:w="6993" w:type="dxa"/>
            <w:gridSpan w:val="3"/>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 xml:space="preserve">                                              Soil Nutrients</w:t>
            </w:r>
          </w:p>
        </w:tc>
      </w:tr>
      <w:tr w:rsidR="00BE110A" w:rsidRPr="00BE110A" w:rsidTr="000858A7">
        <w:trPr>
          <w:trHeight w:val="418"/>
        </w:trPr>
        <w:tc>
          <w:tcPr>
            <w:tcW w:w="2363" w:type="dxa"/>
            <w:vMerge/>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color w:val="000000" w:themeColor="text1"/>
              </w:rPr>
            </w:pPr>
          </w:p>
        </w:tc>
        <w:tc>
          <w:tcPr>
            <w:tcW w:w="2363" w:type="dxa"/>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Potassium</w:t>
            </w:r>
          </w:p>
        </w:tc>
        <w:tc>
          <w:tcPr>
            <w:tcW w:w="2364" w:type="dxa"/>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Nitrogen (%)</w:t>
            </w:r>
          </w:p>
        </w:tc>
        <w:tc>
          <w:tcPr>
            <w:tcW w:w="2266" w:type="dxa"/>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Phosphorous (mg/kg)</w:t>
            </w:r>
          </w:p>
        </w:tc>
      </w:tr>
      <w:tr w:rsidR="00BE110A" w:rsidRPr="00BE110A" w:rsidTr="000858A7">
        <w:trPr>
          <w:trHeight w:val="267"/>
        </w:trPr>
        <w:tc>
          <w:tcPr>
            <w:tcW w:w="2363" w:type="dxa"/>
            <w:tcBorders>
              <w:top w:val="single" w:sz="4" w:space="0" w:color="auto"/>
            </w:tcBorders>
            <w:vAlign w:val="center"/>
          </w:tcPr>
          <w:p w:rsidR="004372E0" w:rsidRPr="00BE110A" w:rsidRDefault="004372E0"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color w:val="000000" w:themeColor="text1"/>
              </w:rPr>
              <w:t>Site 1</w:t>
            </w:r>
          </w:p>
        </w:tc>
        <w:tc>
          <w:tcPr>
            <w:tcW w:w="2363" w:type="dxa"/>
            <w:tcBorders>
              <w:top w:val="single" w:sz="4" w:space="0" w:color="auto"/>
            </w:tcBorders>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1.92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±1.216</w:t>
            </w:r>
          </w:p>
        </w:tc>
        <w:tc>
          <w:tcPr>
            <w:tcW w:w="2364" w:type="dxa"/>
            <w:tcBorders>
              <w:top w:val="single" w:sz="4" w:space="0" w:color="auto"/>
            </w:tcBorders>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2.28</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±0.287</w:t>
            </w:r>
          </w:p>
        </w:tc>
        <w:tc>
          <w:tcPr>
            <w:tcW w:w="2266" w:type="dxa"/>
            <w:tcBorders>
              <w:top w:val="single" w:sz="4" w:space="0" w:color="auto"/>
            </w:tcBorders>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10.51</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±0.649</w:t>
            </w:r>
          </w:p>
        </w:tc>
      </w:tr>
      <w:tr w:rsidR="00BE110A" w:rsidRPr="00BE110A" w:rsidTr="000858A7">
        <w:trPr>
          <w:trHeight w:val="437"/>
        </w:trPr>
        <w:tc>
          <w:tcPr>
            <w:tcW w:w="2363" w:type="dxa"/>
            <w:vAlign w:val="center"/>
          </w:tcPr>
          <w:p w:rsidR="004372E0" w:rsidRPr="00BE110A" w:rsidRDefault="004372E0"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color w:val="000000" w:themeColor="text1"/>
              </w:rPr>
              <w:t>Site 2</w:t>
            </w:r>
          </w:p>
        </w:tc>
        <w:tc>
          <w:tcPr>
            <w:tcW w:w="2363" w:type="dxa"/>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0.50</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±0.120</w:t>
            </w:r>
          </w:p>
        </w:tc>
        <w:tc>
          <w:tcPr>
            <w:tcW w:w="2364" w:type="dxa"/>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2.69</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±0.224</w:t>
            </w:r>
          </w:p>
        </w:tc>
        <w:tc>
          <w:tcPr>
            <w:tcW w:w="2266" w:type="dxa"/>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10.13</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±0.782</w:t>
            </w:r>
          </w:p>
        </w:tc>
      </w:tr>
    </w:tbl>
    <w:p w:rsidR="004372E0" w:rsidRPr="00E914C0" w:rsidRDefault="004372E0" w:rsidP="00A463C3">
      <w:pPr>
        <w:spacing w:line="240" w:lineRule="auto"/>
        <w:jc w:val="both"/>
        <w:rPr>
          <w:rFonts w:ascii="Times New Roman" w:hAnsi="Times New Roman" w:cs="Times New Roman"/>
          <w:i/>
          <w:color w:val="000000" w:themeColor="text1"/>
          <w:sz w:val="18"/>
          <w:szCs w:val="18"/>
        </w:rPr>
      </w:pPr>
      <w:r w:rsidRPr="00E914C0">
        <w:rPr>
          <w:rFonts w:ascii="Times New Roman" w:hAnsi="Times New Roman" w:cs="Times New Roman"/>
          <w:i/>
          <w:color w:val="000000" w:themeColor="text1"/>
          <w:sz w:val="18"/>
          <w:szCs w:val="18"/>
        </w:rPr>
        <w:lastRenderedPageBreak/>
        <w:t>Results are in mean± standard deviation of triplicate determination. Means in Columns with different superscripts are significantly (p&lt;0.05) different.</w:t>
      </w:r>
    </w:p>
    <w:p w:rsidR="004372E0" w:rsidRPr="00BE110A" w:rsidRDefault="004372E0" w:rsidP="00A463C3">
      <w:pPr>
        <w:spacing w:line="240" w:lineRule="auto"/>
        <w:jc w:val="both"/>
        <w:rPr>
          <w:rFonts w:ascii="Times New Roman" w:hAnsi="Times New Roman" w:cs="Times New Roman"/>
          <w:i/>
          <w:color w:val="000000" w:themeColor="text1"/>
          <w:sz w:val="20"/>
          <w:szCs w:val="20"/>
        </w:rPr>
      </w:pPr>
      <w:r w:rsidRPr="00BE110A">
        <w:rPr>
          <w:rFonts w:ascii="Times New Roman" w:eastAsia="Times New Roman" w:hAnsi="Times New Roman" w:cs="Times New Roman"/>
          <w:color w:val="000000" w:themeColor="text1"/>
          <w:sz w:val="20"/>
          <w:szCs w:val="20"/>
        </w:rPr>
        <w:t>Comparing the NPK composition of the two sites, it could be seen that the potassium levels are significantly (p&lt;0.05) higher at Site 1 (1.92 mg/kg) compared to Site 2 (0.50 mg/kg), while the Nitrogen percentages are relatively consistent between sites, ranging from 2.28% (Site 1) to 2.69% (Site 2), with no significant (p&gt;0.05) differences. Phosphorus levels are slightly higher at Site 1 (10.51 mg/kg) compared to Site 2 (10.13 mg/kg), but the difference is also not statistically significant (p&gt;0.05).</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4. Discussion</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This study demonstrates that amending degraded watershed soils with either organic or inorganic nutrient sources is essential for re-establishing vegetative cover, with both amendments markedly outperforming the unamended control. The pronounced growth suppression observed in control plants highlights the severe nutrient impoverishment of these degraded soils, corroborating findings from the companion ecological</w:t>
      </w:r>
      <w:r w:rsidR="00F37E1A">
        <w:rPr>
          <w:rFonts w:ascii="Times New Roman" w:eastAsia="Times New Roman" w:hAnsi="Times New Roman" w:cs="Times New Roman"/>
          <w:sz w:val="20"/>
          <w:szCs w:val="20"/>
        </w:rPr>
        <w:t xml:space="preserve"> assessment [3], [45]</w:t>
      </w:r>
      <w:r w:rsidRPr="004312F8">
        <w:rPr>
          <w:rFonts w:ascii="Times New Roman" w:eastAsia="Times New Roman" w:hAnsi="Times New Roman" w:cs="Times New Roman"/>
          <w:sz w:val="20"/>
          <w:szCs w:val="20"/>
        </w:rPr>
        <w:t xml:space="preserve"> and reinforcing evidence that passive natural regeneration alone would be insufficient or prohibitively slow under such conditions. Similar observations have been reported in other tropical degraded landscapes, where nutrient depletion and structural soil degradation severely constrain plant establishment and </w:t>
      </w:r>
      <w:r w:rsidR="00E34340">
        <w:rPr>
          <w:rFonts w:ascii="Times New Roman" w:eastAsia="Times New Roman" w:hAnsi="Times New Roman" w:cs="Times New Roman"/>
          <w:sz w:val="20"/>
          <w:szCs w:val="20"/>
        </w:rPr>
        <w:t>recovery trajectories [46], [47]</w:t>
      </w:r>
      <w:r w:rsidRPr="004312F8">
        <w:rPr>
          <w:rFonts w:ascii="Times New Roman" w:eastAsia="Times New Roman" w:hAnsi="Times New Roman" w:cs="Times New Roman"/>
          <w:sz w:val="20"/>
          <w:szCs w:val="20"/>
        </w:rPr>
        <w:t>.</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The superior performance of NPK fertilizer in enhancing plant height and leaf area in both test species can be attributed to the rapid availability of soluble nitrogen, phosphorus, and potassium, which promptly satisfies the high nutrient demand of </w:t>
      </w:r>
      <w:r w:rsidR="00EE62F9">
        <w:rPr>
          <w:rFonts w:ascii="Times New Roman" w:eastAsia="Times New Roman" w:hAnsi="Times New Roman" w:cs="Times New Roman"/>
          <w:sz w:val="20"/>
          <w:szCs w:val="20"/>
        </w:rPr>
        <w:t>young, fast-growing seedlings [48], [49]</w:t>
      </w:r>
      <w:r w:rsidRPr="004312F8">
        <w:rPr>
          <w:rFonts w:ascii="Times New Roman" w:eastAsia="Times New Roman" w:hAnsi="Times New Roman" w:cs="Times New Roman"/>
          <w:sz w:val="20"/>
          <w:szCs w:val="20"/>
        </w:rPr>
        <w:t>. This immediate nutrient supply produces a “quick-start” effect that accelerates early biomass accu</w:t>
      </w:r>
      <w:r w:rsidRPr="00EC397C">
        <w:rPr>
          <w:rFonts w:ascii="Times New Roman" w:eastAsia="Times New Roman" w:hAnsi="Times New Roman" w:cs="Times New Roman"/>
          <w:sz w:val="20"/>
          <w:szCs w:val="20"/>
        </w:rPr>
        <w:t xml:space="preserve">mulation and canopy development, </w:t>
      </w:r>
      <w:r w:rsidRPr="004312F8">
        <w:rPr>
          <w:rFonts w:ascii="Times New Roman" w:eastAsia="Times New Roman" w:hAnsi="Times New Roman" w:cs="Times New Roman"/>
          <w:sz w:val="20"/>
          <w:szCs w:val="20"/>
        </w:rPr>
        <w:t>an outcome of particular importance in watershed restoration, where rapid ground cover is critical for minimizing surface run</w:t>
      </w:r>
      <w:r w:rsidR="00EE62F9">
        <w:rPr>
          <w:rFonts w:ascii="Times New Roman" w:eastAsia="Times New Roman" w:hAnsi="Times New Roman" w:cs="Times New Roman"/>
          <w:sz w:val="20"/>
          <w:szCs w:val="20"/>
        </w:rPr>
        <w:t>off and soil erosion [50]</w:t>
      </w:r>
      <w:r w:rsidRPr="004312F8">
        <w:rPr>
          <w:rFonts w:ascii="Times New Roman" w:eastAsia="Times New Roman" w:hAnsi="Times New Roman" w:cs="Times New Roman"/>
          <w:sz w:val="20"/>
          <w:szCs w:val="20"/>
        </w:rPr>
        <w:t>. Comparable responses to mineral fertilizers have been documented in degraded tropical soils, where inorganic inputs significantly improve early plant vigor and establishme</w:t>
      </w:r>
      <w:r w:rsidR="00EE62F9">
        <w:rPr>
          <w:rFonts w:ascii="Times New Roman" w:eastAsia="Times New Roman" w:hAnsi="Times New Roman" w:cs="Times New Roman"/>
          <w:sz w:val="20"/>
          <w:szCs w:val="20"/>
        </w:rPr>
        <w:t>nt success [39]</w:t>
      </w:r>
      <w:r w:rsidRPr="004312F8">
        <w:rPr>
          <w:rFonts w:ascii="Times New Roman" w:eastAsia="Times New Roman" w:hAnsi="Times New Roman" w:cs="Times New Roman"/>
          <w:sz w:val="20"/>
          <w:szCs w:val="20"/>
        </w:rPr>
        <w:t>.</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In contrast, the robust performance of poultry manure, particularly its promotion of leaf production in </w:t>
      </w:r>
      <w:proofErr w:type="spellStart"/>
      <w:r w:rsidRPr="00EC397C">
        <w:rPr>
          <w:rFonts w:ascii="Times New Roman" w:eastAsia="Times New Roman" w:hAnsi="Times New Roman" w:cs="Times New Roman"/>
          <w:i/>
          <w:iCs/>
          <w:sz w:val="20"/>
          <w:szCs w:val="20"/>
        </w:rPr>
        <w:t>Telfairia</w:t>
      </w:r>
      <w:proofErr w:type="spellEnd"/>
      <w:r w:rsidRPr="00EC397C">
        <w:rPr>
          <w:rFonts w:ascii="Times New Roman" w:eastAsia="Times New Roman" w:hAnsi="Times New Roman" w:cs="Times New Roman"/>
          <w:i/>
          <w:iCs/>
          <w:sz w:val="20"/>
          <w:szCs w:val="20"/>
        </w:rPr>
        <w:t xml:space="preserve"> </w:t>
      </w:r>
      <w:proofErr w:type="spellStart"/>
      <w:r w:rsidRPr="00EC397C">
        <w:rPr>
          <w:rFonts w:ascii="Times New Roman" w:eastAsia="Times New Roman" w:hAnsi="Times New Roman" w:cs="Times New Roman"/>
          <w:i/>
          <w:iCs/>
          <w:sz w:val="20"/>
          <w:szCs w:val="20"/>
        </w:rPr>
        <w:t>occidentalis</w:t>
      </w:r>
      <w:proofErr w:type="spellEnd"/>
      <w:r w:rsidRPr="004312F8">
        <w:rPr>
          <w:rFonts w:ascii="Times New Roman" w:eastAsia="Times New Roman" w:hAnsi="Times New Roman" w:cs="Times New Roman"/>
          <w:sz w:val="20"/>
          <w:szCs w:val="20"/>
        </w:rPr>
        <w:t xml:space="preserve">, underscores the multifaceted benefits of organic amendments. Beyond nutrient provision, poultry manure enhances soil physical properties, including aggregation, porosity, and water-holding capacity, while stimulating microbial activity and gradual nutrient release </w:t>
      </w:r>
      <w:r w:rsidR="00E21E7C">
        <w:rPr>
          <w:rFonts w:ascii="Times New Roman" w:eastAsia="Times New Roman" w:hAnsi="Times New Roman" w:cs="Times New Roman"/>
          <w:sz w:val="20"/>
          <w:szCs w:val="20"/>
        </w:rPr>
        <w:t>through mineralization [37], [38]</w:t>
      </w:r>
      <w:r w:rsidRPr="004312F8">
        <w:rPr>
          <w:rFonts w:ascii="Times New Roman" w:eastAsia="Times New Roman" w:hAnsi="Times New Roman" w:cs="Times New Roman"/>
          <w:sz w:val="20"/>
          <w:szCs w:val="20"/>
        </w:rPr>
        <w:t>. These improvements foster deeper root development and more sustained plant growth, rather than merely short-term stimulation. The increased leaf production observed under manure treatment is ecologically significant, as it translates into higher photosynthetic capacity, greater biomass accumulation, and enhanced litter inputs, all of which contribute to rebuilding soil organic matter and restoring nutrient cycling processes.</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Species-specific responses further highlight the importance of aligning amendment strategies with plant functional traits. </w:t>
      </w:r>
      <w:r w:rsidRPr="00EC397C">
        <w:rPr>
          <w:rFonts w:ascii="Times New Roman" w:eastAsia="Times New Roman" w:hAnsi="Times New Roman" w:cs="Times New Roman"/>
          <w:i/>
          <w:iCs/>
          <w:sz w:val="20"/>
          <w:szCs w:val="20"/>
        </w:rPr>
        <w:t xml:space="preserve">Amaranthus </w:t>
      </w:r>
      <w:proofErr w:type="spellStart"/>
      <w:r w:rsidRPr="00EC397C">
        <w:rPr>
          <w:rFonts w:ascii="Times New Roman" w:eastAsia="Times New Roman" w:hAnsi="Times New Roman" w:cs="Times New Roman"/>
          <w:i/>
          <w:iCs/>
          <w:sz w:val="20"/>
          <w:szCs w:val="20"/>
        </w:rPr>
        <w:t>hybridus</w:t>
      </w:r>
      <w:proofErr w:type="spellEnd"/>
      <w:r w:rsidRPr="004312F8">
        <w:rPr>
          <w:rFonts w:ascii="Times New Roman" w:eastAsia="Times New Roman" w:hAnsi="Times New Roman" w:cs="Times New Roman"/>
          <w:sz w:val="20"/>
          <w:szCs w:val="20"/>
        </w:rPr>
        <w:t>, a fast-growing C₄ species characterized by high nutrient-use efficiency an</w:t>
      </w:r>
      <w:r w:rsidR="00FD2985">
        <w:rPr>
          <w:rFonts w:ascii="Times New Roman" w:eastAsia="Times New Roman" w:hAnsi="Times New Roman" w:cs="Times New Roman"/>
          <w:sz w:val="20"/>
          <w:szCs w:val="20"/>
        </w:rPr>
        <w:t>d drought tolerance [40]</w:t>
      </w:r>
      <w:r w:rsidRPr="004312F8">
        <w:rPr>
          <w:rFonts w:ascii="Times New Roman" w:eastAsia="Times New Roman" w:hAnsi="Times New Roman" w:cs="Times New Roman"/>
          <w:sz w:val="20"/>
          <w:szCs w:val="20"/>
        </w:rPr>
        <w:t xml:space="preserve">, responded most strongly to direct mineral nutrient inputs. Conversely, </w:t>
      </w:r>
      <w:proofErr w:type="spellStart"/>
      <w:r w:rsidRPr="00EC397C">
        <w:rPr>
          <w:rFonts w:ascii="Times New Roman" w:eastAsia="Times New Roman" w:hAnsi="Times New Roman" w:cs="Times New Roman"/>
          <w:i/>
          <w:iCs/>
          <w:sz w:val="20"/>
          <w:szCs w:val="20"/>
        </w:rPr>
        <w:t>Telfairia</w:t>
      </w:r>
      <w:proofErr w:type="spellEnd"/>
      <w:r w:rsidRPr="00EC397C">
        <w:rPr>
          <w:rFonts w:ascii="Times New Roman" w:eastAsia="Times New Roman" w:hAnsi="Times New Roman" w:cs="Times New Roman"/>
          <w:i/>
          <w:iCs/>
          <w:sz w:val="20"/>
          <w:szCs w:val="20"/>
        </w:rPr>
        <w:t xml:space="preserve"> </w:t>
      </w:r>
      <w:proofErr w:type="spellStart"/>
      <w:r w:rsidRPr="00EC397C">
        <w:rPr>
          <w:rFonts w:ascii="Times New Roman" w:eastAsia="Times New Roman" w:hAnsi="Times New Roman" w:cs="Times New Roman"/>
          <w:i/>
          <w:iCs/>
          <w:sz w:val="20"/>
          <w:szCs w:val="20"/>
        </w:rPr>
        <w:t>occidentalis</w:t>
      </w:r>
      <w:proofErr w:type="spellEnd"/>
      <w:r w:rsidRPr="004312F8">
        <w:rPr>
          <w:rFonts w:ascii="Times New Roman" w:eastAsia="Times New Roman" w:hAnsi="Times New Roman" w:cs="Times New Roman"/>
          <w:sz w:val="20"/>
          <w:szCs w:val="20"/>
        </w:rPr>
        <w:t>, a perennial vine with a longer growth cycle, exhibited greater sensitivity to the soil-conditioning effects of organic manure. This divergence suggests that restoration outcomes can be optimized by matching species selection with appropriate nutrient management approaches, depending on whether the primary objective is rapid site stabilization or longer-term soil rehabilitation.</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From a watershed restoration perspective, these findings support the adoption of integrated nutrient management </w:t>
      </w:r>
      <w:r w:rsidRPr="00EC397C">
        <w:rPr>
          <w:rFonts w:ascii="Times New Roman" w:eastAsia="Times New Roman" w:hAnsi="Times New Roman" w:cs="Times New Roman"/>
          <w:sz w:val="20"/>
          <w:szCs w:val="20"/>
        </w:rPr>
        <w:t xml:space="preserve">strategies. A combined approach </w:t>
      </w:r>
      <w:r w:rsidRPr="004312F8">
        <w:rPr>
          <w:rFonts w:ascii="Times New Roman" w:eastAsia="Times New Roman" w:hAnsi="Times New Roman" w:cs="Times New Roman"/>
          <w:sz w:val="20"/>
          <w:szCs w:val="20"/>
        </w:rPr>
        <w:t>entailing modest initial applications of NPK fertilizer to ensure seedling establishment, followed by substantial inputs of organic</w:t>
      </w:r>
      <w:r w:rsidRPr="00EC397C">
        <w:rPr>
          <w:rFonts w:ascii="Times New Roman" w:eastAsia="Times New Roman" w:hAnsi="Times New Roman" w:cs="Times New Roman"/>
          <w:sz w:val="20"/>
          <w:szCs w:val="20"/>
        </w:rPr>
        <w:t xml:space="preserve"> manure to enhance soil quality, </w:t>
      </w:r>
      <w:r w:rsidRPr="004312F8">
        <w:rPr>
          <w:rFonts w:ascii="Times New Roman" w:eastAsia="Times New Roman" w:hAnsi="Times New Roman" w:cs="Times New Roman"/>
          <w:sz w:val="20"/>
          <w:szCs w:val="20"/>
        </w:rPr>
        <w:t>has been shown to synergistically improve plant performance while promoting sust</w:t>
      </w:r>
      <w:r w:rsidR="00A34BC4">
        <w:rPr>
          <w:rFonts w:ascii="Times New Roman" w:eastAsia="Times New Roman" w:hAnsi="Times New Roman" w:cs="Times New Roman"/>
          <w:sz w:val="20"/>
          <w:szCs w:val="20"/>
        </w:rPr>
        <w:t>ainable soil recovery [39], [49]</w:t>
      </w:r>
      <w:r w:rsidRPr="004312F8">
        <w:rPr>
          <w:rFonts w:ascii="Times New Roman" w:eastAsia="Times New Roman" w:hAnsi="Times New Roman" w:cs="Times New Roman"/>
          <w:sz w:val="20"/>
          <w:szCs w:val="20"/>
        </w:rPr>
        <w:t>. Such integrated systems capitalize on the immediate effectiveness of inorganic fertilizers and the long-term ecological benefits of organic amendments.</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EC397C">
        <w:rPr>
          <w:rFonts w:ascii="Times New Roman" w:eastAsia="Times New Roman" w:hAnsi="Times New Roman" w:cs="Times New Roman"/>
          <w:b/>
          <w:bCs/>
          <w:sz w:val="20"/>
          <w:szCs w:val="20"/>
        </w:rPr>
        <w:t>Conclusion</w:t>
      </w:r>
    </w:p>
    <w:p w:rsidR="00E914C0"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This pot experiment provides compelling evidence that nutrient amendment is indispensable for initiating vegetation recovery on severely degraded watershed soils in southeastern Nigeria. While both poultry manure and NPK fertilizer </w:t>
      </w:r>
      <w:r w:rsidRPr="004312F8">
        <w:rPr>
          <w:rFonts w:ascii="Times New Roman" w:eastAsia="Times New Roman" w:hAnsi="Times New Roman" w:cs="Times New Roman"/>
          <w:sz w:val="20"/>
          <w:szCs w:val="20"/>
        </w:rPr>
        <w:lastRenderedPageBreak/>
        <w:t xml:space="preserve">significantly enhance plant growth, they fulfill complementary roles: NPK (15:15:15) fertilizer is most effective for rapid early growth and ground cover, essential for immediate erosion control, whereas poultry manure promotes sustained vegetative development, improves soil structure, and enhances long-term fertility. Accordingly, a combined application strategy is recommended for effective and sustainable watershed restoration. Future field-based trials should evaluate integrated amendment regimes (e.g., reduced-rate NPK combined with full-rate manure) under slope conditions to assess their impacts on soil stabilization, plant survival, and ecosystem recovery. Furthermore, the use of indigenous vegetables such as </w:t>
      </w:r>
      <w:r w:rsidRPr="00EC397C">
        <w:rPr>
          <w:rFonts w:ascii="Times New Roman" w:eastAsia="Times New Roman" w:hAnsi="Times New Roman" w:cs="Times New Roman"/>
          <w:i/>
          <w:iCs/>
          <w:sz w:val="20"/>
          <w:szCs w:val="20"/>
        </w:rPr>
        <w:t xml:space="preserve">A. </w:t>
      </w:r>
      <w:proofErr w:type="spellStart"/>
      <w:r w:rsidRPr="00EC397C">
        <w:rPr>
          <w:rFonts w:ascii="Times New Roman" w:eastAsia="Times New Roman" w:hAnsi="Times New Roman" w:cs="Times New Roman"/>
          <w:i/>
          <w:iCs/>
          <w:sz w:val="20"/>
          <w:szCs w:val="20"/>
        </w:rPr>
        <w:t>hybridus</w:t>
      </w:r>
      <w:proofErr w:type="spellEnd"/>
      <w:r w:rsidRPr="004312F8">
        <w:rPr>
          <w:rFonts w:ascii="Times New Roman" w:eastAsia="Times New Roman" w:hAnsi="Times New Roman" w:cs="Times New Roman"/>
          <w:sz w:val="20"/>
          <w:szCs w:val="20"/>
        </w:rPr>
        <w:t xml:space="preserve"> and </w:t>
      </w:r>
      <w:r w:rsidRPr="00EC397C">
        <w:rPr>
          <w:rFonts w:ascii="Times New Roman" w:eastAsia="Times New Roman" w:hAnsi="Times New Roman" w:cs="Times New Roman"/>
          <w:i/>
          <w:iCs/>
          <w:sz w:val="20"/>
          <w:szCs w:val="20"/>
        </w:rPr>
        <w:t xml:space="preserve">T. </w:t>
      </w:r>
      <w:proofErr w:type="spellStart"/>
      <w:r w:rsidRPr="00EC397C">
        <w:rPr>
          <w:rFonts w:ascii="Times New Roman" w:eastAsia="Times New Roman" w:hAnsi="Times New Roman" w:cs="Times New Roman"/>
          <w:i/>
          <w:iCs/>
          <w:sz w:val="20"/>
          <w:szCs w:val="20"/>
        </w:rPr>
        <w:t>occidentalis</w:t>
      </w:r>
      <w:proofErr w:type="spellEnd"/>
      <w:r w:rsidRPr="004312F8">
        <w:rPr>
          <w:rFonts w:ascii="Times New Roman" w:eastAsia="Times New Roman" w:hAnsi="Times New Roman" w:cs="Times New Roman"/>
          <w:sz w:val="20"/>
          <w:szCs w:val="20"/>
        </w:rPr>
        <w:t xml:space="preserve"> offers dual benefits by supporting ecological restoration while providing livelihood opportunities, thereby enhancing community participation and the long-term success of restoration initiatives. This integrated approach aligns with contemporary watershed management frameworks that seek to reconcile ecological rehabilitation with socio-economic resilience.</w:t>
      </w:r>
    </w:p>
    <w:p w:rsidR="00703704" w:rsidRPr="00703704" w:rsidRDefault="00703704" w:rsidP="00703704">
      <w:pPr>
        <w:ind w:right="-279"/>
        <w:jc w:val="both"/>
        <w:rPr>
          <w:rFonts w:ascii="Times New Roman" w:hAnsi="Times New Roman" w:cs="Times New Roman"/>
          <w:b/>
          <w:sz w:val="20"/>
          <w:szCs w:val="20"/>
        </w:rPr>
      </w:pPr>
      <w:r>
        <w:rPr>
          <w:rFonts w:ascii="Times New Roman" w:hAnsi="Times New Roman" w:cs="Times New Roman"/>
          <w:b/>
          <w:sz w:val="20"/>
          <w:szCs w:val="20"/>
        </w:rPr>
        <w:t>Disclaimer (Artificial I</w:t>
      </w:r>
      <w:r w:rsidRPr="00703704">
        <w:rPr>
          <w:rFonts w:ascii="Times New Roman" w:hAnsi="Times New Roman" w:cs="Times New Roman"/>
          <w:b/>
          <w:sz w:val="20"/>
          <w:szCs w:val="20"/>
        </w:rPr>
        <w:t>ntelligence)</w:t>
      </w:r>
    </w:p>
    <w:p w:rsidR="00703704" w:rsidRPr="00703704" w:rsidRDefault="00703704" w:rsidP="00703704">
      <w:pPr>
        <w:ind w:right="-279"/>
        <w:jc w:val="both"/>
        <w:rPr>
          <w:rFonts w:ascii="Times New Roman" w:hAnsi="Times New Roman" w:cs="Times New Roman"/>
          <w:sz w:val="20"/>
          <w:szCs w:val="20"/>
        </w:rPr>
      </w:pPr>
      <w:r w:rsidRPr="00703704">
        <w:rPr>
          <w:rFonts w:ascii="Times New Roman" w:hAnsi="Times New Roman" w:cs="Times New Roman"/>
          <w:sz w:val="20"/>
          <w:szCs w:val="20"/>
        </w:rPr>
        <w:t>Author(s) hereby declare that NO generative AI technologies such as Large Language Models (</w:t>
      </w:r>
      <w:proofErr w:type="spellStart"/>
      <w:r w:rsidRPr="00703704">
        <w:rPr>
          <w:rFonts w:ascii="Times New Roman" w:hAnsi="Times New Roman" w:cs="Times New Roman"/>
          <w:sz w:val="20"/>
          <w:szCs w:val="20"/>
        </w:rPr>
        <w:t>ChatGPT</w:t>
      </w:r>
      <w:proofErr w:type="spellEnd"/>
      <w:r w:rsidRPr="00703704">
        <w:rPr>
          <w:rFonts w:ascii="Times New Roman" w:hAnsi="Times New Roman" w:cs="Times New Roman"/>
          <w:sz w:val="20"/>
          <w:szCs w:val="20"/>
        </w:rPr>
        <w:t xml:space="preserve">, COPILOT, etc.) and text-to-image generators have been used during the writing or editing of this manuscript. </w:t>
      </w:r>
    </w:p>
    <w:p w:rsidR="00703704" w:rsidRPr="00EC397C" w:rsidRDefault="00703704" w:rsidP="00E914C0">
      <w:pPr>
        <w:spacing w:before="100" w:beforeAutospacing="1" w:after="100" w:afterAutospacing="1" w:line="240" w:lineRule="auto"/>
        <w:jc w:val="both"/>
        <w:rPr>
          <w:rFonts w:ascii="Times New Roman" w:eastAsia="Times New Roman" w:hAnsi="Times New Roman" w:cs="Times New Roman"/>
          <w:sz w:val="20"/>
          <w:szCs w:val="20"/>
        </w:rPr>
      </w:pPr>
      <w:r w:rsidRPr="00703704">
        <w:rPr>
          <w:rFonts w:ascii="Times New Roman" w:eastAsia="Times New Roman" w:hAnsi="Times New Roman" w:cs="Times New Roman"/>
          <w:b/>
          <w:sz w:val="20"/>
          <w:szCs w:val="20"/>
        </w:rPr>
        <w:t>REFERENCES</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Bernhardt, E.S., Palmer, A.E, Allan, J.D., Alexander, G., </w:t>
      </w:r>
      <w:proofErr w:type="spellStart"/>
      <w:r w:rsidRPr="007362C3">
        <w:rPr>
          <w:rFonts w:ascii="Times New Roman" w:hAnsi="Times New Roman" w:cs="Times New Roman"/>
          <w:sz w:val="20"/>
          <w:szCs w:val="20"/>
        </w:rPr>
        <w:t>Bernas</w:t>
      </w:r>
      <w:proofErr w:type="spellEnd"/>
      <w:r w:rsidRPr="007362C3">
        <w:rPr>
          <w:rFonts w:ascii="Times New Roman" w:hAnsi="Times New Roman" w:cs="Times New Roman"/>
          <w:sz w:val="20"/>
          <w:szCs w:val="20"/>
        </w:rPr>
        <w:t xml:space="preserve">, K., Brooks, S., Carr, J., Clayton, S., </w:t>
      </w:r>
      <w:proofErr w:type="spellStart"/>
      <w:r w:rsidRPr="007362C3">
        <w:rPr>
          <w:rFonts w:ascii="Times New Roman" w:hAnsi="Times New Roman" w:cs="Times New Roman"/>
          <w:sz w:val="20"/>
          <w:szCs w:val="20"/>
        </w:rPr>
        <w:t>Dahm</w:t>
      </w:r>
      <w:proofErr w:type="spellEnd"/>
      <w:r w:rsidRPr="007362C3">
        <w:rPr>
          <w:rFonts w:ascii="Times New Roman" w:hAnsi="Times New Roman" w:cs="Times New Roman"/>
          <w:sz w:val="20"/>
          <w:szCs w:val="20"/>
        </w:rPr>
        <w:t xml:space="preserve">, C., </w:t>
      </w:r>
      <w:proofErr w:type="spellStart"/>
      <w:r w:rsidRPr="007362C3">
        <w:rPr>
          <w:rFonts w:ascii="Times New Roman" w:hAnsi="Times New Roman" w:cs="Times New Roman"/>
          <w:sz w:val="20"/>
          <w:szCs w:val="20"/>
        </w:rPr>
        <w:t>Follstad</w:t>
      </w:r>
      <w:proofErr w:type="spellEnd"/>
      <w:r w:rsidRPr="007362C3">
        <w:rPr>
          <w:rFonts w:ascii="Times New Roman" w:hAnsi="Times New Roman" w:cs="Times New Roman"/>
          <w:sz w:val="20"/>
          <w:szCs w:val="20"/>
        </w:rPr>
        <w:t xml:space="preserve">, S.J., </w:t>
      </w:r>
      <w:proofErr w:type="spellStart"/>
      <w:r w:rsidRPr="007362C3">
        <w:rPr>
          <w:rFonts w:ascii="Times New Roman" w:hAnsi="Times New Roman" w:cs="Times New Roman"/>
          <w:sz w:val="20"/>
          <w:szCs w:val="20"/>
        </w:rPr>
        <w:t>Galat</w:t>
      </w:r>
      <w:proofErr w:type="spellEnd"/>
      <w:r w:rsidRPr="007362C3">
        <w:rPr>
          <w:rFonts w:ascii="Times New Roman" w:hAnsi="Times New Roman" w:cs="Times New Roman"/>
          <w:sz w:val="20"/>
          <w:szCs w:val="20"/>
        </w:rPr>
        <w:t xml:space="preserve">, D., Gloss, S., Goodwin, P., Hart, D., </w:t>
      </w:r>
      <w:proofErr w:type="spellStart"/>
      <w:r w:rsidRPr="007362C3">
        <w:rPr>
          <w:rFonts w:ascii="Times New Roman" w:hAnsi="Times New Roman" w:cs="Times New Roman"/>
          <w:sz w:val="20"/>
          <w:szCs w:val="20"/>
        </w:rPr>
        <w:t>Hasset</w:t>
      </w:r>
      <w:proofErr w:type="spellEnd"/>
      <w:r w:rsidRPr="007362C3">
        <w:rPr>
          <w:rFonts w:ascii="Times New Roman" w:hAnsi="Times New Roman" w:cs="Times New Roman"/>
          <w:sz w:val="20"/>
          <w:szCs w:val="20"/>
        </w:rPr>
        <w:t xml:space="preserve">, B., Jenkinson, R., Katz, S., </w:t>
      </w:r>
      <w:proofErr w:type="spellStart"/>
      <w:r w:rsidRPr="007362C3">
        <w:rPr>
          <w:rFonts w:ascii="Times New Roman" w:hAnsi="Times New Roman" w:cs="Times New Roman"/>
          <w:sz w:val="20"/>
          <w:szCs w:val="20"/>
        </w:rPr>
        <w:t>Kondolf</w:t>
      </w:r>
      <w:proofErr w:type="spellEnd"/>
      <w:r w:rsidRPr="007362C3">
        <w:rPr>
          <w:rFonts w:ascii="Times New Roman" w:hAnsi="Times New Roman" w:cs="Times New Roman"/>
          <w:sz w:val="20"/>
          <w:szCs w:val="20"/>
        </w:rPr>
        <w:t xml:space="preserve">, G.M., Lake, P.S., lave, R., Mayer, J.L., O’Donnell, T.K., Pagano, L., Powell, B. and Sudduth, E. (2005). Synthesizing U.S. river restoration efforts. </w:t>
      </w:r>
      <w:r w:rsidRPr="007362C3">
        <w:rPr>
          <w:rFonts w:ascii="Times New Roman" w:hAnsi="Times New Roman" w:cs="Times New Roman"/>
          <w:i/>
          <w:sz w:val="20"/>
          <w:szCs w:val="20"/>
        </w:rPr>
        <w:t>Sciences</w:t>
      </w:r>
      <w:r w:rsidRPr="007362C3">
        <w:rPr>
          <w:rFonts w:ascii="Times New Roman" w:hAnsi="Times New Roman" w:cs="Times New Roman"/>
          <w:sz w:val="20"/>
          <w:szCs w:val="20"/>
        </w:rPr>
        <w:t>. 308:636-637.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Aju</w:t>
      </w:r>
      <w:proofErr w:type="spellEnd"/>
      <w:r w:rsidRPr="007362C3">
        <w:rPr>
          <w:rFonts w:ascii="Times New Roman" w:hAnsi="Times New Roman" w:cs="Times New Roman"/>
          <w:sz w:val="20"/>
          <w:szCs w:val="20"/>
        </w:rPr>
        <w:t xml:space="preserve">, P. C. (2017). Why rehabilitation, restoration and protection of watershed forests in Nigeria should be given a Priority Attention. </w:t>
      </w:r>
      <w:r w:rsidRPr="007362C3">
        <w:rPr>
          <w:rFonts w:ascii="Times New Roman" w:hAnsi="Times New Roman" w:cs="Times New Roman"/>
          <w:i/>
          <w:sz w:val="20"/>
          <w:szCs w:val="20"/>
        </w:rPr>
        <w:t>Journal of Research in Forestry, Wildlife and Environment.</w:t>
      </w:r>
      <w:r w:rsidRPr="007362C3">
        <w:rPr>
          <w:rFonts w:ascii="Times New Roman" w:hAnsi="Times New Roman" w:cs="Times New Roman"/>
          <w:sz w:val="20"/>
          <w:szCs w:val="20"/>
        </w:rPr>
        <w:t xml:space="preserve"> 9(2): 36-46.</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Okoro, O. </w:t>
      </w:r>
      <w:proofErr w:type="gramStart"/>
      <w:r w:rsidRPr="007362C3">
        <w:rPr>
          <w:rFonts w:ascii="Times New Roman" w:hAnsi="Times New Roman" w:cs="Times New Roman"/>
          <w:sz w:val="20"/>
          <w:szCs w:val="20"/>
        </w:rPr>
        <w:t>G.,</w:t>
      </w:r>
      <w:proofErr w:type="spellStart"/>
      <w:r w:rsidRPr="007362C3">
        <w:rPr>
          <w:rFonts w:ascii="Times New Roman" w:hAnsi="Times New Roman" w:cs="Times New Roman"/>
          <w:sz w:val="20"/>
          <w:szCs w:val="20"/>
        </w:rPr>
        <w:t>Nnabude</w:t>
      </w:r>
      <w:proofErr w:type="spellEnd"/>
      <w:proofErr w:type="gramEnd"/>
      <w:r w:rsidRPr="007362C3">
        <w:rPr>
          <w:rFonts w:ascii="Times New Roman" w:hAnsi="Times New Roman" w:cs="Times New Roman"/>
          <w:sz w:val="20"/>
          <w:szCs w:val="20"/>
        </w:rPr>
        <w:t xml:space="preserve"> P. C., </w:t>
      </w:r>
      <w:proofErr w:type="spellStart"/>
      <w:r w:rsidRPr="007362C3">
        <w:rPr>
          <w:rFonts w:ascii="Times New Roman" w:hAnsi="Times New Roman" w:cs="Times New Roman"/>
          <w:sz w:val="20"/>
          <w:szCs w:val="20"/>
        </w:rPr>
        <w:t>Ndubuisi</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J.L.and</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Morah</w:t>
      </w:r>
      <w:proofErr w:type="spellEnd"/>
      <w:r w:rsidRPr="007362C3">
        <w:rPr>
          <w:rFonts w:ascii="Times New Roman" w:hAnsi="Times New Roman" w:cs="Times New Roman"/>
          <w:sz w:val="20"/>
          <w:szCs w:val="20"/>
        </w:rPr>
        <w:t xml:space="preserve"> I.A. (2021). Ecological characterization and human impact assessment of the flora of Imo-</w:t>
      </w:r>
      <w:proofErr w:type="spellStart"/>
      <w:r w:rsidRPr="007362C3">
        <w:rPr>
          <w:rFonts w:ascii="Times New Roman" w:hAnsi="Times New Roman" w:cs="Times New Roman"/>
          <w:sz w:val="20"/>
          <w:szCs w:val="20"/>
        </w:rPr>
        <w:t>Awka</w:t>
      </w:r>
      <w:proofErr w:type="spellEnd"/>
      <w:r w:rsidRPr="007362C3">
        <w:rPr>
          <w:rFonts w:ascii="Times New Roman" w:hAnsi="Times New Roman" w:cs="Times New Roman"/>
          <w:sz w:val="20"/>
          <w:szCs w:val="20"/>
        </w:rPr>
        <w:t xml:space="preserve"> river watershed in </w:t>
      </w:r>
      <w:proofErr w:type="spellStart"/>
      <w:r w:rsidRPr="007362C3">
        <w:rPr>
          <w:rFonts w:ascii="Times New Roman" w:hAnsi="Times New Roman" w:cs="Times New Roman"/>
          <w:sz w:val="20"/>
          <w:szCs w:val="20"/>
        </w:rPr>
        <w:t>Awka</w:t>
      </w:r>
      <w:proofErr w:type="spellEnd"/>
      <w:r w:rsidRPr="007362C3">
        <w:rPr>
          <w:rFonts w:ascii="Times New Roman" w:hAnsi="Times New Roman" w:cs="Times New Roman"/>
          <w:sz w:val="20"/>
          <w:szCs w:val="20"/>
        </w:rPr>
        <w:t xml:space="preserve">, Anambra state, Nigeria. </w:t>
      </w:r>
      <w:r w:rsidRPr="007362C3">
        <w:rPr>
          <w:rFonts w:ascii="Times New Roman" w:hAnsi="Times New Roman" w:cs="Times New Roman"/>
          <w:i/>
          <w:sz w:val="20"/>
          <w:szCs w:val="20"/>
        </w:rPr>
        <w:t>Journal of Experimental Sciences</w:t>
      </w:r>
      <w:r w:rsidRPr="007362C3">
        <w:rPr>
          <w:rFonts w:ascii="Times New Roman" w:hAnsi="Times New Roman" w:cs="Times New Roman"/>
          <w:sz w:val="20"/>
          <w:szCs w:val="20"/>
        </w:rPr>
        <w:t>. 6(1):.88-100.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Quinn, J.M., Cooper, A.B., Davis-Colley, R.J., Rutherford, J.C. and Williamson, R.B. (1997). Land use effects on habitat, water quality, periphyton and benthic invertebrates in </w:t>
      </w:r>
      <w:proofErr w:type="spellStart"/>
      <w:r w:rsidRPr="007362C3">
        <w:rPr>
          <w:rFonts w:ascii="Times New Roman" w:hAnsi="Times New Roman" w:cs="Times New Roman"/>
          <w:sz w:val="20"/>
          <w:szCs w:val="20"/>
        </w:rPr>
        <w:t>Waikata</w:t>
      </w:r>
      <w:proofErr w:type="spellEnd"/>
      <w:r w:rsidRPr="007362C3">
        <w:rPr>
          <w:rFonts w:ascii="Times New Roman" w:hAnsi="Times New Roman" w:cs="Times New Roman"/>
          <w:sz w:val="20"/>
          <w:szCs w:val="20"/>
        </w:rPr>
        <w:t xml:space="preserve">, New Zealand, hill-country streams. </w:t>
      </w:r>
      <w:r w:rsidRPr="007362C3">
        <w:rPr>
          <w:rFonts w:ascii="Times New Roman" w:hAnsi="Times New Roman" w:cs="Times New Roman"/>
          <w:i/>
          <w:sz w:val="20"/>
          <w:szCs w:val="20"/>
        </w:rPr>
        <w:t>New Zealand Journal of Marine and Freshwater Research.</w:t>
      </w:r>
      <w:r w:rsidRPr="007362C3">
        <w:rPr>
          <w:rFonts w:ascii="Times New Roman" w:hAnsi="Times New Roman" w:cs="Times New Roman"/>
          <w:sz w:val="20"/>
          <w:szCs w:val="20"/>
        </w:rPr>
        <w:t xml:space="preserve"> 31(5): 579-597.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Goldstein R.M., Carlisle, D.M., Meador, M.R. and Short, </w:t>
      </w:r>
      <w:proofErr w:type="gramStart"/>
      <w:r w:rsidRPr="007362C3">
        <w:rPr>
          <w:rFonts w:ascii="Times New Roman" w:hAnsi="Times New Roman" w:cs="Times New Roman"/>
          <w:sz w:val="20"/>
          <w:szCs w:val="20"/>
        </w:rPr>
        <w:t>T.M.(</w:t>
      </w:r>
      <w:proofErr w:type="gramEnd"/>
      <w:r w:rsidRPr="007362C3">
        <w:rPr>
          <w:rFonts w:ascii="Times New Roman" w:hAnsi="Times New Roman" w:cs="Times New Roman"/>
          <w:sz w:val="20"/>
          <w:szCs w:val="20"/>
        </w:rPr>
        <w:t xml:space="preserve">2007). Can basin land use effects on physical characteristics of streams be determined at </w:t>
      </w:r>
      <w:proofErr w:type="gramStart"/>
      <w:r w:rsidRPr="007362C3">
        <w:rPr>
          <w:rFonts w:ascii="Times New Roman" w:hAnsi="Times New Roman" w:cs="Times New Roman"/>
          <w:sz w:val="20"/>
          <w:szCs w:val="20"/>
        </w:rPr>
        <w:t>broad  geographic</w:t>
      </w:r>
      <w:proofErr w:type="gramEnd"/>
      <w:r w:rsidRPr="007362C3">
        <w:rPr>
          <w:rFonts w:ascii="Times New Roman" w:hAnsi="Times New Roman" w:cs="Times New Roman"/>
          <w:sz w:val="20"/>
          <w:szCs w:val="20"/>
        </w:rPr>
        <w:t xml:space="preserve"> scales. </w:t>
      </w:r>
      <w:r w:rsidRPr="007362C3">
        <w:rPr>
          <w:rFonts w:ascii="Times New Roman" w:hAnsi="Times New Roman" w:cs="Times New Roman"/>
          <w:i/>
          <w:sz w:val="20"/>
          <w:szCs w:val="20"/>
        </w:rPr>
        <w:t>Environmental Monitoring Assessment.</w:t>
      </w:r>
      <w:r w:rsidRPr="007362C3">
        <w:rPr>
          <w:rFonts w:ascii="Times New Roman" w:hAnsi="Times New Roman" w:cs="Times New Roman"/>
          <w:sz w:val="20"/>
          <w:szCs w:val="20"/>
        </w:rPr>
        <w:t xml:space="preserve"> 130: 495-510.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Clapcott</w:t>
      </w:r>
      <w:proofErr w:type="spellEnd"/>
      <w:r w:rsidRPr="007362C3">
        <w:rPr>
          <w:rFonts w:ascii="Times New Roman" w:hAnsi="Times New Roman" w:cs="Times New Roman"/>
          <w:sz w:val="20"/>
          <w:szCs w:val="20"/>
        </w:rPr>
        <w:t xml:space="preserve">, J.E., Young, R.G., Goodwin, E.O., </w:t>
      </w:r>
      <w:proofErr w:type="spellStart"/>
      <w:r w:rsidRPr="007362C3">
        <w:rPr>
          <w:rFonts w:ascii="Times New Roman" w:hAnsi="Times New Roman" w:cs="Times New Roman"/>
          <w:sz w:val="20"/>
          <w:szCs w:val="20"/>
        </w:rPr>
        <w:t>Leathwick</w:t>
      </w:r>
      <w:proofErr w:type="spellEnd"/>
      <w:r w:rsidRPr="007362C3">
        <w:rPr>
          <w:rFonts w:ascii="Times New Roman" w:hAnsi="Times New Roman" w:cs="Times New Roman"/>
          <w:sz w:val="20"/>
          <w:szCs w:val="20"/>
        </w:rPr>
        <w:t xml:space="preserve">, J.R. and Kelly, D. (2011). </w:t>
      </w:r>
      <w:r w:rsidRPr="007362C3">
        <w:rPr>
          <w:rFonts w:ascii="Times New Roman" w:hAnsi="Times New Roman" w:cs="Times New Roman"/>
          <w:i/>
          <w:sz w:val="20"/>
          <w:szCs w:val="20"/>
        </w:rPr>
        <w:t>Relationships between multiple land-use pressures and individual and combined indicators of stream ecological integrity</w:t>
      </w:r>
      <w:r w:rsidRPr="007362C3">
        <w:rPr>
          <w:rFonts w:ascii="Times New Roman" w:hAnsi="Times New Roman" w:cs="Times New Roman"/>
          <w:sz w:val="20"/>
          <w:szCs w:val="20"/>
        </w:rPr>
        <w:t>. DOC Research and Development Series, 326, Wellington, New Zealand. Pp 1-47.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Hardin J.S., Benfield, E.F., </w:t>
      </w:r>
      <w:proofErr w:type="spellStart"/>
      <w:r w:rsidRPr="007362C3">
        <w:rPr>
          <w:rFonts w:ascii="Times New Roman" w:hAnsi="Times New Roman" w:cs="Times New Roman"/>
          <w:sz w:val="20"/>
          <w:szCs w:val="20"/>
        </w:rPr>
        <w:t>Bolstad</w:t>
      </w:r>
      <w:proofErr w:type="spellEnd"/>
      <w:r w:rsidRPr="007362C3">
        <w:rPr>
          <w:rFonts w:ascii="Times New Roman" w:hAnsi="Times New Roman" w:cs="Times New Roman"/>
          <w:sz w:val="20"/>
          <w:szCs w:val="20"/>
        </w:rPr>
        <w:t xml:space="preserve">, P.V., </w:t>
      </w:r>
      <w:proofErr w:type="spellStart"/>
      <w:r w:rsidRPr="007362C3">
        <w:rPr>
          <w:rFonts w:ascii="Times New Roman" w:hAnsi="Times New Roman" w:cs="Times New Roman"/>
          <w:sz w:val="20"/>
          <w:szCs w:val="20"/>
        </w:rPr>
        <w:t>Helfman</w:t>
      </w:r>
      <w:proofErr w:type="spellEnd"/>
      <w:r w:rsidRPr="007362C3">
        <w:rPr>
          <w:rFonts w:ascii="Times New Roman" w:hAnsi="Times New Roman" w:cs="Times New Roman"/>
          <w:sz w:val="20"/>
          <w:szCs w:val="20"/>
        </w:rPr>
        <w:t xml:space="preserve">, G.S. and Jones, E.B.D. (1998). Stream Biodiversity: The ghost of land us Hardin J.S. (1998). Stream Biodiversity: The Ghost of Land use Past. </w:t>
      </w:r>
      <w:r w:rsidRPr="007362C3">
        <w:rPr>
          <w:rFonts w:ascii="Times New Roman" w:hAnsi="Times New Roman" w:cs="Times New Roman"/>
          <w:i/>
          <w:sz w:val="20"/>
          <w:szCs w:val="20"/>
        </w:rPr>
        <w:t xml:space="preserve">Proceedings of the National Academy of Sciences of the United States of America. </w:t>
      </w:r>
      <w:r w:rsidRPr="007362C3">
        <w:rPr>
          <w:rFonts w:ascii="Times New Roman" w:hAnsi="Times New Roman" w:cs="Times New Roman"/>
          <w:sz w:val="20"/>
          <w:szCs w:val="20"/>
        </w:rPr>
        <w:t>95(25): 14843-14847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Allan, J. (</w:t>
      </w:r>
      <w:proofErr w:type="gramStart"/>
      <w:r w:rsidRPr="007362C3">
        <w:rPr>
          <w:rFonts w:ascii="Times New Roman" w:hAnsi="Times New Roman" w:cs="Times New Roman"/>
          <w:sz w:val="20"/>
          <w:szCs w:val="20"/>
        </w:rPr>
        <w:t>2004 )</w:t>
      </w:r>
      <w:proofErr w:type="gramEnd"/>
      <w:r w:rsidRPr="007362C3">
        <w:rPr>
          <w:rFonts w:ascii="Times New Roman" w:hAnsi="Times New Roman" w:cs="Times New Roman"/>
          <w:sz w:val="20"/>
          <w:szCs w:val="20"/>
        </w:rPr>
        <w:t xml:space="preserve">. Landscape and riverscapes: The influence of land use on stream ecosystems. </w:t>
      </w:r>
      <w:r w:rsidRPr="007362C3">
        <w:rPr>
          <w:rFonts w:ascii="Times New Roman" w:hAnsi="Times New Roman" w:cs="Times New Roman"/>
          <w:i/>
          <w:sz w:val="20"/>
          <w:szCs w:val="20"/>
        </w:rPr>
        <w:t>Annual Review of Systematics Ecology</w:t>
      </w:r>
      <w:r w:rsidRPr="007362C3">
        <w:rPr>
          <w:rFonts w:ascii="Times New Roman" w:hAnsi="Times New Roman" w:cs="Times New Roman"/>
          <w:sz w:val="20"/>
          <w:szCs w:val="20"/>
        </w:rPr>
        <w:t>. 35:</w:t>
      </w:r>
      <w:r w:rsidRPr="007362C3">
        <w:rPr>
          <w:rFonts w:ascii="Times New Roman" w:hAnsi="Times New Roman" w:cs="Times New Roman"/>
          <w:i/>
          <w:sz w:val="20"/>
          <w:szCs w:val="20"/>
        </w:rPr>
        <w:t xml:space="preserve"> 257-284</w:t>
      </w:r>
      <w:r w:rsidRPr="007362C3">
        <w:rPr>
          <w:rFonts w:ascii="Times New Roman" w:hAnsi="Times New Roman" w:cs="Times New Roman"/>
          <w:sz w:val="20"/>
          <w:szCs w:val="20"/>
        </w:rPr>
        <w:t>.</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Naiman</w:t>
      </w:r>
      <w:proofErr w:type="spellEnd"/>
      <w:r w:rsidRPr="007362C3">
        <w:rPr>
          <w:rFonts w:ascii="Times New Roman" w:hAnsi="Times New Roman" w:cs="Times New Roman"/>
          <w:sz w:val="20"/>
          <w:szCs w:val="20"/>
        </w:rPr>
        <w:t xml:space="preserve">, R.J. and Decamps, </w:t>
      </w:r>
      <w:proofErr w:type="gramStart"/>
      <w:r w:rsidRPr="007362C3">
        <w:rPr>
          <w:rFonts w:ascii="Times New Roman" w:hAnsi="Times New Roman" w:cs="Times New Roman"/>
          <w:sz w:val="20"/>
          <w:szCs w:val="20"/>
        </w:rPr>
        <w:t>H.(</w:t>
      </w:r>
      <w:proofErr w:type="gramEnd"/>
      <w:r w:rsidRPr="007362C3">
        <w:rPr>
          <w:rFonts w:ascii="Times New Roman" w:hAnsi="Times New Roman" w:cs="Times New Roman"/>
          <w:sz w:val="20"/>
          <w:szCs w:val="20"/>
        </w:rPr>
        <w:t xml:space="preserve">1997). The ecology of interfaces: Riparian zones. </w:t>
      </w:r>
      <w:r w:rsidRPr="007362C3">
        <w:rPr>
          <w:rFonts w:ascii="Times New Roman" w:hAnsi="Times New Roman" w:cs="Times New Roman"/>
          <w:i/>
          <w:sz w:val="20"/>
          <w:szCs w:val="20"/>
        </w:rPr>
        <w:t>Annual Review of Ecology and Systematics</w:t>
      </w:r>
      <w:r w:rsidRPr="007362C3">
        <w:rPr>
          <w:rFonts w:ascii="Times New Roman" w:hAnsi="Times New Roman" w:cs="Times New Roman"/>
          <w:sz w:val="20"/>
          <w:szCs w:val="20"/>
        </w:rPr>
        <w:t>. 286: 621-658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Dosskey</w:t>
      </w:r>
      <w:proofErr w:type="spellEnd"/>
      <w:r w:rsidRPr="007362C3">
        <w:rPr>
          <w:rFonts w:ascii="Times New Roman" w:hAnsi="Times New Roman" w:cs="Times New Roman"/>
          <w:sz w:val="20"/>
          <w:szCs w:val="20"/>
        </w:rPr>
        <w:t xml:space="preserve">, M.G., </w:t>
      </w:r>
      <w:proofErr w:type="spellStart"/>
      <w:r w:rsidRPr="007362C3">
        <w:rPr>
          <w:rFonts w:ascii="Times New Roman" w:hAnsi="Times New Roman" w:cs="Times New Roman"/>
          <w:sz w:val="20"/>
          <w:szCs w:val="20"/>
        </w:rPr>
        <w:t>Vidon</w:t>
      </w:r>
      <w:proofErr w:type="spellEnd"/>
      <w:r w:rsidRPr="007362C3">
        <w:rPr>
          <w:rFonts w:ascii="Times New Roman" w:hAnsi="Times New Roman" w:cs="Times New Roman"/>
          <w:sz w:val="20"/>
          <w:szCs w:val="20"/>
        </w:rPr>
        <w:t xml:space="preserve">, P., </w:t>
      </w:r>
      <w:proofErr w:type="spellStart"/>
      <w:r w:rsidRPr="007362C3">
        <w:rPr>
          <w:rFonts w:ascii="Times New Roman" w:hAnsi="Times New Roman" w:cs="Times New Roman"/>
          <w:sz w:val="20"/>
          <w:szCs w:val="20"/>
        </w:rPr>
        <w:t>Gurwick</w:t>
      </w:r>
      <w:proofErr w:type="spellEnd"/>
      <w:r w:rsidRPr="007362C3">
        <w:rPr>
          <w:rFonts w:ascii="Times New Roman" w:hAnsi="Times New Roman" w:cs="Times New Roman"/>
          <w:sz w:val="20"/>
          <w:szCs w:val="20"/>
        </w:rPr>
        <w:t xml:space="preserve">, N.P., Allan, C.J., Duval, T.P. and Lowrance, R. (2010). The role of riparian vegetation in protecting and improving chemical water quality in streams. </w:t>
      </w:r>
      <w:r w:rsidRPr="007362C3">
        <w:rPr>
          <w:rFonts w:ascii="Times New Roman" w:hAnsi="Times New Roman" w:cs="Times New Roman"/>
          <w:i/>
          <w:sz w:val="20"/>
          <w:szCs w:val="20"/>
        </w:rPr>
        <w:t>Journal of the American Water Resources Association</w:t>
      </w:r>
      <w:r w:rsidRPr="007362C3">
        <w:rPr>
          <w:rFonts w:ascii="Times New Roman" w:hAnsi="Times New Roman" w:cs="Times New Roman"/>
          <w:sz w:val="20"/>
          <w:szCs w:val="20"/>
        </w:rPr>
        <w:t>. 46(2): 261-277.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Stewart, J.S., Wang, L., Lyons, J., </w:t>
      </w:r>
      <w:proofErr w:type="spellStart"/>
      <w:r w:rsidRPr="007362C3">
        <w:rPr>
          <w:rFonts w:ascii="Times New Roman" w:hAnsi="Times New Roman" w:cs="Times New Roman"/>
          <w:sz w:val="20"/>
          <w:szCs w:val="20"/>
        </w:rPr>
        <w:t>Horwatich</w:t>
      </w:r>
      <w:proofErr w:type="spellEnd"/>
      <w:r w:rsidRPr="007362C3">
        <w:rPr>
          <w:rFonts w:ascii="Times New Roman" w:hAnsi="Times New Roman" w:cs="Times New Roman"/>
          <w:sz w:val="20"/>
          <w:szCs w:val="20"/>
        </w:rPr>
        <w:t xml:space="preserve">, J.A. and Bannerman, R. (2001). Influences of watershed riparian-corridor, and reach-scale characteristics on aquatic biota in agricultural watersheds. </w:t>
      </w:r>
      <w:r w:rsidRPr="007362C3">
        <w:rPr>
          <w:rFonts w:ascii="Times New Roman" w:hAnsi="Times New Roman" w:cs="Times New Roman"/>
          <w:i/>
          <w:sz w:val="20"/>
          <w:szCs w:val="20"/>
        </w:rPr>
        <w:t xml:space="preserve">Journal of the American Water Resources Association. </w:t>
      </w:r>
      <w:r w:rsidRPr="007362C3">
        <w:rPr>
          <w:rFonts w:ascii="Times New Roman" w:hAnsi="Times New Roman" w:cs="Times New Roman"/>
          <w:sz w:val="20"/>
          <w:szCs w:val="20"/>
        </w:rPr>
        <w:t>37(6): 1475-1487.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lastRenderedPageBreak/>
        <w:t xml:space="preserve">Tran, C.P., Bode, R.W., Smith, A.J. and </w:t>
      </w:r>
      <w:proofErr w:type="spellStart"/>
      <w:r w:rsidRPr="007362C3">
        <w:rPr>
          <w:rFonts w:ascii="Times New Roman" w:hAnsi="Times New Roman" w:cs="Times New Roman"/>
          <w:sz w:val="20"/>
          <w:szCs w:val="20"/>
        </w:rPr>
        <w:t>Kleppel</w:t>
      </w:r>
      <w:proofErr w:type="spellEnd"/>
      <w:r w:rsidRPr="007362C3">
        <w:rPr>
          <w:rFonts w:ascii="Times New Roman" w:hAnsi="Times New Roman" w:cs="Times New Roman"/>
          <w:sz w:val="20"/>
          <w:szCs w:val="20"/>
        </w:rPr>
        <w:t xml:space="preserve">, G.S. (2010). Land-use proximity as a basis for assessing stream quality in New York state (USA). </w:t>
      </w:r>
      <w:r w:rsidRPr="007362C3">
        <w:rPr>
          <w:rFonts w:ascii="Times New Roman" w:hAnsi="Times New Roman" w:cs="Times New Roman"/>
          <w:i/>
          <w:sz w:val="20"/>
          <w:szCs w:val="20"/>
        </w:rPr>
        <w:t>Ecological Indicators.</w:t>
      </w:r>
      <w:r w:rsidRPr="007362C3">
        <w:rPr>
          <w:rFonts w:ascii="Times New Roman" w:hAnsi="Times New Roman" w:cs="Times New Roman"/>
          <w:sz w:val="20"/>
          <w:szCs w:val="20"/>
        </w:rPr>
        <w:t xml:space="preserve"> 10(3): 727-733.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Sponseller</w:t>
      </w:r>
      <w:proofErr w:type="spellEnd"/>
      <w:r w:rsidRPr="007362C3">
        <w:rPr>
          <w:rFonts w:ascii="Times New Roman" w:hAnsi="Times New Roman" w:cs="Times New Roman"/>
          <w:sz w:val="20"/>
          <w:szCs w:val="20"/>
        </w:rPr>
        <w:t>, R.A.</w:t>
      </w:r>
      <w:proofErr w:type="gramStart"/>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Benifield</w:t>
      </w:r>
      <w:proofErr w:type="spellEnd"/>
      <w:proofErr w:type="gramEnd"/>
      <w:r w:rsidRPr="007362C3">
        <w:rPr>
          <w:rFonts w:ascii="Times New Roman" w:hAnsi="Times New Roman" w:cs="Times New Roman"/>
          <w:sz w:val="20"/>
          <w:szCs w:val="20"/>
        </w:rPr>
        <w:t xml:space="preserve">, E.F. and </w:t>
      </w:r>
      <w:proofErr w:type="spellStart"/>
      <w:r w:rsidRPr="007362C3">
        <w:rPr>
          <w:rFonts w:ascii="Times New Roman" w:hAnsi="Times New Roman" w:cs="Times New Roman"/>
          <w:sz w:val="20"/>
          <w:szCs w:val="20"/>
        </w:rPr>
        <w:t>Valett</w:t>
      </w:r>
      <w:proofErr w:type="spellEnd"/>
      <w:r w:rsidRPr="007362C3">
        <w:rPr>
          <w:rFonts w:ascii="Times New Roman" w:hAnsi="Times New Roman" w:cs="Times New Roman"/>
          <w:sz w:val="20"/>
          <w:szCs w:val="20"/>
        </w:rPr>
        <w:t xml:space="preserve">, H.M. (2001). Relationships between land use, spatial scale and stream macroinvertebrate communities. </w:t>
      </w:r>
      <w:r w:rsidRPr="007362C3">
        <w:rPr>
          <w:rFonts w:ascii="Times New Roman" w:hAnsi="Times New Roman" w:cs="Times New Roman"/>
          <w:i/>
          <w:sz w:val="20"/>
          <w:szCs w:val="20"/>
        </w:rPr>
        <w:t>Freshwater Biology.</w:t>
      </w:r>
      <w:r w:rsidRPr="007362C3">
        <w:rPr>
          <w:rFonts w:ascii="Times New Roman" w:hAnsi="Times New Roman" w:cs="Times New Roman"/>
          <w:sz w:val="20"/>
          <w:szCs w:val="20"/>
        </w:rPr>
        <w:t xml:space="preserve"> 46(10): 1409-1424.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Silva, J.A. </w:t>
      </w:r>
      <w:proofErr w:type="gramStart"/>
      <w:r w:rsidRPr="007362C3">
        <w:rPr>
          <w:rFonts w:ascii="Times New Roman" w:hAnsi="Times New Roman" w:cs="Times New Roman"/>
          <w:sz w:val="20"/>
          <w:szCs w:val="20"/>
        </w:rPr>
        <w:t>and  Uchida</w:t>
      </w:r>
      <w:proofErr w:type="gramEnd"/>
      <w:r w:rsidRPr="007362C3">
        <w:rPr>
          <w:rFonts w:ascii="Times New Roman" w:hAnsi="Times New Roman" w:cs="Times New Roman"/>
          <w:sz w:val="20"/>
          <w:szCs w:val="20"/>
        </w:rPr>
        <w:t xml:space="preserve">, R. (2000). Plant nutrient management in Hawaii’s soils. </w:t>
      </w:r>
      <w:r w:rsidRPr="007362C3">
        <w:rPr>
          <w:rFonts w:ascii="Times New Roman" w:hAnsi="Times New Roman" w:cs="Times New Roman"/>
          <w:i/>
          <w:sz w:val="20"/>
          <w:szCs w:val="20"/>
        </w:rPr>
        <w:t>Approaches for tropical and subtropical agriculture</w:t>
      </w:r>
      <w:r w:rsidRPr="007362C3">
        <w:rPr>
          <w:rFonts w:ascii="Times New Roman" w:hAnsi="Times New Roman" w:cs="Times New Roman"/>
          <w:sz w:val="20"/>
          <w:szCs w:val="20"/>
        </w:rPr>
        <w:t xml:space="preserve">. College of Tropical Agriculture and Human Resources, University of Hawaii, Manoa. </w:t>
      </w:r>
      <w:proofErr w:type="gramStart"/>
      <w:r w:rsidRPr="007362C3">
        <w:rPr>
          <w:rFonts w:ascii="Times New Roman" w:hAnsi="Times New Roman" w:cs="Times New Roman"/>
          <w:sz w:val="20"/>
          <w:szCs w:val="20"/>
        </w:rPr>
        <w:t>Pp  117</w:t>
      </w:r>
      <w:proofErr w:type="gramEnd"/>
      <w:r w:rsidRPr="007362C3">
        <w:rPr>
          <w:rFonts w:ascii="Times New Roman" w:hAnsi="Times New Roman" w:cs="Times New Roman"/>
          <w:sz w:val="20"/>
          <w:szCs w:val="20"/>
        </w:rPr>
        <w:t>-120.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Tanaka, M., Souza, A., </w:t>
      </w:r>
      <w:proofErr w:type="spellStart"/>
      <w:r w:rsidRPr="007362C3">
        <w:rPr>
          <w:rFonts w:ascii="Times New Roman" w:hAnsi="Times New Roman" w:cs="Times New Roman"/>
          <w:sz w:val="20"/>
          <w:szCs w:val="20"/>
        </w:rPr>
        <w:t>Moschini</w:t>
      </w:r>
      <w:proofErr w:type="spellEnd"/>
      <w:r w:rsidRPr="007362C3">
        <w:rPr>
          <w:rFonts w:ascii="Times New Roman" w:hAnsi="Times New Roman" w:cs="Times New Roman"/>
          <w:sz w:val="20"/>
          <w:szCs w:val="20"/>
        </w:rPr>
        <w:t xml:space="preserve">, L.E. </w:t>
      </w:r>
      <w:proofErr w:type="gramStart"/>
      <w:r w:rsidRPr="007362C3">
        <w:rPr>
          <w:rFonts w:ascii="Times New Roman" w:hAnsi="Times New Roman" w:cs="Times New Roman"/>
          <w:sz w:val="20"/>
          <w:szCs w:val="20"/>
        </w:rPr>
        <w:t>and  De</w:t>
      </w:r>
      <w:proofErr w:type="gramEnd"/>
      <w:r w:rsidRPr="007362C3">
        <w:rPr>
          <w:rFonts w:ascii="Times New Roman" w:hAnsi="Times New Roman" w:cs="Times New Roman"/>
          <w:sz w:val="20"/>
          <w:szCs w:val="20"/>
        </w:rPr>
        <w:t xml:space="preserve"> Oliveira, </w:t>
      </w:r>
      <w:proofErr w:type="spellStart"/>
      <w:r w:rsidRPr="007362C3">
        <w:rPr>
          <w:rFonts w:ascii="Times New Roman" w:hAnsi="Times New Roman" w:cs="Times New Roman"/>
          <w:sz w:val="20"/>
          <w:szCs w:val="20"/>
        </w:rPr>
        <w:t>A.k.</w:t>
      </w:r>
      <w:proofErr w:type="spellEnd"/>
      <w:r w:rsidRPr="007362C3">
        <w:rPr>
          <w:rFonts w:ascii="Times New Roman" w:hAnsi="Times New Roman" w:cs="Times New Roman"/>
          <w:sz w:val="20"/>
          <w:szCs w:val="20"/>
        </w:rPr>
        <w:t xml:space="preserve"> (2016). Influence of watershed land use and riparian characteristics on biological indicators of stream water quality in southeastern Brazil</w:t>
      </w:r>
      <w:r w:rsidRPr="007362C3">
        <w:rPr>
          <w:rFonts w:ascii="Times New Roman" w:hAnsi="Times New Roman" w:cs="Times New Roman"/>
          <w:i/>
          <w:sz w:val="20"/>
          <w:szCs w:val="20"/>
        </w:rPr>
        <w:t>. Agriculture, Ecosystems and Environment</w:t>
      </w:r>
      <w:r w:rsidRPr="007362C3">
        <w:rPr>
          <w:rFonts w:ascii="Times New Roman" w:hAnsi="Times New Roman" w:cs="Times New Roman"/>
          <w:sz w:val="20"/>
          <w:szCs w:val="20"/>
        </w:rPr>
        <w:t>. 216: 333-339.</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Darghouth</w:t>
      </w:r>
      <w:proofErr w:type="spellEnd"/>
      <w:r w:rsidRPr="007362C3">
        <w:rPr>
          <w:rFonts w:ascii="Times New Roman" w:hAnsi="Times New Roman" w:cs="Times New Roman"/>
          <w:sz w:val="20"/>
          <w:szCs w:val="20"/>
        </w:rPr>
        <w:t xml:space="preserve">, S., Christopher, W., </w:t>
      </w:r>
      <w:proofErr w:type="spellStart"/>
      <w:r w:rsidRPr="007362C3">
        <w:rPr>
          <w:rFonts w:ascii="Times New Roman" w:hAnsi="Times New Roman" w:cs="Times New Roman"/>
          <w:sz w:val="20"/>
          <w:szCs w:val="20"/>
        </w:rPr>
        <w:t>Gambarelli</w:t>
      </w:r>
      <w:proofErr w:type="spellEnd"/>
      <w:r w:rsidRPr="007362C3">
        <w:rPr>
          <w:rFonts w:ascii="Times New Roman" w:hAnsi="Times New Roman" w:cs="Times New Roman"/>
          <w:sz w:val="20"/>
          <w:szCs w:val="20"/>
        </w:rPr>
        <w:t xml:space="preserve">, G., </w:t>
      </w:r>
      <w:proofErr w:type="spellStart"/>
      <w:r w:rsidRPr="007362C3">
        <w:rPr>
          <w:rFonts w:ascii="Times New Roman" w:hAnsi="Times New Roman" w:cs="Times New Roman"/>
          <w:sz w:val="20"/>
          <w:szCs w:val="20"/>
        </w:rPr>
        <w:t>Styger</w:t>
      </w:r>
      <w:proofErr w:type="spellEnd"/>
      <w:r w:rsidRPr="007362C3">
        <w:rPr>
          <w:rFonts w:ascii="Times New Roman" w:hAnsi="Times New Roman" w:cs="Times New Roman"/>
          <w:sz w:val="20"/>
          <w:szCs w:val="20"/>
        </w:rPr>
        <w:t xml:space="preserve">, E. </w:t>
      </w:r>
      <w:proofErr w:type="gramStart"/>
      <w:r w:rsidRPr="007362C3">
        <w:rPr>
          <w:rFonts w:ascii="Times New Roman" w:hAnsi="Times New Roman" w:cs="Times New Roman"/>
          <w:sz w:val="20"/>
          <w:szCs w:val="20"/>
        </w:rPr>
        <w:t>and  Roux</w:t>
      </w:r>
      <w:proofErr w:type="gramEnd"/>
      <w:r w:rsidRPr="007362C3">
        <w:rPr>
          <w:rFonts w:ascii="Times New Roman" w:hAnsi="Times New Roman" w:cs="Times New Roman"/>
          <w:sz w:val="20"/>
          <w:szCs w:val="20"/>
        </w:rPr>
        <w:t xml:space="preserve">, J. (2008). </w:t>
      </w:r>
      <w:r w:rsidRPr="007362C3">
        <w:rPr>
          <w:rFonts w:ascii="Times New Roman" w:hAnsi="Times New Roman" w:cs="Times New Roman"/>
          <w:i/>
          <w:sz w:val="20"/>
          <w:szCs w:val="20"/>
        </w:rPr>
        <w:t xml:space="preserve">Watershed management approaches, policies and operations: lessons for scaling up. </w:t>
      </w:r>
      <w:r w:rsidRPr="007362C3">
        <w:rPr>
          <w:rFonts w:ascii="Times New Roman" w:hAnsi="Times New Roman" w:cs="Times New Roman"/>
          <w:sz w:val="20"/>
          <w:szCs w:val="20"/>
        </w:rPr>
        <w:t>Water Sector Board Discussion Paper Series (11). The World Bank, Washington, DC. 1-134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Fernades</w:t>
      </w:r>
      <w:proofErr w:type="spellEnd"/>
      <w:r w:rsidRPr="007362C3">
        <w:rPr>
          <w:rFonts w:ascii="Times New Roman" w:hAnsi="Times New Roman" w:cs="Times New Roman"/>
          <w:sz w:val="20"/>
          <w:szCs w:val="20"/>
        </w:rPr>
        <w:t xml:space="preserve">, J.F., Souza, A. and Tanaka, M. (2014). Can a structure of a riparian forest remnant influence stream water quality? A tropical case </w:t>
      </w:r>
      <w:proofErr w:type="gramStart"/>
      <w:r w:rsidRPr="007362C3">
        <w:rPr>
          <w:rFonts w:ascii="Times New Roman" w:hAnsi="Times New Roman" w:cs="Times New Roman"/>
          <w:sz w:val="20"/>
          <w:szCs w:val="20"/>
        </w:rPr>
        <w:t>study</w:t>
      </w:r>
      <w:proofErr w:type="gramEnd"/>
      <w:r w:rsidRPr="007362C3">
        <w:rPr>
          <w:rFonts w:ascii="Times New Roman" w:hAnsi="Times New Roman" w:cs="Times New Roman"/>
          <w:sz w:val="20"/>
          <w:szCs w:val="20"/>
        </w:rPr>
        <w:t xml:space="preserve">. </w:t>
      </w:r>
      <w:proofErr w:type="spellStart"/>
      <w:r w:rsidRPr="007362C3">
        <w:rPr>
          <w:rFonts w:ascii="Times New Roman" w:hAnsi="Times New Roman" w:cs="Times New Roman"/>
          <w:i/>
          <w:sz w:val="20"/>
          <w:szCs w:val="20"/>
        </w:rPr>
        <w:t>Hydrobiologia</w:t>
      </w:r>
      <w:proofErr w:type="spellEnd"/>
      <w:r w:rsidRPr="007362C3">
        <w:rPr>
          <w:rFonts w:ascii="Times New Roman" w:hAnsi="Times New Roman" w:cs="Times New Roman"/>
          <w:sz w:val="20"/>
          <w:szCs w:val="20"/>
        </w:rPr>
        <w:t>. 724(1): 175-185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Townsend P.V., Harper R.J., Brennan C, S. Wu </w:t>
      </w:r>
      <w:proofErr w:type="spellStart"/>
      <w:r w:rsidRPr="007362C3">
        <w:rPr>
          <w:rFonts w:ascii="Times New Roman" w:hAnsi="Times New Roman" w:cs="Times New Roman"/>
          <w:sz w:val="20"/>
          <w:szCs w:val="20"/>
        </w:rPr>
        <w:t>Smettem</w:t>
      </w:r>
      <w:proofErr w:type="spellEnd"/>
      <w:r w:rsidRPr="007362C3">
        <w:rPr>
          <w:rFonts w:ascii="Times New Roman" w:hAnsi="Times New Roman" w:cs="Times New Roman"/>
          <w:sz w:val="20"/>
          <w:szCs w:val="20"/>
        </w:rPr>
        <w:t>, K.R.J and Cook, S.E. (2012). Multiple environmental services as an opportunity for watershed restoration</w:t>
      </w:r>
      <w:r w:rsidRPr="007362C3">
        <w:rPr>
          <w:rFonts w:ascii="Times New Roman" w:hAnsi="Times New Roman" w:cs="Times New Roman"/>
          <w:i/>
          <w:sz w:val="20"/>
          <w:szCs w:val="20"/>
        </w:rPr>
        <w:t>. Forest Policy and Economics</w:t>
      </w:r>
      <w:r w:rsidRPr="007362C3">
        <w:rPr>
          <w:rFonts w:ascii="Times New Roman" w:hAnsi="Times New Roman" w:cs="Times New Roman"/>
          <w:sz w:val="20"/>
          <w:szCs w:val="20"/>
        </w:rPr>
        <w:t>. 17:45-58.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Nweke, A.I., </w:t>
      </w:r>
      <w:proofErr w:type="spellStart"/>
      <w:r w:rsidRPr="007362C3">
        <w:rPr>
          <w:rFonts w:ascii="Times New Roman" w:hAnsi="Times New Roman" w:cs="Times New Roman"/>
          <w:sz w:val="20"/>
          <w:szCs w:val="20"/>
        </w:rPr>
        <w:t>Ekwealor</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K.u</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Nnabude</w:t>
      </w:r>
      <w:proofErr w:type="spellEnd"/>
      <w:r w:rsidRPr="007362C3">
        <w:rPr>
          <w:rFonts w:ascii="Times New Roman" w:hAnsi="Times New Roman" w:cs="Times New Roman"/>
          <w:sz w:val="20"/>
          <w:szCs w:val="20"/>
        </w:rPr>
        <w:t xml:space="preserve">, P.C., </w:t>
      </w:r>
      <w:proofErr w:type="spellStart"/>
      <w:r w:rsidRPr="007362C3">
        <w:rPr>
          <w:rFonts w:ascii="Times New Roman" w:hAnsi="Times New Roman" w:cs="Times New Roman"/>
          <w:sz w:val="20"/>
          <w:szCs w:val="20"/>
        </w:rPr>
        <w:t>Nworji</w:t>
      </w:r>
      <w:proofErr w:type="spellEnd"/>
      <w:r w:rsidRPr="007362C3">
        <w:rPr>
          <w:rFonts w:ascii="Times New Roman" w:hAnsi="Times New Roman" w:cs="Times New Roman"/>
          <w:sz w:val="20"/>
          <w:szCs w:val="20"/>
        </w:rPr>
        <w:t xml:space="preserve">, M.J., </w:t>
      </w:r>
      <w:proofErr w:type="spellStart"/>
      <w:r w:rsidRPr="007362C3">
        <w:rPr>
          <w:rFonts w:ascii="Times New Roman" w:hAnsi="Times New Roman" w:cs="Times New Roman"/>
          <w:sz w:val="20"/>
          <w:szCs w:val="20"/>
        </w:rPr>
        <w:t>Ngonadi</w:t>
      </w:r>
      <w:proofErr w:type="spellEnd"/>
      <w:r w:rsidRPr="007362C3">
        <w:rPr>
          <w:rFonts w:ascii="Times New Roman" w:hAnsi="Times New Roman" w:cs="Times New Roman"/>
          <w:sz w:val="20"/>
          <w:szCs w:val="20"/>
        </w:rPr>
        <w:t xml:space="preserve">, E.N., and </w:t>
      </w:r>
      <w:proofErr w:type="spellStart"/>
      <w:r w:rsidRPr="007362C3">
        <w:rPr>
          <w:rFonts w:ascii="Times New Roman" w:hAnsi="Times New Roman" w:cs="Times New Roman"/>
          <w:sz w:val="20"/>
          <w:szCs w:val="20"/>
        </w:rPr>
        <w:t>Ibe</w:t>
      </w:r>
      <w:proofErr w:type="spellEnd"/>
      <w:r w:rsidRPr="007362C3">
        <w:rPr>
          <w:rFonts w:ascii="Times New Roman" w:hAnsi="Times New Roman" w:cs="Times New Roman"/>
          <w:sz w:val="20"/>
          <w:szCs w:val="20"/>
        </w:rPr>
        <w:t>, K.G. (2020). Ecological survey of plant species in two contrasting management systems of watershed ecosystem</w:t>
      </w:r>
      <w:r w:rsidRPr="007362C3">
        <w:rPr>
          <w:rFonts w:ascii="Times New Roman" w:hAnsi="Times New Roman" w:cs="Times New Roman"/>
          <w:i/>
          <w:sz w:val="20"/>
          <w:szCs w:val="20"/>
        </w:rPr>
        <w:t>.</w:t>
      </w:r>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African Journal of Environment and Natural Science Research</w:t>
      </w:r>
      <w:r w:rsidRPr="007362C3">
        <w:rPr>
          <w:rFonts w:ascii="Times New Roman" w:hAnsi="Times New Roman" w:cs="Times New Roman"/>
          <w:sz w:val="20"/>
          <w:szCs w:val="20"/>
        </w:rPr>
        <w:t>. 3 (6): 46-53.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National Academy </w:t>
      </w:r>
      <w:proofErr w:type="gramStart"/>
      <w:r w:rsidRPr="007362C3">
        <w:rPr>
          <w:rFonts w:ascii="Times New Roman" w:hAnsi="Times New Roman" w:cs="Times New Roman"/>
          <w:sz w:val="20"/>
          <w:szCs w:val="20"/>
        </w:rPr>
        <w:t>of  Sciences</w:t>
      </w:r>
      <w:proofErr w:type="gramEnd"/>
      <w:r w:rsidRPr="007362C3">
        <w:rPr>
          <w:rFonts w:ascii="Times New Roman" w:hAnsi="Times New Roman" w:cs="Times New Roman"/>
          <w:sz w:val="20"/>
          <w:szCs w:val="20"/>
        </w:rPr>
        <w:t xml:space="preserve"> (2010). Firewood </w:t>
      </w:r>
      <w:r w:rsidRPr="007362C3">
        <w:rPr>
          <w:rFonts w:ascii="Times New Roman" w:hAnsi="Times New Roman" w:cs="Times New Roman"/>
          <w:i/>
          <w:sz w:val="20"/>
          <w:szCs w:val="20"/>
        </w:rPr>
        <w:t>crop, shrub and trees for energy production.</w:t>
      </w:r>
      <w:r w:rsidRPr="007362C3">
        <w:rPr>
          <w:rFonts w:ascii="Times New Roman" w:hAnsi="Times New Roman" w:cs="Times New Roman"/>
          <w:sz w:val="20"/>
          <w:szCs w:val="20"/>
        </w:rPr>
        <w:t xml:space="preserve"> National Academy Press. Washington DC. Pp 237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National Academy of Sciences (2013</w:t>
      </w:r>
      <w:r w:rsidRPr="007362C3">
        <w:rPr>
          <w:rFonts w:ascii="Times New Roman" w:hAnsi="Times New Roman" w:cs="Times New Roman"/>
          <w:i/>
          <w:sz w:val="20"/>
          <w:szCs w:val="20"/>
        </w:rPr>
        <w:t>.). Fire wood crop, shrub and tree species for energy production</w:t>
      </w:r>
      <w:r w:rsidRPr="007362C3">
        <w:rPr>
          <w:rFonts w:ascii="Times New Roman" w:hAnsi="Times New Roman" w:cs="Times New Roman"/>
          <w:sz w:val="20"/>
          <w:szCs w:val="20"/>
        </w:rPr>
        <w:t>. National Academy Press, Washington DC. Pp 92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Marzin</w:t>
      </w:r>
      <w:proofErr w:type="spellEnd"/>
      <w:r w:rsidRPr="007362C3">
        <w:rPr>
          <w:rFonts w:ascii="Times New Roman" w:hAnsi="Times New Roman" w:cs="Times New Roman"/>
          <w:sz w:val="20"/>
          <w:szCs w:val="20"/>
        </w:rPr>
        <w:t xml:space="preserve">, A., </w:t>
      </w:r>
      <w:proofErr w:type="spellStart"/>
      <w:r w:rsidRPr="007362C3">
        <w:rPr>
          <w:rFonts w:ascii="Times New Roman" w:hAnsi="Times New Roman" w:cs="Times New Roman"/>
          <w:sz w:val="20"/>
          <w:szCs w:val="20"/>
        </w:rPr>
        <w:t>Verdonschot</w:t>
      </w:r>
      <w:proofErr w:type="spellEnd"/>
      <w:r w:rsidRPr="007362C3">
        <w:rPr>
          <w:rFonts w:ascii="Times New Roman" w:hAnsi="Times New Roman" w:cs="Times New Roman"/>
          <w:sz w:val="20"/>
          <w:szCs w:val="20"/>
        </w:rPr>
        <w:t xml:space="preserve">, P.F.M. and Pont, D. (2013). The relative influence of catchment, riparian corridor and reach-scale anthropogenic pressures on fish and </w:t>
      </w:r>
      <w:proofErr w:type="spellStart"/>
      <w:r w:rsidRPr="007362C3">
        <w:rPr>
          <w:rFonts w:ascii="Times New Roman" w:hAnsi="Times New Roman" w:cs="Times New Roman"/>
          <w:sz w:val="20"/>
          <w:szCs w:val="20"/>
        </w:rPr>
        <w:t>macroinvertibrate</w:t>
      </w:r>
      <w:proofErr w:type="spellEnd"/>
      <w:r w:rsidRPr="007362C3">
        <w:rPr>
          <w:rFonts w:ascii="Times New Roman" w:hAnsi="Times New Roman" w:cs="Times New Roman"/>
          <w:sz w:val="20"/>
          <w:szCs w:val="20"/>
        </w:rPr>
        <w:t xml:space="preserve"> assemblages in French rivers. </w:t>
      </w:r>
      <w:proofErr w:type="spellStart"/>
      <w:r w:rsidRPr="007362C3">
        <w:rPr>
          <w:rFonts w:ascii="Times New Roman" w:hAnsi="Times New Roman" w:cs="Times New Roman"/>
          <w:i/>
          <w:sz w:val="20"/>
          <w:szCs w:val="20"/>
        </w:rPr>
        <w:t>Hydrobiologia</w:t>
      </w:r>
      <w:proofErr w:type="spellEnd"/>
      <w:r w:rsidRPr="007362C3">
        <w:rPr>
          <w:rFonts w:ascii="Times New Roman" w:hAnsi="Times New Roman" w:cs="Times New Roman"/>
          <w:sz w:val="20"/>
          <w:szCs w:val="20"/>
        </w:rPr>
        <w:t>. 704(1): 375-388.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Vasi</w:t>
      </w:r>
      <w:proofErr w:type="spellEnd"/>
      <w:r w:rsidRPr="007362C3">
        <w:rPr>
          <w:rFonts w:ascii="Times New Roman" w:hAnsi="Times New Roman" w:cs="Times New Roman"/>
          <w:sz w:val="20"/>
          <w:szCs w:val="20"/>
        </w:rPr>
        <w:t xml:space="preserve">, F., </w:t>
      </w:r>
      <w:proofErr w:type="spellStart"/>
      <w:r w:rsidRPr="007362C3">
        <w:rPr>
          <w:rFonts w:ascii="Times New Roman" w:hAnsi="Times New Roman" w:cs="Times New Roman"/>
          <w:sz w:val="20"/>
          <w:szCs w:val="20"/>
        </w:rPr>
        <w:t>Cakovic</w:t>
      </w:r>
      <w:proofErr w:type="spellEnd"/>
      <w:r w:rsidRPr="007362C3">
        <w:rPr>
          <w:rFonts w:ascii="Times New Roman" w:hAnsi="Times New Roman" w:cs="Times New Roman"/>
          <w:sz w:val="20"/>
          <w:szCs w:val="20"/>
        </w:rPr>
        <w:t xml:space="preserve">, M., Dragovic, N., </w:t>
      </w:r>
      <w:proofErr w:type="spellStart"/>
      <w:r w:rsidRPr="007362C3">
        <w:rPr>
          <w:rFonts w:ascii="Times New Roman" w:hAnsi="Times New Roman" w:cs="Times New Roman"/>
          <w:sz w:val="20"/>
          <w:szCs w:val="20"/>
        </w:rPr>
        <w:t>Jovanoic</w:t>
      </w:r>
      <w:proofErr w:type="spellEnd"/>
      <w:r w:rsidRPr="007362C3">
        <w:rPr>
          <w:rFonts w:ascii="Times New Roman" w:hAnsi="Times New Roman" w:cs="Times New Roman"/>
          <w:sz w:val="20"/>
          <w:szCs w:val="20"/>
        </w:rPr>
        <w:t xml:space="preserve">, N., </w:t>
      </w:r>
      <w:proofErr w:type="spellStart"/>
      <w:r w:rsidRPr="007362C3">
        <w:rPr>
          <w:rFonts w:ascii="Times New Roman" w:hAnsi="Times New Roman" w:cs="Times New Roman"/>
          <w:sz w:val="20"/>
          <w:szCs w:val="20"/>
        </w:rPr>
        <w:t>Koncevic</w:t>
      </w:r>
      <w:proofErr w:type="spellEnd"/>
      <w:r w:rsidRPr="007362C3">
        <w:rPr>
          <w:rFonts w:ascii="Times New Roman" w:hAnsi="Times New Roman" w:cs="Times New Roman"/>
          <w:sz w:val="20"/>
          <w:szCs w:val="20"/>
        </w:rPr>
        <w:t xml:space="preserve">, V., </w:t>
      </w:r>
      <w:proofErr w:type="spellStart"/>
      <w:r w:rsidRPr="007362C3">
        <w:rPr>
          <w:rFonts w:ascii="Times New Roman" w:hAnsi="Times New Roman" w:cs="Times New Roman"/>
          <w:sz w:val="20"/>
          <w:szCs w:val="20"/>
        </w:rPr>
        <w:t>Zivanovic</w:t>
      </w:r>
      <w:proofErr w:type="spellEnd"/>
      <w:r w:rsidRPr="007362C3">
        <w:rPr>
          <w:rFonts w:ascii="Times New Roman" w:hAnsi="Times New Roman" w:cs="Times New Roman"/>
          <w:sz w:val="20"/>
          <w:szCs w:val="20"/>
        </w:rPr>
        <w:t xml:space="preserve">, N. and </w:t>
      </w:r>
      <w:proofErr w:type="spellStart"/>
      <w:r w:rsidRPr="007362C3">
        <w:rPr>
          <w:rFonts w:ascii="Times New Roman" w:hAnsi="Times New Roman" w:cs="Times New Roman"/>
          <w:sz w:val="20"/>
          <w:szCs w:val="20"/>
        </w:rPr>
        <w:t>Zlatic</w:t>
      </w:r>
      <w:proofErr w:type="spellEnd"/>
      <w:r w:rsidRPr="007362C3">
        <w:rPr>
          <w:rFonts w:ascii="Times New Roman" w:hAnsi="Times New Roman" w:cs="Times New Roman"/>
          <w:sz w:val="20"/>
          <w:szCs w:val="20"/>
        </w:rPr>
        <w:t>, M. (2024). current trends and future perspectives of integrated watershed management</w:t>
      </w:r>
      <w:r w:rsidRPr="007362C3">
        <w:rPr>
          <w:rFonts w:ascii="Times New Roman" w:hAnsi="Times New Roman" w:cs="Times New Roman"/>
          <w:i/>
          <w:sz w:val="20"/>
          <w:szCs w:val="20"/>
        </w:rPr>
        <w:t>. South-East Europe</w:t>
      </w:r>
      <w:r w:rsidRPr="007362C3">
        <w:rPr>
          <w:rFonts w:ascii="Times New Roman" w:hAnsi="Times New Roman" w:cs="Times New Roman"/>
          <w:sz w:val="20"/>
          <w:szCs w:val="20"/>
        </w:rPr>
        <w:t>. 15 (1): 12-24.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He, F., </w:t>
      </w:r>
      <w:proofErr w:type="spellStart"/>
      <w:r w:rsidRPr="007362C3">
        <w:rPr>
          <w:rFonts w:ascii="Times New Roman" w:hAnsi="Times New Roman" w:cs="Times New Roman"/>
          <w:sz w:val="20"/>
          <w:szCs w:val="20"/>
        </w:rPr>
        <w:t>Zarfl</w:t>
      </w:r>
      <w:proofErr w:type="spellEnd"/>
      <w:r w:rsidRPr="007362C3">
        <w:rPr>
          <w:rFonts w:ascii="Times New Roman" w:hAnsi="Times New Roman" w:cs="Times New Roman"/>
          <w:sz w:val="20"/>
          <w:szCs w:val="20"/>
        </w:rPr>
        <w:t xml:space="preserve">, C., </w:t>
      </w:r>
      <w:proofErr w:type="spellStart"/>
      <w:r w:rsidRPr="007362C3">
        <w:rPr>
          <w:rFonts w:ascii="Times New Roman" w:hAnsi="Times New Roman" w:cs="Times New Roman"/>
          <w:sz w:val="20"/>
          <w:szCs w:val="20"/>
        </w:rPr>
        <w:t>Bremerich</w:t>
      </w:r>
      <w:proofErr w:type="spellEnd"/>
      <w:r w:rsidRPr="007362C3">
        <w:rPr>
          <w:rFonts w:ascii="Times New Roman" w:hAnsi="Times New Roman" w:cs="Times New Roman"/>
          <w:sz w:val="20"/>
          <w:szCs w:val="20"/>
        </w:rPr>
        <w:t xml:space="preserve">, V., Henshaw, A., </w:t>
      </w:r>
      <w:proofErr w:type="spellStart"/>
      <w:r w:rsidRPr="007362C3">
        <w:rPr>
          <w:rFonts w:ascii="Times New Roman" w:hAnsi="Times New Roman" w:cs="Times New Roman"/>
          <w:sz w:val="20"/>
          <w:szCs w:val="20"/>
        </w:rPr>
        <w:t>Darwall</w:t>
      </w:r>
      <w:proofErr w:type="spellEnd"/>
      <w:r w:rsidRPr="007362C3">
        <w:rPr>
          <w:rFonts w:ascii="Times New Roman" w:hAnsi="Times New Roman" w:cs="Times New Roman"/>
          <w:sz w:val="20"/>
          <w:szCs w:val="20"/>
        </w:rPr>
        <w:t xml:space="preserve">, W., </w:t>
      </w:r>
      <w:proofErr w:type="spellStart"/>
      <w:r w:rsidRPr="007362C3">
        <w:rPr>
          <w:rFonts w:ascii="Times New Roman" w:hAnsi="Times New Roman" w:cs="Times New Roman"/>
          <w:sz w:val="20"/>
          <w:szCs w:val="20"/>
        </w:rPr>
        <w:t>Tockner</w:t>
      </w:r>
      <w:proofErr w:type="spellEnd"/>
      <w:r w:rsidRPr="007362C3">
        <w:rPr>
          <w:rFonts w:ascii="Times New Roman" w:hAnsi="Times New Roman" w:cs="Times New Roman"/>
          <w:sz w:val="20"/>
          <w:szCs w:val="20"/>
        </w:rPr>
        <w:t xml:space="preserve">, K. and Jaehnig, S. </w:t>
      </w:r>
      <w:proofErr w:type="gramStart"/>
      <w:r w:rsidRPr="007362C3">
        <w:rPr>
          <w:rFonts w:ascii="Times New Roman" w:hAnsi="Times New Roman" w:cs="Times New Roman"/>
          <w:sz w:val="20"/>
          <w:szCs w:val="20"/>
        </w:rPr>
        <w:t>C..</w:t>
      </w:r>
      <w:proofErr w:type="gramEnd"/>
      <w:r w:rsidRPr="007362C3">
        <w:rPr>
          <w:rFonts w:ascii="Times New Roman" w:hAnsi="Times New Roman" w:cs="Times New Roman"/>
          <w:sz w:val="20"/>
          <w:szCs w:val="20"/>
        </w:rPr>
        <w:t xml:space="preserve"> (2017). Disappearing giants: A review of threats to freshwater megafauna. </w:t>
      </w:r>
      <w:proofErr w:type="spellStart"/>
      <w:r w:rsidRPr="007362C3">
        <w:rPr>
          <w:rFonts w:ascii="Times New Roman" w:hAnsi="Times New Roman" w:cs="Times New Roman"/>
          <w:i/>
          <w:sz w:val="20"/>
          <w:szCs w:val="20"/>
        </w:rPr>
        <w:t>WIREsWater</w:t>
      </w:r>
      <w:proofErr w:type="spellEnd"/>
      <w:r w:rsidRPr="007362C3">
        <w:rPr>
          <w:rFonts w:ascii="Times New Roman" w:hAnsi="Times New Roman" w:cs="Times New Roman"/>
          <w:sz w:val="20"/>
          <w:szCs w:val="20"/>
        </w:rPr>
        <w:t>. 4(3): e1208.</w:t>
      </w:r>
    </w:p>
    <w:p w:rsidR="00E247EB" w:rsidRPr="007362C3" w:rsidRDefault="00E247EB" w:rsidP="00E247EB">
      <w:pPr>
        <w:pStyle w:val="ListParagraph"/>
        <w:numPr>
          <w:ilvl w:val="0"/>
          <w:numId w:val="6"/>
        </w:numPr>
        <w:spacing w:before="240"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Likens, G.E. and </w:t>
      </w:r>
      <w:proofErr w:type="spellStart"/>
      <w:r w:rsidRPr="007362C3">
        <w:rPr>
          <w:rFonts w:ascii="Times New Roman" w:hAnsi="Times New Roman" w:cs="Times New Roman"/>
          <w:sz w:val="20"/>
          <w:szCs w:val="20"/>
        </w:rPr>
        <w:t>Buso</w:t>
      </w:r>
      <w:proofErr w:type="spellEnd"/>
      <w:r w:rsidRPr="007362C3">
        <w:rPr>
          <w:rFonts w:ascii="Times New Roman" w:hAnsi="Times New Roman" w:cs="Times New Roman"/>
          <w:sz w:val="20"/>
          <w:szCs w:val="20"/>
        </w:rPr>
        <w:t xml:space="preserve">, D.C. (2013). </w:t>
      </w:r>
      <w:r w:rsidRPr="007362C3">
        <w:rPr>
          <w:rFonts w:ascii="Times New Roman" w:hAnsi="Times New Roman" w:cs="Times New Roman"/>
          <w:i/>
          <w:sz w:val="20"/>
          <w:szCs w:val="20"/>
        </w:rPr>
        <w:t>Biogeochemistry of a forested ecosystem</w:t>
      </w:r>
      <w:r w:rsidRPr="007362C3">
        <w:rPr>
          <w:rFonts w:ascii="Times New Roman" w:hAnsi="Times New Roman" w:cs="Times New Roman"/>
          <w:sz w:val="20"/>
          <w:szCs w:val="20"/>
        </w:rPr>
        <w:t xml:space="preserve"> (3</w:t>
      </w:r>
      <w:r w:rsidRPr="007362C3">
        <w:rPr>
          <w:rFonts w:ascii="Times New Roman" w:hAnsi="Times New Roman" w:cs="Times New Roman"/>
          <w:sz w:val="20"/>
          <w:szCs w:val="20"/>
          <w:vertAlign w:val="superscript"/>
        </w:rPr>
        <w:t>rd</w:t>
      </w:r>
      <w:r w:rsidRPr="007362C3">
        <w:rPr>
          <w:rFonts w:ascii="Times New Roman" w:hAnsi="Times New Roman" w:cs="Times New Roman"/>
          <w:sz w:val="20"/>
          <w:szCs w:val="20"/>
        </w:rPr>
        <w:t xml:space="preserve"> edition). Springer Verlag, Germany. Pp 1-34.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Jovanovska</w:t>
      </w:r>
      <w:proofErr w:type="spellEnd"/>
      <w:r w:rsidRPr="007362C3">
        <w:rPr>
          <w:rFonts w:ascii="Times New Roman" w:hAnsi="Times New Roman" w:cs="Times New Roman"/>
          <w:sz w:val="20"/>
          <w:szCs w:val="20"/>
        </w:rPr>
        <w:t xml:space="preserve">, D., </w:t>
      </w:r>
      <w:proofErr w:type="spellStart"/>
      <w:r w:rsidRPr="007362C3">
        <w:rPr>
          <w:rFonts w:ascii="Times New Roman" w:hAnsi="Times New Roman" w:cs="Times New Roman"/>
          <w:sz w:val="20"/>
          <w:szCs w:val="20"/>
        </w:rPr>
        <w:t>Slavevska-Stamenkovic</w:t>
      </w:r>
      <w:proofErr w:type="spellEnd"/>
      <w:r w:rsidRPr="007362C3">
        <w:rPr>
          <w:rFonts w:ascii="Times New Roman" w:hAnsi="Times New Roman" w:cs="Times New Roman"/>
          <w:sz w:val="20"/>
          <w:szCs w:val="20"/>
        </w:rPr>
        <w:t xml:space="preserve">, V., </w:t>
      </w:r>
      <w:proofErr w:type="spellStart"/>
      <w:r w:rsidRPr="007362C3">
        <w:rPr>
          <w:rFonts w:ascii="Times New Roman" w:hAnsi="Times New Roman" w:cs="Times New Roman"/>
          <w:sz w:val="20"/>
          <w:szCs w:val="20"/>
        </w:rPr>
        <w:t>Avukatov</w:t>
      </w:r>
      <w:proofErr w:type="spellEnd"/>
      <w:r w:rsidRPr="007362C3">
        <w:rPr>
          <w:rFonts w:ascii="Times New Roman" w:hAnsi="Times New Roman" w:cs="Times New Roman"/>
          <w:sz w:val="20"/>
          <w:szCs w:val="20"/>
        </w:rPr>
        <w:t xml:space="preserve">, V., </w:t>
      </w:r>
      <w:proofErr w:type="spellStart"/>
      <w:r w:rsidRPr="007362C3">
        <w:rPr>
          <w:rFonts w:ascii="Times New Roman" w:hAnsi="Times New Roman" w:cs="Times New Roman"/>
          <w:sz w:val="20"/>
          <w:szCs w:val="20"/>
        </w:rPr>
        <w:t>Hristovski</w:t>
      </w:r>
      <w:proofErr w:type="spellEnd"/>
      <w:r w:rsidRPr="007362C3">
        <w:rPr>
          <w:rFonts w:ascii="Times New Roman" w:hAnsi="Times New Roman" w:cs="Times New Roman"/>
          <w:sz w:val="20"/>
          <w:szCs w:val="20"/>
        </w:rPr>
        <w:t xml:space="preserve">, S. </w:t>
      </w:r>
      <w:proofErr w:type="gramStart"/>
      <w:r w:rsidRPr="007362C3">
        <w:rPr>
          <w:rFonts w:ascii="Times New Roman" w:hAnsi="Times New Roman" w:cs="Times New Roman"/>
          <w:sz w:val="20"/>
          <w:szCs w:val="20"/>
        </w:rPr>
        <w:t xml:space="preserve">and  </w:t>
      </w:r>
      <w:proofErr w:type="spellStart"/>
      <w:r w:rsidRPr="007362C3">
        <w:rPr>
          <w:rFonts w:ascii="Times New Roman" w:hAnsi="Times New Roman" w:cs="Times New Roman"/>
          <w:sz w:val="20"/>
          <w:szCs w:val="20"/>
        </w:rPr>
        <w:t>Melovski</w:t>
      </w:r>
      <w:proofErr w:type="spellEnd"/>
      <w:proofErr w:type="gramEnd"/>
      <w:r w:rsidRPr="007362C3">
        <w:rPr>
          <w:rFonts w:ascii="Times New Roman" w:hAnsi="Times New Roman" w:cs="Times New Roman"/>
          <w:sz w:val="20"/>
          <w:szCs w:val="20"/>
        </w:rPr>
        <w:t xml:space="preserve">, L. (2019). Applicability of the 'watershed habitat evaluation and stream integrity protocol' (WHEBIP) in assessment of the stream integrity in </w:t>
      </w:r>
      <w:proofErr w:type="spellStart"/>
      <w:r w:rsidRPr="007362C3">
        <w:rPr>
          <w:rFonts w:ascii="Times New Roman" w:hAnsi="Times New Roman" w:cs="Times New Roman"/>
          <w:sz w:val="20"/>
          <w:szCs w:val="20"/>
        </w:rPr>
        <w:t>bregalnica</w:t>
      </w:r>
      <w:proofErr w:type="spellEnd"/>
      <w:r w:rsidRPr="007362C3">
        <w:rPr>
          <w:rFonts w:ascii="Times New Roman" w:hAnsi="Times New Roman" w:cs="Times New Roman"/>
          <w:sz w:val="20"/>
          <w:szCs w:val="20"/>
        </w:rPr>
        <w:t xml:space="preserve"> river basin. </w:t>
      </w:r>
      <w:r w:rsidRPr="007362C3">
        <w:rPr>
          <w:rFonts w:ascii="Times New Roman" w:hAnsi="Times New Roman" w:cs="Times New Roman"/>
          <w:i/>
          <w:sz w:val="20"/>
          <w:szCs w:val="20"/>
        </w:rPr>
        <w:t>International Journal of River Basin Management</w:t>
      </w:r>
      <w:r w:rsidRPr="007362C3">
        <w:rPr>
          <w:rFonts w:ascii="Times New Roman" w:hAnsi="Times New Roman" w:cs="Times New Roman"/>
          <w:sz w:val="20"/>
          <w:szCs w:val="20"/>
        </w:rPr>
        <w:t xml:space="preserve"> 17: 209-218. </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Eswaran, H. and Reich, P.F. (2005). </w:t>
      </w:r>
      <w:proofErr w:type="spellStart"/>
      <w:r w:rsidRPr="007362C3">
        <w:rPr>
          <w:rFonts w:ascii="Times New Roman" w:hAnsi="Times New Roman" w:cs="Times New Roman"/>
          <w:sz w:val="20"/>
          <w:szCs w:val="20"/>
        </w:rPr>
        <w:t>Oxisols</w:t>
      </w:r>
      <w:proofErr w:type="spellEnd"/>
      <w:r w:rsidRPr="007362C3">
        <w:rPr>
          <w:rFonts w:ascii="Times New Roman" w:hAnsi="Times New Roman" w:cs="Times New Roman"/>
          <w:sz w:val="20"/>
          <w:szCs w:val="20"/>
        </w:rPr>
        <w:t xml:space="preserve">. In: Hillel, D. </w:t>
      </w:r>
      <w:r w:rsidRPr="007362C3">
        <w:rPr>
          <w:rFonts w:ascii="Times New Roman" w:hAnsi="Times New Roman" w:cs="Times New Roman"/>
          <w:i/>
          <w:sz w:val="20"/>
          <w:szCs w:val="20"/>
        </w:rPr>
        <w:t>Encyclopedia of Soils in the Environment.</w:t>
      </w:r>
      <w:r w:rsidRPr="007362C3">
        <w:rPr>
          <w:rFonts w:ascii="Times New Roman" w:hAnsi="Times New Roman" w:cs="Times New Roman"/>
          <w:sz w:val="20"/>
          <w:szCs w:val="20"/>
        </w:rPr>
        <w:t xml:space="preserve"> Elsevier Academic Press, Oxford, </w:t>
      </w:r>
      <w:proofErr w:type="spellStart"/>
      <w:r w:rsidRPr="007362C3">
        <w:rPr>
          <w:rFonts w:ascii="Times New Roman" w:hAnsi="Times New Roman" w:cs="Times New Roman"/>
          <w:sz w:val="20"/>
          <w:szCs w:val="20"/>
        </w:rPr>
        <w:t>Uk</w:t>
      </w:r>
      <w:proofErr w:type="spellEnd"/>
      <w:r w:rsidRPr="007362C3">
        <w:rPr>
          <w:rFonts w:ascii="Times New Roman" w:hAnsi="Times New Roman" w:cs="Times New Roman"/>
          <w:sz w:val="20"/>
          <w:szCs w:val="20"/>
        </w:rPr>
        <w:t>. Vol 4. Pp 352-365.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Telo</w:t>
      </w:r>
      <w:proofErr w:type="spellEnd"/>
      <w:r w:rsidRPr="007362C3">
        <w:rPr>
          <w:rFonts w:ascii="Times New Roman" w:hAnsi="Times New Roman" w:cs="Times New Roman"/>
          <w:sz w:val="20"/>
          <w:szCs w:val="20"/>
        </w:rPr>
        <w:t xml:space="preserve"> G.J. (2023). The role of soil in sustainability, climate change and ecosystem services: Challenges and opportunities</w:t>
      </w:r>
      <w:r w:rsidRPr="007362C3">
        <w:rPr>
          <w:rFonts w:ascii="Times New Roman" w:hAnsi="Times New Roman" w:cs="Times New Roman"/>
          <w:i/>
          <w:sz w:val="20"/>
          <w:szCs w:val="20"/>
        </w:rPr>
        <w:t>. Ecologies</w:t>
      </w:r>
      <w:r w:rsidRPr="007362C3">
        <w:rPr>
          <w:rFonts w:ascii="Times New Roman" w:hAnsi="Times New Roman" w:cs="Times New Roman"/>
          <w:sz w:val="20"/>
          <w:szCs w:val="20"/>
        </w:rPr>
        <w:t>. 4:552-567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Food and Agricultural organization and United Nations Environmental Protection (2021). </w:t>
      </w:r>
      <w:r w:rsidRPr="007362C3">
        <w:rPr>
          <w:rFonts w:ascii="Times New Roman" w:hAnsi="Times New Roman" w:cs="Times New Roman"/>
          <w:i/>
          <w:sz w:val="20"/>
          <w:szCs w:val="20"/>
        </w:rPr>
        <w:t>Global assessment of soil pollution: Summary for policy makers</w:t>
      </w:r>
      <w:r w:rsidRPr="007362C3">
        <w:rPr>
          <w:rFonts w:ascii="Times New Roman" w:hAnsi="Times New Roman" w:cs="Times New Roman"/>
          <w:sz w:val="20"/>
          <w:szCs w:val="20"/>
        </w:rPr>
        <w:t>. Rome. 1-58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Getaneh</w:t>
      </w:r>
      <w:proofErr w:type="spellEnd"/>
      <w:r w:rsidRPr="007362C3">
        <w:rPr>
          <w:rFonts w:ascii="Times New Roman" w:hAnsi="Times New Roman" w:cs="Times New Roman"/>
          <w:sz w:val="20"/>
          <w:szCs w:val="20"/>
        </w:rPr>
        <w:t xml:space="preserve">, G. and Teshome, S. (2018). Status of soil organic carbon and nitrogen stocks in </w:t>
      </w:r>
      <w:proofErr w:type="spellStart"/>
      <w:r w:rsidRPr="007362C3">
        <w:rPr>
          <w:rFonts w:ascii="Times New Roman" w:hAnsi="Times New Roman" w:cs="Times New Roman"/>
          <w:sz w:val="20"/>
          <w:szCs w:val="20"/>
        </w:rPr>
        <w:t>koga</w:t>
      </w:r>
      <w:proofErr w:type="spellEnd"/>
      <w:r w:rsidRPr="007362C3">
        <w:rPr>
          <w:rFonts w:ascii="Times New Roman" w:hAnsi="Times New Roman" w:cs="Times New Roman"/>
          <w:sz w:val="20"/>
          <w:szCs w:val="20"/>
        </w:rPr>
        <w:t xml:space="preserve"> watershed area, Northwest Ethiopia. </w:t>
      </w:r>
      <w:r w:rsidRPr="007362C3">
        <w:rPr>
          <w:rFonts w:ascii="Times New Roman" w:hAnsi="Times New Roman" w:cs="Times New Roman"/>
          <w:i/>
          <w:sz w:val="20"/>
          <w:szCs w:val="20"/>
        </w:rPr>
        <w:t>Agriculture and Food Security</w:t>
      </w:r>
      <w:r w:rsidRPr="007362C3">
        <w:rPr>
          <w:rFonts w:ascii="Times New Roman" w:hAnsi="Times New Roman" w:cs="Times New Roman"/>
          <w:sz w:val="20"/>
          <w:szCs w:val="20"/>
        </w:rPr>
        <w:t>. 7 (9): 1-10.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Food and Agricultural Organization of the United Nations (2021). The status of the world’s land and water resources for food and agriculture</w:t>
      </w:r>
      <w:r w:rsidRPr="007362C3">
        <w:rPr>
          <w:rFonts w:ascii="Times New Roman" w:hAnsi="Times New Roman" w:cs="Times New Roman"/>
          <w:i/>
          <w:sz w:val="20"/>
          <w:szCs w:val="20"/>
        </w:rPr>
        <w:t>: Systems at Breaking Points</w:t>
      </w:r>
      <w:r w:rsidRPr="007362C3">
        <w:rPr>
          <w:rFonts w:ascii="Times New Roman" w:hAnsi="Times New Roman" w:cs="Times New Roman"/>
          <w:sz w:val="20"/>
          <w:szCs w:val="20"/>
        </w:rPr>
        <w:t>. Synthesis Report, Rome. 1-62.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Jose Lopez, B., Alfredo, C.R. </w:t>
      </w:r>
      <w:proofErr w:type="gramStart"/>
      <w:r w:rsidRPr="007362C3">
        <w:rPr>
          <w:rFonts w:ascii="Times New Roman" w:hAnsi="Times New Roman" w:cs="Times New Roman"/>
          <w:sz w:val="20"/>
          <w:szCs w:val="20"/>
        </w:rPr>
        <w:t>and  Luis</w:t>
      </w:r>
      <w:proofErr w:type="gramEnd"/>
      <w:r w:rsidRPr="007362C3">
        <w:rPr>
          <w:rFonts w:ascii="Times New Roman" w:hAnsi="Times New Roman" w:cs="Times New Roman"/>
          <w:sz w:val="20"/>
          <w:szCs w:val="20"/>
        </w:rPr>
        <w:t xml:space="preserve">, H.E. (2003). The role of nutrient availability in regulating root architecture. </w:t>
      </w:r>
      <w:r w:rsidRPr="007362C3">
        <w:rPr>
          <w:rFonts w:ascii="Times New Roman" w:hAnsi="Times New Roman" w:cs="Times New Roman"/>
          <w:i/>
          <w:sz w:val="20"/>
          <w:szCs w:val="20"/>
        </w:rPr>
        <w:t>Current Opinion in Plant Biology</w:t>
      </w:r>
      <w:r w:rsidRPr="007362C3">
        <w:rPr>
          <w:rFonts w:ascii="Times New Roman" w:hAnsi="Times New Roman" w:cs="Times New Roman"/>
          <w:sz w:val="20"/>
          <w:szCs w:val="20"/>
        </w:rPr>
        <w:t>. 6 (3): 280-287.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lastRenderedPageBreak/>
        <w:t xml:space="preserve">Okereke, E.K., </w:t>
      </w:r>
      <w:proofErr w:type="spellStart"/>
      <w:r w:rsidRPr="007362C3">
        <w:rPr>
          <w:rFonts w:ascii="Times New Roman" w:hAnsi="Times New Roman" w:cs="Times New Roman"/>
          <w:sz w:val="20"/>
          <w:szCs w:val="20"/>
        </w:rPr>
        <w:t>Ekwealor</w:t>
      </w:r>
      <w:proofErr w:type="spellEnd"/>
      <w:r w:rsidRPr="007362C3">
        <w:rPr>
          <w:rFonts w:ascii="Times New Roman" w:hAnsi="Times New Roman" w:cs="Times New Roman"/>
          <w:sz w:val="20"/>
          <w:szCs w:val="20"/>
        </w:rPr>
        <w:t xml:space="preserve">, K.U., Okereke, N.C., Soludo, C.O., </w:t>
      </w:r>
      <w:proofErr w:type="spellStart"/>
      <w:r w:rsidRPr="007362C3">
        <w:rPr>
          <w:rFonts w:ascii="Times New Roman" w:hAnsi="Times New Roman" w:cs="Times New Roman"/>
          <w:sz w:val="20"/>
          <w:szCs w:val="20"/>
        </w:rPr>
        <w:t>Nwogiji</w:t>
      </w:r>
      <w:proofErr w:type="spellEnd"/>
      <w:r w:rsidRPr="007362C3">
        <w:rPr>
          <w:rFonts w:ascii="Times New Roman" w:hAnsi="Times New Roman" w:cs="Times New Roman"/>
          <w:sz w:val="20"/>
          <w:szCs w:val="20"/>
        </w:rPr>
        <w:t xml:space="preserve">, C.O., </w:t>
      </w:r>
      <w:proofErr w:type="spellStart"/>
      <w:r w:rsidRPr="007362C3">
        <w:rPr>
          <w:rFonts w:ascii="Times New Roman" w:hAnsi="Times New Roman" w:cs="Times New Roman"/>
          <w:sz w:val="20"/>
          <w:szCs w:val="20"/>
        </w:rPr>
        <w:t>Ogbu</w:t>
      </w:r>
      <w:proofErr w:type="spellEnd"/>
      <w:r w:rsidRPr="007362C3">
        <w:rPr>
          <w:rFonts w:ascii="Times New Roman" w:hAnsi="Times New Roman" w:cs="Times New Roman"/>
          <w:sz w:val="20"/>
          <w:szCs w:val="20"/>
        </w:rPr>
        <w:t xml:space="preserve">, C.O., </w:t>
      </w:r>
      <w:proofErr w:type="spellStart"/>
      <w:r w:rsidRPr="007362C3">
        <w:rPr>
          <w:rFonts w:ascii="Times New Roman" w:hAnsi="Times New Roman" w:cs="Times New Roman"/>
          <w:sz w:val="20"/>
          <w:szCs w:val="20"/>
        </w:rPr>
        <w:t>Ozibo</w:t>
      </w:r>
      <w:proofErr w:type="spellEnd"/>
      <w:r w:rsidRPr="007362C3">
        <w:rPr>
          <w:rFonts w:ascii="Times New Roman" w:hAnsi="Times New Roman" w:cs="Times New Roman"/>
          <w:sz w:val="20"/>
          <w:szCs w:val="20"/>
        </w:rPr>
        <w:t xml:space="preserve">, A.F. and </w:t>
      </w:r>
      <w:proofErr w:type="spellStart"/>
      <w:r w:rsidRPr="007362C3">
        <w:rPr>
          <w:rFonts w:ascii="Times New Roman" w:hAnsi="Times New Roman" w:cs="Times New Roman"/>
          <w:sz w:val="20"/>
          <w:szCs w:val="20"/>
        </w:rPr>
        <w:t>Okoronkwo</w:t>
      </w:r>
      <w:proofErr w:type="spellEnd"/>
      <w:r w:rsidRPr="007362C3">
        <w:rPr>
          <w:rFonts w:ascii="Times New Roman" w:hAnsi="Times New Roman" w:cs="Times New Roman"/>
          <w:sz w:val="20"/>
          <w:szCs w:val="20"/>
        </w:rPr>
        <w:t xml:space="preserve">, O.F. (2025). Comparative analysis of soil fertility and nutrient dynamics in two secondary forests in </w:t>
      </w:r>
      <w:proofErr w:type="spellStart"/>
      <w:r w:rsidRPr="007362C3">
        <w:rPr>
          <w:rFonts w:ascii="Times New Roman" w:hAnsi="Times New Roman" w:cs="Times New Roman"/>
          <w:sz w:val="20"/>
          <w:szCs w:val="20"/>
        </w:rPr>
        <w:t>Awka</w:t>
      </w:r>
      <w:proofErr w:type="spellEnd"/>
      <w:r w:rsidRPr="007362C3">
        <w:rPr>
          <w:rFonts w:ascii="Times New Roman" w:hAnsi="Times New Roman" w:cs="Times New Roman"/>
          <w:sz w:val="20"/>
          <w:szCs w:val="20"/>
        </w:rPr>
        <w:t xml:space="preserve"> north and south L.G.A. Anambra State</w:t>
      </w:r>
      <w:r w:rsidRPr="007362C3">
        <w:rPr>
          <w:rFonts w:ascii="Times New Roman" w:hAnsi="Times New Roman" w:cs="Times New Roman"/>
          <w:i/>
          <w:sz w:val="20"/>
          <w:szCs w:val="20"/>
        </w:rPr>
        <w:t>. African Journal of Environment and Natural Science Research</w:t>
      </w:r>
      <w:r w:rsidRPr="007362C3">
        <w:rPr>
          <w:rFonts w:ascii="Times New Roman" w:hAnsi="Times New Roman" w:cs="Times New Roman"/>
          <w:sz w:val="20"/>
          <w:szCs w:val="20"/>
        </w:rPr>
        <w:t>. 8(2): 10-22.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Jordi, S. and Joseph, P. (2015). Potassium: A neglected nutrient in global change. </w:t>
      </w:r>
      <w:r w:rsidRPr="007362C3">
        <w:rPr>
          <w:rFonts w:ascii="Times New Roman" w:hAnsi="Times New Roman" w:cs="Times New Roman"/>
          <w:i/>
          <w:sz w:val="20"/>
          <w:szCs w:val="20"/>
        </w:rPr>
        <w:t>Global Ecology of Biogeography</w:t>
      </w:r>
      <w:r w:rsidRPr="007362C3">
        <w:rPr>
          <w:rFonts w:ascii="Times New Roman" w:hAnsi="Times New Roman" w:cs="Times New Roman"/>
          <w:sz w:val="20"/>
          <w:szCs w:val="20"/>
        </w:rPr>
        <w:t>. 24: 261-275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Agadaigho</w:t>
      </w:r>
      <w:proofErr w:type="spellEnd"/>
      <w:r w:rsidRPr="007362C3">
        <w:rPr>
          <w:rFonts w:ascii="Times New Roman" w:hAnsi="Times New Roman" w:cs="Times New Roman"/>
          <w:sz w:val="20"/>
          <w:szCs w:val="20"/>
        </w:rPr>
        <w:t xml:space="preserve">, A.O.A, </w:t>
      </w:r>
      <w:proofErr w:type="spellStart"/>
      <w:proofErr w:type="gramStart"/>
      <w:r w:rsidRPr="007362C3">
        <w:rPr>
          <w:rFonts w:ascii="Times New Roman" w:hAnsi="Times New Roman" w:cs="Times New Roman"/>
          <w:sz w:val="20"/>
          <w:szCs w:val="20"/>
        </w:rPr>
        <w:t>Odjegba,O.G</w:t>
      </w:r>
      <w:proofErr w:type="spellEnd"/>
      <w:r w:rsidRPr="007362C3">
        <w:rPr>
          <w:rFonts w:ascii="Times New Roman" w:hAnsi="Times New Roman" w:cs="Times New Roman"/>
          <w:sz w:val="20"/>
          <w:szCs w:val="20"/>
        </w:rPr>
        <w:t>.</w:t>
      </w:r>
      <w:proofErr w:type="gramEnd"/>
      <w:r w:rsidRPr="007362C3">
        <w:rPr>
          <w:rFonts w:ascii="Times New Roman" w:hAnsi="Times New Roman" w:cs="Times New Roman"/>
          <w:sz w:val="20"/>
          <w:szCs w:val="20"/>
        </w:rPr>
        <w:t xml:space="preserve"> and </w:t>
      </w:r>
      <w:proofErr w:type="spellStart"/>
      <w:r w:rsidRPr="007362C3">
        <w:rPr>
          <w:rFonts w:ascii="Times New Roman" w:hAnsi="Times New Roman" w:cs="Times New Roman"/>
          <w:sz w:val="20"/>
          <w:szCs w:val="20"/>
        </w:rPr>
        <w:t>Igbunu</w:t>
      </w:r>
      <w:proofErr w:type="spellEnd"/>
      <w:r w:rsidRPr="007362C3">
        <w:rPr>
          <w:rFonts w:ascii="Times New Roman" w:hAnsi="Times New Roman" w:cs="Times New Roman"/>
          <w:sz w:val="20"/>
          <w:szCs w:val="20"/>
        </w:rPr>
        <w:t>, R. (2024). The comparative effects of organic manure on the vegetative growth of fruited pumpkin (</w:t>
      </w:r>
      <w:proofErr w:type="spellStart"/>
      <w:r w:rsidRPr="007362C3">
        <w:rPr>
          <w:rFonts w:ascii="Times New Roman" w:hAnsi="Times New Roman" w:cs="Times New Roman"/>
          <w:i/>
          <w:sz w:val="20"/>
          <w:szCs w:val="20"/>
        </w:rPr>
        <w:t>Teifairia</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occidentalis</w:t>
      </w:r>
      <w:proofErr w:type="spellEnd"/>
      <w:proofErr w:type="gramStart"/>
      <w:r w:rsidRPr="007362C3">
        <w:rPr>
          <w:rFonts w:ascii="Times New Roman" w:hAnsi="Times New Roman" w:cs="Times New Roman"/>
          <w:sz w:val="20"/>
          <w:szCs w:val="20"/>
        </w:rPr>
        <w:t>) :</w:t>
      </w:r>
      <w:proofErr w:type="gramEnd"/>
      <w:r w:rsidRPr="007362C3">
        <w:rPr>
          <w:rFonts w:ascii="Times New Roman" w:hAnsi="Times New Roman" w:cs="Times New Roman"/>
          <w:sz w:val="20"/>
          <w:szCs w:val="20"/>
        </w:rPr>
        <w:t xml:space="preserve"> Implication for School Farm Management. </w:t>
      </w:r>
      <w:r w:rsidRPr="007362C3">
        <w:rPr>
          <w:rFonts w:ascii="Times New Roman" w:hAnsi="Times New Roman" w:cs="Times New Roman"/>
          <w:i/>
          <w:sz w:val="20"/>
          <w:szCs w:val="20"/>
        </w:rPr>
        <w:t>Journal of Agriculture and Veterinary Science.</w:t>
      </w:r>
      <w:r w:rsidRPr="007362C3">
        <w:rPr>
          <w:rFonts w:ascii="Times New Roman" w:hAnsi="Times New Roman" w:cs="Times New Roman"/>
          <w:sz w:val="20"/>
          <w:szCs w:val="20"/>
        </w:rPr>
        <w:t xml:space="preserve"> 17(9): 23-28.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Anjali, K.T., Samir, E.T. and </w:t>
      </w:r>
      <w:proofErr w:type="spellStart"/>
      <w:r w:rsidRPr="007362C3">
        <w:rPr>
          <w:rFonts w:ascii="Times New Roman" w:hAnsi="Times New Roman" w:cs="Times New Roman"/>
          <w:sz w:val="20"/>
          <w:szCs w:val="20"/>
        </w:rPr>
        <w:t>Kerketta</w:t>
      </w:r>
      <w:proofErr w:type="spellEnd"/>
      <w:r w:rsidRPr="007362C3">
        <w:rPr>
          <w:rFonts w:ascii="Times New Roman" w:hAnsi="Times New Roman" w:cs="Times New Roman"/>
          <w:sz w:val="20"/>
          <w:szCs w:val="20"/>
        </w:rPr>
        <w:t xml:space="preserve">, A. (2022). Effect of different organic and inorganic fertilizers on growth, yield and quality of Amaranthus under </w:t>
      </w:r>
      <w:proofErr w:type="spellStart"/>
      <w:r w:rsidRPr="007362C3">
        <w:rPr>
          <w:rFonts w:ascii="Times New Roman" w:hAnsi="Times New Roman" w:cs="Times New Roman"/>
          <w:sz w:val="20"/>
          <w:szCs w:val="20"/>
        </w:rPr>
        <w:t>polyhouse</w:t>
      </w:r>
      <w:proofErr w:type="spellEnd"/>
      <w:r w:rsidRPr="007362C3">
        <w:rPr>
          <w:rFonts w:ascii="Times New Roman" w:hAnsi="Times New Roman" w:cs="Times New Roman"/>
          <w:sz w:val="20"/>
          <w:szCs w:val="20"/>
        </w:rPr>
        <w:t xml:space="preserve"> condition (</w:t>
      </w:r>
      <w:r w:rsidRPr="007362C3">
        <w:rPr>
          <w:rFonts w:ascii="Times New Roman" w:hAnsi="Times New Roman" w:cs="Times New Roman"/>
          <w:i/>
          <w:sz w:val="20"/>
          <w:szCs w:val="20"/>
        </w:rPr>
        <w:t xml:space="preserve">Amaranthus </w:t>
      </w:r>
      <w:proofErr w:type="spellStart"/>
      <w:r w:rsidRPr="007362C3">
        <w:rPr>
          <w:rFonts w:ascii="Times New Roman" w:hAnsi="Times New Roman" w:cs="Times New Roman"/>
          <w:i/>
          <w:sz w:val="20"/>
          <w:szCs w:val="20"/>
        </w:rPr>
        <w:t>cruentus</w:t>
      </w:r>
      <w:proofErr w:type="spellEnd"/>
      <w:r w:rsidRPr="007362C3">
        <w:rPr>
          <w:rFonts w:ascii="Times New Roman" w:hAnsi="Times New Roman" w:cs="Times New Roman"/>
          <w:i/>
          <w:sz w:val="20"/>
          <w:szCs w:val="20"/>
        </w:rPr>
        <w:t>). International Journal of Environment and Climate Change</w:t>
      </w:r>
      <w:r w:rsidRPr="007362C3">
        <w:rPr>
          <w:rFonts w:ascii="Times New Roman" w:hAnsi="Times New Roman" w:cs="Times New Roman"/>
          <w:sz w:val="20"/>
          <w:szCs w:val="20"/>
        </w:rPr>
        <w:t>. 12(11). 1647-1653.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Pragya, V., Bhavana, T. and </w:t>
      </w:r>
      <w:proofErr w:type="spellStart"/>
      <w:r w:rsidRPr="007362C3">
        <w:rPr>
          <w:rFonts w:ascii="Times New Roman" w:hAnsi="Times New Roman" w:cs="Times New Roman"/>
          <w:sz w:val="20"/>
          <w:szCs w:val="20"/>
        </w:rPr>
        <w:t>Luxmi</w:t>
      </w:r>
      <w:proofErr w:type="spellEnd"/>
      <w:r w:rsidRPr="007362C3">
        <w:rPr>
          <w:rFonts w:ascii="Times New Roman" w:hAnsi="Times New Roman" w:cs="Times New Roman"/>
          <w:sz w:val="20"/>
          <w:szCs w:val="20"/>
        </w:rPr>
        <w:t xml:space="preserve">, K.T. (2021) Role of organic manure in agriculture. </w:t>
      </w:r>
      <w:r w:rsidRPr="007362C3">
        <w:rPr>
          <w:rFonts w:ascii="Times New Roman" w:hAnsi="Times New Roman" w:cs="Times New Roman"/>
          <w:i/>
          <w:sz w:val="20"/>
          <w:szCs w:val="20"/>
        </w:rPr>
        <w:t>A Review</w:t>
      </w:r>
      <w:r w:rsidRPr="007362C3">
        <w:rPr>
          <w:rFonts w:ascii="Times New Roman" w:hAnsi="Times New Roman" w:cs="Times New Roman"/>
          <w:sz w:val="20"/>
          <w:szCs w:val="20"/>
        </w:rPr>
        <w:t>. 6(3): 22-28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Aruna</w:t>
      </w:r>
      <w:proofErr w:type="spellEnd"/>
      <w:r w:rsidRPr="007362C3">
        <w:rPr>
          <w:rFonts w:ascii="Times New Roman" w:hAnsi="Times New Roman" w:cs="Times New Roman"/>
          <w:sz w:val="20"/>
          <w:szCs w:val="20"/>
        </w:rPr>
        <w:t xml:space="preserve">, O.A., </w:t>
      </w:r>
      <w:proofErr w:type="spellStart"/>
      <w:r w:rsidRPr="007362C3">
        <w:rPr>
          <w:rFonts w:ascii="Times New Roman" w:hAnsi="Times New Roman" w:cs="Times New Roman"/>
          <w:sz w:val="20"/>
          <w:szCs w:val="20"/>
        </w:rPr>
        <w:t>Wutem</w:t>
      </w:r>
      <w:proofErr w:type="spellEnd"/>
      <w:r w:rsidRPr="007362C3">
        <w:rPr>
          <w:rFonts w:ascii="Times New Roman" w:hAnsi="Times New Roman" w:cs="Times New Roman"/>
          <w:sz w:val="20"/>
          <w:szCs w:val="20"/>
        </w:rPr>
        <w:t xml:space="preserve">, S.E., Adeniyi, O., </w:t>
      </w:r>
      <w:proofErr w:type="spellStart"/>
      <w:r w:rsidRPr="007362C3">
        <w:rPr>
          <w:rFonts w:ascii="Times New Roman" w:hAnsi="Times New Roman" w:cs="Times New Roman"/>
          <w:sz w:val="20"/>
          <w:szCs w:val="20"/>
        </w:rPr>
        <w:t>Oluwagbenga</w:t>
      </w:r>
      <w:proofErr w:type="spellEnd"/>
      <w:r w:rsidRPr="007362C3">
        <w:rPr>
          <w:rFonts w:ascii="Times New Roman" w:hAnsi="Times New Roman" w:cs="Times New Roman"/>
          <w:sz w:val="20"/>
          <w:szCs w:val="20"/>
        </w:rPr>
        <w:t xml:space="preserve">, D., Christopher, M.A., Charity, A., Kehinde, A. and </w:t>
      </w:r>
      <w:proofErr w:type="spellStart"/>
      <w:r w:rsidRPr="007362C3">
        <w:rPr>
          <w:rFonts w:ascii="Times New Roman" w:hAnsi="Times New Roman" w:cs="Times New Roman"/>
          <w:sz w:val="20"/>
          <w:szCs w:val="20"/>
        </w:rPr>
        <w:t>Olanike</w:t>
      </w:r>
      <w:proofErr w:type="spellEnd"/>
      <w:r w:rsidRPr="007362C3">
        <w:rPr>
          <w:rFonts w:ascii="Times New Roman" w:hAnsi="Times New Roman" w:cs="Times New Roman"/>
          <w:sz w:val="20"/>
          <w:szCs w:val="20"/>
        </w:rPr>
        <w:t xml:space="preserve">, A. (2020). Different organic manure sources and NPK fertilizer on soil chemical properties, growth, yield and quality of okra. </w:t>
      </w:r>
      <w:r w:rsidRPr="007362C3">
        <w:rPr>
          <w:rFonts w:ascii="Times New Roman" w:hAnsi="Times New Roman" w:cs="Times New Roman"/>
          <w:i/>
          <w:sz w:val="20"/>
          <w:szCs w:val="20"/>
        </w:rPr>
        <w:t>Scientific Reports</w:t>
      </w:r>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Nature Research</w:t>
      </w:r>
      <w:r w:rsidRPr="007362C3">
        <w:rPr>
          <w:rFonts w:ascii="Times New Roman" w:hAnsi="Times New Roman" w:cs="Times New Roman"/>
          <w:sz w:val="20"/>
          <w:szCs w:val="20"/>
        </w:rPr>
        <w:t>. 10,1-9.</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Jaja</w:t>
      </w:r>
      <w:proofErr w:type="spellEnd"/>
      <w:r w:rsidRPr="007362C3">
        <w:rPr>
          <w:rFonts w:ascii="Times New Roman" w:hAnsi="Times New Roman" w:cs="Times New Roman"/>
          <w:sz w:val="20"/>
          <w:szCs w:val="20"/>
        </w:rPr>
        <w:t xml:space="preserve">, E.T. and Barber, L.I. (2017). Organic and inorganic fertilizers in food production system in Nigeria. </w:t>
      </w:r>
      <w:r w:rsidRPr="007362C3">
        <w:rPr>
          <w:rFonts w:ascii="Times New Roman" w:hAnsi="Times New Roman" w:cs="Times New Roman"/>
          <w:i/>
          <w:sz w:val="20"/>
          <w:szCs w:val="20"/>
        </w:rPr>
        <w:t>Journal of Biology, Agriculture and Healthcare</w:t>
      </w:r>
      <w:r w:rsidRPr="007362C3">
        <w:rPr>
          <w:rFonts w:ascii="Times New Roman" w:hAnsi="Times New Roman" w:cs="Times New Roman"/>
          <w:sz w:val="20"/>
          <w:szCs w:val="20"/>
        </w:rPr>
        <w:t>. 7(18):51-55.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Ogwu</w:t>
      </w:r>
      <w:proofErr w:type="spellEnd"/>
      <w:r w:rsidRPr="007362C3">
        <w:rPr>
          <w:rFonts w:ascii="Times New Roman" w:hAnsi="Times New Roman" w:cs="Times New Roman"/>
          <w:sz w:val="20"/>
          <w:szCs w:val="20"/>
        </w:rPr>
        <w:t xml:space="preserve">, C.O. (2020). Value of </w:t>
      </w:r>
      <w:r w:rsidRPr="007362C3">
        <w:rPr>
          <w:rFonts w:ascii="Times New Roman" w:hAnsi="Times New Roman" w:cs="Times New Roman"/>
          <w:i/>
          <w:sz w:val="20"/>
          <w:szCs w:val="20"/>
        </w:rPr>
        <w:t>Amaranthus</w:t>
      </w:r>
      <w:r w:rsidRPr="007362C3">
        <w:rPr>
          <w:rFonts w:ascii="Times New Roman" w:hAnsi="Times New Roman" w:cs="Times New Roman"/>
          <w:sz w:val="20"/>
          <w:szCs w:val="20"/>
        </w:rPr>
        <w:t xml:space="preserve"> (L.) species in Nigeria. In. </w:t>
      </w:r>
      <w:r w:rsidRPr="007362C3">
        <w:rPr>
          <w:rFonts w:ascii="Times New Roman" w:hAnsi="Times New Roman" w:cs="Times New Roman"/>
          <w:i/>
          <w:sz w:val="20"/>
          <w:szCs w:val="20"/>
        </w:rPr>
        <w:t>Nutritional Value of Amaranth</w:t>
      </w:r>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IntechOpen</w:t>
      </w:r>
      <w:proofErr w:type="spellEnd"/>
      <w:r w:rsidRPr="007362C3">
        <w:rPr>
          <w:rFonts w:ascii="Times New Roman" w:hAnsi="Times New Roman" w:cs="Times New Roman"/>
          <w:sz w:val="20"/>
          <w:szCs w:val="20"/>
        </w:rPr>
        <w:t>. London, UK. Pp 1-22.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Orona</w:t>
      </w:r>
      <w:proofErr w:type="spellEnd"/>
      <w:r w:rsidRPr="007362C3">
        <w:rPr>
          <w:rFonts w:ascii="Times New Roman" w:hAnsi="Times New Roman" w:cs="Times New Roman"/>
          <w:sz w:val="20"/>
          <w:szCs w:val="20"/>
        </w:rPr>
        <w:t xml:space="preserve">-Tamayo, O. and </w:t>
      </w:r>
      <w:proofErr w:type="spellStart"/>
      <w:r w:rsidRPr="007362C3">
        <w:rPr>
          <w:rFonts w:ascii="Times New Roman" w:hAnsi="Times New Roman" w:cs="Times New Roman"/>
          <w:sz w:val="20"/>
          <w:szCs w:val="20"/>
        </w:rPr>
        <w:t>Peredes</w:t>
      </w:r>
      <w:proofErr w:type="spellEnd"/>
      <w:r w:rsidRPr="007362C3">
        <w:rPr>
          <w:rFonts w:ascii="Times New Roman" w:hAnsi="Times New Roman" w:cs="Times New Roman"/>
          <w:sz w:val="20"/>
          <w:szCs w:val="20"/>
        </w:rPr>
        <w:t>-Lopez, O. (2017). Amaranth Part 1- sustainable crop for the 21</w:t>
      </w:r>
      <w:r w:rsidRPr="007362C3">
        <w:rPr>
          <w:rFonts w:ascii="Times New Roman" w:hAnsi="Times New Roman" w:cs="Times New Roman"/>
          <w:sz w:val="20"/>
          <w:szCs w:val="20"/>
          <w:vertAlign w:val="superscript"/>
        </w:rPr>
        <w:t>st</w:t>
      </w:r>
      <w:r w:rsidRPr="007362C3">
        <w:rPr>
          <w:rFonts w:ascii="Times New Roman" w:hAnsi="Times New Roman" w:cs="Times New Roman"/>
          <w:sz w:val="20"/>
          <w:szCs w:val="20"/>
        </w:rPr>
        <w:t xml:space="preserve"> century: Food properties and nutraceuticals for improving human health. </w:t>
      </w:r>
      <w:r w:rsidRPr="007362C3">
        <w:rPr>
          <w:rFonts w:ascii="Times New Roman" w:hAnsi="Times New Roman" w:cs="Times New Roman"/>
          <w:i/>
          <w:sz w:val="20"/>
          <w:szCs w:val="20"/>
        </w:rPr>
        <w:t>Sustainable protein sources</w:t>
      </w:r>
      <w:r w:rsidRPr="007362C3">
        <w:rPr>
          <w:rFonts w:ascii="Times New Roman" w:hAnsi="Times New Roman" w:cs="Times New Roman"/>
          <w:sz w:val="20"/>
          <w:szCs w:val="20"/>
        </w:rPr>
        <w:t xml:space="preserve">. Elsevier Academic Press, Amsterdam. </w:t>
      </w:r>
      <w:proofErr w:type="gramStart"/>
      <w:r w:rsidRPr="007362C3">
        <w:rPr>
          <w:rFonts w:ascii="Times New Roman" w:hAnsi="Times New Roman" w:cs="Times New Roman"/>
          <w:sz w:val="20"/>
          <w:szCs w:val="20"/>
        </w:rPr>
        <w:t>Pp  239</w:t>
      </w:r>
      <w:proofErr w:type="gramEnd"/>
      <w:r w:rsidRPr="007362C3">
        <w:rPr>
          <w:rFonts w:ascii="Times New Roman" w:hAnsi="Times New Roman" w:cs="Times New Roman"/>
          <w:sz w:val="20"/>
          <w:szCs w:val="20"/>
        </w:rPr>
        <w:t xml:space="preserve">-256.  </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Imoseni</w:t>
      </w:r>
      <w:proofErr w:type="spellEnd"/>
      <w:proofErr w:type="gramStart"/>
      <w:r w:rsidRPr="007362C3">
        <w:rPr>
          <w:rFonts w:ascii="Times New Roman" w:hAnsi="Times New Roman" w:cs="Times New Roman"/>
          <w:sz w:val="20"/>
          <w:szCs w:val="20"/>
        </w:rPr>
        <w:t>, .</w:t>
      </w:r>
      <w:proofErr w:type="gramEnd"/>
      <w:r w:rsidRPr="007362C3">
        <w:rPr>
          <w:rFonts w:ascii="Times New Roman" w:hAnsi="Times New Roman" w:cs="Times New Roman"/>
          <w:sz w:val="20"/>
          <w:szCs w:val="20"/>
        </w:rPr>
        <w:t xml:space="preserve">I. O. (2018). Review of the toxicity, medicinal </w:t>
      </w:r>
      <w:proofErr w:type="gramStart"/>
      <w:r w:rsidRPr="007362C3">
        <w:rPr>
          <w:rFonts w:ascii="Times New Roman" w:hAnsi="Times New Roman" w:cs="Times New Roman"/>
          <w:sz w:val="20"/>
          <w:szCs w:val="20"/>
        </w:rPr>
        <w:t>benefits ,pharmacological</w:t>
      </w:r>
      <w:proofErr w:type="gramEnd"/>
      <w:r w:rsidRPr="007362C3">
        <w:rPr>
          <w:rFonts w:ascii="Times New Roman" w:hAnsi="Times New Roman" w:cs="Times New Roman"/>
          <w:sz w:val="20"/>
          <w:szCs w:val="20"/>
        </w:rPr>
        <w:t xml:space="preserve"> actions and morphological effects of </w:t>
      </w:r>
      <w:proofErr w:type="spellStart"/>
      <w:r w:rsidRPr="007362C3">
        <w:rPr>
          <w:rFonts w:ascii="Times New Roman" w:hAnsi="Times New Roman" w:cs="Times New Roman"/>
          <w:i/>
          <w:sz w:val="20"/>
          <w:szCs w:val="20"/>
        </w:rPr>
        <w:t>Telfairia</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occidentalis</w:t>
      </w:r>
      <w:proofErr w:type="spellEnd"/>
      <w:r w:rsidRPr="007362C3">
        <w:rPr>
          <w:rFonts w:ascii="Times New Roman" w:hAnsi="Times New Roman" w:cs="Times New Roman"/>
          <w:sz w:val="20"/>
          <w:szCs w:val="20"/>
        </w:rPr>
        <w:t xml:space="preserve"> Hook. </w:t>
      </w:r>
      <w:r w:rsidRPr="007362C3">
        <w:rPr>
          <w:rFonts w:ascii="Times New Roman" w:hAnsi="Times New Roman" w:cs="Times New Roman"/>
          <w:i/>
          <w:sz w:val="20"/>
          <w:szCs w:val="20"/>
        </w:rPr>
        <w:t>European</w:t>
      </w:r>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Journal of Pharmaceutical and Medical Research.</w:t>
      </w:r>
      <w:r w:rsidRPr="007362C3">
        <w:rPr>
          <w:rFonts w:ascii="Times New Roman" w:hAnsi="Times New Roman" w:cs="Times New Roman"/>
          <w:sz w:val="20"/>
          <w:szCs w:val="20"/>
        </w:rPr>
        <w:t xml:space="preserve"> 5 (1):22-32.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Fern, K. (2024). Plants for a future: Edible and useful plants for a healthier world. Permanent Publications. Retrieved from </w:t>
      </w:r>
      <w:hyperlink r:id="rId11" w:history="1">
        <w:r w:rsidRPr="007362C3">
          <w:rPr>
            <w:rStyle w:val="Hyperlink"/>
            <w:rFonts w:ascii="Times New Roman" w:hAnsi="Times New Roman" w:cs="Times New Roman"/>
            <w:color w:val="auto"/>
            <w:sz w:val="20"/>
            <w:szCs w:val="20"/>
          </w:rPr>
          <w:t>https://pfaf.org</w:t>
        </w:r>
      </w:hyperlink>
      <w:r w:rsidRPr="007362C3">
        <w:rPr>
          <w:rFonts w:ascii="Times New Roman" w:hAnsi="Times New Roman" w:cs="Times New Roman"/>
          <w:sz w:val="20"/>
          <w:szCs w:val="20"/>
        </w:rPr>
        <w:t xml:space="preserve">. Accessed on July 4, 2024. </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Akoroda</w:t>
      </w:r>
      <w:proofErr w:type="spellEnd"/>
      <w:r w:rsidRPr="007362C3">
        <w:rPr>
          <w:rFonts w:ascii="Times New Roman" w:hAnsi="Times New Roman" w:cs="Times New Roman"/>
          <w:sz w:val="20"/>
          <w:szCs w:val="20"/>
        </w:rPr>
        <w:t>, M.O. (1993).  Non-destructive estimation of area variation in shape of leaf lamina in the fruited pumpkin (</w:t>
      </w:r>
      <w:proofErr w:type="spellStart"/>
      <w:r w:rsidRPr="007362C3">
        <w:rPr>
          <w:rFonts w:ascii="Times New Roman" w:hAnsi="Times New Roman" w:cs="Times New Roman"/>
          <w:i/>
          <w:sz w:val="20"/>
          <w:szCs w:val="20"/>
        </w:rPr>
        <w:t>Telfairia</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occidentalis</w:t>
      </w:r>
      <w:proofErr w:type="spellEnd"/>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Science horticulture</w:t>
      </w:r>
      <w:r w:rsidRPr="007362C3">
        <w:rPr>
          <w:rFonts w:ascii="Times New Roman" w:hAnsi="Times New Roman" w:cs="Times New Roman"/>
          <w:sz w:val="20"/>
          <w:szCs w:val="20"/>
        </w:rPr>
        <w:t>. 53(3): 261.</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Ozigbo</w:t>
      </w:r>
      <w:proofErr w:type="spellEnd"/>
      <w:r w:rsidRPr="007362C3">
        <w:rPr>
          <w:rFonts w:ascii="Times New Roman" w:hAnsi="Times New Roman" w:cs="Times New Roman"/>
          <w:sz w:val="20"/>
          <w:szCs w:val="20"/>
        </w:rPr>
        <w:t xml:space="preserve">, C.C., Okereke, C.N., </w:t>
      </w:r>
      <w:proofErr w:type="spellStart"/>
      <w:r w:rsidRPr="007362C3">
        <w:rPr>
          <w:rFonts w:ascii="Times New Roman" w:hAnsi="Times New Roman" w:cs="Times New Roman"/>
          <w:sz w:val="20"/>
          <w:szCs w:val="20"/>
        </w:rPr>
        <w:t>Anukworji</w:t>
      </w:r>
      <w:proofErr w:type="spellEnd"/>
      <w:r w:rsidRPr="007362C3">
        <w:rPr>
          <w:rFonts w:ascii="Times New Roman" w:hAnsi="Times New Roman" w:cs="Times New Roman"/>
          <w:sz w:val="20"/>
          <w:szCs w:val="20"/>
        </w:rPr>
        <w:t xml:space="preserve">, A. C., </w:t>
      </w:r>
      <w:proofErr w:type="spellStart"/>
      <w:r w:rsidRPr="007362C3">
        <w:rPr>
          <w:rFonts w:ascii="Times New Roman" w:hAnsi="Times New Roman" w:cs="Times New Roman"/>
          <w:sz w:val="20"/>
          <w:szCs w:val="20"/>
        </w:rPr>
        <w:t>Ekwealor</w:t>
      </w:r>
      <w:proofErr w:type="spellEnd"/>
      <w:r w:rsidRPr="007362C3">
        <w:rPr>
          <w:rFonts w:ascii="Times New Roman" w:hAnsi="Times New Roman" w:cs="Times New Roman"/>
          <w:sz w:val="20"/>
          <w:szCs w:val="20"/>
        </w:rPr>
        <w:t xml:space="preserve">, K.U., </w:t>
      </w:r>
      <w:proofErr w:type="spellStart"/>
      <w:r w:rsidRPr="007362C3">
        <w:rPr>
          <w:rFonts w:ascii="Times New Roman" w:hAnsi="Times New Roman" w:cs="Times New Roman"/>
          <w:sz w:val="20"/>
          <w:szCs w:val="20"/>
        </w:rPr>
        <w:t>Iroka</w:t>
      </w:r>
      <w:proofErr w:type="spellEnd"/>
      <w:r w:rsidRPr="007362C3">
        <w:rPr>
          <w:rFonts w:ascii="Times New Roman" w:hAnsi="Times New Roman" w:cs="Times New Roman"/>
          <w:sz w:val="20"/>
          <w:szCs w:val="20"/>
        </w:rPr>
        <w:t xml:space="preserve">, C.F., </w:t>
      </w:r>
      <w:proofErr w:type="spellStart"/>
      <w:r w:rsidRPr="007362C3">
        <w:rPr>
          <w:rFonts w:ascii="Times New Roman" w:hAnsi="Times New Roman" w:cs="Times New Roman"/>
          <w:sz w:val="20"/>
          <w:szCs w:val="20"/>
        </w:rPr>
        <w:t>Nwaogaranya</w:t>
      </w:r>
      <w:proofErr w:type="spellEnd"/>
      <w:r w:rsidRPr="007362C3">
        <w:rPr>
          <w:rFonts w:ascii="Times New Roman" w:hAnsi="Times New Roman" w:cs="Times New Roman"/>
          <w:sz w:val="20"/>
          <w:szCs w:val="20"/>
        </w:rPr>
        <w:t xml:space="preserve">, U.P. and </w:t>
      </w:r>
      <w:proofErr w:type="spellStart"/>
      <w:r w:rsidRPr="007362C3">
        <w:rPr>
          <w:rFonts w:ascii="Times New Roman" w:hAnsi="Times New Roman" w:cs="Times New Roman"/>
          <w:sz w:val="20"/>
          <w:szCs w:val="20"/>
        </w:rPr>
        <w:t>Nwakuche</w:t>
      </w:r>
      <w:proofErr w:type="spellEnd"/>
      <w:r w:rsidRPr="007362C3">
        <w:rPr>
          <w:rFonts w:ascii="Times New Roman" w:hAnsi="Times New Roman" w:cs="Times New Roman"/>
          <w:sz w:val="20"/>
          <w:szCs w:val="20"/>
        </w:rPr>
        <w:t xml:space="preserve">, O.A. (2025). Evaluating the efficacy of organic manures and NPK fertilizer in enhancing plant growth in oil-contaminated soil: A study using </w:t>
      </w:r>
      <w:r w:rsidRPr="007362C3">
        <w:rPr>
          <w:rFonts w:ascii="Times New Roman" w:hAnsi="Times New Roman" w:cs="Times New Roman"/>
          <w:i/>
          <w:sz w:val="20"/>
          <w:szCs w:val="20"/>
        </w:rPr>
        <w:t xml:space="preserve">Abelmoschus </w:t>
      </w:r>
      <w:proofErr w:type="spellStart"/>
      <w:r w:rsidRPr="007362C3">
        <w:rPr>
          <w:rFonts w:ascii="Times New Roman" w:hAnsi="Times New Roman" w:cs="Times New Roman"/>
          <w:i/>
          <w:sz w:val="20"/>
          <w:szCs w:val="20"/>
        </w:rPr>
        <w:t>esculentus</w:t>
      </w:r>
      <w:proofErr w:type="spellEnd"/>
      <w:r w:rsidRPr="007362C3">
        <w:rPr>
          <w:rFonts w:ascii="Times New Roman" w:hAnsi="Times New Roman" w:cs="Times New Roman"/>
          <w:i/>
          <w:sz w:val="20"/>
          <w:szCs w:val="20"/>
        </w:rPr>
        <w:t xml:space="preserve"> </w:t>
      </w:r>
      <w:r w:rsidRPr="007362C3">
        <w:rPr>
          <w:rFonts w:ascii="Times New Roman" w:hAnsi="Times New Roman" w:cs="Times New Roman"/>
          <w:sz w:val="20"/>
          <w:szCs w:val="20"/>
        </w:rPr>
        <w:t>(</w:t>
      </w:r>
      <w:proofErr w:type="spellStart"/>
      <w:r w:rsidRPr="007362C3">
        <w:rPr>
          <w:rFonts w:ascii="Times New Roman" w:hAnsi="Times New Roman" w:cs="Times New Roman"/>
          <w:sz w:val="20"/>
          <w:szCs w:val="20"/>
        </w:rPr>
        <w:t>Okro</w:t>
      </w:r>
      <w:proofErr w:type="spellEnd"/>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 xml:space="preserve">Asian Soil Research Journal, </w:t>
      </w:r>
      <w:r w:rsidRPr="007362C3">
        <w:rPr>
          <w:rFonts w:ascii="Times New Roman" w:hAnsi="Times New Roman" w:cs="Times New Roman"/>
          <w:sz w:val="20"/>
          <w:szCs w:val="20"/>
        </w:rPr>
        <w:t>9(3):18-31.</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Sharma, R., </w:t>
      </w:r>
      <w:proofErr w:type="spellStart"/>
      <w:r w:rsidRPr="007362C3">
        <w:rPr>
          <w:rFonts w:ascii="Times New Roman" w:hAnsi="Times New Roman" w:cs="Times New Roman"/>
          <w:sz w:val="20"/>
          <w:szCs w:val="20"/>
        </w:rPr>
        <w:t>Jianchu</w:t>
      </w:r>
      <w:proofErr w:type="spellEnd"/>
      <w:r w:rsidRPr="007362C3">
        <w:rPr>
          <w:rFonts w:ascii="Times New Roman" w:hAnsi="Times New Roman" w:cs="Times New Roman"/>
          <w:sz w:val="20"/>
          <w:szCs w:val="20"/>
        </w:rPr>
        <w:t xml:space="preserve">, X. and Sharma, G. (2007). Traditional agroforestry in the eastern Himalayan region: Land management system supporting ecosystem services. </w:t>
      </w:r>
      <w:r w:rsidRPr="007362C3">
        <w:rPr>
          <w:rFonts w:ascii="Times New Roman" w:hAnsi="Times New Roman" w:cs="Times New Roman"/>
          <w:i/>
          <w:sz w:val="20"/>
          <w:szCs w:val="20"/>
        </w:rPr>
        <w:t>Tropical Ecology</w:t>
      </w:r>
      <w:r w:rsidRPr="007362C3">
        <w:rPr>
          <w:rFonts w:ascii="Times New Roman" w:hAnsi="Times New Roman" w:cs="Times New Roman"/>
          <w:sz w:val="20"/>
          <w:szCs w:val="20"/>
        </w:rPr>
        <w:t>. 48(2) :1-12.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Molla</w:t>
      </w:r>
      <w:proofErr w:type="spellEnd"/>
      <w:r w:rsidRPr="007362C3">
        <w:rPr>
          <w:rFonts w:ascii="Times New Roman" w:hAnsi="Times New Roman" w:cs="Times New Roman"/>
          <w:sz w:val="20"/>
          <w:szCs w:val="20"/>
        </w:rPr>
        <w:t xml:space="preserve">, E. and </w:t>
      </w:r>
      <w:proofErr w:type="spellStart"/>
      <w:r w:rsidRPr="007362C3">
        <w:rPr>
          <w:rFonts w:ascii="Times New Roman" w:hAnsi="Times New Roman" w:cs="Times New Roman"/>
          <w:sz w:val="20"/>
          <w:szCs w:val="20"/>
        </w:rPr>
        <w:t>Yalew</w:t>
      </w:r>
      <w:proofErr w:type="spellEnd"/>
      <w:r w:rsidRPr="007362C3">
        <w:rPr>
          <w:rFonts w:ascii="Times New Roman" w:hAnsi="Times New Roman" w:cs="Times New Roman"/>
          <w:sz w:val="20"/>
          <w:szCs w:val="20"/>
        </w:rPr>
        <w:t xml:space="preserve">, M. (2018). The effects of land use types and soil depth on soil properties of </w:t>
      </w:r>
      <w:proofErr w:type="spellStart"/>
      <w:r w:rsidRPr="007362C3">
        <w:rPr>
          <w:rFonts w:ascii="Times New Roman" w:hAnsi="Times New Roman" w:cs="Times New Roman"/>
          <w:sz w:val="20"/>
          <w:szCs w:val="20"/>
        </w:rPr>
        <w:t>Agedit</w:t>
      </w:r>
      <w:proofErr w:type="spellEnd"/>
      <w:r w:rsidRPr="007362C3">
        <w:rPr>
          <w:rFonts w:ascii="Times New Roman" w:hAnsi="Times New Roman" w:cs="Times New Roman"/>
          <w:sz w:val="20"/>
          <w:szCs w:val="20"/>
        </w:rPr>
        <w:t xml:space="preserve"> watershed, </w:t>
      </w:r>
      <w:proofErr w:type="spellStart"/>
      <w:r w:rsidRPr="007362C3">
        <w:rPr>
          <w:rFonts w:ascii="Times New Roman" w:hAnsi="Times New Roman" w:cs="Times New Roman"/>
          <w:sz w:val="20"/>
          <w:szCs w:val="20"/>
        </w:rPr>
        <w:t>Nortwest</w:t>
      </w:r>
      <w:proofErr w:type="spellEnd"/>
      <w:r w:rsidRPr="007362C3">
        <w:rPr>
          <w:rFonts w:ascii="Times New Roman" w:hAnsi="Times New Roman" w:cs="Times New Roman"/>
          <w:sz w:val="20"/>
          <w:szCs w:val="20"/>
        </w:rPr>
        <w:t xml:space="preserve"> Ethiopia. </w:t>
      </w:r>
      <w:r w:rsidRPr="007362C3">
        <w:rPr>
          <w:rFonts w:ascii="Times New Roman" w:hAnsi="Times New Roman" w:cs="Times New Roman"/>
          <w:i/>
          <w:sz w:val="20"/>
          <w:szCs w:val="20"/>
        </w:rPr>
        <w:t>Ethiopian Journal of Science and Technology.</w:t>
      </w:r>
      <w:r w:rsidRPr="007362C3">
        <w:rPr>
          <w:rFonts w:ascii="Times New Roman" w:hAnsi="Times New Roman" w:cs="Times New Roman"/>
          <w:sz w:val="20"/>
          <w:szCs w:val="20"/>
        </w:rPr>
        <w:t xml:space="preserve"> 11(1) :39-56.</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Singh, A.K. (2013). Impact of integrated nutrient management on growth </w:t>
      </w:r>
      <w:proofErr w:type="gramStart"/>
      <w:r w:rsidRPr="007362C3">
        <w:rPr>
          <w:rFonts w:ascii="Times New Roman" w:hAnsi="Times New Roman" w:cs="Times New Roman"/>
          <w:sz w:val="20"/>
          <w:szCs w:val="20"/>
        </w:rPr>
        <w:t>parameters,  physiological</w:t>
      </w:r>
      <w:proofErr w:type="gramEnd"/>
      <w:r w:rsidRPr="007362C3">
        <w:rPr>
          <w:rFonts w:ascii="Times New Roman" w:hAnsi="Times New Roman" w:cs="Times New Roman"/>
          <w:sz w:val="20"/>
          <w:szCs w:val="20"/>
        </w:rPr>
        <w:t xml:space="preserve"> characteristics, yield and yield attributes of hybrid rice</w:t>
      </w:r>
      <w:r w:rsidRPr="007362C3">
        <w:rPr>
          <w:rFonts w:ascii="Times New Roman" w:hAnsi="Times New Roman" w:cs="Times New Roman"/>
          <w:i/>
          <w:sz w:val="20"/>
          <w:szCs w:val="20"/>
        </w:rPr>
        <w:t xml:space="preserve">. Journal of Soils and Crops. </w:t>
      </w:r>
      <w:r w:rsidRPr="007362C3">
        <w:rPr>
          <w:rFonts w:ascii="Times New Roman" w:hAnsi="Times New Roman" w:cs="Times New Roman"/>
          <w:sz w:val="20"/>
          <w:szCs w:val="20"/>
        </w:rPr>
        <w:t>23 (2): 259-263.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Anjali, K.T., Samir, E.T. and </w:t>
      </w:r>
      <w:proofErr w:type="spellStart"/>
      <w:r w:rsidRPr="007362C3">
        <w:rPr>
          <w:rFonts w:ascii="Times New Roman" w:hAnsi="Times New Roman" w:cs="Times New Roman"/>
          <w:sz w:val="20"/>
          <w:szCs w:val="20"/>
        </w:rPr>
        <w:t>Kerketta</w:t>
      </w:r>
      <w:proofErr w:type="spellEnd"/>
      <w:r w:rsidRPr="007362C3">
        <w:rPr>
          <w:rFonts w:ascii="Times New Roman" w:hAnsi="Times New Roman" w:cs="Times New Roman"/>
          <w:sz w:val="20"/>
          <w:szCs w:val="20"/>
        </w:rPr>
        <w:t xml:space="preserve">, A. (2022). Effect of different organic and inorganic fertilizers on growth, yield and quality of Amaranthus under </w:t>
      </w:r>
      <w:proofErr w:type="spellStart"/>
      <w:r w:rsidRPr="007362C3">
        <w:rPr>
          <w:rFonts w:ascii="Times New Roman" w:hAnsi="Times New Roman" w:cs="Times New Roman"/>
          <w:sz w:val="20"/>
          <w:szCs w:val="20"/>
        </w:rPr>
        <w:t>polyhouse</w:t>
      </w:r>
      <w:proofErr w:type="spellEnd"/>
      <w:r w:rsidRPr="007362C3">
        <w:rPr>
          <w:rFonts w:ascii="Times New Roman" w:hAnsi="Times New Roman" w:cs="Times New Roman"/>
          <w:sz w:val="20"/>
          <w:szCs w:val="20"/>
        </w:rPr>
        <w:t xml:space="preserve"> condition (</w:t>
      </w:r>
      <w:r w:rsidRPr="007362C3">
        <w:rPr>
          <w:rFonts w:ascii="Times New Roman" w:hAnsi="Times New Roman" w:cs="Times New Roman"/>
          <w:i/>
          <w:sz w:val="20"/>
          <w:szCs w:val="20"/>
        </w:rPr>
        <w:t xml:space="preserve">Amaranthus </w:t>
      </w:r>
      <w:proofErr w:type="spellStart"/>
      <w:r w:rsidRPr="007362C3">
        <w:rPr>
          <w:rFonts w:ascii="Times New Roman" w:hAnsi="Times New Roman" w:cs="Times New Roman"/>
          <w:i/>
          <w:sz w:val="20"/>
          <w:szCs w:val="20"/>
        </w:rPr>
        <w:t>cruentus</w:t>
      </w:r>
      <w:proofErr w:type="spellEnd"/>
      <w:r w:rsidRPr="007362C3">
        <w:rPr>
          <w:rFonts w:ascii="Times New Roman" w:hAnsi="Times New Roman" w:cs="Times New Roman"/>
          <w:i/>
          <w:sz w:val="20"/>
          <w:szCs w:val="20"/>
        </w:rPr>
        <w:t>). International Journal of Environment and Climate Change</w:t>
      </w:r>
      <w:r w:rsidRPr="007362C3">
        <w:rPr>
          <w:rFonts w:ascii="Times New Roman" w:hAnsi="Times New Roman" w:cs="Times New Roman"/>
          <w:sz w:val="20"/>
          <w:szCs w:val="20"/>
        </w:rPr>
        <w:t>. 12(11). 1647-1653.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Tadele</w:t>
      </w:r>
      <w:proofErr w:type="spellEnd"/>
      <w:r w:rsidRPr="007362C3">
        <w:rPr>
          <w:rFonts w:ascii="Times New Roman" w:hAnsi="Times New Roman" w:cs="Times New Roman"/>
          <w:sz w:val="20"/>
          <w:szCs w:val="20"/>
        </w:rPr>
        <w:t xml:space="preserve">, B., </w:t>
      </w:r>
      <w:proofErr w:type="spellStart"/>
      <w:r w:rsidRPr="007362C3">
        <w:rPr>
          <w:rFonts w:ascii="Times New Roman" w:hAnsi="Times New Roman" w:cs="Times New Roman"/>
          <w:sz w:val="20"/>
          <w:szCs w:val="20"/>
        </w:rPr>
        <w:t>Eyasu</w:t>
      </w:r>
      <w:proofErr w:type="spellEnd"/>
      <w:r w:rsidRPr="007362C3">
        <w:rPr>
          <w:rFonts w:ascii="Times New Roman" w:hAnsi="Times New Roman" w:cs="Times New Roman"/>
          <w:sz w:val="20"/>
          <w:szCs w:val="20"/>
        </w:rPr>
        <w:t xml:space="preserve">, E. and Alemu, L. (2022). Soil organic carbon and its stock potential in different land use types along slope position in </w:t>
      </w:r>
      <w:proofErr w:type="spellStart"/>
      <w:r w:rsidRPr="007362C3">
        <w:rPr>
          <w:rFonts w:ascii="Times New Roman" w:hAnsi="Times New Roman" w:cs="Times New Roman"/>
          <w:sz w:val="20"/>
          <w:szCs w:val="20"/>
        </w:rPr>
        <w:t>Coka</w:t>
      </w:r>
      <w:proofErr w:type="spellEnd"/>
      <w:r w:rsidRPr="007362C3">
        <w:rPr>
          <w:rFonts w:ascii="Times New Roman" w:hAnsi="Times New Roman" w:cs="Times New Roman"/>
          <w:sz w:val="20"/>
          <w:szCs w:val="20"/>
        </w:rPr>
        <w:t xml:space="preserve"> Watershed, Southern Ethiopia</w:t>
      </w:r>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Heliyon</w:t>
      </w:r>
      <w:proofErr w:type="spellEnd"/>
      <w:r w:rsidRPr="007362C3">
        <w:rPr>
          <w:rFonts w:ascii="Times New Roman" w:hAnsi="Times New Roman" w:cs="Times New Roman"/>
          <w:sz w:val="20"/>
          <w:szCs w:val="20"/>
        </w:rPr>
        <w:t>. 8(8</w:t>
      </w:r>
      <w:proofErr w:type="gramStart"/>
      <w:r w:rsidRPr="007362C3">
        <w:rPr>
          <w:rFonts w:ascii="Times New Roman" w:hAnsi="Times New Roman" w:cs="Times New Roman"/>
          <w:sz w:val="20"/>
          <w:szCs w:val="20"/>
        </w:rPr>
        <w:t>):e</w:t>
      </w:r>
      <w:proofErr w:type="gramEnd"/>
      <w:r w:rsidRPr="007362C3">
        <w:rPr>
          <w:rFonts w:ascii="Times New Roman" w:hAnsi="Times New Roman" w:cs="Times New Roman"/>
          <w:sz w:val="20"/>
          <w:szCs w:val="20"/>
        </w:rPr>
        <w:t>10125</w:t>
      </w:r>
    </w:p>
    <w:p w:rsidR="00E247EB" w:rsidRPr="007362C3" w:rsidRDefault="00E247EB" w:rsidP="00E247EB">
      <w:pPr>
        <w:ind w:left="360"/>
        <w:jc w:val="both"/>
        <w:rPr>
          <w:rFonts w:ascii="Times New Roman" w:hAnsi="Times New Roman" w:cs="Times New Roman"/>
          <w:sz w:val="20"/>
          <w:szCs w:val="20"/>
        </w:rPr>
      </w:pPr>
    </w:p>
    <w:p w:rsidR="00C423BE" w:rsidRPr="00BE110A" w:rsidRDefault="00C423BE" w:rsidP="00E247EB">
      <w:pPr>
        <w:rPr>
          <w:color w:val="000000" w:themeColor="text1"/>
        </w:rPr>
      </w:pPr>
    </w:p>
    <w:sectPr w:rsidR="00C423BE" w:rsidRPr="00BE11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D67" w:rsidRDefault="009C5D67" w:rsidP="00D37250">
      <w:pPr>
        <w:spacing w:after="0" w:line="240" w:lineRule="auto"/>
      </w:pPr>
      <w:r>
        <w:separator/>
      </w:r>
    </w:p>
  </w:endnote>
  <w:endnote w:type="continuationSeparator" w:id="0">
    <w:p w:rsidR="009C5D67" w:rsidRDefault="009C5D67" w:rsidP="00D3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50" w:rsidRDefault="00D37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50" w:rsidRDefault="00D37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50" w:rsidRDefault="00D37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D67" w:rsidRDefault="009C5D67" w:rsidP="00D37250">
      <w:pPr>
        <w:spacing w:after="0" w:line="240" w:lineRule="auto"/>
      </w:pPr>
      <w:r>
        <w:separator/>
      </w:r>
    </w:p>
  </w:footnote>
  <w:footnote w:type="continuationSeparator" w:id="0">
    <w:p w:rsidR="009C5D67" w:rsidRDefault="009C5D67" w:rsidP="00D3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50" w:rsidRDefault="00D37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50" w:rsidRDefault="00D37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50" w:rsidRDefault="00D37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314"/>
    <w:multiLevelType w:val="hybridMultilevel"/>
    <w:tmpl w:val="6FBE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A6183"/>
    <w:multiLevelType w:val="hybridMultilevel"/>
    <w:tmpl w:val="1C92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A1125"/>
    <w:multiLevelType w:val="multilevel"/>
    <w:tmpl w:val="E3F0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C42B3"/>
    <w:multiLevelType w:val="hybridMultilevel"/>
    <w:tmpl w:val="1B64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024CC"/>
    <w:multiLevelType w:val="hybridMultilevel"/>
    <w:tmpl w:val="E3024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91911"/>
    <w:multiLevelType w:val="hybridMultilevel"/>
    <w:tmpl w:val="88246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BE"/>
    <w:rsid w:val="000371C2"/>
    <w:rsid w:val="000D699D"/>
    <w:rsid w:val="0015319A"/>
    <w:rsid w:val="00165F12"/>
    <w:rsid w:val="00197E18"/>
    <w:rsid w:val="001C27E2"/>
    <w:rsid w:val="001C5E3B"/>
    <w:rsid w:val="00250D61"/>
    <w:rsid w:val="00304A52"/>
    <w:rsid w:val="004143DB"/>
    <w:rsid w:val="004372E0"/>
    <w:rsid w:val="004B6B70"/>
    <w:rsid w:val="005346AD"/>
    <w:rsid w:val="00551370"/>
    <w:rsid w:val="006550DC"/>
    <w:rsid w:val="006E4CA6"/>
    <w:rsid w:val="00703704"/>
    <w:rsid w:val="007E5CC6"/>
    <w:rsid w:val="008A2DB5"/>
    <w:rsid w:val="008B6F31"/>
    <w:rsid w:val="008F348E"/>
    <w:rsid w:val="00963FEE"/>
    <w:rsid w:val="009665F6"/>
    <w:rsid w:val="00967361"/>
    <w:rsid w:val="00981477"/>
    <w:rsid w:val="009C5D67"/>
    <w:rsid w:val="009F184F"/>
    <w:rsid w:val="00A34BC4"/>
    <w:rsid w:val="00A463C3"/>
    <w:rsid w:val="00AF3957"/>
    <w:rsid w:val="00B14DC6"/>
    <w:rsid w:val="00B245FE"/>
    <w:rsid w:val="00B52A99"/>
    <w:rsid w:val="00BC04F1"/>
    <w:rsid w:val="00BE110A"/>
    <w:rsid w:val="00C41FD7"/>
    <w:rsid w:val="00C423BE"/>
    <w:rsid w:val="00C82EF3"/>
    <w:rsid w:val="00CB26D6"/>
    <w:rsid w:val="00CF1CAC"/>
    <w:rsid w:val="00D1587F"/>
    <w:rsid w:val="00D37250"/>
    <w:rsid w:val="00D82955"/>
    <w:rsid w:val="00E21E7C"/>
    <w:rsid w:val="00E247EB"/>
    <w:rsid w:val="00E34340"/>
    <w:rsid w:val="00E914C0"/>
    <w:rsid w:val="00EE62F9"/>
    <w:rsid w:val="00F04001"/>
    <w:rsid w:val="00F37E1A"/>
    <w:rsid w:val="00F622F1"/>
    <w:rsid w:val="00F62D8E"/>
    <w:rsid w:val="00F74414"/>
    <w:rsid w:val="00F8161E"/>
    <w:rsid w:val="00F93ED8"/>
    <w:rsid w:val="00FA145A"/>
    <w:rsid w:val="00FB6523"/>
    <w:rsid w:val="00FD2985"/>
    <w:rsid w:val="00FE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96912E-499E-49BB-B406-38742DA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245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45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3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23BE"/>
    <w:rPr>
      <w:i/>
      <w:iCs/>
    </w:rPr>
  </w:style>
  <w:style w:type="character" w:styleId="Hyperlink">
    <w:name w:val="Hyperlink"/>
    <w:basedOn w:val="DefaultParagraphFont"/>
    <w:uiPriority w:val="99"/>
    <w:unhideWhenUsed/>
    <w:rsid w:val="00C423BE"/>
    <w:rPr>
      <w:color w:val="0000FF"/>
      <w:u w:val="single"/>
    </w:rPr>
  </w:style>
  <w:style w:type="character" w:styleId="Strong">
    <w:name w:val="Strong"/>
    <w:basedOn w:val="DefaultParagraphFont"/>
    <w:uiPriority w:val="22"/>
    <w:qFormat/>
    <w:rsid w:val="00963FEE"/>
    <w:rPr>
      <w:b/>
      <w:bCs/>
    </w:rPr>
  </w:style>
  <w:style w:type="character" w:customStyle="1" w:styleId="Heading2Char">
    <w:name w:val="Heading 2 Char"/>
    <w:basedOn w:val="DefaultParagraphFont"/>
    <w:link w:val="Heading2"/>
    <w:uiPriority w:val="9"/>
    <w:rsid w:val="00B245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45FE"/>
    <w:rPr>
      <w:rFonts w:ascii="Times New Roman" w:eastAsia="Times New Roman" w:hAnsi="Times New Roman" w:cs="Times New Roman"/>
      <w:b/>
      <w:bCs/>
      <w:sz w:val="27"/>
      <w:szCs w:val="27"/>
    </w:rPr>
  </w:style>
  <w:style w:type="paragraph" w:styleId="ListParagraph">
    <w:name w:val="List Paragraph"/>
    <w:basedOn w:val="Normal"/>
    <w:uiPriority w:val="34"/>
    <w:qFormat/>
    <w:rsid w:val="00B245FE"/>
    <w:pPr>
      <w:ind w:left="720"/>
      <w:contextualSpacing/>
    </w:pPr>
  </w:style>
  <w:style w:type="table" w:styleId="TableGrid">
    <w:name w:val="Table Grid"/>
    <w:basedOn w:val="TableNormal"/>
    <w:uiPriority w:val="39"/>
    <w:rsid w:val="00D82955"/>
    <w:pPr>
      <w:spacing w:after="0" w:line="240" w:lineRule="auto"/>
    </w:pPr>
    <w:rPr>
      <w:rFonts w:ascii="Calibri" w:eastAsia="SimSun"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DefaultParagraphFont"/>
    <w:rsid w:val="00F62D8E"/>
  </w:style>
  <w:style w:type="paragraph" w:styleId="BodyText">
    <w:name w:val="Body Text"/>
    <w:basedOn w:val="Normal"/>
    <w:link w:val="BodyTextChar"/>
    <w:uiPriority w:val="1"/>
    <w:qFormat/>
    <w:rsid w:val="00F0400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400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97E18"/>
    <w:rPr>
      <w:color w:val="605E5C"/>
      <w:shd w:val="clear" w:color="auto" w:fill="E1DFDD"/>
    </w:rPr>
  </w:style>
  <w:style w:type="paragraph" w:styleId="Header">
    <w:name w:val="header"/>
    <w:basedOn w:val="Normal"/>
    <w:link w:val="HeaderChar"/>
    <w:uiPriority w:val="99"/>
    <w:unhideWhenUsed/>
    <w:rsid w:val="00D37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250"/>
  </w:style>
  <w:style w:type="paragraph" w:styleId="Footer">
    <w:name w:val="footer"/>
    <w:basedOn w:val="Normal"/>
    <w:link w:val="FooterChar"/>
    <w:uiPriority w:val="99"/>
    <w:unhideWhenUsed/>
    <w:rsid w:val="00D37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3096">
      <w:bodyDiv w:val="1"/>
      <w:marLeft w:val="0"/>
      <w:marRight w:val="0"/>
      <w:marTop w:val="0"/>
      <w:marBottom w:val="0"/>
      <w:divBdr>
        <w:top w:val="none" w:sz="0" w:space="0" w:color="auto"/>
        <w:left w:val="none" w:sz="0" w:space="0" w:color="auto"/>
        <w:bottom w:val="none" w:sz="0" w:space="0" w:color="auto"/>
        <w:right w:val="none" w:sz="0" w:space="0" w:color="auto"/>
      </w:divBdr>
    </w:div>
    <w:div w:id="143861766">
      <w:bodyDiv w:val="1"/>
      <w:marLeft w:val="0"/>
      <w:marRight w:val="0"/>
      <w:marTop w:val="0"/>
      <w:marBottom w:val="0"/>
      <w:divBdr>
        <w:top w:val="none" w:sz="0" w:space="0" w:color="auto"/>
        <w:left w:val="none" w:sz="0" w:space="0" w:color="auto"/>
        <w:bottom w:val="none" w:sz="0" w:space="0" w:color="auto"/>
        <w:right w:val="none" w:sz="0" w:space="0" w:color="auto"/>
      </w:divBdr>
    </w:div>
    <w:div w:id="500900945">
      <w:bodyDiv w:val="1"/>
      <w:marLeft w:val="0"/>
      <w:marRight w:val="0"/>
      <w:marTop w:val="0"/>
      <w:marBottom w:val="0"/>
      <w:divBdr>
        <w:top w:val="none" w:sz="0" w:space="0" w:color="auto"/>
        <w:left w:val="none" w:sz="0" w:space="0" w:color="auto"/>
        <w:bottom w:val="none" w:sz="0" w:space="0" w:color="auto"/>
        <w:right w:val="none" w:sz="0" w:space="0" w:color="auto"/>
      </w:divBdr>
    </w:div>
    <w:div w:id="908463767">
      <w:bodyDiv w:val="1"/>
      <w:marLeft w:val="0"/>
      <w:marRight w:val="0"/>
      <w:marTop w:val="0"/>
      <w:marBottom w:val="0"/>
      <w:divBdr>
        <w:top w:val="none" w:sz="0" w:space="0" w:color="auto"/>
        <w:left w:val="none" w:sz="0" w:space="0" w:color="auto"/>
        <w:bottom w:val="none" w:sz="0" w:space="0" w:color="auto"/>
        <w:right w:val="none" w:sz="0" w:space="0" w:color="auto"/>
      </w:divBdr>
    </w:div>
    <w:div w:id="1283414356">
      <w:bodyDiv w:val="1"/>
      <w:marLeft w:val="0"/>
      <w:marRight w:val="0"/>
      <w:marTop w:val="0"/>
      <w:marBottom w:val="0"/>
      <w:divBdr>
        <w:top w:val="none" w:sz="0" w:space="0" w:color="auto"/>
        <w:left w:val="none" w:sz="0" w:space="0" w:color="auto"/>
        <w:bottom w:val="none" w:sz="0" w:space="0" w:color="auto"/>
        <w:right w:val="none" w:sz="0" w:space="0" w:color="auto"/>
      </w:divBdr>
    </w:div>
    <w:div w:id="14202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faf.org"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07/relationships/hdphoto" Target="media/hdphoto2.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11</Pages>
  <Words>5790</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31</cp:revision>
  <dcterms:created xsi:type="dcterms:W3CDTF">2026-01-16T12:55:00Z</dcterms:created>
  <dcterms:modified xsi:type="dcterms:W3CDTF">2026-02-02T10:23:00Z</dcterms:modified>
</cp:coreProperties>
</file>