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7785C6" w14:textId="77777777" w:rsidR="006245CD" w:rsidRPr="006245CD" w:rsidRDefault="006245CD" w:rsidP="006245CD">
      <w:pPr>
        <w:spacing w:line="276" w:lineRule="auto"/>
        <w:jc w:val="both"/>
        <w:rPr>
          <w:rFonts w:ascii="Times New Roman" w:hAnsi="Times New Roman" w:cs="Times New Roman"/>
          <w:b/>
          <w:bCs/>
          <w:i/>
          <w:iCs/>
          <w:color w:val="1D2129"/>
          <w:sz w:val="28"/>
          <w:szCs w:val="28"/>
          <w:u w:val="single"/>
          <w:shd w:val="clear" w:color="auto" w:fill="FFFFFF"/>
          <w:lang w:val="en-US"/>
        </w:rPr>
      </w:pPr>
      <w:r w:rsidRPr="006245CD">
        <w:rPr>
          <w:rFonts w:ascii="Times New Roman" w:hAnsi="Times New Roman" w:cs="Times New Roman"/>
          <w:b/>
          <w:bCs/>
          <w:i/>
          <w:iCs/>
          <w:color w:val="1D2129"/>
          <w:sz w:val="28"/>
          <w:szCs w:val="28"/>
          <w:u w:val="single"/>
          <w:shd w:val="clear" w:color="auto" w:fill="FFFFFF"/>
          <w:lang w:val="en-US"/>
        </w:rPr>
        <w:t>Original Research Article</w:t>
      </w:r>
    </w:p>
    <w:p w14:paraId="15C5C0BA" w14:textId="1945D25D" w:rsidR="000A109A" w:rsidRDefault="000A109A" w:rsidP="00BF7A59">
      <w:pPr>
        <w:spacing w:line="276" w:lineRule="auto"/>
        <w:jc w:val="both"/>
        <w:rPr>
          <w:rFonts w:ascii="Times New Roman" w:hAnsi="Times New Roman" w:cs="Times New Roman"/>
          <w:color w:val="1D2129"/>
          <w:sz w:val="28"/>
          <w:szCs w:val="28"/>
          <w:shd w:val="clear" w:color="auto" w:fill="FFFFFF"/>
        </w:rPr>
      </w:pPr>
      <w:r w:rsidRPr="003D362A">
        <w:rPr>
          <w:rFonts w:ascii="Times New Roman" w:hAnsi="Times New Roman" w:cs="Times New Roman"/>
          <w:color w:val="1D2129"/>
          <w:sz w:val="28"/>
          <w:szCs w:val="28"/>
          <w:shd w:val="clear" w:color="auto" w:fill="FFFFFF"/>
        </w:rPr>
        <w:t xml:space="preserve">Integrating </w:t>
      </w:r>
      <w:r w:rsidR="003D362A" w:rsidRPr="003D362A">
        <w:rPr>
          <w:rFonts w:ascii="Times New Roman" w:hAnsi="Times New Roman" w:cs="Times New Roman"/>
          <w:color w:val="1D2129"/>
          <w:sz w:val="28"/>
          <w:szCs w:val="28"/>
          <w:shd w:val="clear" w:color="auto" w:fill="FFFFFF"/>
        </w:rPr>
        <w:t xml:space="preserve">Graph </w:t>
      </w:r>
      <w:r w:rsidRPr="003D362A">
        <w:rPr>
          <w:rFonts w:ascii="Times New Roman" w:hAnsi="Times New Roman" w:cs="Times New Roman"/>
          <w:color w:val="1D2129"/>
          <w:sz w:val="28"/>
          <w:szCs w:val="28"/>
          <w:shd w:val="clear" w:color="auto" w:fill="FFFFFF"/>
        </w:rPr>
        <w:t>Generalized Topological Spaces for Sustainable Development Modelling</w:t>
      </w:r>
    </w:p>
    <w:p w14:paraId="4DDF7C6F" w14:textId="77777777" w:rsidR="00905E58" w:rsidRPr="003D362A" w:rsidRDefault="00905E58" w:rsidP="00BF7A59">
      <w:pPr>
        <w:spacing w:line="276" w:lineRule="auto"/>
        <w:jc w:val="both"/>
        <w:rPr>
          <w:rFonts w:ascii="Times New Roman" w:hAnsi="Times New Roman" w:cs="Times New Roman"/>
          <w:color w:val="1D2129"/>
          <w:sz w:val="28"/>
          <w:szCs w:val="28"/>
          <w:shd w:val="clear" w:color="auto" w:fill="FFFFFF"/>
        </w:rPr>
      </w:pPr>
      <w:bookmarkStart w:id="0" w:name="_GoBack"/>
      <w:bookmarkEnd w:id="0"/>
    </w:p>
    <w:p w14:paraId="38419628" w14:textId="131A2CDD" w:rsidR="00426790" w:rsidRPr="00766BEC" w:rsidRDefault="00426790" w:rsidP="00BF7A59">
      <w:pPr>
        <w:spacing w:line="276" w:lineRule="auto"/>
        <w:jc w:val="both"/>
        <w:rPr>
          <w:rFonts w:ascii="Times New Roman" w:hAnsi="Times New Roman" w:cs="Times New Roman"/>
          <w:color w:val="1D2129"/>
          <w:shd w:val="clear" w:color="auto" w:fill="FFFFFF"/>
        </w:rPr>
      </w:pPr>
      <w:proofErr w:type="gramStart"/>
      <w:r w:rsidRPr="00766BEC">
        <w:rPr>
          <w:rFonts w:ascii="Times New Roman" w:hAnsi="Times New Roman" w:cs="Times New Roman"/>
          <w:b/>
          <w:bCs/>
          <w:lang w:val="en-US"/>
        </w:rPr>
        <w:t>Abstract</w:t>
      </w:r>
      <w:r w:rsidRPr="00766BEC">
        <w:rPr>
          <w:rFonts w:ascii="Times New Roman" w:hAnsi="Times New Roman" w:cs="Times New Roman"/>
          <w:lang w:val="en-US"/>
        </w:rPr>
        <w:t xml:space="preserve"> :</w:t>
      </w:r>
      <w:proofErr w:type="gramEnd"/>
      <w:r w:rsidRPr="00766BEC">
        <w:rPr>
          <w:rFonts w:ascii="Times New Roman" w:hAnsi="Times New Roman" w:cs="Times New Roman"/>
          <w:lang w:val="en-US"/>
        </w:rPr>
        <w:t xml:space="preserve"> </w:t>
      </w:r>
      <w:r w:rsidR="006D071D" w:rsidRPr="00766BEC">
        <w:rPr>
          <w:rFonts w:ascii="Times New Roman" w:hAnsi="Times New Roman" w:cs="Times New Roman"/>
          <w:lang w:val="en-US"/>
        </w:rPr>
        <w:t>T</w:t>
      </w:r>
      <w:r w:rsidR="006D071D" w:rsidRPr="00766BEC">
        <w:rPr>
          <w:rFonts w:ascii="Times New Roman" w:hAnsi="Times New Roman" w:cs="Times New Roman"/>
        </w:rPr>
        <w:t xml:space="preserve">his paper examines how </w:t>
      </w:r>
      <w:r w:rsidR="006D071D" w:rsidRPr="003D362A">
        <w:rPr>
          <w:rStyle w:val="Strong"/>
          <w:rFonts w:ascii="Times New Roman" w:hAnsi="Times New Roman" w:cs="Times New Roman"/>
          <w:b w:val="0"/>
        </w:rPr>
        <w:t>Generalized Topological Spaces (GTS)</w:t>
      </w:r>
      <w:r w:rsidR="006D071D" w:rsidRPr="003D362A">
        <w:rPr>
          <w:rFonts w:ascii="Times New Roman" w:hAnsi="Times New Roman" w:cs="Times New Roman"/>
          <w:b/>
        </w:rPr>
        <w:t xml:space="preserve"> </w:t>
      </w:r>
      <w:r w:rsidR="006D071D" w:rsidRPr="003D362A">
        <w:rPr>
          <w:rFonts w:ascii="Times New Roman" w:hAnsi="Times New Roman" w:cs="Times New Roman"/>
        </w:rPr>
        <w:t>and</w:t>
      </w:r>
      <w:r w:rsidR="006D071D" w:rsidRPr="003D362A">
        <w:rPr>
          <w:rFonts w:ascii="Times New Roman" w:hAnsi="Times New Roman" w:cs="Times New Roman"/>
          <w:b/>
        </w:rPr>
        <w:t xml:space="preserve"> </w:t>
      </w:r>
      <w:r w:rsidR="006D071D" w:rsidRPr="003D362A">
        <w:rPr>
          <w:rStyle w:val="Strong"/>
          <w:rFonts w:ascii="Times New Roman" w:hAnsi="Times New Roman" w:cs="Times New Roman"/>
          <w:b w:val="0"/>
        </w:rPr>
        <w:t>Graph Generalized Topological Spaces (GGTS)</w:t>
      </w:r>
      <w:r w:rsidR="006D071D" w:rsidRPr="00766BEC">
        <w:rPr>
          <w:rFonts w:ascii="Times New Roman" w:hAnsi="Times New Roman" w:cs="Times New Roman"/>
        </w:rPr>
        <w:t xml:space="preserve"> can serve as powerful mathematical tools for understanding and addressing the complex challenges of sustainable development. We present the core ideas of GTS and GGTS—such as generalized and quasi-topologies, hereditary classes, and operators including interior, closure, and dense sets—and relate them to real-world systems. Using the United Nations’ 2030 Agenda and its 17 Sustainable Development Goals (SDGs) as context, we show how these frameworks naturally model uncertainty, incomplete data, and blurred boundaries that commonly arise in sustainability problems. Applications in areas such as resource networks, urban systems, and environmental planning illustrate how GTS and GGTS provide flexible and intuitive representations, offering insights where traditional mathematical models are often too rigid.</w:t>
      </w:r>
    </w:p>
    <w:p w14:paraId="2DAD0457" w14:textId="77777777" w:rsidR="006E1DA2" w:rsidRPr="00766BEC" w:rsidRDefault="006E1DA2" w:rsidP="00BF7A59">
      <w:pPr>
        <w:shd w:val="clear" w:color="auto" w:fill="FFFFFF"/>
        <w:spacing w:before="240" w:after="240" w:line="276" w:lineRule="auto"/>
        <w:jc w:val="both"/>
        <w:rPr>
          <w:rStyle w:val="Strong"/>
          <w:rFonts w:ascii="Times New Roman" w:hAnsi="Times New Roman" w:cs="Times New Roman"/>
          <w:b w:val="0"/>
          <w:bCs w:val="0"/>
          <w:color w:val="1D2129"/>
          <w:shd w:val="clear" w:color="auto" w:fill="FFFFFF"/>
        </w:rPr>
      </w:pPr>
      <w:r w:rsidRPr="00766BEC">
        <w:rPr>
          <w:rFonts w:ascii="Times New Roman" w:eastAsia="Times New Roman" w:hAnsi="Times New Roman" w:cs="Times New Roman"/>
          <w:b/>
          <w:bCs/>
          <w:color w:val="1D2129"/>
          <w:kern w:val="0"/>
          <w:lang w:eastAsia="en-IN"/>
          <w14:ligatures w14:val="none"/>
        </w:rPr>
        <w:t>Key Words</w:t>
      </w:r>
      <w:r w:rsidRPr="00766BEC">
        <w:rPr>
          <w:rFonts w:ascii="Times New Roman" w:eastAsia="Times New Roman" w:hAnsi="Times New Roman" w:cs="Times New Roman"/>
          <w:color w:val="1D2129"/>
          <w:kern w:val="0"/>
          <w:lang w:eastAsia="en-IN"/>
          <w14:ligatures w14:val="none"/>
        </w:rPr>
        <w:t>:</w:t>
      </w:r>
      <w:r w:rsidRPr="00766BEC">
        <w:rPr>
          <w:rStyle w:val="Heading1Char"/>
          <w:rFonts w:ascii="Times New Roman" w:hAnsi="Times New Roman" w:cs="Times New Roman"/>
          <w:color w:val="1D2129"/>
          <w:sz w:val="24"/>
          <w:szCs w:val="24"/>
          <w:shd w:val="clear" w:color="auto" w:fill="FFFFFF"/>
        </w:rPr>
        <w:t xml:space="preserve"> </w:t>
      </w:r>
      <w:r w:rsidRPr="00766BEC">
        <w:rPr>
          <w:rStyle w:val="Strong"/>
          <w:rFonts w:ascii="Times New Roman" w:hAnsi="Times New Roman" w:cs="Times New Roman"/>
          <w:color w:val="1D2129"/>
          <w:shd w:val="clear" w:color="auto" w:fill="FFFFFF"/>
        </w:rPr>
        <w:t>​</w:t>
      </w:r>
      <w:r w:rsidRPr="00766BEC">
        <w:rPr>
          <w:rFonts w:ascii="Times New Roman" w:hAnsi="Times New Roman" w:cs="Times New Roman"/>
          <w:color w:val="1D2129"/>
          <w:shd w:val="clear" w:color="auto" w:fill="FFFFFF"/>
        </w:rPr>
        <w:t>​ Sustainable Development Goals (SDGs), Generalized Topological Space (GTS), Graph Generalized Topological Space (GGTS), Urban Planning, Resource Management, Environmental Systems, Uncertainty Modelling.</w:t>
      </w:r>
    </w:p>
    <w:p w14:paraId="18591CA7" w14:textId="77777777" w:rsidR="006E1DA2" w:rsidRPr="00766BEC" w:rsidRDefault="006E1DA2" w:rsidP="00BF7A59">
      <w:pPr>
        <w:spacing w:line="276" w:lineRule="auto"/>
        <w:jc w:val="both"/>
        <w:rPr>
          <w:rFonts w:ascii="Times New Roman" w:hAnsi="Times New Roman" w:cs="Times New Roman"/>
          <w:color w:val="1D2129"/>
          <w:shd w:val="clear" w:color="auto" w:fill="FFFFFF"/>
        </w:rPr>
      </w:pPr>
    </w:p>
    <w:p w14:paraId="1D9E9CF6" w14:textId="0B49A816" w:rsidR="00D5142B" w:rsidRPr="00766BEC" w:rsidRDefault="00D5142B" w:rsidP="00BF7A59">
      <w:pPr>
        <w:pStyle w:val="ListParagraph"/>
        <w:numPr>
          <w:ilvl w:val="0"/>
          <w:numId w:val="3"/>
        </w:numPr>
        <w:shd w:val="clear" w:color="auto" w:fill="FFFFFF"/>
        <w:spacing w:before="180" w:after="180" w:line="276" w:lineRule="auto"/>
        <w:jc w:val="both"/>
        <w:outlineLvl w:val="1"/>
        <w:rPr>
          <w:rFonts w:ascii="Times New Roman" w:eastAsia="Times New Roman" w:hAnsi="Times New Roman" w:cs="Times New Roman"/>
          <w:b/>
          <w:bCs/>
          <w:color w:val="020C1A"/>
          <w:kern w:val="0"/>
          <w:lang w:eastAsia="en-IN"/>
          <w14:ligatures w14:val="none"/>
        </w:rPr>
      </w:pPr>
      <w:r w:rsidRPr="00766BEC">
        <w:rPr>
          <w:rFonts w:ascii="Times New Roman" w:eastAsia="Times New Roman" w:hAnsi="Times New Roman" w:cs="Times New Roman"/>
          <w:b/>
          <w:bCs/>
          <w:color w:val="020C1A"/>
          <w:kern w:val="0"/>
          <w:lang w:eastAsia="en-IN"/>
          <w14:ligatures w14:val="none"/>
        </w:rPr>
        <w:t>Introduction</w:t>
      </w:r>
    </w:p>
    <w:p w14:paraId="225E650C" w14:textId="53F380E1" w:rsidR="00B77549" w:rsidRPr="00766BEC" w:rsidRDefault="00B77549" w:rsidP="00BF7A59">
      <w:pPr>
        <w:shd w:val="clear" w:color="auto" w:fill="FFFFFF"/>
        <w:spacing w:before="240" w:after="240" w:line="276" w:lineRule="auto"/>
        <w:jc w:val="both"/>
        <w:rPr>
          <w:rFonts w:ascii="Times New Roman" w:hAnsi="Times New Roman" w:cs="Times New Roman"/>
        </w:rPr>
      </w:pPr>
      <w:r w:rsidRPr="00766BEC">
        <w:rPr>
          <w:rFonts w:ascii="Times New Roman" w:hAnsi="Times New Roman" w:cs="Times New Roman"/>
        </w:rPr>
        <w:t>Sustainable development, as outlined in th</w:t>
      </w:r>
      <w:r w:rsidR="003D362A">
        <w:rPr>
          <w:rFonts w:ascii="Times New Roman" w:hAnsi="Times New Roman" w:cs="Times New Roman"/>
        </w:rPr>
        <w:t>e United Nations 2030 Agenda [18</w:t>
      </w:r>
      <w:r w:rsidRPr="00766BEC">
        <w:rPr>
          <w:rFonts w:ascii="Times New Roman" w:hAnsi="Times New Roman" w:cs="Times New Roman"/>
        </w:rPr>
        <w:t>], represents a complex global endeavour comprising 17 goals, 169 targets, and 231 indicators focused on eradicating poverty, safeguarding the planet, and promoting prosperity for all. Addressing these interrelated challenges—spanning economic growth, social equity, and environmental sustainability—demands innovative analytical frameworks capable of managing uncertainty, incomplete information, and imprecise boundaries. Conventional mathematical models often lack the flexibility to capture the intricate interdependencies among resources, policies, people, and the environment that define sustainable development issues.</w:t>
      </w:r>
    </w:p>
    <w:p w14:paraId="0B9E1CF5" w14:textId="77777777" w:rsidR="00B77549" w:rsidRPr="00766BEC" w:rsidRDefault="00B77549" w:rsidP="00BF7A59">
      <w:pPr>
        <w:shd w:val="clear" w:color="auto" w:fill="FFFFFF"/>
        <w:spacing w:before="240" w:after="240" w:line="276" w:lineRule="auto"/>
        <w:jc w:val="both"/>
        <w:rPr>
          <w:rFonts w:ascii="Times New Roman" w:hAnsi="Times New Roman" w:cs="Times New Roman"/>
        </w:rPr>
      </w:pPr>
      <w:r w:rsidRPr="00766BEC">
        <w:rPr>
          <w:rFonts w:ascii="Times New Roman" w:hAnsi="Times New Roman" w:cs="Times New Roman"/>
        </w:rPr>
        <w:t xml:space="preserve">This paper examines the application of </w:t>
      </w:r>
      <w:r w:rsidRPr="00766BEC">
        <w:rPr>
          <w:rStyle w:val="Strong"/>
          <w:rFonts w:ascii="Times New Roman" w:hAnsi="Times New Roman" w:cs="Times New Roman"/>
        </w:rPr>
        <w:t>Generalized Topological Spaces (GTS)</w:t>
      </w:r>
      <w:r w:rsidRPr="00766BEC">
        <w:rPr>
          <w:rFonts w:ascii="Times New Roman" w:hAnsi="Times New Roman" w:cs="Times New Roman"/>
        </w:rPr>
        <w:t xml:space="preserve"> and </w:t>
      </w:r>
      <w:r w:rsidRPr="00766BEC">
        <w:rPr>
          <w:rStyle w:val="Strong"/>
          <w:rFonts w:ascii="Times New Roman" w:hAnsi="Times New Roman" w:cs="Times New Roman"/>
        </w:rPr>
        <w:t>Graph Generalized Topological Spaces (GGTS)</w:t>
      </w:r>
      <w:r w:rsidRPr="00766BEC">
        <w:rPr>
          <w:rFonts w:ascii="Times New Roman" w:hAnsi="Times New Roman" w:cs="Times New Roman"/>
        </w:rPr>
        <w:t xml:space="preserve"> as advanced mathematical frameworks for addressing the complexities of sustainable development. By relaxing the rigid axioms of classical topology, GTS provides greater flexibility in </w:t>
      </w:r>
      <w:proofErr w:type="spellStart"/>
      <w:r w:rsidRPr="00766BEC">
        <w:rPr>
          <w:rFonts w:ascii="Times New Roman" w:hAnsi="Times New Roman" w:cs="Times New Roman"/>
        </w:rPr>
        <w:t>modeling</w:t>
      </w:r>
      <w:proofErr w:type="spellEnd"/>
      <w:r w:rsidRPr="00766BEC">
        <w:rPr>
          <w:rFonts w:ascii="Times New Roman" w:hAnsi="Times New Roman" w:cs="Times New Roman"/>
        </w:rPr>
        <w:t xml:space="preserve"> real-world systems characterized by vague boundaries and incomplete information. The integration of graph theory through GGTS further enhances this framework by capturing the relational structures and intricate interdependencies inherent in sustainability challenges. The study demonstrates how these generalized topological approaches can be employed to model safe operating spaces, identify critical transitions in socio-ecological systems, optimize resource networks, and </w:t>
      </w:r>
      <w:proofErr w:type="spellStart"/>
      <w:r w:rsidRPr="00766BEC">
        <w:rPr>
          <w:rFonts w:ascii="Times New Roman" w:hAnsi="Times New Roman" w:cs="Times New Roman"/>
        </w:rPr>
        <w:t>analyze</w:t>
      </w:r>
      <w:proofErr w:type="spellEnd"/>
      <w:r w:rsidRPr="00766BEC">
        <w:rPr>
          <w:rFonts w:ascii="Times New Roman" w:hAnsi="Times New Roman" w:cs="Times New Roman"/>
        </w:rPr>
        <w:t xml:space="preserve"> environmental systems with non-crisp boundaries, thereby offering a more </w:t>
      </w:r>
      <w:r w:rsidRPr="00766BEC">
        <w:rPr>
          <w:rFonts w:ascii="Times New Roman" w:hAnsi="Times New Roman" w:cs="Times New Roman"/>
        </w:rPr>
        <w:lastRenderedPageBreak/>
        <w:t>robust and adaptable analytical foundation for advancing the goals of sustainable development.</w:t>
      </w:r>
    </w:p>
    <w:p w14:paraId="10D6AC3B" w14:textId="472C2BF1" w:rsidR="00D5142B" w:rsidRPr="00766BEC" w:rsidRDefault="00D5142B" w:rsidP="00BF7A59">
      <w:pPr>
        <w:pStyle w:val="ListParagraph"/>
        <w:numPr>
          <w:ilvl w:val="0"/>
          <w:numId w:val="3"/>
        </w:numPr>
        <w:shd w:val="clear" w:color="auto" w:fill="FFFFFF"/>
        <w:spacing w:before="240" w:after="240" w:line="276" w:lineRule="auto"/>
        <w:jc w:val="both"/>
        <w:rPr>
          <w:rStyle w:val="Strong"/>
          <w:rFonts w:ascii="Times New Roman" w:hAnsi="Times New Roman" w:cs="Times New Roman"/>
          <w:color w:val="1D2129"/>
          <w:u w:val="single"/>
          <w:shd w:val="clear" w:color="auto" w:fill="FFFFFF"/>
        </w:rPr>
      </w:pPr>
      <w:r w:rsidRPr="00766BEC">
        <w:rPr>
          <w:rStyle w:val="Strong"/>
          <w:rFonts w:ascii="Times New Roman" w:hAnsi="Times New Roman" w:cs="Times New Roman"/>
          <w:color w:val="1D2129"/>
          <w:shd w:val="clear" w:color="auto" w:fill="FFFFFF"/>
        </w:rPr>
        <w:t>Overview of Sustainable Development Goals (SDGs)</w:t>
      </w:r>
      <w:r w:rsidR="003D362A">
        <w:rPr>
          <w:rStyle w:val="Strong"/>
          <w:rFonts w:ascii="Times New Roman" w:hAnsi="Times New Roman" w:cs="Times New Roman"/>
          <w:color w:val="1D2129"/>
          <w:shd w:val="clear" w:color="auto" w:fill="FFFFFF"/>
        </w:rPr>
        <w:t xml:space="preserve"> [18</w:t>
      </w:r>
      <w:r w:rsidR="0027786F" w:rsidRPr="00766BEC">
        <w:rPr>
          <w:rStyle w:val="Strong"/>
          <w:rFonts w:ascii="Times New Roman" w:hAnsi="Times New Roman" w:cs="Times New Roman"/>
          <w:color w:val="1D2129"/>
          <w:shd w:val="clear" w:color="auto" w:fill="FFFFFF"/>
        </w:rPr>
        <w:t>]</w:t>
      </w:r>
    </w:p>
    <w:p w14:paraId="72770321" w14:textId="5CBD5208" w:rsidR="00165601" w:rsidRPr="00766BEC" w:rsidRDefault="00165601" w:rsidP="00BF7A59">
      <w:pPr>
        <w:shd w:val="clear" w:color="auto" w:fill="FFFFFF"/>
        <w:spacing w:before="240" w:after="240" w:line="276" w:lineRule="auto"/>
        <w:jc w:val="both"/>
        <w:rPr>
          <w:rFonts w:ascii="Times New Roman" w:hAnsi="Times New Roman" w:cs="Times New Roman"/>
          <w:b/>
          <w:bCs/>
          <w:color w:val="1D2129"/>
          <w:u w:val="single"/>
          <w:shd w:val="clear" w:color="auto" w:fill="FFFFFF"/>
        </w:rPr>
      </w:pPr>
      <w:r w:rsidRPr="00766BEC">
        <w:rPr>
          <w:rFonts w:ascii="Times New Roman" w:hAnsi="Times New Roman" w:cs="Times New Roman"/>
        </w:rPr>
        <w:t>The SDGs promote collaboration among governments, industries, academic institutions, and civil society to achieve a balance between human well-being and the sustainable use of natural resources, ensuring that present progress does not compromise the ability of future generations to meet their own needs. The 17 Sustainable Development Goals are listed below:</w:t>
      </w:r>
    </w:p>
    <w:p w14:paraId="17849667" w14:textId="77777777" w:rsidR="00165601" w:rsidRPr="00766BEC" w:rsidRDefault="00165601" w:rsidP="00BF7A59">
      <w:pPr>
        <w:pStyle w:val="NormalWeb"/>
        <w:numPr>
          <w:ilvl w:val="0"/>
          <w:numId w:val="9"/>
        </w:numPr>
        <w:spacing w:line="276" w:lineRule="auto"/>
        <w:jc w:val="both"/>
      </w:pPr>
      <w:r w:rsidRPr="00766BEC">
        <w:rPr>
          <w:rStyle w:val="Strong"/>
          <w:rFonts w:eastAsiaTheme="majorEastAsia"/>
        </w:rPr>
        <w:t>SDG 1: No Poverty</w:t>
      </w:r>
      <w:r w:rsidRPr="00766BEC">
        <w:t xml:space="preserve"> – End poverty in all its forms everywhere through initiatives such as social welfare programs, rural development projects, and microfinance schemes.</w:t>
      </w:r>
    </w:p>
    <w:p w14:paraId="548AB054" w14:textId="77777777" w:rsidR="00165601" w:rsidRPr="00766BEC" w:rsidRDefault="00165601" w:rsidP="00BF7A59">
      <w:pPr>
        <w:pStyle w:val="NormalWeb"/>
        <w:numPr>
          <w:ilvl w:val="0"/>
          <w:numId w:val="9"/>
        </w:numPr>
        <w:spacing w:line="276" w:lineRule="auto"/>
        <w:jc w:val="both"/>
      </w:pPr>
      <w:r w:rsidRPr="00766BEC">
        <w:rPr>
          <w:rStyle w:val="Strong"/>
          <w:rFonts w:eastAsiaTheme="majorEastAsia"/>
        </w:rPr>
        <w:t>SDG 2: Zero Hunger</w:t>
      </w:r>
      <w:r w:rsidRPr="00766BEC">
        <w:t xml:space="preserve"> – Eliminate hunger, improve nutrition, and promote sustainable agriculture through measures like midday meal programs and organic farming practices.</w:t>
      </w:r>
    </w:p>
    <w:p w14:paraId="679B6838" w14:textId="77777777" w:rsidR="00165601" w:rsidRPr="00766BEC" w:rsidRDefault="00165601" w:rsidP="00BF7A59">
      <w:pPr>
        <w:pStyle w:val="NormalWeb"/>
        <w:numPr>
          <w:ilvl w:val="0"/>
          <w:numId w:val="9"/>
        </w:numPr>
        <w:spacing w:line="276" w:lineRule="auto"/>
        <w:jc w:val="both"/>
      </w:pPr>
      <w:r w:rsidRPr="00766BEC">
        <w:rPr>
          <w:rStyle w:val="Strong"/>
          <w:rFonts w:eastAsiaTheme="majorEastAsia"/>
        </w:rPr>
        <w:t>SDG 3: Good Health and Well-being</w:t>
      </w:r>
      <w:r w:rsidRPr="00766BEC">
        <w:t xml:space="preserve"> – Ensure healthy lives and promote well-being for all through vaccination campaigns, universal healthcare access, and responses to global health crises such as COVID-19.</w:t>
      </w:r>
    </w:p>
    <w:p w14:paraId="4FFA2727" w14:textId="77777777" w:rsidR="00165601" w:rsidRPr="00766BEC" w:rsidRDefault="00165601" w:rsidP="00BF7A59">
      <w:pPr>
        <w:pStyle w:val="NormalWeb"/>
        <w:numPr>
          <w:ilvl w:val="0"/>
          <w:numId w:val="9"/>
        </w:numPr>
        <w:spacing w:line="276" w:lineRule="auto"/>
        <w:jc w:val="both"/>
      </w:pPr>
      <w:r w:rsidRPr="00766BEC">
        <w:rPr>
          <w:rStyle w:val="Strong"/>
          <w:rFonts w:eastAsiaTheme="majorEastAsia"/>
        </w:rPr>
        <w:t>SDG 4: Quality Education</w:t>
      </w:r>
      <w:r w:rsidRPr="00766BEC">
        <w:t xml:space="preserve"> – Provide inclusive and equitable quality education and lifelong learning opportunities for all, supported by initiatives like digital classrooms and free primary education.</w:t>
      </w:r>
    </w:p>
    <w:p w14:paraId="4ABCD1D8" w14:textId="77777777" w:rsidR="00165601" w:rsidRPr="00766BEC" w:rsidRDefault="00165601" w:rsidP="00BF7A59">
      <w:pPr>
        <w:pStyle w:val="NormalWeb"/>
        <w:numPr>
          <w:ilvl w:val="0"/>
          <w:numId w:val="9"/>
        </w:numPr>
        <w:spacing w:line="276" w:lineRule="auto"/>
        <w:jc w:val="both"/>
      </w:pPr>
      <w:r w:rsidRPr="00766BEC">
        <w:rPr>
          <w:rStyle w:val="Strong"/>
          <w:rFonts w:eastAsiaTheme="majorEastAsia"/>
        </w:rPr>
        <w:t>SDG 5: Gender Equality</w:t>
      </w:r>
      <w:r w:rsidRPr="00766BEC">
        <w:t xml:space="preserve"> – Achieve gender equality and empower all women and girls by promoting women’s participation in STEM, equal pay, and leadership opportunities.</w:t>
      </w:r>
    </w:p>
    <w:p w14:paraId="48CB1AAB" w14:textId="77777777" w:rsidR="00165601" w:rsidRPr="00766BEC" w:rsidRDefault="00165601" w:rsidP="00BF7A59">
      <w:pPr>
        <w:pStyle w:val="NormalWeb"/>
        <w:numPr>
          <w:ilvl w:val="0"/>
          <w:numId w:val="9"/>
        </w:numPr>
        <w:spacing w:line="276" w:lineRule="auto"/>
        <w:jc w:val="both"/>
      </w:pPr>
      <w:r w:rsidRPr="00766BEC">
        <w:rPr>
          <w:rStyle w:val="Strong"/>
          <w:rFonts w:eastAsiaTheme="majorEastAsia"/>
        </w:rPr>
        <w:t>SDG 6: Clean Water and Sanitation</w:t>
      </w:r>
      <w:r w:rsidRPr="00766BEC">
        <w:t xml:space="preserve"> – Ensure availability and sustainable management of water and sanitation for all through initiatives like the </w:t>
      </w:r>
      <w:r w:rsidRPr="00766BEC">
        <w:rPr>
          <w:rStyle w:val="Emphasis"/>
          <w:rFonts w:eastAsiaTheme="majorEastAsia"/>
        </w:rPr>
        <w:t>Swachh Bharat Abhiyan</w:t>
      </w:r>
      <w:r w:rsidRPr="00766BEC">
        <w:t xml:space="preserve"> and water recycling systems.</w:t>
      </w:r>
    </w:p>
    <w:p w14:paraId="32CAEBBD" w14:textId="77777777" w:rsidR="00165601" w:rsidRPr="00766BEC" w:rsidRDefault="00165601" w:rsidP="00BF7A59">
      <w:pPr>
        <w:pStyle w:val="NormalWeb"/>
        <w:numPr>
          <w:ilvl w:val="0"/>
          <w:numId w:val="9"/>
        </w:numPr>
        <w:spacing w:line="276" w:lineRule="auto"/>
        <w:jc w:val="both"/>
      </w:pPr>
      <w:r w:rsidRPr="00766BEC">
        <w:rPr>
          <w:rStyle w:val="Strong"/>
          <w:rFonts w:eastAsiaTheme="majorEastAsia"/>
        </w:rPr>
        <w:t>SDG 7: Affordable and Clean Energy</w:t>
      </w:r>
      <w:r w:rsidRPr="00766BEC">
        <w:t xml:space="preserve"> – Ensure access to affordable, reliable, sustainable, and modern energy for all, exemplified by solar and wind energy projects.</w:t>
      </w:r>
    </w:p>
    <w:p w14:paraId="2DC26E6E" w14:textId="77777777" w:rsidR="00165601" w:rsidRPr="00766BEC" w:rsidRDefault="00165601" w:rsidP="00BF7A59">
      <w:pPr>
        <w:pStyle w:val="NormalWeb"/>
        <w:numPr>
          <w:ilvl w:val="0"/>
          <w:numId w:val="9"/>
        </w:numPr>
        <w:spacing w:line="276" w:lineRule="auto"/>
        <w:jc w:val="both"/>
      </w:pPr>
      <w:r w:rsidRPr="00766BEC">
        <w:rPr>
          <w:rStyle w:val="Strong"/>
          <w:rFonts w:eastAsiaTheme="majorEastAsia"/>
        </w:rPr>
        <w:t>SDG 8: Decent Work and Economic Growth</w:t>
      </w:r>
      <w:r w:rsidRPr="00766BEC">
        <w:t xml:space="preserve"> – Promote sustained, inclusive economic growth and productive employment through programs like </w:t>
      </w:r>
      <w:r w:rsidRPr="00766BEC">
        <w:rPr>
          <w:rStyle w:val="Emphasis"/>
          <w:rFonts w:eastAsiaTheme="majorEastAsia"/>
        </w:rPr>
        <w:t>Startup India</w:t>
      </w:r>
      <w:r w:rsidRPr="00766BEC">
        <w:t xml:space="preserve"> and support for micro and small enterprises.</w:t>
      </w:r>
    </w:p>
    <w:p w14:paraId="1713315A" w14:textId="77777777" w:rsidR="00165601" w:rsidRPr="00766BEC" w:rsidRDefault="00165601" w:rsidP="00BF7A59">
      <w:pPr>
        <w:pStyle w:val="NormalWeb"/>
        <w:numPr>
          <w:ilvl w:val="0"/>
          <w:numId w:val="9"/>
        </w:numPr>
        <w:spacing w:line="276" w:lineRule="auto"/>
        <w:jc w:val="both"/>
      </w:pPr>
      <w:r w:rsidRPr="00766BEC">
        <w:rPr>
          <w:rStyle w:val="Strong"/>
          <w:rFonts w:eastAsiaTheme="majorEastAsia"/>
        </w:rPr>
        <w:t>SDG 9: Industry, Innovation, and Infrastructure</w:t>
      </w:r>
      <w:r w:rsidRPr="00766BEC">
        <w:t xml:space="preserve"> – Build resilient infrastructure, promote sustainable industrialization, and foster innovation through smart city projects and green technology research.</w:t>
      </w:r>
    </w:p>
    <w:p w14:paraId="565916CC" w14:textId="77777777" w:rsidR="00165601" w:rsidRPr="00766BEC" w:rsidRDefault="00165601" w:rsidP="00BF7A59">
      <w:pPr>
        <w:pStyle w:val="NormalWeb"/>
        <w:numPr>
          <w:ilvl w:val="0"/>
          <w:numId w:val="9"/>
        </w:numPr>
        <w:spacing w:line="276" w:lineRule="auto"/>
        <w:jc w:val="both"/>
      </w:pPr>
      <w:r w:rsidRPr="00766BEC">
        <w:rPr>
          <w:rStyle w:val="Strong"/>
          <w:rFonts w:eastAsiaTheme="majorEastAsia"/>
        </w:rPr>
        <w:t>SDG 10: Reduced Inequalities</w:t>
      </w:r>
      <w:r w:rsidRPr="00766BEC">
        <w:t xml:space="preserve"> – Reduce inequality within and among countries through inclusive policies such as reservation systems and progressive taxation.</w:t>
      </w:r>
    </w:p>
    <w:p w14:paraId="32CC666E" w14:textId="77777777" w:rsidR="00165601" w:rsidRPr="00766BEC" w:rsidRDefault="00165601" w:rsidP="00BF7A59">
      <w:pPr>
        <w:pStyle w:val="NormalWeb"/>
        <w:numPr>
          <w:ilvl w:val="0"/>
          <w:numId w:val="9"/>
        </w:numPr>
        <w:spacing w:line="276" w:lineRule="auto"/>
        <w:jc w:val="both"/>
      </w:pPr>
      <w:r w:rsidRPr="00766BEC">
        <w:rPr>
          <w:rStyle w:val="Strong"/>
          <w:rFonts w:eastAsiaTheme="majorEastAsia"/>
        </w:rPr>
        <w:t>SDG 11: Sustainable Cities and Communities</w:t>
      </w:r>
      <w:r w:rsidRPr="00766BEC">
        <w:t xml:space="preserve"> – Make cities inclusive, safe, resilient, and sustainable by adopting metro systems, affordable housing, and eco-friendly urban planning.</w:t>
      </w:r>
    </w:p>
    <w:p w14:paraId="66824707" w14:textId="77777777" w:rsidR="00165601" w:rsidRPr="00766BEC" w:rsidRDefault="00165601" w:rsidP="00BF7A59">
      <w:pPr>
        <w:pStyle w:val="NormalWeb"/>
        <w:numPr>
          <w:ilvl w:val="0"/>
          <w:numId w:val="9"/>
        </w:numPr>
        <w:spacing w:line="276" w:lineRule="auto"/>
        <w:jc w:val="both"/>
      </w:pPr>
      <w:r w:rsidRPr="00766BEC">
        <w:rPr>
          <w:rStyle w:val="Strong"/>
          <w:rFonts w:eastAsiaTheme="majorEastAsia"/>
        </w:rPr>
        <w:lastRenderedPageBreak/>
        <w:t>SDG 12: Responsible Consumption and Production</w:t>
      </w:r>
      <w:r w:rsidRPr="00766BEC">
        <w:t xml:space="preserve"> – Ensure sustainable consumption and production patterns through recycling initiatives and bans on single-use plastics.</w:t>
      </w:r>
    </w:p>
    <w:p w14:paraId="2EEBB2CF" w14:textId="77777777" w:rsidR="00165601" w:rsidRPr="00766BEC" w:rsidRDefault="00165601" w:rsidP="00BF7A59">
      <w:pPr>
        <w:pStyle w:val="NormalWeb"/>
        <w:numPr>
          <w:ilvl w:val="0"/>
          <w:numId w:val="9"/>
        </w:numPr>
        <w:spacing w:line="276" w:lineRule="auto"/>
        <w:jc w:val="both"/>
      </w:pPr>
      <w:r w:rsidRPr="00766BEC">
        <w:rPr>
          <w:rStyle w:val="Strong"/>
          <w:rFonts w:eastAsiaTheme="majorEastAsia"/>
        </w:rPr>
        <w:t>SDG 13: Climate Action</w:t>
      </w:r>
      <w:r w:rsidRPr="00766BEC">
        <w:t xml:space="preserve"> – Take urgent measures to combat climate change and its impacts, guided by international frameworks like the </w:t>
      </w:r>
      <w:r w:rsidRPr="00766BEC">
        <w:rPr>
          <w:rStyle w:val="Emphasis"/>
          <w:rFonts w:eastAsiaTheme="majorEastAsia"/>
        </w:rPr>
        <w:t>Paris Agreement</w:t>
      </w:r>
      <w:r w:rsidRPr="00766BEC">
        <w:t xml:space="preserve"> and renewable energy transitions.</w:t>
      </w:r>
    </w:p>
    <w:p w14:paraId="23376BD1" w14:textId="77777777" w:rsidR="00165601" w:rsidRPr="00766BEC" w:rsidRDefault="00165601" w:rsidP="00BF7A59">
      <w:pPr>
        <w:pStyle w:val="NormalWeb"/>
        <w:numPr>
          <w:ilvl w:val="0"/>
          <w:numId w:val="9"/>
        </w:numPr>
        <w:spacing w:line="276" w:lineRule="auto"/>
        <w:jc w:val="both"/>
      </w:pPr>
      <w:r w:rsidRPr="00766BEC">
        <w:rPr>
          <w:rStyle w:val="Strong"/>
          <w:rFonts w:eastAsiaTheme="majorEastAsia"/>
        </w:rPr>
        <w:t>SDG 14: Life Below Water</w:t>
      </w:r>
      <w:r w:rsidRPr="00766BEC">
        <w:t xml:space="preserve"> – Conserve and sustainably use oceans, seas, and marine resources by restricting harmful practices such as deep-sea trawling and establishing marine protected areas.</w:t>
      </w:r>
    </w:p>
    <w:p w14:paraId="203008BE" w14:textId="77777777" w:rsidR="00165601" w:rsidRPr="00766BEC" w:rsidRDefault="00165601" w:rsidP="00BF7A59">
      <w:pPr>
        <w:pStyle w:val="NormalWeb"/>
        <w:numPr>
          <w:ilvl w:val="0"/>
          <w:numId w:val="9"/>
        </w:numPr>
        <w:spacing w:line="276" w:lineRule="auto"/>
        <w:jc w:val="both"/>
      </w:pPr>
      <w:r w:rsidRPr="00766BEC">
        <w:rPr>
          <w:rStyle w:val="Strong"/>
          <w:rFonts w:eastAsiaTheme="majorEastAsia"/>
        </w:rPr>
        <w:t>SDG 15: Life on Land</w:t>
      </w:r>
      <w:r w:rsidRPr="00766BEC">
        <w:t xml:space="preserve"> – Protect, restore, and promote sustainable use of terrestrial ecosystems through afforestation drives, biodiversity conservation, and wildlife sanctuaries.</w:t>
      </w:r>
    </w:p>
    <w:p w14:paraId="6DCC365D" w14:textId="77777777" w:rsidR="00165601" w:rsidRPr="00766BEC" w:rsidRDefault="00165601" w:rsidP="00BF7A59">
      <w:pPr>
        <w:pStyle w:val="NormalWeb"/>
        <w:numPr>
          <w:ilvl w:val="0"/>
          <w:numId w:val="9"/>
        </w:numPr>
        <w:spacing w:line="276" w:lineRule="auto"/>
        <w:jc w:val="both"/>
      </w:pPr>
      <w:r w:rsidRPr="00766BEC">
        <w:rPr>
          <w:rStyle w:val="Strong"/>
          <w:rFonts w:eastAsiaTheme="majorEastAsia"/>
        </w:rPr>
        <w:t>SDG 16: Peace, Justice, and Strong Institutions</w:t>
      </w:r>
      <w:r w:rsidRPr="00766BEC">
        <w:t xml:space="preserve"> – Promote peaceful and inclusive societies, ensure access to justice, and build effective institutions through anti-corruption measures and e-governance.</w:t>
      </w:r>
    </w:p>
    <w:p w14:paraId="26375B83" w14:textId="1A05BE03" w:rsidR="006E1DA2" w:rsidRPr="00766BEC" w:rsidRDefault="00165601" w:rsidP="00BF7A59">
      <w:pPr>
        <w:pStyle w:val="NormalWeb"/>
        <w:numPr>
          <w:ilvl w:val="0"/>
          <w:numId w:val="9"/>
        </w:numPr>
        <w:spacing w:line="276" w:lineRule="auto"/>
        <w:jc w:val="both"/>
      </w:pPr>
      <w:r w:rsidRPr="00766BEC">
        <w:rPr>
          <w:rStyle w:val="Strong"/>
          <w:rFonts w:eastAsiaTheme="majorEastAsia"/>
        </w:rPr>
        <w:t>SDG 17: Partnerships for the Goals</w:t>
      </w:r>
      <w:r w:rsidRPr="00766BEC">
        <w:t xml:space="preserve"> – Strengthen global partnerships for sustainable development through collaborations among governments, the UN, NGOs, and international funding agencies.</w:t>
      </w:r>
    </w:p>
    <w:p w14:paraId="50C4E509" w14:textId="71CA4ABA" w:rsidR="0027786F" w:rsidRPr="00766BEC" w:rsidRDefault="00D93220" w:rsidP="007D24FB">
      <w:pPr>
        <w:pStyle w:val="ListParagraph"/>
        <w:numPr>
          <w:ilvl w:val="0"/>
          <w:numId w:val="3"/>
        </w:numPr>
        <w:shd w:val="clear" w:color="auto" w:fill="FFFFFF"/>
        <w:spacing w:before="240" w:after="240" w:line="276" w:lineRule="auto"/>
        <w:jc w:val="both"/>
        <w:rPr>
          <w:rStyle w:val="Strong"/>
          <w:rFonts w:ascii="Times New Roman" w:hAnsi="Times New Roman" w:cs="Times New Roman"/>
          <w:color w:val="1D2129"/>
          <w:shd w:val="clear" w:color="auto" w:fill="FFFFFF"/>
        </w:rPr>
      </w:pPr>
      <w:r w:rsidRPr="00766BEC">
        <w:rPr>
          <w:rStyle w:val="Strong"/>
          <w:rFonts w:ascii="Times New Roman" w:hAnsi="Times New Roman" w:cs="Times New Roman"/>
          <w:color w:val="1D2129"/>
          <w:shd w:val="clear" w:color="auto" w:fill="FFFFFF"/>
        </w:rPr>
        <w:t>Preliminaries</w:t>
      </w:r>
    </w:p>
    <w:p w14:paraId="7EBA75BA" w14:textId="66ADD265" w:rsidR="0027786F" w:rsidRPr="00766BEC" w:rsidRDefault="005B08B6" w:rsidP="00BF7A59">
      <w:pPr>
        <w:shd w:val="clear" w:color="auto" w:fill="FFFFFF"/>
        <w:spacing w:before="240" w:after="240" w:line="276" w:lineRule="auto"/>
        <w:ind w:hanging="218"/>
        <w:jc w:val="both"/>
        <w:rPr>
          <w:rFonts w:ascii="Times New Roman" w:hAnsi="Times New Roman" w:cs="Times New Roman"/>
          <w:lang w:eastAsia="en-IN"/>
        </w:rPr>
      </w:pPr>
      <w:r w:rsidRPr="00766BEC">
        <w:rPr>
          <w:rStyle w:val="Strong"/>
          <w:rFonts w:ascii="Times New Roman" w:eastAsia="Times New Roman" w:hAnsi="Times New Roman" w:cs="Times New Roman"/>
          <w:b w:val="0"/>
          <w:bCs w:val="0"/>
          <w:color w:val="1D2129"/>
          <w:kern w:val="0"/>
          <w:lang w:eastAsia="en-IN"/>
          <w14:ligatures w14:val="none"/>
        </w:rPr>
        <w:t xml:space="preserve">    </w:t>
      </w:r>
      <w:r w:rsidR="006E1DA2" w:rsidRPr="00766BEC">
        <w:rPr>
          <w:rStyle w:val="Strong"/>
          <w:rFonts w:ascii="Times New Roman" w:eastAsia="Times New Roman" w:hAnsi="Times New Roman" w:cs="Times New Roman"/>
          <w:b w:val="0"/>
          <w:bCs w:val="0"/>
          <w:color w:val="1D2129"/>
          <w:kern w:val="0"/>
          <w:lang w:eastAsia="en-IN"/>
          <w14:ligatures w14:val="none"/>
        </w:rPr>
        <w:t xml:space="preserve">Let X be a nonempty set, ℘(X) denotes the power set of X. </w:t>
      </w:r>
      <w:r w:rsidRPr="00766BEC">
        <w:rPr>
          <w:rStyle w:val="Strong"/>
          <w:rFonts w:ascii="Times New Roman" w:eastAsia="Times New Roman" w:hAnsi="Times New Roman" w:cs="Times New Roman"/>
          <w:b w:val="0"/>
          <w:bCs w:val="0"/>
          <w:color w:val="1D2129"/>
          <w:kern w:val="0"/>
          <w:lang w:eastAsia="en-IN"/>
          <w14:ligatures w14:val="none"/>
        </w:rPr>
        <w:t xml:space="preserve">A non-empty subfamily λ of ℘(X) </w:t>
      </w:r>
      <w:r w:rsidR="006E1DA2" w:rsidRPr="00766BEC">
        <w:rPr>
          <w:rStyle w:val="Strong"/>
          <w:rFonts w:ascii="Times New Roman" w:eastAsia="Times New Roman" w:hAnsi="Times New Roman" w:cs="Times New Roman"/>
          <w:b w:val="0"/>
          <w:bCs w:val="0"/>
          <w:color w:val="1D2129"/>
          <w:kern w:val="0"/>
          <w:lang w:eastAsia="en-IN"/>
          <w14:ligatures w14:val="none"/>
        </w:rPr>
        <w:t xml:space="preserve">is called a generalized topology on X if </w:t>
      </w:r>
      <w:r w:rsidR="006E1DA2" w:rsidRPr="00766BEC">
        <w:rPr>
          <w:rStyle w:val="Strong"/>
          <w:rFonts w:ascii="Cambria Math" w:eastAsia="Times New Roman" w:hAnsi="Cambria Math" w:cs="Cambria Math"/>
          <w:b w:val="0"/>
          <w:bCs w:val="0"/>
          <w:color w:val="1D2129"/>
          <w:kern w:val="0"/>
          <w:lang w:eastAsia="en-IN"/>
          <w14:ligatures w14:val="none"/>
        </w:rPr>
        <w:t>∅</w:t>
      </w:r>
      <w:r w:rsidR="006E1DA2" w:rsidRPr="00766BEC">
        <w:rPr>
          <w:rStyle w:val="Strong"/>
          <w:rFonts w:ascii="Times New Roman" w:eastAsia="Times New Roman" w:hAnsi="Times New Roman" w:cs="Times New Roman"/>
          <w:b w:val="0"/>
          <w:bCs w:val="0"/>
          <w:color w:val="1D2129"/>
          <w:kern w:val="0"/>
          <w:lang w:eastAsia="en-IN"/>
          <w14:ligatures w14:val="none"/>
        </w:rPr>
        <w:t xml:space="preserve"> </w:t>
      </w:r>
      <w:r w:rsidR="006E1DA2" w:rsidRPr="00766BEC">
        <w:rPr>
          <w:rStyle w:val="Strong"/>
          <w:rFonts w:ascii="Cambria Math" w:eastAsia="Times New Roman" w:hAnsi="Cambria Math" w:cs="Cambria Math"/>
          <w:b w:val="0"/>
          <w:bCs w:val="0"/>
          <w:color w:val="1D2129"/>
          <w:kern w:val="0"/>
          <w:lang w:eastAsia="en-IN"/>
          <w14:ligatures w14:val="none"/>
        </w:rPr>
        <w:t>∈</w:t>
      </w:r>
      <w:r w:rsidR="006E1DA2" w:rsidRPr="00766BEC">
        <w:rPr>
          <w:rStyle w:val="Strong"/>
          <w:rFonts w:ascii="Times New Roman" w:eastAsia="Times New Roman" w:hAnsi="Times New Roman" w:cs="Times New Roman"/>
          <w:b w:val="0"/>
          <w:bCs w:val="0"/>
          <w:color w:val="1D2129"/>
          <w:kern w:val="0"/>
          <w:lang w:eastAsia="en-IN"/>
          <w14:ligatures w14:val="none"/>
        </w:rPr>
        <w:t xml:space="preserve"> λ and λ is closed under arbitrary union</w:t>
      </w:r>
      <w:r w:rsidR="0027786F" w:rsidRPr="00766BEC">
        <w:rPr>
          <w:rStyle w:val="Strong"/>
          <w:rFonts w:ascii="Times New Roman" w:eastAsia="Times New Roman" w:hAnsi="Times New Roman" w:cs="Times New Roman"/>
          <w:b w:val="0"/>
          <w:bCs w:val="0"/>
          <w:color w:val="1D2129"/>
          <w:kern w:val="0"/>
          <w:lang w:eastAsia="en-IN"/>
          <w14:ligatures w14:val="none"/>
        </w:rPr>
        <w:t xml:space="preserve">. </w:t>
      </w:r>
      <w:r w:rsidR="006E1DA2" w:rsidRPr="00766BEC">
        <w:rPr>
          <w:rStyle w:val="Strong"/>
          <w:rFonts w:ascii="Times New Roman" w:eastAsia="Times New Roman" w:hAnsi="Times New Roman" w:cs="Times New Roman"/>
          <w:b w:val="0"/>
          <w:bCs w:val="0"/>
          <w:color w:val="1D2129"/>
          <w:kern w:val="0"/>
          <w:lang w:eastAsia="en-IN"/>
          <w14:ligatures w14:val="none"/>
        </w:rPr>
        <w:t>The pair (X,</w:t>
      </w:r>
      <w:r w:rsidR="00156850" w:rsidRPr="00766BEC">
        <w:rPr>
          <w:rStyle w:val="Strong"/>
          <w:rFonts w:ascii="Times New Roman" w:eastAsia="Times New Roman" w:hAnsi="Times New Roman" w:cs="Times New Roman"/>
          <w:b w:val="0"/>
          <w:bCs w:val="0"/>
          <w:color w:val="1D2129"/>
          <w:kern w:val="0"/>
          <w:lang w:eastAsia="en-IN"/>
          <w14:ligatures w14:val="none"/>
        </w:rPr>
        <w:t xml:space="preserve"> </w:t>
      </w:r>
      <w:r w:rsidR="006E1DA2" w:rsidRPr="00766BEC">
        <w:rPr>
          <w:rStyle w:val="Strong"/>
          <w:rFonts w:ascii="Times New Roman" w:eastAsia="Times New Roman" w:hAnsi="Times New Roman" w:cs="Times New Roman"/>
          <w:b w:val="0"/>
          <w:bCs w:val="0"/>
          <w:color w:val="1D2129"/>
          <w:kern w:val="0"/>
          <w:lang w:eastAsia="en-IN"/>
          <w14:ligatures w14:val="none"/>
        </w:rPr>
        <w:t>λ) is called generalized topological space (GTS)</w:t>
      </w:r>
      <w:r w:rsidR="0027786F" w:rsidRPr="00766BEC">
        <w:rPr>
          <w:rStyle w:val="Strong"/>
          <w:rFonts w:ascii="Times New Roman" w:eastAsia="Times New Roman" w:hAnsi="Times New Roman" w:cs="Times New Roman"/>
          <w:b w:val="0"/>
          <w:bCs w:val="0"/>
          <w:color w:val="1D2129"/>
          <w:kern w:val="0"/>
          <w:lang w:eastAsia="en-IN"/>
          <w14:ligatures w14:val="none"/>
        </w:rPr>
        <w:t xml:space="preserve"> [1]</w:t>
      </w:r>
      <w:r w:rsidR="006E1DA2" w:rsidRPr="00766BEC">
        <w:rPr>
          <w:rStyle w:val="Strong"/>
          <w:rFonts w:ascii="Times New Roman" w:eastAsia="Times New Roman" w:hAnsi="Times New Roman" w:cs="Times New Roman"/>
          <w:b w:val="0"/>
          <w:bCs w:val="0"/>
          <w:color w:val="1D2129"/>
          <w:kern w:val="0"/>
          <w:lang w:eastAsia="en-IN"/>
          <w14:ligatures w14:val="none"/>
        </w:rPr>
        <w:t>. A GTS (X,</w:t>
      </w:r>
      <w:r w:rsidR="00156850" w:rsidRPr="00766BEC">
        <w:rPr>
          <w:rStyle w:val="Strong"/>
          <w:rFonts w:ascii="Times New Roman" w:eastAsia="Times New Roman" w:hAnsi="Times New Roman" w:cs="Times New Roman"/>
          <w:b w:val="0"/>
          <w:bCs w:val="0"/>
          <w:color w:val="1D2129"/>
          <w:kern w:val="0"/>
          <w:lang w:eastAsia="en-IN"/>
          <w14:ligatures w14:val="none"/>
        </w:rPr>
        <w:t xml:space="preserve"> </w:t>
      </w:r>
      <w:r w:rsidR="006E1DA2" w:rsidRPr="00766BEC">
        <w:rPr>
          <w:rStyle w:val="Strong"/>
          <w:rFonts w:ascii="Times New Roman" w:eastAsia="Times New Roman" w:hAnsi="Times New Roman" w:cs="Times New Roman"/>
          <w:b w:val="0"/>
          <w:bCs w:val="0"/>
          <w:color w:val="1D2129"/>
          <w:kern w:val="0"/>
          <w:lang w:eastAsia="en-IN"/>
          <w14:ligatures w14:val="none"/>
        </w:rPr>
        <w:t>λ) is said</w:t>
      </w:r>
      <w:r w:rsidR="00156850" w:rsidRPr="00766BEC">
        <w:rPr>
          <w:rStyle w:val="Strong"/>
          <w:rFonts w:ascii="Times New Roman" w:eastAsia="Times New Roman" w:hAnsi="Times New Roman" w:cs="Times New Roman"/>
          <w:b w:val="0"/>
          <w:bCs w:val="0"/>
          <w:color w:val="1D2129"/>
          <w:kern w:val="0"/>
          <w:lang w:eastAsia="en-IN"/>
          <w14:ligatures w14:val="none"/>
        </w:rPr>
        <w:t xml:space="preserve"> </w:t>
      </w:r>
      <w:r w:rsidR="006E1DA2" w:rsidRPr="00766BEC">
        <w:rPr>
          <w:rStyle w:val="Strong"/>
          <w:rFonts w:ascii="Times New Roman" w:eastAsia="Times New Roman" w:hAnsi="Times New Roman" w:cs="Times New Roman"/>
          <w:b w:val="0"/>
          <w:bCs w:val="0"/>
          <w:color w:val="1D2129"/>
          <w:kern w:val="0"/>
          <w:lang w:eastAsia="en-IN"/>
          <w14:ligatures w14:val="none"/>
        </w:rPr>
        <w:t xml:space="preserve">to be strong if X </w:t>
      </w:r>
      <w:r w:rsidR="006E1DA2" w:rsidRPr="00766BEC">
        <w:rPr>
          <w:rStyle w:val="Strong"/>
          <w:rFonts w:ascii="Cambria Math" w:eastAsia="Times New Roman" w:hAnsi="Cambria Math" w:cs="Cambria Math"/>
          <w:b w:val="0"/>
          <w:bCs w:val="0"/>
          <w:color w:val="1D2129"/>
          <w:kern w:val="0"/>
          <w:lang w:eastAsia="en-IN"/>
          <w14:ligatures w14:val="none"/>
        </w:rPr>
        <w:t>∈</w:t>
      </w:r>
      <w:r w:rsidR="006E1DA2" w:rsidRPr="00766BEC">
        <w:rPr>
          <w:rStyle w:val="Strong"/>
          <w:rFonts w:ascii="Times New Roman" w:eastAsia="Times New Roman" w:hAnsi="Times New Roman" w:cs="Times New Roman"/>
          <w:b w:val="0"/>
          <w:bCs w:val="0"/>
          <w:color w:val="1D2129"/>
          <w:kern w:val="0"/>
          <w:lang w:eastAsia="en-IN"/>
          <w14:ligatures w14:val="none"/>
        </w:rPr>
        <w:t xml:space="preserve"> λ</w:t>
      </w:r>
      <w:r w:rsidR="00695FD5" w:rsidRPr="00766BEC">
        <w:rPr>
          <w:rStyle w:val="Strong"/>
          <w:rFonts w:ascii="Times New Roman" w:eastAsia="Times New Roman" w:hAnsi="Times New Roman" w:cs="Times New Roman"/>
          <w:b w:val="0"/>
          <w:bCs w:val="0"/>
          <w:color w:val="1D2129"/>
          <w:kern w:val="0"/>
          <w:lang w:eastAsia="en-IN"/>
          <w14:ligatures w14:val="none"/>
        </w:rPr>
        <w:t>.</w:t>
      </w:r>
      <w:r w:rsidR="00156850" w:rsidRPr="00766BEC">
        <w:rPr>
          <w:rStyle w:val="Strong"/>
          <w:rFonts w:ascii="Times New Roman" w:eastAsia="Times New Roman" w:hAnsi="Times New Roman" w:cs="Times New Roman"/>
          <w:b w:val="0"/>
          <w:bCs w:val="0"/>
          <w:color w:val="1D2129"/>
          <w:kern w:val="0"/>
          <w:lang w:eastAsia="en-IN"/>
          <w14:ligatures w14:val="none"/>
        </w:rPr>
        <w:t xml:space="preserve"> </w:t>
      </w:r>
      <w:r w:rsidR="006E1DA2" w:rsidRPr="00766BEC">
        <w:rPr>
          <w:rStyle w:val="Strong"/>
          <w:rFonts w:ascii="Times New Roman" w:eastAsia="Times New Roman" w:hAnsi="Times New Roman" w:cs="Times New Roman"/>
          <w:b w:val="0"/>
          <w:bCs w:val="0"/>
          <w:color w:val="1D2129"/>
          <w:kern w:val="0"/>
          <w:lang w:eastAsia="en-IN"/>
          <w14:ligatures w14:val="none"/>
        </w:rPr>
        <w:t>Members of λ are called λ−open sets and the complement of a λ−open set is</w:t>
      </w:r>
      <w:r w:rsidR="00156850" w:rsidRPr="00766BEC">
        <w:rPr>
          <w:rStyle w:val="Strong"/>
          <w:rFonts w:ascii="Times New Roman" w:eastAsia="Times New Roman" w:hAnsi="Times New Roman" w:cs="Times New Roman"/>
          <w:b w:val="0"/>
          <w:bCs w:val="0"/>
          <w:color w:val="1D2129"/>
          <w:kern w:val="0"/>
          <w:lang w:eastAsia="en-IN"/>
          <w14:ligatures w14:val="none"/>
        </w:rPr>
        <w:t xml:space="preserve"> </w:t>
      </w:r>
      <w:r w:rsidR="006E1DA2" w:rsidRPr="00766BEC">
        <w:rPr>
          <w:rStyle w:val="Strong"/>
          <w:rFonts w:ascii="Times New Roman" w:eastAsia="Times New Roman" w:hAnsi="Times New Roman" w:cs="Times New Roman"/>
          <w:b w:val="0"/>
          <w:bCs w:val="0"/>
          <w:color w:val="1D2129"/>
          <w:kern w:val="0"/>
          <w:lang w:eastAsia="en-IN"/>
          <w14:ligatures w14:val="none"/>
        </w:rPr>
        <w:t>called a λ −closed set</w:t>
      </w:r>
      <w:r w:rsidR="00695FD5" w:rsidRPr="00766BEC">
        <w:rPr>
          <w:rStyle w:val="Strong"/>
          <w:rFonts w:ascii="Times New Roman" w:eastAsia="Times New Roman" w:hAnsi="Times New Roman" w:cs="Times New Roman"/>
          <w:b w:val="0"/>
          <w:bCs w:val="0"/>
          <w:color w:val="1D2129"/>
          <w:kern w:val="0"/>
          <w:lang w:eastAsia="en-IN"/>
          <w14:ligatures w14:val="none"/>
        </w:rPr>
        <w:t>.</w:t>
      </w:r>
      <w:r w:rsidR="0027786F" w:rsidRPr="00766BEC">
        <w:rPr>
          <w:rStyle w:val="Strong"/>
          <w:rFonts w:ascii="Times New Roman" w:eastAsia="Times New Roman" w:hAnsi="Times New Roman" w:cs="Times New Roman"/>
          <w:b w:val="0"/>
          <w:bCs w:val="0"/>
          <w:color w:val="1D2129"/>
          <w:kern w:val="0"/>
          <w:lang w:eastAsia="en-IN"/>
          <w14:ligatures w14:val="none"/>
        </w:rPr>
        <w:t xml:space="preserve"> </w:t>
      </w:r>
      <w:r w:rsidR="00156850" w:rsidRPr="00766BEC">
        <w:rPr>
          <w:rFonts w:ascii="Times New Roman" w:hAnsi="Times New Roman" w:cs="Times New Roman"/>
          <w:lang w:eastAsia="en-IN"/>
        </w:rPr>
        <w:t xml:space="preserve">The largest λ −open set contained in a subset E of X is denoted by </w:t>
      </w:r>
      <w:proofErr w:type="spellStart"/>
      <w:r w:rsidR="00156850" w:rsidRPr="00766BEC">
        <w:rPr>
          <w:rFonts w:ascii="Times New Roman" w:hAnsi="Times New Roman" w:cs="Times New Roman"/>
          <w:lang w:eastAsia="en-IN"/>
        </w:rPr>
        <w:t>intλ</w:t>
      </w:r>
      <w:proofErr w:type="spellEnd"/>
      <w:r w:rsidR="00156850" w:rsidRPr="00766BEC">
        <w:rPr>
          <w:rFonts w:ascii="Times New Roman" w:hAnsi="Times New Roman" w:cs="Times New Roman"/>
          <w:lang w:eastAsia="en-IN"/>
        </w:rPr>
        <w:t>(E)</w:t>
      </w:r>
      <w:r w:rsidR="00695FD5" w:rsidRPr="00766BEC">
        <w:rPr>
          <w:rFonts w:ascii="Times New Roman" w:hAnsi="Times New Roman" w:cs="Times New Roman"/>
          <w:lang w:eastAsia="en-IN"/>
        </w:rPr>
        <w:t xml:space="preserve"> </w:t>
      </w:r>
      <w:r w:rsidR="00156850" w:rsidRPr="00766BEC">
        <w:rPr>
          <w:rFonts w:ascii="Times New Roman" w:hAnsi="Times New Roman" w:cs="Times New Roman"/>
          <w:lang w:eastAsia="en-IN"/>
        </w:rPr>
        <w:t>and i</w:t>
      </w:r>
      <w:r w:rsidR="00695FD5" w:rsidRPr="00766BEC">
        <w:rPr>
          <w:rFonts w:ascii="Times New Roman" w:hAnsi="Times New Roman" w:cs="Times New Roman"/>
          <w:lang w:eastAsia="en-IN"/>
        </w:rPr>
        <w:t>s called the λ −interior of E. In other words, it is t</w:t>
      </w:r>
      <w:r w:rsidR="00156850" w:rsidRPr="00766BEC">
        <w:rPr>
          <w:rFonts w:ascii="Times New Roman" w:hAnsi="Times New Roman" w:cs="Times New Roman"/>
          <w:lang w:eastAsia="en-IN"/>
        </w:rPr>
        <w:t xml:space="preserve">he union of </w:t>
      </w:r>
      <w:r w:rsidR="00695FD5" w:rsidRPr="00766BEC">
        <w:rPr>
          <w:rFonts w:ascii="Times New Roman" w:hAnsi="Times New Roman" w:cs="Times New Roman"/>
          <w:lang w:eastAsia="en-IN"/>
        </w:rPr>
        <w:t>all λ −open sets contained in E</w:t>
      </w:r>
      <w:r w:rsidR="00156850" w:rsidRPr="00766BEC">
        <w:rPr>
          <w:rFonts w:ascii="Times New Roman" w:hAnsi="Times New Roman" w:cs="Times New Roman"/>
          <w:lang w:eastAsia="en-IN"/>
        </w:rPr>
        <w:t>.</w:t>
      </w:r>
      <w:r w:rsidR="0027786F" w:rsidRPr="00766BEC">
        <w:rPr>
          <w:rFonts w:ascii="Times New Roman" w:hAnsi="Times New Roman" w:cs="Times New Roman"/>
          <w:lang w:eastAsia="en-IN"/>
        </w:rPr>
        <w:t xml:space="preserve"> </w:t>
      </w:r>
      <w:r w:rsidR="00156850" w:rsidRPr="00766BEC">
        <w:rPr>
          <w:rFonts w:ascii="Times New Roman" w:hAnsi="Times New Roman" w:cs="Times New Roman"/>
          <w:lang w:eastAsia="en-IN"/>
        </w:rPr>
        <w:t xml:space="preserve">The smallest λ −closed set containing E is called the λ −closure of E and is denoted by </w:t>
      </w:r>
      <w:proofErr w:type="spellStart"/>
      <w:r w:rsidR="00156850" w:rsidRPr="00766BEC">
        <w:rPr>
          <w:rFonts w:ascii="Times New Roman" w:hAnsi="Times New Roman" w:cs="Times New Roman"/>
          <w:lang w:eastAsia="en-IN"/>
        </w:rPr>
        <w:t>clλ</w:t>
      </w:r>
      <w:proofErr w:type="spellEnd"/>
      <w:r w:rsidR="00156850" w:rsidRPr="00766BEC">
        <w:rPr>
          <w:rFonts w:ascii="Times New Roman" w:hAnsi="Times New Roman" w:cs="Times New Roman"/>
          <w:lang w:eastAsia="en-IN"/>
        </w:rPr>
        <w:t>(E). (The intersection of all λ −closed sets contained in E).</w:t>
      </w:r>
      <w:r w:rsidR="0027786F" w:rsidRPr="00766BEC">
        <w:rPr>
          <w:rFonts w:ascii="Times New Roman" w:hAnsi="Times New Roman" w:cs="Times New Roman"/>
          <w:lang w:eastAsia="en-IN"/>
        </w:rPr>
        <w:t xml:space="preserve"> </w:t>
      </w:r>
      <w:r w:rsidR="00156850" w:rsidRPr="00766BEC">
        <w:rPr>
          <w:rFonts w:ascii="Times New Roman" w:hAnsi="Times New Roman" w:cs="Times New Roman"/>
          <w:lang w:eastAsia="en-IN"/>
        </w:rPr>
        <w:t xml:space="preserve">A subset E </w:t>
      </w:r>
      <w:r w:rsidR="00156850" w:rsidRPr="00766BEC">
        <w:rPr>
          <w:rFonts w:ascii="Cambria Math" w:hAnsi="Cambria Math" w:cs="Cambria Math"/>
          <w:lang w:eastAsia="en-IN"/>
        </w:rPr>
        <w:t>⊂</w:t>
      </w:r>
      <w:r w:rsidR="00156850" w:rsidRPr="00766BEC">
        <w:rPr>
          <w:rFonts w:ascii="Times New Roman" w:hAnsi="Times New Roman" w:cs="Times New Roman"/>
          <w:lang w:eastAsia="en-IN"/>
        </w:rPr>
        <w:t xml:space="preserve"> X is said to be λ−</w:t>
      </w:r>
      <w:proofErr w:type="gramStart"/>
      <w:r w:rsidR="00156850" w:rsidRPr="00766BEC">
        <w:rPr>
          <w:rFonts w:ascii="Times New Roman" w:hAnsi="Times New Roman" w:cs="Times New Roman"/>
          <w:lang w:eastAsia="en-IN"/>
        </w:rPr>
        <w:t>dense</w:t>
      </w:r>
      <w:r w:rsidR="002D0318" w:rsidRPr="00766BEC">
        <w:rPr>
          <w:rFonts w:ascii="Times New Roman" w:hAnsi="Times New Roman" w:cs="Times New Roman"/>
          <w:lang w:eastAsia="en-IN"/>
        </w:rPr>
        <w:t>[</w:t>
      </w:r>
      <w:proofErr w:type="gramEnd"/>
      <w:r w:rsidR="002D0318" w:rsidRPr="00766BEC">
        <w:rPr>
          <w:rFonts w:ascii="Times New Roman" w:hAnsi="Times New Roman" w:cs="Times New Roman"/>
          <w:lang w:eastAsia="en-IN"/>
        </w:rPr>
        <w:t>2]</w:t>
      </w:r>
      <w:r w:rsidR="00156850" w:rsidRPr="00766BEC">
        <w:rPr>
          <w:rFonts w:ascii="Times New Roman" w:hAnsi="Times New Roman" w:cs="Times New Roman"/>
          <w:lang w:eastAsia="en-IN"/>
        </w:rPr>
        <w:t xml:space="preserve"> if </w:t>
      </w:r>
      <w:proofErr w:type="spellStart"/>
      <w:r w:rsidR="00156850" w:rsidRPr="00766BEC">
        <w:rPr>
          <w:rFonts w:ascii="Times New Roman" w:hAnsi="Times New Roman" w:cs="Times New Roman"/>
          <w:lang w:eastAsia="en-IN"/>
        </w:rPr>
        <w:t>clλ</w:t>
      </w:r>
      <w:proofErr w:type="spellEnd"/>
      <w:r w:rsidR="00156850" w:rsidRPr="00766BEC">
        <w:rPr>
          <w:rFonts w:ascii="Times New Roman" w:hAnsi="Times New Roman" w:cs="Times New Roman"/>
          <w:lang w:eastAsia="en-IN"/>
        </w:rPr>
        <w:t xml:space="preserve">  (E) =X.</w:t>
      </w:r>
    </w:p>
    <w:p w14:paraId="056D88E5" w14:textId="77777777" w:rsidR="007D24FB" w:rsidRPr="00766BEC" w:rsidRDefault="005B08B6" w:rsidP="00BF7A59">
      <w:pPr>
        <w:pStyle w:val="NoSpacing"/>
        <w:spacing w:line="276" w:lineRule="auto"/>
        <w:rPr>
          <w:rFonts w:ascii="Times New Roman" w:hAnsi="Times New Roman" w:cs="Times New Roman"/>
        </w:rPr>
      </w:pPr>
      <w:r w:rsidRPr="00766BEC">
        <w:rPr>
          <w:rFonts w:ascii="Times New Roman" w:hAnsi="Times New Roman" w:cs="Times New Roman"/>
          <w:lang w:val="en-US"/>
        </w:rPr>
        <w:t xml:space="preserve"> </w:t>
      </w:r>
      <w:r w:rsidR="001A4689" w:rsidRPr="00766BEC">
        <w:rPr>
          <w:rFonts w:ascii="Times New Roman" w:hAnsi="Times New Roman" w:cs="Times New Roman"/>
          <w:lang w:val="en-US"/>
        </w:rPr>
        <w:t>A generalized topology λ is said to be a quasi-topology</w:t>
      </w:r>
      <w:r w:rsidR="00B262D6" w:rsidRPr="00766BEC">
        <w:rPr>
          <w:rFonts w:ascii="Times New Roman" w:hAnsi="Times New Roman" w:cs="Times New Roman"/>
          <w:lang w:val="en-US"/>
        </w:rPr>
        <w:t xml:space="preserve"> [3]</w:t>
      </w:r>
      <w:r w:rsidR="001A4689" w:rsidRPr="00766BEC">
        <w:rPr>
          <w:rFonts w:ascii="Times New Roman" w:hAnsi="Times New Roman" w:cs="Times New Roman"/>
          <w:lang w:val="en-US"/>
        </w:rPr>
        <w:t xml:space="preserve"> on X if </w:t>
      </w:r>
      <w:r w:rsidR="001A4689" w:rsidRPr="00766BEC">
        <w:rPr>
          <w:rFonts w:ascii="Cambria Math" w:hAnsi="Cambria Math" w:cs="Cambria Math"/>
          <w:lang w:val="en-US"/>
        </w:rPr>
        <w:t>𝑀</w:t>
      </w:r>
      <w:r w:rsidR="001A4689" w:rsidRPr="00766BEC">
        <w:rPr>
          <w:rFonts w:ascii="Times New Roman" w:hAnsi="Times New Roman" w:cs="Times New Roman"/>
          <w:lang w:val="en-US"/>
        </w:rPr>
        <w:t xml:space="preserve">, </w:t>
      </w:r>
      <w:r w:rsidR="00D24BA3" w:rsidRPr="00766BEC">
        <w:rPr>
          <w:rFonts w:ascii="Times New Roman" w:hAnsi="Times New Roman" w:cs="Times New Roman"/>
          <w:lang w:val="en-US"/>
        </w:rPr>
        <w:t>N</w:t>
      </w:r>
      <w:r w:rsidR="001A4689" w:rsidRPr="00766BEC">
        <w:rPr>
          <w:rFonts w:ascii="Cambria Math" w:hAnsi="Cambria Math" w:cs="Cambria Math"/>
          <w:lang w:val="en-US"/>
        </w:rPr>
        <w:t>∈</w:t>
      </w:r>
      <w:r w:rsidR="001A4689" w:rsidRPr="00766BEC">
        <w:rPr>
          <w:rFonts w:ascii="Times New Roman" w:hAnsi="Times New Roman" w:cs="Times New Roman"/>
          <w:lang w:val="en-US"/>
        </w:rPr>
        <w:t xml:space="preserve"> λ implies </w:t>
      </w:r>
      <w:r w:rsidR="001A4689" w:rsidRPr="00766BEC">
        <w:rPr>
          <w:rFonts w:ascii="Cambria Math" w:hAnsi="Cambria Math" w:cs="Cambria Math"/>
          <w:lang w:val="en-US"/>
        </w:rPr>
        <w:t>𝑀</w:t>
      </w:r>
      <w:r w:rsidR="001A4689" w:rsidRPr="00766BEC">
        <w:rPr>
          <w:rFonts w:ascii="Times New Roman" w:hAnsi="Times New Roman" w:cs="Times New Roman"/>
          <w:lang w:val="en-US"/>
        </w:rPr>
        <w:t xml:space="preserve"> ∩</w:t>
      </w:r>
      <w:r w:rsidR="0027786F" w:rsidRPr="00766BEC">
        <w:rPr>
          <w:rFonts w:ascii="Times New Roman" w:hAnsi="Times New Roman" w:cs="Times New Roman"/>
          <w:lang w:val="en-US"/>
        </w:rPr>
        <w:t xml:space="preserve"> </w:t>
      </w:r>
      <w:r w:rsidR="001A4689" w:rsidRPr="00766BEC">
        <w:rPr>
          <w:rFonts w:ascii="Cambria Math" w:hAnsi="Cambria Math" w:cs="Cambria Math"/>
          <w:lang w:val="en-US"/>
        </w:rPr>
        <w:t>𝑁</w:t>
      </w:r>
      <w:r w:rsidR="001A4689" w:rsidRPr="00766BEC">
        <w:rPr>
          <w:rFonts w:ascii="Times New Roman" w:hAnsi="Times New Roman" w:cs="Times New Roman"/>
          <w:lang w:val="en-US"/>
        </w:rPr>
        <w:t xml:space="preserve"> </w:t>
      </w:r>
      <w:r w:rsidR="001A4689" w:rsidRPr="00766BEC">
        <w:rPr>
          <w:rFonts w:ascii="Cambria Math" w:hAnsi="Cambria Math" w:cs="Cambria Math"/>
          <w:lang w:val="en-US"/>
        </w:rPr>
        <w:t>∈</w:t>
      </w:r>
      <w:r w:rsidR="00B262D6" w:rsidRPr="00766BEC">
        <w:rPr>
          <w:rFonts w:ascii="Times New Roman" w:hAnsi="Times New Roman" w:cs="Times New Roman"/>
          <w:lang w:val="en-US"/>
        </w:rPr>
        <w:t>λ</w:t>
      </w:r>
      <w:r w:rsidR="001A4689" w:rsidRPr="00766BEC">
        <w:rPr>
          <w:rFonts w:ascii="Times New Roman" w:hAnsi="Times New Roman" w:cs="Times New Roman"/>
          <w:lang w:val="en-US"/>
        </w:rPr>
        <w:t>.</w:t>
      </w:r>
      <w:r w:rsidR="0027786F" w:rsidRPr="00766BEC">
        <w:rPr>
          <w:rFonts w:ascii="Times New Roman" w:hAnsi="Times New Roman" w:cs="Times New Roman"/>
          <w:lang w:val="en-US"/>
        </w:rPr>
        <w:t xml:space="preserve"> </w:t>
      </w:r>
      <w:r w:rsidR="001A4689" w:rsidRPr="00766BEC">
        <w:rPr>
          <w:rFonts w:ascii="Times New Roman" w:hAnsi="Times New Roman" w:cs="Times New Roman"/>
          <w:lang w:val="en-US"/>
        </w:rPr>
        <w:t>A hereditary class ℋ</w:t>
      </w:r>
      <w:r w:rsidR="00B262D6" w:rsidRPr="00766BEC">
        <w:rPr>
          <w:rFonts w:ascii="Times New Roman" w:hAnsi="Times New Roman" w:cs="Times New Roman"/>
          <w:lang w:val="en-US"/>
        </w:rPr>
        <w:t xml:space="preserve"> [4]</w:t>
      </w:r>
      <w:r w:rsidR="001A4689" w:rsidRPr="00766BEC">
        <w:rPr>
          <w:rFonts w:ascii="Times New Roman" w:hAnsi="Times New Roman" w:cs="Times New Roman"/>
          <w:lang w:val="en-US"/>
        </w:rPr>
        <w:t xml:space="preserve"> is a non-empty collection of subset of X such that </w:t>
      </w:r>
      <w:r w:rsidR="00D24BA3" w:rsidRPr="00766BEC">
        <w:rPr>
          <w:rFonts w:ascii="Times New Roman" w:hAnsi="Times New Roman" w:cs="Times New Roman"/>
          <w:lang w:val="en-US"/>
        </w:rPr>
        <w:t>A</w:t>
      </w:r>
      <w:r w:rsidR="0027786F" w:rsidRPr="00766BEC">
        <w:rPr>
          <w:rFonts w:ascii="Times New Roman" w:hAnsi="Times New Roman" w:cs="Times New Roman"/>
          <w:lang w:val="en-US"/>
        </w:rPr>
        <w:t xml:space="preserve"> </w:t>
      </w:r>
      <w:r w:rsidR="001A4689" w:rsidRPr="00766BEC">
        <w:rPr>
          <w:rFonts w:ascii="Cambria Math" w:hAnsi="Cambria Math" w:cs="Cambria Math"/>
          <w:lang w:val="en-US"/>
        </w:rPr>
        <w:t>⊂</w:t>
      </w:r>
      <w:r w:rsidR="001A4689" w:rsidRPr="00766BEC">
        <w:rPr>
          <w:rFonts w:ascii="Times New Roman" w:hAnsi="Times New Roman" w:cs="Times New Roman"/>
          <w:lang w:val="en-US"/>
        </w:rPr>
        <w:t xml:space="preserve"> </w:t>
      </w:r>
      <w:r w:rsidR="001A4689" w:rsidRPr="00766BEC">
        <w:rPr>
          <w:rFonts w:ascii="Cambria Math" w:hAnsi="Cambria Math" w:cs="Cambria Math"/>
          <w:lang w:val="en-US"/>
        </w:rPr>
        <w:t>𝐵</w:t>
      </w:r>
      <w:r w:rsidR="00B262D6" w:rsidRPr="00766BEC">
        <w:rPr>
          <w:rFonts w:ascii="Times New Roman" w:hAnsi="Times New Roman" w:cs="Times New Roman"/>
          <w:lang w:val="en-US"/>
        </w:rPr>
        <w:t xml:space="preserve"> and</w:t>
      </w:r>
      <w:r w:rsidR="001A4689" w:rsidRPr="00766BEC">
        <w:rPr>
          <w:rFonts w:ascii="Times New Roman" w:hAnsi="Times New Roman" w:cs="Times New Roman"/>
          <w:lang w:val="en-US"/>
        </w:rPr>
        <w:t xml:space="preserve"> B </w:t>
      </w:r>
      <w:r w:rsidR="001A4689" w:rsidRPr="00766BEC">
        <w:rPr>
          <w:rFonts w:ascii="Cambria Math" w:hAnsi="Cambria Math" w:cs="Cambria Math"/>
          <w:lang w:val="en-US"/>
        </w:rPr>
        <w:t>∈</w:t>
      </w:r>
      <w:r w:rsidR="001A4689" w:rsidRPr="00766BEC">
        <w:rPr>
          <w:rFonts w:ascii="Times New Roman" w:hAnsi="Times New Roman" w:cs="Times New Roman"/>
          <w:lang w:val="en-US"/>
        </w:rPr>
        <w:t xml:space="preserve"> ℋ</w:t>
      </w:r>
      <w:r w:rsidR="007F6A96" w:rsidRPr="00766BEC">
        <w:rPr>
          <w:rFonts w:ascii="Times New Roman" w:hAnsi="Times New Roman" w:cs="Times New Roman"/>
          <w:lang w:val="en-US"/>
        </w:rPr>
        <w:t xml:space="preserve"> </w:t>
      </w:r>
      <m:oMath>
        <m:r>
          <w:rPr>
            <w:rFonts w:ascii="Cambria Math" w:hAnsi="Cambria Math" w:cs="Times New Roman"/>
            <w:lang w:val="en-US"/>
          </w:rPr>
          <m:t>⟹</m:t>
        </m:r>
      </m:oMath>
      <w:r w:rsidR="001A4689" w:rsidRPr="00766BEC">
        <w:rPr>
          <w:rFonts w:ascii="Times New Roman" w:hAnsi="Times New Roman" w:cs="Times New Roman"/>
          <w:lang w:val="en-US"/>
        </w:rPr>
        <w:t xml:space="preserve">A </w:t>
      </w:r>
      <w:r w:rsidR="001A4689" w:rsidRPr="00766BEC">
        <w:rPr>
          <w:rFonts w:ascii="Cambria Math" w:hAnsi="Cambria Math" w:cs="Cambria Math"/>
          <w:lang w:val="en-US"/>
        </w:rPr>
        <w:t>∈</w:t>
      </w:r>
      <w:r w:rsidR="001A4689" w:rsidRPr="00766BEC">
        <w:rPr>
          <w:rFonts w:ascii="Times New Roman" w:hAnsi="Times New Roman" w:cs="Times New Roman"/>
          <w:lang w:val="en-US"/>
        </w:rPr>
        <w:t xml:space="preserve"> ℋ.</w:t>
      </w:r>
      <w:r w:rsidR="00B262D6" w:rsidRPr="00766BEC">
        <w:rPr>
          <w:rFonts w:ascii="Times New Roman" w:hAnsi="Times New Roman" w:cs="Times New Roman"/>
          <w:b/>
          <w:bCs/>
          <w:color w:val="1D2129"/>
          <w:shd w:val="clear" w:color="auto" w:fill="FFFFFF"/>
        </w:rPr>
        <w:t xml:space="preserve"> </w:t>
      </w:r>
      <w:r w:rsidR="001A4689" w:rsidRPr="00766BEC">
        <w:rPr>
          <w:rFonts w:ascii="Times New Roman" w:hAnsi="Times New Roman" w:cs="Times New Roman"/>
          <w:lang w:val="en-US"/>
        </w:rPr>
        <w:t xml:space="preserve">Hereditary class ℋ is said to be λ </w:t>
      </w:r>
      <w:r w:rsidR="00B262D6" w:rsidRPr="00766BEC">
        <w:rPr>
          <w:rFonts w:ascii="Times New Roman" w:hAnsi="Times New Roman" w:cs="Times New Roman"/>
          <w:lang w:val="en-US"/>
        </w:rPr>
        <w:t>–</w:t>
      </w:r>
      <w:proofErr w:type="spellStart"/>
      <w:r w:rsidR="001A4689" w:rsidRPr="00766BEC">
        <w:rPr>
          <w:rFonts w:ascii="Times New Roman" w:hAnsi="Times New Roman" w:cs="Times New Roman"/>
          <w:lang w:val="en-US"/>
        </w:rPr>
        <w:t>codense</w:t>
      </w:r>
      <w:proofErr w:type="spellEnd"/>
      <w:r w:rsidR="00B262D6" w:rsidRPr="00766BEC">
        <w:rPr>
          <w:rFonts w:ascii="Times New Roman" w:hAnsi="Times New Roman" w:cs="Times New Roman"/>
          <w:lang w:val="en-US"/>
        </w:rPr>
        <w:t xml:space="preserve"> [4</w:t>
      </w:r>
      <w:proofErr w:type="gramStart"/>
      <w:r w:rsidR="00B262D6" w:rsidRPr="00766BEC">
        <w:rPr>
          <w:rFonts w:ascii="Times New Roman" w:hAnsi="Times New Roman" w:cs="Times New Roman"/>
          <w:lang w:val="en-US"/>
        </w:rPr>
        <w:t xml:space="preserve">] </w:t>
      </w:r>
      <w:r w:rsidR="001A4689" w:rsidRPr="00766BEC">
        <w:rPr>
          <w:rFonts w:ascii="Times New Roman" w:hAnsi="Times New Roman" w:cs="Times New Roman"/>
          <w:lang w:val="en-US"/>
        </w:rPr>
        <w:t xml:space="preserve"> if</w:t>
      </w:r>
      <w:proofErr w:type="gramEnd"/>
      <w:r w:rsidR="001A4689" w:rsidRPr="00766BEC">
        <w:rPr>
          <w:rFonts w:ascii="Times New Roman" w:hAnsi="Times New Roman" w:cs="Times New Roman"/>
          <w:lang w:val="en-US"/>
        </w:rPr>
        <w:t xml:space="preserve"> λ ∩ ℋ = {</w:t>
      </w:r>
      <w:r w:rsidR="001A4689" w:rsidRPr="00766BEC">
        <w:rPr>
          <w:rFonts w:ascii="Cambria Math" w:hAnsi="Cambria Math" w:cs="Cambria Math"/>
          <w:lang w:val="en-US"/>
        </w:rPr>
        <w:t>∅</w:t>
      </w:r>
      <w:r w:rsidR="001A4689" w:rsidRPr="00766BEC">
        <w:rPr>
          <w:rFonts w:ascii="Times New Roman" w:hAnsi="Times New Roman" w:cs="Times New Roman"/>
          <w:lang w:val="en-US"/>
        </w:rPr>
        <w:t>}</w:t>
      </w:r>
      <w:r w:rsidR="002D0318" w:rsidRPr="00766BEC">
        <w:rPr>
          <w:rFonts w:ascii="Times New Roman" w:hAnsi="Times New Roman" w:cs="Times New Roman"/>
          <w:lang w:val="en-US"/>
        </w:rPr>
        <w:t xml:space="preserve"> </w:t>
      </w:r>
      <w:r w:rsidR="002D0318" w:rsidRPr="00766BEC">
        <w:rPr>
          <w:rFonts w:ascii="Times New Roman" w:hAnsi="Times New Roman" w:cs="Times New Roman"/>
        </w:rPr>
        <w:t xml:space="preserve">and is said to be strongly </w:t>
      </w:r>
      <w:r w:rsidR="002D0318" w:rsidRPr="00766BEC">
        <w:rPr>
          <w:rFonts w:ascii="Times New Roman" w:hAnsi="Times New Roman" w:cs="Times New Roman"/>
          <w:lang w:val="en-US"/>
        </w:rPr>
        <w:t>λ</w:t>
      </w:r>
      <w:r w:rsidR="002D0318" w:rsidRPr="00766BEC">
        <w:rPr>
          <w:rFonts w:ascii="Times New Roman" w:hAnsi="Times New Roman" w:cs="Times New Roman"/>
        </w:rPr>
        <w:t xml:space="preserve"> − </w:t>
      </w:r>
      <w:proofErr w:type="spellStart"/>
      <w:r w:rsidR="002D0318" w:rsidRPr="00766BEC">
        <w:rPr>
          <w:rFonts w:ascii="Times New Roman" w:hAnsi="Times New Roman" w:cs="Times New Roman"/>
        </w:rPr>
        <w:t>codense</w:t>
      </w:r>
      <w:proofErr w:type="spellEnd"/>
      <w:r w:rsidR="002D0318" w:rsidRPr="00766BEC">
        <w:rPr>
          <w:rFonts w:ascii="Times New Roman" w:hAnsi="Times New Roman" w:cs="Times New Roman"/>
        </w:rPr>
        <w:t xml:space="preserve"> [4] if M , N </w:t>
      </w:r>
      <w:r w:rsidR="002D0318" w:rsidRPr="00766BEC">
        <w:rPr>
          <w:rFonts w:ascii="Cambria Math" w:hAnsi="Cambria Math" w:cs="Cambria Math"/>
        </w:rPr>
        <w:t>∈</w:t>
      </w:r>
      <w:r w:rsidR="002D0318" w:rsidRPr="00766BEC">
        <w:rPr>
          <w:rFonts w:ascii="Times New Roman" w:hAnsi="Times New Roman" w:cs="Times New Roman"/>
        </w:rPr>
        <w:t xml:space="preserve"> </w:t>
      </w:r>
      <w:r w:rsidR="002D0318" w:rsidRPr="00766BEC">
        <w:rPr>
          <w:rFonts w:ascii="Times New Roman" w:hAnsi="Times New Roman" w:cs="Times New Roman"/>
          <w:lang w:val="en-US"/>
        </w:rPr>
        <w:t>λ</w:t>
      </w:r>
      <w:r w:rsidR="002D0318" w:rsidRPr="00766BEC">
        <w:rPr>
          <w:rFonts w:ascii="Times New Roman" w:hAnsi="Times New Roman" w:cs="Times New Roman"/>
        </w:rPr>
        <w:t xml:space="preserve"> and M ∩ N </w:t>
      </w:r>
      <w:r w:rsidR="002D0318" w:rsidRPr="00766BEC">
        <w:rPr>
          <w:rFonts w:ascii="Cambria Math" w:hAnsi="Cambria Math" w:cs="Cambria Math"/>
        </w:rPr>
        <w:t>∈</w:t>
      </w:r>
      <w:r w:rsidR="002D0318" w:rsidRPr="00766BEC">
        <w:rPr>
          <w:rFonts w:ascii="Times New Roman" w:hAnsi="Times New Roman" w:cs="Times New Roman"/>
        </w:rPr>
        <w:t xml:space="preserve"> </w:t>
      </w:r>
      <w:r w:rsidR="002D0318" w:rsidRPr="00766BEC">
        <w:rPr>
          <w:rFonts w:ascii="Times New Roman" w:hAnsi="Times New Roman" w:cs="Times New Roman"/>
          <w:lang w:val="en-US"/>
        </w:rPr>
        <w:t>ℋ</w:t>
      </w:r>
      <w:r w:rsidR="002D0318" w:rsidRPr="00766BEC">
        <w:rPr>
          <w:rFonts w:ascii="Times New Roman" w:hAnsi="Times New Roman" w:cs="Times New Roman"/>
        </w:rPr>
        <w:t xml:space="preserve">, then M ∩ N = </w:t>
      </w:r>
      <w:r w:rsidR="002D0318" w:rsidRPr="00766BEC">
        <w:rPr>
          <w:rFonts w:ascii="Cambria Math" w:hAnsi="Cambria Math" w:cs="Cambria Math"/>
        </w:rPr>
        <w:t>∅</w:t>
      </w:r>
      <w:r w:rsidR="002D0318" w:rsidRPr="00766BEC">
        <w:rPr>
          <w:rFonts w:ascii="Times New Roman" w:hAnsi="Times New Roman" w:cs="Times New Roman"/>
        </w:rPr>
        <w:t>.</w:t>
      </w:r>
      <w:r w:rsidR="00BF7A59" w:rsidRPr="00766BEC">
        <w:rPr>
          <w:rFonts w:ascii="Times New Roman" w:hAnsi="Times New Roman" w:cs="Times New Roman"/>
        </w:rPr>
        <w:t xml:space="preserve"> </w:t>
      </w:r>
      <w:r w:rsidR="002D0318" w:rsidRPr="00766BEC">
        <w:rPr>
          <w:rFonts w:ascii="Times New Roman" w:hAnsi="Times New Roman" w:cs="Times New Roman"/>
        </w:rPr>
        <w:t xml:space="preserve">Every strongly </w:t>
      </w:r>
      <w:r w:rsidR="002D0318" w:rsidRPr="00766BEC">
        <w:rPr>
          <w:rFonts w:ascii="Times New Roman" w:hAnsi="Times New Roman" w:cs="Times New Roman"/>
          <w:lang w:val="en-US"/>
        </w:rPr>
        <w:t>λ</w:t>
      </w:r>
      <w:r w:rsidR="002D0318" w:rsidRPr="00766BEC">
        <w:rPr>
          <w:rFonts w:ascii="Times New Roman" w:hAnsi="Times New Roman" w:cs="Times New Roman"/>
        </w:rPr>
        <w:t xml:space="preserve"> −</w:t>
      </w:r>
      <w:proofErr w:type="spellStart"/>
      <w:r w:rsidR="002D0318" w:rsidRPr="00766BEC">
        <w:rPr>
          <w:rFonts w:ascii="Times New Roman" w:hAnsi="Times New Roman" w:cs="Times New Roman"/>
        </w:rPr>
        <w:t>codense</w:t>
      </w:r>
      <w:proofErr w:type="spellEnd"/>
      <w:r w:rsidR="002D0318" w:rsidRPr="00766BEC">
        <w:rPr>
          <w:rFonts w:ascii="Times New Roman" w:hAnsi="Times New Roman" w:cs="Times New Roman"/>
        </w:rPr>
        <w:t xml:space="preserve"> hereditary class is </w:t>
      </w:r>
      <w:r w:rsidR="002D0318" w:rsidRPr="00766BEC">
        <w:rPr>
          <w:rFonts w:ascii="Times New Roman" w:hAnsi="Times New Roman" w:cs="Times New Roman"/>
          <w:lang w:val="en-US"/>
        </w:rPr>
        <w:t>λ</w:t>
      </w:r>
      <w:r w:rsidR="002D0318" w:rsidRPr="00766BEC">
        <w:rPr>
          <w:rFonts w:ascii="Times New Roman" w:hAnsi="Times New Roman" w:cs="Times New Roman"/>
        </w:rPr>
        <w:t xml:space="preserve"> −</w:t>
      </w:r>
      <w:proofErr w:type="spellStart"/>
      <w:r w:rsidR="002D0318" w:rsidRPr="00766BEC">
        <w:rPr>
          <w:rFonts w:ascii="Times New Roman" w:hAnsi="Times New Roman" w:cs="Times New Roman"/>
        </w:rPr>
        <w:t>codense</w:t>
      </w:r>
      <w:proofErr w:type="spellEnd"/>
      <w:r w:rsidR="002D0318" w:rsidRPr="00766BEC">
        <w:rPr>
          <w:rFonts w:ascii="Times New Roman" w:hAnsi="Times New Roman" w:cs="Times New Roman"/>
        </w:rPr>
        <w:t xml:space="preserve"> but the converse is not true [4]. </w:t>
      </w:r>
    </w:p>
    <w:p w14:paraId="711AF782" w14:textId="77777777" w:rsidR="007D24FB" w:rsidRPr="00766BEC" w:rsidRDefault="007D24FB" w:rsidP="00BF7A59">
      <w:pPr>
        <w:pStyle w:val="NoSpacing"/>
        <w:spacing w:line="276" w:lineRule="auto"/>
        <w:rPr>
          <w:rFonts w:ascii="Times New Roman" w:hAnsi="Times New Roman" w:cs="Times New Roman"/>
        </w:rPr>
      </w:pPr>
    </w:p>
    <w:p w14:paraId="59C34F66" w14:textId="288236E6" w:rsidR="00BA7D5D" w:rsidRPr="00766BEC" w:rsidRDefault="007D24FB" w:rsidP="007D24FB">
      <w:pPr>
        <w:pStyle w:val="NoSpacing"/>
        <w:spacing w:line="276" w:lineRule="auto"/>
        <w:jc w:val="both"/>
        <w:rPr>
          <w:rFonts w:ascii="Times New Roman" w:hAnsi="Times New Roman" w:cs="Times New Roman"/>
        </w:rPr>
      </w:pPr>
      <w:r w:rsidRPr="00766BEC">
        <w:rPr>
          <w:rFonts w:ascii="Times New Roman" w:hAnsi="Times New Roman" w:cs="Times New Roman"/>
        </w:rPr>
        <w:t xml:space="preserve">Graph theory and topology, particularly the connection between these two areas, have been extensively studied and shown to have a </w:t>
      </w:r>
      <w:proofErr w:type="spellStart"/>
      <w:r w:rsidRPr="00766BEC">
        <w:rPr>
          <w:rFonts w:ascii="Times New Roman" w:hAnsi="Times New Roman" w:cs="Times New Roman"/>
        </w:rPr>
        <w:t>signifiacant</w:t>
      </w:r>
      <w:proofErr w:type="spellEnd"/>
      <w:r w:rsidRPr="00766BEC">
        <w:rPr>
          <w:rFonts w:ascii="Times New Roman" w:hAnsi="Times New Roman" w:cs="Times New Roman"/>
        </w:rPr>
        <w:t xml:space="preserve"> link  in the literature [1], [13]. The concept of a </w:t>
      </w:r>
      <w:r w:rsidRPr="00766BEC">
        <w:rPr>
          <w:rStyle w:val="Strong"/>
          <w:rFonts w:ascii="Times New Roman" w:hAnsi="Times New Roman" w:cs="Times New Roman"/>
          <w:b w:val="0"/>
        </w:rPr>
        <w:t>Graph Generalized Topological Space (GGTS)</w:t>
      </w:r>
      <w:r w:rsidRPr="00766BEC">
        <w:rPr>
          <w:rFonts w:ascii="Times New Roman" w:hAnsi="Times New Roman" w:cs="Times New Roman"/>
        </w:rPr>
        <w:t xml:space="preserve"> arises from integrating graph theory with the framework of </w:t>
      </w:r>
      <w:r w:rsidRPr="00766BEC">
        <w:rPr>
          <w:rStyle w:val="Strong"/>
          <w:rFonts w:ascii="Times New Roman" w:hAnsi="Times New Roman" w:cs="Times New Roman"/>
          <w:b w:val="0"/>
        </w:rPr>
        <w:t>Generalized Topological Spaces (GTS</w:t>
      </w:r>
      <w:r w:rsidRPr="00766BEC">
        <w:rPr>
          <w:rStyle w:val="Strong"/>
          <w:rFonts w:ascii="Times New Roman" w:hAnsi="Times New Roman" w:cs="Times New Roman"/>
        </w:rPr>
        <w:t>)</w:t>
      </w:r>
      <w:r w:rsidRPr="00766BEC">
        <w:rPr>
          <w:rFonts w:ascii="Times New Roman" w:hAnsi="Times New Roman" w:cs="Times New Roman"/>
        </w:rPr>
        <w:t xml:space="preserve">. In graph theory, systems involving binary relations are naturally modelled using vertices and edges, and collections of subgraphs can be structured to satisfy generalized topological axioms [1]. This allows a powerful means to represent complex relationships and networked interactions </w:t>
      </w:r>
      <w:r w:rsidRPr="00766BEC">
        <w:rPr>
          <w:rFonts w:ascii="Times New Roman" w:hAnsi="Times New Roman" w:cs="Times New Roman"/>
        </w:rPr>
        <w:lastRenderedPageBreak/>
        <w:t xml:space="preserve">commonly encountered in sustainable development challenges. A graph </w:t>
      </w:r>
      <w:r w:rsidRPr="00766BEC">
        <w:rPr>
          <w:rStyle w:val="katex-mathml"/>
          <w:rFonts w:ascii="Times New Roman" w:hAnsi="Times New Roman" w:cs="Times New Roman"/>
        </w:rPr>
        <w:t>G</w:t>
      </w:r>
      <w:r w:rsidRPr="00766BEC">
        <w:rPr>
          <w:rFonts w:ascii="Times New Roman" w:hAnsi="Times New Roman" w:cs="Times New Roman"/>
        </w:rPr>
        <w:t xml:space="preserve"> endowed with a generalized topology is termed a </w:t>
      </w:r>
      <w:r w:rsidRPr="00766BEC">
        <w:rPr>
          <w:rStyle w:val="Strong"/>
          <w:rFonts w:ascii="Times New Roman" w:hAnsi="Times New Roman" w:cs="Times New Roman"/>
          <w:b w:val="0"/>
        </w:rPr>
        <w:t>graph generalized topological space (GGTS)</w:t>
      </w:r>
      <w:r w:rsidRPr="00766BEC">
        <w:rPr>
          <w:rFonts w:ascii="Times New Roman" w:hAnsi="Times New Roman" w:cs="Times New Roman"/>
          <w:b/>
        </w:rPr>
        <w:t>.</w:t>
      </w:r>
      <w:r w:rsidRPr="00766BEC">
        <w:rPr>
          <w:rFonts w:ascii="Times New Roman" w:hAnsi="Times New Roman" w:cs="Times New Roman"/>
        </w:rPr>
        <w:t xml:space="preserve"> For a non-empty graph </w:t>
      </w:r>
      <w:r w:rsidRPr="00766BEC">
        <w:rPr>
          <w:rStyle w:val="katex-mathml"/>
          <w:rFonts w:ascii="Times New Roman" w:hAnsi="Times New Roman" w:cs="Times New Roman"/>
        </w:rPr>
        <w:t>G</w:t>
      </w:r>
      <w:r w:rsidRPr="00766BEC">
        <w:rPr>
          <w:rFonts w:ascii="Times New Roman" w:hAnsi="Times New Roman" w:cs="Times New Roman"/>
        </w:rPr>
        <w:t xml:space="preserve">, the collection of all subgraphs of </w:t>
      </w:r>
      <w:r w:rsidRPr="00766BEC">
        <w:rPr>
          <w:rStyle w:val="katex-mathml"/>
          <w:rFonts w:ascii="Times New Roman" w:hAnsi="Times New Roman" w:cs="Times New Roman"/>
        </w:rPr>
        <w:t>G</w:t>
      </w:r>
      <w:r w:rsidRPr="00766BEC">
        <w:rPr>
          <w:rFonts w:ascii="Times New Roman" w:hAnsi="Times New Roman" w:cs="Times New Roman"/>
        </w:rPr>
        <w:t xml:space="preserve">, denoted by </w:t>
      </w:r>
      <w:r w:rsidRPr="00766BEC">
        <w:rPr>
          <w:rFonts w:ascii="Cambria Math" w:hAnsi="Cambria Math" w:cs="Cambria Math"/>
        </w:rPr>
        <w:t>𝜌</w:t>
      </w:r>
      <w:r w:rsidRPr="00766BEC">
        <w:rPr>
          <w:rFonts w:ascii="Times New Roman" w:hAnsi="Times New Roman" w:cs="Times New Roman"/>
        </w:rPr>
        <w:t xml:space="preserve">, itself forms a graph topology on </w:t>
      </w:r>
      <w:r w:rsidRPr="00766BEC">
        <w:rPr>
          <w:rStyle w:val="mord"/>
          <w:rFonts w:ascii="Times New Roman" w:hAnsi="Times New Roman" w:cs="Times New Roman"/>
        </w:rPr>
        <w:t>G</w:t>
      </w:r>
      <w:r w:rsidRPr="00766BEC">
        <w:rPr>
          <w:rFonts w:ascii="Times New Roman" w:hAnsi="Times New Roman" w:cs="Times New Roman"/>
        </w:rPr>
        <w:t xml:space="preserve">, known as the </w:t>
      </w:r>
      <w:r w:rsidRPr="00766BEC">
        <w:rPr>
          <w:rStyle w:val="Strong"/>
          <w:rFonts w:ascii="Times New Roman" w:hAnsi="Times New Roman" w:cs="Times New Roman"/>
          <w:b w:val="0"/>
        </w:rPr>
        <w:t>discrete graph topology</w:t>
      </w:r>
      <w:r w:rsidRPr="00766BEC">
        <w:rPr>
          <w:rFonts w:ascii="Times New Roman" w:hAnsi="Times New Roman" w:cs="Times New Roman"/>
        </w:rPr>
        <w:t xml:space="preserve"> [13], [14].</w:t>
      </w:r>
      <w:r w:rsidR="002D0318" w:rsidRPr="00766BEC">
        <w:rPr>
          <w:rFonts w:ascii="Times New Roman" w:hAnsi="Times New Roman" w:cs="Times New Roman"/>
        </w:rPr>
        <w:t xml:space="preserve"> </w:t>
      </w:r>
    </w:p>
    <w:p w14:paraId="1C630212" w14:textId="713AB268" w:rsidR="007D24FB" w:rsidRPr="00766BEC" w:rsidRDefault="007D24FB" w:rsidP="007D24FB">
      <w:pPr>
        <w:pStyle w:val="ListParagraph"/>
        <w:numPr>
          <w:ilvl w:val="0"/>
          <w:numId w:val="10"/>
        </w:numPr>
        <w:shd w:val="clear" w:color="auto" w:fill="FFFFFF"/>
        <w:spacing w:before="240" w:after="240" w:line="276" w:lineRule="auto"/>
        <w:jc w:val="both"/>
        <w:rPr>
          <w:rStyle w:val="Strong"/>
          <w:rFonts w:ascii="Times New Roman" w:hAnsi="Times New Roman" w:cs="Times New Roman"/>
          <w:color w:val="1D2129"/>
          <w:u w:val="single"/>
          <w:shd w:val="clear" w:color="auto" w:fill="FFFFFF"/>
        </w:rPr>
      </w:pPr>
      <w:r w:rsidRPr="00766BEC">
        <w:rPr>
          <w:rStyle w:val="Strong"/>
          <w:rFonts w:ascii="Times New Roman" w:hAnsi="Times New Roman" w:cs="Times New Roman"/>
          <w:color w:val="1D2129"/>
          <w:shd w:val="clear" w:color="auto" w:fill="FFFFFF"/>
        </w:rPr>
        <w:t>Challenges in SDG Implementation:</w:t>
      </w:r>
    </w:p>
    <w:p w14:paraId="1D5321D1" w14:textId="77777777" w:rsidR="007D24FB" w:rsidRPr="00766BEC" w:rsidRDefault="007D24FB" w:rsidP="007D24FB">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766BEC">
        <w:rPr>
          <w:rFonts w:ascii="Times New Roman" w:eastAsia="Times New Roman" w:hAnsi="Times New Roman" w:cs="Times New Roman"/>
          <w:kern w:val="0"/>
          <w:lang w:eastAsia="en-IN"/>
          <w14:ligatures w14:val="none"/>
        </w:rPr>
        <w:t>Achieving the Sustainable Development Goals (SDGs) is widely recognized as a complex and multifaceted endeavour, challenged by structural, informational, and governance-related constraints. One of the most critical issues impeding effective implementation is the persistent lack of reliable, timely, and disaggregated data. Despite global efforts to strengthen monitoring frameworks, many countries continue to face significant data gaps across environmental, social, and economic indicators, limiting accurate assessment of progress and undermining evidence-based policymaking (United Nations, 2023). As highlighted by de Sherbinin et al. (2018), incomplete or inconsistent datasets can obscure the true magnitude of challenges such as poverty, inequality, and climate change, resulting in misaligned interventions and inefficient resource allocation.</w:t>
      </w:r>
    </w:p>
    <w:p w14:paraId="19450806" w14:textId="77777777" w:rsidR="007D24FB" w:rsidRPr="00766BEC" w:rsidRDefault="007D24FB" w:rsidP="007D24FB">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766BEC">
        <w:rPr>
          <w:rFonts w:ascii="Times New Roman" w:eastAsia="Times New Roman" w:hAnsi="Times New Roman" w:cs="Times New Roman"/>
          <w:kern w:val="0"/>
          <w:lang w:eastAsia="en-IN"/>
          <w14:ligatures w14:val="none"/>
        </w:rPr>
        <w:t>In addition to data limitations, the SDGs are characterized by a high degree of interconnectedness and interdependence, which adds to the complexity of their implementation. Goals related to food security (SDG 2), water and sanitation (SDG 6), energy (SDG 7), and climate action (SDG 13) are deeply intertwined, such that progress in one domain can generate synergies or unintended trade-offs in others. Nilsson et al. (2016) emphasize that treating the SDGs in isolation risks policy incoherence, while systematic analyses by Pradhan et al. (2017) demonstrate that interactions between goals can be both reinforcing and conflicting, depending on the chosen development pathways. This inherent network-like structure of the SDGs underscores the need for holistic and integrative analytical frameworks.</w:t>
      </w:r>
    </w:p>
    <w:p w14:paraId="08519165" w14:textId="77777777" w:rsidR="007D24FB" w:rsidRPr="00766BEC" w:rsidRDefault="007D24FB" w:rsidP="007D24FB">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766BEC">
        <w:rPr>
          <w:rFonts w:ascii="Times New Roman" w:eastAsia="Times New Roman" w:hAnsi="Times New Roman" w:cs="Times New Roman"/>
          <w:kern w:val="0"/>
          <w:lang w:eastAsia="en-IN"/>
          <w14:ligatures w14:val="none"/>
        </w:rPr>
        <w:t>Governance and institutional challenges further constrain SDG progress. Divergent priorities among governments, private sector actors, and local communities often result in tensions between short-term economic objectives and long-term environmental sustainability and social equity. Biermann et al. (2017) argue that although the SDGs represent an important innovation in global governance, their effectiveness depends heavily on policy coherence, stakeholder coordination, and institutional capacity at multiple levels. Fragmented governance structures and limited cross-sectorial collaboration can therefore slow progress and exacerbate inequities, particularly in developing regions.</w:t>
      </w:r>
    </w:p>
    <w:p w14:paraId="3C43808C" w14:textId="77777777" w:rsidR="007D24FB" w:rsidRPr="00766BEC" w:rsidRDefault="007D24FB" w:rsidP="007D24FB">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766BEC">
        <w:rPr>
          <w:rFonts w:ascii="Times New Roman" w:eastAsia="Times New Roman" w:hAnsi="Times New Roman" w:cs="Times New Roman"/>
          <w:kern w:val="0"/>
          <w:lang w:eastAsia="en-IN"/>
          <w14:ligatures w14:val="none"/>
        </w:rPr>
        <w:t>In response to these challenges, recent studies emphasize the growing importance of robust analytical and computational tools capable of managing complexity and uncertainty. Network-based approaches and advanced modelling techniques have been proposed to capture the interdependencies among SDGs and to support strategic prioritization of targets (Le Blanc, 2015; Allen et al., 2019). Moreover, AI-driven analytics and simulations offer promising capabilities for integrating heterogeneous data sources, forecasting policy impacts, and supporting adaptive decision-making under uncertainty (</w:t>
      </w:r>
      <w:proofErr w:type="spellStart"/>
      <w:r w:rsidRPr="00766BEC">
        <w:rPr>
          <w:rFonts w:ascii="Times New Roman" w:eastAsia="Times New Roman" w:hAnsi="Times New Roman" w:cs="Times New Roman"/>
          <w:kern w:val="0"/>
          <w:lang w:eastAsia="en-IN"/>
          <w14:ligatures w14:val="none"/>
        </w:rPr>
        <w:t>Vinuesa</w:t>
      </w:r>
      <w:proofErr w:type="spellEnd"/>
      <w:r w:rsidRPr="00766BEC">
        <w:rPr>
          <w:rFonts w:ascii="Times New Roman" w:eastAsia="Times New Roman" w:hAnsi="Times New Roman" w:cs="Times New Roman"/>
          <w:kern w:val="0"/>
          <w:lang w:eastAsia="en-IN"/>
          <w14:ligatures w14:val="none"/>
        </w:rPr>
        <w:t xml:space="preserve"> et al., 2020). Such approaches align well with graph-based mathematical frameworks, where relationships and interfaces can be explicitly represented and analysed, providing a strong foundation for system-level understanding and informed policy design toward sustainable development.</w:t>
      </w:r>
    </w:p>
    <w:p w14:paraId="10C2CA00" w14:textId="1C2D8305" w:rsidR="000A109A" w:rsidRPr="00766BEC" w:rsidRDefault="000A109A" w:rsidP="005F0E9A">
      <w:pPr>
        <w:pStyle w:val="ListParagraph"/>
        <w:numPr>
          <w:ilvl w:val="0"/>
          <w:numId w:val="10"/>
        </w:numPr>
        <w:spacing w:line="276" w:lineRule="auto"/>
        <w:jc w:val="both"/>
        <w:rPr>
          <w:rFonts w:ascii="Times New Roman" w:hAnsi="Times New Roman" w:cs="Times New Roman"/>
        </w:rPr>
      </w:pPr>
      <w:r w:rsidRPr="00766BEC">
        <w:rPr>
          <w:rFonts w:ascii="Times New Roman" w:hAnsi="Times New Roman" w:cs="Times New Roman"/>
          <w:b/>
          <w:bCs/>
        </w:rPr>
        <w:lastRenderedPageBreak/>
        <w:t>Connecting Sustainable Development with Generalized Topological Spaces​</w:t>
      </w:r>
    </w:p>
    <w:p w14:paraId="1184E557" w14:textId="246D854C" w:rsidR="006D33AD" w:rsidRPr="00766BEC" w:rsidRDefault="006D33AD" w:rsidP="006D33AD">
      <w:pPr>
        <w:spacing w:before="100" w:beforeAutospacing="1" w:after="100" w:afterAutospacing="1" w:line="240" w:lineRule="auto"/>
        <w:ind w:hanging="502"/>
        <w:jc w:val="both"/>
        <w:rPr>
          <w:rFonts w:ascii="Times New Roman" w:eastAsia="Times New Roman" w:hAnsi="Times New Roman" w:cs="Times New Roman"/>
          <w:kern w:val="0"/>
          <w:lang w:eastAsia="en-IN"/>
          <w14:ligatures w14:val="none"/>
        </w:rPr>
      </w:pPr>
      <w:r w:rsidRPr="00766BEC">
        <w:rPr>
          <w:rFonts w:ascii="Times New Roman" w:eastAsia="Times New Roman" w:hAnsi="Times New Roman" w:cs="Times New Roman"/>
          <w:kern w:val="0"/>
          <w:lang w:eastAsia="en-IN"/>
          <w14:ligatures w14:val="none"/>
        </w:rPr>
        <w:t xml:space="preserve">        Graph generalized topological approaches offer a powerful mathematical framework for </w:t>
      </w:r>
      <w:r w:rsidR="003D362A" w:rsidRPr="00766BEC">
        <w:rPr>
          <w:rFonts w:ascii="Times New Roman" w:eastAsia="Times New Roman" w:hAnsi="Times New Roman" w:cs="Times New Roman"/>
          <w:kern w:val="0"/>
          <w:lang w:eastAsia="en-IN"/>
          <w14:ligatures w14:val="none"/>
        </w:rPr>
        <w:t>analysing</w:t>
      </w:r>
      <w:r w:rsidRPr="00766BEC">
        <w:rPr>
          <w:rFonts w:ascii="Times New Roman" w:eastAsia="Times New Roman" w:hAnsi="Times New Roman" w:cs="Times New Roman"/>
          <w:kern w:val="0"/>
          <w:lang w:eastAsia="en-IN"/>
          <w14:ligatures w14:val="none"/>
        </w:rPr>
        <w:t xml:space="preserve"> and addressing complex sustainability challenges by capturing relationships, interdependencies, and uncertainties inherent in real-world systems [14]. By integrating graph theory with generalized topological spaces (GTS), </w:t>
      </w:r>
      <w:r w:rsidRPr="003D362A">
        <w:rPr>
          <w:rFonts w:ascii="Times New Roman" w:eastAsia="Times New Roman" w:hAnsi="Times New Roman" w:cs="Times New Roman"/>
          <w:bCs/>
          <w:kern w:val="0"/>
          <w:lang w:eastAsia="en-IN"/>
          <w14:ligatures w14:val="none"/>
        </w:rPr>
        <w:t>Graph Generalized Topological Spaces (GGTS)</w:t>
      </w:r>
      <w:r w:rsidRPr="00766BEC">
        <w:rPr>
          <w:rFonts w:ascii="Times New Roman" w:eastAsia="Times New Roman" w:hAnsi="Times New Roman" w:cs="Times New Roman"/>
          <w:kern w:val="0"/>
          <w:lang w:eastAsia="en-IN"/>
          <w14:ligatures w14:val="none"/>
        </w:rPr>
        <w:t xml:space="preserve"> enable the qualitative </w:t>
      </w:r>
      <w:r w:rsidR="003D362A" w:rsidRPr="00766BEC">
        <w:rPr>
          <w:rFonts w:ascii="Times New Roman" w:eastAsia="Times New Roman" w:hAnsi="Times New Roman" w:cs="Times New Roman"/>
          <w:kern w:val="0"/>
          <w:lang w:eastAsia="en-IN"/>
          <w14:ligatures w14:val="none"/>
        </w:rPr>
        <w:t>modelling</w:t>
      </w:r>
      <w:r w:rsidRPr="00766BEC">
        <w:rPr>
          <w:rFonts w:ascii="Times New Roman" w:eastAsia="Times New Roman" w:hAnsi="Times New Roman" w:cs="Times New Roman"/>
          <w:kern w:val="0"/>
          <w:lang w:eastAsia="en-IN"/>
          <w14:ligatures w14:val="none"/>
        </w:rPr>
        <w:t xml:space="preserve"> of systems characterized by non-crisp boundaries, incomplete information, and dynamic interactions. In generalized topology, classical topological axioms are relaxed, providing the flexibility needed to represent uncertain or partially defined phenomena commonly observed in sustainable development contexts [1].</w:t>
      </w:r>
    </w:p>
    <w:p w14:paraId="325F0276" w14:textId="6E3C0030" w:rsidR="006D33AD" w:rsidRPr="00766BEC" w:rsidRDefault="006D33AD" w:rsidP="006D33AD">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766BEC">
        <w:rPr>
          <w:rFonts w:ascii="Times New Roman" w:eastAsia="Times New Roman" w:hAnsi="Times New Roman" w:cs="Times New Roman"/>
          <w:kern w:val="0"/>
          <w:lang w:eastAsia="en-IN"/>
          <w14:ligatures w14:val="none"/>
        </w:rPr>
        <w:t xml:space="preserve">Sustainable development is fundamentally concerned with meeting present needs—encompassing economic growth, social welfare, and environmental balance—without compromising the ability of future generations to meet their own needs. This multidimensional concept is traditionally understood through the three interconnected pillars: </w:t>
      </w:r>
      <w:r w:rsidRPr="003D362A">
        <w:rPr>
          <w:rFonts w:ascii="Times New Roman" w:eastAsia="Times New Roman" w:hAnsi="Times New Roman" w:cs="Times New Roman"/>
          <w:bCs/>
          <w:kern w:val="0"/>
          <w:lang w:eastAsia="en-IN"/>
          <w14:ligatures w14:val="none"/>
        </w:rPr>
        <w:t>environment, economy, and society</w:t>
      </w:r>
      <w:r w:rsidRPr="00766BEC">
        <w:rPr>
          <w:rFonts w:ascii="Times New Roman" w:eastAsia="Times New Roman" w:hAnsi="Times New Roman" w:cs="Times New Roman"/>
          <w:kern w:val="0"/>
          <w:lang w:eastAsia="en-IN"/>
          <w14:ligatures w14:val="none"/>
        </w:rPr>
        <w:t xml:space="preserve"> [15]. The strong interdependence among these pillars naturally lends itself to graph-based and topological representations, where nodes represent system components and edges represent their interconnections.</w:t>
      </w:r>
    </w:p>
    <w:p w14:paraId="01EE4A21" w14:textId="1DB572B0" w:rsidR="006D33AD" w:rsidRPr="00766BEC" w:rsidRDefault="006D33AD" w:rsidP="006D33AD">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766BEC">
        <w:rPr>
          <w:rFonts w:ascii="Times New Roman" w:eastAsia="Times New Roman" w:hAnsi="Times New Roman" w:cs="Times New Roman"/>
          <w:kern w:val="0"/>
          <w:lang w:eastAsia="en-IN"/>
          <w14:ligatures w14:val="none"/>
        </w:rPr>
        <w:t xml:space="preserve">One important application of topological methods in sustainability is the modelling of </w:t>
      </w:r>
      <w:r w:rsidRPr="003D362A">
        <w:rPr>
          <w:rFonts w:ascii="Times New Roman" w:eastAsia="Times New Roman" w:hAnsi="Times New Roman" w:cs="Times New Roman"/>
          <w:bCs/>
          <w:kern w:val="0"/>
          <w:lang w:eastAsia="en-IN"/>
          <w14:ligatures w14:val="none"/>
        </w:rPr>
        <w:t>safe</w:t>
      </w:r>
      <w:r w:rsidRPr="00766BEC">
        <w:rPr>
          <w:rFonts w:ascii="Times New Roman" w:eastAsia="Times New Roman" w:hAnsi="Times New Roman" w:cs="Times New Roman"/>
          <w:b/>
          <w:bCs/>
          <w:kern w:val="0"/>
          <w:lang w:eastAsia="en-IN"/>
          <w14:ligatures w14:val="none"/>
        </w:rPr>
        <w:t xml:space="preserve"> </w:t>
      </w:r>
      <w:r w:rsidRPr="003D362A">
        <w:rPr>
          <w:rFonts w:ascii="Times New Roman" w:eastAsia="Times New Roman" w:hAnsi="Times New Roman" w:cs="Times New Roman"/>
          <w:bCs/>
          <w:kern w:val="0"/>
          <w:lang w:eastAsia="en-IN"/>
          <w14:ligatures w14:val="none"/>
        </w:rPr>
        <w:t>operating spaces</w:t>
      </w:r>
      <w:r w:rsidRPr="00766BEC">
        <w:rPr>
          <w:rFonts w:ascii="Times New Roman" w:eastAsia="Times New Roman" w:hAnsi="Times New Roman" w:cs="Times New Roman"/>
          <w:kern w:val="0"/>
          <w:lang w:eastAsia="en-IN"/>
          <w14:ligatures w14:val="none"/>
        </w:rPr>
        <w:t xml:space="preserve">, such as planetary boundaries. These concepts describe desirable regions within the state space of Earth systems that ensure long-term planetary well-being. By representing such regions using generalized topological structures, it becomes possible to </w:t>
      </w:r>
      <w:r w:rsidR="00B601A9" w:rsidRPr="00766BEC">
        <w:rPr>
          <w:rFonts w:ascii="Times New Roman" w:eastAsia="Times New Roman" w:hAnsi="Times New Roman" w:cs="Times New Roman"/>
          <w:kern w:val="0"/>
          <w:lang w:eastAsia="en-IN"/>
          <w14:ligatures w14:val="none"/>
        </w:rPr>
        <w:t>analyse</w:t>
      </w:r>
      <w:r w:rsidRPr="00766BEC">
        <w:rPr>
          <w:rFonts w:ascii="Times New Roman" w:eastAsia="Times New Roman" w:hAnsi="Times New Roman" w:cs="Times New Roman"/>
          <w:kern w:val="0"/>
          <w:lang w:eastAsia="en-IN"/>
          <w14:ligatures w14:val="none"/>
        </w:rPr>
        <w:t xml:space="preserve"> system resilience and sustainability thresholds without relying solely on precise numerical boundari</w:t>
      </w:r>
      <w:r w:rsidR="00B601A9" w:rsidRPr="00766BEC">
        <w:rPr>
          <w:rFonts w:ascii="Times New Roman" w:eastAsia="Times New Roman" w:hAnsi="Times New Roman" w:cs="Times New Roman"/>
          <w:kern w:val="0"/>
          <w:lang w:eastAsia="en-IN"/>
          <w14:ligatures w14:val="none"/>
        </w:rPr>
        <w:t>es [16</w:t>
      </w:r>
      <w:r w:rsidRPr="00766BEC">
        <w:rPr>
          <w:rFonts w:ascii="Times New Roman" w:eastAsia="Times New Roman" w:hAnsi="Times New Roman" w:cs="Times New Roman"/>
          <w:kern w:val="0"/>
          <w:lang w:eastAsia="en-IN"/>
          <w14:ligatures w14:val="none"/>
        </w:rPr>
        <w:t>].</w:t>
      </w:r>
    </w:p>
    <w:p w14:paraId="2D9E7EA0" w14:textId="4F70ECE7" w:rsidR="006D33AD" w:rsidRPr="00766BEC" w:rsidRDefault="006D33AD" w:rsidP="006D33AD">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766BEC">
        <w:rPr>
          <w:rFonts w:ascii="Times New Roman" w:eastAsia="Times New Roman" w:hAnsi="Times New Roman" w:cs="Times New Roman"/>
          <w:kern w:val="0"/>
          <w:lang w:eastAsia="en-IN"/>
          <w14:ligatures w14:val="none"/>
        </w:rPr>
        <w:t xml:space="preserve">Closely related is the characterization of </w:t>
      </w:r>
      <w:r w:rsidRPr="003D362A">
        <w:rPr>
          <w:rFonts w:ascii="Times New Roman" w:eastAsia="Times New Roman" w:hAnsi="Times New Roman" w:cs="Times New Roman"/>
          <w:bCs/>
          <w:kern w:val="0"/>
          <w:lang w:eastAsia="en-IN"/>
          <w14:ligatures w14:val="none"/>
        </w:rPr>
        <w:t>critical transitions or tipping points</w:t>
      </w:r>
      <w:r w:rsidRPr="00766BEC">
        <w:rPr>
          <w:rFonts w:ascii="Times New Roman" w:eastAsia="Times New Roman" w:hAnsi="Times New Roman" w:cs="Times New Roman"/>
          <w:kern w:val="0"/>
          <w:lang w:eastAsia="en-IN"/>
          <w14:ligatures w14:val="none"/>
        </w:rPr>
        <w:t>. By viewing the state of a complex environmental or socio-economic system as a point within a generalized topological space, one can study how structural properties change as the system approaches or crosses critical thresholds. Understanding these transitions is crucial for proactive environmental gove</w:t>
      </w:r>
      <w:r w:rsidR="00B601A9" w:rsidRPr="00766BEC">
        <w:rPr>
          <w:rFonts w:ascii="Times New Roman" w:eastAsia="Times New Roman" w:hAnsi="Times New Roman" w:cs="Times New Roman"/>
          <w:kern w:val="0"/>
          <w:lang w:eastAsia="en-IN"/>
          <w14:ligatures w14:val="none"/>
        </w:rPr>
        <w:t>rnance and resource management [16</w:t>
      </w:r>
      <w:r w:rsidRPr="00766BEC">
        <w:rPr>
          <w:rFonts w:ascii="Times New Roman" w:eastAsia="Times New Roman" w:hAnsi="Times New Roman" w:cs="Times New Roman"/>
          <w:kern w:val="0"/>
          <w:lang w:eastAsia="en-IN"/>
          <w14:ligatures w14:val="none"/>
        </w:rPr>
        <w:t>].</w:t>
      </w:r>
    </w:p>
    <w:p w14:paraId="346C812B" w14:textId="2D078AD1" w:rsidR="006D33AD" w:rsidRPr="00766BEC" w:rsidRDefault="006D33AD" w:rsidP="006D33AD">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766BEC">
        <w:rPr>
          <w:rFonts w:ascii="Times New Roman" w:eastAsia="Times New Roman" w:hAnsi="Times New Roman" w:cs="Times New Roman"/>
          <w:kern w:val="0"/>
          <w:lang w:eastAsia="en-IN"/>
          <w14:ligatures w14:val="none"/>
        </w:rPr>
        <w:t xml:space="preserve">GGTS-based approaches also support the </w:t>
      </w:r>
      <w:r w:rsidRPr="003D362A">
        <w:rPr>
          <w:rFonts w:ascii="Times New Roman" w:eastAsia="Times New Roman" w:hAnsi="Times New Roman" w:cs="Times New Roman"/>
          <w:bCs/>
          <w:kern w:val="0"/>
          <w:lang w:eastAsia="en-IN"/>
          <w14:ligatures w14:val="none"/>
        </w:rPr>
        <w:t>optimization of resource networks</w:t>
      </w:r>
      <w:r w:rsidRPr="00766BEC">
        <w:rPr>
          <w:rFonts w:ascii="Times New Roman" w:eastAsia="Times New Roman" w:hAnsi="Times New Roman" w:cs="Times New Roman"/>
          <w:kern w:val="0"/>
          <w:lang w:eastAsia="en-IN"/>
          <w14:ligatures w14:val="none"/>
        </w:rPr>
        <w:t>, including water distribution systems, electrical grids, and transportation networks. Focusing on qualitative properties such as connectivity, robustness, and redundancy—rather than exact geometric configurations—allows planners and engineers to minimize disruptions, reduce energy consumption, a</w:t>
      </w:r>
      <w:r w:rsidR="00B601A9" w:rsidRPr="00766BEC">
        <w:rPr>
          <w:rFonts w:ascii="Times New Roman" w:eastAsia="Times New Roman" w:hAnsi="Times New Roman" w:cs="Times New Roman"/>
          <w:kern w:val="0"/>
          <w:lang w:eastAsia="en-IN"/>
          <w14:ligatures w14:val="none"/>
        </w:rPr>
        <w:t>nd enhance network resilience [13</w:t>
      </w:r>
      <w:r w:rsidRPr="00766BEC">
        <w:rPr>
          <w:rFonts w:ascii="Times New Roman" w:eastAsia="Times New Roman" w:hAnsi="Times New Roman" w:cs="Times New Roman"/>
          <w:kern w:val="0"/>
          <w:lang w:eastAsia="en-IN"/>
          <w14:ligatures w14:val="none"/>
        </w:rPr>
        <w:t>]. In urban planning, topological principles help ensure that infrastructure development maintains essential connectivity even as spatial layouts evolve, thereby reducing pollution and preserving functional efficiency.</w:t>
      </w:r>
    </w:p>
    <w:p w14:paraId="41A40C36" w14:textId="29FBD464" w:rsidR="006D33AD" w:rsidRPr="00766BEC" w:rsidRDefault="006D33AD" w:rsidP="006D33AD">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766BEC">
        <w:rPr>
          <w:rFonts w:ascii="Times New Roman" w:eastAsia="Times New Roman" w:hAnsi="Times New Roman" w:cs="Times New Roman"/>
          <w:kern w:val="0"/>
          <w:lang w:eastAsia="en-IN"/>
          <w14:ligatures w14:val="none"/>
        </w:rPr>
        <w:t xml:space="preserve">Furthermore, advances such as </w:t>
      </w:r>
      <w:r w:rsidRPr="003D362A">
        <w:rPr>
          <w:rFonts w:ascii="Times New Roman" w:eastAsia="Times New Roman" w:hAnsi="Times New Roman" w:cs="Times New Roman"/>
          <w:bCs/>
          <w:kern w:val="0"/>
          <w:lang w:eastAsia="en-IN"/>
          <w14:ligatures w14:val="none"/>
        </w:rPr>
        <w:t>neutrosophic generalized topology</w:t>
      </w:r>
      <w:r w:rsidRPr="00766BEC">
        <w:rPr>
          <w:rFonts w:ascii="Times New Roman" w:eastAsia="Times New Roman" w:hAnsi="Times New Roman" w:cs="Times New Roman"/>
          <w:kern w:val="0"/>
          <w:lang w:eastAsia="en-IN"/>
          <w14:ligatures w14:val="none"/>
        </w:rPr>
        <w:t xml:space="preserve"> extend these ideas to situations involving high levels of indeterminacy. This framework is particularly suited to sustainability challenges involving climate uncertainty, population dynamics, or material discovery, where truth, falsity, and indeterminacy coexist. Neutrosophic GTS allows the </w:t>
      </w:r>
      <w:r w:rsidR="003D362A" w:rsidRPr="00766BEC">
        <w:rPr>
          <w:rFonts w:ascii="Times New Roman" w:eastAsia="Times New Roman" w:hAnsi="Times New Roman" w:cs="Times New Roman"/>
          <w:kern w:val="0"/>
          <w:lang w:eastAsia="en-IN"/>
          <w14:ligatures w14:val="none"/>
        </w:rPr>
        <w:t>modelling</w:t>
      </w:r>
      <w:r w:rsidRPr="00766BEC">
        <w:rPr>
          <w:rFonts w:ascii="Times New Roman" w:eastAsia="Times New Roman" w:hAnsi="Times New Roman" w:cs="Times New Roman"/>
          <w:kern w:val="0"/>
          <w:lang w:eastAsia="en-IN"/>
          <w14:ligatures w14:val="none"/>
        </w:rPr>
        <w:t xml:space="preserve"> of semi-sustainable states and transitional zones that are difficult to capture using</w:t>
      </w:r>
      <w:r w:rsidR="00B601A9" w:rsidRPr="00766BEC">
        <w:rPr>
          <w:rFonts w:ascii="Times New Roman" w:eastAsia="Times New Roman" w:hAnsi="Times New Roman" w:cs="Times New Roman"/>
          <w:kern w:val="0"/>
          <w:lang w:eastAsia="en-IN"/>
          <w14:ligatures w14:val="none"/>
        </w:rPr>
        <w:t xml:space="preserve"> classical mathematical tools [17</w:t>
      </w:r>
      <w:r w:rsidRPr="00766BEC">
        <w:rPr>
          <w:rFonts w:ascii="Times New Roman" w:eastAsia="Times New Roman" w:hAnsi="Times New Roman" w:cs="Times New Roman"/>
          <w:kern w:val="0"/>
          <w:lang w:eastAsia="en-IN"/>
          <w14:ligatures w14:val="none"/>
        </w:rPr>
        <w:t>].</w:t>
      </w:r>
    </w:p>
    <w:p w14:paraId="4D75594B" w14:textId="22208D17" w:rsidR="006D33AD" w:rsidRPr="00766BEC" w:rsidRDefault="006D33AD" w:rsidP="006D33AD">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766BEC">
        <w:rPr>
          <w:rFonts w:ascii="Times New Roman" w:eastAsia="Times New Roman" w:hAnsi="Times New Roman" w:cs="Times New Roman"/>
          <w:kern w:val="0"/>
          <w:lang w:eastAsia="en-IN"/>
          <w14:ligatures w14:val="none"/>
        </w:rPr>
        <w:t xml:space="preserve">From an analytical perspective, generalized topology enables researchers to examine </w:t>
      </w:r>
      <w:r w:rsidRPr="00766BEC">
        <w:rPr>
          <w:rFonts w:ascii="Times New Roman" w:eastAsia="Times New Roman" w:hAnsi="Times New Roman" w:cs="Times New Roman"/>
          <w:b/>
          <w:bCs/>
          <w:kern w:val="0"/>
          <w:lang w:eastAsia="en-IN"/>
          <w14:ligatures w14:val="none"/>
        </w:rPr>
        <w:t>system dynamics</w:t>
      </w:r>
      <w:r w:rsidRPr="00766BEC">
        <w:rPr>
          <w:rFonts w:ascii="Times New Roman" w:eastAsia="Times New Roman" w:hAnsi="Times New Roman" w:cs="Times New Roman"/>
          <w:kern w:val="0"/>
          <w:lang w:eastAsia="en-IN"/>
          <w14:ligatures w14:val="none"/>
        </w:rPr>
        <w:t xml:space="preserve">, stability, and sensitivity to change by studying topological properties such as </w:t>
      </w:r>
      <w:r w:rsidRPr="00766BEC">
        <w:rPr>
          <w:rFonts w:ascii="Times New Roman" w:eastAsia="Times New Roman" w:hAnsi="Times New Roman" w:cs="Times New Roman"/>
          <w:kern w:val="0"/>
          <w:lang w:eastAsia="en-IN"/>
          <w14:ligatures w14:val="none"/>
        </w:rPr>
        <w:lastRenderedPageBreak/>
        <w:t xml:space="preserve">connectedness and density. Small local changes—such as policy shifts or resource reallocations—can be </w:t>
      </w:r>
      <w:r w:rsidR="003D362A" w:rsidRPr="00766BEC">
        <w:rPr>
          <w:rFonts w:ascii="Times New Roman" w:eastAsia="Times New Roman" w:hAnsi="Times New Roman" w:cs="Times New Roman"/>
          <w:kern w:val="0"/>
          <w:lang w:eastAsia="en-IN"/>
          <w14:ligatures w14:val="none"/>
        </w:rPr>
        <w:t>analysed</w:t>
      </w:r>
      <w:r w:rsidRPr="00766BEC">
        <w:rPr>
          <w:rFonts w:ascii="Times New Roman" w:eastAsia="Times New Roman" w:hAnsi="Times New Roman" w:cs="Times New Roman"/>
          <w:kern w:val="0"/>
          <w:lang w:eastAsia="en-IN"/>
          <w14:ligatures w14:val="none"/>
        </w:rPr>
        <w:t xml:space="preserve"> for their potential global impacts. The process typically involves clearly defining system components and relationships, followed by representing them within a generalized (or neutrosophic) topological framework that accounts for uncertainty and overlapping interactions.</w:t>
      </w:r>
    </w:p>
    <w:p w14:paraId="212937A4" w14:textId="77777777" w:rsidR="003D362A" w:rsidRDefault="003D362A" w:rsidP="006D33AD">
      <w:pPr>
        <w:spacing w:before="100" w:beforeAutospacing="1" w:after="100" w:afterAutospacing="1" w:line="240" w:lineRule="auto"/>
        <w:jc w:val="both"/>
        <w:rPr>
          <w:rFonts w:ascii="Times New Roman" w:eastAsia="Times New Roman" w:hAnsi="Times New Roman" w:cs="Times New Roman"/>
          <w:kern w:val="0"/>
          <w:lang w:eastAsia="en-IN"/>
          <w14:ligatures w14:val="none"/>
        </w:rPr>
      </w:pPr>
    </w:p>
    <w:p w14:paraId="45484952" w14:textId="3C1C0C9A" w:rsidR="003D362A" w:rsidRPr="003D362A" w:rsidRDefault="003D362A" w:rsidP="006D33AD">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3D362A">
        <w:rPr>
          <w:rFonts w:ascii="Times New Roman" w:hAnsi="Times New Roman" w:cs="Times New Roman"/>
        </w:rPr>
        <w:t xml:space="preserve">Graph Generalized Topological Spaces (GGTS) provide a flexible framework for representing sustainability systems where boundaries and data are uncertain. By treating neighbourhoods, resource clusters, or infrastructure zones as generalized open </w:t>
      </w:r>
      <w:r>
        <w:rPr>
          <w:rFonts w:ascii="Times New Roman" w:hAnsi="Times New Roman" w:cs="Times New Roman"/>
        </w:rPr>
        <w:t>sub</w:t>
      </w:r>
      <w:r w:rsidRPr="003D362A">
        <w:rPr>
          <w:rFonts w:ascii="Times New Roman" w:hAnsi="Times New Roman" w:cs="Times New Roman"/>
        </w:rPr>
        <w:t>graphs — and using neutrosophic scores to capture data indeterminacy — we can compute interiors, closures and boundary regions that reveal vulnerability, tipping points and intervention priorities. This topological view complements numerical simulation, offering qualitative resilience indicators and actionable prioritization for resource allocation.</w:t>
      </w:r>
    </w:p>
    <w:p w14:paraId="34BC3182" w14:textId="07036455" w:rsidR="006D33AD" w:rsidRPr="003D362A" w:rsidRDefault="006D33AD" w:rsidP="003D362A">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766BEC">
        <w:rPr>
          <w:rFonts w:ascii="Times New Roman" w:eastAsia="Times New Roman" w:hAnsi="Times New Roman" w:cs="Times New Roman"/>
          <w:kern w:val="0"/>
          <w:lang w:eastAsia="en-IN"/>
          <w14:ligatures w14:val="none"/>
        </w:rPr>
        <w:t xml:space="preserve">Overall, sustainable development challenges represent highly interconnected systems involving resources, policies, human </w:t>
      </w:r>
      <w:r w:rsidR="003D362A" w:rsidRPr="00766BEC">
        <w:rPr>
          <w:rFonts w:ascii="Times New Roman" w:eastAsia="Times New Roman" w:hAnsi="Times New Roman" w:cs="Times New Roman"/>
          <w:kern w:val="0"/>
          <w:lang w:eastAsia="en-IN"/>
          <w14:ligatures w14:val="none"/>
        </w:rPr>
        <w:t>behaviour</w:t>
      </w:r>
      <w:r w:rsidRPr="00766BEC">
        <w:rPr>
          <w:rFonts w:ascii="Times New Roman" w:eastAsia="Times New Roman" w:hAnsi="Times New Roman" w:cs="Times New Roman"/>
          <w:kern w:val="0"/>
          <w:lang w:eastAsia="en-IN"/>
          <w14:ligatures w14:val="none"/>
        </w:rPr>
        <w:t>, and environmental factors</w:t>
      </w:r>
      <w:r w:rsidRPr="003D362A">
        <w:rPr>
          <w:rFonts w:ascii="Times New Roman" w:eastAsia="Times New Roman" w:hAnsi="Times New Roman" w:cs="Times New Roman"/>
          <w:b/>
          <w:kern w:val="0"/>
          <w:lang w:eastAsia="en-IN"/>
          <w14:ligatures w14:val="none"/>
        </w:rPr>
        <w:t xml:space="preserve">. </w:t>
      </w:r>
      <w:r w:rsidRPr="003D362A">
        <w:rPr>
          <w:rFonts w:ascii="Times New Roman" w:eastAsia="Times New Roman" w:hAnsi="Times New Roman" w:cs="Times New Roman"/>
          <w:bCs/>
          <w:kern w:val="0"/>
          <w:lang w:eastAsia="en-IN"/>
          <w14:ligatures w14:val="none"/>
        </w:rPr>
        <w:t>Generalized Topological Spaces and GGTS</w:t>
      </w:r>
      <w:r w:rsidRPr="003D362A">
        <w:rPr>
          <w:rFonts w:ascii="Times New Roman" w:eastAsia="Times New Roman" w:hAnsi="Times New Roman" w:cs="Times New Roman"/>
          <w:b/>
          <w:kern w:val="0"/>
          <w:lang w:eastAsia="en-IN"/>
          <w14:ligatures w14:val="none"/>
        </w:rPr>
        <w:t xml:space="preserve"> </w:t>
      </w:r>
      <w:r w:rsidRPr="00766BEC">
        <w:rPr>
          <w:rFonts w:ascii="Times New Roman" w:eastAsia="Times New Roman" w:hAnsi="Times New Roman" w:cs="Times New Roman"/>
          <w:kern w:val="0"/>
          <w:lang w:eastAsia="en-IN"/>
          <w14:ligatures w14:val="none"/>
        </w:rPr>
        <w:t xml:space="preserve">provide a flexible and expressive mathematical foundation for </w:t>
      </w:r>
      <w:r w:rsidR="003D362A" w:rsidRPr="00766BEC">
        <w:rPr>
          <w:rFonts w:ascii="Times New Roman" w:eastAsia="Times New Roman" w:hAnsi="Times New Roman" w:cs="Times New Roman"/>
          <w:kern w:val="0"/>
          <w:lang w:eastAsia="en-IN"/>
          <w14:ligatures w14:val="none"/>
        </w:rPr>
        <w:t>modelling</w:t>
      </w:r>
      <w:r w:rsidRPr="00766BEC">
        <w:rPr>
          <w:rFonts w:ascii="Times New Roman" w:eastAsia="Times New Roman" w:hAnsi="Times New Roman" w:cs="Times New Roman"/>
          <w:kern w:val="0"/>
          <w:lang w:eastAsia="en-IN"/>
          <w14:ligatures w14:val="none"/>
        </w:rPr>
        <w:t xml:space="preserve"> these interactions, offering insights and solutions where traditional, rigid mathematical approaches may be insufficient.</w:t>
      </w:r>
    </w:p>
    <w:p w14:paraId="29677069" w14:textId="50FFB413" w:rsidR="00134BC4" w:rsidRPr="00766BEC" w:rsidRDefault="00134BC4" w:rsidP="005F0E9A">
      <w:pPr>
        <w:pStyle w:val="ListParagraph"/>
        <w:numPr>
          <w:ilvl w:val="0"/>
          <w:numId w:val="10"/>
        </w:numPr>
        <w:spacing w:line="276" w:lineRule="auto"/>
        <w:jc w:val="both"/>
        <w:rPr>
          <w:rFonts w:ascii="Times New Roman" w:hAnsi="Times New Roman" w:cs="Times New Roman"/>
          <w:b/>
          <w:bCs/>
        </w:rPr>
      </w:pPr>
      <w:r w:rsidRPr="00766BEC">
        <w:rPr>
          <w:rFonts w:ascii="Times New Roman" w:hAnsi="Times New Roman" w:cs="Times New Roman"/>
          <w:b/>
          <w:bCs/>
        </w:rPr>
        <w:t>Conclusion​</w:t>
      </w:r>
    </w:p>
    <w:p w14:paraId="5760858D" w14:textId="4BA675BC" w:rsidR="00134BC4" w:rsidRPr="00766BEC" w:rsidRDefault="00134BC4" w:rsidP="00BF7A59">
      <w:pPr>
        <w:spacing w:line="276" w:lineRule="auto"/>
        <w:jc w:val="both"/>
        <w:rPr>
          <w:rFonts w:ascii="Times New Roman" w:hAnsi="Times New Roman" w:cs="Times New Roman"/>
        </w:rPr>
      </w:pPr>
      <w:r w:rsidRPr="00766BEC">
        <w:rPr>
          <w:rFonts w:ascii="Times New Roman" w:hAnsi="Times New Roman" w:cs="Times New Roman"/>
        </w:rPr>
        <w:t xml:space="preserve">Generalized Topological Spaces and Graph Generalized Topological Spaces provide powerful mathematical tools for </w:t>
      </w:r>
      <w:r w:rsidR="006D071D" w:rsidRPr="00766BEC">
        <w:rPr>
          <w:rFonts w:ascii="Times New Roman" w:hAnsi="Times New Roman" w:cs="Times New Roman"/>
        </w:rPr>
        <w:t>modelling</w:t>
      </w:r>
      <w:r w:rsidRPr="00766BEC">
        <w:rPr>
          <w:rFonts w:ascii="Times New Roman" w:hAnsi="Times New Roman" w:cs="Times New Roman"/>
        </w:rPr>
        <w:t xml:space="preserve"> the multifaceted and often uncertain nature of sustainable development challenges. By offering a flexible framework that can accommodate incomplete information and non-crisp boundaries, GTS and GGTS enable a more comprehensive analysis of complex systems related to resource management, urban planning, and environmental protection. Future research will focus on developing specific algorithms and computational tools based on these topological concepts to provide actionable insights for achieving the United Nations' Sustainable Development Goals.</w:t>
      </w:r>
    </w:p>
    <w:p w14:paraId="7E05BF99" w14:textId="66710B2A" w:rsidR="00134BC4" w:rsidRPr="00766BEC" w:rsidRDefault="00134BC4" w:rsidP="00BF7A59">
      <w:pPr>
        <w:spacing w:line="276" w:lineRule="auto"/>
        <w:jc w:val="both"/>
        <w:rPr>
          <w:rFonts w:ascii="Times New Roman" w:hAnsi="Times New Roman" w:cs="Times New Roman"/>
        </w:rPr>
      </w:pPr>
      <w:r w:rsidRPr="00766BEC">
        <w:rPr>
          <w:rFonts w:ascii="Times New Roman" w:hAnsi="Times New Roman" w:cs="Times New Roman"/>
        </w:rPr>
        <w:t>Research in sustainable development often involves fields like environmental science, economics, and social studies, and deals with real-world challenges such as climate change and resource management involves three pillars: economic development, social equity, and environmental protection</w:t>
      </w:r>
    </w:p>
    <w:p w14:paraId="128DB994" w14:textId="35EAAD34" w:rsidR="00134BC4" w:rsidRPr="00766BEC" w:rsidRDefault="00766BEC" w:rsidP="00BF7A59">
      <w:pPr>
        <w:spacing w:line="276" w:lineRule="auto"/>
        <w:jc w:val="both"/>
        <w:rPr>
          <w:rFonts w:ascii="Times New Roman" w:hAnsi="Times New Roman" w:cs="Times New Roman"/>
          <w:b/>
        </w:rPr>
      </w:pPr>
      <w:r w:rsidRPr="00766BEC">
        <w:rPr>
          <w:rFonts w:ascii="Times New Roman" w:hAnsi="Times New Roman" w:cs="Times New Roman"/>
          <w:b/>
        </w:rPr>
        <w:t xml:space="preserve">        7.  </w:t>
      </w:r>
      <w:r w:rsidR="00134BC4" w:rsidRPr="00766BEC">
        <w:rPr>
          <w:rFonts w:ascii="Times New Roman" w:hAnsi="Times New Roman" w:cs="Times New Roman"/>
          <w:b/>
        </w:rPr>
        <w:t>Reference</w:t>
      </w:r>
      <w:r w:rsidR="003D362A">
        <w:rPr>
          <w:rFonts w:ascii="Times New Roman" w:hAnsi="Times New Roman" w:cs="Times New Roman"/>
          <w:b/>
        </w:rPr>
        <w:t>s</w:t>
      </w:r>
    </w:p>
    <w:p w14:paraId="31E873FE" w14:textId="367C1C18" w:rsidR="007D24FB" w:rsidRPr="00766BEC" w:rsidRDefault="00766BEC" w:rsidP="00BF7A59">
      <w:pPr>
        <w:spacing w:line="276" w:lineRule="auto"/>
        <w:jc w:val="both"/>
        <w:rPr>
          <w:rStyle w:val="Hyperlink"/>
          <w:rFonts w:ascii="Times New Roman" w:hAnsi="Times New Roman" w:cs="Times New Roman"/>
          <w:color w:val="000000" w:themeColor="text1"/>
          <w:u w:val="none"/>
        </w:rPr>
      </w:pPr>
      <w:r w:rsidRPr="00766BEC">
        <w:rPr>
          <w:rStyle w:val="Hyperlink"/>
          <w:rFonts w:ascii="Times New Roman" w:hAnsi="Times New Roman" w:cs="Times New Roman"/>
          <w:color w:val="000000" w:themeColor="text1"/>
          <w:u w:val="none"/>
        </w:rPr>
        <w:t xml:space="preserve"> </w:t>
      </w:r>
      <w:r w:rsidR="00985282" w:rsidRPr="00766BEC">
        <w:rPr>
          <w:rStyle w:val="Hyperlink"/>
          <w:rFonts w:ascii="Times New Roman" w:hAnsi="Times New Roman" w:cs="Times New Roman"/>
          <w:color w:val="000000" w:themeColor="text1"/>
          <w:u w:val="none"/>
        </w:rPr>
        <w:t xml:space="preserve">[1] </w:t>
      </w:r>
      <w:r w:rsidR="007D24FB" w:rsidRPr="00766BEC">
        <w:rPr>
          <w:rFonts w:ascii="Times New Roman" w:hAnsi="Times New Roman" w:cs="Times New Roman"/>
        </w:rPr>
        <w:t xml:space="preserve">Á. Császár, “Generalized topology, generalized continuity,” </w:t>
      </w:r>
      <w:r w:rsidR="007D24FB" w:rsidRPr="00766BEC">
        <w:rPr>
          <w:rStyle w:val="Emphasis"/>
          <w:rFonts w:ascii="Times New Roman" w:hAnsi="Times New Roman" w:cs="Times New Roman"/>
        </w:rPr>
        <w:t xml:space="preserve">Acta Mathematica </w:t>
      </w:r>
      <w:proofErr w:type="spellStart"/>
      <w:r w:rsidR="007D24FB" w:rsidRPr="00766BEC">
        <w:rPr>
          <w:rStyle w:val="Emphasis"/>
          <w:rFonts w:ascii="Times New Roman" w:hAnsi="Times New Roman" w:cs="Times New Roman"/>
        </w:rPr>
        <w:t>Hungarica</w:t>
      </w:r>
      <w:proofErr w:type="spellEnd"/>
      <w:r w:rsidR="007D24FB" w:rsidRPr="00766BEC">
        <w:rPr>
          <w:rFonts w:ascii="Times New Roman" w:hAnsi="Times New Roman" w:cs="Times New Roman"/>
        </w:rPr>
        <w:t>, vol. 96, no. 4, pp. 351–357, 2002.</w:t>
      </w:r>
      <w:r w:rsidR="007D24FB" w:rsidRPr="00766BEC">
        <w:rPr>
          <w:rStyle w:val="Hyperlink"/>
          <w:rFonts w:ascii="Times New Roman" w:hAnsi="Times New Roman" w:cs="Times New Roman"/>
          <w:color w:val="000000" w:themeColor="text1"/>
          <w:u w:val="none"/>
        </w:rPr>
        <w:t xml:space="preserve"> </w:t>
      </w:r>
    </w:p>
    <w:p w14:paraId="7C881F4A" w14:textId="3DB6A1E7" w:rsidR="00985282" w:rsidRPr="00766BEC" w:rsidRDefault="00985282" w:rsidP="00BF7A59">
      <w:pPr>
        <w:spacing w:line="276" w:lineRule="auto"/>
        <w:jc w:val="both"/>
        <w:rPr>
          <w:rFonts w:ascii="Times New Roman" w:hAnsi="Times New Roman" w:cs="Times New Roman"/>
        </w:rPr>
      </w:pPr>
      <w:r w:rsidRPr="00766BEC">
        <w:rPr>
          <w:rStyle w:val="Hyperlink"/>
          <w:rFonts w:ascii="Times New Roman" w:hAnsi="Times New Roman" w:cs="Times New Roman"/>
          <w:color w:val="000000" w:themeColor="text1"/>
          <w:u w:val="none"/>
        </w:rPr>
        <w:t>[2]</w:t>
      </w:r>
      <w:r w:rsidRPr="00766BEC">
        <w:rPr>
          <w:rStyle w:val="Hyperlink"/>
          <w:rFonts w:ascii="Times New Roman" w:hAnsi="Times New Roman" w:cs="Times New Roman"/>
        </w:rPr>
        <w:t xml:space="preserve"> </w:t>
      </w:r>
      <w:r w:rsidRPr="00766BEC">
        <w:rPr>
          <w:rFonts w:ascii="Times New Roman" w:hAnsi="Times New Roman" w:cs="Times New Roman"/>
        </w:rPr>
        <w:t xml:space="preserve">B. K. Tyagi &amp; H. V. S. Chauhan, </w:t>
      </w:r>
      <w:r w:rsidRPr="00766BEC">
        <w:rPr>
          <w:rStyle w:val="Emphasis"/>
          <w:rFonts w:ascii="Times New Roman" w:hAnsi="Times New Roman" w:cs="Times New Roman"/>
        </w:rPr>
        <w:t>“On generalized closed sets in generalized topological spaces (GTSs).”</w:t>
      </w:r>
      <w:r w:rsidRPr="00766BEC">
        <w:rPr>
          <w:rFonts w:ascii="Times New Roman" w:hAnsi="Times New Roman" w:cs="Times New Roman"/>
        </w:rPr>
        <w:t xml:space="preserve"> </w:t>
      </w:r>
      <w:r w:rsidRPr="00766BEC">
        <w:rPr>
          <w:rStyle w:val="Emphasis"/>
          <w:rFonts w:ascii="Times New Roman" w:hAnsi="Times New Roman" w:cs="Times New Roman"/>
        </w:rPr>
        <w:t>CUBO A Mathematical Journal</w:t>
      </w:r>
      <w:r w:rsidRPr="00766BEC">
        <w:rPr>
          <w:rFonts w:ascii="Times New Roman" w:hAnsi="Times New Roman" w:cs="Times New Roman"/>
        </w:rPr>
        <w:t xml:space="preserve"> 18(1) (2016), pp. 27-45.</w:t>
      </w:r>
    </w:p>
    <w:p w14:paraId="439013BC" w14:textId="02A0AD03" w:rsidR="00E82E1D" w:rsidRPr="00766BEC" w:rsidRDefault="00E82E1D" w:rsidP="00BF7A59">
      <w:pPr>
        <w:spacing w:line="276" w:lineRule="auto"/>
        <w:jc w:val="both"/>
        <w:rPr>
          <w:rFonts w:ascii="Times New Roman" w:hAnsi="Times New Roman" w:cs="Times New Roman"/>
          <w:shd w:val="clear" w:color="auto" w:fill="FFFFFF"/>
        </w:rPr>
      </w:pPr>
      <w:r w:rsidRPr="00766BEC">
        <w:rPr>
          <w:rFonts w:ascii="Times New Roman" w:hAnsi="Times New Roman" w:cs="Times New Roman"/>
        </w:rPr>
        <w:t>[3]</w:t>
      </w:r>
      <w:r w:rsidRPr="00766BEC">
        <w:rPr>
          <w:rFonts w:ascii="Times New Roman" w:hAnsi="Times New Roman" w:cs="Times New Roman"/>
          <w:shd w:val="clear" w:color="auto" w:fill="FFFFFF"/>
        </w:rPr>
        <w:t xml:space="preserve"> </w:t>
      </w:r>
      <w:r w:rsidRPr="00766BEC">
        <w:rPr>
          <w:rFonts w:ascii="Times New Roman" w:hAnsi="Times New Roman" w:cs="Times New Roman"/>
          <w:color w:val="000000" w:themeColor="text1"/>
        </w:rPr>
        <w:t>Á. Császár</w:t>
      </w:r>
      <w:r w:rsidRPr="00766BEC">
        <w:rPr>
          <w:rFonts w:ascii="Times New Roman" w:hAnsi="Times New Roman" w:cs="Times New Roman"/>
          <w:shd w:val="clear" w:color="auto" w:fill="FFFFFF"/>
        </w:rPr>
        <w:t>, “</w:t>
      </w:r>
      <w:r w:rsidRPr="00766BEC">
        <w:rPr>
          <w:rFonts w:ascii="Times New Roman" w:hAnsi="Times New Roman" w:cs="Times New Roman"/>
          <w:i/>
          <w:shd w:val="clear" w:color="auto" w:fill="FFFFFF"/>
        </w:rPr>
        <w:t>Remarks on quasi-topologies”</w:t>
      </w:r>
      <w:r w:rsidRPr="00766BEC">
        <w:rPr>
          <w:rFonts w:ascii="Times New Roman" w:hAnsi="Times New Roman" w:cs="Times New Roman"/>
          <w:shd w:val="clear" w:color="auto" w:fill="FFFFFF"/>
        </w:rPr>
        <w:t xml:space="preserve">, Acta Math. </w:t>
      </w:r>
      <w:proofErr w:type="spellStart"/>
      <w:r w:rsidRPr="00766BEC">
        <w:rPr>
          <w:rFonts w:ascii="Times New Roman" w:hAnsi="Times New Roman" w:cs="Times New Roman"/>
          <w:shd w:val="clear" w:color="auto" w:fill="FFFFFF"/>
        </w:rPr>
        <w:t>Hungar</w:t>
      </w:r>
      <w:proofErr w:type="spellEnd"/>
      <w:r w:rsidRPr="00766BEC">
        <w:rPr>
          <w:rFonts w:ascii="Times New Roman" w:hAnsi="Times New Roman" w:cs="Times New Roman"/>
          <w:shd w:val="clear" w:color="auto" w:fill="FFFFFF"/>
        </w:rPr>
        <w:t>., 119 (1-2), (2008), pp197 - 200.</w:t>
      </w:r>
    </w:p>
    <w:p w14:paraId="1F4FC46C" w14:textId="74941279" w:rsidR="00B262D6" w:rsidRPr="00766BEC" w:rsidRDefault="00B262D6" w:rsidP="00BF7A59">
      <w:pPr>
        <w:spacing w:line="276" w:lineRule="auto"/>
        <w:jc w:val="both"/>
        <w:rPr>
          <w:rFonts w:ascii="Times New Roman" w:hAnsi="Times New Roman" w:cs="Times New Roman"/>
          <w:shd w:val="clear" w:color="auto" w:fill="FFFFFF"/>
        </w:rPr>
      </w:pPr>
      <w:r w:rsidRPr="00766BEC">
        <w:rPr>
          <w:rFonts w:ascii="Times New Roman" w:hAnsi="Times New Roman" w:cs="Times New Roman"/>
          <w:shd w:val="clear" w:color="auto" w:fill="FFFFFF"/>
        </w:rPr>
        <w:lastRenderedPageBreak/>
        <w:t xml:space="preserve">[4] </w:t>
      </w:r>
      <w:r w:rsidRPr="00766BEC">
        <w:rPr>
          <w:rFonts w:ascii="Times New Roman" w:hAnsi="Times New Roman" w:cs="Times New Roman"/>
          <w:color w:val="000000" w:themeColor="text1"/>
        </w:rPr>
        <w:t>Á. Császár</w:t>
      </w:r>
      <w:r w:rsidRPr="00766BEC">
        <w:rPr>
          <w:rFonts w:ascii="Times New Roman" w:hAnsi="Times New Roman" w:cs="Times New Roman"/>
          <w:shd w:val="clear" w:color="auto" w:fill="FFFFFF"/>
        </w:rPr>
        <w:t>, “</w:t>
      </w:r>
      <w:r w:rsidRPr="00766BEC">
        <w:rPr>
          <w:rFonts w:ascii="Times New Roman" w:hAnsi="Times New Roman" w:cs="Times New Roman"/>
          <w:i/>
          <w:shd w:val="clear" w:color="auto" w:fill="FFFFFF"/>
        </w:rPr>
        <w:t>Modifications of generalized topologies via hereditary classes”</w:t>
      </w:r>
      <w:r w:rsidRPr="00766BEC">
        <w:rPr>
          <w:rFonts w:ascii="Times New Roman" w:hAnsi="Times New Roman" w:cs="Times New Roman"/>
          <w:shd w:val="clear" w:color="auto" w:fill="FFFFFF"/>
        </w:rPr>
        <w:t>, Acta Math. Hun-gar., 115, (2007), pp. 29 - 36.</w:t>
      </w:r>
    </w:p>
    <w:p w14:paraId="1B0FB2FC" w14:textId="017DDF73" w:rsidR="006D071D" w:rsidRPr="006D071D" w:rsidRDefault="006D071D" w:rsidP="006D071D">
      <w:pPr>
        <w:spacing w:before="100" w:beforeAutospacing="1" w:after="100" w:afterAutospacing="1" w:line="240" w:lineRule="auto"/>
        <w:rPr>
          <w:rFonts w:ascii="Times New Roman" w:eastAsia="Times New Roman" w:hAnsi="Times New Roman" w:cs="Times New Roman"/>
          <w:kern w:val="0"/>
          <w:lang w:eastAsia="en-IN"/>
          <w14:ligatures w14:val="none"/>
        </w:rPr>
      </w:pPr>
      <w:r w:rsidRPr="00766BEC">
        <w:rPr>
          <w:rFonts w:ascii="Times New Roman" w:eastAsia="Times New Roman" w:hAnsi="Times New Roman" w:cs="Times New Roman"/>
          <w:kern w:val="0"/>
          <w:lang w:eastAsia="en-IN"/>
          <w14:ligatures w14:val="none"/>
        </w:rPr>
        <w:t>[5</w:t>
      </w:r>
      <w:r w:rsidRPr="006D071D">
        <w:rPr>
          <w:rFonts w:ascii="Times New Roman" w:eastAsia="Times New Roman" w:hAnsi="Times New Roman" w:cs="Times New Roman"/>
          <w:kern w:val="0"/>
          <w:lang w:eastAsia="en-IN"/>
          <w14:ligatures w14:val="none"/>
        </w:rPr>
        <w:t xml:space="preserve">] United Nations, </w:t>
      </w:r>
      <w:r w:rsidRPr="00766BEC">
        <w:rPr>
          <w:rFonts w:ascii="Times New Roman" w:eastAsia="Times New Roman" w:hAnsi="Times New Roman" w:cs="Times New Roman"/>
          <w:i/>
          <w:iCs/>
          <w:kern w:val="0"/>
          <w:lang w:eastAsia="en-IN"/>
          <w14:ligatures w14:val="none"/>
        </w:rPr>
        <w:t>The Sustainable Development Goals Report</w:t>
      </w:r>
      <w:r w:rsidRPr="006D071D">
        <w:rPr>
          <w:rFonts w:ascii="Times New Roman" w:eastAsia="Times New Roman" w:hAnsi="Times New Roman" w:cs="Times New Roman"/>
          <w:kern w:val="0"/>
          <w:lang w:eastAsia="en-IN"/>
          <w14:ligatures w14:val="none"/>
        </w:rPr>
        <w:t>, United Nations, New York, NY, USA, 2023.</w:t>
      </w:r>
    </w:p>
    <w:p w14:paraId="44521DA7" w14:textId="618B51EA" w:rsidR="006D071D" w:rsidRPr="006D071D" w:rsidRDefault="006D071D" w:rsidP="006D071D">
      <w:pPr>
        <w:spacing w:before="100" w:beforeAutospacing="1" w:after="100" w:afterAutospacing="1" w:line="240" w:lineRule="auto"/>
        <w:rPr>
          <w:rFonts w:ascii="Times New Roman" w:eastAsia="Times New Roman" w:hAnsi="Times New Roman" w:cs="Times New Roman"/>
          <w:kern w:val="0"/>
          <w:lang w:eastAsia="en-IN"/>
          <w14:ligatures w14:val="none"/>
        </w:rPr>
      </w:pPr>
      <w:r w:rsidRPr="00766BEC">
        <w:rPr>
          <w:rFonts w:ascii="Times New Roman" w:eastAsia="Times New Roman" w:hAnsi="Times New Roman" w:cs="Times New Roman"/>
          <w:kern w:val="0"/>
          <w:lang w:eastAsia="en-IN"/>
          <w14:ligatures w14:val="none"/>
        </w:rPr>
        <w:t>[6</w:t>
      </w:r>
      <w:r w:rsidRPr="006D071D">
        <w:rPr>
          <w:rFonts w:ascii="Times New Roman" w:eastAsia="Times New Roman" w:hAnsi="Times New Roman" w:cs="Times New Roman"/>
          <w:kern w:val="0"/>
          <w:lang w:eastAsia="en-IN"/>
          <w14:ligatures w14:val="none"/>
        </w:rPr>
        <w:t xml:space="preserve">] A. de Sherbinin, et al., “Data gaps in SDG monitoring and implementation,” </w:t>
      </w:r>
      <w:r w:rsidRPr="00766BEC">
        <w:rPr>
          <w:rFonts w:ascii="Times New Roman" w:eastAsia="Times New Roman" w:hAnsi="Times New Roman" w:cs="Times New Roman"/>
          <w:i/>
          <w:iCs/>
          <w:kern w:val="0"/>
          <w:lang w:eastAsia="en-IN"/>
          <w14:ligatures w14:val="none"/>
        </w:rPr>
        <w:t>Nature Sustainability</w:t>
      </w:r>
      <w:r w:rsidRPr="006D071D">
        <w:rPr>
          <w:rFonts w:ascii="Times New Roman" w:eastAsia="Times New Roman" w:hAnsi="Times New Roman" w:cs="Times New Roman"/>
          <w:kern w:val="0"/>
          <w:lang w:eastAsia="en-IN"/>
          <w14:ligatures w14:val="none"/>
        </w:rPr>
        <w:t>, vol. 1, no. 12, pp. 787–795, 2018.</w:t>
      </w:r>
    </w:p>
    <w:p w14:paraId="1D485AAC" w14:textId="797266A3" w:rsidR="006D071D" w:rsidRPr="006D071D" w:rsidRDefault="006D071D" w:rsidP="006D071D">
      <w:pPr>
        <w:spacing w:before="100" w:beforeAutospacing="1" w:after="100" w:afterAutospacing="1" w:line="240" w:lineRule="auto"/>
        <w:rPr>
          <w:rFonts w:ascii="Times New Roman" w:eastAsia="Times New Roman" w:hAnsi="Times New Roman" w:cs="Times New Roman"/>
          <w:kern w:val="0"/>
          <w:lang w:eastAsia="en-IN"/>
          <w14:ligatures w14:val="none"/>
        </w:rPr>
      </w:pPr>
      <w:r w:rsidRPr="00766BEC">
        <w:rPr>
          <w:rFonts w:ascii="Times New Roman" w:eastAsia="Times New Roman" w:hAnsi="Times New Roman" w:cs="Times New Roman"/>
          <w:kern w:val="0"/>
          <w:lang w:eastAsia="en-IN"/>
          <w14:ligatures w14:val="none"/>
        </w:rPr>
        <w:t>[7</w:t>
      </w:r>
      <w:r w:rsidRPr="006D071D">
        <w:rPr>
          <w:rFonts w:ascii="Times New Roman" w:eastAsia="Times New Roman" w:hAnsi="Times New Roman" w:cs="Times New Roman"/>
          <w:kern w:val="0"/>
          <w:lang w:eastAsia="en-IN"/>
          <w14:ligatures w14:val="none"/>
        </w:rPr>
        <w:t xml:space="preserve">] M. Nilsson, D. Griggs, and M. </w:t>
      </w:r>
      <w:proofErr w:type="spellStart"/>
      <w:r w:rsidRPr="006D071D">
        <w:rPr>
          <w:rFonts w:ascii="Times New Roman" w:eastAsia="Times New Roman" w:hAnsi="Times New Roman" w:cs="Times New Roman"/>
          <w:kern w:val="0"/>
          <w:lang w:eastAsia="en-IN"/>
          <w14:ligatures w14:val="none"/>
        </w:rPr>
        <w:t>Visbeck</w:t>
      </w:r>
      <w:proofErr w:type="spellEnd"/>
      <w:r w:rsidRPr="006D071D">
        <w:rPr>
          <w:rFonts w:ascii="Times New Roman" w:eastAsia="Times New Roman" w:hAnsi="Times New Roman" w:cs="Times New Roman"/>
          <w:kern w:val="0"/>
          <w:lang w:eastAsia="en-IN"/>
          <w14:ligatures w14:val="none"/>
        </w:rPr>
        <w:t xml:space="preserve">, “Policy: Map the interactions between Sustainable Development Goals,” </w:t>
      </w:r>
      <w:r w:rsidRPr="00766BEC">
        <w:rPr>
          <w:rFonts w:ascii="Times New Roman" w:eastAsia="Times New Roman" w:hAnsi="Times New Roman" w:cs="Times New Roman"/>
          <w:i/>
          <w:iCs/>
          <w:kern w:val="0"/>
          <w:lang w:eastAsia="en-IN"/>
          <w14:ligatures w14:val="none"/>
        </w:rPr>
        <w:t>Nature</w:t>
      </w:r>
      <w:r w:rsidRPr="006D071D">
        <w:rPr>
          <w:rFonts w:ascii="Times New Roman" w:eastAsia="Times New Roman" w:hAnsi="Times New Roman" w:cs="Times New Roman"/>
          <w:kern w:val="0"/>
          <w:lang w:eastAsia="en-IN"/>
          <w14:ligatures w14:val="none"/>
        </w:rPr>
        <w:t>, vol. 534, no. 7607, pp. 320–322, 2016.</w:t>
      </w:r>
    </w:p>
    <w:p w14:paraId="7BCB4B80" w14:textId="6FCFCBF1" w:rsidR="006D071D" w:rsidRPr="006D071D" w:rsidRDefault="006D071D" w:rsidP="006D071D">
      <w:pPr>
        <w:spacing w:before="100" w:beforeAutospacing="1" w:after="100" w:afterAutospacing="1" w:line="240" w:lineRule="auto"/>
        <w:rPr>
          <w:rFonts w:ascii="Times New Roman" w:eastAsia="Times New Roman" w:hAnsi="Times New Roman" w:cs="Times New Roman"/>
          <w:kern w:val="0"/>
          <w:lang w:eastAsia="en-IN"/>
          <w14:ligatures w14:val="none"/>
        </w:rPr>
      </w:pPr>
      <w:r w:rsidRPr="00766BEC">
        <w:rPr>
          <w:rFonts w:ascii="Times New Roman" w:eastAsia="Times New Roman" w:hAnsi="Times New Roman" w:cs="Times New Roman"/>
          <w:kern w:val="0"/>
          <w:lang w:eastAsia="en-IN"/>
          <w14:ligatures w14:val="none"/>
        </w:rPr>
        <w:t>[8</w:t>
      </w:r>
      <w:r w:rsidRPr="006D071D">
        <w:rPr>
          <w:rFonts w:ascii="Times New Roman" w:eastAsia="Times New Roman" w:hAnsi="Times New Roman" w:cs="Times New Roman"/>
          <w:kern w:val="0"/>
          <w:lang w:eastAsia="en-IN"/>
          <w14:ligatures w14:val="none"/>
        </w:rPr>
        <w:t xml:space="preserve">] P. Pradhan, L. Costa, D. Rybski, W. Lucht, and J. P. Kropp, “A systematic study of Sustainable Development Goal interactions,” </w:t>
      </w:r>
      <w:r w:rsidRPr="00766BEC">
        <w:rPr>
          <w:rFonts w:ascii="Times New Roman" w:eastAsia="Times New Roman" w:hAnsi="Times New Roman" w:cs="Times New Roman"/>
          <w:i/>
          <w:iCs/>
          <w:kern w:val="0"/>
          <w:lang w:eastAsia="en-IN"/>
          <w14:ligatures w14:val="none"/>
        </w:rPr>
        <w:t>Earth’s Future</w:t>
      </w:r>
      <w:r w:rsidRPr="006D071D">
        <w:rPr>
          <w:rFonts w:ascii="Times New Roman" w:eastAsia="Times New Roman" w:hAnsi="Times New Roman" w:cs="Times New Roman"/>
          <w:kern w:val="0"/>
          <w:lang w:eastAsia="en-IN"/>
          <w14:ligatures w14:val="none"/>
        </w:rPr>
        <w:t>, vol. 5, no. 11, pp. 1169–1179, 2017.</w:t>
      </w:r>
    </w:p>
    <w:p w14:paraId="411C7798" w14:textId="6EED02EE" w:rsidR="006D071D" w:rsidRPr="006D071D" w:rsidRDefault="006D071D" w:rsidP="006D071D">
      <w:pPr>
        <w:spacing w:before="100" w:beforeAutospacing="1" w:after="100" w:afterAutospacing="1" w:line="240" w:lineRule="auto"/>
        <w:rPr>
          <w:rFonts w:ascii="Times New Roman" w:eastAsia="Times New Roman" w:hAnsi="Times New Roman" w:cs="Times New Roman"/>
          <w:kern w:val="0"/>
          <w:lang w:eastAsia="en-IN"/>
          <w14:ligatures w14:val="none"/>
        </w:rPr>
      </w:pPr>
      <w:r w:rsidRPr="00766BEC">
        <w:rPr>
          <w:rFonts w:ascii="Times New Roman" w:eastAsia="Times New Roman" w:hAnsi="Times New Roman" w:cs="Times New Roman"/>
          <w:kern w:val="0"/>
          <w:lang w:eastAsia="en-IN"/>
          <w14:ligatures w14:val="none"/>
        </w:rPr>
        <w:t>[9</w:t>
      </w:r>
      <w:r w:rsidRPr="006D071D">
        <w:rPr>
          <w:rFonts w:ascii="Times New Roman" w:eastAsia="Times New Roman" w:hAnsi="Times New Roman" w:cs="Times New Roman"/>
          <w:kern w:val="0"/>
          <w:lang w:eastAsia="en-IN"/>
          <w14:ligatures w14:val="none"/>
        </w:rPr>
        <w:t xml:space="preserve">] F. Biermann, N. Kanie, and R. E. Kim, “Global governance by goal-setting: The Sustainable Development Goals as a governance innovation,” </w:t>
      </w:r>
      <w:r w:rsidRPr="00766BEC">
        <w:rPr>
          <w:rFonts w:ascii="Times New Roman" w:eastAsia="Times New Roman" w:hAnsi="Times New Roman" w:cs="Times New Roman"/>
          <w:i/>
          <w:iCs/>
          <w:kern w:val="0"/>
          <w:lang w:eastAsia="en-IN"/>
          <w14:ligatures w14:val="none"/>
        </w:rPr>
        <w:t>Current Opinion in Environmental Sustainability</w:t>
      </w:r>
      <w:r w:rsidRPr="006D071D">
        <w:rPr>
          <w:rFonts w:ascii="Times New Roman" w:eastAsia="Times New Roman" w:hAnsi="Times New Roman" w:cs="Times New Roman"/>
          <w:kern w:val="0"/>
          <w:lang w:eastAsia="en-IN"/>
          <w14:ligatures w14:val="none"/>
        </w:rPr>
        <w:t>, vol. 26–27, pp. 26–31, 2017.</w:t>
      </w:r>
    </w:p>
    <w:p w14:paraId="7C24D310" w14:textId="4192EE44" w:rsidR="006D071D" w:rsidRPr="006D071D" w:rsidRDefault="006D071D" w:rsidP="006D071D">
      <w:pPr>
        <w:spacing w:before="100" w:beforeAutospacing="1" w:after="100" w:afterAutospacing="1" w:line="240" w:lineRule="auto"/>
        <w:rPr>
          <w:rFonts w:ascii="Times New Roman" w:eastAsia="Times New Roman" w:hAnsi="Times New Roman" w:cs="Times New Roman"/>
          <w:kern w:val="0"/>
          <w:lang w:eastAsia="en-IN"/>
          <w14:ligatures w14:val="none"/>
        </w:rPr>
      </w:pPr>
      <w:r w:rsidRPr="00766BEC">
        <w:rPr>
          <w:rFonts w:ascii="Times New Roman" w:eastAsia="Times New Roman" w:hAnsi="Times New Roman" w:cs="Times New Roman"/>
          <w:kern w:val="0"/>
          <w:lang w:eastAsia="en-IN"/>
          <w14:ligatures w14:val="none"/>
        </w:rPr>
        <w:t>[10</w:t>
      </w:r>
      <w:r w:rsidRPr="006D071D">
        <w:rPr>
          <w:rFonts w:ascii="Times New Roman" w:eastAsia="Times New Roman" w:hAnsi="Times New Roman" w:cs="Times New Roman"/>
          <w:kern w:val="0"/>
          <w:lang w:eastAsia="en-IN"/>
          <w14:ligatures w14:val="none"/>
        </w:rPr>
        <w:t xml:space="preserve">] D. Le Blanc, “Towards integration at last? The Sustainable Development Goals as a network of targets,” </w:t>
      </w:r>
      <w:r w:rsidRPr="00766BEC">
        <w:rPr>
          <w:rFonts w:ascii="Times New Roman" w:eastAsia="Times New Roman" w:hAnsi="Times New Roman" w:cs="Times New Roman"/>
          <w:i/>
          <w:iCs/>
          <w:kern w:val="0"/>
          <w:lang w:eastAsia="en-IN"/>
          <w14:ligatures w14:val="none"/>
        </w:rPr>
        <w:t>Sustainable Development</w:t>
      </w:r>
      <w:r w:rsidRPr="006D071D">
        <w:rPr>
          <w:rFonts w:ascii="Times New Roman" w:eastAsia="Times New Roman" w:hAnsi="Times New Roman" w:cs="Times New Roman"/>
          <w:kern w:val="0"/>
          <w:lang w:eastAsia="en-IN"/>
          <w14:ligatures w14:val="none"/>
        </w:rPr>
        <w:t>, vol. 23, no. 3, pp. 176–187, 2015.</w:t>
      </w:r>
    </w:p>
    <w:p w14:paraId="2BC20CA4" w14:textId="66CFBD80" w:rsidR="006D071D" w:rsidRPr="006D071D" w:rsidRDefault="006D071D" w:rsidP="006D071D">
      <w:pPr>
        <w:spacing w:before="100" w:beforeAutospacing="1" w:after="100" w:afterAutospacing="1" w:line="240" w:lineRule="auto"/>
        <w:rPr>
          <w:rFonts w:ascii="Times New Roman" w:eastAsia="Times New Roman" w:hAnsi="Times New Roman" w:cs="Times New Roman"/>
          <w:kern w:val="0"/>
          <w:lang w:eastAsia="en-IN"/>
          <w14:ligatures w14:val="none"/>
        </w:rPr>
      </w:pPr>
      <w:r w:rsidRPr="00766BEC">
        <w:rPr>
          <w:rFonts w:ascii="Times New Roman" w:eastAsia="Times New Roman" w:hAnsi="Times New Roman" w:cs="Times New Roman"/>
          <w:kern w:val="0"/>
          <w:lang w:eastAsia="en-IN"/>
          <w14:ligatures w14:val="none"/>
        </w:rPr>
        <w:t>[11</w:t>
      </w:r>
      <w:r w:rsidRPr="006D071D">
        <w:rPr>
          <w:rFonts w:ascii="Times New Roman" w:eastAsia="Times New Roman" w:hAnsi="Times New Roman" w:cs="Times New Roman"/>
          <w:kern w:val="0"/>
          <w:lang w:eastAsia="en-IN"/>
          <w14:ligatures w14:val="none"/>
        </w:rPr>
        <w:t xml:space="preserve">] C. Allen, G. </w:t>
      </w:r>
      <w:proofErr w:type="spellStart"/>
      <w:r w:rsidRPr="006D071D">
        <w:rPr>
          <w:rFonts w:ascii="Times New Roman" w:eastAsia="Times New Roman" w:hAnsi="Times New Roman" w:cs="Times New Roman"/>
          <w:kern w:val="0"/>
          <w:lang w:eastAsia="en-IN"/>
          <w14:ligatures w14:val="none"/>
        </w:rPr>
        <w:t>Metternicht</w:t>
      </w:r>
      <w:proofErr w:type="spellEnd"/>
      <w:r w:rsidRPr="006D071D">
        <w:rPr>
          <w:rFonts w:ascii="Times New Roman" w:eastAsia="Times New Roman" w:hAnsi="Times New Roman" w:cs="Times New Roman"/>
          <w:kern w:val="0"/>
          <w:lang w:eastAsia="en-IN"/>
          <w14:ligatures w14:val="none"/>
        </w:rPr>
        <w:t xml:space="preserve">, and T. Wiedmann, “Prioritising Sustainable Development Goals and targets: Assessing interactions,” </w:t>
      </w:r>
      <w:r w:rsidRPr="00766BEC">
        <w:rPr>
          <w:rFonts w:ascii="Times New Roman" w:eastAsia="Times New Roman" w:hAnsi="Times New Roman" w:cs="Times New Roman"/>
          <w:i/>
          <w:iCs/>
          <w:kern w:val="0"/>
          <w:lang w:eastAsia="en-IN"/>
          <w14:ligatures w14:val="none"/>
        </w:rPr>
        <w:t>Sustainable Development</w:t>
      </w:r>
      <w:r w:rsidRPr="006D071D">
        <w:rPr>
          <w:rFonts w:ascii="Times New Roman" w:eastAsia="Times New Roman" w:hAnsi="Times New Roman" w:cs="Times New Roman"/>
          <w:kern w:val="0"/>
          <w:lang w:eastAsia="en-IN"/>
          <w14:ligatures w14:val="none"/>
        </w:rPr>
        <w:t>, vol. 27, no. 1, pp. 59–71, 2019.</w:t>
      </w:r>
    </w:p>
    <w:p w14:paraId="4E6BC4EC" w14:textId="561D53E6" w:rsidR="006D071D" w:rsidRPr="00766BEC" w:rsidRDefault="006D071D" w:rsidP="006D071D">
      <w:pPr>
        <w:spacing w:before="100" w:beforeAutospacing="1" w:after="100" w:afterAutospacing="1" w:line="240" w:lineRule="auto"/>
        <w:rPr>
          <w:rFonts w:ascii="Times New Roman" w:eastAsia="Times New Roman" w:hAnsi="Times New Roman" w:cs="Times New Roman"/>
          <w:kern w:val="0"/>
          <w:lang w:eastAsia="en-IN"/>
          <w14:ligatures w14:val="none"/>
        </w:rPr>
      </w:pPr>
      <w:r w:rsidRPr="00766BEC">
        <w:rPr>
          <w:rFonts w:ascii="Times New Roman" w:eastAsia="Times New Roman" w:hAnsi="Times New Roman" w:cs="Times New Roman"/>
          <w:kern w:val="0"/>
          <w:lang w:eastAsia="en-IN"/>
          <w14:ligatures w14:val="none"/>
        </w:rPr>
        <w:t>[12</w:t>
      </w:r>
      <w:r w:rsidRPr="006D071D">
        <w:rPr>
          <w:rFonts w:ascii="Times New Roman" w:eastAsia="Times New Roman" w:hAnsi="Times New Roman" w:cs="Times New Roman"/>
          <w:kern w:val="0"/>
          <w:lang w:eastAsia="en-IN"/>
          <w14:ligatures w14:val="none"/>
        </w:rPr>
        <w:t xml:space="preserve">] R. </w:t>
      </w:r>
      <w:proofErr w:type="spellStart"/>
      <w:r w:rsidRPr="006D071D">
        <w:rPr>
          <w:rFonts w:ascii="Times New Roman" w:eastAsia="Times New Roman" w:hAnsi="Times New Roman" w:cs="Times New Roman"/>
          <w:kern w:val="0"/>
          <w:lang w:eastAsia="en-IN"/>
          <w14:ligatures w14:val="none"/>
        </w:rPr>
        <w:t>Vinuesa</w:t>
      </w:r>
      <w:proofErr w:type="spellEnd"/>
      <w:r w:rsidRPr="006D071D">
        <w:rPr>
          <w:rFonts w:ascii="Times New Roman" w:eastAsia="Times New Roman" w:hAnsi="Times New Roman" w:cs="Times New Roman"/>
          <w:kern w:val="0"/>
          <w:lang w:eastAsia="en-IN"/>
          <w14:ligatures w14:val="none"/>
        </w:rPr>
        <w:t xml:space="preserve">, et al., “The role of artificial intelligence in achieving the Sustainable Development Goals,” </w:t>
      </w:r>
      <w:r w:rsidRPr="00766BEC">
        <w:rPr>
          <w:rFonts w:ascii="Times New Roman" w:eastAsia="Times New Roman" w:hAnsi="Times New Roman" w:cs="Times New Roman"/>
          <w:i/>
          <w:iCs/>
          <w:kern w:val="0"/>
          <w:lang w:eastAsia="en-IN"/>
          <w14:ligatures w14:val="none"/>
        </w:rPr>
        <w:t>Nature Communications</w:t>
      </w:r>
      <w:r w:rsidRPr="006D071D">
        <w:rPr>
          <w:rFonts w:ascii="Times New Roman" w:eastAsia="Times New Roman" w:hAnsi="Times New Roman" w:cs="Times New Roman"/>
          <w:kern w:val="0"/>
          <w:lang w:eastAsia="en-IN"/>
          <w14:ligatures w14:val="none"/>
        </w:rPr>
        <w:t>, vol. 11, art. no. 233, 2020.</w:t>
      </w:r>
    </w:p>
    <w:p w14:paraId="226DF176" w14:textId="1036FD9B" w:rsidR="007D24FB" w:rsidRPr="00766BEC" w:rsidRDefault="007D24FB" w:rsidP="006D071D">
      <w:pPr>
        <w:spacing w:before="100" w:beforeAutospacing="1" w:after="100" w:afterAutospacing="1" w:line="240" w:lineRule="auto"/>
        <w:rPr>
          <w:rFonts w:ascii="Times New Roman" w:hAnsi="Times New Roman" w:cs="Times New Roman"/>
        </w:rPr>
      </w:pPr>
      <w:r w:rsidRPr="00766BEC">
        <w:rPr>
          <w:rFonts w:ascii="Times New Roman" w:eastAsia="Times New Roman" w:hAnsi="Times New Roman" w:cs="Times New Roman"/>
          <w:kern w:val="0"/>
          <w:lang w:eastAsia="en-IN"/>
          <w14:ligatures w14:val="none"/>
        </w:rPr>
        <w:t xml:space="preserve">[13] </w:t>
      </w:r>
      <w:r w:rsidRPr="00766BEC">
        <w:rPr>
          <w:rFonts w:ascii="Times New Roman" w:hAnsi="Times New Roman" w:cs="Times New Roman"/>
        </w:rPr>
        <w:t xml:space="preserve">D. S. </w:t>
      </w:r>
      <w:proofErr w:type="spellStart"/>
      <w:r w:rsidRPr="00766BEC">
        <w:rPr>
          <w:rFonts w:ascii="Times New Roman" w:hAnsi="Times New Roman" w:cs="Times New Roman"/>
        </w:rPr>
        <w:t>Mamut</w:t>
      </w:r>
      <w:proofErr w:type="spellEnd"/>
      <w:r w:rsidRPr="00766BEC">
        <w:rPr>
          <w:rFonts w:ascii="Times New Roman" w:hAnsi="Times New Roman" w:cs="Times New Roman"/>
        </w:rPr>
        <w:t xml:space="preserve"> and W. K. Min, “Topological structures on graphs,” </w:t>
      </w:r>
      <w:r w:rsidRPr="00766BEC">
        <w:rPr>
          <w:rStyle w:val="Emphasis"/>
          <w:rFonts w:ascii="Times New Roman" w:hAnsi="Times New Roman" w:cs="Times New Roman"/>
        </w:rPr>
        <w:t>Applied Mathematical Sciences</w:t>
      </w:r>
      <w:r w:rsidRPr="00766BEC">
        <w:rPr>
          <w:rFonts w:ascii="Times New Roman" w:hAnsi="Times New Roman" w:cs="Times New Roman"/>
        </w:rPr>
        <w:t>, vol. 5, no. 9, pp. 421–430, 2011.</w:t>
      </w:r>
    </w:p>
    <w:p w14:paraId="7FB5591B" w14:textId="7A53B6D1" w:rsidR="007D24FB" w:rsidRPr="00766BEC" w:rsidRDefault="007D24FB" w:rsidP="006D071D">
      <w:pPr>
        <w:spacing w:before="100" w:beforeAutospacing="1" w:after="100" w:afterAutospacing="1" w:line="240" w:lineRule="auto"/>
        <w:rPr>
          <w:rFonts w:ascii="Times New Roman" w:hAnsi="Times New Roman" w:cs="Times New Roman"/>
        </w:rPr>
      </w:pPr>
      <w:r w:rsidRPr="00766BEC">
        <w:rPr>
          <w:rFonts w:ascii="Times New Roman" w:hAnsi="Times New Roman" w:cs="Times New Roman"/>
        </w:rPr>
        <w:t xml:space="preserve">[14] J. L. Gross and T. W. Tucker, </w:t>
      </w:r>
      <w:r w:rsidRPr="00766BEC">
        <w:rPr>
          <w:rStyle w:val="Emphasis"/>
          <w:rFonts w:ascii="Times New Roman" w:hAnsi="Times New Roman" w:cs="Times New Roman"/>
        </w:rPr>
        <w:t>Topological Graph Theory</w:t>
      </w:r>
      <w:r w:rsidRPr="00766BEC">
        <w:rPr>
          <w:rFonts w:ascii="Times New Roman" w:hAnsi="Times New Roman" w:cs="Times New Roman"/>
        </w:rPr>
        <w:t>. New York, NY, USA: Wiley-</w:t>
      </w:r>
      <w:proofErr w:type="spellStart"/>
      <w:r w:rsidRPr="00766BEC">
        <w:rPr>
          <w:rFonts w:ascii="Times New Roman" w:hAnsi="Times New Roman" w:cs="Times New Roman"/>
        </w:rPr>
        <w:t>Interscience</w:t>
      </w:r>
      <w:proofErr w:type="spellEnd"/>
      <w:r w:rsidRPr="00766BEC">
        <w:rPr>
          <w:rFonts w:ascii="Times New Roman" w:hAnsi="Times New Roman" w:cs="Times New Roman"/>
        </w:rPr>
        <w:t>, 1987.</w:t>
      </w:r>
    </w:p>
    <w:p w14:paraId="183CFBD2" w14:textId="07C36666" w:rsidR="006D33AD" w:rsidRPr="00766BEC" w:rsidRDefault="006D33AD" w:rsidP="006D071D">
      <w:pPr>
        <w:spacing w:before="100" w:beforeAutospacing="1" w:after="100" w:afterAutospacing="1" w:line="240" w:lineRule="auto"/>
        <w:rPr>
          <w:rFonts w:ascii="Times New Roman" w:hAnsi="Times New Roman" w:cs="Times New Roman"/>
        </w:rPr>
      </w:pPr>
      <w:r w:rsidRPr="00766BEC">
        <w:rPr>
          <w:rFonts w:ascii="Times New Roman" w:hAnsi="Times New Roman" w:cs="Times New Roman"/>
        </w:rPr>
        <w:t xml:space="preserve">[15] World Commission on Environment and Development, </w:t>
      </w:r>
      <w:r w:rsidRPr="00766BEC">
        <w:rPr>
          <w:rStyle w:val="Emphasis"/>
          <w:rFonts w:ascii="Times New Roman" w:hAnsi="Times New Roman" w:cs="Times New Roman"/>
        </w:rPr>
        <w:t>Our Common Future</w:t>
      </w:r>
      <w:r w:rsidRPr="00766BEC">
        <w:rPr>
          <w:rFonts w:ascii="Times New Roman" w:hAnsi="Times New Roman" w:cs="Times New Roman"/>
        </w:rPr>
        <w:t>. Oxford, U.K.: Oxford Univ. Press, 1987.</w:t>
      </w:r>
    </w:p>
    <w:p w14:paraId="6854C53B" w14:textId="2E0B0D39" w:rsidR="00B601A9" w:rsidRPr="00766BEC" w:rsidRDefault="00B601A9" w:rsidP="006D071D">
      <w:pPr>
        <w:spacing w:before="100" w:beforeAutospacing="1" w:after="100" w:afterAutospacing="1" w:line="240" w:lineRule="auto"/>
        <w:rPr>
          <w:rFonts w:ascii="Times New Roman" w:hAnsi="Times New Roman" w:cs="Times New Roman"/>
        </w:rPr>
      </w:pPr>
      <w:r w:rsidRPr="00766BEC">
        <w:rPr>
          <w:rFonts w:ascii="Times New Roman" w:hAnsi="Times New Roman" w:cs="Times New Roman"/>
        </w:rPr>
        <w:t xml:space="preserve">[16] J. </w:t>
      </w:r>
      <w:proofErr w:type="spellStart"/>
      <w:r w:rsidRPr="00766BEC">
        <w:rPr>
          <w:rFonts w:ascii="Times New Roman" w:hAnsi="Times New Roman" w:cs="Times New Roman"/>
        </w:rPr>
        <w:t>Rockström</w:t>
      </w:r>
      <w:proofErr w:type="spellEnd"/>
      <w:r w:rsidRPr="00766BEC">
        <w:rPr>
          <w:rFonts w:ascii="Times New Roman" w:hAnsi="Times New Roman" w:cs="Times New Roman"/>
        </w:rPr>
        <w:t xml:space="preserve"> et al., “A safe operating space for humanity,” </w:t>
      </w:r>
      <w:r w:rsidRPr="00766BEC">
        <w:rPr>
          <w:rStyle w:val="Emphasis"/>
          <w:rFonts w:ascii="Times New Roman" w:hAnsi="Times New Roman" w:cs="Times New Roman"/>
        </w:rPr>
        <w:t>Nature</w:t>
      </w:r>
      <w:r w:rsidRPr="00766BEC">
        <w:rPr>
          <w:rFonts w:ascii="Times New Roman" w:hAnsi="Times New Roman" w:cs="Times New Roman"/>
        </w:rPr>
        <w:t>, vol. 461, no. 7263, pp. 472–475, 2009.</w:t>
      </w:r>
    </w:p>
    <w:p w14:paraId="2D2B9DD4" w14:textId="5E8C1EC0" w:rsidR="00B601A9" w:rsidRPr="00766BEC" w:rsidRDefault="00B601A9" w:rsidP="006D071D">
      <w:pPr>
        <w:spacing w:before="100" w:beforeAutospacing="1" w:after="100" w:afterAutospacing="1" w:line="240" w:lineRule="auto"/>
        <w:rPr>
          <w:rFonts w:ascii="Times New Roman" w:hAnsi="Times New Roman" w:cs="Times New Roman"/>
        </w:rPr>
      </w:pPr>
      <w:r w:rsidRPr="00766BEC">
        <w:rPr>
          <w:rFonts w:ascii="Times New Roman" w:hAnsi="Times New Roman" w:cs="Times New Roman"/>
        </w:rPr>
        <w:t xml:space="preserve">[17] F. </w:t>
      </w:r>
      <w:proofErr w:type="spellStart"/>
      <w:r w:rsidRPr="00766BEC">
        <w:rPr>
          <w:rFonts w:ascii="Times New Roman" w:hAnsi="Times New Roman" w:cs="Times New Roman"/>
        </w:rPr>
        <w:t>Smarandache</w:t>
      </w:r>
      <w:proofErr w:type="spellEnd"/>
      <w:r w:rsidRPr="00766BEC">
        <w:rPr>
          <w:rFonts w:ascii="Times New Roman" w:hAnsi="Times New Roman" w:cs="Times New Roman"/>
        </w:rPr>
        <w:t xml:space="preserve">, </w:t>
      </w:r>
      <w:proofErr w:type="spellStart"/>
      <w:r w:rsidRPr="00766BEC">
        <w:rPr>
          <w:rStyle w:val="Emphasis"/>
          <w:rFonts w:ascii="Times New Roman" w:hAnsi="Times New Roman" w:cs="Times New Roman"/>
        </w:rPr>
        <w:t>Neutrosophic</w:t>
      </w:r>
      <w:proofErr w:type="spellEnd"/>
      <w:r w:rsidRPr="00766BEC">
        <w:rPr>
          <w:rStyle w:val="Emphasis"/>
          <w:rFonts w:ascii="Times New Roman" w:hAnsi="Times New Roman" w:cs="Times New Roman"/>
        </w:rPr>
        <w:t xml:space="preserve"> Set, Logic, and Probability</w:t>
      </w:r>
      <w:r w:rsidRPr="00766BEC">
        <w:rPr>
          <w:rFonts w:ascii="Times New Roman" w:hAnsi="Times New Roman" w:cs="Times New Roman"/>
        </w:rPr>
        <w:t>. Rehoboth, NM, USA: American Research Press, 1998.</w:t>
      </w:r>
    </w:p>
    <w:p w14:paraId="0A3625FB" w14:textId="09D11A4D" w:rsidR="00766BEC" w:rsidRPr="00766BEC" w:rsidRDefault="00766BEC" w:rsidP="003D362A">
      <w:pPr>
        <w:spacing w:line="276" w:lineRule="auto"/>
        <w:jc w:val="both"/>
        <w:rPr>
          <w:rFonts w:ascii="Times New Roman" w:hAnsi="Times New Roman" w:cs="Times New Roman"/>
        </w:rPr>
      </w:pPr>
      <w:r w:rsidRPr="00766BEC">
        <w:rPr>
          <w:rFonts w:ascii="Times New Roman" w:hAnsi="Times New Roman" w:cs="Times New Roman"/>
        </w:rPr>
        <w:t xml:space="preserve">[18] United Nations, “Transforming our World: The 2030 Agenda for Sustainable Development,” </w:t>
      </w:r>
      <w:r w:rsidRPr="00766BEC">
        <w:rPr>
          <w:rFonts w:ascii="Times New Roman" w:hAnsi="Times New Roman" w:cs="Times New Roman"/>
          <w:i/>
          <w:iCs/>
        </w:rPr>
        <w:t>United Nations General Assembly</w:t>
      </w:r>
      <w:r w:rsidRPr="00766BEC">
        <w:rPr>
          <w:rFonts w:ascii="Times New Roman" w:hAnsi="Times New Roman" w:cs="Times New Roman"/>
        </w:rPr>
        <w:t>, 2015.</w:t>
      </w:r>
    </w:p>
    <w:p w14:paraId="41DCCBB6" w14:textId="77777777" w:rsidR="006D071D" w:rsidRPr="00766BEC" w:rsidRDefault="006D071D" w:rsidP="00BF7A59">
      <w:pPr>
        <w:spacing w:line="276" w:lineRule="auto"/>
        <w:jc w:val="both"/>
        <w:rPr>
          <w:rFonts w:ascii="Times New Roman" w:hAnsi="Times New Roman" w:cs="Times New Roman"/>
          <w:b/>
        </w:rPr>
      </w:pPr>
    </w:p>
    <w:sectPr w:rsidR="006D071D" w:rsidRPr="00766BEC" w:rsidSect="002D0318">
      <w:headerReference w:type="even" r:id="rId8"/>
      <w:headerReference w:type="default" r:id="rId9"/>
      <w:footerReference w:type="even" r:id="rId10"/>
      <w:footerReference w:type="default" r:id="rId11"/>
      <w:headerReference w:type="first" r:id="rId12"/>
      <w:footerReference w:type="first" r:id="rId13"/>
      <w:pgSz w:w="11906" w:h="16838"/>
      <w:pgMar w:top="1440" w:right="170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604427" w14:textId="77777777" w:rsidR="00646880" w:rsidRDefault="00646880" w:rsidP="00A171D4">
      <w:pPr>
        <w:spacing w:after="0" w:line="240" w:lineRule="auto"/>
      </w:pPr>
      <w:r>
        <w:separator/>
      </w:r>
    </w:p>
  </w:endnote>
  <w:endnote w:type="continuationSeparator" w:id="0">
    <w:p w14:paraId="7D9EEC53" w14:textId="77777777" w:rsidR="00646880" w:rsidRDefault="00646880" w:rsidP="00A171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7F0D9" w14:textId="77777777" w:rsidR="00A171D4" w:rsidRDefault="00A171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B5324B" w14:textId="77777777" w:rsidR="00A171D4" w:rsidRDefault="00A171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D8FD3C" w14:textId="77777777" w:rsidR="00A171D4" w:rsidRDefault="00A171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C50B3B" w14:textId="77777777" w:rsidR="00646880" w:rsidRDefault="00646880" w:rsidP="00A171D4">
      <w:pPr>
        <w:spacing w:after="0" w:line="240" w:lineRule="auto"/>
      </w:pPr>
      <w:r>
        <w:separator/>
      </w:r>
    </w:p>
  </w:footnote>
  <w:footnote w:type="continuationSeparator" w:id="0">
    <w:p w14:paraId="335DD03B" w14:textId="77777777" w:rsidR="00646880" w:rsidRDefault="00646880" w:rsidP="00A171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7F8D09" w14:textId="1A716F48" w:rsidR="00A171D4" w:rsidRDefault="00A171D4">
    <w:pPr>
      <w:pStyle w:val="Header"/>
    </w:pPr>
    <w:r>
      <w:rPr>
        <w:noProof/>
      </w:rPr>
      <w:pict w14:anchorId="61BC93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2pt;height:62.6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A2C480" w14:textId="54E5ABC7" w:rsidR="00A171D4" w:rsidRDefault="00A171D4">
    <w:pPr>
      <w:pStyle w:val="Header"/>
    </w:pPr>
    <w:r>
      <w:rPr>
        <w:noProof/>
      </w:rPr>
      <w:pict w14:anchorId="76CDEC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2pt;height:62.6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B5E79" w14:textId="5FD43CB1" w:rsidR="00A171D4" w:rsidRDefault="00A171D4">
    <w:pPr>
      <w:pStyle w:val="Header"/>
    </w:pPr>
    <w:r>
      <w:rPr>
        <w:noProof/>
      </w:rPr>
      <w:pict w14:anchorId="57FEAA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2pt;height:62.6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314C41"/>
    <w:multiLevelType w:val="hybridMultilevel"/>
    <w:tmpl w:val="22A095B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AEE7525"/>
    <w:multiLevelType w:val="hybridMultilevel"/>
    <w:tmpl w:val="A0B0ECF8"/>
    <w:lvl w:ilvl="0" w:tplc="CB982FDE">
      <w:start w:val="4"/>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15:restartNumberingAfterBreak="0">
    <w:nsid w:val="0F0607EB"/>
    <w:multiLevelType w:val="hybridMultilevel"/>
    <w:tmpl w:val="5EFECFF0"/>
    <w:lvl w:ilvl="0" w:tplc="4009000B">
      <w:start w:val="1"/>
      <w:numFmt w:val="bullet"/>
      <w:lvlText w:val=""/>
      <w:lvlJc w:val="left"/>
      <w:pPr>
        <w:ind w:left="780" w:hanging="360"/>
      </w:pPr>
      <w:rPr>
        <w:rFonts w:ascii="Wingdings" w:hAnsi="Wingdings"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3" w15:restartNumberingAfterBreak="0">
    <w:nsid w:val="15784B60"/>
    <w:multiLevelType w:val="hybridMultilevel"/>
    <w:tmpl w:val="7A06D99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3E70306"/>
    <w:multiLevelType w:val="multilevel"/>
    <w:tmpl w:val="7BC22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14CFA"/>
    <w:multiLevelType w:val="hybridMultilevel"/>
    <w:tmpl w:val="4B9CF98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3E160BB0"/>
    <w:multiLevelType w:val="hybridMultilevel"/>
    <w:tmpl w:val="2BBC0ED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46E63093"/>
    <w:multiLevelType w:val="multilevel"/>
    <w:tmpl w:val="A6E88E6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6F8768B8"/>
    <w:multiLevelType w:val="multilevel"/>
    <w:tmpl w:val="361AD0E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73DA3A38"/>
    <w:multiLevelType w:val="hybridMultilevel"/>
    <w:tmpl w:val="863661F4"/>
    <w:lvl w:ilvl="0" w:tplc="61FA2C88">
      <w:start w:val="4"/>
      <w:numFmt w:val="decimal"/>
      <w:lvlText w:val="%1."/>
      <w:lvlJc w:val="left"/>
      <w:pPr>
        <w:ind w:left="720" w:hanging="360"/>
      </w:pPr>
      <w:rPr>
        <w:rFonts w:hint="default"/>
        <w:b/>
        <w:u w:val="no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7"/>
  </w:num>
  <w:num w:numId="2">
    <w:abstractNumId w:val="6"/>
  </w:num>
  <w:num w:numId="3">
    <w:abstractNumId w:val="3"/>
  </w:num>
  <w:num w:numId="4">
    <w:abstractNumId w:val="8"/>
  </w:num>
  <w:num w:numId="5">
    <w:abstractNumId w:val="5"/>
  </w:num>
  <w:num w:numId="6">
    <w:abstractNumId w:val="1"/>
  </w:num>
  <w:num w:numId="7">
    <w:abstractNumId w:val="2"/>
  </w:num>
  <w:num w:numId="8">
    <w:abstractNumId w:val="0"/>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13B"/>
    <w:rsid w:val="00051E8C"/>
    <w:rsid w:val="000A109A"/>
    <w:rsid w:val="000E366F"/>
    <w:rsid w:val="00134BC4"/>
    <w:rsid w:val="00156850"/>
    <w:rsid w:val="00165601"/>
    <w:rsid w:val="001A4689"/>
    <w:rsid w:val="0027786F"/>
    <w:rsid w:val="002D0318"/>
    <w:rsid w:val="003D362A"/>
    <w:rsid w:val="00426790"/>
    <w:rsid w:val="0046300A"/>
    <w:rsid w:val="0048213B"/>
    <w:rsid w:val="004C7101"/>
    <w:rsid w:val="004F365A"/>
    <w:rsid w:val="00505B3A"/>
    <w:rsid w:val="005B08B6"/>
    <w:rsid w:val="005F0E9A"/>
    <w:rsid w:val="006245CD"/>
    <w:rsid w:val="00646880"/>
    <w:rsid w:val="0065337B"/>
    <w:rsid w:val="00660A7E"/>
    <w:rsid w:val="00695FD5"/>
    <w:rsid w:val="006D071D"/>
    <w:rsid w:val="006D33AD"/>
    <w:rsid w:val="006E1DA2"/>
    <w:rsid w:val="00766BEC"/>
    <w:rsid w:val="007D24FB"/>
    <w:rsid w:val="007F331C"/>
    <w:rsid w:val="007F6A96"/>
    <w:rsid w:val="00852E65"/>
    <w:rsid w:val="00905E58"/>
    <w:rsid w:val="00985282"/>
    <w:rsid w:val="009C2AAD"/>
    <w:rsid w:val="00A171D4"/>
    <w:rsid w:val="00AA6EC8"/>
    <w:rsid w:val="00B262D6"/>
    <w:rsid w:val="00B46079"/>
    <w:rsid w:val="00B601A9"/>
    <w:rsid w:val="00B77549"/>
    <w:rsid w:val="00BA7D5D"/>
    <w:rsid w:val="00BF7A59"/>
    <w:rsid w:val="00C82345"/>
    <w:rsid w:val="00D24BA3"/>
    <w:rsid w:val="00D25025"/>
    <w:rsid w:val="00D5142B"/>
    <w:rsid w:val="00D93220"/>
    <w:rsid w:val="00E82E1D"/>
    <w:rsid w:val="00F5693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C7C3B2D"/>
  <w15:chartTrackingRefBased/>
  <w15:docId w15:val="{4CFE918B-081C-492E-A3F4-BC60FA85D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21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21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21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21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21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21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21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21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21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21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21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21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21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21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21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21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21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213B"/>
    <w:rPr>
      <w:rFonts w:eastAsiaTheme="majorEastAsia" w:cstheme="majorBidi"/>
      <w:color w:val="272727" w:themeColor="text1" w:themeTint="D8"/>
    </w:rPr>
  </w:style>
  <w:style w:type="paragraph" w:styleId="Title">
    <w:name w:val="Title"/>
    <w:basedOn w:val="Normal"/>
    <w:next w:val="Normal"/>
    <w:link w:val="TitleChar"/>
    <w:uiPriority w:val="10"/>
    <w:qFormat/>
    <w:rsid w:val="004821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21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21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21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213B"/>
    <w:pPr>
      <w:spacing w:before="160"/>
      <w:jc w:val="center"/>
    </w:pPr>
    <w:rPr>
      <w:i/>
      <w:iCs/>
      <w:color w:val="404040" w:themeColor="text1" w:themeTint="BF"/>
    </w:rPr>
  </w:style>
  <w:style w:type="character" w:customStyle="1" w:styleId="QuoteChar">
    <w:name w:val="Quote Char"/>
    <w:basedOn w:val="DefaultParagraphFont"/>
    <w:link w:val="Quote"/>
    <w:uiPriority w:val="29"/>
    <w:rsid w:val="0048213B"/>
    <w:rPr>
      <w:i/>
      <w:iCs/>
      <w:color w:val="404040" w:themeColor="text1" w:themeTint="BF"/>
    </w:rPr>
  </w:style>
  <w:style w:type="paragraph" w:styleId="ListParagraph">
    <w:name w:val="List Paragraph"/>
    <w:basedOn w:val="Normal"/>
    <w:uiPriority w:val="34"/>
    <w:qFormat/>
    <w:rsid w:val="0048213B"/>
    <w:pPr>
      <w:ind w:left="720"/>
      <w:contextualSpacing/>
    </w:pPr>
  </w:style>
  <w:style w:type="character" w:styleId="IntenseEmphasis">
    <w:name w:val="Intense Emphasis"/>
    <w:basedOn w:val="DefaultParagraphFont"/>
    <w:uiPriority w:val="21"/>
    <w:qFormat/>
    <w:rsid w:val="0048213B"/>
    <w:rPr>
      <w:i/>
      <w:iCs/>
      <w:color w:val="0F4761" w:themeColor="accent1" w:themeShade="BF"/>
    </w:rPr>
  </w:style>
  <w:style w:type="paragraph" w:styleId="IntenseQuote">
    <w:name w:val="Intense Quote"/>
    <w:basedOn w:val="Normal"/>
    <w:next w:val="Normal"/>
    <w:link w:val="IntenseQuoteChar"/>
    <w:uiPriority w:val="30"/>
    <w:qFormat/>
    <w:rsid w:val="004821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213B"/>
    <w:rPr>
      <w:i/>
      <w:iCs/>
      <w:color w:val="0F4761" w:themeColor="accent1" w:themeShade="BF"/>
    </w:rPr>
  </w:style>
  <w:style w:type="character" w:styleId="IntenseReference">
    <w:name w:val="Intense Reference"/>
    <w:basedOn w:val="DefaultParagraphFont"/>
    <w:uiPriority w:val="32"/>
    <w:qFormat/>
    <w:rsid w:val="0048213B"/>
    <w:rPr>
      <w:b/>
      <w:bCs/>
      <w:smallCaps/>
      <w:color w:val="0F4761" w:themeColor="accent1" w:themeShade="BF"/>
      <w:spacing w:val="5"/>
    </w:rPr>
  </w:style>
  <w:style w:type="character" w:styleId="Strong">
    <w:name w:val="Strong"/>
    <w:basedOn w:val="DefaultParagraphFont"/>
    <w:uiPriority w:val="22"/>
    <w:qFormat/>
    <w:rsid w:val="00D5142B"/>
    <w:rPr>
      <w:b/>
      <w:bCs/>
    </w:rPr>
  </w:style>
  <w:style w:type="paragraph" w:styleId="NoSpacing">
    <w:name w:val="No Spacing"/>
    <w:uiPriority w:val="1"/>
    <w:qFormat/>
    <w:rsid w:val="00156850"/>
    <w:pPr>
      <w:spacing w:after="0" w:line="240" w:lineRule="auto"/>
    </w:pPr>
  </w:style>
  <w:style w:type="character" w:styleId="PlaceholderText">
    <w:name w:val="Placeholder Text"/>
    <w:basedOn w:val="DefaultParagraphFont"/>
    <w:uiPriority w:val="99"/>
    <w:semiHidden/>
    <w:rsid w:val="007F6A96"/>
    <w:rPr>
      <w:color w:val="808080"/>
    </w:rPr>
  </w:style>
  <w:style w:type="character" w:styleId="Emphasis">
    <w:name w:val="Emphasis"/>
    <w:basedOn w:val="DefaultParagraphFont"/>
    <w:uiPriority w:val="20"/>
    <w:qFormat/>
    <w:rsid w:val="0027786F"/>
    <w:rPr>
      <w:i/>
      <w:iCs/>
    </w:rPr>
  </w:style>
  <w:style w:type="character" w:styleId="Hyperlink">
    <w:name w:val="Hyperlink"/>
    <w:basedOn w:val="DefaultParagraphFont"/>
    <w:uiPriority w:val="99"/>
    <w:semiHidden/>
    <w:unhideWhenUsed/>
    <w:rsid w:val="0027786F"/>
    <w:rPr>
      <w:color w:val="0000FF"/>
      <w:u w:val="single"/>
    </w:rPr>
  </w:style>
  <w:style w:type="paragraph" w:styleId="NormalWeb">
    <w:name w:val="Normal (Web)"/>
    <w:basedOn w:val="Normal"/>
    <w:uiPriority w:val="99"/>
    <w:unhideWhenUsed/>
    <w:rsid w:val="00165601"/>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customStyle="1" w:styleId="katex-mathml">
    <w:name w:val="katex-mathml"/>
    <w:basedOn w:val="DefaultParagraphFont"/>
    <w:rsid w:val="00BA7D5D"/>
  </w:style>
  <w:style w:type="character" w:customStyle="1" w:styleId="mord">
    <w:name w:val="mord"/>
    <w:basedOn w:val="DefaultParagraphFont"/>
    <w:rsid w:val="00BA7D5D"/>
  </w:style>
  <w:style w:type="character" w:customStyle="1" w:styleId="mrel">
    <w:name w:val="mrel"/>
    <w:basedOn w:val="DefaultParagraphFont"/>
    <w:rsid w:val="00BA7D5D"/>
  </w:style>
  <w:style w:type="character" w:customStyle="1" w:styleId="mopen">
    <w:name w:val="mopen"/>
    <w:basedOn w:val="DefaultParagraphFont"/>
    <w:rsid w:val="00BA7D5D"/>
  </w:style>
  <w:style w:type="character" w:customStyle="1" w:styleId="mclose">
    <w:name w:val="mclose"/>
    <w:basedOn w:val="DefaultParagraphFont"/>
    <w:rsid w:val="00BA7D5D"/>
  </w:style>
  <w:style w:type="character" w:customStyle="1" w:styleId="mbin">
    <w:name w:val="mbin"/>
    <w:basedOn w:val="DefaultParagraphFont"/>
    <w:rsid w:val="00BA7D5D"/>
  </w:style>
  <w:style w:type="character" w:customStyle="1" w:styleId="vlist-s">
    <w:name w:val="vlist-s"/>
    <w:basedOn w:val="DefaultParagraphFont"/>
    <w:rsid w:val="00BA7D5D"/>
  </w:style>
  <w:style w:type="character" w:customStyle="1" w:styleId="mpunct">
    <w:name w:val="mpunct"/>
    <w:basedOn w:val="DefaultParagraphFont"/>
    <w:rsid w:val="00BA7D5D"/>
  </w:style>
  <w:style w:type="table" w:styleId="TableGrid">
    <w:name w:val="Table Grid"/>
    <w:basedOn w:val="TableNormal"/>
    <w:uiPriority w:val="39"/>
    <w:rsid w:val="00905E58"/>
    <w:pPr>
      <w:spacing w:after="0" w:line="240" w:lineRule="auto"/>
    </w:pPr>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171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71D4"/>
  </w:style>
  <w:style w:type="paragraph" w:styleId="Footer">
    <w:name w:val="footer"/>
    <w:basedOn w:val="Normal"/>
    <w:link w:val="FooterChar"/>
    <w:uiPriority w:val="99"/>
    <w:unhideWhenUsed/>
    <w:rsid w:val="00A171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71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514855">
      <w:bodyDiv w:val="1"/>
      <w:marLeft w:val="0"/>
      <w:marRight w:val="0"/>
      <w:marTop w:val="0"/>
      <w:marBottom w:val="0"/>
      <w:divBdr>
        <w:top w:val="none" w:sz="0" w:space="0" w:color="auto"/>
        <w:left w:val="none" w:sz="0" w:space="0" w:color="auto"/>
        <w:bottom w:val="none" w:sz="0" w:space="0" w:color="auto"/>
        <w:right w:val="none" w:sz="0" w:space="0" w:color="auto"/>
      </w:divBdr>
    </w:div>
    <w:div w:id="588078551">
      <w:bodyDiv w:val="1"/>
      <w:marLeft w:val="0"/>
      <w:marRight w:val="0"/>
      <w:marTop w:val="0"/>
      <w:marBottom w:val="0"/>
      <w:divBdr>
        <w:top w:val="none" w:sz="0" w:space="0" w:color="auto"/>
        <w:left w:val="none" w:sz="0" w:space="0" w:color="auto"/>
        <w:bottom w:val="none" w:sz="0" w:space="0" w:color="auto"/>
        <w:right w:val="none" w:sz="0" w:space="0" w:color="auto"/>
      </w:divBdr>
    </w:div>
    <w:div w:id="1145661001">
      <w:bodyDiv w:val="1"/>
      <w:marLeft w:val="0"/>
      <w:marRight w:val="0"/>
      <w:marTop w:val="0"/>
      <w:marBottom w:val="0"/>
      <w:divBdr>
        <w:top w:val="none" w:sz="0" w:space="0" w:color="auto"/>
        <w:left w:val="none" w:sz="0" w:space="0" w:color="auto"/>
        <w:bottom w:val="none" w:sz="0" w:space="0" w:color="auto"/>
        <w:right w:val="none" w:sz="0" w:space="0" w:color="auto"/>
      </w:divBdr>
    </w:div>
    <w:div w:id="1248273609">
      <w:bodyDiv w:val="1"/>
      <w:marLeft w:val="0"/>
      <w:marRight w:val="0"/>
      <w:marTop w:val="0"/>
      <w:marBottom w:val="0"/>
      <w:divBdr>
        <w:top w:val="none" w:sz="0" w:space="0" w:color="auto"/>
        <w:left w:val="none" w:sz="0" w:space="0" w:color="auto"/>
        <w:bottom w:val="none" w:sz="0" w:space="0" w:color="auto"/>
        <w:right w:val="none" w:sz="0" w:space="0" w:color="auto"/>
      </w:divBdr>
    </w:div>
    <w:div w:id="1568884286">
      <w:bodyDiv w:val="1"/>
      <w:marLeft w:val="0"/>
      <w:marRight w:val="0"/>
      <w:marTop w:val="0"/>
      <w:marBottom w:val="0"/>
      <w:divBdr>
        <w:top w:val="none" w:sz="0" w:space="0" w:color="auto"/>
        <w:left w:val="none" w:sz="0" w:space="0" w:color="auto"/>
        <w:bottom w:val="none" w:sz="0" w:space="0" w:color="auto"/>
        <w:right w:val="none" w:sz="0" w:space="0" w:color="auto"/>
      </w:divBdr>
      <w:divsChild>
        <w:div w:id="607658776">
          <w:marLeft w:val="0"/>
          <w:marRight w:val="0"/>
          <w:marTop w:val="0"/>
          <w:marBottom w:val="0"/>
          <w:divBdr>
            <w:top w:val="none" w:sz="0" w:space="0" w:color="auto"/>
            <w:left w:val="none" w:sz="0" w:space="0" w:color="auto"/>
            <w:bottom w:val="none" w:sz="0" w:space="0" w:color="auto"/>
            <w:right w:val="none" w:sz="0" w:space="0" w:color="auto"/>
          </w:divBdr>
          <w:divsChild>
            <w:div w:id="822431133">
              <w:marLeft w:val="0"/>
              <w:marRight w:val="0"/>
              <w:marTop w:val="0"/>
              <w:marBottom w:val="0"/>
              <w:divBdr>
                <w:top w:val="none" w:sz="0" w:space="0" w:color="auto"/>
                <w:left w:val="none" w:sz="0" w:space="0" w:color="auto"/>
                <w:bottom w:val="none" w:sz="0" w:space="0" w:color="auto"/>
                <w:right w:val="none" w:sz="0" w:space="0" w:color="auto"/>
              </w:divBdr>
              <w:divsChild>
                <w:div w:id="597442412">
                  <w:marLeft w:val="0"/>
                  <w:marRight w:val="0"/>
                  <w:marTop w:val="0"/>
                  <w:marBottom w:val="0"/>
                  <w:divBdr>
                    <w:top w:val="none" w:sz="0" w:space="0" w:color="auto"/>
                    <w:left w:val="none" w:sz="0" w:space="0" w:color="auto"/>
                    <w:bottom w:val="none" w:sz="0" w:space="0" w:color="auto"/>
                    <w:right w:val="none" w:sz="0" w:space="0" w:color="auto"/>
                  </w:divBdr>
                  <w:divsChild>
                    <w:div w:id="427628493">
                      <w:marLeft w:val="0"/>
                      <w:marRight w:val="0"/>
                      <w:marTop w:val="0"/>
                      <w:marBottom w:val="0"/>
                      <w:divBdr>
                        <w:top w:val="none" w:sz="0" w:space="0" w:color="auto"/>
                        <w:left w:val="none" w:sz="0" w:space="0" w:color="auto"/>
                        <w:bottom w:val="none" w:sz="0" w:space="0" w:color="auto"/>
                        <w:right w:val="none" w:sz="0" w:space="0" w:color="auto"/>
                      </w:divBdr>
                      <w:divsChild>
                        <w:div w:id="313030228">
                          <w:marLeft w:val="0"/>
                          <w:marRight w:val="0"/>
                          <w:marTop w:val="0"/>
                          <w:marBottom w:val="0"/>
                          <w:divBdr>
                            <w:top w:val="none" w:sz="0" w:space="0" w:color="auto"/>
                            <w:left w:val="none" w:sz="0" w:space="0" w:color="auto"/>
                            <w:bottom w:val="none" w:sz="0" w:space="0" w:color="auto"/>
                            <w:right w:val="none" w:sz="0" w:space="0" w:color="auto"/>
                          </w:divBdr>
                          <w:divsChild>
                            <w:div w:id="87211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5676DD-DBC3-4338-8D11-38B9110E2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716</TotalTime>
  <Pages>7</Pages>
  <Words>3040</Words>
  <Characters>17333</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rahul ravi</dc:creator>
  <cp:keywords/>
  <dc:description/>
  <cp:lastModifiedBy>SDI 1084</cp:lastModifiedBy>
  <cp:revision>13</cp:revision>
  <dcterms:created xsi:type="dcterms:W3CDTF">2025-11-01T08:33:00Z</dcterms:created>
  <dcterms:modified xsi:type="dcterms:W3CDTF">2026-02-04T11:19:00Z</dcterms:modified>
</cp:coreProperties>
</file>