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D1AE6" w14:textId="0D676AE9" w:rsidR="00D1018F" w:rsidRPr="00D1018F" w:rsidRDefault="00D1018F" w:rsidP="00D1018F">
      <w:pPr>
        <w:spacing w:before="240" w:line="360" w:lineRule="auto"/>
        <w:rPr>
          <w:rFonts w:ascii="Arial" w:hAnsi="Arial" w:cs="Arial"/>
          <w:b/>
          <w:bCs/>
          <w:sz w:val="32"/>
          <w:szCs w:val="32"/>
          <w:u w:val="single"/>
        </w:rPr>
      </w:pPr>
      <w:r w:rsidRPr="00D1018F">
        <w:rPr>
          <w:rFonts w:ascii="Arial" w:hAnsi="Arial" w:cs="Arial"/>
          <w:b/>
          <w:bCs/>
          <w:sz w:val="32"/>
          <w:szCs w:val="32"/>
          <w:u w:val="single"/>
        </w:rPr>
        <w:t>Original Research Article</w:t>
      </w:r>
    </w:p>
    <w:p w14:paraId="1BE0FAB8" w14:textId="6B5C4482" w:rsidR="00E02899" w:rsidRPr="00E02899" w:rsidRDefault="00E02899" w:rsidP="00E02899">
      <w:pPr>
        <w:spacing w:before="240" w:line="360" w:lineRule="auto"/>
        <w:jc w:val="right"/>
        <w:rPr>
          <w:rFonts w:ascii="Arial" w:hAnsi="Arial" w:cs="Arial"/>
          <w:b/>
          <w:bCs/>
          <w:sz w:val="32"/>
          <w:szCs w:val="32"/>
        </w:rPr>
      </w:pPr>
      <w:r w:rsidRPr="00E02899">
        <w:rPr>
          <w:rFonts w:ascii="Arial" w:hAnsi="Arial" w:cs="Arial"/>
          <w:b/>
          <w:bCs/>
          <w:sz w:val="32"/>
          <w:szCs w:val="32"/>
        </w:rPr>
        <w:t>Income as a Key Determinant of Social Security Access among Women Gig Workers in the Malabar Region of Kerala: Evidence from Logistic Regression Analysis</w:t>
      </w:r>
    </w:p>
    <w:p w14:paraId="1BBF7B11" w14:textId="77777777" w:rsidR="00E02899" w:rsidRPr="0059717B" w:rsidRDefault="00E02899" w:rsidP="00E02899">
      <w:pPr>
        <w:spacing w:before="240" w:line="360" w:lineRule="auto"/>
        <w:rPr>
          <w:rFonts w:ascii="Arial" w:hAnsi="Arial" w:cs="Arial"/>
          <w:b/>
          <w:bCs/>
          <w:sz w:val="32"/>
          <w:szCs w:val="32"/>
        </w:rPr>
      </w:pPr>
    </w:p>
    <w:p w14:paraId="65B919AB" w14:textId="77777777" w:rsidR="0070707D" w:rsidRDefault="0070707D" w:rsidP="008B510A">
      <w:pPr>
        <w:spacing w:before="240" w:after="0" w:line="360" w:lineRule="auto"/>
        <w:jc w:val="right"/>
        <w:rPr>
          <w:rFonts w:ascii="Arial" w:hAnsi="Arial" w:cs="Arial"/>
        </w:rPr>
      </w:pPr>
      <w:bookmarkStart w:id="0" w:name="_GoBack"/>
      <w:bookmarkEnd w:id="0"/>
    </w:p>
    <w:p w14:paraId="128387EB" w14:textId="11F736E4" w:rsidR="005571C5" w:rsidRPr="0059717B" w:rsidRDefault="0059717B" w:rsidP="00EC22EF">
      <w:pPr>
        <w:spacing w:before="240" w:after="0" w:line="360" w:lineRule="auto"/>
        <w:jc w:val="both"/>
        <w:rPr>
          <w:rFonts w:ascii="Arial" w:hAnsi="Arial" w:cs="Arial"/>
          <w:b/>
          <w:bCs/>
        </w:rPr>
      </w:pPr>
      <w:r w:rsidRPr="0059717B">
        <w:rPr>
          <w:rFonts w:ascii="Arial" w:hAnsi="Arial" w:cs="Arial"/>
          <w:b/>
          <w:bCs/>
        </w:rPr>
        <w:t>ABSTRACT</w:t>
      </w:r>
    </w:p>
    <w:p w14:paraId="39CA9F1F" w14:textId="093BA1C5" w:rsidR="00825DB4" w:rsidRDefault="00E02899" w:rsidP="008958AE">
      <w:pPr>
        <w:spacing w:before="240" w:line="360" w:lineRule="auto"/>
        <w:jc w:val="both"/>
        <w:rPr>
          <w:rFonts w:ascii="Arial" w:hAnsi="Arial" w:cs="Arial"/>
          <w:sz w:val="20"/>
          <w:szCs w:val="20"/>
        </w:rPr>
      </w:pPr>
      <w:r w:rsidRPr="003B5694">
        <w:rPr>
          <w:rFonts w:ascii="Arial" w:hAnsi="Arial" w:cs="Arial"/>
          <w:sz w:val="20"/>
          <w:szCs w:val="20"/>
        </w:rPr>
        <w:t>This study examines the determinants of social security access among women gig workers in the Malabar region of Kerala, India, with particular emphasis on socioeconomic, demographic, and occupational factors. Primary data were collected from 300 women gig workers across three districts, namely Kannur, Kozhikode, and Malappuram, using a snowball sampling technique to capture the dispersed and largely unorganized nature of the gig workforce. Logistic regression analysis was employed to identify significant predictors of social security access, while chi-square tests were conducted to assess associations between categorical variables and access outcomes. The findings reveal that, among the independent variables considered, only monthly family income exerted a statistically significant effect on access to social security (β = 0.648, p = 0.009). The pseudo R² value of 0.0326 suggests that the model explains approximately 3.26 percent of the variation in social security access, indicating limited overall explanatory power. These results point to substantial gaps in social protection coverage among women gig workers and emphasize the need for targeted policy measures to enhance inclusive labour welfare. By offering empirical evidence on income-linked disparities in access to social security, the study contributes to the expanding body of literature on vulnerabilities within the gig economy, particularly among women engaged in informal employment.</w:t>
      </w:r>
    </w:p>
    <w:p w14:paraId="4656FF0E" w14:textId="54330C8B" w:rsidR="005571C5" w:rsidRPr="0059717B" w:rsidRDefault="005571C5" w:rsidP="006177EA">
      <w:pPr>
        <w:spacing w:before="240" w:after="0" w:line="360" w:lineRule="auto"/>
        <w:jc w:val="both"/>
        <w:rPr>
          <w:rFonts w:ascii="Arial" w:hAnsi="Arial" w:cs="Arial"/>
          <w:i/>
          <w:iCs/>
          <w:sz w:val="20"/>
          <w:szCs w:val="20"/>
        </w:rPr>
      </w:pPr>
      <w:r w:rsidRPr="0059717B">
        <w:rPr>
          <w:rFonts w:ascii="Arial" w:hAnsi="Arial" w:cs="Arial"/>
          <w:b/>
          <w:bCs/>
          <w:i/>
          <w:iCs/>
          <w:sz w:val="20"/>
          <w:szCs w:val="20"/>
        </w:rPr>
        <w:t>Keywords:</w:t>
      </w:r>
      <w:r w:rsidRPr="0059717B">
        <w:rPr>
          <w:rFonts w:ascii="Arial" w:hAnsi="Arial" w:cs="Arial"/>
          <w:i/>
          <w:iCs/>
          <w:sz w:val="20"/>
          <w:szCs w:val="20"/>
        </w:rPr>
        <w:t xml:space="preserve"> </w:t>
      </w:r>
      <w:r w:rsidR="00E02899" w:rsidRPr="003B5694">
        <w:rPr>
          <w:rFonts w:ascii="Arial" w:hAnsi="Arial" w:cs="Arial"/>
          <w:sz w:val="20"/>
          <w:szCs w:val="20"/>
        </w:rPr>
        <w:t>Women gig workers, social security access, snowball sampling, Malabar region, logistic regression, chi-square test, Kerala</w:t>
      </w:r>
    </w:p>
    <w:p w14:paraId="2EA95ED6" w14:textId="2EA32E57" w:rsidR="00597C15" w:rsidRPr="00597C15" w:rsidRDefault="0059717B" w:rsidP="00597C15">
      <w:pPr>
        <w:spacing w:before="240" w:line="360" w:lineRule="auto"/>
        <w:jc w:val="both"/>
        <w:rPr>
          <w:rFonts w:ascii="Arial" w:hAnsi="Arial" w:cs="Arial"/>
          <w:b/>
          <w:bCs/>
        </w:rPr>
      </w:pPr>
      <w:r w:rsidRPr="0059717B">
        <w:rPr>
          <w:rFonts w:ascii="Arial" w:hAnsi="Arial" w:cs="Arial"/>
          <w:b/>
          <w:bCs/>
        </w:rPr>
        <w:t xml:space="preserve">1 INTRODUCTION </w:t>
      </w:r>
    </w:p>
    <w:p w14:paraId="342572EE" w14:textId="77777777" w:rsidR="00E02899" w:rsidRPr="003B5694" w:rsidRDefault="00E02899" w:rsidP="00E02899">
      <w:pPr>
        <w:spacing w:line="360" w:lineRule="auto"/>
        <w:jc w:val="both"/>
        <w:rPr>
          <w:rFonts w:ascii="Arial" w:hAnsi="Arial" w:cs="Arial"/>
          <w:sz w:val="20"/>
          <w:szCs w:val="20"/>
        </w:rPr>
      </w:pPr>
      <w:r w:rsidRPr="003B5694">
        <w:rPr>
          <w:rFonts w:ascii="Arial" w:hAnsi="Arial" w:cs="Arial"/>
          <w:sz w:val="20"/>
          <w:szCs w:val="20"/>
        </w:rPr>
        <w:t xml:space="preserve">The rapid growth of the gig economy has reshaped labour markets across the world, generating flexible employment opportunities while simultaneously increasing economic insecurity for workers. Access to social security remains one of the most pressing concerns in this emerging employment landscape. Unlike workers in the formal sector, gig workers often lack adequate coverage under statutory welfare schemes, health insurance, pension systems, maternity benefits, and income protection mechanisms. In India, particularly in Kerala, women’s participation in platform-based work has expanded across </w:t>
      </w:r>
      <w:r w:rsidRPr="003B5694">
        <w:rPr>
          <w:rFonts w:ascii="Arial" w:hAnsi="Arial" w:cs="Arial"/>
          <w:sz w:val="20"/>
          <w:szCs w:val="20"/>
        </w:rPr>
        <w:lastRenderedPageBreak/>
        <w:t>sectors such as ride-sharing, delivery services, domestic services, and online freelancing (NITI Aayog, 2022). Unlike traditional employees, gig workers generally operate as independent contractors without long-term employer attachments and often engage with multiple digital platforms to diversify income sources. Their activities range from online trading and software development to content creation, social media management, and digital marketing (Rani, Dhir &amp; Gobel, 2022). Participation in such work depends heavily on access to digital infrastructure, especially smartphones and stable internet connectivity, while certain segments also require transportation facilities to ensure timely service delivery (Sundararajan, 2016; Ramachandran, Singh, &amp; Narain, 2021). Although flexible gig arrangements generate additional income streams, women in this sector often remain excluded due to technological gaps, persistent patriarchal structures, socially prescribed caregiving roles, and weak linkage to formalized social insurance and welfare systems (</w:t>
      </w:r>
      <w:proofErr w:type="spellStart"/>
      <w:r w:rsidRPr="003B5694">
        <w:rPr>
          <w:rFonts w:ascii="Arial" w:hAnsi="Arial" w:cs="Arial"/>
          <w:sz w:val="20"/>
          <w:szCs w:val="20"/>
        </w:rPr>
        <w:t>Kasliwal</w:t>
      </w:r>
      <w:proofErr w:type="spellEnd"/>
      <w:r w:rsidRPr="003B5694">
        <w:rPr>
          <w:rFonts w:ascii="Arial" w:hAnsi="Arial" w:cs="Arial"/>
          <w:sz w:val="20"/>
          <w:szCs w:val="20"/>
        </w:rPr>
        <w:t>, 2020). These constraints are shaped by interrelated demographic, socioeconomic, and occupational factors, yet systematic empirical evidence on the determinants of social security access among women gig workers remains limited. A clearer understanding of these determinants is essential for developing inclusive social protection policies that address vulnerabilities in non-standard employment arrangements.</w:t>
      </w:r>
    </w:p>
    <w:p w14:paraId="0A8E49B5" w14:textId="1BB6F1E6" w:rsidR="00E26B95" w:rsidRDefault="00E02899" w:rsidP="00E02899">
      <w:pPr>
        <w:spacing w:line="360" w:lineRule="auto"/>
        <w:jc w:val="both"/>
        <w:rPr>
          <w:rFonts w:ascii="Arial" w:hAnsi="Arial" w:cs="Arial"/>
          <w:sz w:val="20"/>
          <w:szCs w:val="20"/>
        </w:rPr>
      </w:pPr>
      <w:r w:rsidRPr="003B5694">
        <w:rPr>
          <w:rFonts w:ascii="Arial" w:hAnsi="Arial" w:cs="Arial"/>
          <w:sz w:val="20"/>
          <w:szCs w:val="20"/>
        </w:rPr>
        <w:t xml:space="preserve">Kerala, widely acknowledged for its progress in human development and female educational attainment, has experienced a notable rise in platform-mediated employment in recent years. This expansion has drawn more women into gig activities, including digital services, beauty and wellness, delivery operations, and home-based micro-enterprises. The study is especially significant in highlighting the intersection of gender, income vulnerability, and institutional exclusion within the rapidly evolving gig economy. Despite increased labour market participation, access to institutionalised social protection remains uneven. Existing research highlights the precarious nature of gig employment, characterised by income volatility, absence of statutory benefits, extended working hours, and limited opportunities for skill advancement (International Labour Organization [ILO], 2021; </w:t>
      </w:r>
      <w:r w:rsidRPr="003B5694">
        <w:rPr>
          <w:rFonts w:ascii="Arial" w:hAnsi="Arial" w:cs="Arial"/>
          <w:color w:val="222222"/>
          <w:sz w:val="20"/>
          <w:szCs w:val="20"/>
          <w:shd w:val="clear" w:color="auto" w:fill="FFFFFF"/>
        </w:rPr>
        <w:t>James, 2024; Raj &amp; Yadav, 2026</w:t>
      </w:r>
      <w:r w:rsidRPr="003B5694">
        <w:rPr>
          <w:rFonts w:ascii="Arial" w:hAnsi="Arial" w:cs="Arial"/>
          <w:sz w:val="20"/>
          <w:szCs w:val="20"/>
        </w:rPr>
        <w:t>). Income plays a critical yet under-examined role in determining access to social security among women gig workers. From a regional perspective, the focus on the Malabar region adds contextual specificity to debates on labour and social protection in India. This regional lens enriches policy discussions by situating gig work within the broader socio-economic fabric of northern Kerala. Against this backdrop, the present study examines the determinants of social security access among women gig workers in the Malabar region of Kerala. The core problem addressed in this study is the inadequate understanding of how income influences the likelihood of accessing social security benefits among women gig workers in the Malabar region of Kerala. By employing logistic regression analysis, the study seeks to empirically investigate whether income significantly predicts social security access and to what extent it shapes inclusion or exclusion within existing welfare frameworks. Addressing this problem is essential for designing equitable and gender-sensitive social protection policies in an evolving labour market context. The study contributes to ongoing debates on gender, labour market transformation, and social protection in emerging gig economies, while providing evidence-based insights for policymakers and platform stakeholders</w:t>
      </w:r>
      <w:r w:rsidR="00E26B95" w:rsidRPr="0086458D">
        <w:rPr>
          <w:rFonts w:ascii="Arial" w:hAnsi="Arial" w:cs="Arial"/>
          <w:sz w:val="20"/>
          <w:szCs w:val="20"/>
        </w:rPr>
        <w:t>.</w:t>
      </w:r>
    </w:p>
    <w:p w14:paraId="45350897" w14:textId="2ACB4B08" w:rsidR="000D4AEE" w:rsidRPr="0059717B" w:rsidRDefault="0059717B" w:rsidP="00FE26A1">
      <w:pPr>
        <w:spacing w:before="240" w:line="360" w:lineRule="auto"/>
        <w:jc w:val="both"/>
        <w:rPr>
          <w:rFonts w:ascii="Arial" w:hAnsi="Arial" w:cs="Arial"/>
          <w:b/>
          <w:bCs/>
        </w:rPr>
      </w:pPr>
      <w:r w:rsidRPr="0059717B">
        <w:rPr>
          <w:rFonts w:ascii="Arial" w:hAnsi="Arial" w:cs="Arial"/>
          <w:b/>
          <w:bCs/>
        </w:rPr>
        <w:t>2</w:t>
      </w:r>
      <w:r w:rsidR="00D90791">
        <w:rPr>
          <w:rFonts w:ascii="Arial" w:hAnsi="Arial" w:cs="Arial"/>
          <w:b/>
          <w:bCs/>
        </w:rPr>
        <w:t xml:space="preserve"> </w:t>
      </w:r>
      <w:r w:rsidRPr="0059717B">
        <w:rPr>
          <w:rFonts w:ascii="Arial" w:hAnsi="Arial" w:cs="Arial"/>
          <w:b/>
          <w:bCs/>
        </w:rPr>
        <w:t>THEORETICAL PERSPECTIVES OF THE STUDY</w:t>
      </w:r>
    </w:p>
    <w:p w14:paraId="382EEBE8" w14:textId="77777777" w:rsidR="00E02899" w:rsidRPr="003B5694" w:rsidRDefault="00E02899" w:rsidP="00E02899">
      <w:pPr>
        <w:spacing w:line="360" w:lineRule="auto"/>
        <w:jc w:val="both"/>
        <w:rPr>
          <w:rFonts w:ascii="Arial" w:hAnsi="Arial" w:cs="Arial"/>
          <w:sz w:val="20"/>
          <w:szCs w:val="20"/>
        </w:rPr>
      </w:pPr>
      <w:r w:rsidRPr="003B5694">
        <w:rPr>
          <w:rFonts w:ascii="Arial" w:hAnsi="Arial" w:cs="Arial"/>
          <w:sz w:val="20"/>
          <w:szCs w:val="20"/>
        </w:rPr>
        <w:lastRenderedPageBreak/>
        <w:t>The phenomenon of social security access among women gig workers is shaped by complex socio-economic and structural determinants. The theoretical framework of this study integrates three complementary perspectives, namely Human Capital Theory, Gender and Labour Market Theory, and Institutional Theory, to explain variations in access to social security among women gig workers included in the sample in Kerala. Human Capital Theory argues that investments in education, skills, and training influence individuals’ economic opportunities and labour market outcomes (Becker, 1964). Within the gig economy, human capital includes digital competencies, formal education, and prior vocational experience, which may affect a worker’s ability to secure social protection benefits (Wood et al., 2019). For women gig workers, human capital not only determines their participation in higher-value platform-based work but also shapes their awareness of and ability to access formal social security schemes. Research in informal labour contexts indicates that higher levels of education and skills are positively associated with improved access to social protection programmes (</w:t>
      </w:r>
      <w:proofErr w:type="spellStart"/>
      <w:r w:rsidRPr="003B5694">
        <w:rPr>
          <w:rFonts w:ascii="Arial" w:hAnsi="Arial" w:cs="Arial"/>
          <w:sz w:val="20"/>
          <w:szCs w:val="20"/>
        </w:rPr>
        <w:t>Benería</w:t>
      </w:r>
      <w:proofErr w:type="spellEnd"/>
      <w:r w:rsidRPr="003B5694">
        <w:rPr>
          <w:rFonts w:ascii="Arial" w:hAnsi="Arial" w:cs="Arial"/>
          <w:sz w:val="20"/>
          <w:szCs w:val="20"/>
        </w:rPr>
        <w:t>, 2016). Accordingly, this study identifies human capital variables such as educational attainment, technical training, and digital literacy as key predictors in the logistic regression models that estimate the likelihood of access to social security.</w:t>
      </w:r>
    </w:p>
    <w:p w14:paraId="33553C8C" w14:textId="1A5477F2" w:rsidR="00597C15" w:rsidRDefault="00E02899" w:rsidP="00E02899">
      <w:pPr>
        <w:spacing w:line="360" w:lineRule="auto"/>
        <w:jc w:val="both"/>
        <w:rPr>
          <w:rFonts w:ascii="Arial" w:hAnsi="Arial" w:cs="Arial"/>
          <w:sz w:val="20"/>
          <w:szCs w:val="20"/>
        </w:rPr>
      </w:pPr>
      <w:r w:rsidRPr="003B5694">
        <w:rPr>
          <w:rFonts w:ascii="Arial" w:hAnsi="Arial" w:cs="Arial"/>
          <w:sz w:val="20"/>
          <w:szCs w:val="20"/>
        </w:rPr>
        <w:t>Gender and Labour Market Theory highlights the structural inequalities and social norms that influence women’s labour market participation and outcomes (</w:t>
      </w:r>
      <w:proofErr w:type="spellStart"/>
      <w:r w:rsidRPr="003B5694">
        <w:rPr>
          <w:rFonts w:ascii="Arial" w:hAnsi="Arial" w:cs="Arial"/>
          <w:sz w:val="20"/>
          <w:szCs w:val="20"/>
        </w:rPr>
        <w:t>Seguino</w:t>
      </w:r>
      <w:proofErr w:type="spellEnd"/>
      <w:r w:rsidRPr="003B5694">
        <w:rPr>
          <w:rFonts w:ascii="Arial" w:hAnsi="Arial" w:cs="Arial"/>
          <w:sz w:val="20"/>
          <w:szCs w:val="20"/>
        </w:rPr>
        <w:t>, 2010). This perspective emphasises that women in gig work often encounter systemic constraints, including wage disparities, limited bargaining power, and disproportionate unpaid care responsibilities (Kalleberg &amp; Dunn, 2016). Although the gig economy is frequently portrayed as flexible and empowering, it may reproduce or intensify existing gender inequalities, with women concentrated in low-paid and precarious tasks that lack adequate benefits (Wood et al., 2019). These gendered constraints shape not only employment conditions but also access to formal social protection mechanisms. Therefore, variables such as marital status, caregiving responsibilities, household income dependency, and working hours are incorporated into the analytical framework to capture the influence of gendered social structures on social security outcomes. Institutional Theory underscores the importance of formal and informal rules, policies, and organisational practices in shaping access to resources (Scott, 2014). In the domain of social security, institutional arrangements at both the state and platform levels, including eligibility criteria, registration procedures, and outreach mechanisms, shape gig workers’ access to benefits. In India, including Kerala, social security systems comprise a combination of statutory provisions and administrative practices that may either enhance or limit inclusivity for workers in non-standard forms of employment (Nazneen &amp; Sultan, 2014). From an institutional perspective, disparities in access arise not only from individual characteristics but also from policy design and implementation gaps. This theoretical approach therefore justifies the inclusion of variables related to awareness of social security schemes, membership in worker associations, and participation in government programmes.</w:t>
      </w:r>
    </w:p>
    <w:p w14:paraId="72AA2FB2" w14:textId="540A42AE" w:rsidR="00403910" w:rsidRPr="0059717B" w:rsidRDefault="0059717B" w:rsidP="00403910">
      <w:pPr>
        <w:spacing w:line="360" w:lineRule="auto"/>
        <w:jc w:val="both"/>
        <w:rPr>
          <w:rFonts w:ascii="Arial" w:hAnsi="Arial" w:cs="Arial"/>
          <w:b/>
          <w:bCs/>
        </w:rPr>
      </w:pPr>
      <w:r w:rsidRPr="0059717B">
        <w:rPr>
          <w:rFonts w:ascii="Arial" w:hAnsi="Arial" w:cs="Arial"/>
          <w:b/>
          <w:bCs/>
        </w:rPr>
        <w:t>3 REVIEW OF RELATED LITERATURE</w:t>
      </w:r>
    </w:p>
    <w:p w14:paraId="3BBEF99E" w14:textId="77777777" w:rsidR="00E02899" w:rsidRPr="003B5694" w:rsidRDefault="00E02899" w:rsidP="00E02899">
      <w:pPr>
        <w:spacing w:line="360" w:lineRule="auto"/>
        <w:jc w:val="both"/>
        <w:rPr>
          <w:rFonts w:ascii="Arial" w:hAnsi="Arial" w:cs="Arial"/>
          <w:sz w:val="20"/>
          <w:szCs w:val="20"/>
        </w:rPr>
      </w:pPr>
      <w:r w:rsidRPr="003B5694">
        <w:rPr>
          <w:rFonts w:ascii="Arial" w:hAnsi="Arial" w:cs="Arial"/>
          <w:sz w:val="20"/>
          <w:szCs w:val="20"/>
        </w:rPr>
        <w:t xml:space="preserve">The gig economy represents a flexible segment of the labour market characterised by short-term contracts, platform-mediated work arrangements, and task-based remuneration rather than permanent employment (Hussain Khan et al., 2026). International evidence suggests that this model is expanding </w:t>
      </w:r>
      <w:r w:rsidRPr="003B5694">
        <w:rPr>
          <w:rFonts w:ascii="Arial" w:hAnsi="Arial" w:cs="Arial"/>
          <w:sz w:val="20"/>
          <w:szCs w:val="20"/>
        </w:rPr>
        <w:lastRenderedPageBreak/>
        <w:t>rapidly, generating both new opportunities and emerging vulnerabilities. Women, in particular, are increasingly drawn to gig work because of its perceived flexibility and the structural constraints they encounter in conventional labour markets (</w:t>
      </w:r>
      <w:proofErr w:type="spellStart"/>
      <w:r w:rsidRPr="003B5694">
        <w:rPr>
          <w:rFonts w:ascii="Arial" w:hAnsi="Arial" w:cs="Arial"/>
          <w:sz w:val="20"/>
          <w:szCs w:val="20"/>
        </w:rPr>
        <w:t>Kasliwal</w:t>
      </w:r>
      <w:proofErr w:type="spellEnd"/>
      <w:r w:rsidRPr="003B5694">
        <w:rPr>
          <w:rFonts w:ascii="Arial" w:hAnsi="Arial" w:cs="Arial"/>
          <w:sz w:val="20"/>
          <w:szCs w:val="20"/>
        </w:rPr>
        <w:t>, 2023; Hussain Khan et al., 2026). According to projections by NITI Aayog (2022), India’s gig economy engaged nearly 7.7 million workers in 2020–21, accounting for about 2.6 per cent of non-agricultural employment and 1.5 per cent of the total workforce. The report further estimates that this figure could rise to approximately 23.5 million by 2029–30, representing 6.7 per cent of non-farm employment and 4.1 per cent of the overall labour force. Within this broader national landscape, Kerala occupies a distinctive position owing to its historically high human development achievements (Oommen, 2008). However, while gig employment is often associated with enhanced work–life balance, it does not inherently guarantee gender equity. Persistent structural and socio-cultural barriers continue to shape women’s experiences in this sector (</w:t>
      </w:r>
      <w:proofErr w:type="spellStart"/>
      <w:r w:rsidRPr="003B5694">
        <w:rPr>
          <w:rFonts w:ascii="Arial" w:hAnsi="Arial" w:cs="Arial"/>
          <w:sz w:val="20"/>
          <w:szCs w:val="20"/>
        </w:rPr>
        <w:t>Kasliwal</w:t>
      </w:r>
      <w:proofErr w:type="spellEnd"/>
      <w:r w:rsidRPr="003B5694">
        <w:rPr>
          <w:rFonts w:ascii="Arial" w:hAnsi="Arial" w:cs="Arial"/>
          <w:sz w:val="20"/>
          <w:szCs w:val="20"/>
        </w:rPr>
        <w:t xml:space="preserve">, 2023; </w:t>
      </w:r>
      <w:proofErr w:type="spellStart"/>
      <w:r w:rsidRPr="003B5694">
        <w:rPr>
          <w:rFonts w:ascii="Arial" w:hAnsi="Arial" w:cs="Arial"/>
          <w:sz w:val="20"/>
          <w:szCs w:val="20"/>
        </w:rPr>
        <w:t>Noushad</w:t>
      </w:r>
      <w:proofErr w:type="spellEnd"/>
      <w:r w:rsidRPr="003B5694">
        <w:rPr>
          <w:rFonts w:ascii="Arial" w:hAnsi="Arial" w:cs="Arial"/>
          <w:sz w:val="20"/>
          <w:szCs w:val="20"/>
        </w:rPr>
        <w:t xml:space="preserve"> &amp; </w:t>
      </w:r>
      <w:proofErr w:type="spellStart"/>
      <w:r w:rsidRPr="003B5694">
        <w:rPr>
          <w:rFonts w:ascii="Arial" w:hAnsi="Arial" w:cs="Arial"/>
          <w:sz w:val="20"/>
          <w:szCs w:val="20"/>
        </w:rPr>
        <w:t>Jamsheer</w:t>
      </w:r>
      <w:proofErr w:type="spellEnd"/>
      <w:r w:rsidRPr="003B5694">
        <w:rPr>
          <w:rFonts w:ascii="Arial" w:hAnsi="Arial" w:cs="Arial"/>
          <w:sz w:val="20"/>
          <w:szCs w:val="20"/>
        </w:rPr>
        <w:t>, 2025). Existing scholarship indicates that women’s engagement in gig work is influenced by caregiving responsibilities, digital literacy, mobility limitations, and prevailing cultural norms (Sen &amp; Kalita, 2025; Deshpande &amp; Kabeer, 2019). These factors affect not only entry into gig employment but also job quality, earnings, and access to social protection. A recurring concern in the literature is the limited coverage of social security for gig workers (Verma, 2025). As most are classified as independent contractors, they are typically excluded from statutory benefits such as health insurance, pensions, unemployment support, and compensation for workplace injuries.</w:t>
      </w:r>
    </w:p>
    <w:p w14:paraId="36C81F80" w14:textId="287B0455" w:rsidR="00005A0F" w:rsidRPr="00005A0F" w:rsidRDefault="00E02899" w:rsidP="00E02899">
      <w:pPr>
        <w:spacing w:line="360" w:lineRule="auto"/>
        <w:jc w:val="both"/>
        <w:rPr>
          <w:rFonts w:ascii="Arial" w:hAnsi="Arial" w:cs="Arial"/>
          <w:color w:val="000000" w:themeColor="text1"/>
          <w:sz w:val="20"/>
          <w:szCs w:val="20"/>
        </w:rPr>
      </w:pPr>
      <w:r w:rsidRPr="003B5694">
        <w:rPr>
          <w:rFonts w:ascii="Arial" w:hAnsi="Arial" w:cs="Arial"/>
          <w:sz w:val="20"/>
          <w:szCs w:val="20"/>
        </w:rPr>
        <w:t>The literature highlights significant gender disparities within digital labour platforms. Women are largely concentrated in traditionally feminised sectors such as domestic services, beauty and wellness, caregiving, and home-based freelance work. These segments typically offer lower earnings and limited access to social protection (Joseph, 2021). These trends reflect broader gendered divisions of labour and subject women to additional constraints such as employment insecurity, discrimination, algorithmic bias, and limited access to professional networks that influence task allocation (</w:t>
      </w:r>
      <w:proofErr w:type="spellStart"/>
      <w:r w:rsidRPr="003B5694">
        <w:rPr>
          <w:rFonts w:ascii="Arial" w:eastAsia="Times New Roman" w:hAnsi="Arial" w:cs="Arial"/>
          <w:kern w:val="0"/>
          <w:sz w:val="20"/>
          <w:szCs w:val="20"/>
          <w:lang w:eastAsia="en-IN"/>
          <w14:ligatures w14:val="none"/>
        </w:rPr>
        <w:t>Benería</w:t>
      </w:r>
      <w:proofErr w:type="spellEnd"/>
      <w:r w:rsidRPr="003B5694">
        <w:rPr>
          <w:rFonts w:ascii="Arial" w:eastAsia="Times New Roman" w:hAnsi="Arial" w:cs="Arial"/>
          <w:kern w:val="0"/>
          <w:sz w:val="20"/>
          <w:szCs w:val="20"/>
          <w:lang w:eastAsia="en-IN"/>
          <w14:ligatures w14:val="none"/>
        </w:rPr>
        <w:t>, 2016)</w:t>
      </w:r>
      <w:r w:rsidRPr="003B5694">
        <w:rPr>
          <w:rFonts w:ascii="Arial" w:hAnsi="Arial" w:cs="Arial"/>
          <w:sz w:val="20"/>
          <w:szCs w:val="20"/>
        </w:rPr>
        <w:t>). Time use studies indicate that women often limit their working hours or decline late night assignments because of safety concerns and unpaid caregiving responsibilities. These constraints reduce their earning capacity and limit their ability to make regular social security contributions compared to men (</w:t>
      </w:r>
      <w:proofErr w:type="spellStart"/>
      <w:r w:rsidRPr="003B5694">
        <w:rPr>
          <w:rFonts w:ascii="Arial" w:hAnsi="Arial" w:cs="Arial"/>
          <w:sz w:val="20"/>
          <w:szCs w:val="20"/>
        </w:rPr>
        <w:t>Dokuka</w:t>
      </w:r>
      <w:proofErr w:type="spellEnd"/>
      <w:r w:rsidRPr="003B5694">
        <w:rPr>
          <w:rFonts w:ascii="Arial" w:hAnsi="Arial" w:cs="Arial"/>
          <w:sz w:val="20"/>
          <w:szCs w:val="20"/>
        </w:rPr>
        <w:t xml:space="preserve"> et al., 2022). In countries such as India and China, social security systems have struggled to adjust to the changing nature of gig employment, resulting in institutional gaps and exclusion (Chen et al., 2025). In India, although the Code on Social Security, 2020 formally recognises gig workers as a distinct category, implementation remains uneven, and many women continue to face obstacles in accessing formal protections (</w:t>
      </w:r>
      <w:proofErr w:type="spellStart"/>
      <w:r w:rsidRPr="003B5694">
        <w:rPr>
          <w:rFonts w:ascii="Arial" w:hAnsi="Arial" w:cs="Arial"/>
          <w:sz w:val="20"/>
          <w:szCs w:val="20"/>
        </w:rPr>
        <w:t>Deepashree</w:t>
      </w:r>
      <w:proofErr w:type="spellEnd"/>
      <w:r w:rsidRPr="003B5694">
        <w:rPr>
          <w:rFonts w:ascii="Arial" w:hAnsi="Arial" w:cs="Arial"/>
          <w:sz w:val="20"/>
          <w:szCs w:val="20"/>
        </w:rPr>
        <w:t xml:space="preserve">, 2025). The absence of comprehensive coverage exacerbates income instability and exposure to occupational risks (Agrawal &amp; Bhukya, 2022; Rosca, 2025). Most existing research on Kerala’s gig economy concentrates on participation patterns, empowerment outcomes, and general working conditions, while paying limited attention to the structural relationship between income and social security access. In particular, region-specific and gender-focused quantitative studies remain scarce. Empirical analyses that systematically examine how socio-demographic factors and gig work characteristics influence social security inclusion are still underdeveloped in the state. This gap highlights the need for rigorous statistical methods, such as </w:t>
      </w:r>
      <w:r w:rsidRPr="003B5694">
        <w:rPr>
          <w:rFonts w:ascii="Arial" w:hAnsi="Arial" w:cs="Arial"/>
          <w:sz w:val="20"/>
          <w:szCs w:val="20"/>
        </w:rPr>
        <w:lastRenderedPageBreak/>
        <w:t>logistic regression analysis, to identify key determinants of social security access among women gig workers in the Malabar region</w:t>
      </w:r>
      <w:r w:rsidR="00005A0F" w:rsidRPr="00005A0F">
        <w:rPr>
          <w:rFonts w:ascii="Arial" w:hAnsi="Arial" w:cs="Arial"/>
          <w:color w:val="000000" w:themeColor="text1"/>
          <w:sz w:val="20"/>
          <w:szCs w:val="20"/>
        </w:rPr>
        <w:t>.</w:t>
      </w:r>
    </w:p>
    <w:p w14:paraId="77785FA8" w14:textId="28ACDFB5" w:rsidR="00DB5CC8" w:rsidRPr="0059717B" w:rsidRDefault="00005A0F" w:rsidP="00DB5CC8">
      <w:pPr>
        <w:spacing w:before="240" w:after="0" w:line="360" w:lineRule="auto"/>
        <w:jc w:val="both"/>
        <w:rPr>
          <w:rFonts w:ascii="Arial" w:hAnsi="Arial" w:cs="Arial"/>
          <w:b/>
          <w:bCs/>
        </w:rPr>
      </w:pPr>
      <w:r>
        <w:rPr>
          <w:rFonts w:ascii="Arial" w:hAnsi="Arial" w:cs="Arial"/>
          <w:b/>
          <w:bCs/>
        </w:rPr>
        <w:t>4</w:t>
      </w:r>
      <w:r w:rsidR="0059717B" w:rsidRPr="0059717B">
        <w:rPr>
          <w:rFonts w:ascii="Arial" w:hAnsi="Arial" w:cs="Arial"/>
          <w:b/>
          <w:bCs/>
        </w:rPr>
        <w:t xml:space="preserve"> METHODOLOGY</w:t>
      </w:r>
    </w:p>
    <w:p w14:paraId="71AB1B8A" w14:textId="76C9BA48" w:rsidR="00FE26A1" w:rsidRPr="00E02899" w:rsidRDefault="00E02899" w:rsidP="00E02899">
      <w:pPr>
        <w:spacing w:before="240" w:line="360" w:lineRule="auto"/>
        <w:jc w:val="both"/>
        <w:rPr>
          <w:rFonts w:ascii="Arial" w:hAnsi="Arial" w:cs="Arial"/>
          <w:sz w:val="20"/>
          <w:szCs w:val="20"/>
        </w:rPr>
      </w:pPr>
      <w:r w:rsidRPr="003B5694">
        <w:rPr>
          <w:rFonts w:ascii="Arial" w:hAnsi="Arial" w:cs="Arial"/>
          <w:sz w:val="20"/>
          <w:szCs w:val="20"/>
        </w:rPr>
        <w:t>The study adopts a quantitative, cross-sectional research design to examine whether income significantly determines access to social security among women gig workers in the Malabar region of Kerala. A primary survey-based approach was employed to generate first-hand data. The analytical framework integrates descriptive statistics, chi-square tests of association, and binary logistic regression to assess both the pattern and the strength of relationships between socio-economic determinants and social security access. The unit of analysis is individual women gig workers engaged in platform-based and independent gig activities. A total of 300 women gig workers were recruited through the snowball sampling technique, which enabled the identification of participants within this hard-to-reach population. Data were collected via structured questionnaires. The research was conducted in the Malabar region of Kerala, comprising the districts of Malappuram, Kozhikode, and Kannur. These districts were selected due to the growing presence of gig-based employment and the increasing participation of women in digital and platform-mediated work</w:t>
      </w:r>
      <w:r w:rsidR="00005A0F" w:rsidRPr="00005A0F">
        <w:rPr>
          <w:rFonts w:ascii="Arial" w:hAnsi="Arial" w:cs="Arial"/>
          <w:sz w:val="20"/>
          <w:szCs w:val="20"/>
        </w:rPr>
        <w:t>.</w:t>
      </w:r>
    </w:p>
    <w:p w14:paraId="68E4159D" w14:textId="222E9F89" w:rsidR="007601BD" w:rsidRPr="0059717B" w:rsidRDefault="00005A0F" w:rsidP="00DB5CC8">
      <w:pPr>
        <w:spacing w:before="240" w:after="0" w:line="360" w:lineRule="auto"/>
        <w:jc w:val="both"/>
        <w:rPr>
          <w:rFonts w:ascii="Arial" w:hAnsi="Arial" w:cs="Arial"/>
          <w:b/>
          <w:bCs/>
        </w:rPr>
      </w:pPr>
      <w:r>
        <w:rPr>
          <w:rFonts w:ascii="Arial" w:hAnsi="Arial" w:cs="Arial"/>
          <w:b/>
          <w:bCs/>
        </w:rPr>
        <w:t>4</w:t>
      </w:r>
      <w:r w:rsidR="009E7CF5" w:rsidRPr="0059717B">
        <w:rPr>
          <w:rFonts w:ascii="Arial" w:hAnsi="Arial" w:cs="Arial"/>
          <w:b/>
          <w:bCs/>
        </w:rPr>
        <w:t>.1 Data</w:t>
      </w:r>
    </w:p>
    <w:p w14:paraId="1E78830F" w14:textId="7EDA3C70" w:rsidR="00005A0F" w:rsidRPr="00005A0F" w:rsidRDefault="00E02899" w:rsidP="00005A0F">
      <w:pPr>
        <w:spacing w:before="240" w:line="360" w:lineRule="auto"/>
        <w:jc w:val="both"/>
        <w:rPr>
          <w:rFonts w:ascii="Arial" w:hAnsi="Arial" w:cs="Arial"/>
          <w:sz w:val="20"/>
          <w:szCs w:val="20"/>
        </w:rPr>
      </w:pPr>
      <w:r w:rsidRPr="003B5694">
        <w:rPr>
          <w:rFonts w:ascii="Arial" w:hAnsi="Arial" w:cs="Arial"/>
          <w:sz w:val="20"/>
          <w:szCs w:val="20"/>
        </w:rPr>
        <w:t xml:space="preserve">The study draws on primary data collected from 300 women gig workers across three districts in the Malabar region of Kerala. Within Kannur district, respondents were selected from </w:t>
      </w:r>
      <w:proofErr w:type="spellStart"/>
      <w:r w:rsidRPr="003B5694">
        <w:rPr>
          <w:rFonts w:ascii="Arial" w:hAnsi="Arial" w:cs="Arial"/>
          <w:sz w:val="20"/>
          <w:szCs w:val="20"/>
        </w:rPr>
        <w:t>Thalassery</w:t>
      </w:r>
      <w:proofErr w:type="spellEnd"/>
      <w:r w:rsidRPr="003B5694">
        <w:rPr>
          <w:rFonts w:ascii="Arial" w:hAnsi="Arial" w:cs="Arial"/>
          <w:sz w:val="20"/>
          <w:szCs w:val="20"/>
        </w:rPr>
        <w:t xml:space="preserve">, </w:t>
      </w:r>
      <w:proofErr w:type="spellStart"/>
      <w:r w:rsidRPr="003B5694">
        <w:rPr>
          <w:rFonts w:ascii="Arial" w:hAnsi="Arial" w:cs="Arial"/>
          <w:sz w:val="20"/>
          <w:szCs w:val="20"/>
        </w:rPr>
        <w:t>Taliparamba</w:t>
      </w:r>
      <w:proofErr w:type="spellEnd"/>
      <w:r w:rsidRPr="003B5694">
        <w:rPr>
          <w:rFonts w:ascii="Arial" w:hAnsi="Arial" w:cs="Arial"/>
          <w:sz w:val="20"/>
          <w:szCs w:val="20"/>
        </w:rPr>
        <w:t xml:space="preserve">, and </w:t>
      </w:r>
      <w:proofErr w:type="spellStart"/>
      <w:r w:rsidRPr="003B5694">
        <w:rPr>
          <w:rFonts w:ascii="Arial" w:hAnsi="Arial" w:cs="Arial"/>
          <w:sz w:val="20"/>
          <w:szCs w:val="20"/>
        </w:rPr>
        <w:t>Iritty</w:t>
      </w:r>
      <w:proofErr w:type="spellEnd"/>
      <w:r w:rsidRPr="003B5694">
        <w:rPr>
          <w:rFonts w:ascii="Arial" w:hAnsi="Arial" w:cs="Arial"/>
          <w:sz w:val="20"/>
          <w:szCs w:val="20"/>
        </w:rPr>
        <w:t xml:space="preserve"> taluks; in Kozhikode district, from </w:t>
      </w:r>
      <w:proofErr w:type="spellStart"/>
      <w:r w:rsidRPr="003B5694">
        <w:rPr>
          <w:rFonts w:ascii="Arial" w:hAnsi="Arial" w:cs="Arial"/>
          <w:sz w:val="20"/>
          <w:szCs w:val="20"/>
        </w:rPr>
        <w:t>Koyilandy</w:t>
      </w:r>
      <w:proofErr w:type="spellEnd"/>
      <w:r w:rsidRPr="003B5694">
        <w:rPr>
          <w:rFonts w:ascii="Arial" w:hAnsi="Arial" w:cs="Arial"/>
          <w:sz w:val="20"/>
          <w:szCs w:val="20"/>
        </w:rPr>
        <w:t xml:space="preserve">, </w:t>
      </w:r>
      <w:proofErr w:type="spellStart"/>
      <w:r w:rsidRPr="003B5694">
        <w:rPr>
          <w:rFonts w:ascii="Arial" w:hAnsi="Arial" w:cs="Arial"/>
          <w:sz w:val="20"/>
          <w:szCs w:val="20"/>
        </w:rPr>
        <w:t>Thamarassery</w:t>
      </w:r>
      <w:proofErr w:type="spellEnd"/>
      <w:r w:rsidRPr="003B5694">
        <w:rPr>
          <w:rFonts w:ascii="Arial" w:hAnsi="Arial" w:cs="Arial"/>
          <w:sz w:val="20"/>
          <w:szCs w:val="20"/>
        </w:rPr>
        <w:t xml:space="preserve">, and Vadakara; and in Malappuram district, from </w:t>
      </w:r>
      <w:proofErr w:type="spellStart"/>
      <w:r w:rsidRPr="003B5694">
        <w:rPr>
          <w:rFonts w:ascii="Arial" w:hAnsi="Arial" w:cs="Arial"/>
          <w:sz w:val="20"/>
          <w:szCs w:val="20"/>
        </w:rPr>
        <w:t>Tirur</w:t>
      </w:r>
      <w:proofErr w:type="spellEnd"/>
      <w:r w:rsidRPr="003B5694">
        <w:rPr>
          <w:rFonts w:ascii="Arial" w:hAnsi="Arial" w:cs="Arial"/>
          <w:sz w:val="20"/>
          <w:szCs w:val="20"/>
        </w:rPr>
        <w:t xml:space="preserve">, Nilambur, and </w:t>
      </w:r>
      <w:proofErr w:type="spellStart"/>
      <w:r w:rsidRPr="003B5694">
        <w:rPr>
          <w:rFonts w:ascii="Arial" w:hAnsi="Arial" w:cs="Arial"/>
          <w:sz w:val="20"/>
          <w:szCs w:val="20"/>
        </w:rPr>
        <w:t>Kondotty</w:t>
      </w:r>
      <w:proofErr w:type="spellEnd"/>
      <w:r w:rsidRPr="003B5694">
        <w:rPr>
          <w:rFonts w:ascii="Arial" w:hAnsi="Arial" w:cs="Arial"/>
          <w:sz w:val="20"/>
          <w:szCs w:val="20"/>
        </w:rPr>
        <w:t>. A multistage sampling design was employed: the three districts were purposively chosen in the first stage, followed by the identification of taluks with a high concentration of gig work activities. In the absence of a formal sampling frame, respondents were recruited through snowball sampling. The target population comprised women aged 18 years and above engaged in digital platform-based work. Data were collected between July and October 2025 using a structured interview schedule covering socio-economic characteristics, income levels, employment patterns, awareness of social security schemes, and actual access to such benefits. The instrument was developed through a comprehensive review of relevant literature and refined through a pilot survey of 40 respondents to ensure clarity, reliability, and contextual suitability</w:t>
      </w:r>
      <w:r w:rsidR="00005A0F" w:rsidRPr="00005A0F">
        <w:rPr>
          <w:rFonts w:ascii="Arial" w:hAnsi="Arial" w:cs="Arial"/>
          <w:sz w:val="20"/>
          <w:szCs w:val="20"/>
        </w:rPr>
        <w:t>.</w:t>
      </w:r>
    </w:p>
    <w:p w14:paraId="144E1B3D" w14:textId="35395F05" w:rsidR="009E7CF5" w:rsidRDefault="00005A0F" w:rsidP="009E7CF5">
      <w:pPr>
        <w:spacing w:before="240" w:after="0" w:line="360" w:lineRule="auto"/>
        <w:jc w:val="both"/>
        <w:rPr>
          <w:rFonts w:ascii="Arial" w:hAnsi="Arial" w:cs="Arial"/>
          <w:b/>
          <w:bCs/>
        </w:rPr>
      </w:pPr>
      <w:r>
        <w:rPr>
          <w:rFonts w:ascii="Arial" w:hAnsi="Arial" w:cs="Arial"/>
          <w:b/>
          <w:bCs/>
        </w:rPr>
        <w:t>4</w:t>
      </w:r>
      <w:r w:rsidR="009E7CF5" w:rsidRPr="0059717B">
        <w:rPr>
          <w:rFonts w:ascii="Arial" w:hAnsi="Arial" w:cs="Arial"/>
          <w:b/>
          <w:bCs/>
        </w:rPr>
        <w:t>.2 Method</w:t>
      </w:r>
    </w:p>
    <w:p w14:paraId="497BAFEE" w14:textId="77777777" w:rsidR="00E02899" w:rsidRPr="003B5694" w:rsidRDefault="00E02899" w:rsidP="00E02899">
      <w:pPr>
        <w:spacing w:before="240" w:after="0" w:line="360" w:lineRule="auto"/>
        <w:jc w:val="both"/>
        <w:rPr>
          <w:rFonts w:ascii="Arial" w:hAnsi="Arial" w:cs="Arial"/>
          <w:sz w:val="20"/>
          <w:szCs w:val="20"/>
        </w:rPr>
      </w:pPr>
      <w:r w:rsidRPr="003B5694">
        <w:rPr>
          <w:rFonts w:ascii="Arial" w:hAnsi="Arial" w:cs="Arial"/>
          <w:sz w:val="20"/>
          <w:szCs w:val="20"/>
        </w:rPr>
        <w:t>The association between social security access among women gig workers and selected socio-economic factors is estimated using the following binary logistic regression model:</w:t>
      </w:r>
    </w:p>
    <w:p w14:paraId="2919185A" w14:textId="77777777" w:rsidR="00E02899" w:rsidRPr="003B5694" w:rsidRDefault="00E02899" w:rsidP="00E02899">
      <w:pPr>
        <w:spacing w:line="360" w:lineRule="auto"/>
        <w:jc w:val="both"/>
        <w:rPr>
          <w:rFonts w:ascii="Arial" w:hAnsi="Arial" w:cs="Arial"/>
          <w:sz w:val="20"/>
          <w:szCs w:val="20"/>
        </w:rPr>
      </w:pPr>
      <m:oMathPara>
        <m:oMath>
          <m:r>
            <m:rPr>
              <m:sty m:val="p"/>
            </m:rPr>
            <w:rPr>
              <w:rFonts w:ascii="Cambria Math" w:hAnsi="Cambria Math" w:cs="Arial"/>
              <w:sz w:val="20"/>
              <w:szCs w:val="20"/>
            </w:rPr>
            <m:t>ln</m:t>
          </m:r>
          <m:r>
            <w:rPr>
              <w:rFonts w:ascii="Cambria Math" w:hAnsi="Cambria Math" w:cs="Arial"/>
              <w:sz w:val="20"/>
              <w:szCs w:val="20"/>
            </w:rPr>
            <m:t>⁡</m:t>
          </m:r>
          <m:d>
            <m:dPr>
              <m:ctrlPr>
                <w:rPr>
                  <w:rFonts w:ascii="Cambria Math" w:hAnsi="Cambria Math" w:cs="Arial"/>
                  <w:sz w:val="20"/>
                  <w:szCs w:val="20"/>
                </w:rPr>
              </m:ctrlPr>
            </m:dPr>
            <m:e>
              <m:f>
                <m:fPr>
                  <m:ctrlPr>
                    <w:rPr>
                      <w:rFonts w:ascii="Cambria Math" w:hAnsi="Cambria Math" w:cs="Arial"/>
                      <w:sz w:val="20"/>
                      <w:szCs w:val="20"/>
                    </w:rPr>
                  </m:ctrlPr>
                </m:fPr>
                <m:num>
                  <m:r>
                    <w:rPr>
                      <w:rFonts w:ascii="Cambria Math" w:hAnsi="Cambria Math" w:cs="Arial"/>
                      <w:sz w:val="20"/>
                      <w:szCs w:val="20"/>
                    </w:rPr>
                    <m:t>P</m:t>
                  </m:r>
                </m:num>
                <m:den>
                  <m:r>
                    <w:rPr>
                      <w:rFonts w:ascii="Cambria Math" w:hAnsi="Cambria Math" w:cs="Arial"/>
                      <w:sz w:val="20"/>
                      <w:szCs w:val="20"/>
                    </w:rPr>
                    <m:t>1-P</m:t>
                  </m:r>
                </m:den>
              </m:f>
            </m:e>
          </m:d>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1</m:t>
              </m:r>
            </m:sub>
          </m:sSub>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2</m:t>
              </m:r>
            </m:sub>
          </m:sSub>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m:t>
          </m:r>
          <m:r>
            <m:rPr>
              <m:sty m:val="p"/>
            </m:rPr>
            <w:rPr>
              <w:rFonts w:ascii="Cambria Math" w:hAnsi="Cambria Math" w:cs="Arial"/>
              <w:sz w:val="20"/>
              <w:szCs w:val="20"/>
            </w:rPr>
            <m:t>...</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k</m:t>
              </m:r>
            </m:sub>
          </m:sSub>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k</m:t>
              </m:r>
            </m:sub>
          </m:sSub>
        </m:oMath>
      </m:oMathPara>
    </w:p>
    <w:p w14:paraId="42C7F4D6" w14:textId="77777777" w:rsidR="00E02899" w:rsidRPr="003B5694" w:rsidRDefault="00E02899" w:rsidP="00E02899">
      <w:pPr>
        <w:spacing w:line="360" w:lineRule="auto"/>
        <w:jc w:val="both"/>
        <w:rPr>
          <w:rFonts w:ascii="Arial" w:hAnsi="Arial" w:cs="Arial"/>
          <w:sz w:val="20"/>
          <w:szCs w:val="20"/>
        </w:rPr>
      </w:pPr>
      <w:r w:rsidRPr="003B5694">
        <w:rPr>
          <w:rFonts w:ascii="Arial" w:hAnsi="Arial" w:cs="Arial"/>
          <w:sz w:val="20"/>
          <w:szCs w:val="20"/>
        </w:rPr>
        <w:t>Where:</w:t>
      </w:r>
    </w:p>
    <w:p w14:paraId="0C087BCE" w14:textId="77777777" w:rsidR="00E02899" w:rsidRPr="003B5694" w:rsidRDefault="00E02899" w:rsidP="00E02899">
      <w:pPr>
        <w:numPr>
          <w:ilvl w:val="0"/>
          <w:numId w:val="2"/>
        </w:numPr>
        <w:spacing w:after="0" w:line="360" w:lineRule="auto"/>
        <w:jc w:val="both"/>
        <w:rPr>
          <w:rFonts w:ascii="Arial" w:hAnsi="Arial" w:cs="Arial"/>
          <w:sz w:val="20"/>
          <w:szCs w:val="20"/>
        </w:rPr>
      </w:pPr>
      <m:oMath>
        <m:r>
          <w:rPr>
            <w:rFonts w:ascii="Cambria Math" w:hAnsi="Cambria Math" w:cs="Arial"/>
            <w:sz w:val="20"/>
            <w:szCs w:val="20"/>
          </w:rPr>
          <m:t>P</m:t>
        </m:r>
      </m:oMath>
      <w:r w:rsidRPr="003B5694">
        <w:rPr>
          <w:rFonts w:ascii="Arial" w:hAnsi="Arial" w:cs="Arial"/>
          <w:sz w:val="20"/>
          <w:szCs w:val="20"/>
        </w:rPr>
        <w:t>= Probability of access to social security</w:t>
      </w:r>
    </w:p>
    <w:p w14:paraId="3C823AF1" w14:textId="77777777" w:rsidR="00E02899" w:rsidRPr="003B5694" w:rsidRDefault="00FC21C1" w:rsidP="00E02899">
      <w:pPr>
        <w:numPr>
          <w:ilvl w:val="0"/>
          <w:numId w:val="2"/>
        </w:numPr>
        <w:spacing w:after="0" w:line="360" w:lineRule="auto"/>
        <w:jc w:val="both"/>
        <w:rPr>
          <w:rFonts w:ascii="Arial" w:hAnsi="Arial" w:cs="Arial"/>
          <w:sz w:val="20"/>
          <w:szCs w:val="20"/>
        </w:rPr>
      </w:pPr>
      <m:oMath>
        <m:f>
          <m:fPr>
            <m:ctrlPr>
              <w:rPr>
                <w:rFonts w:ascii="Cambria Math" w:hAnsi="Cambria Math" w:cs="Arial"/>
                <w:sz w:val="20"/>
                <w:szCs w:val="20"/>
              </w:rPr>
            </m:ctrlPr>
          </m:fPr>
          <m:num>
            <m:r>
              <w:rPr>
                <w:rFonts w:ascii="Cambria Math" w:hAnsi="Cambria Math" w:cs="Arial"/>
                <w:sz w:val="20"/>
                <w:szCs w:val="20"/>
              </w:rPr>
              <m:t>P</m:t>
            </m:r>
          </m:num>
          <m:den>
            <m:r>
              <w:rPr>
                <w:rFonts w:ascii="Cambria Math" w:hAnsi="Cambria Math" w:cs="Arial"/>
                <w:sz w:val="20"/>
                <w:szCs w:val="20"/>
              </w:rPr>
              <m:t>1-</m:t>
            </m:r>
            <m:r>
              <w:rPr>
                <w:rFonts w:ascii="Cambria Math" w:hAnsi="Cambria Math" w:cs="Arial"/>
                <w:sz w:val="20"/>
                <w:szCs w:val="20"/>
              </w:rPr>
              <m:t>P</m:t>
            </m:r>
          </m:den>
        </m:f>
      </m:oMath>
      <w:r w:rsidR="00E02899" w:rsidRPr="003B5694">
        <w:rPr>
          <w:rFonts w:ascii="Arial" w:hAnsi="Arial" w:cs="Arial"/>
          <w:sz w:val="20"/>
          <w:szCs w:val="20"/>
        </w:rPr>
        <w:t>= Odds of access</w:t>
      </w:r>
    </w:p>
    <w:p w14:paraId="6B1C16BA" w14:textId="77777777" w:rsidR="00E02899" w:rsidRPr="003B5694" w:rsidRDefault="00E02899" w:rsidP="00E02899">
      <w:pPr>
        <w:numPr>
          <w:ilvl w:val="0"/>
          <w:numId w:val="2"/>
        </w:numPr>
        <w:spacing w:after="0" w:line="360" w:lineRule="auto"/>
        <w:jc w:val="both"/>
        <w:rPr>
          <w:rFonts w:ascii="Arial" w:hAnsi="Arial" w:cs="Arial"/>
          <w:sz w:val="20"/>
          <w:szCs w:val="20"/>
        </w:rPr>
      </w:pPr>
      <w:r w:rsidRPr="003B5694">
        <w:rPr>
          <w:rFonts w:ascii="Arial" w:hAnsi="Arial" w:cs="Arial"/>
          <w:sz w:val="20"/>
          <w:szCs w:val="20"/>
        </w:rPr>
        <w:t>LHS = Log odds (logit)</w:t>
      </w:r>
    </w:p>
    <w:p w14:paraId="2FA0BBFB" w14:textId="77777777" w:rsidR="00E02899" w:rsidRPr="003B5694" w:rsidRDefault="00E02899" w:rsidP="00E02899">
      <w:pPr>
        <w:spacing w:before="240" w:line="360" w:lineRule="auto"/>
        <w:jc w:val="both"/>
        <w:rPr>
          <w:rFonts w:ascii="Arial" w:hAnsi="Arial" w:cs="Arial"/>
          <w:sz w:val="20"/>
          <w:szCs w:val="20"/>
        </w:rPr>
      </w:pPr>
      <w:r w:rsidRPr="003B5694">
        <w:rPr>
          <w:rFonts w:ascii="Arial" w:hAnsi="Arial" w:cs="Arial"/>
          <w:sz w:val="20"/>
          <w:szCs w:val="20"/>
        </w:rPr>
        <w:t>To examine the determinants of access to social security among women gig workers, a binary logistic regression model was employed. Given that the dependent variable is dichotomous (1 = access to social security; 0 = no access), the appropriate analytical framework is the logit model, which estimates the probability of access as a function of selected explanatory variables.</w:t>
      </w:r>
    </w:p>
    <w:p w14:paraId="445860ED" w14:textId="77777777" w:rsidR="00E02899" w:rsidRPr="003B5694" w:rsidRDefault="00FC21C1" w:rsidP="00E02899">
      <w:pPr>
        <w:spacing w:line="360" w:lineRule="auto"/>
        <w:jc w:val="both"/>
        <w:rPr>
          <w:rFonts w:ascii="Arial" w:eastAsiaTheme="minorEastAsia" w:hAnsi="Arial" w:cs="Arial"/>
          <w:iCs/>
          <w:sz w:val="20"/>
          <w:szCs w:val="20"/>
        </w:rPr>
      </w:pPr>
      <m:oMathPara>
        <m:oMath>
          <m:func>
            <m:funcPr>
              <m:ctrlPr>
                <w:rPr>
                  <w:rFonts w:ascii="Cambria Math" w:hAnsi="Cambria Math" w:cs="Arial"/>
                  <w:i/>
                  <w:sz w:val="20"/>
                  <w:szCs w:val="20"/>
                </w:rPr>
              </m:ctrlPr>
            </m:funcPr>
            <m:fName>
              <m:r>
                <w:rPr>
                  <w:rFonts w:ascii="Cambria Math" w:hAnsi="Cambria Math" w:cs="Arial"/>
                  <w:sz w:val="20"/>
                  <w:szCs w:val="20"/>
                </w:rPr>
                <m:t>ln</m:t>
              </m:r>
            </m:fName>
            <m:e>
              <m:d>
                <m:dPr>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num>
                    <m:den>
                      <m:r>
                        <w:rPr>
                          <w:rFonts w:ascii="Cambria Math" w:hAnsi="Cambria Math" w:cs="Arial"/>
                          <w:sz w:val="20"/>
                          <w:szCs w:val="20"/>
                        </w:rPr>
                        <m:t>1-</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den>
                  </m:f>
                </m:e>
              </m:d>
            </m:e>
          </m:func>
          <m:r>
            <w:rPr>
              <w:rFonts w:ascii="Cambria Math" w:hAnsi="Cambria Math" w:cs="Arial"/>
              <w:sz w:val="20"/>
              <w:szCs w:val="20"/>
            </w:rPr>
            <m:t>=</m:t>
          </m:r>
          <m:r>
            <w:rPr>
              <w:rFonts w:ascii="Cambria Math" w:hAnsi="Cambria Math" w:cs="Arial"/>
              <w:sz w:val="20"/>
              <w:szCs w:val="20"/>
            </w:rPr>
            <m:t>ln</m:t>
          </m:r>
          <m:d>
            <m:dPr>
              <m:ctrlPr>
                <w:rPr>
                  <w:rFonts w:ascii="Cambria Math" w:hAnsi="Cambria Math" w:cs="Arial"/>
                  <w:i/>
                  <w:sz w:val="20"/>
                  <w:szCs w:val="20"/>
                </w:rPr>
              </m:ctrlPr>
            </m:dPr>
            <m:e>
              <m:r>
                <w:rPr>
                  <w:rFonts w:ascii="Cambria Math" w:hAnsi="Cambria Math" w:cs="Arial"/>
                  <w:sz w:val="20"/>
                  <w:szCs w:val="20"/>
                </w:rPr>
                <m:t>1-</m:t>
              </m:r>
              <m:r>
                <w:rPr>
                  <w:rFonts w:ascii="Cambria Math" w:hAnsi="Cambria Math" w:cs="Arial"/>
                  <w:sz w:val="20"/>
                  <w:szCs w:val="20"/>
                </w:rPr>
                <m:t>Pi</m:t>
              </m:r>
              <m:r>
                <w:rPr>
                  <w:rFonts w:ascii="Cambria Math" w:hAnsi="Cambria Math" w:cs="Arial"/>
                  <w:sz w:val="20"/>
                  <w:szCs w:val="20"/>
                </w:rPr>
                <m:t>​</m:t>
              </m:r>
              <m:r>
                <w:rPr>
                  <w:rFonts w:ascii="Cambria Math" w:hAnsi="Cambria Math" w:cs="Arial"/>
                  <w:sz w:val="20"/>
                  <w:szCs w:val="20"/>
                </w:rPr>
                <m:t>Pi</m:t>
              </m:r>
              <m:r>
                <w:rPr>
                  <w:rFonts w:ascii="Cambria Math" w:hAnsi="Cambria Math" w:cs="Arial"/>
                  <w:sz w:val="20"/>
                  <w:szCs w:val="20"/>
                </w:rPr>
                <m:t>​​</m:t>
              </m:r>
            </m:e>
          </m:d>
          <m:r>
            <m:rPr>
              <m:sty m:val="bi"/>
            </m:rPr>
            <w:rPr>
              <w:rFonts w:ascii="Cambria Math" w:hAnsi="Cambria Math" w:cs="Arial"/>
              <w:sz w:val="20"/>
              <w:szCs w:val="20"/>
            </w:rPr>
            <m:t>=</m:t>
          </m:r>
          <m:r>
            <w:rPr>
              <w:rFonts w:ascii="Cambria Math" w:hAnsi="Cambria Math" w:cs="Arial"/>
              <w:sz w:val="20"/>
              <w:szCs w:val="20"/>
            </w:rPr>
            <m:t>β</m:t>
          </m:r>
          <m:r>
            <w:rPr>
              <w:rFonts w:ascii="Cambria Math" w:hAnsi="Cambria Math" w:cs="Arial"/>
              <w:sz w:val="20"/>
              <w:szCs w:val="20"/>
            </w:rPr>
            <m:t>0​+</m:t>
          </m:r>
          <m:r>
            <w:rPr>
              <w:rFonts w:ascii="Cambria Math" w:hAnsi="Cambria Math" w:cs="Arial"/>
              <w:sz w:val="20"/>
              <w:szCs w:val="20"/>
            </w:rPr>
            <m:t>β</m:t>
          </m:r>
          <m:r>
            <w:rPr>
              <w:rFonts w:ascii="Cambria Math" w:hAnsi="Cambria Math" w:cs="Arial"/>
              <w:sz w:val="20"/>
              <w:szCs w:val="20"/>
            </w:rPr>
            <m:t>1​</m:t>
          </m:r>
          <m:r>
            <w:rPr>
              <w:rFonts w:ascii="Cambria Math" w:hAnsi="Cambria Math" w:cs="Arial"/>
              <w:sz w:val="20"/>
              <w:szCs w:val="20"/>
            </w:rPr>
            <m:t>Hei</m:t>
          </m:r>
          <m:r>
            <w:rPr>
              <w:rFonts w:ascii="Cambria Math" w:hAnsi="Cambria Math" w:cs="Arial"/>
              <w:sz w:val="20"/>
              <w:szCs w:val="20"/>
            </w:rPr>
            <m:t>​</m:t>
          </m:r>
          <m:r>
            <w:rPr>
              <w:rFonts w:ascii="Cambria Math" w:hAnsi="Cambria Math" w:cs="Arial"/>
              <w:sz w:val="20"/>
              <w:szCs w:val="20"/>
            </w:rPr>
            <m:t>+</m:t>
          </m:r>
          <m:r>
            <w:rPr>
              <w:rFonts w:ascii="Cambria Math" w:hAnsi="Cambria Math" w:cs="Arial"/>
              <w:sz w:val="20"/>
              <w:szCs w:val="20"/>
            </w:rPr>
            <m:t>β</m:t>
          </m:r>
          <m:r>
            <w:rPr>
              <w:rFonts w:ascii="Cambria Math" w:hAnsi="Cambria Math" w:cs="Arial"/>
              <w:sz w:val="20"/>
              <w:szCs w:val="20"/>
            </w:rPr>
            <m:t>2​</m:t>
          </m:r>
          <m:r>
            <w:rPr>
              <w:rFonts w:ascii="Cambria Math" w:hAnsi="Cambria Math" w:cs="Arial"/>
              <w:sz w:val="20"/>
              <w:szCs w:val="20"/>
            </w:rPr>
            <m:t>Mai</m:t>
          </m:r>
          <m:r>
            <w:rPr>
              <w:rFonts w:ascii="Cambria Math" w:hAnsi="Cambria Math" w:cs="Arial"/>
              <w:sz w:val="20"/>
              <w:szCs w:val="20"/>
            </w:rPr>
            <m:t>​</m:t>
          </m:r>
          <m:r>
            <w:rPr>
              <w:rFonts w:ascii="Cambria Math" w:hAnsi="Cambria Math" w:cs="Arial"/>
              <w:sz w:val="20"/>
              <w:szCs w:val="20"/>
            </w:rPr>
            <m:t>+</m:t>
          </m:r>
          <m:r>
            <w:rPr>
              <w:rFonts w:ascii="Cambria Math" w:hAnsi="Cambria Math" w:cs="Arial"/>
              <w:sz w:val="20"/>
              <w:szCs w:val="20"/>
            </w:rPr>
            <m:t>β</m:t>
          </m:r>
          <m:r>
            <w:rPr>
              <w:rFonts w:ascii="Cambria Math" w:hAnsi="Cambria Math" w:cs="Arial"/>
              <w:sz w:val="20"/>
              <w:szCs w:val="20"/>
            </w:rPr>
            <m:t>3​</m:t>
          </m:r>
          <m:r>
            <w:rPr>
              <w:rFonts w:ascii="Cambria Math" w:hAnsi="Cambria Math" w:cs="Arial"/>
              <w:sz w:val="20"/>
              <w:szCs w:val="20"/>
            </w:rPr>
            <m:t>C</m:t>
          </m:r>
          <m:r>
            <w:rPr>
              <w:rFonts w:ascii="Cambria Math" w:hAnsi="Cambria Math" w:cs="Arial"/>
              <w:sz w:val="20"/>
              <w:szCs w:val="20"/>
            </w:rPr>
            <m:t>h</m:t>
          </m:r>
          <m:r>
            <w:rPr>
              <w:rFonts w:ascii="Cambria Math" w:hAnsi="Cambria Math" w:cs="Arial"/>
              <w:sz w:val="20"/>
              <w:szCs w:val="20"/>
            </w:rPr>
            <m:t>i</m:t>
          </m:r>
          <m:r>
            <w:rPr>
              <w:rFonts w:ascii="Cambria Math" w:hAnsi="Cambria Math" w:cs="Arial"/>
              <w:sz w:val="20"/>
              <w:szCs w:val="20"/>
            </w:rPr>
            <m:t>​</m:t>
          </m:r>
          <m:r>
            <w:rPr>
              <w:rFonts w:ascii="Cambria Math" w:hAnsi="Cambria Math" w:cs="Arial"/>
              <w:sz w:val="20"/>
              <w:szCs w:val="20"/>
            </w:rPr>
            <m:t>+</m:t>
          </m:r>
          <m:r>
            <w:rPr>
              <w:rFonts w:ascii="Cambria Math" w:hAnsi="Cambria Math" w:cs="Arial"/>
              <w:sz w:val="20"/>
              <w:szCs w:val="20"/>
            </w:rPr>
            <m:t>β</m:t>
          </m:r>
          <m:r>
            <w:rPr>
              <w:rFonts w:ascii="Cambria Math" w:hAnsi="Cambria Math" w:cs="Arial"/>
              <w:sz w:val="20"/>
              <w:szCs w:val="20"/>
            </w:rPr>
            <m:t>4​</m:t>
          </m:r>
          <m:r>
            <w:rPr>
              <w:rFonts w:ascii="Cambria Math" w:hAnsi="Cambria Math" w:cs="Arial"/>
              <w:sz w:val="20"/>
              <w:szCs w:val="20"/>
            </w:rPr>
            <m:t>Hsi</m:t>
          </m:r>
          <m:r>
            <w:rPr>
              <w:rFonts w:ascii="Cambria Math" w:hAnsi="Cambria Math" w:cs="Arial"/>
              <w:sz w:val="20"/>
              <w:szCs w:val="20"/>
            </w:rPr>
            <m:t>​</m:t>
          </m:r>
          <m:r>
            <w:rPr>
              <w:rFonts w:ascii="Cambria Math" w:hAnsi="Cambria Math" w:cs="Arial"/>
              <w:sz w:val="20"/>
              <w:szCs w:val="20"/>
            </w:rPr>
            <m:t>+</m:t>
          </m:r>
          <m:r>
            <w:rPr>
              <w:rFonts w:ascii="Cambria Math" w:hAnsi="Cambria Math" w:cs="Arial"/>
              <w:sz w:val="20"/>
              <w:szCs w:val="20"/>
            </w:rPr>
            <m:t>β</m:t>
          </m:r>
          <m:r>
            <w:rPr>
              <w:rFonts w:ascii="Cambria Math" w:hAnsi="Cambria Math" w:cs="Arial"/>
              <w:sz w:val="20"/>
              <w:szCs w:val="20"/>
            </w:rPr>
            <m:t>5​</m:t>
          </m:r>
          <m:r>
            <w:rPr>
              <w:rFonts w:ascii="Cambria Math" w:hAnsi="Cambria Math" w:cs="Arial"/>
              <w:sz w:val="20"/>
              <w:szCs w:val="20"/>
            </w:rPr>
            <m:t>Agi</m:t>
          </m:r>
          <m:r>
            <w:rPr>
              <w:rFonts w:ascii="Cambria Math" w:hAnsi="Cambria Math" w:cs="Arial"/>
              <w:sz w:val="20"/>
              <w:szCs w:val="20"/>
            </w:rPr>
            <m:t>​</m:t>
          </m:r>
          <m:r>
            <w:rPr>
              <w:rFonts w:ascii="Cambria Math" w:hAnsi="Cambria Math" w:cs="Arial"/>
              <w:sz w:val="20"/>
              <w:szCs w:val="20"/>
            </w:rPr>
            <m:t>+</m:t>
          </m:r>
          <m:r>
            <w:rPr>
              <w:rFonts w:ascii="Cambria Math" w:hAnsi="Cambria Math" w:cs="Arial"/>
              <w:sz w:val="20"/>
              <w:szCs w:val="20"/>
            </w:rPr>
            <m:t>β</m:t>
          </m:r>
          <m:r>
            <w:rPr>
              <w:rFonts w:ascii="Cambria Math" w:hAnsi="Cambria Math" w:cs="Arial"/>
              <w:sz w:val="20"/>
              <w:szCs w:val="20"/>
            </w:rPr>
            <m:t>6​</m:t>
          </m:r>
          <m:r>
            <w:rPr>
              <w:rFonts w:ascii="Cambria Math" w:hAnsi="Cambria Math" w:cs="Arial"/>
              <w:sz w:val="20"/>
              <w:szCs w:val="20"/>
            </w:rPr>
            <m:t>Cai</m:t>
          </m:r>
          <m:r>
            <w:rPr>
              <w:rFonts w:ascii="Cambria Math" w:hAnsi="Cambria Math" w:cs="Arial"/>
              <w:sz w:val="20"/>
              <w:szCs w:val="20"/>
            </w:rPr>
            <m:t>​</m:t>
          </m:r>
          <m:r>
            <w:rPr>
              <w:rFonts w:ascii="Cambria Math" w:hAnsi="Cambria Math" w:cs="Arial"/>
              <w:sz w:val="20"/>
              <w:szCs w:val="20"/>
            </w:rPr>
            <m:t>+</m:t>
          </m:r>
          <m:r>
            <w:rPr>
              <w:rFonts w:ascii="Cambria Math" w:hAnsi="Cambria Math" w:cs="Arial"/>
              <w:sz w:val="20"/>
              <w:szCs w:val="20"/>
            </w:rPr>
            <m:t>β</m:t>
          </m:r>
          <m:r>
            <w:rPr>
              <w:rFonts w:ascii="Cambria Math" w:hAnsi="Cambria Math" w:cs="Arial"/>
              <w:sz w:val="20"/>
              <w:szCs w:val="20"/>
            </w:rPr>
            <m:t>7​</m:t>
          </m:r>
          <m:r>
            <w:rPr>
              <w:rFonts w:ascii="Cambria Math" w:hAnsi="Cambria Math" w:cs="Arial"/>
              <w:sz w:val="20"/>
              <w:szCs w:val="20"/>
            </w:rPr>
            <m:t>Rei</m:t>
          </m:r>
          <m:r>
            <w:rPr>
              <w:rFonts w:ascii="Cambria Math" w:hAnsi="Cambria Math" w:cs="Arial"/>
              <w:sz w:val="20"/>
              <w:szCs w:val="20"/>
            </w:rPr>
            <m:t>​</m:t>
          </m:r>
          <m:r>
            <w:rPr>
              <w:rFonts w:ascii="Cambria Math" w:hAnsi="Cambria Math" w:cs="Arial"/>
              <w:sz w:val="20"/>
              <w:szCs w:val="20"/>
            </w:rPr>
            <m:t>+</m:t>
          </m:r>
          <m:r>
            <w:rPr>
              <w:rFonts w:ascii="Cambria Math" w:hAnsi="Cambria Math" w:cs="Arial"/>
              <w:sz w:val="20"/>
              <w:szCs w:val="20"/>
            </w:rPr>
            <m:t>β</m:t>
          </m:r>
          <m:r>
            <w:rPr>
              <w:rFonts w:ascii="Cambria Math" w:hAnsi="Cambria Math" w:cs="Arial"/>
              <w:sz w:val="20"/>
              <w:szCs w:val="20"/>
            </w:rPr>
            <m:t>8​</m:t>
          </m:r>
          <m:r>
            <w:rPr>
              <w:rFonts w:ascii="Cambria Math" w:hAnsi="Cambria Math" w:cs="Arial"/>
              <w:sz w:val="20"/>
              <w:szCs w:val="20"/>
            </w:rPr>
            <m:t>Edi</m:t>
          </m:r>
          <m:r>
            <w:rPr>
              <w:rFonts w:ascii="Cambria Math" w:hAnsi="Cambria Math" w:cs="Arial"/>
              <w:sz w:val="20"/>
              <w:szCs w:val="20"/>
            </w:rPr>
            <m:t>​</m:t>
          </m:r>
          <m:r>
            <w:rPr>
              <w:rFonts w:ascii="Cambria Math" w:hAnsi="Cambria Math" w:cs="Arial"/>
              <w:sz w:val="20"/>
              <w:szCs w:val="20"/>
            </w:rPr>
            <m:t>+</m:t>
          </m:r>
          <m:r>
            <w:rPr>
              <w:rFonts w:ascii="Cambria Math" w:hAnsi="Cambria Math" w:cs="Arial"/>
              <w:sz w:val="20"/>
              <w:szCs w:val="20"/>
            </w:rPr>
            <m:t>β</m:t>
          </m:r>
          <m:r>
            <w:rPr>
              <w:rFonts w:ascii="Cambria Math" w:hAnsi="Cambria Math" w:cs="Arial"/>
              <w:sz w:val="20"/>
              <w:szCs w:val="20"/>
            </w:rPr>
            <m:t>9​</m:t>
          </m:r>
          <m:r>
            <w:rPr>
              <w:rFonts w:ascii="Cambria Math" w:hAnsi="Cambria Math" w:cs="Arial"/>
              <w:sz w:val="20"/>
              <w:szCs w:val="20"/>
            </w:rPr>
            <m:t>Rsi</m:t>
          </m:r>
          <m:r>
            <w:rPr>
              <w:rFonts w:ascii="Cambria Math" w:hAnsi="Cambria Math" w:cs="Arial"/>
              <w:sz w:val="20"/>
              <w:szCs w:val="20"/>
            </w:rPr>
            <m:t>​</m:t>
          </m:r>
          <m:r>
            <w:rPr>
              <w:rFonts w:ascii="Cambria Math" w:hAnsi="Cambria Math" w:cs="Arial"/>
              <w:sz w:val="20"/>
              <w:szCs w:val="20"/>
            </w:rPr>
            <m:t>+</m:t>
          </m:r>
          <m:r>
            <w:rPr>
              <w:rFonts w:ascii="Cambria Math" w:hAnsi="Cambria Math" w:cs="Arial"/>
              <w:sz w:val="20"/>
              <w:szCs w:val="20"/>
            </w:rPr>
            <m:t>β</m:t>
          </m:r>
          <m:r>
            <w:rPr>
              <w:rFonts w:ascii="Cambria Math" w:hAnsi="Cambria Math" w:cs="Arial"/>
              <w:sz w:val="20"/>
              <w:szCs w:val="20"/>
            </w:rPr>
            <m:t>10​</m:t>
          </m:r>
          <m:r>
            <w:rPr>
              <w:rFonts w:ascii="Cambria Math" w:hAnsi="Cambria Math" w:cs="Arial"/>
              <w:sz w:val="20"/>
              <w:szCs w:val="20"/>
            </w:rPr>
            <m:t>Ini</m:t>
          </m:r>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11</m:t>
              </m:r>
            </m:sub>
          </m:sSub>
          <m:r>
            <w:rPr>
              <w:rFonts w:ascii="Cambria Math" w:hAnsi="Cambria Math" w:cs="Arial"/>
              <w:sz w:val="20"/>
              <w:szCs w:val="20"/>
            </w:rPr>
            <m:t>R</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i</m:t>
              </m:r>
            </m:sub>
          </m:sSub>
          <m:sSub>
            <m:sSubPr>
              <m:ctrlPr>
                <w:rPr>
                  <w:rFonts w:ascii="Cambria Math" w:hAnsi="Cambria Math" w:cs="Arial"/>
                  <w:i/>
                  <w:sz w:val="20"/>
                  <w:szCs w:val="20"/>
                </w:rPr>
              </m:ctrlPr>
            </m:sSubPr>
            <m:e>
              <m:r>
                <w:rPr>
                  <w:rFonts w:ascii="Cambria Math" w:hAnsi="Cambria Math" w:cs="Arial"/>
                  <w:sz w:val="20"/>
                  <w:szCs w:val="20"/>
                </w:rPr>
                <m:t xml:space="preserve"> +</m:t>
              </m:r>
              <m:r>
                <w:rPr>
                  <w:rFonts w:ascii="Cambria Math" w:hAnsi="Cambria Math" w:cs="Arial"/>
                  <w:sz w:val="20"/>
                  <w:szCs w:val="20"/>
                </w:rPr>
                <m:t>β</m:t>
              </m:r>
            </m:e>
            <m:sub>
              <m:r>
                <w:rPr>
                  <w:rFonts w:ascii="Cambria Math" w:hAnsi="Cambria Math" w:cs="Arial"/>
                  <w:sz w:val="20"/>
                  <w:szCs w:val="20"/>
                </w:rPr>
                <m:t>12</m:t>
              </m:r>
            </m:sub>
          </m:sSub>
          <m:r>
            <w:rPr>
              <w:rFonts w:ascii="Cambria Math" w:hAnsi="Cambria Math" w:cs="Arial"/>
              <w:sz w:val="20"/>
              <w:szCs w:val="20"/>
            </w:rPr>
            <m:t>O</m:t>
          </m:r>
          <m:sSub>
            <m:sSubPr>
              <m:ctrlPr>
                <w:rPr>
                  <w:rFonts w:ascii="Cambria Math" w:hAnsi="Cambria Math" w:cs="Arial"/>
                  <w:i/>
                  <w:sz w:val="20"/>
                  <w:szCs w:val="20"/>
                </w:rPr>
              </m:ctrlPr>
            </m:sSubPr>
            <m:e>
              <m:r>
                <w:rPr>
                  <w:rFonts w:ascii="Cambria Math" w:eastAsia="Times New Roman" w:hAnsi="Cambria Math" w:cs="Arial"/>
                  <w:color w:val="000000"/>
                  <w:kern w:val="0"/>
                  <w:sz w:val="20"/>
                  <w:szCs w:val="20"/>
                  <w:lang w:eastAsia="en-IN"/>
                  <w14:ligatures w14:val="none"/>
                </w:rPr>
                <m:t>a</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13</m:t>
              </m:r>
            </m:sub>
          </m:sSub>
          <m:r>
            <w:rPr>
              <w:rFonts w:ascii="Cambria Math" w:hAnsi="Cambria Math" w:cs="Arial"/>
              <w:sz w:val="20"/>
              <w:szCs w:val="20"/>
            </w:rPr>
            <m:t>C</m:t>
          </m:r>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14</m:t>
              </m:r>
            </m:sub>
          </m:sSub>
          <m:r>
            <w:rPr>
              <w:rFonts w:ascii="Cambria Math" w:hAnsi="Cambria Math" w:cs="Arial"/>
              <w:sz w:val="20"/>
              <w:szCs w:val="20"/>
            </w:rPr>
            <m:t>D</m:t>
          </m:r>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15</m:t>
              </m:r>
            </m:sub>
          </m:sSub>
          <m:r>
            <w:rPr>
              <w:rFonts w:ascii="Cambria Math" w:hAnsi="Cambria Math" w:cs="Arial"/>
              <w:sz w:val="20"/>
              <w:szCs w:val="20"/>
            </w:rPr>
            <m:t>M</m:t>
          </m:r>
          <m:sSub>
            <m:sSubPr>
              <m:ctrlPr>
                <w:rPr>
                  <w:rFonts w:ascii="Cambria Math" w:hAnsi="Cambria Math" w:cs="Arial"/>
                  <w:i/>
                  <w:sz w:val="20"/>
                  <w:szCs w:val="20"/>
                </w:rPr>
              </m:ctrlPr>
            </m:sSubPr>
            <m:e>
              <m:r>
                <w:rPr>
                  <w:rFonts w:ascii="Cambria Math" w:hAnsi="Cambria Math" w:cs="Arial"/>
                  <w:sz w:val="20"/>
                  <w:szCs w:val="20"/>
                </w:rPr>
                <m:t>j</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ε</m:t>
              </m:r>
            </m:e>
            <m:sub>
              <m:r>
                <w:rPr>
                  <w:rFonts w:ascii="Cambria Math" w:hAnsi="Cambria Math" w:cs="Arial"/>
                  <w:sz w:val="20"/>
                  <w:szCs w:val="20"/>
                </w:rPr>
                <m:t>i</m:t>
              </m:r>
            </m:sub>
          </m:sSub>
        </m:oMath>
      </m:oMathPara>
    </w:p>
    <w:p w14:paraId="0D8B4EA6" w14:textId="77777777" w:rsidR="00E02899" w:rsidRPr="003B5694" w:rsidRDefault="00E02899" w:rsidP="00E02899">
      <w:pPr>
        <w:spacing w:line="360" w:lineRule="auto"/>
        <w:jc w:val="both"/>
        <w:rPr>
          <w:rFonts w:ascii="Arial" w:hAnsi="Arial" w:cs="Arial"/>
          <w:sz w:val="20"/>
          <w:szCs w:val="20"/>
        </w:rPr>
      </w:pPr>
      <w:r w:rsidRPr="003B5694">
        <w:rPr>
          <w:rFonts w:ascii="Arial" w:hAnsi="Arial" w:cs="Arial"/>
          <w:sz w:val="20"/>
          <w:szCs w:val="20"/>
        </w:rPr>
        <w:t>Where:</w:t>
      </w:r>
    </w:p>
    <w:p w14:paraId="3454F505" w14:textId="77777777" w:rsidR="00E02899" w:rsidRPr="003B5694" w:rsidRDefault="00FC21C1" w:rsidP="00E02899">
      <w:pPr>
        <w:pStyle w:val="ListParagraph"/>
        <w:numPr>
          <w:ilvl w:val="0"/>
          <w:numId w:val="3"/>
        </w:numPr>
        <w:spacing w:line="36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i</m:t>
            </m:r>
          </m:sub>
        </m:sSub>
      </m:oMath>
      <w:r w:rsidR="00E02899" w:rsidRPr="003B5694">
        <w:rPr>
          <w:rFonts w:ascii="Arial" w:hAnsi="Arial" w:cs="Arial"/>
          <w:sz w:val="20"/>
          <w:szCs w:val="20"/>
        </w:rPr>
        <w:t xml:space="preserve">denotes the probability that the </w:t>
      </w:r>
      <m:oMath>
        <m:sSup>
          <m:sSupPr>
            <m:ctrlPr>
              <w:rPr>
                <w:rFonts w:ascii="Cambria Math" w:hAnsi="Cambria Math" w:cs="Arial"/>
                <w:sz w:val="20"/>
                <w:szCs w:val="20"/>
              </w:rPr>
            </m:ctrlPr>
          </m:sSupPr>
          <m:e>
            <m:r>
              <w:rPr>
                <w:rFonts w:ascii="Cambria Math" w:hAnsi="Cambria Math" w:cs="Arial"/>
                <w:sz w:val="20"/>
                <w:szCs w:val="20"/>
              </w:rPr>
              <m:t>i</m:t>
            </m:r>
          </m:e>
          <m:sup>
            <m:r>
              <w:rPr>
                <w:rFonts w:ascii="Cambria Math" w:hAnsi="Cambria Math" w:cs="Arial"/>
                <w:sz w:val="20"/>
                <w:szCs w:val="20"/>
              </w:rPr>
              <m:t>t</m:t>
            </m:r>
            <m:r>
              <w:rPr>
                <w:rFonts w:ascii="Cambria Math" w:hAnsi="Cambria Math" w:cs="Arial"/>
                <w:sz w:val="20"/>
                <w:szCs w:val="20"/>
              </w:rPr>
              <m:t>h</m:t>
            </m:r>
          </m:sup>
        </m:sSup>
      </m:oMath>
      <w:r w:rsidR="00E02899" w:rsidRPr="003B5694">
        <w:rPr>
          <w:rFonts w:ascii="Arial" w:hAnsi="Arial" w:cs="Arial"/>
          <w:sz w:val="20"/>
          <w:szCs w:val="20"/>
        </w:rPr>
        <w:t>respondent has access to social security.</w:t>
      </w:r>
    </w:p>
    <w:p w14:paraId="3A489BEE" w14:textId="77777777" w:rsidR="00E02899" w:rsidRPr="003B5694" w:rsidRDefault="00FC21C1" w:rsidP="00E02899">
      <w:pPr>
        <w:pStyle w:val="ListParagraph"/>
        <w:numPr>
          <w:ilvl w:val="0"/>
          <w:numId w:val="3"/>
        </w:numPr>
        <w:spacing w:line="360" w:lineRule="auto"/>
        <w:jc w:val="both"/>
        <w:rPr>
          <w:rFonts w:ascii="Arial" w:hAnsi="Arial" w:cs="Arial"/>
          <w:sz w:val="20"/>
          <w:szCs w:val="20"/>
        </w:rPr>
      </w:pPr>
      <m:oMath>
        <m:f>
          <m:fPr>
            <m:ctrlPr>
              <w:rPr>
                <w:rFonts w:ascii="Cambria Math" w:hAnsi="Cambria Math" w:cs="Arial"/>
                <w:sz w:val="20"/>
                <w:szCs w:val="20"/>
              </w:rPr>
            </m:ctrlPr>
          </m:fPr>
          <m:num>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i</m:t>
                </m:r>
              </m:sub>
            </m:sSub>
          </m:num>
          <m:den>
            <m:r>
              <w:rPr>
                <w:rFonts w:ascii="Cambria Math" w:hAnsi="Cambria Math" w:cs="Arial"/>
                <w:sz w:val="20"/>
                <w:szCs w:val="20"/>
              </w:rPr>
              <m:t>1-</m:t>
            </m:r>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i</m:t>
                </m:r>
              </m:sub>
            </m:sSub>
          </m:den>
        </m:f>
      </m:oMath>
      <w:r w:rsidR="00E02899" w:rsidRPr="003B5694">
        <w:rPr>
          <w:rFonts w:ascii="Arial" w:hAnsi="Arial" w:cs="Arial"/>
          <w:sz w:val="20"/>
          <w:szCs w:val="20"/>
        </w:rPr>
        <w:t>represents the odds of access.</w:t>
      </w:r>
    </w:p>
    <w:p w14:paraId="234281D6" w14:textId="3568AA7B" w:rsidR="00E02899" w:rsidRPr="00E02899" w:rsidRDefault="00E02899" w:rsidP="00E02899">
      <w:pPr>
        <w:spacing w:line="360" w:lineRule="auto"/>
        <w:jc w:val="both"/>
        <w:rPr>
          <w:rFonts w:ascii="Arial" w:hAnsi="Arial" w:cs="Arial"/>
          <w:kern w:val="0"/>
          <w:sz w:val="20"/>
          <w:szCs w:val="20"/>
        </w:rPr>
      </w:pPr>
      <w:r w:rsidRPr="003B5694">
        <w:rPr>
          <w:rFonts w:ascii="Arial" w:hAnsi="Arial" w:cs="Arial"/>
          <w:kern w:val="0"/>
          <w:sz w:val="20"/>
          <w:szCs w:val="20"/>
        </w:rPr>
        <w:t>The analysis incorporates several socio-economic variables to examine the determinants of social security access among women gig workers. The explanatory variables include male-headed household (Heᵢ), marital status (Maᵢ), presence of children (Chᵢ), small household size (Hsᵢ), age group (Agᵢ), social category (Scᵢ), religion (Reᵢ), education (Edᵢ), rural residence (Rsᵢ), monthly family income (Inᵢ), ration card type (Rnᵢ), asset ownership (Oaᵢ), access to credit (Crᵢ), access to digital facilities (Daᵢ), and multiple job holding (</w:t>
      </w:r>
      <w:proofErr w:type="spellStart"/>
      <w:r w:rsidRPr="003B5694">
        <w:rPr>
          <w:rFonts w:ascii="Arial" w:hAnsi="Arial" w:cs="Arial"/>
          <w:kern w:val="0"/>
          <w:sz w:val="20"/>
          <w:szCs w:val="20"/>
        </w:rPr>
        <w:t>Mj</w:t>
      </w:r>
      <w:proofErr w:type="spellEnd"/>
      <w:r w:rsidRPr="003B5694">
        <w:rPr>
          <w:rFonts w:ascii="Arial" w:hAnsi="Arial" w:cs="Arial"/>
          <w:kern w:val="0"/>
          <w:sz w:val="20"/>
          <w:szCs w:val="20"/>
        </w:rPr>
        <w:t xml:space="preserve">ᵢ). The term </w:t>
      </w:r>
      <w:r w:rsidRPr="003B5694">
        <w:rPr>
          <w:rFonts w:ascii="Arial" w:hAnsi="Arial" w:cs="Arial"/>
          <w:i/>
          <w:iCs/>
          <w:kern w:val="0"/>
          <w:sz w:val="20"/>
          <w:szCs w:val="20"/>
        </w:rPr>
        <w:t>eᵢ</w:t>
      </w:r>
      <w:r w:rsidRPr="003B5694">
        <w:rPr>
          <w:rFonts w:ascii="Arial" w:hAnsi="Arial" w:cs="Arial"/>
          <w:kern w:val="0"/>
          <w:sz w:val="20"/>
          <w:szCs w:val="20"/>
        </w:rPr>
        <w:t xml:space="preserve"> represents the error term, capturing the influence of omitted variables and possible measurement errors in the model.</w:t>
      </w:r>
    </w:p>
    <w:p w14:paraId="08EDFEB7" w14:textId="6E525790" w:rsidR="005536A2" w:rsidRDefault="00005A0F" w:rsidP="005536A2">
      <w:pPr>
        <w:spacing w:before="240" w:after="0" w:line="360" w:lineRule="auto"/>
        <w:jc w:val="both"/>
        <w:rPr>
          <w:rFonts w:ascii="Arial" w:hAnsi="Arial" w:cs="Arial"/>
          <w:b/>
          <w:bCs/>
        </w:rPr>
      </w:pPr>
      <w:r>
        <w:rPr>
          <w:rFonts w:ascii="Arial" w:hAnsi="Arial" w:cs="Arial"/>
          <w:b/>
          <w:bCs/>
        </w:rPr>
        <w:t>5</w:t>
      </w:r>
      <w:r w:rsidR="0059717B" w:rsidRPr="0059717B">
        <w:rPr>
          <w:rFonts w:ascii="Arial" w:hAnsi="Arial" w:cs="Arial"/>
          <w:b/>
          <w:bCs/>
        </w:rPr>
        <w:t xml:space="preserve"> RESULTS AND DISCUSSION</w:t>
      </w:r>
    </w:p>
    <w:p w14:paraId="16891722" w14:textId="77777777" w:rsidR="00E02899" w:rsidRPr="003B5694" w:rsidRDefault="00E02899" w:rsidP="00E02899">
      <w:pPr>
        <w:spacing w:before="240" w:line="360" w:lineRule="auto"/>
        <w:jc w:val="both"/>
        <w:rPr>
          <w:rFonts w:ascii="Arial" w:hAnsi="Arial" w:cs="Arial"/>
          <w:kern w:val="0"/>
          <w:sz w:val="20"/>
          <w:szCs w:val="20"/>
        </w:rPr>
      </w:pPr>
      <w:r w:rsidRPr="003B5694">
        <w:rPr>
          <w:rFonts w:ascii="Arial" w:hAnsi="Arial" w:cs="Arial"/>
          <w:kern w:val="0"/>
          <w:sz w:val="20"/>
          <w:szCs w:val="20"/>
        </w:rPr>
        <w:t>Table 1 presents the descriptive statistics of the binary variables included in the study (N = 300). As all variables are coded dichotomously (1 = Yes/Presence, 0 = No/Absence), the mean values indicate the proportion of respondents in each category. The findings reveal that 62.7% of respondents live in male-headed households, and a substantial majority (81.3%) are married. Approximately 67.3% have children, while 73% belong to small households. In terms of age distribution, 51% fall within the 25–50 years age group, suggesting that the sample largely comprises economically active women. With respect to social characteristics, 68% of respondents belong to Scheduled Caste (SC) or Other Backward Class (OBC) communities, and 74.7% identify as Hindu. Nearly 59% have attained higher levels of education (20 or more years of schooling or its equivalent), indicating a moderate level of educational attainment within the sample. A significant majority (86%) reside in rural areas, highlighting the predominantly rural nature of gig work participation in the study region.</w:t>
      </w:r>
    </w:p>
    <w:p w14:paraId="24492183" w14:textId="77777777" w:rsidR="00E02899" w:rsidRPr="003B5694" w:rsidRDefault="00E02899" w:rsidP="00E02899">
      <w:pPr>
        <w:spacing w:before="240" w:line="360" w:lineRule="auto"/>
        <w:jc w:val="center"/>
        <w:rPr>
          <w:rFonts w:ascii="Arial" w:hAnsi="Arial" w:cs="Arial"/>
          <w:b/>
          <w:bCs/>
          <w:kern w:val="0"/>
          <w:sz w:val="20"/>
          <w:szCs w:val="20"/>
        </w:rPr>
      </w:pPr>
      <w:r w:rsidRPr="003B5694">
        <w:rPr>
          <w:rFonts w:ascii="Arial" w:hAnsi="Arial" w:cs="Arial"/>
          <w:b/>
          <w:bCs/>
          <w:kern w:val="0"/>
          <w:sz w:val="20"/>
          <w:szCs w:val="20"/>
        </w:rPr>
        <w:t>Table 1: Descriptive Statistics</w:t>
      </w:r>
    </w:p>
    <w:tbl>
      <w:tblPr>
        <w:tblW w:w="9082" w:type="dxa"/>
        <w:jc w:val="center"/>
        <w:tblBorders>
          <w:top w:val="single" w:sz="4" w:space="0" w:color="auto"/>
          <w:bottom w:val="single" w:sz="4" w:space="0" w:color="auto"/>
        </w:tblBorders>
        <w:tblLook w:val="04A0" w:firstRow="1" w:lastRow="0" w:firstColumn="1" w:lastColumn="0" w:noHBand="0" w:noVBand="1"/>
      </w:tblPr>
      <w:tblGrid>
        <w:gridCol w:w="2689"/>
        <w:gridCol w:w="2457"/>
        <w:gridCol w:w="984"/>
        <w:gridCol w:w="984"/>
        <w:gridCol w:w="984"/>
        <w:gridCol w:w="984"/>
      </w:tblGrid>
      <w:tr w:rsidR="00E02899" w:rsidRPr="003B5694" w14:paraId="7BBE8C6F" w14:textId="77777777" w:rsidTr="006F1A10">
        <w:trPr>
          <w:trHeight w:val="463"/>
          <w:jc w:val="center"/>
        </w:trPr>
        <w:tc>
          <w:tcPr>
            <w:tcW w:w="2689" w:type="dxa"/>
            <w:tcBorders>
              <w:top w:val="single" w:sz="4" w:space="0" w:color="auto"/>
              <w:bottom w:val="single" w:sz="4" w:space="0" w:color="auto"/>
            </w:tcBorders>
            <w:vAlign w:val="center"/>
            <w:hideMark/>
          </w:tcPr>
          <w:p w14:paraId="249764E0" w14:textId="77777777" w:rsidR="00E02899" w:rsidRPr="003B5694"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3B5694">
              <w:rPr>
                <w:rFonts w:ascii="Arial" w:eastAsia="Times New Roman" w:hAnsi="Arial" w:cs="Arial"/>
                <w:b/>
                <w:bCs/>
                <w:color w:val="000000"/>
                <w:kern w:val="0"/>
                <w:sz w:val="20"/>
                <w:szCs w:val="20"/>
                <w:lang w:eastAsia="en-IN"/>
                <w14:ligatures w14:val="none"/>
              </w:rPr>
              <w:lastRenderedPageBreak/>
              <w:t>Variable</w:t>
            </w:r>
          </w:p>
        </w:tc>
        <w:tc>
          <w:tcPr>
            <w:tcW w:w="2457" w:type="dxa"/>
            <w:tcBorders>
              <w:top w:val="single" w:sz="4" w:space="0" w:color="auto"/>
              <w:bottom w:val="single" w:sz="4" w:space="0" w:color="auto"/>
            </w:tcBorders>
            <w:vAlign w:val="center"/>
            <w:hideMark/>
          </w:tcPr>
          <w:p w14:paraId="5F05A763" w14:textId="77777777" w:rsidR="00E02899" w:rsidRPr="003B5694"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3B5694">
              <w:rPr>
                <w:rFonts w:ascii="Arial" w:eastAsia="Times New Roman" w:hAnsi="Arial" w:cs="Arial"/>
                <w:b/>
                <w:bCs/>
                <w:color w:val="000000"/>
                <w:kern w:val="0"/>
                <w:sz w:val="20"/>
                <w:szCs w:val="20"/>
                <w:lang w:eastAsia="en-IN"/>
                <w14:ligatures w14:val="none"/>
              </w:rPr>
              <w:t>Description (Binary Coding)</w:t>
            </w:r>
          </w:p>
        </w:tc>
        <w:tc>
          <w:tcPr>
            <w:tcW w:w="984" w:type="dxa"/>
            <w:tcBorders>
              <w:top w:val="single" w:sz="4" w:space="0" w:color="auto"/>
              <w:bottom w:val="single" w:sz="4" w:space="0" w:color="auto"/>
            </w:tcBorders>
            <w:vAlign w:val="center"/>
            <w:hideMark/>
          </w:tcPr>
          <w:p w14:paraId="76F35BC6" w14:textId="77777777" w:rsidR="00E02899" w:rsidRPr="003B5694"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3B5694">
              <w:rPr>
                <w:rFonts w:ascii="Arial" w:eastAsia="Times New Roman" w:hAnsi="Arial" w:cs="Arial"/>
                <w:b/>
                <w:bCs/>
                <w:color w:val="000000"/>
                <w:kern w:val="0"/>
                <w:sz w:val="20"/>
                <w:szCs w:val="20"/>
                <w:lang w:eastAsia="en-IN"/>
                <w14:ligatures w14:val="none"/>
              </w:rPr>
              <w:t>Mean</w:t>
            </w:r>
          </w:p>
        </w:tc>
        <w:tc>
          <w:tcPr>
            <w:tcW w:w="984" w:type="dxa"/>
            <w:tcBorders>
              <w:top w:val="single" w:sz="4" w:space="0" w:color="auto"/>
              <w:bottom w:val="single" w:sz="4" w:space="0" w:color="auto"/>
            </w:tcBorders>
            <w:vAlign w:val="center"/>
            <w:hideMark/>
          </w:tcPr>
          <w:p w14:paraId="7114C0D3" w14:textId="77777777" w:rsidR="00E02899" w:rsidRPr="003B5694"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3B5694">
              <w:rPr>
                <w:rFonts w:ascii="Arial" w:eastAsia="Times New Roman" w:hAnsi="Arial" w:cs="Arial"/>
                <w:b/>
                <w:bCs/>
                <w:color w:val="000000"/>
                <w:kern w:val="0"/>
                <w:sz w:val="20"/>
                <w:szCs w:val="20"/>
                <w:lang w:eastAsia="en-IN"/>
                <w14:ligatures w14:val="none"/>
              </w:rPr>
              <w:t>Std. Dev.</w:t>
            </w:r>
          </w:p>
        </w:tc>
        <w:tc>
          <w:tcPr>
            <w:tcW w:w="984" w:type="dxa"/>
            <w:tcBorders>
              <w:top w:val="single" w:sz="4" w:space="0" w:color="auto"/>
              <w:bottom w:val="single" w:sz="4" w:space="0" w:color="auto"/>
            </w:tcBorders>
            <w:vAlign w:val="center"/>
            <w:hideMark/>
          </w:tcPr>
          <w:p w14:paraId="44364F45" w14:textId="77777777" w:rsidR="00E02899" w:rsidRPr="003B5694"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3B5694">
              <w:rPr>
                <w:rFonts w:ascii="Arial" w:eastAsia="Times New Roman" w:hAnsi="Arial" w:cs="Arial"/>
                <w:b/>
                <w:bCs/>
                <w:color w:val="000000"/>
                <w:kern w:val="0"/>
                <w:sz w:val="20"/>
                <w:szCs w:val="20"/>
                <w:lang w:eastAsia="en-IN"/>
                <w14:ligatures w14:val="none"/>
              </w:rPr>
              <w:t>Min</w:t>
            </w:r>
          </w:p>
        </w:tc>
        <w:tc>
          <w:tcPr>
            <w:tcW w:w="984" w:type="dxa"/>
            <w:tcBorders>
              <w:top w:val="single" w:sz="4" w:space="0" w:color="auto"/>
              <w:bottom w:val="single" w:sz="4" w:space="0" w:color="auto"/>
            </w:tcBorders>
            <w:vAlign w:val="center"/>
            <w:hideMark/>
          </w:tcPr>
          <w:p w14:paraId="728BE434" w14:textId="77777777" w:rsidR="00E02899" w:rsidRPr="003B5694"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3B5694">
              <w:rPr>
                <w:rFonts w:ascii="Arial" w:eastAsia="Times New Roman" w:hAnsi="Arial" w:cs="Arial"/>
                <w:b/>
                <w:bCs/>
                <w:color w:val="000000"/>
                <w:kern w:val="0"/>
                <w:sz w:val="20"/>
                <w:szCs w:val="20"/>
                <w:lang w:eastAsia="en-IN"/>
                <w14:ligatures w14:val="none"/>
              </w:rPr>
              <w:t>Max</w:t>
            </w:r>
          </w:p>
        </w:tc>
      </w:tr>
      <w:tr w:rsidR="00E02899" w:rsidRPr="003B5694" w14:paraId="73FC33BC" w14:textId="77777777" w:rsidTr="006F1A10">
        <w:trPr>
          <w:trHeight w:val="488"/>
          <w:jc w:val="center"/>
        </w:trPr>
        <w:tc>
          <w:tcPr>
            <w:tcW w:w="2689" w:type="dxa"/>
            <w:tcBorders>
              <w:top w:val="single" w:sz="4" w:space="0" w:color="auto"/>
            </w:tcBorders>
            <w:vAlign w:val="center"/>
            <w:hideMark/>
          </w:tcPr>
          <w:p w14:paraId="581E6DBE"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Male-Headed Household</w:t>
            </w:r>
          </w:p>
        </w:tc>
        <w:tc>
          <w:tcPr>
            <w:tcW w:w="2457" w:type="dxa"/>
            <w:tcBorders>
              <w:top w:val="single" w:sz="4" w:space="0" w:color="auto"/>
            </w:tcBorders>
            <w:vAlign w:val="center"/>
            <w:hideMark/>
          </w:tcPr>
          <w:p w14:paraId="2264EFC3"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 = Male-headed; 0 = Otherwise</w:t>
            </w:r>
          </w:p>
        </w:tc>
        <w:tc>
          <w:tcPr>
            <w:tcW w:w="984" w:type="dxa"/>
            <w:tcBorders>
              <w:top w:val="single" w:sz="4" w:space="0" w:color="auto"/>
            </w:tcBorders>
            <w:vAlign w:val="center"/>
            <w:hideMark/>
          </w:tcPr>
          <w:p w14:paraId="154EC83C"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0.627</w:t>
            </w:r>
          </w:p>
        </w:tc>
        <w:tc>
          <w:tcPr>
            <w:tcW w:w="984" w:type="dxa"/>
            <w:tcBorders>
              <w:top w:val="single" w:sz="4" w:space="0" w:color="auto"/>
            </w:tcBorders>
            <w:vAlign w:val="center"/>
            <w:hideMark/>
          </w:tcPr>
          <w:p w14:paraId="0A6468B6"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0.484</w:t>
            </w:r>
          </w:p>
        </w:tc>
        <w:tc>
          <w:tcPr>
            <w:tcW w:w="984" w:type="dxa"/>
            <w:tcBorders>
              <w:top w:val="single" w:sz="4" w:space="0" w:color="auto"/>
            </w:tcBorders>
            <w:vAlign w:val="center"/>
            <w:hideMark/>
          </w:tcPr>
          <w:p w14:paraId="4911C976"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w:t>
            </w:r>
          </w:p>
        </w:tc>
        <w:tc>
          <w:tcPr>
            <w:tcW w:w="984" w:type="dxa"/>
            <w:tcBorders>
              <w:top w:val="single" w:sz="4" w:space="0" w:color="auto"/>
            </w:tcBorders>
            <w:vAlign w:val="center"/>
            <w:hideMark/>
          </w:tcPr>
          <w:p w14:paraId="4A6A8850"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w:t>
            </w:r>
          </w:p>
        </w:tc>
      </w:tr>
      <w:tr w:rsidR="00E02899" w:rsidRPr="003B5694" w14:paraId="2E17A69C" w14:textId="77777777" w:rsidTr="006F1A10">
        <w:trPr>
          <w:trHeight w:val="488"/>
          <w:jc w:val="center"/>
        </w:trPr>
        <w:tc>
          <w:tcPr>
            <w:tcW w:w="2689" w:type="dxa"/>
            <w:vAlign w:val="center"/>
            <w:hideMark/>
          </w:tcPr>
          <w:p w14:paraId="2D59A8DC"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Married</w:t>
            </w:r>
          </w:p>
        </w:tc>
        <w:tc>
          <w:tcPr>
            <w:tcW w:w="2457" w:type="dxa"/>
            <w:vAlign w:val="center"/>
            <w:hideMark/>
          </w:tcPr>
          <w:p w14:paraId="63AFD99C"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 = Married; 0 = Otherwise</w:t>
            </w:r>
          </w:p>
        </w:tc>
        <w:tc>
          <w:tcPr>
            <w:tcW w:w="984" w:type="dxa"/>
            <w:vAlign w:val="center"/>
            <w:hideMark/>
          </w:tcPr>
          <w:p w14:paraId="6C3C1FC5"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0.813</w:t>
            </w:r>
          </w:p>
        </w:tc>
        <w:tc>
          <w:tcPr>
            <w:tcW w:w="984" w:type="dxa"/>
            <w:vAlign w:val="center"/>
            <w:hideMark/>
          </w:tcPr>
          <w:p w14:paraId="599BAA32"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0.39</w:t>
            </w:r>
          </w:p>
        </w:tc>
        <w:tc>
          <w:tcPr>
            <w:tcW w:w="984" w:type="dxa"/>
            <w:vAlign w:val="center"/>
            <w:hideMark/>
          </w:tcPr>
          <w:p w14:paraId="43DD3414"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w:t>
            </w:r>
          </w:p>
        </w:tc>
        <w:tc>
          <w:tcPr>
            <w:tcW w:w="984" w:type="dxa"/>
            <w:vAlign w:val="center"/>
            <w:hideMark/>
          </w:tcPr>
          <w:p w14:paraId="1823BD08"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w:t>
            </w:r>
          </w:p>
        </w:tc>
      </w:tr>
      <w:tr w:rsidR="00E02899" w:rsidRPr="003B5694" w14:paraId="2F19949C" w14:textId="77777777" w:rsidTr="006F1A10">
        <w:trPr>
          <w:trHeight w:val="244"/>
          <w:jc w:val="center"/>
        </w:trPr>
        <w:tc>
          <w:tcPr>
            <w:tcW w:w="2689" w:type="dxa"/>
            <w:vAlign w:val="center"/>
            <w:hideMark/>
          </w:tcPr>
          <w:p w14:paraId="5C5F8C2E"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Presence of Children</w:t>
            </w:r>
          </w:p>
        </w:tc>
        <w:tc>
          <w:tcPr>
            <w:tcW w:w="2457" w:type="dxa"/>
            <w:vAlign w:val="center"/>
            <w:hideMark/>
          </w:tcPr>
          <w:p w14:paraId="5891B4EC"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 = Yes; 0 = No</w:t>
            </w:r>
          </w:p>
        </w:tc>
        <w:tc>
          <w:tcPr>
            <w:tcW w:w="984" w:type="dxa"/>
            <w:vAlign w:val="center"/>
            <w:hideMark/>
          </w:tcPr>
          <w:p w14:paraId="68D6B75F"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0.673</w:t>
            </w:r>
          </w:p>
        </w:tc>
        <w:tc>
          <w:tcPr>
            <w:tcW w:w="984" w:type="dxa"/>
            <w:vAlign w:val="center"/>
            <w:hideMark/>
          </w:tcPr>
          <w:p w14:paraId="10459819"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0.47</w:t>
            </w:r>
          </w:p>
        </w:tc>
        <w:tc>
          <w:tcPr>
            <w:tcW w:w="984" w:type="dxa"/>
            <w:vAlign w:val="center"/>
            <w:hideMark/>
          </w:tcPr>
          <w:p w14:paraId="58E8AFBA"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w:t>
            </w:r>
          </w:p>
        </w:tc>
        <w:tc>
          <w:tcPr>
            <w:tcW w:w="984" w:type="dxa"/>
            <w:vAlign w:val="center"/>
            <w:hideMark/>
          </w:tcPr>
          <w:p w14:paraId="71AA58B2"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w:t>
            </w:r>
          </w:p>
        </w:tc>
      </w:tr>
      <w:tr w:rsidR="00E02899" w:rsidRPr="003B5694" w14:paraId="73CB219C" w14:textId="77777777" w:rsidTr="006F1A10">
        <w:trPr>
          <w:trHeight w:val="488"/>
          <w:jc w:val="center"/>
        </w:trPr>
        <w:tc>
          <w:tcPr>
            <w:tcW w:w="2689" w:type="dxa"/>
            <w:vAlign w:val="center"/>
            <w:hideMark/>
          </w:tcPr>
          <w:p w14:paraId="0366E68A"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Small Household Size</w:t>
            </w:r>
          </w:p>
        </w:tc>
        <w:tc>
          <w:tcPr>
            <w:tcW w:w="2457" w:type="dxa"/>
            <w:vAlign w:val="center"/>
            <w:hideMark/>
          </w:tcPr>
          <w:p w14:paraId="1DA6E2A6"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 = Small household; 0 = Otherwise</w:t>
            </w:r>
          </w:p>
        </w:tc>
        <w:tc>
          <w:tcPr>
            <w:tcW w:w="984" w:type="dxa"/>
            <w:vAlign w:val="center"/>
            <w:hideMark/>
          </w:tcPr>
          <w:p w14:paraId="2651BBB8"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0.73</w:t>
            </w:r>
          </w:p>
        </w:tc>
        <w:tc>
          <w:tcPr>
            <w:tcW w:w="984" w:type="dxa"/>
            <w:vAlign w:val="center"/>
            <w:hideMark/>
          </w:tcPr>
          <w:p w14:paraId="289B4B46"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0.445</w:t>
            </w:r>
          </w:p>
        </w:tc>
        <w:tc>
          <w:tcPr>
            <w:tcW w:w="984" w:type="dxa"/>
            <w:vAlign w:val="center"/>
            <w:hideMark/>
          </w:tcPr>
          <w:p w14:paraId="68A39691"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w:t>
            </w:r>
          </w:p>
        </w:tc>
        <w:tc>
          <w:tcPr>
            <w:tcW w:w="984" w:type="dxa"/>
            <w:vAlign w:val="center"/>
            <w:hideMark/>
          </w:tcPr>
          <w:p w14:paraId="66D42638"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w:t>
            </w:r>
          </w:p>
        </w:tc>
      </w:tr>
      <w:tr w:rsidR="00E02899" w:rsidRPr="003B5694" w14:paraId="7C5DDE44" w14:textId="77777777" w:rsidTr="006F1A10">
        <w:trPr>
          <w:trHeight w:val="488"/>
          <w:jc w:val="center"/>
        </w:trPr>
        <w:tc>
          <w:tcPr>
            <w:tcW w:w="2689" w:type="dxa"/>
            <w:vAlign w:val="center"/>
            <w:hideMark/>
          </w:tcPr>
          <w:p w14:paraId="52D553C2"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Age Group (25–50 Years)</w:t>
            </w:r>
          </w:p>
        </w:tc>
        <w:tc>
          <w:tcPr>
            <w:tcW w:w="2457" w:type="dxa"/>
            <w:vAlign w:val="center"/>
            <w:hideMark/>
          </w:tcPr>
          <w:p w14:paraId="5CFB1D81"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 = 25–50 years; 0 = Otherwise</w:t>
            </w:r>
          </w:p>
        </w:tc>
        <w:tc>
          <w:tcPr>
            <w:tcW w:w="984" w:type="dxa"/>
            <w:vAlign w:val="center"/>
            <w:hideMark/>
          </w:tcPr>
          <w:p w14:paraId="28A7CA83"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0.51</w:t>
            </w:r>
          </w:p>
        </w:tc>
        <w:tc>
          <w:tcPr>
            <w:tcW w:w="984" w:type="dxa"/>
            <w:vAlign w:val="center"/>
            <w:hideMark/>
          </w:tcPr>
          <w:p w14:paraId="4810C59A"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0.501</w:t>
            </w:r>
          </w:p>
        </w:tc>
        <w:tc>
          <w:tcPr>
            <w:tcW w:w="984" w:type="dxa"/>
            <w:vAlign w:val="center"/>
            <w:hideMark/>
          </w:tcPr>
          <w:p w14:paraId="46797FC2"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w:t>
            </w:r>
          </w:p>
        </w:tc>
        <w:tc>
          <w:tcPr>
            <w:tcW w:w="984" w:type="dxa"/>
            <w:vAlign w:val="center"/>
            <w:hideMark/>
          </w:tcPr>
          <w:p w14:paraId="3E271503"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w:t>
            </w:r>
          </w:p>
        </w:tc>
      </w:tr>
      <w:tr w:rsidR="00E02899" w:rsidRPr="003B5694" w14:paraId="1FB0F9A7" w14:textId="77777777" w:rsidTr="006F1A10">
        <w:trPr>
          <w:trHeight w:val="488"/>
          <w:jc w:val="center"/>
        </w:trPr>
        <w:tc>
          <w:tcPr>
            <w:tcW w:w="2689" w:type="dxa"/>
            <w:vAlign w:val="center"/>
            <w:hideMark/>
          </w:tcPr>
          <w:p w14:paraId="3824D02A"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Social Category (SC/OBC)</w:t>
            </w:r>
          </w:p>
        </w:tc>
        <w:tc>
          <w:tcPr>
            <w:tcW w:w="2457" w:type="dxa"/>
            <w:vAlign w:val="center"/>
            <w:hideMark/>
          </w:tcPr>
          <w:p w14:paraId="77529FAA"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 = SC/OBC; 0 = Others</w:t>
            </w:r>
          </w:p>
        </w:tc>
        <w:tc>
          <w:tcPr>
            <w:tcW w:w="984" w:type="dxa"/>
            <w:vAlign w:val="center"/>
            <w:hideMark/>
          </w:tcPr>
          <w:p w14:paraId="37C436BE"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0.68</w:t>
            </w:r>
          </w:p>
        </w:tc>
        <w:tc>
          <w:tcPr>
            <w:tcW w:w="984" w:type="dxa"/>
            <w:vAlign w:val="center"/>
            <w:hideMark/>
          </w:tcPr>
          <w:p w14:paraId="7D74E5C5"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0.467</w:t>
            </w:r>
          </w:p>
        </w:tc>
        <w:tc>
          <w:tcPr>
            <w:tcW w:w="984" w:type="dxa"/>
            <w:vAlign w:val="center"/>
            <w:hideMark/>
          </w:tcPr>
          <w:p w14:paraId="089FB31A"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w:t>
            </w:r>
          </w:p>
        </w:tc>
        <w:tc>
          <w:tcPr>
            <w:tcW w:w="984" w:type="dxa"/>
            <w:vAlign w:val="center"/>
            <w:hideMark/>
          </w:tcPr>
          <w:p w14:paraId="71A69BB9"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w:t>
            </w:r>
          </w:p>
        </w:tc>
      </w:tr>
      <w:tr w:rsidR="00E02899" w:rsidRPr="003B5694" w14:paraId="4DA7B3A0" w14:textId="77777777" w:rsidTr="006F1A10">
        <w:trPr>
          <w:trHeight w:val="488"/>
          <w:jc w:val="center"/>
        </w:trPr>
        <w:tc>
          <w:tcPr>
            <w:tcW w:w="2689" w:type="dxa"/>
            <w:vAlign w:val="center"/>
            <w:hideMark/>
          </w:tcPr>
          <w:p w14:paraId="63662F71"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Religion (Hindu)</w:t>
            </w:r>
          </w:p>
        </w:tc>
        <w:tc>
          <w:tcPr>
            <w:tcW w:w="2457" w:type="dxa"/>
            <w:vAlign w:val="center"/>
            <w:hideMark/>
          </w:tcPr>
          <w:p w14:paraId="6236EF98"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 = Hindu; 0 = Others</w:t>
            </w:r>
          </w:p>
        </w:tc>
        <w:tc>
          <w:tcPr>
            <w:tcW w:w="984" w:type="dxa"/>
            <w:vAlign w:val="center"/>
            <w:hideMark/>
          </w:tcPr>
          <w:p w14:paraId="7092897C"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0.747</w:t>
            </w:r>
          </w:p>
        </w:tc>
        <w:tc>
          <w:tcPr>
            <w:tcW w:w="984" w:type="dxa"/>
            <w:vAlign w:val="center"/>
            <w:hideMark/>
          </w:tcPr>
          <w:p w14:paraId="40B15022"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0.436</w:t>
            </w:r>
          </w:p>
        </w:tc>
        <w:tc>
          <w:tcPr>
            <w:tcW w:w="984" w:type="dxa"/>
            <w:vAlign w:val="center"/>
            <w:hideMark/>
          </w:tcPr>
          <w:p w14:paraId="6D5C0C61"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w:t>
            </w:r>
          </w:p>
        </w:tc>
        <w:tc>
          <w:tcPr>
            <w:tcW w:w="984" w:type="dxa"/>
            <w:vAlign w:val="center"/>
            <w:hideMark/>
          </w:tcPr>
          <w:p w14:paraId="7F53D1E1"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w:t>
            </w:r>
          </w:p>
        </w:tc>
      </w:tr>
      <w:tr w:rsidR="00E02899" w:rsidRPr="003B5694" w14:paraId="792C3941" w14:textId="77777777" w:rsidTr="006F1A10">
        <w:trPr>
          <w:trHeight w:val="793"/>
          <w:jc w:val="center"/>
        </w:trPr>
        <w:tc>
          <w:tcPr>
            <w:tcW w:w="2689" w:type="dxa"/>
            <w:vAlign w:val="center"/>
            <w:hideMark/>
          </w:tcPr>
          <w:p w14:paraId="35A2E9F3"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 xml:space="preserve"> Education</w:t>
            </w:r>
          </w:p>
        </w:tc>
        <w:tc>
          <w:tcPr>
            <w:tcW w:w="2457" w:type="dxa"/>
            <w:vAlign w:val="center"/>
            <w:hideMark/>
          </w:tcPr>
          <w:p w14:paraId="45F5ED89"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 = Higher education; 0 = Otherwise</w:t>
            </w:r>
          </w:p>
        </w:tc>
        <w:tc>
          <w:tcPr>
            <w:tcW w:w="984" w:type="dxa"/>
            <w:vAlign w:val="center"/>
            <w:hideMark/>
          </w:tcPr>
          <w:p w14:paraId="06A68DF2"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0.59</w:t>
            </w:r>
          </w:p>
        </w:tc>
        <w:tc>
          <w:tcPr>
            <w:tcW w:w="984" w:type="dxa"/>
            <w:vAlign w:val="center"/>
            <w:hideMark/>
          </w:tcPr>
          <w:p w14:paraId="3EA022FA"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0.493</w:t>
            </w:r>
          </w:p>
        </w:tc>
        <w:tc>
          <w:tcPr>
            <w:tcW w:w="984" w:type="dxa"/>
            <w:vAlign w:val="center"/>
            <w:hideMark/>
          </w:tcPr>
          <w:p w14:paraId="206AB527"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w:t>
            </w:r>
          </w:p>
        </w:tc>
        <w:tc>
          <w:tcPr>
            <w:tcW w:w="984" w:type="dxa"/>
            <w:vAlign w:val="center"/>
            <w:hideMark/>
          </w:tcPr>
          <w:p w14:paraId="38B454F6"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w:t>
            </w:r>
          </w:p>
        </w:tc>
      </w:tr>
      <w:tr w:rsidR="00E02899" w:rsidRPr="003B5694" w14:paraId="68BED3C0" w14:textId="77777777" w:rsidTr="006F1A10">
        <w:trPr>
          <w:trHeight w:val="244"/>
          <w:jc w:val="center"/>
        </w:trPr>
        <w:tc>
          <w:tcPr>
            <w:tcW w:w="2689" w:type="dxa"/>
            <w:vAlign w:val="center"/>
            <w:hideMark/>
          </w:tcPr>
          <w:p w14:paraId="309D754A"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Rural Residence</w:t>
            </w:r>
          </w:p>
        </w:tc>
        <w:tc>
          <w:tcPr>
            <w:tcW w:w="2457" w:type="dxa"/>
            <w:vAlign w:val="center"/>
            <w:hideMark/>
          </w:tcPr>
          <w:p w14:paraId="23A96955"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 = Rural; 0 = Urban</w:t>
            </w:r>
          </w:p>
        </w:tc>
        <w:tc>
          <w:tcPr>
            <w:tcW w:w="984" w:type="dxa"/>
            <w:vAlign w:val="center"/>
            <w:hideMark/>
          </w:tcPr>
          <w:p w14:paraId="353AA65D"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0.86</w:t>
            </w:r>
          </w:p>
        </w:tc>
        <w:tc>
          <w:tcPr>
            <w:tcW w:w="984" w:type="dxa"/>
            <w:vAlign w:val="center"/>
            <w:hideMark/>
          </w:tcPr>
          <w:p w14:paraId="260D1860"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0.348</w:t>
            </w:r>
          </w:p>
        </w:tc>
        <w:tc>
          <w:tcPr>
            <w:tcW w:w="984" w:type="dxa"/>
            <w:vAlign w:val="center"/>
            <w:hideMark/>
          </w:tcPr>
          <w:p w14:paraId="5F6CE581"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w:t>
            </w:r>
          </w:p>
        </w:tc>
        <w:tc>
          <w:tcPr>
            <w:tcW w:w="984" w:type="dxa"/>
            <w:vAlign w:val="center"/>
            <w:hideMark/>
          </w:tcPr>
          <w:p w14:paraId="6FAD5C67"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w:t>
            </w:r>
          </w:p>
        </w:tc>
      </w:tr>
      <w:tr w:rsidR="00E02899" w:rsidRPr="003B5694" w14:paraId="3468585A" w14:textId="77777777" w:rsidTr="006F1A10">
        <w:trPr>
          <w:trHeight w:val="488"/>
          <w:jc w:val="center"/>
        </w:trPr>
        <w:tc>
          <w:tcPr>
            <w:tcW w:w="2689" w:type="dxa"/>
            <w:vAlign w:val="center"/>
            <w:hideMark/>
          </w:tcPr>
          <w:p w14:paraId="7BCE6229"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Monthly Family Income</w:t>
            </w:r>
          </w:p>
        </w:tc>
        <w:tc>
          <w:tcPr>
            <w:tcW w:w="2457" w:type="dxa"/>
            <w:vAlign w:val="center"/>
            <w:hideMark/>
          </w:tcPr>
          <w:p w14:paraId="3798B0F0"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 = Higher income category; 0 = Lower</w:t>
            </w:r>
          </w:p>
        </w:tc>
        <w:tc>
          <w:tcPr>
            <w:tcW w:w="984" w:type="dxa"/>
            <w:vAlign w:val="center"/>
            <w:hideMark/>
          </w:tcPr>
          <w:p w14:paraId="77C8AC58"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0.523</w:t>
            </w:r>
          </w:p>
        </w:tc>
        <w:tc>
          <w:tcPr>
            <w:tcW w:w="984" w:type="dxa"/>
            <w:vAlign w:val="center"/>
            <w:hideMark/>
          </w:tcPr>
          <w:p w14:paraId="68889EE8"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0.5</w:t>
            </w:r>
          </w:p>
        </w:tc>
        <w:tc>
          <w:tcPr>
            <w:tcW w:w="984" w:type="dxa"/>
            <w:vAlign w:val="center"/>
            <w:hideMark/>
          </w:tcPr>
          <w:p w14:paraId="5C451CB2"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w:t>
            </w:r>
          </w:p>
        </w:tc>
        <w:tc>
          <w:tcPr>
            <w:tcW w:w="984" w:type="dxa"/>
            <w:vAlign w:val="center"/>
            <w:hideMark/>
          </w:tcPr>
          <w:p w14:paraId="626AC083"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w:t>
            </w:r>
          </w:p>
        </w:tc>
      </w:tr>
      <w:tr w:rsidR="00E02899" w:rsidRPr="003B5694" w14:paraId="5376BBBF" w14:textId="77777777" w:rsidTr="006F1A10">
        <w:trPr>
          <w:trHeight w:val="488"/>
          <w:jc w:val="center"/>
        </w:trPr>
        <w:tc>
          <w:tcPr>
            <w:tcW w:w="2689" w:type="dxa"/>
            <w:vAlign w:val="center"/>
            <w:hideMark/>
          </w:tcPr>
          <w:p w14:paraId="22124AB7"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 xml:space="preserve">Ration Card Type </w:t>
            </w:r>
          </w:p>
        </w:tc>
        <w:tc>
          <w:tcPr>
            <w:tcW w:w="2457" w:type="dxa"/>
            <w:vAlign w:val="center"/>
            <w:hideMark/>
          </w:tcPr>
          <w:p w14:paraId="32C9160A"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 = Priority/BPL; 0 = Others</w:t>
            </w:r>
          </w:p>
        </w:tc>
        <w:tc>
          <w:tcPr>
            <w:tcW w:w="984" w:type="dxa"/>
            <w:vAlign w:val="center"/>
            <w:hideMark/>
          </w:tcPr>
          <w:p w14:paraId="675F4304"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0.713</w:t>
            </w:r>
          </w:p>
        </w:tc>
        <w:tc>
          <w:tcPr>
            <w:tcW w:w="984" w:type="dxa"/>
            <w:vAlign w:val="center"/>
            <w:hideMark/>
          </w:tcPr>
          <w:p w14:paraId="4C9AD1EF"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0.453</w:t>
            </w:r>
          </w:p>
        </w:tc>
        <w:tc>
          <w:tcPr>
            <w:tcW w:w="984" w:type="dxa"/>
            <w:vAlign w:val="center"/>
            <w:hideMark/>
          </w:tcPr>
          <w:p w14:paraId="6A74A3B9"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w:t>
            </w:r>
          </w:p>
        </w:tc>
        <w:tc>
          <w:tcPr>
            <w:tcW w:w="984" w:type="dxa"/>
            <w:vAlign w:val="center"/>
            <w:hideMark/>
          </w:tcPr>
          <w:p w14:paraId="17B9F19C"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w:t>
            </w:r>
          </w:p>
        </w:tc>
      </w:tr>
      <w:tr w:rsidR="00E02899" w:rsidRPr="003B5694" w14:paraId="0E25CB19" w14:textId="77777777" w:rsidTr="006F1A10">
        <w:trPr>
          <w:trHeight w:val="488"/>
          <w:jc w:val="center"/>
        </w:trPr>
        <w:tc>
          <w:tcPr>
            <w:tcW w:w="2689" w:type="dxa"/>
            <w:vAlign w:val="center"/>
            <w:hideMark/>
          </w:tcPr>
          <w:p w14:paraId="0D0D7292"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Asset Ownership</w:t>
            </w:r>
          </w:p>
        </w:tc>
        <w:tc>
          <w:tcPr>
            <w:tcW w:w="2457" w:type="dxa"/>
            <w:vAlign w:val="center"/>
            <w:hideMark/>
          </w:tcPr>
          <w:p w14:paraId="57F0F8E5"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 = Owns assets; 0 = Otherwise</w:t>
            </w:r>
          </w:p>
        </w:tc>
        <w:tc>
          <w:tcPr>
            <w:tcW w:w="984" w:type="dxa"/>
            <w:vAlign w:val="center"/>
            <w:hideMark/>
          </w:tcPr>
          <w:p w14:paraId="52894953"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0.73</w:t>
            </w:r>
          </w:p>
        </w:tc>
        <w:tc>
          <w:tcPr>
            <w:tcW w:w="984" w:type="dxa"/>
            <w:vAlign w:val="center"/>
            <w:hideMark/>
          </w:tcPr>
          <w:p w14:paraId="77CED0B6"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0.445</w:t>
            </w:r>
          </w:p>
        </w:tc>
        <w:tc>
          <w:tcPr>
            <w:tcW w:w="984" w:type="dxa"/>
            <w:vAlign w:val="center"/>
            <w:hideMark/>
          </w:tcPr>
          <w:p w14:paraId="5429D4F8"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w:t>
            </w:r>
          </w:p>
        </w:tc>
        <w:tc>
          <w:tcPr>
            <w:tcW w:w="984" w:type="dxa"/>
            <w:vAlign w:val="center"/>
            <w:hideMark/>
          </w:tcPr>
          <w:p w14:paraId="63DC1BDD"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w:t>
            </w:r>
          </w:p>
        </w:tc>
      </w:tr>
      <w:tr w:rsidR="00E02899" w:rsidRPr="003B5694" w14:paraId="65BB2FF4" w14:textId="77777777" w:rsidTr="006F1A10">
        <w:trPr>
          <w:trHeight w:val="244"/>
          <w:jc w:val="center"/>
        </w:trPr>
        <w:tc>
          <w:tcPr>
            <w:tcW w:w="2689" w:type="dxa"/>
            <w:vAlign w:val="center"/>
            <w:hideMark/>
          </w:tcPr>
          <w:p w14:paraId="5AED4171"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Access to Credit</w:t>
            </w:r>
          </w:p>
        </w:tc>
        <w:tc>
          <w:tcPr>
            <w:tcW w:w="2457" w:type="dxa"/>
            <w:vAlign w:val="center"/>
            <w:hideMark/>
          </w:tcPr>
          <w:p w14:paraId="5AF47134"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 = Yes; 0 = No</w:t>
            </w:r>
          </w:p>
        </w:tc>
        <w:tc>
          <w:tcPr>
            <w:tcW w:w="984" w:type="dxa"/>
            <w:vAlign w:val="center"/>
            <w:hideMark/>
          </w:tcPr>
          <w:p w14:paraId="6EA7B9F8"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0.537</w:t>
            </w:r>
          </w:p>
        </w:tc>
        <w:tc>
          <w:tcPr>
            <w:tcW w:w="984" w:type="dxa"/>
            <w:vAlign w:val="center"/>
            <w:hideMark/>
          </w:tcPr>
          <w:p w14:paraId="33965661"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0.499</w:t>
            </w:r>
          </w:p>
        </w:tc>
        <w:tc>
          <w:tcPr>
            <w:tcW w:w="984" w:type="dxa"/>
            <w:vAlign w:val="center"/>
            <w:hideMark/>
          </w:tcPr>
          <w:p w14:paraId="297CA7AC"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w:t>
            </w:r>
          </w:p>
        </w:tc>
        <w:tc>
          <w:tcPr>
            <w:tcW w:w="984" w:type="dxa"/>
            <w:vAlign w:val="center"/>
            <w:hideMark/>
          </w:tcPr>
          <w:p w14:paraId="2E39428F"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w:t>
            </w:r>
          </w:p>
        </w:tc>
      </w:tr>
      <w:tr w:rsidR="00E02899" w:rsidRPr="003B5694" w14:paraId="789FC5AE" w14:textId="77777777" w:rsidTr="006F1A10">
        <w:trPr>
          <w:trHeight w:val="488"/>
          <w:jc w:val="center"/>
        </w:trPr>
        <w:tc>
          <w:tcPr>
            <w:tcW w:w="2689" w:type="dxa"/>
            <w:vAlign w:val="center"/>
            <w:hideMark/>
          </w:tcPr>
          <w:p w14:paraId="592B92D5"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Access to Digital Facilities</w:t>
            </w:r>
          </w:p>
        </w:tc>
        <w:tc>
          <w:tcPr>
            <w:tcW w:w="2457" w:type="dxa"/>
            <w:vAlign w:val="center"/>
            <w:hideMark/>
          </w:tcPr>
          <w:p w14:paraId="77ACE47F"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 = Yes; 0 = No</w:t>
            </w:r>
          </w:p>
        </w:tc>
        <w:tc>
          <w:tcPr>
            <w:tcW w:w="984" w:type="dxa"/>
            <w:vAlign w:val="center"/>
            <w:hideMark/>
          </w:tcPr>
          <w:p w14:paraId="3EC6C44A"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0.623</w:t>
            </w:r>
          </w:p>
        </w:tc>
        <w:tc>
          <w:tcPr>
            <w:tcW w:w="984" w:type="dxa"/>
            <w:vAlign w:val="center"/>
            <w:hideMark/>
          </w:tcPr>
          <w:p w14:paraId="6A6510F0"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0.485</w:t>
            </w:r>
          </w:p>
        </w:tc>
        <w:tc>
          <w:tcPr>
            <w:tcW w:w="984" w:type="dxa"/>
            <w:vAlign w:val="center"/>
            <w:hideMark/>
          </w:tcPr>
          <w:p w14:paraId="4247C105"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w:t>
            </w:r>
          </w:p>
        </w:tc>
        <w:tc>
          <w:tcPr>
            <w:tcW w:w="984" w:type="dxa"/>
            <w:vAlign w:val="center"/>
            <w:hideMark/>
          </w:tcPr>
          <w:p w14:paraId="55C4C3FE"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w:t>
            </w:r>
          </w:p>
        </w:tc>
      </w:tr>
      <w:tr w:rsidR="00E02899" w:rsidRPr="003B5694" w14:paraId="6A456F00" w14:textId="77777777" w:rsidTr="006F1A10">
        <w:trPr>
          <w:trHeight w:val="244"/>
          <w:jc w:val="center"/>
        </w:trPr>
        <w:tc>
          <w:tcPr>
            <w:tcW w:w="2689" w:type="dxa"/>
            <w:tcBorders>
              <w:bottom w:val="single" w:sz="4" w:space="0" w:color="auto"/>
            </w:tcBorders>
            <w:vAlign w:val="center"/>
            <w:hideMark/>
          </w:tcPr>
          <w:p w14:paraId="246F9F52"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Multiple Job Holding</w:t>
            </w:r>
          </w:p>
        </w:tc>
        <w:tc>
          <w:tcPr>
            <w:tcW w:w="2457" w:type="dxa"/>
            <w:tcBorders>
              <w:bottom w:val="single" w:sz="4" w:space="0" w:color="auto"/>
            </w:tcBorders>
            <w:vAlign w:val="center"/>
            <w:hideMark/>
          </w:tcPr>
          <w:p w14:paraId="693FD10C"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 = Yes; 0 = No</w:t>
            </w:r>
          </w:p>
        </w:tc>
        <w:tc>
          <w:tcPr>
            <w:tcW w:w="984" w:type="dxa"/>
            <w:tcBorders>
              <w:bottom w:val="single" w:sz="4" w:space="0" w:color="auto"/>
            </w:tcBorders>
            <w:vAlign w:val="center"/>
            <w:hideMark/>
          </w:tcPr>
          <w:p w14:paraId="5043A568"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0.723</w:t>
            </w:r>
          </w:p>
        </w:tc>
        <w:tc>
          <w:tcPr>
            <w:tcW w:w="984" w:type="dxa"/>
            <w:tcBorders>
              <w:bottom w:val="single" w:sz="4" w:space="0" w:color="auto"/>
            </w:tcBorders>
            <w:vAlign w:val="center"/>
            <w:hideMark/>
          </w:tcPr>
          <w:p w14:paraId="4E2D5DC6"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0.448</w:t>
            </w:r>
          </w:p>
        </w:tc>
        <w:tc>
          <w:tcPr>
            <w:tcW w:w="984" w:type="dxa"/>
            <w:tcBorders>
              <w:bottom w:val="single" w:sz="4" w:space="0" w:color="auto"/>
            </w:tcBorders>
            <w:vAlign w:val="center"/>
            <w:hideMark/>
          </w:tcPr>
          <w:p w14:paraId="3D734A59"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w:t>
            </w:r>
          </w:p>
        </w:tc>
        <w:tc>
          <w:tcPr>
            <w:tcW w:w="984" w:type="dxa"/>
            <w:tcBorders>
              <w:bottom w:val="single" w:sz="4" w:space="0" w:color="auto"/>
            </w:tcBorders>
            <w:vAlign w:val="center"/>
            <w:hideMark/>
          </w:tcPr>
          <w:p w14:paraId="0AF814DF"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w:t>
            </w:r>
          </w:p>
        </w:tc>
      </w:tr>
      <w:tr w:rsidR="00E02899" w:rsidRPr="003B5694" w14:paraId="35BFA2D2" w14:textId="77777777" w:rsidTr="006F1A10">
        <w:trPr>
          <w:trHeight w:val="488"/>
          <w:jc w:val="center"/>
        </w:trPr>
        <w:tc>
          <w:tcPr>
            <w:tcW w:w="2689" w:type="dxa"/>
            <w:tcBorders>
              <w:top w:val="single" w:sz="4" w:space="0" w:color="auto"/>
              <w:bottom w:val="single" w:sz="4" w:space="0" w:color="auto"/>
            </w:tcBorders>
            <w:vAlign w:val="center"/>
            <w:hideMark/>
          </w:tcPr>
          <w:p w14:paraId="04C0317D"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Access to Social Security (Dependent Variable)</w:t>
            </w:r>
          </w:p>
        </w:tc>
        <w:tc>
          <w:tcPr>
            <w:tcW w:w="2457" w:type="dxa"/>
            <w:tcBorders>
              <w:top w:val="single" w:sz="4" w:space="0" w:color="auto"/>
              <w:bottom w:val="single" w:sz="4" w:space="0" w:color="auto"/>
            </w:tcBorders>
            <w:vAlign w:val="center"/>
            <w:hideMark/>
          </w:tcPr>
          <w:p w14:paraId="5C373DC2"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 = Yes; 0 = No</w:t>
            </w:r>
          </w:p>
        </w:tc>
        <w:tc>
          <w:tcPr>
            <w:tcW w:w="984" w:type="dxa"/>
            <w:tcBorders>
              <w:top w:val="single" w:sz="4" w:space="0" w:color="auto"/>
              <w:bottom w:val="single" w:sz="4" w:space="0" w:color="auto"/>
            </w:tcBorders>
            <w:vAlign w:val="center"/>
            <w:hideMark/>
          </w:tcPr>
          <w:p w14:paraId="4E4921E7"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0.613</w:t>
            </w:r>
          </w:p>
        </w:tc>
        <w:tc>
          <w:tcPr>
            <w:tcW w:w="984" w:type="dxa"/>
            <w:tcBorders>
              <w:top w:val="single" w:sz="4" w:space="0" w:color="auto"/>
              <w:bottom w:val="single" w:sz="4" w:space="0" w:color="auto"/>
            </w:tcBorders>
            <w:vAlign w:val="center"/>
            <w:hideMark/>
          </w:tcPr>
          <w:p w14:paraId="66A6805E"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0.488</w:t>
            </w:r>
          </w:p>
        </w:tc>
        <w:tc>
          <w:tcPr>
            <w:tcW w:w="984" w:type="dxa"/>
            <w:tcBorders>
              <w:top w:val="single" w:sz="4" w:space="0" w:color="auto"/>
              <w:bottom w:val="single" w:sz="4" w:space="0" w:color="auto"/>
            </w:tcBorders>
            <w:vAlign w:val="center"/>
            <w:hideMark/>
          </w:tcPr>
          <w:p w14:paraId="1C97941B"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w:t>
            </w:r>
          </w:p>
        </w:tc>
        <w:tc>
          <w:tcPr>
            <w:tcW w:w="984" w:type="dxa"/>
            <w:tcBorders>
              <w:top w:val="single" w:sz="4" w:space="0" w:color="auto"/>
              <w:bottom w:val="single" w:sz="4" w:space="0" w:color="auto"/>
            </w:tcBorders>
            <w:vAlign w:val="center"/>
            <w:hideMark/>
          </w:tcPr>
          <w:p w14:paraId="7E19903E"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w:t>
            </w:r>
          </w:p>
        </w:tc>
      </w:tr>
      <w:tr w:rsidR="00E02899" w:rsidRPr="003B5694" w14:paraId="3018F884" w14:textId="77777777" w:rsidTr="006F1A10">
        <w:trPr>
          <w:trHeight w:val="488"/>
          <w:jc w:val="center"/>
        </w:trPr>
        <w:tc>
          <w:tcPr>
            <w:tcW w:w="2689" w:type="dxa"/>
            <w:tcBorders>
              <w:top w:val="single" w:sz="4" w:space="0" w:color="auto"/>
              <w:bottom w:val="single" w:sz="4" w:space="0" w:color="auto"/>
            </w:tcBorders>
            <w:vAlign w:val="center"/>
          </w:tcPr>
          <w:p w14:paraId="13D6155A"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Observation</w:t>
            </w:r>
          </w:p>
        </w:tc>
        <w:tc>
          <w:tcPr>
            <w:tcW w:w="2457" w:type="dxa"/>
            <w:tcBorders>
              <w:top w:val="single" w:sz="4" w:space="0" w:color="auto"/>
              <w:bottom w:val="single" w:sz="4" w:space="0" w:color="auto"/>
            </w:tcBorders>
            <w:vAlign w:val="center"/>
          </w:tcPr>
          <w:p w14:paraId="16FDE6FA" w14:textId="77777777" w:rsidR="00E02899" w:rsidRPr="003B5694" w:rsidRDefault="00E02899" w:rsidP="006F1A10">
            <w:pPr>
              <w:spacing w:after="0" w:line="360" w:lineRule="auto"/>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300</w:t>
            </w:r>
          </w:p>
        </w:tc>
        <w:tc>
          <w:tcPr>
            <w:tcW w:w="984" w:type="dxa"/>
            <w:tcBorders>
              <w:top w:val="single" w:sz="4" w:space="0" w:color="auto"/>
              <w:bottom w:val="single" w:sz="4" w:space="0" w:color="auto"/>
            </w:tcBorders>
            <w:vAlign w:val="center"/>
          </w:tcPr>
          <w:p w14:paraId="2592D106"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p>
        </w:tc>
        <w:tc>
          <w:tcPr>
            <w:tcW w:w="984" w:type="dxa"/>
            <w:tcBorders>
              <w:top w:val="single" w:sz="4" w:space="0" w:color="auto"/>
              <w:bottom w:val="single" w:sz="4" w:space="0" w:color="auto"/>
            </w:tcBorders>
            <w:vAlign w:val="center"/>
          </w:tcPr>
          <w:p w14:paraId="0C69A29B"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p>
        </w:tc>
        <w:tc>
          <w:tcPr>
            <w:tcW w:w="984" w:type="dxa"/>
            <w:tcBorders>
              <w:top w:val="single" w:sz="4" w:space="0" w:color="auto"/>
              <w:bottom w:val="single" w:sz="4" w:space="0" w:color="auto"/>
            </w:tcBorders>
            <w:vAlign w:val="center"/>
          </w:tcPr>
          <w:p w14:paraId="4B8FDC77"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p>
        </w:tc>
        <w:tc>
          <w:tcPr>
            <w:tcW w:w="984" w:type="dxa"/>
            <w:tcBorders>
              <w:top w:val="single" w:sz="4" w:space="0" w:color="auto"/>
              <w:bottom w:val="single" w:sz="4" w:space="0" w:color="auto"/>
            </w:tcBorders>
            <w:vAlign w:val="center"/>
          </w:tcPr>
          <w:p w14:paraId="690997FF"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p>
        </w:tc>
      </w:tr>
    </w:tbl>
    <w:p w14:paraId="4902A27D" w14:textId="77777777" w:rsidR="00E02899" w:rsidRPr="003B5694" w:rsidRDefault="00E02899" w:rsidP="00E02899">
      <w:pPr>
        <w:spacing w:before="240" w:line="360" w:lineRule="auto"/>
        <w:jc w:val="both"/>
        <w:rPr>
          <w:rFonts w:ascii="Arial" w:hAnsi="Arial" w:cs="Arial"/>
          <w:kern w:val="0"/>
          <w:sz w:val="20"/>
          <w:szCs w:val="20"/>
        </w:rPr>
      </w:pPr>
      <w:r w:rsidRPr="003B5694">
        <w:rPr>
          <w:rFonts w:ascii="Arial" w:hAnsi="Arial" w:cs="Arial"/>
          <w:kern w:val="0"/>
          <w:sz w:val="20"/>
          <w:szCs w:val="20"/>
        </w:rPr>
        <w:t>Source: Field Survey</w:t>
      </w:r>
    </w:p>
    <w:p w14:paraId="05207AA4" w14:textId="77777777" w:rsidR="00E02899" w:rsidRPr="003B5694" w:rsidRDefault="00E02899" w:rsidP="00E02899">
      <w:pPr>
        <w:spacing w:before="240" w:line="360" w:lineRule="auto"/>
        <w:jc w:val="both"/>
        <w:rPr>
          <w:rFonts w:ascii="Arial" w:hAnsi="Arial" w:cs="Arial"/>
          <w:kern w:val="0"/>
          <w:sz w:val="20"/>
          <w:szCs w:val="20"/>
        </w:rPr>
      </w:pPr>
      <w:r w:rsidRPr="003B5694">
        <w:rPr>
          <w:rFonts w:ascii="Arial" w:hAnsi="Arial" w:cs="Arial"/>
          <w:kern w:val="0"/>
          <w:sz w:val="20"/>
          <w:szCs w:val="20"/>
        </w:rPr>
        <w:t xml:space="preserve">Regarding economic conditions, 52.3% of respondents fall into the higher monthly family income category. About 71.3% possess priority/BPL ration cards, and 73% report owning assets. Access to financial and technological resources appears moderate: 53.7% report access to credit facilities, and 62.3% have access to digital infrastructure. In addition, 72.3% engage in multiple jobs, reflecting income diversification strategies among women gig workers. Importantly, 61.3 percent of respondents report access to social security benefits, which serves as the dependent variable in the logistic regression model. This finding suggests that although a majority are covered by some form of social protection, a considerable segment of women gig workers remains without such coverage. Overall, the descriptive </w:t>
      </w:r>
      <w:r w:rsidRPr="003B5694">
        <w:rPr>
          <w:rFonts w:ascii="Arial" w:hAnsi="Arial" w:cs="Arial"/>
          <w:kern w:val="0"/>
          <w:sz w:val="20"/>
          <w:szCs w:val="20"/>
        </w:rPr>
        <w:lastRenderedPageBreak/>
        <w:t>statistics indicate that the sample is predominantly rural, married, socially disadvantaged (SC/OBC), and economically active, with moderate access to financial and digital resources. These characteristics provide a critical contextual foundation for interpreting the logistic regression results, particularly in assessing income as a key determinant of access to social security.</w:t>
      </w:r>
    </w:p>
    <w:p w14:paraId="4A0DA844" w14:textId="77777777" w:rsidR="00E02899" w:rsidRPr="00E02899" w:rsidRDefault="00E02899" w:rsidP="00E02899">
      <w:pPr>
        <w:spacing w:before="240" w:line="360" w:lineRule="auto"/>
        <w:jc w:val="both"/>
        <w:rPr>
          <w:rFonts w:ascii="Arial" w:hAnsi="Arial" w:cs="Arial"/>
          <w:b/>
          <w:bCs/>
          <w:kern w:val="0"/>
        </w:rPr>
      </w:pPr>
      <w:r w:rsidRPr="00E02899">
        <w:rPr>
          <w:rFonts w:ascii="Arial" w:hAnsi="Arial" w:cs="Arial"/>
          <w:b/>
          <w:bCs/>
          <w:kern w:val="0"/>
        </w:rPr>
        <w:t>5.1 Determinants of Social Security Access: Estimated Logistic Regression Model</w:t>
      </w:r>
    </w:p>
    <w:p w14:paraId="08FD0582" w14:textId="77777777" w:rsidR="00E02899" w:rsidRPr="003B5694" w:rsidRDefault="00E02899" w:rsidP="00E02899">
      <w:pPr>
        <w:spacing w:before="240" w:line="360" w:lineRule="auto"/>
        <w:jc w:val="both"/>
        <w:rPr>
          <w:rFonts w:ascii="Arial" w:hAnsi="Arial" w:cs="Arial"/>
          <w:kern w:val="0"/>
          <w:sz w:val="20"/>
          <w:szCs w:val="20"/>
        </w:rPr>
      </w:pPr>
      <w:r w:rsidRPr="003B5694">
        <w:rPr>
          <w:rFonts w:ascii="Arial" w:hAnsi="Arial" w:cs="Arial"/>
          <w:kern w:val="0"/>
          <w:sz w:val="20"/>
          <w:szCs w:val="20"/>
        </w:rPr>
        <w:t xml:space="preserve">A binary logistic regression model was used to examine the determinants of access to social security among women gig workers. The dependent variable was coded as 1 for access and 0 for no access. The overall model was not statistically significant (LR χ² = 13.04, p = 0.5991), indicating that the set of explanatory variables does not collectively predict access to social security in a statistically meaningful manner. The pseudo R² value of 0.0326 suggests that only 3.26% of the variation in access is explained by the model, reflecting limited explanatory power. Among the independent variables, monthly family income emerged as the only statistically significant predictor (β = 0.648, p = 0.009). The positive coefficient indicates that higher income is associated with a greater likelihood of accessing social security schemes. The corresponding odds ratio (e^0.648 ≈ 1.91) implies that women from higher-income households are nearly twice as likely to report access compared to those from lower-income households. </w:t>
      </w:r>
    </w:p>
    <w:p w14:paraId="6DC906AB" w14:textId="77777777" w:rsidR="00E02899" w:rsidRPr="003B5694" w:rsidRDefault="00E02899" w:rsidP="00E02899">
      <w:pPr>
        <w:spacing w:before="240" w:line="360" w:lineRule="auto"/>
        <w:jc w:val="center"/>
        <w:rPr>
          <w:rFonts w:ascii="Arial" w:hAnsi="Arial" w:cs="Arial"/>
          <w:b/>
          <w:bCs/>
          <w:kern w:val="0"/>
          <w:sz w:val="20"/>
          <w:szCs w:val="20"/>
        </w:rPr>
      </w:pPr>
      <w:r w:rsidRPr="003B5694">
        <w:rPr>
          <w:rFonts w:ascii="Arial" w:hAnsi="Arial" w:cs="Arial"/>
          <w:b/>
          <w:bCs/>
          <w:kern w:val="0"/>
          <w:sz w:val="20"/>
          <w:szCs w:val="20"/>
        </w:rPr>
        <w:t>Table 2: Determinants of Social Security Access among Women Gig Workers</w:t>
      </w:r>
    </w:p>
    <w:tbl>
      <w:tblPr>
        <w:tblW w:w="5000" w:type="pct"/>
        <w:tblBorders>
          <w:top w:val="single" w:sz="4" w:space="0" w:color="auto"/>
          <w:bottom w:val="single" w:sz="4" w:space="0" w:color="auto"/>
        </w:tblBorders>
        <w:tblLook w:val="04A0" w:firstRow="1" w:lastRow="0" w:firstColumn="1" w:lastColumn="0" w:noHBand="0" w:noVBand="1"/>
      </w:tblPr>
      <w:tblGrid>
        <w:gridCol w:w="1656"/>
        <w:gridCol w:w="1281"/>
        <w:gridCol w:w="1162"/>
        <w:gridCol w:w="728"/>
        <w:gridCol w:w="728"/>
        <w:gridCol w:w="1059"/>
        <w:gridCol w:w="1162"/>
        <w:gridCol w:w="1250"/>
      </w:tblGrid>
      <w:tr w:rsidR="00E02899" w:rsidRPr="003B5694" w14:paraId="39016E98" w14:textId="77777777" w:rsidTr="006F1A10">
        <w:trPr>
          <w:trHeight w:val="570"/>
        </w:trPr>
        <w:tc>
          <w:tcPr>
            <w:tcW w:w="923" w:type="pct"/>
            <w:tcBorders>
              <w:top w:val="single" w:sz="4" w:space="0" w:color="auto"/>
              <w:bottom w:val="single" w:sz="4" w:space="0" w:color="auto"/>
            </w:tcBorders>
            <w:vAlign w:val="center"/>
            <w:hideMark/>
          </w:tcPr>
          <w:p w14:paraId="5411C209" w14:textId="77777777" w:rsidR="00E02899" w:rsidRPr="003B5694"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3B5694">
              <w:rPr>
                <w:rFonts w:ascii="Arial" w:eastAsia="Times New Roman" w:hAnsi="Arial" w:cs="Arial"/>
                <w:b/>
                <w:bCs/>
                <w:color w:val="000000"/>
                <w:kern w:val="0"/>
                <w:sz w:val="20"/>
                <w:szCs w:val="20"/>
                <w:lang w:eastAsia="en-IN"/>
                <w14:ligatures w14:val="none"/>
              </w:rPr>
              <w:t>Variable</w:t>
            </w:r>
          </w:p>
        </w:tc>
        <w:tc>
          <w:tcPr>
            <w:tcW w:w="715" w:type="pct"/>
            <w:tcBorders>
              <w:top w:val="single" w:sz="4" w:space="0" w:color="auto"/>
              <w:bottom w:val="single" w:sz="4" w:space="0" w:color="auto"/>
            </w:tcBorders>
            <w:vAlign w:val="center"/>
            <w:hideMark/>
          </w:tcPr>
          <w:p w14:paraId="484DAD1C" w14:textId="77777777" w:rsidR="00E02899" w:rsidRPr="003B5694"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3B5694">
              <w:rPr>
                <w:rFonts w:ascii="Arial" w:eastAsia="Times New Roman" w:hAnsi="Arial" w:cs="Arial"/>
                <w:b/>
                <w:bCs/>
                <w:color w:val="000000"/>
                <w:kern w:val="0"/>
                <w:sz w:val="20"/>
                <w:szCs w:val="20"/>
                <w:lang w:eastAsia="en-IN"/>
                <w14:ligatures w14:val="none"/>
              </w:rPr>
              <w:t>Coefficient (β)</w:t>
            </w:r>
          </w:p>
        </w:tc>
        <w:tc>
          <w:tcPr>
            <w:tcW w:w="638" w:type="pct"/>
            <w:tcBorders>
              <w:top w:val="single" w:sz="4" w:space="0" w:color="auto"/>
              <w:bottom w:val="single" w:sz="4" w:space="0" w:color="auto"/>
            </w:tcBorders>
            <w:vAlign w:val="center"/>
            <w:hideMark/>
          </w:tcPr>
          <w:p w14:paraId="66F6DCD7" w14:textId="77777777" w:rsidR="00E02899" w:rsidRPr="003B5694"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3B5694">
              <w:rPr>
                <w:rFonts w:ascii="Arial" w:eastAsia="Times New Roman" w:hAnsi="Arial" w:cs="Arial"/>
                <w:b/>
                <w:bCs/>
                <w:color w:val="000000"/>
                <w:kern w:val="0"/>
                <w:sz w:val="20"/>
                <w:szCs w:val="20"/>
                <w:lang w:eastAsia="en-IN"/>
                <w14:ligatures w14:val="none"/>
              </w:rPr>
              <w:t>Std. Error</w:t>
            </w:r>
          </w:p>
        </w:tc>
        <w:tc>
          <w:tcPr>
            <w:tcW w:w="398" w:type="pct"/>
            <w:tcBorders>
              <w:top w:val="single" w:sz="4" w:space="0" w:color="auto"/>
              <w:bottom w:val="single" w:sz="4" w:space="0" w:color="auto"/>
            </w:tcBorders>
            <w:vAlign w:val="center"/>
            <w:hideMark/>
          </w:tcPr>
          <w:p w14:paraId="278323DC" w14:textId="77777777" w:rsidR="00E02899" w:rsidRPr="003B5694"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3B5694">
              <w:rPr>
                <w:rFonts w:ascii="Arial" w:eastAsia="Times New Roman" w:hAnsi="Arial" w:cs="Arial"/>
                <w:b/>
                <w:bCs/>
                <w:color w:val="000000"/>
                <w:kern w:val="0"/>
                <w:sz w:val="20"/>
                <w:szCs w:val="20"/>
                <w:lang w:eastAsia="en-IN"/>
                <w14:ligatures w14:val="none"/>
              </w:rPr>
              <w:t>z-value</w:t>
            </w:r>
          </w:p>
        </w:tc>
        <w:tc>
          <w:tcPr>
            <w:tcW w:w="398" w:type="pct"/>
            <w:tcBorders>
              <w:top w:val="single" w:sz="4" w:space="0" w:color="auto"/>
              <w:bottom w:val="single" w:sz="4" w:space="0" w:color="auto"/>
            </w:tcBorders>
            <w:vAlign w:val="center"/>
            <w:hideMark/>
          </w:tcPr>
          <w:p w14:paraId="6D037D25" w14:textId="77777777" w:rsidR="00E02899" w:rsidRPr="003B5694"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3B5694">
              <w:rPr>
                <w:rFonts w:ascii="Arial" w:eastAsia="Times New Roman" w:hAnsi="Arial" w:cs="Arial"/>
                <w:b/>
                <w:bCs/>
                <w:color w:val="000000"/>
                <w:kern w:val="0"/>
                <w:sz w:val="20"/>
                <w:szCs w:val="20"/>
                <w:lang w:eastAsia="en-IN"/>
                <w14:ligatures w14:val="none"/>
              </w:rPr>
              <w:t>p-value</w:t>
            </w:r>
          </w:p>
        </w:tc>
        <w:tc>
          <w:tcPr>
            <w:tcW w:w="592" w:type="pct"/>
            <w:tcBorders>
              <w:top w:val="single" w:sz="4" w:space="0" w:color="auto"/>
              <w:bottom w:val="single" w:sz="4" w:space="0" w:color="auto"/>
            </w:tcBorders>
            <w:vAlign w:val="center"/>
            <w:hideMark/>
          </w:tcPr>
          <w:p w14:paraId="39E4E68F" w14:textId="77777777" w:rsidR="00E02899" w:rsidRPr="003B5694"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3B5694">
              <w:rPr>
                <w:rFonts w:ascii="Arial" w:eastAsia="Times New Roman" w:hAnsi="Arial" w:cs="Arial"/>
                <w:b/>
                <w:bCs/>
                <w:color w:val="000000"/>
                <w:kern w:val="0"/>
                <w:sz w:val="20"/>
                <w:szCs w:val="20"/>
                <w:lang w:eastAsia="en-IN"/>
                <w14:ligatures w14:val="none"/>
              </w:rPr>
              <w:t>Odds Ratio (Exp(β))</w:t>
            </w:r>
          </w:p>
        </w:tc>
        <w:tc>
          <w:tcPr>
            <w:tcW w:w="638" w:type="pct"/>
            <w:tcBorders>
              <w:top w:val="single" w:sz="4" w:space="0" w:color="auto"/>
              <w:bottom w:val="single" w:sz="4" w:space="0" w:color="auto"/>
            </w:tcBorders>
            <w:vAlign w:val="center"/>
            <w:hideMark/>
          </w:tcPr>
          <w:p w14:paraId="1D6DC801" w14:textId="77777777" w:rsidR="00E02899" w:rsidRPr="003B5694"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3B5694">
              <w:rPr>
                <w:rFonts w:ascii="Arial" w:eastAsia="Times New Roman" w:hAnsi="Arial" w:cs="Arial"/>
                <w:b/>
                <w:bCs/>
                <w:color w:val="000000"/>
                <w:kern w:val="0"/>
                <w:sz w:val="20"/>
                <w:szCs w:val="20"/>
                <w:lang w:eastAsia="en-IN"/>
                <w14:ligatures w14:val="none"/>
              </w:rPr>
              <w:t>95% CI (Lower)</w:t>
            </w:r>
          </w:p>
        </w:tc>
        <w:tc>
          <w:tcPr>
            <w:tcW w:w="698" w:type="pct"/>
            <w:tcBorders>
              <w:top w:val="single" w:sz="4" w:space="0" w:color="auto"/>
              <w:bottom w:val="single" w:sz="4" w:space="0" w:color="auto"/>
            </w:tcBorders>
            <w:vAlign w:val="center"/>
            <w:hideMark/>
          </w:tcPr>
          <w:p w14:paraId="179E8FDA" w14:textId="77777777" w:rsidR="00E02899" w:rsidRPr="003B5694"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3B5694">
              <w:rPr>
                <w:rFonts w:ascii="Arial" w:eastAsia="Times New Roman" w:hAnsi="Arial" w:cs="Arial"/>
                <w:b/>
                <w:bCs/>
                <w:color w:val="000000"/>
                <w:kern w:val="0"/>
                <w:sz w:val="20"/>
                <w:szCs w:val="20"/>
                <w:lang w:eastAsia="en-IN"/>
                <w14:ligatures w14:val="none"/>
              </w:rPr>
              <w:t>95% CI (Upper)</w:t>
            </w:r>
          </w:p>
        </w:tc>
      </w:tr>
      <w:tr w:rsidR="00E02899" w:rsidRPr="003B5694" w14:paraId="5B560F35" w14:textId="77777777" w:rsidTr="006F1A10">
        <w:trPr>
          <w:trHeight w:val="600"/>
        </w:trPr>
        <w:tc>
          <w:tcPr>
            <w:tcW w:w="923" w:type="pct"/>
            <w:tcBorders>
              <w:top w:val="single" w:sz="4" w:space="0" w:color="auto"/>
            </w:tcBorders>
            <w:vAlign w:val="center"/>
            <w:hideMark/>
          </w:tcPr>
          <w:p w14:paraId="06FC933E"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Male-Headed Household</w:t>
            </w:r>
          </w:p>
        </w:tc>
        <w:tc>
          <w:tcPr>
            <w:tcW w:w="715" w:type="pct"/>
            <w:tcBorders>
              <w:top w:val="single" w:sz="4" w:space="0" w:color="auto"/>
            </w:tcBorders>
            <w:vAlign w:val="center"/>
            <w:hideMark/>
          </w:tcPr>
          <w:p w14:paraId="22A952B8"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0.3259879</w:t>
            </w:r>
          </w:p>
        </w:tc>
        <w:tc>
          <w:tcPr>
            <w:tcW w:w="638" w:type="pct"/>
            <w:tcBorders>
              <w:top w:val="single" w:sz="4" w:space="0" w:color="auto"/>
            </w:tcBorders>
            <w:vAlign w:val="center"/>
            <w:hideMark/>
          </w:tcPr>
          <w:p w14:paraId="54D7223A"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0.303789</w:t>
            </w:r>
          </w:p>
        </w:tc>
        <w:tc>
          <w:tcPr>
            <w:tcW w:w="398" w:type="pct"/>
            <w:tcBorders>
              <w:top w:val="single" w:sz="4" w:space="0" w:color="auto"/>
            </w:tcBorders>
            <w:vAlign w:val="center"/>
            <w:hideMark/>
          </w:tcPr>
          <w:p w14:paraId="5C48EC8D"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1.07</w:t>
            </w:r>
          </w:p>
        </w:tc>
        <w:tc>
          <w:tcPr>
            <w:tcW w:w="398" w:type="pct"/>
            <w:tcBorders>
              <w:top w:val="single" w:sz="4" w:space="0" w:color="auto"/>
            </w:tcBorders>
            <w:vAlign w:val="center"/>
            <w:hideMark/>
          </w:tcPr>
          <w:p w14:paraId="74A7C31F"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0.283</w:t>
            </w:r>
          </w:p>
        </w:tc>
        <w:tc>
          <w:tcPr>
            <w:tcW w:w="592" w:type="pct"/>
            <w:tcBorders>
              <w:top w:val="single" w:sz="4" w:space="0" w:color="auto"/>
            </w:tcBorders>
            <w:vAlign w:val="center"/>
            <w:hideMark/>
          </w:tcPr>
          <w:p w14:paraId="62F57DA9"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1.385</w:t>
            </w:r>
          </w:p>
        </w:tc>
        <w:tc>
          <w:tcPr>
            <w:tcW w:w="638" w:type="pct"/>
            <w:tcBorders>
              <w:top w:val="single" w:sz="4" w:space="0" w:color="auto"/>
            </w:tcBorders>
            <w:vAlign w:val="center"/>
            <w:hideMark/>
          </w:tcPr>
          <w:p w14:paraId="7EE2B0E8"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-0.2694277</w:t>
            </w:r>
          </w:p>
        </w:tc>
        <w:tc>
          <w:tcPr>
            <w:tcW w:w="698" w:type="pct"/>
            <w:tcBorders>
              <w:top w:val="single" w:sz="4" w:space="0" w:color="auto"/>
            </w:tcBorders>
            <w:vAlign w:val="center"/>
            <w:hideMark/>
          </w:tcPr>
          <w:p w14:paraId="59A99F6D"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0.9214034</w:t>
            </w:r>
          </w:p>
        </w:tc>
      </w:tr>
      <w:tr w:rsidR="00E02899" w:rsidRPr="003B5694" w14:paraId="478AEBEC" w14:textId="77777777" w:rsidTr="006F1A10">
        <w:trPr>
          <w:trHeight w:val="300"/>
        </w:trPr>
        <w:tc>
          <w:tcPr>
            <w:tcW w:w="923" w:type="pct"/>
            <w:vAlign w:val="center"/>
            <w:hideMark/>
          </w:tcPr>
          <w:p w14:paraId="0F9252B4"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Marital Status</w:t>
            </w:r>
          </w:p>
        </w:tc>
        <w:tc>
          <w:tcPr>
            <w:tcW w:w="715" w:type="pct"/>
            <w:vAlign w:val="center"/>
            <w:hideMark/>
          </w:tcPr>
          <w:p w14:paraId="7B7B6CD3"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-0.1487757</w:t>
            </w:r>
          </w:p>
        </w:tc>
        <w:tc>
          <w:tcPr>
            <w:tcW w:w="638" w:type="pct"/>
            <w:vAlign w:val="center"/>
            <w:hideMark/>
          </w:tcPr>
          <w:p w14:paraId="490AC5A6"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0.4320427</w:t>
            </w:r>
          </w:p>
        </w:tc>
        <w:tc>
          <w:tcPr>
            <w:tcW w:w="398" w:type="pct"/>
            <w:vAlign w:val="center"/>
            <w:hideMark/>
          </w:tcPr>
          <w:p w14:paraId="3D4D59D5"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-0.34</w:t>
            </w:r>
          </w:p>
        </w:tc>
        <w:tc>
          <w:tcPr>
            <w:tcW w:w="398" w:type="pct"/>
            <w:vAlign w:val="center"/>
            <w:hideMark/>
          </w:tcPr>
          <w:p w14:paraId="5B7C02C4"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0.731</w:t>
            </w:r>
          </w:p>
        </w:tc>
        <w:tc>
          <w:tcPr>
            <w:tcW w:w="592" w:type="pct"/>
            <w:vAlign w:val="center"/>
            <w:hideMark/>
          </w:tcPr>
          <w:p w14:paraId="3F82F07F"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0.862</w:t>
            </w:r>
          </w:p>
        </w:tc>
        <w:tc>
          <w:tcPr>
            <w:tcW w:w="638" w:type="pct"/>
            <w:vAlign w:val="center"/>
            <w:hideMark/>
          </w:tcPr>
          <w:p w14:paraId="1D510311"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-0.9955639</w:t>
            </w:r>
          </w:p>
        </w:tc>
        <w:tc>
          <w:tcPr>
            <w:tcW w:w="698" w:type="pct"/>
            <w:vAlign w:val="center"/>
            <w:hideMark/>
          </w:tcPr>
          <w:p w14:paraId="47EF6F3A"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0.6980124</w:t>
            </w:r>
          </w:p>
        </w:tc>
      </w:tr>
      <w:tr w:rsidR="00E02899" w:rsidRPr="003B5694" w14:paraId="04CEE6DF" w14:textId="77777777" w:rsidTr="006F1A10">
        <w:trPr>
          <w:trHeight w:val="300"/>
        </w:trPr>
        <w:tc>
          <w:tcPr>
            <w:tcW w:w="923" w:type="pct"/>
            <w:vAlign w:val="center"/>
            <w:hideMark/>
          </w:tcPr>
          <w:p w14:paraId="37898D22"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Presence of Children</w:t>
            </w:r>
          </w:p>
        </w:tc>
        <w:tc>
          <w:tcPr>
            <w:tcW w:w="715" w:type="pct"/>
            <w:vAlign w:val="center"/>
            <w:hideMark/>
          </w:tcPr>
          <w:p w14:paraId="32F8275F"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0.0695617</w:t>
            </w:r>
          </w:p>
        </w:tc>
        <w:tc>
          <w:tcPr>
            <w:tcW w:w="638" w:type="pct"/>
            <w:vAlign w:val="center"/>
            <w:hideMark/>
          </w:tcPr>
          <w:p w14:paraId="750B2F11"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0.3726411</w:t>
            </w:r>
          </w:p>
        </w:tc>
        <w:tc>
          <w:tcPr>
            <w:tcW w:w="398" w:type="pct"/>
            <w:vAlign w:val="center"/>
            <w:hideMark/>
          </w:tcPr>
          <w:p w14:paraId="49198AEC"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0.19</w:t>
            </w:r>
          </w:p>
        </w:tc>
        <w:tc>
          <w:tcPr>
            <w:tcW w:w="398" w:type="pct"/>
            <w:vAlign w:val="center"/>
            <w:hideMark/>
          </w:tcPr>
          <w:p w14:paraId="73F3615D"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0.852</w:t>
            </w:r>
          </w:p>
        </w:tc>
        <w:tc>
          <w:tcPr>
            <w:tcW w:w="592" w:type="pct"/>
            <w:vAlign w:val="center"/>
            <w:hideMark/>
          </w:tcPr>
          <w:p w14:paraId="5AEB209F"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1.072</w:t>
            </w:r>
          </w:p>
        </w:tc>
        <w:tc>
          <w:tcPr>
            <w:tcW w:w="638" w:type="pct"/>
            <w:vAlign w:val="center"/>
            <w:hideMark/>
          </w:tcPr>
          <w:p w14:paraId="094F6D13"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-0.6608013</w:t>
            </w:r>
          </w:p>
        </w:tc>
        <w:tc>
          <w:tcPr>
            <w:tcW w:w="698" w:type="pct"/>
            <w:vAlign w:val="center"/>
            <w:hideMark/>
          </w:tcPr>
          <w:p w14:paraId="4718284D"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0.7999248</w:t>
            </w:r>
          </w:p>
        </w:tc>
      </w:tr>
      <w:tr w:rsidR="00E02899" w:rsidRPr="003B5694" w14:paraId="09D56828" w14:textId="77777777" w:rsidTr="006F1A10">
        <w:trPr>
          <w:trHeight w:val="300"/>
        </w:trPr>
        <w:tc>
          <w:tcPr>
            <w:tcW w:w="923" w:type="pct"/>
            <w:vAlign w:val="center"/>
            <w:hideMark/>
          </w:tcPr>
          <w:p w14:paraId="107BA4C6"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Household Size</w:t>
            </w:r>
          </w:p>
        </w:tc>
        <w:tc>
          <w:tcPr>
            <w:tcW w:w="715" w:type="pct"/>
            <w:vAlign w:val="center"/>
            <w:hideMark/>
          </w:tcPr>
          <w:p w14:paraId="726CF666"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-0.1486669</w:t>
            </w:r>
          </w:p>
        </w:tc>
        <w:tc>
          <w:tcPr>
            <w:tcW w:w="638" w:type="pct"/>
            <w:vAlign w:val="center"/>
            <w:hideMark/>
          </w:tcPr>
          <w:p w14:paraId="5935A947"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0.2830612</w:t>
            </w:r>
          </w:p>
        </w:tc>
        <w:tc>
          <w:tcPr>
            <w:tcW w:w="398" w:type="pct"/>
            <w:vAlign w:val="center"/>
            <w:hideMark/>
          </w:tcPr>
          <w:p w14:paraId="7AABFD4E"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-0.53</w:t>
            </w:r>
          </w:p>
        </w:tc>
        <w:tc>
          <w:tcPr>
            <w:tcW w:w="398" w:type="pct"/>
            <w:vAlign w:val="center"/>
            <w:hideMark/>
          </w:tcPr>
          <w:p w14:paraId="3321847C"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0.599</w:t>
            </w:r>
          </w:p>
        </w:tc>
        <w:tc>
          <w:tcPr>
            <w:tcW w:w="592" w:type="pct"/>
            <w:vAlign w:val="center"/>
            <w:hideMark/>
          </w:tcPr>
          <w:p w14:paraId="27E4594C"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0.862</w:t>
            </w:r>
          </w:p>
        </w:tc>
        <w:tc>
          <w:tcPr>
            <w:tcW w:w="638" w:type="pct"/>
            <w:vAlign w:val="center"/>
            <w:hideMark/>
          </w:tcPr>
          <w:p w14:paraId="7E4280B0"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-0.7034565</w:t>
            </w:r>
          </w:p>
        </w:tc>
        <w:tc>
          <w:tcPr>
            <w:tcW w:w="698" w:type="pct"/>
            <w:vAlign w:val="center"/>
            <w:hideMark/>
          </w:tcPr>
          <w:p w14:paraId="584FD619"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0.4061228</w:t>
            </w:r>
          </w:p>
        </w:tc>
      </w:tr>
      <w:tr w:rsidR="00E02899" w:rsidRPr="003B5694" w14:paraId="57839B41" w14:textId="77777777" w:rsidTr="006F1A10">
        <w:trPr>
          <w:trHeight w:val="600"/>
        </w:trPr>
        <w:tc>
          <w:tcPr>
            <w:tcW w:w="923" w:type="pct"/>
            <w:vAlign w:val="center"/>
            <w:hideMark/>
          </w:tcPr>
          <w:p w14:paraId="5B098FA9"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Age Category (25–50 years)</w:t>
            </w:r>
          </w:p>
        </w:tc>
        <w:tc>
          <w:tcPr>
            <w:tcW w:w="715" w:type="pct"/>
            <w:vAlign w:val="center"/>
            <w:hideMark/>
          </w:tcPr>
          <w:p w14:paraId="18D92B07"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0.0493076</w:t>
            </w:r>
          </w:p>
        </w:tc>
        <w:tc>
          <w:tcPr>
            <w:tcW w:w="638" w:type="pct"/>
            <w:vAlign w:val="center"/>
            <w:hideMark/>
          </w:tcPr>
          <w:p w14:paraId="5E545CD8"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0.2505888</w:t>
            </w:r>
          </w:p>
        </w:tc>
        <w:tc>
          <w:tcPr>
            <w:tcW w:w="398" w:type="pct"/>
            <w:vAlign w:val="center"/>
            <w:hideMark/>
          </w:tcPr>
          <w:p w14:paraId="657AB83D"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0.2</w:t>
            </w:r>
          </w:p>
        </w:tc>
        <w:tc>
          <w:tcPr>
            <w:tcW w:w="398" w:type="pct"/>
            <w:vAlign w:val="center"/>
            <w:hideMark/>
          </w:tcPr>
          <w:p w14:paraId="2FFAD9F9"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0.844</w:t>
            </w:r>
          </w:p>
        </w:tc>
        <w:tc>
          <w:tcPr>
            <w:tcW w:w="592" w:type="pct"/>
            <w:vAlign w:val="center"/>
            <w:hideMark/>
          </w:tcPr>
          <w:p w14:paraId="4588E8D1"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1.051</w:t>
            </w:r>
          </w:p>
        </w:tc>
        <w:tc>
          <w:tcPr>
            <w:tcW w:w="638" w:type="pct"/>
            <w:vAlign w:val="center"/>
            <w:hideMark/>
          </w:tcPr>
          <w:p w14:paraId="30587F15"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-0.4418374</w:t>
            </w:r>
          </w:p>
        </w:tc>
        <w:tc>
          <w:tcPr>
            <w:tcW w:w="698" w:type="pct"/>
            <w:vAlign w:val="center"/>
            <w:hideMark/>
          </w:tcPr>
          <w:p w14:paraId="4E100459"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0.5404525</w:t>
            </w:r>
          </w:p>
        </w:tc>
      </w:tr>
      <w:tr w:rsidR="00E02899" w:rsidRPr="003B5694" w14:paraId="58C1120B" w14:textId="77777777" w:rsidTr="006F1A10">
        <w:trPr>
          <w:trHeight w:val="600"/>
        </w:trPr>
        <w:tc>
          <w:tcPr>
            <w:tcW w:w="923" w:type="pct"/>
            <w:vAlign w:val="center"/>
            <w:hideMark/>
          </w:tcPr>
          <w:p w14:paraId="6EE7ED0B"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Social Category (SC/OBC)</w:t>
            </w:r>
          </w:p>
        </w:tc>
        <w:tc>
          <w:tcPr>
            <w:tcW w:w="715" w:type="pct"/>
            <w:vAlign w:val="center"/>
            <w:hideMark/>
          </w:tcPr>
          <w:p w14:paraId="527DB66E"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0.1893919</w:t>
            </w:r>
          </w:p>
        </w:tc>
        <w:tc>
          <w:tcPr>
            <w:tcW w:w="638" w:type="pct"/>
            <w:vAlign w:val="center"/>
            <w:hideMark/>
          </w:tcPr>
          <w:p w14:paraId="3BCC887B"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0.2772559</w:t>
            </w:r>
          </w:p>
        </w:tc>
        <w:tc>
          <w:tcPr>
            <w:tcW w:w="398" w:type="pct"/>
            <w:vAlign w:val="center"/>
            <w:hideMark/>
          </w:tcPr>
          <w:p w14:paraId="309CAD74"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0.68</w:t>
            </w:r>
          </w:p>
        </w:tc>
        <w:tc>
          <w:tcPr>
            <w:tcW w:w="398" w:type="pct"/>
            <w:vAlign w:val="center"/>
            <w:hideMark/>
          </w:tcPr>
          <w:p w14:paraId="05B6FBA8"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0.495</w:t>
            </w:r>
          </w:p>
        </w:tc>
        <w:tc>
          <w:tcPr>
            <w:tcW w:w="592" w:type="pct"/>
            <w:vAlign w:val="center"/>
            <w:hideMark/>
          </w:tcPr>
          <w:p w14:paraId="57E11E91"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1.209</w:t>
            </w:r>
          </w:p>
        </w:tc>
        <w:tc>
          <w:tcPr>
            <w:tcW w:w="638" w:type="pct"/>
            <w:vAlign w:val="center"/>
            <w:hideMark/>
          </w:tcPr>
          <w:p w14:paraId="725E85E7"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-0.3540196</w:t>
            </w:r>
          </w:p>
        </w:tc>
        <w:tc>
          <w:tcPr>
            <w:tcW w:w="698" w:type="pct"/>
            <w:vAlign w:val="center"/>
            <w:hideMark/>
          </w:tcPr>
          <w:p w14:paraId="2F43D7F8"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0.7328034</w:t>
            </w:r>
          </w:p>
        </w:tc>
      </w:tr>
      <w:tr w:rsidR="00E02899" w:rsidRPr="003B5694" w14:paraId="1210B467" w14:textId="77777777" w:rsidTr="006F1A10">
        <w:trPr>
          <w:trHeight w:val="300"/>
        </w:trPr>
        <w:tc>
          <w:tcPr>
            <w:tcW w:w="923" w:type="pct"/>
            <w:vAlign w:val="center"/>
            <w:hideMark/>
          </w:tcPr>
          <w:p w14:paraId="01DE1EBF"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Religion (Hindu)</w:t>
            </w:r>
          </w:p>
        </w:tc>
        <w:tc>
          <w:tcPr>
            <w:tcW w:w="715" w:type="pct"/>
            <w:vAlign w:val="center"/>
            <w:hideMark/>
          </w:tcPr>
          <w:p w14:paraId="414E2455"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0.1667845</w:t>
            </w:r>
          </w:p>
        </w:tc>
        <w:tc>
          <w:tcPr>
            <w:tcW w:w="638" w:type="pct"/>
            <w:vAlign w:val="center"/>
            <w:hideMark/>
          </w:tcPr>
          <w:p w14:paraId="6DD4AB64"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0.2844476</w:t>
            </w:r>
          </w:p>
        </w:tc>
        <w:tc>
          <w:tcPr>
            <w:tcW w:w="398" w:type="pct"/>
            <w:vAlign w:val="center"/>
            <w:hideMark/>
          </w:tcPr>
          <w:p w14:paraId="12C01C5C"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0.59</w:t>
            </w:r>
          </w:p>
        </w:tc>
        <w:tc>
          <w:tcPr>
            <w:tcW w:w="398" w:type="pct"/>
            <w:vAlign w:val="center"/>
            <w:hideMark/>
          </w:tcPr>
          <w:p w14:paraId="6F0CA0CE"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0.558</w:t>
            </w:r>
          </w:p>
        </w:tc>
        <w:tc>
          <w:tcPr>
            <w:tcW w:w="592" w:type="pct"/>
            <w:vAlign w:val="center"/>
            <w:hideMark/>
          </w:tcPr>
          <w:p w14:paraId="5281DF31"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1.181</w:t>
            </w:r>
          </w:p>
        </w:tc>
        <w:tc>
          <w:tcPr>
            <w:tcW w:w="638" w:type="pct"/>
            <w:vAlign w:val="center"/>
            <w:hideMark/>
          </w:tcPr>
          <w:p w14:paraId="5B5C4B6B"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-0.3907226</w:t>
            </w:r>
          </w:p>
        </w:tc>
        <w:tc>
          <w:tcPr>
            <w:tcW w:w="698" w:type="pct"/>
            <w:vAlign w:val="center"/>
            <w:hideMark/>
          </w:tcPr>
          <w:p w14:paraId="7EC621EE"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0.7242916</w:t>
            </w:r>
          </w:p>
        </w:tc>
      </w:tr>
      <w:tr w:rsidR="00E02899" w:rsidRPr="003B5694" w14:paraId="68F7CB72" w14:textId="77777777" w:rsidTr="006F1A10">
        <w:trPr>
          <w:trHeight w:val="600"/>
        </w:trPr>
        <w:tc>
          <w:tcPr>
            <w:tcW w:w="923" w:type="pct"/>
            <w:vAlign w:val="center"/>
            <w:hideMark/>
          </w:tcPr>
          <w:p w14:paraId="25E5A085"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Education (20+ Years / Higher Education)</w:t>
            </w:r>
          </w:p>
        </w:tc>
        <w:tc>
          <w:tcPr>
            <w:tcW w:w="715" w:type="pct"/>
            <w:vAlign w:val="center"/>
            <w:hideMark/>
          </w:tcPr>
          <w:p w14:paraId="754BE4A2"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0.2386241</w:t>
            </w:r>
          </w:p>
        </w:tc>
        <w:tc>
          <w:tcPr>
            <w:tcW w:w="638" w:type="pct"/>
            <w:vAlign w:val="center"/>
            <w:hideMark/>
          </w:tcPr>
          <w:p w14:paraId="7B8EFE47"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0.3570845</w:t>
            </w:r>
          </w:p>
        </w:tc>
        <w:tc>
          <w:tcPr>
            <w:tcW w:w="398" w:type="pct"/>
            <w:vAlign w:val="center"/>
            <w:hideMark/>
          </w:tcPr>
          <w:p w14:paraId="37BDEB7F"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0.67</w:t>
            </w:r>
          </w:p>
        </w:tc>
        <w:tc>
          <w:tcPr>
            <w:tcW w:w="398" w:type="pct"/>
            <w:vAlign w:val="center"/>
            <w:hideMark/>
          </w:tcPr>
          <w:p w14:paraId="0C002ACD"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0.504</w:t>
            </w:r>
          </w:p>
        </w:tc>
        <w:tc>
          <w:tcPr>
            <w:tcW w:w="592" w:type="pct"/>
            <w:vAlign w:val="center"/>
            <w:hideMark/>
          </w:tcPr>
          <w:p w14:paraId="7D76AEC5"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1.269</w:t>
            </w:r>
          </w:p>
        </w:tc>
        <w:tc>
          <w:tcPr>
            <w:tcW w:w="638" w:type="pct"/>
            <w:vAlign w:val="center"/>
            <w:hideMark/>
          </w:tcPr>
          <w:p w14:paraId="4D1BB387"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-0.4612487</w:t>
            </w:r>
          </w:p>
        </w:tc>
        <w:tc>
          <w:tcPr>
            <w:tcW w:w="698" w:type="pct"/>
            <w:vAlign w:val="center"/>
            <w:hideMark/>
          </w:tcPr>
          <w:p w14:paraId="3AC3148A"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0.938497</w:t>
            </w:r>
          </w:p>
        </w:tc>
      </w:tr>
      <w:tr w:rsidR="00E02899" w:rsidRPr="003B5694" w14:paraId="44A92DEE" w14:textId="77777777" w:rsidTr="006F1A10">
        <w:trPr>
          <w:trHeight w:val="600"/>
        </w:trPr>
        <w:tc>
          <w:tcPr>
            <w:tcW w:w="923" w:type="pct"/>
            <w:vAlign w:val="center"/>
            <w:hideMark/>
          </w:tcPr>
          <w:p w14:paraId="0544C20A"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lastRenderedPageBreak/>
              <w:t>Place of Residence (Rural)</w:t>
            </w:r>
          </w:p>
        </w:tc>
        <w:tc>
          <w:tcPr>
            <w:tcW w:w="715" w:type="pct"/>
            <w:vAlign w:val="center"/>
            <w:hideMark/>
          </w:tcPr>
          <w:p w14:paraId="39D4A325"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-0.0136097</w:t>
            </w:r>
          </w:p>
        </w:tc>
        <w:tc>
          <w:tcPr>
            <w:tcW w:w="638" w:type="pct"/>
            <w:vAlign w:val="center"/>
            <w:hideMark/>
          </w:tcPr>
          <w:p w14:paraId="2D838E0C"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0.3592981</w:t>
            </w:r>
          </w:p>
        </w:tc>
        <w:tc>
          <w:tcPr>
            <w:tcW w:w="398" w:type="pct"/>
            <w:vAlign w:val="center"/>
            <w:hideMark/>
          </w:tcPr>
          <w:p w14:paraId="2AED2067"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-0.04</w:t>
            </w:r>
          </w:p>
        </w:tc>
        <w:tc>
          <w:tcPr>
            <w:tcW w:w="398" w:type="pct"/>
            <w:vAlign w:val="center"/>
            <w:hideMark/>
          </w:tcPr>
          <w:p w14:paraId="6600D22D"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0.97</w:t>
            </w:r>
          </w:p>
        </w:tc>
        <w:tc>
          <w:tcPr>
            <w:tcW w:w="592" w:type="pct"/>
            <w:vAlign w:val="center"/>
            <w:hideMark/>
          </w:tcPr>
          <w:p w14:paraId="488C027B"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0.987</w:t>
            </w:r>
          </w:p>
        </w:tc>
        <w:tc>
          <w:tcPr>
            <w:tcW w:w="638" w:type="pct"/>
            <w:vAlign w:val="center"/>
            <w:hideMark/>
          </w:tcPr>
          <w:p w14:paraId="3E48055F"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-0.717821</w:t>
            </w:r>
          </w:p>
        </w:tc>
        <w:tc>
          <w:tcPr>
            <w:tcW w:w="698" w:type="pct"/>
            <w:vAlign w:val="center"/>
            <w:hideMark/>
          </w:tcPr>
          <w:p w14:paraId="6C02DB6F"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0.6906016</w:t>
            </w:r>
          </w:p>
        </w:tc>
      </w:tr>
      <w:tr w:rsidR="00E02899" w:rsidRPr="003B5694" w14:paraId="5E573A92" w14:textId="77777777" w:rsidTr="006F1A10">
        <w:trPr>
          <w:trHeight w:val="300"/>
        </w:trPr>
        <w:tc>
          <w:tcPr>
            <w:tcW w:w="923" w:type="pct"/>
            <w:vAlign w:val="center"/>
            <w:hideMark/>
          </w:tcPr>
          <w:p w14:paraId="2953E000"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Monthly Family Income</w:t>
            </w:r>
          </w:p>
        </w:tc>
        <w:tc>
          <w:tcPr>
            <w:tcW w:w="715" w:type="pct"/>
            <w:vAlign w:val="center"/>
            <w:hideMark/>
          </w:tcPr>
          <w:p w14:paraId="11C51FFE"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0.6482582</w:t>
            </w:r>
          </w:p>
        </w:tc>
        <w:tc>
          <w:tcPr>
            <w:tcW w:w="638" w:type="pct"/>
            <w:vAlign w:val="center"/>
            <w:hideMark/>
          </w:tcPr>
          <w:p w14:paraId="52690B65"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0.2493283</w:t>
            </w:r>
          </w:p>
        </w:tc>
        <w:tc>
          <w:tcPr>
            <w:tcW w:w="398" w:type="pct"/>
            <w:vAlign w:val="center"/>
            <w:hideMark/>
          </w:tcPr>
          <w:p w14:paraId="22E6FD68"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2.6</w:t>
            </w:r>
          </w:p>
        </w:tc>
        <w:tc>
          <w:tcPr>
            <w:tcW w:w="398" w:type="pct"/>
            <w:vAlign w:val="center"/>
            <w:hideMark/>
          </w:tcPr>
          <w:p w14:paraId="12943ED9"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0.009</w:t>
            </w:r>
          </w:p>
        </w:tc>
        <w:tc>
          <w:tcPr>
            <w:tcW w:w="592" w:type="pct"/>
            <w:vAlign w:val="center"/>
            <w:hideMark/>
          </w:tcPr>
          <w:p w14:paraId="5C3BC9EC"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1.912</w:t>
            </w:r>
          </w:p>
        </w:tc>
        <w:tc>
          <w:tcPr>
            <w:tcW w:w="638" w:type="pct"/>
            <w:vAlign w:val="center"/>
            <w:hideMark/>
          </w:tcPr>
          <w:p w14:paraId="7CBE3A52"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0.1595837</w:t>
            </w:r>
          </w:p>
        </w:tc>
        <w:tc>
          <w:tcPr>
            <w:tcW w:w="698" w:type="pct"/>
            <w:vAlign w:val="center"/>
            <w:hideMark/>
          </w:tcPr>
          <w:p w14:paraId="28D068F5"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1.136933</w:t>
            </w:r>
          </w:p>
        </w:tc>
      </w:tr>
      <w:tr w:rsidR="00E02899" w:rsidRPr="003B5694" w14:paraId="0FEE4615" w14:textId="77777777" w:rsidTr="006F1A10">
        <w:trPr>
          <w:trHeight w:val="300"/>
        </w:trPr>
        <w:tc>
          <w:tcPr>
            <w:tcW w:w="923" w:type="pct"/>
            <w:vAlign w:val="center"/>
            <w:hideMark/>
          </w:tcPr>
          <w:p w14:paraId="536EDC63"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Type of Ration Card</w:t>
            </w:r>
          </w:p>
        </w:tc>
        <w:tc>
          <w:tcPr>
            <w:tcW w:w="715" w:type="pct"/>
            <w:vAlign w:val="center"/>
            <w:hideMark/>
          </w:tcPr>
          <w:p w14:paraId="5F09AAA3"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-0.1668154</w:t>
            </w:r>
          </w:p>
        </w:tc>
        <w:tc>
          <w:tcPr>
            <w:tcW w:w="638" w:type="pct"/>
            <w:vAlign w:val="center"/>
            <w:hideMark/>
          </w:tcPr>
          <w:p w14:paraId="10E425E8"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0.2777588</w:t>
            </w:r>
          </w:p>
        </w:tc>
        <w:tc>
          <w:tcPr>
            <w:tcW w:w="398" w:type="pct"/>
            <w:vAlign w:val="center"/>
            <w:hideMark/>
          </w:tcPr>
          <w:p w14:paraId="1B8EDDF8"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-0.6</w:t>
            </w:r>
          </w:p>
        </w:tc>
        <w:tc>
          <w:tcPr>
            <w:tcW w:w="398" w:type="pct"/>
            <w:vAlign w:val="center"/>
            <w:hideMark/>
          </w:tcPr>
          <w:p w14:paraId="52E63EC5"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0.548</w:t>
            </w:r>
          </w:p>
        </w:tc>
        <w:tc>
          <w:tcPr>
            <w:tcW w:w="592" w:type="pct"/>
            <w:vAlign w:val="center"/>
            <w:hideMark/>
          </w:tcPr>
          <w:p w14:paraId="6602F6F0"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0.846</w:t>
            </w:r>
          </w:p>
        </w:tc>
        <w:tc>
          <w:tcPr>
            <w:tcW w:w="638" w:type="pct"/>
            <w:vAlign w:val="center"/>
            <w:hideMark/>
          </w:tcPr>
          <w:p w14:paraId="1AC83A32"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-0.7112127</w:t>
            </w:r>
          </w:p>
        </w:tc>
        <w:tc>
          <w:tcPr>
            <w:tcW w:w="698" w:type="pct"/>
            <w:vAlign w:val="center"/>
            <w:hideMark/>
          </w:tcPr>
          <w:p w14:paraId="0E6D3DF3"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0.3775819</w:t>
            </w:r>
          </w:p>
        </w:tc>
      </w:tr>
      <w:tr w:rsidR="00E02899" w:rsidRPr="003B5694" w14:paraId="09308B8C" w14:textId="77777777" w:rsidTr="006F1A10">
        <w:trPr>
          <w:trHeight w:val="300"/>
        </w:trPr>
        <w:tc>
          <w:tcPr>
            <w:tcW w:w="923" w:type="pct"/>
            <w:vAlign w:val="center"/>
            <w:hideMark/>
          </w:tcPr>
          <w:p w14:paraId="43034CF3"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Ownership of Assets</w:t>
            </w:r>
          </w:p>
        </w:tc>
        <w:tc>
          <w:tcPr>
            <w:tcW w:w="715" w:type="pct"/>
            <w:vAlign w:val="center"/>
            <w:hideMark/>
          </w:tcPr>
          <w:p w14:paraId="70ABDE64"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0.2097377</w:t>
            </w:r>
          </w:p>
        </w:tc>
        <w:tc>
          <w:tcPr>
            <w:tcW w:w="638" w:type="pct"/>
            <w:vAlign w:val="center"/>
            <w:hideMark/>
          </w:tcPr>
          <w:p w14:paraId="0C7F938C"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0.287403</w:t>
            </w:r>
          </w:p>
        </w:tc>
        <w:tc>
          <w:tcPr>
            <w:tcW w:w="398" w:type="pct"/>
            <w:vAlign w:val="center"/>
            <w:hideMark/>
          </w:tcPr>
          <w:p w14:paraId="154C2705"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0.73</w:t>
            </w:r>
          </w:p>
        </w:tc>
        <w:tc>
          <w:tcPr>
            <w:tcW w:w="398" w:type="pct"/>
            <w:vAlign w:val="center"/>
            <w:hideMark/>
          </w:tcPr>
          <w:p w14:paraId="2581B765"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0.466</w:t>
            </w:r>
          </w:p>
        </w:tc>
        <w:tc>
          <w:tcPr>
            <w:tcW w:w="592" w:type="pct"/>
            <w:vAlign w:val="center"/>
            <w:hideMark/>
          </w:tcPr>
          <w:p w14:paraId="7C656997"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1.233</w:t>
            </w:r>
          </w:p>
        </w:tc>
        <w:tc>
          <w:tcPr>
            <w:tcW w:w="638" w:type="pct"/>
            <w:vAlign w:val="center"/>
            <w:hideMark/>
          </w:tcPr>
          <w:p w14:paraId="5990C622"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-0.3535619</w:t>
            </w:r>
          </w:p>
        </w:tc>
        <w:tc>
          <w:tcPr>
            <w:tcW w:w="698" w:type="pct"/>
            <w:vAlign w:val="center"/>
            <w:hideMark/>
          </w:tcPr>
          <w:p w14:paraId="220DDEFE"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0.7730372</w:t>
            </w:r>
          </w:p>
        </w:tc>
      </w:tr>
      <w:tr w:rsidR="00E02899" w:rsidRPr="003B5694" w14:paraId="310531D6" w14:textId="77777777" w:rsidTr="006F1A10">
        <w:trPr>
          <w:trHeight w:val="300"/>
        </w:trPr>
        <w:tc>
          <w:tcPr>
            <w:tcW w:w="923" w:type="pct"/>
            <w:vAlign w:val="center"/>
            <w:hideMark/>
          </w:tcPr>
          <w:p w14:paraId="26662219"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Access to Credit</w:t>
            </w:r>
          </w:p>
        </w:tc>
        <w:tc>
          <w:tcPr>
            <w:tcW w:w="715" w:type="pct"/>
            <w:vAlign w:val="center"/>
            <w:hideMark/>
          </w:tcPr>
          <w:p w14:paraId="3736E150"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-0.0429792</w:t>
            </w:r>
          </w:p>
        </w:tc>
        <w:tc>
          <w:tcPr>
            <w:tcW w:w="638" w:type="pct"/>
            <w:vAlign w:val="center"/>
            <w:hideMark/>
          </w:tcPr>
          <w:p w14:paraId="4F6E97CC"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0.3430251</w:t>
            </w:r>
          </w:p>
        </w:tc>
        <w:tc>
          <w:tcPr>
            <w:tcW w:w="398" w:type="pct"/>
            <w:vAlign w:val="center"/>
            <w:hideMark/>
          </w:tcPr>
          <w:p w14:paraId="60C24FDD"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-0.13</w:t>
            </w:r>
          </w:p>
        </w:tc>
        <w:tc>
          <w:tcPr>
            <w:tcW w:w="398" w:type="pct"/>
            <w:vAlign w:val="center"/>
            <w:hideMark/>
          </w:tcPr>
          <w:p w14:paraId="197EBA90"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0.9</w:t>
            </w:r>
          </w:p>
        </w:tc>
        <w:tc>
          <w:tcPr>
            <w:tcW w:w="592" w:type="pct"/>
            <w:vAlign w:val="center"/>
            <w:hideMark/>
          </w:tcPr>
          <w:p w14:paraId="2DC7E1A8"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0.958</w:t>
            </w:r>
          </w:p>
        </w:tc>
        <w:tc>
          <w:tcPr>
            <w:tcW w:w="638" w:type="pct"/>
            <w:vAlign w:val="center"/>
            <w:hideMark/>
          </w:tcPr>
          <w:p w14:paraId="6828BE79"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-0.7152959</w:t>
            </w:r>
          </w:p>
        </w:tc>
        <w:tc>
          <w:tcPr>
            <w:tcW w:w="698" w:type="pct"/>
            <w:vAlign w:val="center"/>
            <w:hideMark/>
          </w:tcPr>
          <w:p w14:paraId="7E201CFE"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0.6293376</w:t>
            </w:r>
          </w:p>
        </w:tc>
      </w:tr>
      <w:tr w:rsidR="00E02899" w:rsidRPr="003B5694" w14:paraId="0CC4C68A" w14:textId="77777777" w:rsidTr="006F1A10">
        <w:trPr>
          <w:trHeight w:val="600"/>
        </w:trPr>
        <w:tc>
          <w:tcPr>
            <w:tcW w:w="923" w:type="pct"/>
            <w:vAlign w:val="center"/>
            <w:hideMark/>
          </w:tcPr>
          <w:p w14:paraId="2F55B86F"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Access to Digital Facilities</w:t>
            </w:r>
          </w:p>
        </w:tc>
        <w:tc>
          <w:tcPr>
            <w:tcW w:w="715" w:type="pct"/>
            <w:vAlign w:val="center"/>
            <w:hideMark/>
          </w:tcPr>
          <w:p w14:paraId="06913E10"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0.0518616</w:t>
            </w:r>
          </w:p>
        </w:tc>
        <w:tc>
          <w:tcPr>
            <w:tcW w:w="638" w:type="pct"/>
            <w:vAlign w:val="center"/>
            <w:hideMark/>
          </w:tcPr>
          <w:p w14:paraId="0D06A716"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0.2992014</w:t>
            </w:r>
          </w:p>
        </w:tc>
        <w:tc>
          <w:tcPr>
            <w:tcW w:w="398" w:type="pct"/>
            <w:vAlign w:val="center"/>
            <w:hideMark/>
          </w:tcPr>
          <w:p w14:paraId="53449E1B"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0.17</w:t>
            </w:r>
          </w:p>
        </w:tc>
        <w:tc>
          <w:tcPr>
            <w:tcW w:w="398" w:type="pct"/>
            <w:vAlign w:val="center"/>
            <w:hideMark/>
          </w:tcPr>
          <w:p w14:paraId="0A72449C"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0.862</w:t>
            </w:r>
          </w:p>
        </w:tc>
        <w:tc>
          <w:tcPr>
            <w:tcW w:w="592" w:type="pct"/>
            <w:vAlign w:val="center"/>
            <w:hideMark/>
          </w:tcPr>
          <w:p w14:paraId="5CBEBD22"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1.053</w:t>
            </w:r>
          </w:p>
        </w:tc>
        <w:tc>
          <w:tcPr>
            <w:tcW w:w="638" w:type="pct"/>
            <w:vAlign w:val="center"/>
            <w:hideMark/>
          </w:tcPr>
          <w:p w14:paraId="1C6A9E7D"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-0.5345623</w:t>
            </w:r>
          </w:p>
        </w:tc>
        <w:tc>
          <w:tcPr>
            <w:tcW w:w="698" w:type="pct"/>
            <w:vAlign w:val="center"/>
            <w:hideMark/>
          </w:tcPr>
          <w:p w14:paraId="414EF2C8"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0.6382855</w:t>
            </w:r>
          </w:p>
        </w:tc>
      </w:tr>
      <w:tr w:rsidR="00E02899" w:rsidRPr="003B5694" w14:paraId="0256D175" w14:textId="77777777" w:rsidTr="006F1A10">
        <w:trPr>
          <w:trHeight w:val="300"/>
        </w:trPr>
        <w:tc>
          <w:tcPr>
            <w:tcW w:w="923" w:type="pct"/>
            <w:tcBorders>
              <w:bottom w:val="single" w:sz="4" w:space="0" w:color="auto"/>
            </w:tcBorders>
            <w:vAlign w:val="center"/>
            <w:hideMark/>
          </w:tcPr>
          <w:p w14:paraId="7401547A"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Multiple Job Holding</w:t>
            </w:r>
          </w:p>
        </w:tc>
        <w:tc>
          <w:tcPr>
            <w:tcW w:w="715" w:type="pct"/>
            <w:tcBorders>
              <w:bottom w:val="single" w:sz="4" w:space="0" w:color="auto"/>
            </w:tcBorders>
            <w:vAlign w:val="center"/>
            <w:hideMark/>
          </w:tcPr>
          <w:p w14:paraId="7212BCEF"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-0.1196673</w:t>
            </w:r>
          </w:p>
        </w:tc>
        <w:tc>
          <w:tcPr>
            <w:tcW w:w="638" w:type="pct"/>
            <w:tcBorders>
              <w:bottom w:val="single" w:sz="4" w:space="0" w:color="auto"/>
            </w:tcBorders>
            <w:vAlign w:val="center"/>
            <w:hideMark/>
          </w:tcPr>
          <w:p w14:paraId="53E71D53"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0.2763713</w:t>
            </w:r>
          </w:p>
        </w:tc>
        <w:tc>
          <w:tcPr>
            <w:tcW w:w="398" w:type="pct"/>
            <w:tcBorders>
              <w:bottom w:val="single" w:sz="4" w:space="0" w:color="auto"/>
            </w:tcBorders>
            <w:vAlign w:val="center"/>
            <w:hideMark/>
          </w:tcPr>
          <w:p w14:paraId="645CE6C5"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-0.43</w:t>
            </w:r>
          </w:p>
        </w:tc>
        <w:tc>
          <w:tcPr>
            <w:tcW w:w="398" w:type="pct"/>
            <w:tcBorders>
              <w:bottom w:val="single" w:sz="4" w:space="0" w:color="auto"/>
            </w:tcBorders>
            <w:vAlign w:val="center"/>
            <w:hideMark/>
          </w:tcPr>
          <w:p w14:paraId="5B0E09CD"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0.665</w:t>
            </w:r>
          </w:p>
        </w:tc>
        <w:tc>
          <w:tcPr>
            <w:tcW w:w="592" w:type="pct"/>
            <w:tcBorders>
              <w:bottom w:val="single" w:sz="4" w:space="0" w:color="auto"/>
            </w:tcBorders>
            <w:vAlign w:val="center"/>
            <w:hideMark/>
          </w:tcPr>
          <w:p w14:paraId="449AEF70"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0.887</w:t>
            </w:r>
          </w:p>
        </w:tc>
        <w:tc>
          <w:tcPr>
            <w:tcW w:w="638" w:type="pct"/>
            <w:tcBorders>
              <w:bottom w:val="single" w:sz="4" w:space="0" w:color="auto"/>
            </w:tcBorders>
            <w:vAlign w:val="center"/>
            <w:hideMark/>
          </w:tcPr>
          <w:p w14:paraId="06E08018"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-0.6613451</w:t>
            </w:r>
          </w:p>
        </w:tc>
        <w:tc>
          <w:tcPr>
            <w:tcW w:w="698" w:type="pct"/>
            <w:tcBorders>
              <w:bottom w:val="single" w:sz="4" w:space="0" w:color="auto"/>
            </w:tcBorders>
            <w:vAlign w:val="center"/>
            <w:hideMark/>
          </w:tcPr>
          <w:p w14:paraId="6D9EDB7A"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0.4220104</w:t>
            </w:r>
          </w:p>
        </w:tc>
      </w:tr>
      <w:tr w:rsidR="00E02899" w:rsidRPr="003B5694" w14:paraId="187080FC" w14:textId="77777777" w:rsidTr="006F1A10">
        <w:trPr>
          <w:trHeight w:val="300"/>
        </w:trPr>
        <w:tc>
          <w:tcPr>
            <w:tcW w:w="923" w:type="pct"/>
            <w:tcBorders>
              <w:top w:val="single" w:sz="4" w:space="0" w:color="auto"/>
              <w:bottom w:val="single" w:sz="4" w:space="0" w:color="auto"/>
            </w:tcBorders>
            <w:vAlign w:val="center"/>
            <w:hideMark/>
          </w:tcPr>
          <w:p w14:paraId="57AE2BFA"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Constant</w:t>
            </w:r>
          </w:p>
        </w:tc>
        <w:tc>
          <w:tcPr>
            <w:tcW w:w="715" w:type="pct"/>
            <w:tcBorders>
              <w:top w:val="single" w:sz="4" w:space="0" w:color="auto"/>
              <w:bottom w:val="single" w:sz="4" w:space="0" w:color="auto"/>
            </w:tcBorders>
            <w:vAlign w:val="center"/>
            <w:hideMark/>
          </w:tcPr>
          <w:p w14:paraId="4FD9F1AF"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-0.2437108</w:t>
            </w:r>
          </w:p>
        </w:tc>
        <w:tc>
          <w:tcPr>
            <w:tcW w:w="638" w:type="pct"/>
            <w:tcBorders>
              <w:top w:val="single" w:sz="4" w:space="0" w:color="auto"/>
              <w:bottom w:val="single" w:sz="4" w:space="0" w:color="auto"/>
            </w:tcBorders>
            <w:vAlign w:val="center"/>
            <w:hideMark/>
          </w:tcPr>
          <w:p w14:paraId="7719AB93"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0.6304542</w:t>
            </w:r>
          </w:p>
        </w:tc>
        <w:tc>
          <w:tcPr>
            <w:tcW w:w="398" w:type="pct"/>
            <w:tcBorders>
              <w:top w:val="single" w:sz="4" w:space="0" w:color="auto"/>
              <w:bottom w:val="single" w:sz="4" w:space="0" w:color="auto"/>
            </w:tcBorders>
            <w:vAlign w:val="center"/>
            <w:hideMark/>
          </w:tcPr>
          <w:p w14:paraId="2ED820E9"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-0.39</w:t>
            </w:r>
          </w:p>
        </w:tc>
        <w:tc>
          <w:tcPr>
            <w:tcW w:w="398" w:type="pct"/>
            <w:tcBorders>
              <w:top w:val="single" w:sz="4" w:space="0" w:color="auto"/>
              <w:bottom w:val="single" w:sz="4" w:space="0" w:color="auto"/>
            </w:tcBorders>
            <w:vAlign w:val="center"/>
            <w:hideMark/>
          </w:tcPr>
          <w:p w14:paraId="347363E3"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0.699</w:t>
            </w:r>
          </w:p>
        </w:tc>
        <w:tc>
          <w:tcPr>
            <w:tcW w:w="592" w:type="pct"/>
            <w:tcBorders>
              <w:top w:val="single" w:sz="4" w:space="0" w:color="auto"/>
              <w:bottom w:val="single" w:sz="4" w:space="0" w:color="auto"/>
            </w:tcBorders>
            <w:vAlign w:val="center"/>
            <w:hideMark/>
          </w:tcPr>
          <w:p w14:paraId="49CBBBC1"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0.784</w:t>
            </w:r>
          </w:p>
        </w:tc>
        <w:tc>
          <w:tcPr>
            <w:tcW w:w="638" w:type="pct"/>
            <w:tcBorders>
              <w:top w:val="single" w:sz="4" w:space="0" w:color="auto"/>
              <w:bottom w:val="single" w:sz="4" w:space="0" w:color="auto"/>
            </w:tcBorders>
            <w:vAlign w:val="center"/>
            <w:hideMark/>
          </w:tcPr>
          <w:p w14:paraId="27EEAF1C"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-1.479378</w:t>
            </w:r>
          </w:p>
        </w:tc>
        <w:tc>
          <w:tcPr>
            <w:tcW w:w="698" w:type="pct"/>
            <w:tcBorders>
              <w:top w:val="single" w:sz="4" w:space="0" w:color="auto"/>
              <w:bottom w:val="single" w:sz="4" w:space="0" w:color="auto"/>
            </w:tcBorders>
            <w:vAlign w:val="center"/>
            <w:hideMark/>
          </w:tcPr>
          <w:p w14:paraId="0AC09067"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0.9919566</w:t>
            </w:r>
          </w:p>
        </w:tc>
      </w:tr>
      <w:tr w:rsidR="00E02899" w:rsidRPr="003B5694" w14:paraId="44217A09" w14:textId="77777777" w:rsidTr="006F1A10">
        <w:trPr>
          <w:trHeight w:val="300"/>
        </w:trPr>
        <w:tc>
          <w:tcPr>
            <w:tcW w:w="923" w:type="pct"/>
            <w:tcBorders>
              <w:top w:val="single" w:sz="4" w:space="0" w:color="auto"/>
              <w:bottom w:val="single" w:sz="4" w:space="0" w:color="auto"/>
            </w:tcBorders>
            <w:vAlign w:val="center"/>
          </w:tcPr>
          <w:p w14:paraId="2F10F48D"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Observation</w:t>
            </w:r>
          </w:p>
        </w:tc>
        <w:tc>
          <w:tcPr>
            <w:tcW w:w="715" w:type="pct"/>
            <w:tcBorders>
              <w:top w:val="single" w:sz="4" w:space="0" w:color="auto"/>
              <w:bottom w:val="single" w:sz="4" w:space="0" w:color="auto"/>
            </w:tcBorders>
            <w:vAlign w:val="center"/>
          </w:tcPr>
          <w:p w14:paraId="3882971F"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300</w:t>
            </w:r>
          </w:p>
        </w:tc>
        <w:tc>
          <w:tcPr>
            <w:tcW w:w="638" w:type="pct"/>
            <w:tcBorders>
              <w:top w:val="single" w:sz="4" w:space="0" w:color="auto"/>
              <w:bottom w:val="single" w:sz="4" w:space="0" w:color="auto"/>
            </w:tcBorders>
            <w:vAlign w:val="center"/>
          </w:tcPr>
          <w:p w14:paraId="04EC4832"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p>
        </w:tc>
        <w:tc>
          <w:tcPr>
            <w:tcW w:w="398" w:type="pct"/>
            <w:tcBorders>
              <w:top w:val="single" w:sz="4" w:space="0" w:color="auto"/>
              <w:bottom w:val="single" w:sz="4" w:space="0" w:color="auto"/>
            </w:tcBorders>
            <w:vAlign w:val="center"/>
          </w:tcPr>
          <w:p w14:paraId="779A6806"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p>
        </w:tc>
        <w:tc>
          <w:tcPr>
            <w:tcW w:w="398" w:type="pct"/>
            <w:tcBorders>
              <w:top w:val="single" w:sz="4" w:space="0" w:color="auto"/>
              <w:bottom w:val="single" w:sz="4" w:space="0" w:color="auto"/>
            </w:tcBorders>
            <w:vAlign w:val="center"/>
          </w:tcPr>
          <w:p w14:paraId="7995A16B"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p>
        </w:tc>
        <w:tc>
          <w:tcPr>
            <w:tcW w:w="592" w:type="pct"/>
            <w:tcBorders>
              <w:top w:val="single" w:sz="4" w:space="0" w:color="auto"/>
              <w:bottom w:val="single" w:sz="4" w:space="0" w:color="auto"/>
            </w:tcBorders>
            <w:vAlign w:val="center"/>
          </w:tcPr>
          <w:p w14:paraId="7C5E6DCB"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p>
        </w:tc>
        <w:tc>
          <w:tcPr>
            <w:tcW w:w="638" w:type="pct"/>
            <w:tcBorders>
              <w:top w:val="single" w:sz="4" w:space="0" w:color="auto"/>
              <w:bottom w:val="single" w:sz="4" w:space="0" w:color="auto"/>
            </w:tcBorders>
            <w:vAlign w:val="center"/>
          </w:tcPr>
          <w:p w14:paraId="4DA7028D"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p>
        </w:tc>
        <w:tc>
          <w:tcPr>
            <w:tcW w:w="698" w:type="pct"/>
            <w:tcBorders>
              <w:top w:val="single" w:sz="4" w:space="0" w:color="auto"/>
              <w:bottom w:val="single" w:sz="4" w:space="0" w:color="auto"/>
            </w:tcBorders>
            <w:vAlign w:val="center"/>
          </w:tcPr>
          <w:p w14:paraId="1B19B42A"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p>
        </w:tc>
      </w:tr>
    </w:tbl>
    <w:p w14:paraId="53538FBF" w14:textId="77777777" w:rsidR="00E02899" w:rsidRPr="003B5694" w:rsidRDefault="00E02899" w:rsidP="00E02899">
      <w:pPr>
        <w:spacing w:before="240" w:line="360" w:lineRule="auto"/>
        <w:jc w:val="both"/>
        <w:rPr>
          <w:rFonts w:ascii="Arial" w:hAnsi="Arial" w:cs="Arial"/>
          <w:kern w:val="0"/>
          <w:sz w:val="20"/>
          <w:szCs w:val="20"/>
        </w:rPr>
      </w:pPr>
      <w:r w:rsidRPr="003B5694">
        <w:rPr>
          <w:rFonts w:ascii="Arial" w:hAnsi="Arial" w:cs="Arial"/>
          <w:kern w:val="0"/>
          <w:sz w:val="20"/>
          <w:szCs w:val="20"/>
        </w:rPr>
        <w:t>Source: Field Survey</w:t>
      </w:r>
    </w:p>
    <w:p w14:paraId="47BE827B" w14:textId="77777777" w:rsidR="00E02899" w:rsidRPr="003B5694" w:rsidRDefault="00E02899" w:rsidP="00E02899">
      <w:pPr>
        <w:spacing w:before="240" w:line="360" w:lineRule="auto"/>
        <w:jc w:val="both"/>
        <w:rPr>
          <w:rFonts w:ascii="Arial" w:hAnsi="Arial" w:cs="Arial"/>
          <w:kern w:val="0"/>
          <w:sz w:val="20"/>
          <w:szCs w:val="20"/>
        </w:rPr>
      </w:pPr>
      <w:r w:rsidRPr="003B5694">
        <w:rPr>
          <w:rFonts w:ascii="Arial" w:hAnsi="Arial" w:cs="Arial"/>
          <w:kern w:val="0"/>
          <w:sz w:val="20"/>
          <w:szCs w:val="20"/>
        </w:rPr>
        <w:t>All other variables—including gender of household head (β = 0.326), marital status (β = −0.149), presence of children (β = 0.070), household size (β = −0.149), age category (β = 0.049), caste (β = 0.189), religion (β = 0.167), educational attainment (β = 0.239), place of residence (β = −0.014), type of ration card (β = −0.167), asset ownership (β = 0.210), access to credit (β = −0.043), digital access (β = 0.052), and multiple job holding (β = −0.120)—were statistically insignificant (p &gt; 0.05). Although several coefficients exhibit directional variation, their lack of statistical significance indicates that these socio-demographic and institutional characteristics do not systematically differentiate access within the sample. Overall, the findings suggest that economic capacity, rather than social identity or household attributes, plays a more decisive role in shaping access to social security among women gig workers in the Malabar region. However, the weak model fit points to the possible influence of unobserved structural factors—such as limited institutional awareness, administrative complexity, platform-mediated informality, and gaps in policy implementation—that may also affect access outcomes but are not captured in the present specification.</w:t>
      </w:r>
    </w:p>
    <w:p w14:paraId="72A07854" w14:textId="77777777" w:rsidR="00E02899" w:rsidRPr="00E02899" w:rsidRDefault="00E02899" w:rsidP="00E02899">
      <w:pPr>
        <w:spacing w:before="240" w:line="360" w:lineRule="auto"/>
        <w:jc w:val="both"/>
        <w:rPr>
          <w:rFonts w:ascii="Arial" w:hAnsi="Arial" w:cs="Arial"/>
          <w:kern w:val="0"/>
        </w:rPr>
      </w:pPr>
      <w:r w:rsidRPr="00E02899">
        <w:rPr>
          <w:rFonts w:ascii="Arial" w:eastAsia="Times New Roman" w:hAnsi="Arial" w:cs="Arial"/>
          <w:b/>
          <w:bCs/>
          <w:kern w:val="0"/>
          <w:lang w:eastAsia="en-IN"/>
          <w14:ligatures w14:val="none"/>
        </w:rPr>
        <w:t>5.2 Association Between Monthly Family Income and Social Security Access: Pearson Chi-Square Analysis</w:t>
      </w:r>
    </w:p>
    <w:p w14:paraId="113531F1" w14:textId="77777777" w:rsidR="00E02899" w:rsidRPr="003B5694" w:rsidRDefault="00E02899" w:rsidP="00E02899">
      <w:pPr>
        <w:spacing w:after="0" w:line="360" w:lineRule="auto"/>
        <w:jc w:val="both"/>
        <w:rPr>
          <w:rFonts w:ascii="Arial" w:eastAsia="Times New Roman" w:hAnsi="Arial" w:cs="Arial"/>
          <w:kern w:val="0"/>
          <w:sz w:val="20"/>
          <w:szCs w:val="20"/>
          <w:lang w:eastAsia="en-IN"/>
          <w14:ligatures w14:val="none"/>
        </w:rPr>
      </w:pPr>
      <w:r w:rsidRPr="003B5694">
        <w:rPr>
          <w:rFonts w:ascii="Arial" w:eastAsia="Times New Roman" w:hAnsi="Arial" w:cs="Arial"/>
          <w:kern w:val="0"/>
          <w:sz w:val="20"/>
          <w:szCs w:val="20"/>
          <w:lang w:eastAsia="en-IN"/>
          <w14:ligatures w14:val="none"/>
        </w:rPr>
        <w:t>To examine whether monthly family income influences access to social security benefits, a Pearson Chi-square test of independence was conducted. Let:</w:t>
      </w:r>
    </w:p>
    <w:p w14:paraId="40C9B51B" w14:textId="77777777" w:rsidR="00E02899" w:rsidRPr="003B5694" w:rsidRDefault="00E02899" w:rsidP="00E02899">
      <w:pPr>
        <w:numPr>
          <w:ilvl w:val="0"/>
          <w:numId w:val="4"/>
        </w:numPr>
        <w:spacing w:before="100" w:beforeAutospacing="1" w:after="100" w:afterAutospacing="1" w:line="360" w:lineRule="auto"/>
        <w:jc w:val="both"/>
        <w:rPr>
          <w:rFonts w:ascii="Arial" w:eastAsia="Times New Roman" w:hAnsi="Arial" w:cs="Arial"/>
          <w:kern w:val="0"/>
          <w:sz w:val="20"/>
          <w:szCs w:val="20"/>
          <w:lang w:eastAsia="en-IN"/>
          <w14:ligatures w14:val="none"/>
        </w:rPr>
      </w:pPr>
      <m:oMath>
        <m:r>
          <w:rPr>
            <w:rFonts w:ascii="Cambria Math" w:eastAsia="Times New Roman" w:hAnsi="Cambria Math" w:cs="Arial"/>
            <w:kern w:val="0"/>
            <w:sz w:val="20"/>
            <w:szCs w:val="20"/>
            <w:lang w:eastAsia="en-IN"/>
            <w14:ligatures w14:val="none"/>
          </w:rPr>
          <m:t>X</m:t>
        </m:r>
      </m:oMath>
      <w:r w:rsidRPr="003B5694">
        <w:rPr>
          <w:rFonts w:ascii="Arial" w:eastAsia="Times New Roman" w:hAnsi="Arial" w:cs="Arial"/>
          <w:kern w:val="0"/>
          <w:sz w:val="20"/>
          <w:szCs w:val="20"/>
          <w:lang w:eastAsia="en-IN"/>
          <w14:ligatures w14:val="none"/>
        </w:rPr>
        <w:t>= Monthly Family Income (1 = Less than ₹25,000; 0 = ₹25,000 and above)</w:t>
      </w:r>
    </w:p>
    <w:p w14:paraId="15359C63" w14:textId="77777777" w:rsidR="00E02899" w:rsidRPr="003B5694" w:rsidRDefault="00E02899" w:rsidP="00E02899">
      <w:pPr>
        <w:numPr>
          <w:ilvl w:val="0"/>
          <w:numId w:val="4"/>
        </w:numPr>
        <w:spacing w:before="100" w:beforeAutospacing="1" w:after="100" w:afterAutospacing="1" w:line="360" w:lineRule="auto"/>
        <w:jc w:val="both"/>
        <w:rPr>
          <w:rFonts w:ascii="Arial" w:eastAsia="Times New Roman" w:hAnsi="Arial" w:cs="Arial"/>
          <w:kern w:val="0"/>
          <w:sz w:val="20"/>
          <w:szCs w:val="20"/>
          <w:lang w:eastAsia="en-IN"/>
          <w14:ligatures w14:val="none"/>
        </w:rPr>
      </w:pPr>
      <m:oMath>
        <m:r>
          <w:rPr>
            <w:rFonts w:ascii="Cambria Math" w:eastAsia="Times New Roman" w:hAnsi="Cambria Math" w:cs="Arial"/>
            <w:kern w:val="0"/>
            <w:sz w:val="20"/>
            <w:szCs w:val="20"/>
            <w:lang w:eastAsia="en-IN"/>
            <w14:ligatures w14:val="none"/>
          </w:rPr>
          <m:t>Y</m:t>
        </m:r>
      </m:oMath>
      <w:r w:rsidRPr="003B5694">
        <w:rPr>
          <w:rFonts w:ascii="Arial" w:eastAsia="Times New Roman" w:hAnsi="Arial" w:cs="Arial"/>
          <w:kern w:val="0"/>
          <w:sz w:val="20"/>
          <w:szCs w:val="20"/>
          <w:lang w:eastAsia="en-IN"/>
          <w14:ligatures w14:val="none"/>
        </w:rPr>
        <w:t>= Access to Social Security Benefits (1 = Yes; 0 = No)</w:t>
      </w:r>
    </w:p>
    <w:p w14:paraId="44BD31B2" w14:textId="77777777" w:rsidR="00E02899" w:rsidRPr="003B5694" w:rsidRDefault="00E02899" w:rsidP="00E02899">
      <w:pPr>
        <w:spacing w:before="100" w:beforeAutospacing="1" w:after="100" w:afterAutospacing="1" w:line="360" w:lineRule="auto"/>
        <w:jc w:val="both"/>
        <w:rPr>
          <w:rFonts w:ascii="Arial" w:eastAsia="Times New Roman" w:hAnsi="Arial" w:cs="Arial"/>
          <w:b/>
          <w:bCs/>
          <w:kern w:val="0"/>
          <w:sz w:val="20"/>
          <w:szCs w:val="20"/>
          <w:lang w:eastAsia="en-IN"/>
          <w14:ligatures w14:val="none"/>
        </w:rPr>
      </w:pPr>
      <w:r w:rsidRPr="003B5694">
        <w:rPr>
          <w:rFonts w:ascii="Arial" w:eastAsia="Times New Roman" w:hAnsi="Arial" w:cs="Arial"/>
          <w:b/>
          <w:bCs/>
          <w:kern w:val="0"/>
          <w:sz w:val="20"/>
          <w:szCs w:val="20"/>
          <w:lang w:eastAsia="en-IN"/>
          <w14:ligatures w14:val="none"/>
        </w:rPr>
        <w:lastRenderedPageBreak/>
        <w:t>Hypotheses</w:t>
      </w:r>
    </w:p>
    <w:p w14:paraId="29284831" w14:textId="77777777" w:rsidR="00E02899" w:rsidRPr="003B5694" w:rsidRDefault="00FC21C1" w:rsidP="00E02899">
      <w:pPr>
        <w:spacing w:before="100" w:beforeAutospacing="1" w:after="100" w:afterAutospacing="1" w:line="360" w:lineRule="auto"/>
        <w:jc w:val="both"/>
        <w:rPr>
          <w:rFonts w:ascii="Arial" w:eastAsia="Times New Roman" w:hAnsi="Arial" w:cs="Arial"/>
          <w:b/>
          <w:bCs/>
          <w:kern w:val="0"/>
          <w:sz w:val="20"/>
          <w:szCs w:val="20"/>
          <w:lang w:eastAsia="en-IN"/>
          <w14:ligatures w14:val="none"/>
        </w:rPr>
      </w:pPr>
      <m:oMath>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H</m:t>
            </m:r>
          </m:e>
          <m:sub>
            <m:r>
              <w:rPr>
                <w:rFonts w:ascii="Cambria Math" w:eastAsia="Times New Roman" w:hAnsi="Cambria Math" w:cs="Arial"/>
                <w:kern w:val="0"/>
                <w:sz w:val="20"/>
                <w:szCs w:val="20"/>
                <w:lang w:eastAsia="en-IN"/>
                <w14:ligatures w14:val="none"/>
              </w:rPr>
              <m:t>0</m:t>
            </m:r>
          </m:sub>
        </m:sSub>
        <m:r>
          <w:rPr>
            <w:rFonts w:ascii="Cambria Math" w:eastAsia="Times New Roman" w:hAnsi="Cambria Math" w:cs="Arial"/>
            <w:kern w:val="0"/>
            <w:sz w:val="20"/>
            <w:szCs w:val="20"/>
            <w:lang w:eastAsia="en-IN"/>
            <w14:ligatures w14:val="none"/>
          </w:rPr>
          <m:t>:</m:t>
        </m:r>
        <m:r>
          <w:rPr>
            <w:rFonts w:ascii="Cambria Math" w:eastAsia="Times New Roman" w:hAnsi="Cambria Math" w:cs="Arial"/>
            <w:kern w:val="0"/>
            <w:sz w:val="20"/>
            <w:szCs w:val="20"/>
            <w:lang w:eastAsia="en-IN"/>
            <w14:ligatures w14:val="none"/>
          </w:rPr>
          <m:t>X</m:t>
        </m:r>
        <m:r>
          <w:rPr>
            <w:rFonts w:ascii="Cambria Math" w:eastAsia="Times New Roman" w:hAnsi="Cambria Math" w:cs="Arial"/>
            <w:kern w:val="0"/>
            <w:sz w:val="20"/>
            <w:szCs w:val="20"/>
            <w:lang w:eastAsia="en-IN"/>
            <w14:ligatures w14:val="none"/>
          </w:rPr>
          <m:t>=</m:t>
        </m:r>
        <m:r>
          <w:rPr>
            <w:rFonts w:ascii="Cambria Math" w:eastAsia="Times New Roman" w:hAnsi="Cambria Math" w:cs="Arial"/>
            <w:kern w:val="0"/>
            <w:sz w:val="20"/>
            <w:szCs w:val="20"/>
            <w:lang w:eastAsia="en-IN"/>
            <w14:ligatures w14:val="none"/>
          </w:rPr>
          <m:t>Y</m:t>
        </m:r>
      </m:oMath>
      <w:r w:rsidR="00E02899" w:rsidRPr="003B5694">
        <w:rPr>
          <w:rFonts w:ascii="Arial" w:eastAsia="Times New Roman" w:hAnsi="Arial" w:cs="Arial"/>
          <w:b/>
          <w:bCs/>
          <w:kern w:val="0"/>
          <w:sz w:val="20"/>
          <w:szCs w:val="20"/>
          <w:lang w:eastAsia="en-IN"/>
          <w14:ligatures w14:val="none"/>
        </w:rPr>
        <w:t xml:space="preserve"> </w:t>
      </w:r>
      <w:r w:rsidR="00E02899" w:rsidRPr="003B5694">
        <w:rPr>
          <w:rFonts w:ascii="Arial" w:eastAsia="Times New Roman" w:hAnsi="Arial" w:cs="Arial"/>
          <w:kern w:val="0"/>
          <w:sz w:val="20"/>
          <w:szCs w:val="20"/>
          <w:lang w:eastAsia="en-IN"/>
          <w14:ligatures w14:val="none"/>
        </w:rPr>
        <w:t>(Monthly family income and access to social security benefits are independent.)</w:t>
      </w:r>
    </w:p>
    <w:p w14:paraId="09664111" w14:textId="77777777" w:rsidR="00E02899" w:rsidRPr="003B5694" w:rsidRDefault="00FC21C1" w:rsidP="00E02899">
      <w:pPr>
        <w:spacing w:before="100" w:beforeAutospacing="1" w:after="100" w:afterAutospacing="1" w:line="360" w:lineRule="auto"/>
        <w:jc w:val="both"/>
        <w:rPr>
          <w:rFonts w:ascii="Arial" w:eastAsia="Times New Roman" w:hAnsi="Arial" w:cs="Arial"/>
          <w:b/>
          <w:bCs/>
          <w:kern w:val="0"/>
          <w:sz w:val="20"/>
          <w:szCs w:val="20"/>
          <w:lang w:eastAsia="en-IN"/>
          <w14:ligatures w14:val="none"/>
        </w:rPr>
      </w:pPr>
      <m:oMath>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H</m:t>
            </m:r>
          </m:e>
          <m:sub>
            <m:r>
              <w:rPr>
                <w:rFonts w:ascii="Cambria Math" w:eastAsia="Times New Roman" w:hAnsi="Cambria Math" w:cs="Arial"/>
                <w:kern w:val="0"/>
                <w:sz w:val="20"/>
                <w:szCs w:val="20"/>
                <w:lang w:eastAsia="en-IN"/>
                <w14:ligatures w14:val="none"/>
              </w:rPr>
              <m:t>1</m:t>
            </m:r>
          </m:sub>
        </m:sSub>
        <m:r>
          <w:rPr>
            <w:rFonts w:ascii="Cambria Math" w:eastAsia="Times New Roman" w:hAnsi="Cambria Math" w:cs="Arial"/>
            <w:kern w:val="0"/>
            <w:sz w:val="20"/>
            <w:szCs w:val="20"/>
            <w:lang w:eastAsia="en-IN"/>
            <w14:ligatures w14:val="none"/>
          </w:rPr>
          <m:t>:</m:t>
        </m:r>
        <m:r>
          <w:rPr>
            <w:rFonts w:ascii="Cambria Math" w:eastAsia="Times New Roman" w:hAnsi="Cambria Math" w:cs="Arial"/>
            <w:kern w:val="0"/>
            <w:sz w:val="20"/>
            <w:szCs w:val="20"/>
            <w:lang w:eastAsia="en-IN"/>
            <w14:ligatures w14:val="none"/>
          </w:rPr>
          <m:t>X</m:t>
        </m:r>
        <m:r>
          <w:rPr>
            <w:rFonts w:ascii="Cambria Math" w:eastAsia="Times New Roman" w:hAnsi="Cambria Math" w:cs="Arial"/>
            <w:kern w:val="0"/>
            <w:sz w:val="20"/>
            <w:szCs w:val="20"/>
            <w:lang w:eastAsia="en-IN"/>
            <w14:ligatures w14:val="none"/>
          </w:rPr>
          <m:t>≠</m:t>
        </m:r>
        <m:r>
          <w:rPr>
            <w:rFonts w:ascii="Cambria Math" w:eastAsia="Times New Roman" w:hAnsi="Cambria Math" w:cs="Arial"/>
            <w:kern w:val="0"/>
            <w:sz w:val="20"/>
            <w:szCs w:val="20"/>
            <w:lang w:eastAsia="en-IN"/>
            <w14:ligatures w14:val="none"/>
          </w:rPr>
          <m:t>Y</m:t>
        </m:r>
        <m:r>
          <w:rPr>
            <w:rFonts w:ascii="Cambria Math" w:eastAsia="Times New Roman" w:hAnsi="Cambria Math" w:cs="Arial"/>
            <w:kern w:val="0"/>
            <w:sz w:val="20"/>
            <w:szCs w:val="20"/>
            <w:lang w:eastAsia="en-IN"/>
            <w14:ligatures w14:val="none"/>
          </w:rPr>
          <m:t xml:space="preserve"> </m:t>
        </m:r>
      </m:oMath>
      <w:r w:rsidR="00E02899" w:rsidRPr="003B5694">
        <w:rPr>
          <w:rFonts w:ascii="Arial" w:eastAsia="Times New Roman" w:hAnsi="Arial" w:cs="Arial"/>
          <w:kern w:val="0"/>
          <w:sz w:val="20"/>
          <w:szCs w:val="20"/>
          <w:lang w:eastAsia="en-IN"/>
          <w14:ligatures w14:val="none"/>
        </w:rPr>
        <w:t>(There is an association between monthly family income and access to social security benefits.)</w:t>
      </w:r>
    </w:p>
    <w:p w14:paraId="32DAE4AC" w14:textId="77777777" w:rsidR="00E02899" w:rsidRPr="003B5694" w:rsidRDefault="00E02899" w:rsidP="00E02899">
      <w:pPr>
        <w:spacing w:before="100" w:beforeAutospacing="1" w:after="100" w:afterAutospacing="1" w:line="360" w:lineRule="auto"/>
        <w:jc w:val="center"/>
        <w:rPr>
          <w:rFonts w:ascii="Arial" w:eastAsia="Times New Roman" w:hAnsi="Arial" w:cs="Arial"/>
          <w:b/>
          <w:bCs/>
          <w:kern w:val="0"/>
          <w:sz w:val="20"/>
          <w:szCs w:val="20"/>
          <w:lang w:eastAsia="en-IN"/>
          <w14:ligatures w14:val="none"/>
        </w:rPr>
      </w:pPr>
      <w:r w:rsidRPr="003B5694">
        <w:rPr>
          <w:rFonts w:ascii="Arial" w:hAnsi="Arial" w:cs="Arial"/>
          <w:b/>
          <w:bCs/>
          <w:kern w:val="0"/>
          <w:sz w:val="20"/>
          <w:szCs w:val="20"/>
        </w:rPr>
        <w:t>Table 3: Contingency Table for the Pearson Chi-Square Analysis</w:t>
      </w:r>
    </w:p>
    <w:tbl>
      <w:tblPr>
        <w:tblW w:w="5000" w:type="pct"/>
        <w:tblBorders>
          <w:top w:val="single" w:sz="4" w:space="0" w:color="auto"/>
          <w:bottom w:val="single" w:sz="4" w:space="0" w:color="auto"/>
        </w:tblBorders>
        <w:tblLook w:val="04A0" w:firstRow="1" w:lastRow="0" w:firstColumn="1" w:lastColumn="0" w:noHBand="0" w:noVBand="1"/>
      </w:tblPr>
      <w:tblGrid>
        <w:gridCol w:w="2515"/>
        <w:gridCol w:w="2341"/>
        <w:gridCol w:w="2341"/>
        <w:gridCol w:w="1829"/>
      </w:tblGrid>
      <w:tr w:rsidR="00E02899" w:rsidRPr="003B5694" w14:paraId="4F44D699" w14:textId="77777777" w:rsidTr="006F1A10">
        <w:trPr>
          <w:trHeight w:val="945"/>
        </w:trPr>
        <w:tc>
          <w:tcPr>
            <w:tcW w:w="1393" w:type="pct"/>
            <w:tcBorders>
              <w:top w:val="single" w:sz="4" w:space="0" w:color="auto"/>
              <w:bottom w:val="single" w:sz="4" w:space="0" w:color="auto"/>
            </w:tcBorders>
            <w:vAlign w:val="center"/>
            <w:hideMark/>
          </w:tcPr>
          <w:p w14:paraId="12835681" w14:textId="77777777" w:rsidR="00E02899" w:rsidRPr="003B5694"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3B5694">
              <w:rPr>
                <w:rFonts w:ascii="Arial" w:eastAsia="Times New Roman" w:hAnsi="Arial" w:cs="Arial"/>
                <w:b/>
                <w:bCs/>
                <w:color w:val="000000"/>
                <w:kern w:val="0"/>
                <w:sz w:val="20"/>
                <w:szCs w:val="20"/>
                <w:lang w:eastAsia="en-IN"/>
                <w14:ligatures w14:val="none"/>
              </w:rPr>
              <w:t>Access to Social Security</w:t>
            </w:r>
          </w:p>
        </w:tc>
        <w:tc>
          <w:tcPr>
            <w:tcW w:w="1297" w:type="pct"/>
            <w:tcBorders>
              <w:top w:val="single" w:sz="4" w:space="0" w:color="auto"/>
              <w:bottom w:val="single" w:sz="4" w:space="0" w:color="auto"/>
            </w:tcBorders>
            <w:vAlign w:val="center"/>
            <w:hideMark/>
          </w:tcPr>
          <w:p w14:paraId="539A594C" w14:textId="77777777" w:rsidR="00E02899" w:rsidRPr="003B5694"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3B5694">
              <w:rPr>
                <w:rFonts w:ascii="Arial" w:eastAsia="Times New Roman" w:hAnsi="Arial" w:cs="Arial"/>
                <w:b/>
                <w:bCs/>
                <w:color w:val="000000"/>
                <w:kern w:val="0"/>
                <w:sz w:val="20"/>
                <w:szCs w:val="20"/>
                <w:lang w:eastAsia="en-IN"/>
                <w14:ligatures w14:val="none"/>
              </w:rPr>
              <w:t>Income &lt; ₹25,000</w:t>
            </w:r>
          </w:p>
        </w:tc>
        <w:tc>
          <w:tcPr>
            <w:tcW w:w="1297" w:type="pct"/>
            <w:tcBorders>
              <w:top w:val="single" w:sz="4" w:space="0" w:color="auto"/>
              <w:bottom w:val="single" w:sz="4" w:space="0" w:color="auto"/>
            </w:tcBorders>
            <w:vAlign w:val="center"/>
            <w:hideMark/>
          </w:tcPr>
          <w:p w14:paraId="6360888E" w14:textId="77777777" w:rsidR="00E02899" w:rsidRPr="003B5694"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3B5694">
              <w:rPr>
                <w:rFonts w:ascii="Arial" w:eastAsia="Times New Roman" w:hAnsi="Arial" w:cs="Arial"/>
                <w:b/>
                <w:bCs/>
                <w:color w:val="000000"/>
                <w:kern w:val="0"/>
                <w:sz w:val="20"/>
                <w:szCs w:val="20"/>
                <w:lang w:eastAsia="en-IN"/>
                <w14:ligatures w14:val="none"/>
              </w:rPr>
              <w:t>Income ≥ ₹25,000</w:t>
            </w:r>
          </w:p>
        </w:tc>
        <w:tc>
          <w:tcPr>
            <w:tcW w:w="1013" w:type="pct"/>
            <w:tcBorders>
              <w:top w:val="single" w:sz="4" w:space="0" w:color="auto"/>
              <w:bottom w:val="single" w:sz="4" w:space="0" w:color="auto"/>
            </w:tcBorders>
            <w:vAlign w:val="center"/>
            <w:hideMark/>
          </w:tcPr>
          <w:p w14:paraId="0963A886" w14:textId="77777777" w:rsidR="00E02899" w:rsidRPr="003B5694" w:rsidRDefault="00E02899" w:rsidP="006F1A10">
            <w:pPr>
              <w:spacing w:after="0" w:line="360" w:lineRule="auto"/>
              <w:jc w:val="center"/>
              <w:rPr>
                <w:rFonts w:ascii="Arial" w:eastAsia="Times New Roman" w:hAnsi="Arial" w:cs="Arial"/>
                <w:b/>
                <w:bCs/>
                <w:color w:val="000000"/>
                <w:kern w:val="0"/>
                <w:sz w:val="20"/>
                <w:szCs w:val="20"/>
                <w:lang w:eastAsia="en-IN"/>
                <w14:ligatures w14:val="none"/>
              </w:rPr>
            </w:pPr>
            <w:r w:rsidRPr="003B5694">
              <w:rPr>
                <w:rFonts w:ascii="Arial" w:eastAsia="Times New Roman" w:hAnsi="Arial" w:cs="Arial"/>
                <w:b/>
                <w:bCs/>
                <w:color w:val="000000"/>
                <w:kern w:val="0"/>
                <w:sz w:val="20"/>
                <w:szCs w:val="20"/>
                <w:lang w:eastAsia="en-IN"/>
                <w14:ligatures w14:val="none"/>
              </w:rPr>
              <w:t>Total</w:t>
            </w:r>
          </w:p>
        </w:tc>
      </w:tr>
      <w:tr w:rsidR="00E02899" w:rsidRPr="003B5694" w14:paraId="3E789AFE" w14:textId="77777777" w:rsidTr="006F1A10">
        <w:trPr>
          <w:trHeight w:val="315"/>
        </w:trPr>
        <w:tc>
          <w:tcPr>
            <w:tcW w:w="1393" w:type="pct"/>
            <w:tcBorders>
              <w:top w:val="single" w:sz="4" w:space="0" w:color="auto"/>
            </w:tcBorders>
            <w:vAlign w:val="center"/>
            <w:hideMark/>
          </w:tcPr>
          <w:p w14:paraId="1EE99515"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No (0)</w:t>
            </w:r>
          </w:p>
        </w:tc>
        <w:tc>
          <w:tcPr>
            <w:tcW w:w="1297" w:type="pct"/>
            <w:tcBorders>
              <w:top w:val="single" w:sz="4" w:space="0" w:color="auto"/>
            </w:tcBorders>
            <w:vAlign w:val="center"/>
            <w:hideMark/>
          </w:tcPr>
          <w:p w14:paraId="020916E2"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66</w:t>
            </w:r>
          </w:p>
        </w:tc>
        <w:tc>
          <w:tcPr>
            <w:tcW w:w="1297" w:type="pct"/>
            <w:tcBorders>
              <w:top w:val="single" w:sz="4" w:space="0" w:color="auto"/>
            </w:tcBorders>
            <w:vAlign w:val="center"/>
            <w:hideMark/>
          </w:tcPr>
          <w:p w14:paraId="31BF7DD2"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50</w:t>
            </w:r>
          </w:p>
        </w:tc>
        <w:tc>
          <w:tcPr>
            <w:tcW w:w="1013" w:type="pct"/>
            <w:tcBorders>
              <w:top w:val="single" w:sz="4" w:space="0" w:color="auto"/>
            </w:tcBorders>
            <w:vAlign w:val="center"/>
            <w:hideMark/>
          </w:tcPr>
          <w:p w14:paraId="1A4AB118"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116</w:t>
            </w:r>
          </w:p>
        </w:tc>
      </w:tr>
      <w:tr w:rsidR="00E02899" w:rsidRPr="003B5694" w14:paraId="5F14C60C" w14:textId="77777777" w:rsidTr="006F1A10">
        <w:trPr>
          <w:trHeight w:val="315"/>
        </w:trPr>
        <w:tc>
          <w:tcPr>
            <w:tcW w:w="1393" w:type="pct"/>
            <w:tcBorders>
              <w:bottom w:val="single" w:sz="4" w:space="0" w:color="auto"/>
            </w:tcBorders>
            <w:vAlign w:val="center"/>
            <w:hideMark/>
          </w:tcPr>
          <w:p w14:paraId="33DEE1BC"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Yes (1)</w:t>
            </w:r>
          </w:p>
        </w:tc>
        <w:tc>
          <w:tcPr>
            <w:tcW w:w="1297" w:type="pct"/>
            <w:tcBorders>
              <w:bottom w:val="single" w:sz="4" w:space="0" w:color="auto"/>
            </w:tcBorders>
            <w:vAlign w:val="center"/>
            <w:hideMark/>
          </w:tcPr>
          <w:p w14:paraId="0886AC83"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77</w:t>
            </w:r>
          </w:p>
        </w:tc>
        <w:tc>
          <w:tcPr>
            <w:tcW w:w="1297" w:type="pct"/>
            <w:tcBorders>
              <w:bottom w:val="single" w:sz="4" w:space="0" w:color="auto"/>
            </w:tcBorders>
            <w:vAlign w:val="center"/>
            <w:hideMark/>
          </w:tcPr>
          <w:p w14:paraId="3194CE72"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107</w:t>
            </w:r>
          </w:p>
        </w:tc>
        <w:tc>
          <w:tcPr>
            <w:tcW w:w="1013" w:type="pct"/>
            <w:tcBorders>
              <w:bottom w:val="single" w:sz="4" w:space="0" w:color="auto"/>
            </w:tcBorders>
            <w:vAlign w:val="center"/>
            <w:hideMark/>
          </w:tcPr>
          <w:p w14:paraId="34C0AF60"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184</w:t>
            </w:r>
          </w:p>
        </w:tc>
      </w:tr>
      <w:tr w:rsidR="00E02899" w:rsidRPr="003B5694" w14:paraId="5604EE7E" w14:textId="77777777" w:rsidTr="006F1A10">
        <w:trPr>
          <w:trHeight w:val="315"/>
        </w:trPr>
        <w:tc>
          <w:tcPr>
            <w:tcW w:w="1393" w:type="pct"/>
            <w:tcBorders>
              <w:top w:val="single" w:sz="4" w:space="0" w:color="auto"/>
              <w:bottom w:val="single" w:sz="4" w:space="0" w:color="auto"/>
            </w:tcBorders>
            <w:vAlign w:val="center"/>
            <w:hideMark/>
          </w:tcPr>
          <w:p w14:paraId="3AFEA1D6"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Total</w:t>
            </w:r>
          </w:p>
        </w:tc>
        <w:tc>
          <w:tcPr>
            <w:tcW w:w="1297" w:type="pct"/>
            <w:tcBorders>
              <w:top w:val="single" w:sz="4" w:space="0" w:color="auto"/>
              <w:bottom w:val="single" w:sz="4" w:space="0" w:color="auto"/>
            </w:tcBorders>
            <w:vAlign w:val="center"/>
            <w:hideMark/>
          </w:tcPr>
          <w:p w14:paraId="559362A9"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143</w:t>
            </w:r>
          </w:p>
        </w:tc>
        <w:tc>
          <w:tcPr>
            <w:tcW w:w="1297" w:type="pct"/>
            <w:tcBorders>
              <w:top w:val="single" w:sz="4" w:space="0" w:color="auto"/>
              <w:bottom w:val="single" w:sz="4" w:space="0" w:color="auto"/>
            </w:tcBorders>
            <w:vAlign w:val="center"/>
            <w:hideMark/>
          </w:tcPr>
          <w:p w14:paraId="123CD805"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157</w:t>
            </w:r>
          </w:p>
        </w:tc>
        <w:tc>
          <w:tcPr>
            <w:tcW w:w="1013" w:type="pct"/>
            <w:tcBorders>
              <w:top w:val="single" w:sz="4" w:space="0" w:color="auto"/>
              <w:bottom w:val="single" w:sz="4" w:space="0" w:color="auto"/>
            </w:tcBorders>
            <w:vAlign w:val="center"/>
            <w:hideMark/>
          </w:tcPr>
          <w:p w14:paraId="4337FD80" w14:textId="77777777" w:rsidR="00E02899" w:rsidRPr="003B5694" w:rsidRDefault="00E02899" w:rsidP="006F1A10">
            <w:pPr>
              <w:spacing w:after="0" w:line="360" w:lineRule="auto"/>
              <w:jc w:val="center"/>
              <w:rPr>
                <w:rFonts w:ascii="Arial" w:eastAsia="Times New Roman" w:hAnsi="Arial" w:cs="Arial"/>
                <w:color w:val="000000"/>
                <w:kern w:val="0"/>
                <w:sz w:val="20"/>
                <w:szCs w:val="20"/>
                <w:lang w:eastAsia="en-IN"/>
                <w14:ligatures w14:val="none"/>
              </w:rPr>
            </w:pPr>
            <w:r w:rsidRPr="003B5694">
              <w:rPr>
                <w:rFonts w:ascii="Arial" w:eastAsia="Times New Roman" w:hAnsi="Arial" w:cs="Arial"/>
                <w:color w:val="000000"/>
                <w:kern w:val="0"/>
                <w:sz w:val="20"/>
                <w:szCs w:val="20"/>
                <w:lang w:eastAsia="en-IN"/>
                <w14:ligatures w14:val="none"/>
              </w:rPr>
              <w:t>300</w:t>
            </w:r>
          </w:p>
        </w:tc>
      </w:tr>
    </w:tbl>
    <w:p w14:paraId="163E2D32" w14:textId="77777777" w:rsidR="00E02899" w:rsidRPr="003B5694" w:rsidRDefault="00E02899" w:rsidP="00E02899">
      <w:pPr>
        <w:spacing w:before="240" w:line="360" w:lineRule="auto"/>
        <w:jc w:val="both"/>
        <w:rPr>
          <w:rFonts w:ascii="Arial" w:hAnsi="Arial" w:cs="Arial"/>
          <w:kern w:val="0"/>
          <w:sz w:val="20"/>
          <w:szCs w:val="20"/>
        </w:rPr>
      </w:pPr>
      <w:r w:rsidRPr="003B5694">
        <w:rPr>
          <w:rFonts w:ascii="Arial" w:hAnsi="Arial" w:cs="Arial"/>
          <w:kern w:val="0"/>
          <w:sz w:val="20"/>
          <w:szCs w:val="20"/>
        </w:rPr>
        <w:t>Source: Field Survey</w:t>
      </w:r>
    </w:p>
    <w:p w14:paraId="6A588D56" w14:textId="77777777" w:rsidR="00E02899" w:rsidRPr="003B5694" w:rsidRDefault="00E02899" w:rsidP="00E02899">
      <w:pPr>
        <w:spacing w:before="100" w:beforeAutospacing="1" w:after="100" w:afterAutospacing="1" w:line="360" w:lineRule="auto"/>
        <w:jc w:val="both"/>
        <w:rPr>
          <w:rFonts w:ascii="Arial" w:eastAsia="Times New Roman" w:hAnsi="Arial" w:cs="Arial"/>
          <w:b/>
          <w:bCs/>
          <w:kern w:val="0"/>
          <w:sz w:val="20"/>
          <w:szCs w:val="20"/>
          <w:lang w:eastAsia="en-IN"/>
          <w14:ligatures w14:val="none"/>
        </w:rPr>
      </w:pPr>
      <w:r w:rsidRPr="003B5694">
        <w:rPr>
          <w:rFonts w:ascii="Arial" w:eastAsia="Times New Roman" w:hAnsi="Arial" w:cs="Arial"/>
          <w:b/>
          <w:bCs/>
          <w:kern w:val="0"/>
          <w:sz w:val="20"/>
          <w:szCs w:val="20"/>
          <w:lang w:eastAsia="en-IN"/>
          <w14:ligatures w14:val="none"/>
        </w:rPr>
        <w:t>Chi-Square Test Formula</w:t>
      </w:r>
    </w:p>
    <w:p w14:paraId="62330298" w14:textId="77777777" w:rsidR="00E02899" w:rsidRPr="003B5694" w:rsidRDefault="00E02899"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3B5694">
        <w:rPr>
          <w:rFonts w:ascii="Arial" w:eastAsia="Times New Roman" w:hAnsi="Arial" w:cs="Arial"/>
          <w:kern w:val="0"/>
          <w:sz w:val="20"/>
          <w:szCs w:val="20"/>
          <w:lang w:eastAsia="en-IN"/>
          <w14:ligatures w14:val="none"/>
        </w:rPr>
        <w:t>The Pearson Chi-square statistic is calculated as:</w:t>
      </w:r>
    </w:p>
    <w:p w14:paraId="59F75FB4" w14:textId="77777777" w:rsidR="00E02899" w:rsidRPr="003B5694" w:rsidRDefault="00FC21C1" w:rsidP="0013693E">
      <w:pPr>
        <w:spacing w:after="0" w:line="360" w:lineRule="auto"/>
        <w:jc w:val="both"/>
        <w:rPr>
          <w:rFonts w:ascii="Arial" w:eastAsia="Times New Roman" w:hAnsi="Arial" w:cs="Arial"/>
          <w:kern w:val="0"/>
          <w:sz w:val="20"/>
          <w:szCs w:val="20"/>
          <w:lang w:eastAsia="en-IN"/>
          <w14:ligatures w14:val="none"/>
        </w:rPr>
      </w:pPr>
      <m:oMathPara>
        <m:oMath>
          <m:sSup>
            <m:sSupPr>
              <m:ctrlPr>
                <w:rPr>
                  <w:rFonts w:ascii="Cambria Math" w:eastAsia="Times New Roman" w:hAnsi="Cambria Math" w:cs="Arial"/>
                  <w:kern w:val="0"/>
                  <w:sz w:val="20"/>
                  <w:szCs w:val="20"/>
                  <w:lang w:eastAsia="en-IN"/>
                  <w14:ligatures w14:val="none"/>
                </w:rPr>
              </m:ctrlPr>
            </m:sSupPr>
            <m:e>
              <m:r>
                <w:rPr>
                  <w:rFonts w:ascii="Cambria Math" w:eastAsia="Times New Roman" w:hAnsi="Cambria Math" w:cs="Arial"/>
                  <w:kern w:val="0"/>
                  <w:sz w:val="20"/>
                  <w:szCs w:val="20"/>
                  <w:lang w:eastAsia="en-IN"/>
                  <w14:ligatures w14:val="none"/>
                </w:rPr>
                <m:t>χ</m:t>
              </m:r>
            </m:e>
            <m:sup>
              <m:r>
                <w:rPr>
                  <w:rFonts w:ascii="Cambria Math" w:eastAsia="Times New Roman" w:hAnsi="Cambria Math" w:cs="Arial"/>
                  <w:kern w:val="0"/>
                  <w:sz w:val="20"/>
                  <w:szCs w:val="20"/>
                  <w:lang w:eastAsia="en-IN"/>
                  <w14:ligatures w14:val="none"/>
                </w:rPr>
                <m:t>2</m:t>
              </m:r>
            </m:sup>
          </m:sSup>
          <m:r>
            <w:rPr>
              <w:rFonts w:ascii="Cambria Math" w:eastAsia="Times New Roman" w:hAnsi="Cambria Math" w:cs="Arial"/>
              <w:kern w:val="0"/>
              <w:sz w:val="20"/>
              <w:szCs w:val="20"/>
              <w:lang w:eastAsia="en-IN"/>
              <w14:ligatures w14:val="none"/>
            </w:rPr>
            <m:t>=∑</m:t>
          </m:r>
          <m:f>
            <m:fPr>
              <m:ctrlPr>
                <w:rPr>
                  <w:rFonts w:ascii="Cambria Math" w:eastAsia="Times New Roman" w:hAnsi="Cambria Math" w:cs="Arial"/>
                  <w:kern w:val="0"/>
                  <w:sz w:val="20"/>
                  <w:szCs w:val="20"/>
                  <w:lang w:eastAsia="en-IN"/>
                  <w14:ligatures w14:val="none"/>
                </w:rPr>
              </m:ctrlPr>
            </m:fPr>
            <m:num>
              <m:d>
                <m:dPr>
                  <m:sepChr m:val="−"/>
                  <m:endChr m:val=""/>
                  <m:ctrlPr>
                    <w:rPr>
                      <w:rFonts w:ascii="Cambria Math" w:eastAsia="Times New Roman" w:hAnsi="Cambria Math" w:cs="Arial"/>
                      <w:kern w:val="0"/>
                      <w:sz w:val="20"/>
                      <w:szCs w:val="20"/>
                      <w:lang w:eastAsia="en-IN"/>
                      <w14:ligatures w14:val="none"/>
                    </w:rPr>
                  </m:ctrlPr>
                </m:dPr>
                <m:e>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O</m:t>
                      </m:r>
                    </m:e>
                    <m:sub>
                      <m:r>
                        <w:rPr>
                          <w:rFonts w:ascii="Cambria Math" w:eastAsia="Times New Roman" w:hAnsi="Cambria Math" w:cs="Arial"/>
                          <w:kern w:val="0"/>
                          <w:sz w:val="20"/>
                          <w:szCs w:val="20"/>
                          <w:lang w:eastAsia="en-IN"/>
                          <w14:ligatures w14:val="none"/>
                        </w:rPr>
                        <m:t>ij</m:t>
                      </m:r>
                    </m:sub>
                  </m:sSub>
                </m:e>
                <m:e>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E</m:t>
                      </m:r>
                    </m:e>
                    <m:sub>
                      <m:r>
                        <w:rPr>
                          <w:rFonts w:ascii="Cambria Math" w:eastAsia="Times New Roman" w:hAnsi="Cambria Math" w:cs="Arial"/>
                          <w:kern w:val="0"/>
                          <w:sz w:val="20"/>
                          <w:szCs w:val="20"/>
                          <w:lang w:eastAsia="en-IN"/>
                          <w14:ligatures w14:val="none"/>
                        </w:rPr>
                        <m:t>ij</m:t>
                      </m:r>
                    </m:sub>
                  </m:sSub>
                  <m:sSup>
                    <m:sSupPr>
                      <m:ctrlPr>
                        <w:rPr>
                          <w:rFonts w:ascii="Cambria Math" w:eastAsia="Times New Roman" w:hAnsi="Cambria Math" w:cs="Arial"/>
                          <w:kern w:val="0"/>
                          <w:sz w:val="20"/>
                          <w:szCs w:val="20"/>
                          <w:lang w:eastAsia="en-IN"/>
                          <w14:ligatures w14:val="none"/>
                        </w:rPr>
                      </m:ctrlPr>
                    </m:sSupPr>
                    <m:e>
                      <m:r>
                        <w:rPr>
                          <w:rFonts w:ascii="Cambria Math" w:eastAsia="Times New Roman" w:hAnsi="Cambria Math" w:cs="Arial"/>
                          <w:kern w:val="0"/>
                          <w:sz w:val="20"/>
                          <w:szCs w:val="20"/>
                          <w:lang w:eastAsia="en-IN"/>
                          <w14:ligatures w14:val="none"/>
                        </w:rPr>
                        <m:t>)</m:t>
                      </m:r>
                    </m:e>
                    <m:sup>
                      <m:r>
                        <w:rPr>
                          <w:rFonts w:ascii="Cambria Math" w:eastAsia="Times New Roman" w:hAnsi="Cambria Math" w:cs="Arial"/>
                          <w:kern w:val="0"/>
                          <w:sz w:val="20"/>
                          <w:szCs w:val="20"/>
                          <w:lang w:eastAsia="en-IN"/>
                          <w14:ligatures w14:val="none"/>
                        </w:rPr>
                        <m:t>2</m:t>
                      </m:r>
                    </m:sup>
                  </m:sSup>
                </m:e>
              </m:d>
            </m:num>
            <m:den>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E</m:t>
                  </m:r>
                </m:e>
                <m:sub>
                  <m:r>
                    <w:rPr>
                      <w:rFonts w:ascii="Cambria Math" w:eastAsia="Times New Roman" w:hAnsi="Cambria Math" w:cs="Arial"/>
                      <w:kern w:val="0"/>
                      <w:sz w:val="20"/>
                      <w:szCs w:val="20"/>
                      <w:lang w:eastAsia="en-IN"/>
                      <w14:ligatures w14:val="none"/>
                    </w:rPr>
                    <m:t>ij</m:t>
                  </m:r>
                </m:sub>
              </m:sSub>
            </m:den>
          </m:f>
        </m:oMath>
      </m:oMathPara>
    </w:p>
    <w:p w14:paraId="021F581B" w14:textId="77777777" w:rsidR="00E02899" w:rsidRPr="003B5694" w:rsidRDefault="00E02899" w:rsidP="00E02899">
      <w:pPr>
        <w:spacing w:after="0" w:line="360" w:lineRule="auto"/>
        <w:jc w:val="both"/>
        <w:rPr>
          <w:rFonts w:ascii="Arial" w:eastAsia="Times New Roman" w:hAnsi="Arial" w:cs="Arial"/>
          <w:kern w:val="0"/>
          <w:sz w:val="20"/>
          <w:szCs w:val="20"/>
          <w:lang w:eastAsia="en-IN"/>
          <w14:ligatures w14:val="none"/>
        </w:rPr>
      </w:pPr>
      <w:r w:rsidRPr="003B5694">
        <w:rPr>
          <w:rFonts w:ascii="Arial" w:eastAsia="Times New Roman" w:hAnsi="Arial" w:cs="Arial"/>
          <w:kern w:val="0"/>
          <w:sz w:val="20"/>
          <w:szCs w:val="20"/>
          <w:lang w:eastAsia="en-IN"/>
          <w14:ligatures w14:val="none"/>
        </w:rPr>
        <w:t>Where:</w:t>
      </w:r>
    </w:p>
    <w:p w14:paraId="0783C3E0" w14:textId="77777777" w:rsidR="00E02899" w:rsidRPr="003B5694" w:rsidRDefault="00FC21C1" w:rsidP="00E02899">
      <w:pPr>
        <w:numPr>
          <w:ilvl w:val="0"/>
          <w:numId w:val="5"/>
        </w:numPr>
        <w:spacing w:before="100" w:beforeAutospacing="1" w:after="100" w:afterAutospacing="1" w:line="360" w:lineRule="auto"/>
        <w:jc w:val="both"/>
        <w:rPr>
          <w:rFonts w:ascii="Arial" w:eastAsia="Times New Roman" w:hAnsi="Arial" w:cs="Arial"/>
          <w:kern w:val="0"/>
          <w:sz w:val="20"/>
          <w:szCs w:val="20"/>
          <w:lang w:eastAsia="en-IN"/>
          <w14:ligatures w14:val="none"/>
        </w:rPr>
      </w:pPr>
      <m:oMath>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O</m:t>
            </m:r>
          </m:e>
          <m:sub>
            <m:r>
              <w:rPr>
                <w:rFonts w:ascii="Cambria Math" w:eastAsia="Times New Roman" w:hAnsi="Cambria Math" w:cs="Arial"/>
                <w:kern w:val="0"/>
                <w:sz w:val="20"/>
                <w:szCs w:val="20"/>
                <w:lang w:eastAsia="en-IN"/>
                <w14:ligatures w14:val="none"/>
              </w:rPr>
              <m:t>ij</m:t>
            </m:r>
          </m:sub>
        </m:sSub>
      </m:oMath>
      <w:r w:rsidR="00E02899" w:rsidRPr="003B5694">
        <w:rPr>
          <w:rFonts w:ascii="Arial" w:eastAsia="Times New Roman" w:hAnsi="Arial" w:cs="Arial"/>
          <w:kern w:val="0"/>
          <w:sz w:val="20"/>
          <w:szCs w:val="20"/>
          <w:lang w:eastAsia="en-IN"/>
          <w14:ligatures w14:val="none"/>
        </w:rPr>
        <w:t>= Observed frequency</w:t>
      </w:r>
    </w:p>
    <w:p w14:paraId="64FE2777" w14:textId="77777777" w:rsidR="00E02899" w:rsidRPr="003B5694" w:rsidRDefault="00FC21C1" w:rsidP="00E02899">
      <w:pPr>
        <w:numPr>
          <w:ilvl w:val="0"/>
          <w:numId w:val="5"/>
        </w:numPr>
        <w:spacing w:before="100" w:beforeAutospacing="1" w:after="100" w:afterAutospacing="1" w:line="360" w:lineRule="auto"/>
        <w:jc w:val="both"/>
        <w:rPr>
          <w:rFonts w:ascii="Arial" w:eastAsia="Times New Roman" w:hAnsi="Arial" w:cs="Arial"/>
          <w:kern w:val="0"/>
          <w:sz w:val="20"/>
          <w:szCs w:val="20"/>
          <w:lang w:eastAsia="en-IN"/>
          <w14:ligatures w14:val="none"/>
        </w:rPr>
      </w:pPr>
      <m:oMath>
        <m:sSub>
          <m:sSubPr>
            <m:ctrlPr>
              <w:rPr>
                <w:rFonts w:ascii="Cambria Math" w:eastAsia="Times New Roman" w:hAnsi="Cambria Math" w:cs="Arial"/>
                <w:kern w:val="0"/>
                <w:sz w:val="20"/>
                <w:szCs w:val="20"/>
                <w:lang w:eastAsia="en-IN"/>
                <w14:ligatures w14:val="none"/>
              </w:rPr>
            </m:ctrlPr>
          </m:sSubPr>
          <m:e>
            <m:r>
              <w:rPr>
                <w:rFonts w:ascii="Cambria Math" w:eastAsia="Times New Roman" w:hAnsi="Cambria Math" w:cs="Arial"/>
                <w:kern w:val="0"/>
                <w:sz w:val="20"/>
                <w:szCs w:val="20"/>
                <w:lang w:eastAsia="en-IN"/>
                <w14:ligatures w14:val="none"/>
              </w:rPr>
              <m:t>E</m:t>
            </m:r>
          </m:e>
          <m:sub>
            <m:r>
              <w:rPr>
                <w:rFonts w:ascii="Cambria Math" w:eastAsia="Times New Roman" w:hAnsi="Cambria Math" w:cs="Arial"/>
                <w:kern w:val="0"/>
                <w:sz w:val="20"/>
                <w:szCs w:val="20"/>
                <w:lang w:eastAsia="en-IN"/>
                <w14:ligatures w14:val="none"/>
              </w:rPr>
              <m:t>ij</m:t>
            </m:r>
          </m:sub>
        </m:sSub>
      </m:oMath>
      <w:r w:rsidR="00E02899" w:rsidRPr="003B5694">
        <w:rPr>
          <w:rFonts w:ascii="Arial" w:eastAsia="Times New Roman" w:hAnsi="Arial" w:cs="Arial"/>
          <w:kern w:val="0"/>
          <w:sz w:val="20"/>
          <w:szCs w:val="20"/>
          <w:lang w:eastAsia="en-IN"/>
          <w14:ligatures w14:val="none"/>
        </w:rPr>
        <w:t>= Expected frequency</w:t>
      </w:r>
    </w:p>
    <w:p w14:paraId="053CEED2" w14:textId="77777777" w:rsidR="00E02899" w:rsidRPr="003B5694" w:rsidRDefault="00E02899"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3B5694">
        <w:rPr>
          <w:rFonts w:ascii="Arial" w:eastAsia="Times New Roman" w:hAnsi="Arial" w:cs="Arial"/>
          <w:kern w:val="0"/>
          <w:sz w:val="20"/>
          <w:szCs w:val="20"/>
          <w:lang w:eastAsia="en-IN"/>
          <w14:ligatures w14:val="none"/>
        </w:rPr>
        <w:t>Degrees of freedom:</w:t>
      </w:r>
    </w:p>
    <w:p w14:paraId="0DA29661" w14:textId="77777777" w:rsidR="00E02899" w:rsidRPr="003B5694" w:rsidRDefault="00E02899"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m:oMathPara>
        <m:oMath>
          <m:r>
            <w:rPr>
              <w:rFonts w:ascii="Cambria Math" w:eastAsia="Times New Roman" w:hAnsi="Cambria Math" w:cs="Arial"/>
              <w:kern w:val="0"/>
              <w:sz w:val="20"/>
              <w:szCs w:val="20"/>
              <w:lang w:eastAsia="en-IN"/>
              <w14:ligatures w14:val="none"/>
            </w:rPr>
            <m:t>df=(r-1)(c-1)</m:t>
          </m:r>
          <m:r>
            <m:rPr>
              <m:sty m:val="p"/>
            </m:rPr>
            <w:rPr>
              <w:rFonts w:ascii="Cambria Math" w:eastAsia="Times New Roman" w:hAnsi="Cambria Math" w:cs="Arial"/>
              <w:kern w:val="0"/>
              <w:sz w:val="20"/>
              <w:szCs w:val="20"/>
              <w:lang w:eastAsia="en-IN"/>
              <w14:ligatures w14:val="none"/>
            </w:rPr>
            <w:br/>
          </m:r>
        </m:oMath>
        <m:oMath>
          <m:r>
            <w:rPr>
              <w:rFonts w:ascii="Cambria Math" w:eastAsia="Times New Roman" w:hAnsi="Cambria Math" w:cs="Arial"/>
              <w:kern w:val="0"/>
              <w:sz w:val="20"/>
              <w:szCs w:val="20"/>
              <w:lang w:eastAsia="en-IN"/>
              <w14:ligatures w14:val="none"/>
            </w:rPr>
            <m:t>df=(2-1)(2-1)=1</m:t>
          </m:r>
        </m:oMath>
      </m:oMathPara>
    </w:p>
    <w:p w14:paraId="316FC189" w14:textId="77777777" w:rsidR="00E02899" w:rsidRPr="003B5694" w:rsidRDefault="00E02899"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3B5694">
        <w:rPr>
          <w:rFonts w:ascii="Arial" w:eastAsia="Times New Roman" w:hAnsi="Arial" w:cs="Arial"/>
          <w:kern w:val="0"/>
          <w:sz w:val="20"/>
          <w:szCs w:val="20"/>
          <w:lang w:eastAsia="en-IN"/>
          <w14:ligatures w14:val="none"/>
        </w:rPr>
        <w:t>The Chi-square result from Stata shows:</w:t>
      </w:r>
    </w:p>
    <w:p w14:paraId="27606463" w14:textId="77777777" w:rsidR="00E02899" w:rsidRPr="003B5694" w:rsidRDefault="00FC21C1"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m:oMathPara>
        <m:oMath>
          <m:sSup>
            <m:sSupPr>
              <m:ctrlPr>
                <w:rPr>
                  <w:rFonts w:ascii="Cambria Math" w:eastAsia="Times New Roman" w:hAnsi="Cambria Math" w:cs="Arial"/>
                  <w:kern w:val="0"/>
                  <w:sz w:val="20"/>
                  <w:szCs w:val="20"/>
                  <w:lang w:eastAsia="en-IN"/>
                  <w14:ligatures w14:val="none"/>
                </w:rPr>
              </m:ctrlPr>
            </m:sSupPr>
            <m:e>
              <m:r>
                <w:rPr>
                  <w:rFonts w:ascii="Cambria Math" w:eastAsia="Times New Roman" w:hAnsi="Cambria Math" w:cs="Arial"/>
                  <w:kern w:val="0"/>
                  <w:sz w:val="20"/>
                  <w:szCs w:val="20"/>
                  <w:lang w:eastAsia="en-IN"/>
                  <w14:ligatures w14:val="none"/>
                </w:rPr>
                <m:t>χ</m:t>
              </m:r>
            </m:e>
            <m:sup>
              <m:r>
                <w:rPr>
                  <w:rFonts w:ascii="Cambria Math" w:eastAsia="Times New Roman" w:hAnsi="Cambria Math" w:cs="Arial"/>
                  <w:kern w:val="0"/>
                  <w:sz w:val="20"/>
                  <w:szCs w:val="20"/>
                  <w:lang w:eastAsia="en-IN"/>
                  <w14:ligatures w14:val="none"/>
                </w:rPr>
                <m:t>2</m:t>
              </m:r>
            </m:sup>
          </m:sSup>
          <m:r>
            <w:rPr>
              <w:rFonts w:ascii="Cambria Math" w:eastAsia="Times New Roman" w:hAnsi="Cambria Math" w:cs="Arial"/>
              <w:kern w:val="0"/>
              <w:sz w:val="20"/>
              <w:szCs w:val="20"/>
              <w:lang w:eastAsia="en-IN"/>
              <w14:ligatures w14:val="none"/>
            </w:rPr>
            <m:t>(1)=6.4589,</m:t>
          </m:r>
          <m:r>
            <w:rPr>
              <w:rFonts w:ascii="Cambria Math" w:eastAsia="Times New Roman" w:hAnsi="Cambria Math" w:cs="Arial"/>
              <w:kern w:val="0"/>
              <w:sz w:val="20"/>
              <w:szCs w:val="20"/>
              <w:lang w:eastAsia="en-IN"/>
              <w14:ligatures w14:val="none"/>
            </w:rPr>
            <m:t>p</m:t>
          </m:r>
          <m:r>
            <w:rPr>
              <w:rFonts w:ascii="Cambria Math" w:eastAsia="Times New Roman" w:hAnsi="Cambria Math" w:cs="Arial"/>
              <w:kern w:val="0"/>
              <w:sz w:val="20"/>
              <w:szCs w:val="20"/>
              <w:lang w:eastAsia="en-IN"/>
              <w14:ligatures w14:val="none"/>
            </w:rPr>
            <m:t>=0.011</m:t>
          </m:r>
        </m:oMath>
      </m:oMathPara>
    </w:p>
    <w:p w14:paraId="37F7E59C" w14:textId="77777777" w:rsidR="00E02899" w:rsidRPr="003B5694" w:rsidRDefault="00E02899"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3B5694">
        <w:rPr>
          <w:rFonts w:ascii="Arial" w:eastAsia="Times New Roman" w:hAnsi="Arial" w:cs="Arial"/>
          <w:kern w:val="0"/>
          <w:sz w:val="20"/>
          <w:szCs w:val="20"/>
          <w:lang w:eastAsia="en-IN"/>
          <w14:ligatures w14:val="none"/>
        </w:rPr>
        <w:t xml:space="preserve">Since </w:t>
      </w:r>
      <m:oMath>
        <m:r>
          <w:rPr>
            <w:rFonts w:ascii="Cambria Math" w:eastAsia="Times New Roman" w:hAnsi="Cambria Math" w:cs="Arial"/>
            <w:kern w:val="0"/>
            <w:sz w:val="20"/>
            <w:szCs w:val="20"/>
            <w:lang w:eastAsia="en-IN"/>
            <w14:ligatures w14:val="none"/>
          </w:rPr>
          <m:t>p&lt;0.05</m:t>
        </m:r>
      </m:oMath>
      <w:r w:rsidRPr="003B5694">
        <w:rPr>
          <w:rFonts w:ascii="Arial" w:eastAsia="Times New Roman" w:hAnsi="Arial" w:cs="Arial"/>
          <w:kern w:val="0"/>
          <w:sz w:val="20"/>
          <w:szCs w:val="20"/>
          <w:lang w:eastAsia="en-IN"/>
          <w14:ligatures w14:val="none"/>
        </w:rPr>
        <w:t>, the null hypothesis is rejected. Therefore, there is a statistically significant association between monthly family income and access to social security benefits. Among households earning less than ₹25,000, 77 out of 143 (53.8%) have access to benefits. Among households earning ₹25,000 and above, 107 out of 157 (68.2%) have access to benefits. This indicates that higher-income households are more likely to access social security benefits compared to lower-income households.</w:t>
      </w:r>
    </w:p>
    <w:p w14:paraId="3C305BA0" w14:textId="77777777" w:rsidR="00E02899" w:rsidRPr="003B5694" w:rsidRDefault="00E02899" w:rsidP="00E02899">
      <w:pPr>
        <w:spacing w:before="100" w:beforeAutospacing="1" w:after="100" w:afterAutospacing="1" w:line="360" w:lineRule="auto"/>
        <w:jc w:val="both"/>
        <w:rPr>
          <w:rFonts w:ascii="Arial" w:eastAsia="Times New Roman" w:hAnsi="Arial" w:cs="Arial"/>
          <w:b/>
          <w:bCs/>
          <w:kern w:val="0"/>
          <w:sz w:val="20"/>
          <w:szCs w:val="20"/>
          <w:lang w:eastAsia="en-IN"/>
          <w14:ligatures w14:val="none"/>
        </w:rPr>
      </w:pPr>
      <w:r w:rsidRPr="003B5694">
        <w:rPr>
          <w:rFonts w:ascii="Arial" w:eastAsia="Times New Roman" w:hAnsi="Arial" w:cs="Arial"/>
          <w:b/>
          <w:bCs/>
          <w:kern w:val="0"/>
          <w:sz w:val="20"/>
          <w:szCs w:val="20"/>
          <w:lang w:eastAsia="en-IN"/>
          <w14:ligatures w14:val="none"/>
        </w:rPr>
        <w:lastRenderedPageBreak/>
        <w:t>5.2.1 Odds Ratio Calculation</w:t>
      </w:r>
    </w:p>
    <w:p w14:paraId="2637EDAE" w14:textId="77777777" w:rsidR="00E02899" w:rsidRPr="003B5694" w:rsidRDefault="00E02899"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3B5694">
        <w:rPr>
          <w:rFonts w:ascii="Arial" w:eastAsia="Times New Roman" w:hAnsi="Arial" w:cs="Arial"/>
          <w:kern w:val="0"/>
          <w:sz w:val="20"/>
          <w:szCs w:val="20"/>
          <w:lang w:eastAsia="en-IN"/>
          <w14:ligatures w14:val="none"/>
        </w:rPr>
        <w:t>Odds of access among lower-income households:</w:t>
      </w:r>
    </w:p>
    <w:p w14:paraId="4AA5FCE9" w14:textId="77777777" w:rsidR="00E02899" w:rsidRPr="003B5694" w:rsidRDefault="00FC21C1"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m:oMathPara>
        <m:oMath>
          <m:sSub>
            <m:sSubPr>
              <m:ctrlPr>
                <w:rPr>
                  <w:rFonts w:ascii="Cambria Math" w:eastAsia="Times New Roman" w:hAnsi="Cambria Math" w:cs="Arial"/>
                  <w:kern w:val="0"/>
                  <w:sz w:val="20"/>
                  <w:szCs w:val="20"/>
                  <w:lang w:eastAsia="en-IN"/>
                  <w14:ligatures w14:val="none"/>
                </w:rPr>
              </m:ctrlPr>
            </m:sSubPr>
            <m:e>
              <m:r>
                <m:rPr>
                  <m:nor/>
                </m:rPr>
                <w:rPr>
                  <w:rFonts w:ascii="Arial" w:eastAsia="Times New Roman" w:hAnsi="Arial" w:cs="Arial"/>
                  <w:kern w:val="0"/>
                  <w:sz w:val="20"/>
                  <w:szCs w:val="20"/>
                  <w:lang w:eastAsia="en-IN"/>
                  <w14:ligatures w14:val="none"/>
                </w:rPr>
                <m:t>Odds</m:t>
              </m:r>
            </m:e>
            <m:sub>
              <m:r>
                <w:rPr>
                  <w:rFonts w:ascii="Cambria Math" w:eastAsia="Times New Roman" w:hAnsi="Cambria Math" w:cs="Arial"/>
                  <w:kern w:val="0"/>
                  <w:sz w:val="20"/>
                  <w:szCs w:val="20"/>
                  <w:lang w:eastAsia="en-IN"/>
                  <w14:ligatures w14:val="none"/>
                </w:rPr>
                <m:t>1</m:t>
              </m:r>
            </m:sub>
          </m:sSub>
          <m:r>
            <w:rPr>
              <w:rFonts w:ascii="Cambria Math" w:eastAsia="Times New Roman" w:hAnsi="Cambria Math" w:cs="Arial"/>
              <w:kern w:val="0"/>
              <w:sz w:val="20"/>
              <w:szCs w:val="20"/>
              <w:lang w:eastAsia="en-IN"/>
              <w14:ligatures w14:val="none"/>
            </w:rPr>
            <m:t>=</m:t>
          </m:r>
          <m:f>
            <m:fPr>
              <m:ctrlPr>
                <w:rPr>
                  <w:rFonts w:ascii="Cambria Math" w:eastAsia="Times New Roman" w:hAnsi="Cambria Math" w:cs="Arial"/>
                  <w:kern w:val="0"/>
                  <w:sz w:val="20"/>
                  <w:szCs w:val="20"/>
                  <w:lang w:eastAsia="en-IN"/>
                  <w14:ligatures w14:val="none"/>
                </w:rPr>
              </m:ctrlPr>
            </m:fPr>
            <m:num>
              <m:r>
                <w:rPr>
                  <w:rFonts w:ascii="Cambria Math" w:eastAsia="Times New Roman" w:hAnsi="Cambria Math" w:cs="Arial"/>
                  <w:kern w:val="0"/>
                  <w:sz w:val="20"/>
                  <w:szCs w:val="20"/>
                  <w:lang w:eastAsia="en-IN"/>
                  <w14:ligatures w14:val="none"/>
                </w:rPr>
                <m:t>77</m:t>
              </m:r>
            </m:num>
            <m:den>
              <m:r>
                <w:rPr>
                  <w:rFonts w:ascii="Cambria Math" w:eastAsia="Times New Roman" w:hAnsi="Cambria Math" w:cs="Arial"/>
                  <w:kern w:val="0"/>
                  <w:sz w:val="20"/>
                  <w:szCs w:val="20"/>
                  <w:lang w:eastAsia="en-IN"/>
                  <w14:ligatures w14:val="none"/>
                </w:rPr>
                <m:t>66</m:t>
              </m:r>
            </m:den>
          </m:f>
          <m:r>
            <w:rPr>
              <w:rFonts w:ascii="Cambria Math" w:eastAsia="Times New Roman" w:hAnsi="Cambria Math" w:cs="Arial"/>
              <w:kern w:val="0"/>
              <w:sz w:val="20"/>
              <w:szCs w:val="20"/>
              <w:lang w:eastAsia="en-IN"/>
              <w14:ligatures w14:val="none"/>
            </w:rPr>
            <m:t>=1.17</m:t>
          </m:r>
          <m:r>
            <m:rPr>
              <m:sty m:val="p"/>
            </m:rPr>
            <w:rPr>
              <w:rFonts w:ascii="Cambria Math" w:eastAsia="Times New Roman" w:hAnsi="Cambria Math" w:cs="Arial"/>
              <w:kern w:val="0"/>
              <w:sz w:val="20"/>
              <w:szCs w:val="20"/>
              <w:lang w:eastAsia="en-IN"/>
              <w14:ligatures w14:val="none"/>
            </w:rPr>
            <w:br/>
          </m:r>
        </m:oMath>
      </m:oMathPara>
      <w:r w:rsidR="00E02899" w:rsidRPr="003B5694">
        <w:rPr>
          <w:rFonts w:ascii="Arial" w:eastAsia="Times New Roman" w:hAnsi="Arial" w:cs="Arial"/>
          <w:kern w:val="0"/>
          <w:sz w:val="20"/>
          <w:szCs w:val="20"/>
          <w:lang w:eastAsia="en-IN"/>
          <w14:ligatures w14:val="none"/>
        </w:rPr>
        <w:t>Odds of access among higher-income households:</w:t>
      </w:r>
    </w:p>
    <w:p w14:paraId="5CE4422C" w14:textId="77777777" w:rsidR="00E02899" w:rsidRPr="003B5694" w:rsidRDefault="00FC21C1"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m:oMathPara>
        <m:oMath>
          <m:sSub>
            <m:sSubPr>
              <m:ctrlPr>
                <w:rPr>
                  <w:rFonts w:ascii="Cambria Math" w:eastAsia="Times New Roman" w:hAnsi="Cambria Math" w:cs="Arial"/>
                  <w:kern w:val="0"/>
                  <w:sz w:val="20"/>
                  <w:szCs w:val="20"/>
                  <w:lang w:eastAsia="en-IN"/>
                  <w14:ligatures w14:val="none"/>
                </w:rPr>
              </m:ctrlPr>
            </m:sSubPr>
            <m:e>
              <m:r>
                <m:rPr>
                  <m:nor/>
                </m:rPr>
                <w:rPr>
                  <w:rFonts w:ascii="Arial" w:eastAsia="Times New Roman" w:hAnsi="Arial" w:cs="Arial"/>
                  <w:kern w:val="0"/>
                  <w:sz w:val="20"/>
                  <w:szCs w:val="20"/>
                  <w:lang w:eastAsia="en-IN"/>
                  <w14:ligatures w14:val="none"/>
                </w:rPr>
                <m:t>Odds</m:t>
              </m:r>
            </m:e>
            <m:sub>
              <m:r>
                <w:rPr>
                  <w:rFonts w:ascii="Cambria Math" w:eastAsia="Times New Roman" w:hAnsi="Cambria Math" w:cs="Arial"/>
                  <w:kern w:val="0"/>
                  <w:sz w:val="20"/>
                  <w:szCs w:val="20"/>
                  <w:lang w:eastAsia="en-IN"/>
                  <w14:ligatures w14:val="none"/>
                </w:rPr>
                <m:t>2</m:t>
              </m:r>
            </m:sub>
          </m:sSub>
          <m:r>
            <w:rPr>
              <w:rFonts w:ascii="Cambria Math" w:eastAsia="Times New Roman" w:hAnsi="Cambria Math" w:cs="Arial"/>
              <w:kern w:val="0"/>
              <w:sz w:val="20"/>
              <w:szCs w:val="20"/>
              <w:lang w:eastAsia="en-IN"/>
              <w14:ligatures w14:val="none"/>
            </w:rPr>
            <m:t>=</m:t>
          </m:r>
          <m:f>
            <m:fPr>
              <m:ctrlPr>
                <w:rPr>
                  <w:rFonts w:ascii="Cambria Math" w:eastAsia="Times New Roman" w:hAnsi="Cambria Math" w:cs="Arial"/>
                  <w:kern w:val="0"/>
                  <w:sz w:val="20"/>
                  <w:szCs w:val="20"/>
                  <w:lang w:eastAsia="en-IN"/>
                  <w14:ligatures w14:val="none"/>
                </w:rPr>
              </m:ctrlPr>
            </m:fPr>
            <m:num>
              <m:r>
                <w:rPr>
                  <w:rFonts w:ascii="Cambria Math" w:eastAsia="Times New Roman" w:hAnsi="Cambria Math" w:cs="Arial"/>
                  <w:kern w:val="0"/>
                  <w:sz w:val="20"/>
                  <w:szCs w:val="20"/>
                  <w:lang w:eastAsia="en-IN"/>
                  <w14:ligatures w14:val="none"/>
                </w:rPr>
                <m:t>107</m:t>
              </m:r>
            </m:num>
            <m:den>
              <m:r>
                <w:rPr>
                  <w:rFonts w:ascii="Cambria Math" w:eastAsia="Times New Roman" w:hAnsi="Cambria Math" w:cs="Arial"/>
                  <w:kern w:val="0"/>
                  <w:sz w:val="20"/>
                  <w:szCs w:val="20"/>
                  <w:lang w:eastAsia="en-IN"/>
                  <w14:ligatures w14:val="none"/>
                </w:rPr>
                <m:t>50</m:t>
              </m:r>
            </m:den>
          </m:f>
          <m:r>
            <w:rPr>
              <w:rFonts w:ascii="Cambria Math" w:eastAsia="Times New Roman" w:hAnsi="Cambria Math" w:cs="Arial"/>
              <w:kern w:val="0"/>
              <w:sz w:val="20"/>
              <w:szCs w:val="20"/>
              <w:lang w:eastAsia="en-IN"/>
              <w14:ligatures w14:val="none"/>
            </w:rPr>
            <m:t>=2.14</m:t>
          </m:r>
        </m:oMath>
      </m:oMathPara>
    </w:p>
    <w:p w14:paraId="3BCB6F6C" w14:textId="77777777" w:rsidR="00E02899" w:rsidRPr="003B5694" w:rsidRDefault="00E02899"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3B5694">
        <w:rPr>
          <w:rFonts w:ascii="Arial" w:eastAsia="Times New Roman" w:hAnsi="Arial" w:cs="Arial"/>
          <w:kern w:val="0"/>
          <w:sz w:val="20"/>
          <w:szCs w:val="20"/>
          <w:lang w:eastAsia="en-IN"/>
          <w14:ligatures w14:val="none"/>
        </w:rPr>
        <w:t>Odds Ratio (OR):</w:t>
      </w:r>
    </w:p>
    <w:p w14:paraId="067E491F" w14:textId="77777777" w:rsidR="00E02899" w:rsidRPr="003B5694" w:rsidRDefault="00E02899"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m:oMathPara>
        <m:oMath>
          <m:r>
            <w:rPr>
              <w:rFonts w:ascii="Cambria Math" w:eastAsia="Times New Roman" w:hAnsi="Cambria Math" w:cs="Arial"/>
              <w:kern w:val="0"/>
              <w:sz w:val="20"/>
              <w:szCs w:val="20"/>
              <w:lang w:eastAsia="en-IN"/>
              <w14:ligatures w14:val="none"/>
            </w:rPr>
            <m:t>OR=</m:t>
          </m:r>
          <m:f>
            <m:fPr>
              <m:ctrlPr>
                <w:rPr>
                  <w:rFonts w:ascii="Cambria Math" w:eastAsia="Times New Roman" w:hAnsi="Cambria Math" w:cs="Arial"/>
                  <w:kern w:val="0"/>
                  <w:sz w:val="20"/>
                  <w:szCs w:val="20"/>
                  <w:lang w:eastAsia="en-IN"/>
                  <w14:ligatures w14:val="none"/>
                </w:rPr>
              </m:ctrlPr>
            </m:fPr>
            <m:num>
              <m:r>
                <w:rPr>
                  <w:rFonts w:ascii="Cambria Math" w:eastAsia="Times New Roman" w:hAnsi="Cambria Math" w:cs="Arial"/>
                  <w:kern w:val="0"/>
                  <w:sz w:val="20"/>
                  <w:szCs w:val="20"/>
                  <w:lang w:eastAsia="en-IN"/>
                  <w14:ligatures w14:val="none"/>
                </w:rPr>
                <m:t>107×66</m:t>
              </m:r>
            </m:num>
            <m:den>
              <m:r>
                <w:rPr>
                  <w:rFonts w:ascii="Cambria Math" w:eastAsia="Times New Roman" w:hAnsi="Cambria Math" w:cs="Arial"/>
                  <w:kern w:val="0"/>
                  <w:sz w:val="20"/>
                  <w:szCs w:val="20"/>
                  <w:lang w:eastAsia="en-IN"/>
                  <w14:ligatures w14:val="none"/>
                </w:rPr>
                <m:t>50×77</m:t>
              </m:r>
            </m:den>
          </m:f>
          <m:r>
            <m:rPr>
              <m:sty m:val="p"/>
            </m:rPr>
            <w:rPr>
              <w:rFonts w:ascii="Cambria Math" w:eastAsia="Times New Roman" w:hAnsi="Cambria Math" w:cs="Arial"/>
              <w:kern w:val="0"/>
              <w:sz w:val="20"/>
              <w:szCs w:val="20"/>
              <w:lang w:eastAsia="en-IN"/>
              <w14:ligatures w14:val="none"/>
            </w:rPr>
            <w:br/>
          </m:r>
        </m:oMath>
        <m:oMath>
          <m:r>
            <w:rPr>
              <w:rFonts w:ascii="Cambria Math" w:eastAsia="Times New Roman" w:hAnsi="Cambria Math" w:cs="Arial"/>
              <w:kern w:val="0"/>
              <w:sz w:val="20"/>
              <w:szCs w:val="20"/>
              <w:lang w:eastAsia="en-IN"/>
              <w14:ligatures w14:val="none"/>
            </w:rPr>
            <m:t>OR=</m:t>
          </m:r>
          <m:f>
            <m:fPr>
              <m:ctrlPr>
                <w:rPr>
                  <w:rFonts w:ascii="Cambria Math" w:eastAsia="Times New Roman" w:hAnsi="Cambria Math" w:cs="Arial"/>
                  <w:kern w:val="0"/>
                  <w:sz w:val="20"/>
                  <w:szCs w:val="20"/>
                  <w:lang w:eastAsia="en-IN"/>
                  <w14:ligatures w14:val="none"/>
                </w:rPr>
              </m:ctrlPr>
            </m:fPr>
            <m:num>
              <m:r>
                <w:rPr>
                  <w:rFonts w:ascii="Cambria Math" w:eastAsia="Times New Roman" w:hAnsi="Cambria Math" w:cs="Arial"/>
                  <w:kern w:val="0"/>
                  <w:sz w:val="20"/>
                  <w:szCs w:val="20"/>
                  <w:lang w:eastAsia="en-IN"/>
                  <w14:ligatures w14:val="none"/>
                </w:rPr>
                <m:t>7062</m:t>
              </m:r>
            </m:num>
            <m:den>
              <m:r>
                <w:rPr>
                  <w:rFonts w:ascii="Cambria Math" w:eastAsia="Times New Roman" w:hAnsi="Cambria Math" w:cs="Arial"/>
                  <w:kern w:val="0"/>
                  <w:sz w:val="20"/>
                  <w:szCs w:val="20"/>
                  <w:lang w:eastAsia="en-IN"/>
                  <w14:ligatures w14:val="none"/>
                </w:rPr>
                <m:t>3850</m:t>
              </m:r>
            </m:den>
          </m:f>
          <m:r>
            <w:rPr>
              <w:rFonts w:ascii="Cambria Math" w:eastAsia="Times New Roman" w:hAnsi="Cambria Math" w:cs="Arial"/>
              <w:kern w:val="0"/>
              <w:sz w:val="20"/>
              <w:szCs w:val="20"/>
              <w:lang w:eastAsia="en-IN"/>
              <w14:ligatures w14:val="none"/>
            </w:rPr>
            <m:t>=1.83</m:t>
          </m:r>
        </m:oMath>
      </m:oMathPara>
    </w:p>
    <w:p w14:paraId="35C7D74B" w14:textId="77777777" w:rsidR="00E02899" w:rsidRPr="003B5694" w:rsidRDefault="00E02899" w:rsidP="00E02899">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3B5694">
        <w:rPr>
          <w:rFonts w:ascii="Arial" w:eastAsia="Times New Roman" w:hAnsi="Arial" w:cs="Arial"/>
          <w:kern w:val="0"/>
          <w:sz w:val="20"/>
          <w:szCs w:val="20"/>
          <w:lang w:eastAsia="en-IN"/>
          <w14:ligatures w14:val="none"/>
        </w:rPr>
        <w:t>The odds ratio of 1.83 indicates that households earning ₹25,000 and above are approximately 1.8 times more likely to access social security benefits compared to lower-income households. The logistic regression analysis also showed that monthly family income was statistically significant (p = 0.009), confirming the Chi-square result. Thus, both bivariate and multivariate analyses consistently demonstrate that income plays an important role in determining access to social security benefits.</w:t>
      </w:r>
    </w:p>
    <w:p w14:paraId="5711C096" w14:textId="6F5E8D1A" w:rsidR="00F37D09" w:rsidRDefault="00F656A8" w:rsidP="00F37D09">
      <w:pPr>
        <w:spacing w:before="240" w:after="0" w:line="360" w:lineRule="auto"/>
        <w:jc w:val="both"/>
        <w:rPr>
          <w:rFonts w:ascii="Arial" w:hAnsi="Arial" w:cs="Arial"/>
          <w:b/>
          <w:bCs/>
          <w:color w:val="000000" w:themeColor="text1"/>
        </w:rPr>
      </w:pPr>
      <w:r>
        <w:rPr>
          <w:rFonts w:ascii="Arial" w:hAnsi="Arial" w:cs="Arial"/>
          <w:b/>
          <w:bCs/>
        </w:rPr>
        <w:t>6</w:t>
      </w:r>
      <w:r w:rsidR="0064123A">
        <w:rPr>
          <w:rFonts w:ascii="Arial" w:hAnsi="Arial" w:cs="Arial"/>
          <w:b/>
          <w:bCs/>
        </w:rPr>
        <w:t xml:space="preserve"> </w:t>
      </w:r>
      <w:r w:rsidR="00E02899" w:rsidRPr="00E02899">
        <w:rPr>
          <w:rFonts w:ascii="Arial" w:hAnsi="Arial" w:cs="Arial"/>
          <w:b/>
          <w:bCs/>
          <w:color w:val="000000" w:themeColor="text1"/>
        </w:rPr>
        <w:t xml:space="preserve">MAJOR FINDINGS AND POLICY IMPLICATIONS </w:t>
      </w:r>
    </w:p>
    <w:p w14:paraId="4617A9C5" w14:textId="77777777" w:rsidR="00E02899" w:rsidRPr="003B5694" w:rsidRDefault="00E02899" w:rsidP="00E02899">
      <w:pPr>
        <w:spacing w:before="240" w:after="0" w:line="360" w:lineRule="auto"/>
        <w:jc w:val="both"/>
        <w:rPr>
          <w:rFonts w:ascii="Arial" w:hAnsi="Arial" w:cs="Arial"/>
          <w:sz w:val="20"/>
          <w:szCs w:val="20"/>
        </w:rPr>
      </w:pPr>
      <w:r w:rsidRPr="003B5694">
        <w:rPr>
          <w:rFonts w:ascii="Arial" w:hAnsi="Arial" w:cs="Arial"/>
          <w:sz w:val="20"/>
          <w:szCs w:val="20"/>
        </w:rPr>
        <w:t>The study investigates the determinants of social security access among women gig workers in the Malabar region of Kerala using primary data collected from 300 respondents across three districts—Kannur, Kozhikode, and Malappuram. The analysis draws on descriptive statistics, chi-square tests, and binary logistic regression. The results indicate that monthly household income is the principal determinant of social security access. Despite Kerala’s relatively advanced welfare architecture, a substantial share of women gig workers remains outside formal protection mechanisms. Although social security schemes are generally designed to support economically vulnerable groups, the findings reveal that women from higher-income households are more likely to access benefits. This pattern may reflect differences in awareness, documentation, administrative capacity, and institutional accessibility. The evidence underscores the need to strengthen outreach strategies and simplify enrolment procedures to promote equitable access, particularly for lower-income households.</w:t>
      </w:r>
    </w:p>
    <w:p w14:paraId="14D8BAAB" w14:textId="77777777" w:rsidR="00E02899" w:rsidRPr="003B5694" w:rsidRDefault="00E02899" w:rsidP="00E02899">
      <w:pPr>
        <w:spacing w:before="240" w:after="0" w:line="360" w:lineRule="auto"/>
        <w:jc w:val="both"/>
        <w:rPr>
          <w:rFonts w:ascii="Arial" w:hAnsi="Arial" w:cs="Arial"/>
          <w:sz w:val="20"/>
          <w:szCs w:val="20"/>
        </w:rPr>
      </w:pPr>
      <w:r w:rsidRPr="003B5694">
        <w:rPr>
          <w:rFonts w:ascii="Arial" w:hAnsi="Arial" w:cs="Arial"/>
          <w:sz w:val="20"/>
          <w:szCs w:val="20"/>
        </w:rPr>
        <w:t xml:space="preserve">Binary logistic regression was employed to assess the predictors of access, with social security enrolment coded as 1 and non-enrolment as 0. The results confirm that monthly family income is the most significant predictor. The income coefficient is positive and statistically significant (β = 0.648, p = 0.009), with an odds ratio of 1.91, indicating that higher income substantially increases the likelihood of accessing benefits. Women from households earning ₹25,000 and above are approximately 1.8 times more likely to be enrolled than those earning below this threshold. The chi-square analysis further </w:t>
      </w:r>
      <w:r w:rsidRPr="003B5694">
        <w:rPr>
          <w:rFonts w:ascii="Arial" w:hAnsi="Arial" w:cs="Arial"/>
          <w:sz w:val="20"/>
          <w:szCs w:val="20"/>
        </w:rPr>
        <w:lastRenderedPageBreak/>
        <w:t>demonstrates a statistically significant association between income and access, reinforcing the robustness of the relationship across both bivariate and multivariate models.</w:t>
      </w:r>
    </w:p>
    <w:p w14:paraId="597DEC44" w14:textId="77777777" w:rsidR="00E02899" w:rsidRPr="003B5694" w:rsidRDefault="00E02899" w:rsidP="00E02899">
      <w:pPr>
        <w:spacing w:before="240" w:after="0" w:line="360" w:lineRule="auto"/>
        <w:jc w:val="both"/>
        <w:rPr>
          <w:rFonts w:ascii="Arial" w:hAnsi="Arial" w:cs="Arial"/>
          <w:sz w:val="20"/>
          <w:szCs w:val="20"/>
        </w:rPr>
      </w:pPr>
      <w:r w:rsidRPr="003B5694">
        <w:rPr>
          <w:rFonts w:ascii="Arial" w:hAnsi="Arial" w:cs="Arial"/>
          <w:sz w:val="20"/>
          <w:szCs w:val="20"/>
        </w:rPr>
        <w:t>In contrast, other socio-demographic variables—including household headship, marital status, presence of children, household size, age, social category, religion, education, rural residence, type of ration card, asset ownership, access to credit, digital access, and multiple job holding—do not exhibit statistically significant effects. Although a few variables show positive coefficients, their independent influence remains weak. These findings suggest that economic capacity, rather than demographic or identity-based characteristics, primarily determines social security inclusion among women gig workers in the region. Addressing this structural imbalance requires coordinated efforts among government agencies, platform companies, trade unions, and civil society organisations.</w:t>
      </w:r>
    </w:p>
    <w:p w14:paraId="4EDDC4BE" w14:textId="77777777" w:rsidR="00E02899" w:rsidRPr="003B5694" w:rsidRDefault="00E02899" w:rsidP="00E02899">
      <w:pPr>
        <w:spacing w:before="240" w:after="0" w:line="360" w:lineRule="auto"/>
        <w:jc w:val="both"/>
        <w:rPr>
          <w:rFonts w:ascii="Arial" w:hAnsi="Arial" w:cs="Arial"/>
          <w:sz w:val="20"/>
          <w:szCs w:val="20"/>
        </w:rPr>
      </w:pPr>
      <w:r w:rsidRPr="003B5694">
        <w:rPr>
          <w:rFonts w:ascii="Arial" w:hAnsi="Arial" w:cs="Arial"/>
          <w:sz w:val="20"/>
          <w:szCs w:val="20"/>
        </w:rPr>
        <w:t xml:space="preserve">The findings reveal a policy paradox: women who are relatively better off economically are more likely to secure social protection, whereas those with lower incomes—who require support most urgently—face greater exclusion. Barriers such as contribution requirements, documentation constraints, limited awareness, and procedural complexity may disproportionately affect low-income workers. Policy interventions should therefore adopt income-sensitive approaches, including subsidised or state-supported contributions, simplified registration processes, and targeted outreach. Measures to enhance financial inclusion—such as zero-balance accounts, micro-insurance options, and affordable credit—can strengthen income stability and facilitate participation in social security schemes. Linking women gig workers with cooperative banking institutions and self-help group networks, including initiatives such as </w:t>
      </w:r>
      <w:proofErr w:type="spellStart"/>
      <w:r w:rsidRPr="003B5694">
        <w:rPr>
          <w:rFonts w:ascii="Arial" w:hAnsi="Arial" w:cs="Arial"/>
          <w:sz w:val="20"/>
          <w:szCs w:val="20"/>
        </w:rPr>
        <w:t>Kudumbashree</w:t>
      </w:r>
      <w:proofErr w:type="spellEnd"/>
      <w:r w:rsidRPr="003B5694">
        <w:rPr>
          <w:rFonts w:ascii="Arial" w:hAnsi="Arial" w:cs="Arial"/>
          <w:sz w:val="20"/>
          <w:szCs w:val="20"/>
        </w:rPr>
        <w:t>, can further enhance financial resilience. Skill development programmes focused on digital literacy, financial management, and occupational safety would also improve earning capacity and long-term inclusion.</w:t>
      </w:r>
    </w:p>
    <w:p w14:paraId="2CD19746" w14:textId="77777777" w:rsidR="00E02899" w:rsidRPr="003B5694" w:rsidRDefault="00E02899" w:rsidP="00E02899">
      <w:pPr>
        <w:spacing w:before="240" w:after="0" w:line="360" w:lineRule="auto"/>
        <w:jc w:val="both"/>
        <w:rPr>
          <w:rFonts w:ascii="Arial" w:hAnsi="Arial" w:cs="Arial"/>
          <w:sz w:val="20"/>
          <w:szCs w:val="20"/>
        </w:rPr>
      </w:pPr>
      <w:r w:rsidRPr="003B5694">
        <w:rPr>
          <w:rFonts w:ascii="Arial" w:hAnsi="Arial" w:cs="Arial"/>
          <w:sz w:val="20"/>
          <w:szCs w:val="20"/>
        </w:rPr>
        <w:t>Women gig workers should also be formally recognised within labour legislation as a distinct category of workers. While the Code on Social Security acknowledges gig and platform workers, its effective implementation at the state level requires stronger operational mechanisms. The state may establish clear guidelines mandating registration of women gig workers and platform aggregators under a unified framework. Social protection mechanisms must remain portable across platforms and regions to reflect the fluid nature of gig employment. A hybrid contributory–non-contributory model, jointly supported by the state, platform companies, and workers, can enhance coverage. Integration with existing welfare schemes would ensure continuity of benefits, including health insurance, maternity assistance, pensions, and accident coverage. Establishing a dedicated Gig Workers’ Welfare Board, supported by transparent compliance standards, periodic audits, and grievance redressal systems, would strengthen accountability. Sustained public–private collaboration is essential to institutionalise inclusive social protection within platform-based employment systems.</w:t>
      </w:r>
    </w:p>
    <w:p w14:paraId="7FA521A2" w14:textId="77777777" w:rsidR="00E02899" w:rsidRPr="003B5694" w:rsidRDefault="00E02899" w:rsidP="00E02899">
      <w:pPr>
        <w:spacing w:before="240" w:after="0" w:line="360" w:lineRule="auto"/>
        <w:jc w:val="both"/>
        <w:rPr>
          <w:rFonts w:ascii="Arial" w:hAnsi="Arial" w:cs="Arial"/>
          <w:sz w:val="20"/>
          <w:szCs w:val="20"/>
        </w:rPr>
      </w:pPr>
      <w:r w:rsidRPr="003B5694">
        <w:rPr>
          <w:rFonts w:ascii="Arial" w:hAnsi="Arial" w:cs="Arial"/>
          <w:sz w:val="20"/>
          <w:szCs w:val="20"/>
        </w:rPr>
        <w:t xml:space="preserve">Considering the swift expansion of digital platform work across the Malabar region, the Government of Kerala may contemplate introducing a separate, gender-responsive social security system for gig workers. Aligning welfare schemes with income-based eligibility criteria, strengthening digital facilitation through local self-government institutions, and integrating gig workers into existing welfare boards could </w:t>
      </w:r>
      <w:r w:rsidRPr="003B5694">
        <w:rPr>
          <w:rFonts w:ascii="Arial" w:hAnsi="Arial" w:cs="Arial"/>
          <w:sz w:val="20"/>
          <w:szCs w:val="20"/>
        </w:rPr>
        <w:lastRenderedPageBreak/>
        <w:t>reduce exclusion. Since income emerges as the central determinant, broader measures that promote earnings stability—such as minimum earning guarantees, transparent payment systems, and skill upgradation initiatives—would indirectly enhance access to social protection.</w:t>
      </w:r>
    </w:p>
    <w:p w14:paraId="7D082F72" w14:textId="0BDCABF1" w:rsidR="00E02899" w:rsidRPr="00E02899" w:rsidRDefault="00E02899" w:rsidP="00E02899">
      <w:pPr>
        <w:spacing w:before="240" w:after="0" w:line="360" w:lineRule="auto"/>
        <w:jc w:val="both"/>
        <w:rPr>
          <w:rFonts w:ascii="Arial" w:hAnsi="Arial" w:cs="Arial"/>
          <w:b/>
          <w:bCs/>
        </w:rPr>
      </w:pPr>
      <w:r w:rsidRPr="00E02899">
        <w:rPr>
          <w:rFonts w:ascii="Arial" w:hAnsi="Arial" w:cs="Arial"/>
          <w:b/>
          <w:bCs/>
        </w:rPr>
        <w:t xml:space="preserve">7 </w:t>
      </w:r>
      <w:proofErr w:type="gramStart"/>
      <w:r w:rsidRPr="00E02899">
        <w:rPr>
          <w:rFonts w:ascii="Arial" w:hAnsi="Arial" w:cs="Arial"/>
          <w:b/>
          <w:bCs/>
        </w:rPr>
        <w:t>CONCLUSION</w:t>
      </w:r>
      <w:proofErr w:type="gramEnd"/>
      <w:r w:rsidRPr="00E02899">
        <w:rPr>
          <w:rFonts w:ascii="Arial" w:hAnsi="Arial" w:cs="Arial"/>
          <w:b/>
          <w:bCs/>
        </w:rPr>
        <w:t xml:space="preserve"> </w:t>
      </w:r>
    </w:p>
    <w:p w14:paraId="3E112253" w14:textId="77777777" w:rsidR="00E02899" w:rsidRPr="003B5694" w:rsidRDefault="00E02899" w:rsidP="00E02899">
      <w:pPr>
        <w:spacing w:before="240" w:after="0" w:line="360" w:lineRule="auto"/>
        <w:jc w:val="both"/>
        <w:rPr>
          <w:rFonts w:ascii="Arial" w:hAnsi="Arial" w:cs="Arial"/>
          <w:sz w:val="20"/>
          <w:szCs w:val="20"/>
        </w:rPr>
      </w:pPr>
      <w:r w:rsidRPr="003B5694">
        <w:rPr>
          <w:rFonts w:ascii="Arial" w:hAnsi="Arial" w:cs="Arial"/>
          <w:sz w:val="20"/>
          <w:szCs w:val="20"/>
        </w:rPr>
        <w:t>This study examined the determinants of access to social security benefits among women gig workers in the Malabar region of Kerala, covering Kannur, Kozhikode, and Malappuram districts. Addressing the persistent gap in social protection coverage, the analysis employed a binary logistic regression model incorporating a broad set of socio-demographic and economic variables. The results indicate that monthly family income is the only statistically significant predictor of access to social security benefits. The positive and significant coefficient (β = 0.648, p = 0.009) demonstrates that higher income substantially increases the likelihood of access, with the odds ratio (1.912) suggesting that a rise in income nearly doubles the probability of securing benefits, controlling for other factors. The chi-square results further confirm a significant association between income level and social security access, reinforcing the robustness of the findings across both bivariate and multivariate analyses. The evidence clearly establishes income as a decisive determinant of social security inclusion among women gig workers. By offering quantitative, gender-focused insights, the study contributes to the expanding body of scholarship on platform-based labour. It underscores the need for targeted, gender-responsive policy interventions, strengthen digital capabilities, and foster coordination between platform companies and public institutions to ensure inclusive and portable social protection mechanisms.</w:t>
      </w:r>
    </w:p>
    <w:p w14:paraId="10984669" w14:textId="723CCE99" w:rsidR="00034823" w:rsidRPr="003657FE" w:rsidRDefault="00034823" w:rsidP="009428CA">
      <w:pPr>
        <w:spacing w:before="240" w:line="360" w:lineRule="auto"/>
        <w:rPr>
          <w:rFonts w:ascii="Arial" w:hAnsi="Arial" w:cs="Arial"/>
          <w:b/>
          <w:bCs/>
        </w:rPr>
      </w:pPr>
      <w:r w:rsidRPr="003657FE">
        <w:rPr>
          <w:rFonts w:ascii="Arial" w:hAnsi="Arial" w:cs="Arial"/>
          <w:b/>
          <w:bCs/>
        </w:rPr>
        <w:t>DISCLAIMER (ARTIFICIAL INTELLIGENCE)</w:t>
      </w:r>
    </w:p>
    <w:p w14:paraId="58A06069" w14:textId="20E150F9" w:rsidR="00034823" w:rsidRPr="009428CA" w:rsidRDefault="00034823" w:rsidP="009428CA">
      <w:pPr>
        <w:spacing w:line="360" w:lineRule="auto"/>
        <w:jc w:val="both"/>
        <w:rPr>
          <w:rFonts w:ascii="Arial" w:hAnsi="Arial" w:cs="Arial"/>
        </w:rPr>
      </w:pPr>
      <w:r w:rsidRPr="003657FE">
        <w:rPr>
          <w:rFonts w:ascii="Arial" w:hAnsi="Arial" w:cs="Arial"/>
        </w:rPr>
        <w:t>The author</w:t>
      </w:r>
      <w:r w:rsidR="009428CA">
        <w:rPr>
          <w:rFonts w:ascii="Arial" w:hAnsi="Arial" w:cs="Arial"/>
        </w:rPr>
        <w:t>s</w:t>
      </w:r>
      <w:r w:rsidRPr="003657FE">
        <w:rPr>
          <w:rFonts w:ascii="Arial" w:hAnsi="Arial" w:cs="Arial"/>
        </w:rPr>
        <w:t xml:space="preserve"> hereby declare that generative AI technologies</w:t>
      </w:r>
      <w:r>
        <w:rPr>
          <w:rFonts w:ascii="Arial" w:hAnsi="Arial" w:cs="Arial"/>
        </w:rPr>
        <w:t xml:space="preserve"> </w:t>
      </w:r>
      <w:r w:rsidRPr="003657FE">
        <w:rPr>
          <w:rFonts w:ascii="Arial" w:hAnsi="Arial" w:cs="Arial"/>
        </w:rPr>
        <w:t>were utilized during the writing and editing of this manuscript. This disclosure includes the name, version, model, and source of the generative AI technology, as well as the input prompts provided.</w:t>
      </w:r>
    </w:p>
    <w:p w14:paraId="1B9F72EA" w14:textId="4ED76D5E" w:rsidR="00034823" w:rsidRPr="003657FE" w:rsidRDefault="00034823" w:rsidP="00034823">
      <w:pPr>
        <w:spacing w:line="360" w:lineRule="auto"/>
        <w:rPr>
          <w:rFonts w:ascii="Arial" w:hAnsi="Arial" w:cs="Arial"/>
          <w:b/>
          <w:bCs/>
        </w:rPr>
      </w:pPr>
      <w:r w:rsidRPr="003657FE">
        <w:rPr>
          <w:rFonts w:ascii="Arial" w:hAnsi="Arial" w:cs="Arial"/>
          <w:b/>
          <w:bCs/>
        </w:rPr>
        <w:t>Details of AI Usage</w:t>
      </w:r>
    </w:p>
    <w:p w14:paraId="4F083B85" w14:textId="77777777" w:rsidR="00034823" w:rsidRPr="00E00C1B" w:rsidRDefault="00034823" w:rsidP="00034823">
      <w:pPr>
        <w:spacing w:line="360" w:lineRule="auto"/>
        <w:jc w:val="both"/>
        <w:rPr>
          <w:rFonts w:ascii="Arial" w:hAnsi="Arial" w:cs="Arial"/>
        </w:rPr>
      </w:pPr>
      <w:r w:rsidRPr="00E00C1B">
        <w:rPr>
          <w:rFonts w:ascii="Arial" w:hAnsi="Arial" w:cs="Arial"/>
        </w:rPr>
        <w:t xml:space="preserve">ChatGPT, version </w:t>
      </w:r>
      <w:r>
        <w:rPr>
          <w:rFonts w:ascii="Arial" w:hAnsi="Arial" w:cs="Arial"/>
        </w:rPr>
        <w:t>5</w:t>
      </w:r>
      <w:r w:rsidRPr="00E00C1B">
        <w:rPr>
          <w:rFonts w:ascii="Arial" w:hAnsi="Arial" w:cs="Arial"/>
        </w:rPr>
        <w:t>.0, developed by OpenAI</w:t>
      </w:r>
      <w:r w:rsidRPr="003657FE">
        <w:rPr>
          <w:rFonts w:ascii="Arial" w:hAnsi="Arial" w:cs="Arial"/>
        </w:rPr>
        <w:t xml:space="preserve">, was used for language correction in select sections of the manuscript. Input prompt used: </w:t>
      </w:r>
      <w:r w:rsidRPr="00E00C1B">
        <w:rPr>
          <w:rFonts w:ascii="Arial" w:hAnsi="Arial" w:cs="Arial"/>
        </w:rPr>
        <w:t>“Correct and improve language.”</w:t>
      </w:r>
    </w:p>
    <w:p w14:paraId="09E04638" w14:textId="77777777" w:rsidR="00034823" w:rsidRDefault="00034823" w:rsidP="00034823">
      <w:pPr>
        <w:spacing w:line="360" w:lineRule="auto"/>
        <w:rPr>
          <w:rFonts w:ascii="Arial" w:hAnsi="Arial" w:cs="Arial"/>
          <w:b/>
          <w:bCs/>
        </w:rPr>
      </w:pPr>
      <w:r w:rsidRPr="003657FE">
        <w:rPr>
          <w:rFonts w:ascii="Arial" w:hAnsi="Arial" w:cs="Arial"/>
          <w:b/>
          <w:bCs/>
        </w:rPr>
        <w:t>COMPETING INTERESTS</w:t>
      </w:r>
    </w:p>
    <w:p w14:paraId="2AAED7C4" w14:textId="3DEB772B" w:rsidR="00034823" w:rsidRDefault="009428CA" w:rsidP="00034823">
      <w:pPr>
        <w:spacing w:line="360" w:lineRule="auto"/>
        <w:rPr>
          <w:rFonts w:ascii="Arial" w:hAnsi="Arial" w:cs="Arial"/>
        </w:rPr>
      </w:pPr>
      <w:r w:rsidRPr="009428CA">
        <w:rPr>
          <w:rFonts w:ascii="Arial" w:hAnsi="Arial" w:cs="Arial"/>
        </w:rPr>
        <w:t>The authors declare that they have no competing interests</w:t>
      </w:r>
      <w:r w:rsidR="00034823" w:rsidRPr="003657FE">
        <w:rPr>
          <w:rFonts w:ascii="Arial" w:hAnsi="Arial" w:cs="Arial"/>
        </w:rPr>
        <w:t>.</w:t>
      </w:r>
    </w:p>
    <w:p w14:paraId="2F1D9D8A" w14:textId="77777777" w:rsidR="0023710D" w:rsidRPr="0023710D" w:rsidRDefault="0023710D" w:rsidP="0023710D">
      <w:pPr>
        <w:spacing w:line="360" w:lineRule="auto"/>
        <w:rPr>
          <w:rFonts w:ascii="Arial" w:hAnsi="Arial" w:cs="Arial"/>
        </w:rPr>
      </w:pPr>
      <w:r w:rsidRPr="0023710D">
        <w:rPr>
          <w:rFonts w:ascii="Arial" w:hAnsi="Arial" w:cs="Arial"/>
        </w:rPr>
        <w:t>COMPETING INTERESTS DISCLAIMER:</w:t>
      </w:r>
    </w:p>
    <w:p w14:paraId="6CCC020C" w14:textId="1E318596" w:rsidR="0023710D" w:rsidRPr="00034823" w:rsidRDefault="0023710D" w:rsidP="0023710D">
      <w:pPr>
        <w:spacing w:line="360" w:lineRule="auto"/>
        <w:rPr>
          <w:rFonts w:ascii="Arial" w:hAnsi="Arial" w:cs="Arial"/>
        </w:rPr>
      </w:pPr>
      <w:r w:rsidRPr="0023710D">
        <w:rPr>
          <w:rFonts w:ascii="Arial" w:hAnsi="Arial" w:cs="Arial"/>
        </w:rPr>
        <w:t>Authors have declared that they have no known competing financial interests OR non-financial interests OR personal relationships that could have appeared to influence the work reported in this paper.</w:t>
      </w:r>
    </w:p>
    <w:p w14:paraId="5ED0805B" w14:textId="03FCC27B" w:rsidR="002A415E" w:rsidRPr="0059717B" w:rsidRDefault="0059717B" w:rsidP="0059717B">
      <w:pPr>
        <w:spacing w:before="240" w:after="0" w:line="360" w:lineRule="auto"/>
        <w:jc w:val="both"/>
        <w:rPr>
          <w:rFonts w:ascii="Arial" w:hAnsi="Arial" w:cs="Arial"/>
          <w:b/>
          <w:bCs/>
        </w:rPr>
      </w:pPr>
      <w:r w:rsidRPr="0059717B">
        <w:rPr>
          <w:rFonts w:ascii="Arial" w:hAnsi="Arial" w:cs="Arial"/>
          <w:b/>
          <w:bCs/>
        </w:rPr>
        <w:t xml:space="preserve">REFERENCES </w:t>
      </w:r>
    </w:p>
    <w:p w14:paraId="2DF2E52E" w14:textId="77777777" w:rsidR="00330AAB" w:rsidRPr="0064123A" w:rsidRDefault="00330AAB" w:rsidP="00330AAB">
      <w:pPr>
        <w:spacing w:before="240" w:after="0" w:line="360" w:lineRule="auto"/>
        <w:jc w:val="both"/>
        <w:rPr>
          <w:rFonts w:ascii="Arial" w:hAnsi="Arial" w:cs="Arial"/>
          <w:sz w:val="20"/>
          <w:szCs w:val="20"/>
        </w:rPr>
      </w:pPr>
      <w:r w:rsidRPr="0064123A">
        <w:rPr>
          <w:rFonts w:ascii="Arial" w:hAnsi="Arial" w:cs="Arial"/>
          <w:sz w:val="20"/>
          <w:szCs w:val="20"/>
        </w:rPr>
        <w:lastRenderedPageBreak/>
        <w:t xml:space="preserve">Agrawal, D., &amp; Bhukya, R. (2022). Effects of the gig economy on the workplace: A contemporary Indian </w:t>
      </w:r>
    </w:p>
    <w:p w14:paraId="10BBA936" w14:textId="40057F56" w:rsidR="00330AAB" w:rsidRPr="0064123A" w:rsidRDefault="00330AAB" w:rsidP="00330AAB">
      <w:pPr>
        <w:spacing w:after="0" w:line="360" w:lineRule="auto"/>
        <w:ind w:firstLine="360"/>
        <w:jc w:val="both"/>
        <w:rPr>
          <w:rFonts w:ascii="Arial" w:hAnsi="Arial" w:cs="Arial"/>
          <w:sz w:val="20"/>
          <w:szCs w:val="20"/>
        </w:rPr>
      </w:pPr>
      <w:r w:rsidRPr="0064123A">
        <w:rPr>
          <w:rFonts w:ascii="Arial" w:hAnsi="Arial" w:cs="Arial"/>
          <w:sz w:val="20"/>
          <w:szCs w:val="20"/>
        </w:rPr>
        <w:t xml:space="preserve">perspective study. </w:t>
      </w:r>
      <w:r w:rsidRPr="0064123A">
        <w:rPr>
          <w:rFonts w:ascii="Arial" w:hAnsi="Arial" w:cs="Arial"/>
          <w:i/>
          <w:iCs/>
          <w:sz w:val="20"/>
          <w:szCs w:val="20"/>
        </w:rPr>
        <w:t>International Journal of Health Sciences, 6</w:t>
      </w:r>
      <w:r w:rsidRPr="0064123A">
        <w:rPr>
          <w:rFonts w:ascii="Arial" w:hAnsi="Arial" w:cs="Arial"/>
          <w:sz w:val="20"/>
          <w:szCs w:val="20"/>
        </w:rPr>
        <w:t>(3), 2701–2718.</w:t>
      </w:r>
    </w:p>
    <w:p w14:paraId="5B07E145" w14:textId="77777777" w:rsidR="00330AAB" w:rsidRPr="0064123A" w:rsidRDefault="00330AAB" w:rsidP="00330AAB">
      <w:pPr>
        <w:spacing w:before="240" w:after="0" w:line="360" w:lineRule="auto"/>
        <w:jc w:val="both"/>
        <w:rPr>
          <w:rFonts w:ascii="Arial" w:hAnsi="Arial" w:cs="Arial"/>
          <w:i/>
          <w:iCs/>
          <w:sz w:val="20"/>
          <w:szCs w:val="20"/>
        </w:rPr>
      </w:pPr>
      <w:r w:rsidRPr="0064123A">
        <w:rPr>
          <w:rFonts w:ascii="Arial" w:hAnsi="Arial" w:cs="Arial"/>
          <w:sz w:val="20"/>
          <w:szCs w:val="20"/>
        </w:rPr>
        <w:t xml:space="preserve">Becker, G. S. (1964). </w:t>
      </w:r>
      <w:r w:rsidRPr="0064123A">
        <w:rPr>
          <w:rFonts w:ascii="Arial" w:hAnsi="Arial" w:cs="Arial"/>
          <w:i/>
          <w:iCs/>
          <w:sz w:val="20"/>
          <w:szCs w:val="20"/>
        </w:rPr>
        <w:t xml:space="preserve">Human capital: A theoretical and empirical analysis, with special reference to </w:t>
      </w:r>
    </w:p>
    <w:p w14:paraId="0A573F4F" w14:textId="24F4B671" w:rsidR="00330AAB" w:rsidRPr="0064123A" w:rsidRDefault="00330AAB" w:rsidP="00330AAB">
      <w:pPr>
        <w:spacing w:after="0" w:line="360" w:lineRule="auto"/>
        <w:ind w:firstLine="360"/>
        <w:jc w:val="both"/>
        <w:rPr>
          <w:rFonts w:ascii="Arial" w:hAnsi="Arial" w:cs="Arial"/>
          <w:sz w:val="20"/>
          <w:szCs w:val="20"/>
        </w:rPr>
      </w:pPr>
      <w:r w:rsidRPr="0064123A">
        <w:rPr>
          <w:rFonts w:ascii="Arial" w:hAnsi="Arial" w:cs="Arial"/>
          <w:i/>
          <w:iCs/>
          <w:sz w:val="20"/>
          <w:szCs w:val="20"/>
        </w:rPr>
        <w:t>education</w:t>
      </w:r>
      <w:r w:rsidRPr="0064123A">
        <w:rPr>
          <w:rFonts w:ascii="Arial" w:hAnsi="Arial" w:cs="Arial"/>
          <w:sz w:val="20"/>
          <w:szCs w:val="20"/>
        </w:rPr>
        <w:t>. University of Chicago Press.</w:t>
      </w:r>
    </w:p>
    <w:p w14:paraId="155DEB1F" w14:textId="77777777" w:rsidR="00330AAB" w:rsidRPr="0064123A" w:rsidRDefault="00330AAB" w:rsidP="00330AAB">
      <w:pPr>
        <w:spacing w:before="240" w:after="0" w:line="360" w:lineRule="auto"/>
        <w:jc w:val="both"/>
        <w:rPr>
          <w:rFonts w:ascii="Arial" w:hAnsi="Arial" w:cs="Arial"/>
          <w:sz w:val="20"/>
          <w:szCs w:val="20"/>
        </w:rPr>
      </w:pPr>
      <w:proofErr w:type="spellStart"/>
      <w:r w:rsidRPr="0064123A">
        <w:rPr>
          <w:rFonts w:ascii="Arial" w:hAnsi="Arial" w:cs="Arial"/>
          <w:sz w:val="20"/>
          <w:szCs w:val="20"/>
        </w:rPr>
        <w:t>Benería</w:t>
      </w:r>
      <w:proofErr w:type="spellEnd"/>
      <w:r w:rsidRPr="0064123A">
        <w:rPr>
          <w:rFonts w:ascii="Arial" w:hAnsi="Arial" w:cs="Arial"/>
          <w:sz w:val="20"/>
          <w:szCs w:val="20"/>
        </w:rPr>
        <w:t xml:space="preserve">, L. (2016). </w:t>
      </w:r>
      <w:r w:rsidRPr="0064123A">
        <w:rPr>
          <w:rFonts w:ascii="Arial" w:hAnsi="Arial" w:cs="Arial"/>
          <w:i/>
          <w:iCs/>
          <w:sz w:val="20"/>
          <w:szCs w:val="20"/>
        </w:rPr>
        <w:t>Gender, development, and globalization: Economics as if all people mattered</w:t>
      </w:r>
      <w:r w:rsidRPr="0064123A">
        <w:rPr>
          <w:rFonts w:ascii="Arial" w:hAnsi="Arial" w:cs="Arial"/>
          <w:sz w:val="20"/>
          <w:szCs w:val="20"/>
        </w:rPr>
        <w:t xml:space="preserve"> (2nd </w:t>
      </w:r>
    </w:p>
    <w:p w14:paraId="50246023" w14:textId="2BEBEFDE" w:rsidR="00330AAB" w:rsidRPr="0064123A" w:rsidRDefault="00330AAB" w:rsidP="00330AAB">
      <w:pPr>
        <w:spacing w:after="0" w:line="360" w:lineRule="auto"/>
        <w:ind w:firstLine="360"/>
        <w:jc w:val="both"/>
        <w:rPr>
          <w:rFonts w:ascii="Arial" w:hAnsi="Arial" w:cs="Arial"/>
          <w:sz w:val="20"/>
          <w:szCs w:val="20"/>
        </w:rPr>
      </w:pPr>
      <w:r w:rsidRPr="0064123A">
        <w:rPr>
          <w:rFonts w:ascii="Arial" w:hAnsi="Arial" w:cs="Arial"/>
          <w:sz w:val="20"/>
          <w:szCs w:val="20"/>
        </w:rPr>
        <w:t>ed.). Routledge.</w:t>
      </w:r>
    </w:p>
    <w:p w14:paraId="55CB2FCF" w14:textId="77777777" w:rsidR="00330AAB" w:rsidRPr="0064123A" w:rsidRDefault="00330AAB" w:rsidP="00330AAB">
      <w:pPr>
        <w:spacing w:before="240" w:after="0" w:line="360" w:lineRule="auto"/>
        <w:jc w:val="both"/>
        <w:rPr>
          <w:rFonts w:ascii="Arial" w:hAnsi="Arial" w:cs="Arial"/>
          <w:sz w:val="20"/>
          <w:szCs w:val="20"/>
        </w:rPr>
      </w:pPr>
      <w:r w:rsidRPr="0064123A">
        <w:rPr>
          <w:rFonts w:ascii="Arial" w:hAnsi="Arial" w:cs="Arial"/>
          <w:sz w:val="20"/>
          <w:szCs w:val="20"/>
        </w:rPr>
        <w:t xml:space="preserve">Chen, X., Li, Y., &amp; Others. (2025). Factors influencing entry into the gig economy and social security </w:t>
      </w:r>
    </w:p>
    <w:p w14:paraId="1E88FF86" w14:textId="19A47939" w:rsidR="00330AAB" w:rsidRPr="0064123A" w:rsidRDefault="00330AAB" w:rsidP="00330AAB">
      <w:pPr>
        <w:spacing w:after="0" w:line="360" w:lineRule="auto"/>
        <w:ind w:firstLine="360"/>
        <w:jc w:val="both"/>
        <w:rPr>
          <w:rFonts w:ascii="Arial" w:hAnsi="Arial" w:cs="Arial"/>
          <w:sz w:val="20"/>
          <w:szCs w:val="20"/>
        </w:rPr>
      </w:pPr>
      <w:r w:rsidRPr="0064123A">
        <w:rPr>
          <w:rFonts w:ascii="Arial" w:hAnsi="Arial" w:cs="Arial"/>
          <w:sz w:val="20"/>
          <w:szCs w:val="20"/>
        </w:rPr>
        <w:t xml:space="preserve">implications in China. </w:t>
      </w:r>
      <w:r w:rsidRPr="0064123A">
        <w:rPr>
          <w:rFonts w:ascii="Arial" w:hAnsi="Arial" w:cs="Arial"/>
          <w:i/>
          <w:iCs/>
          <w:sz w:val="20"/>
          <w:szCs w:val="20"/>
        </w:rPr>
        <w:t>Journal of Labour Studies</w:t>
      </w:r>
      <w:r w:rsidRPr="0064123A">
        <w:rPr>
          <w:rFonts w:ascii="Arial" w:hAnsi="Arial" w:cs="Arial"/>
          <w:sz w:val="20"/>
          <w:szCs w:val="20"/>
        </w:rPr>
        <w:t>. Advance online publication.</w:t>
      </w:r>
    </w:p>
    <w:p w14:paraId="34CD0D0B" w14:textId="77777777" w:rsidR="00330AAB" w:rsidRPr="0064123A" w:rsidRDefault="00330AAB" w:rsidP="00330AAB">
      <w:pPr>
        <w:spacing w:before="240" w:after="0" w:line="360" w:lineRule="auto"/>
        <w:jc w:val="both"/>
        <w:rPr>
          <w:rFonts w:ascii="Arial" w:hAnsi="Arial" w:cs="Arial"/>
          <w:sz w:val="20"/>
          <w:szCs w:val="20"/>
        </w:rPr>
      </w:pPr>
      <w:proofErr w:type="spellStart"/>
      <w:r w:rsidRPr="0064123A">
        <w:rPr>
          <w:rFonts w:ascii="Arial" w:hAnsi="Arial" w:cs="Arial"/>
          <w:sz w:val="20"/>
          <w:szCs w:val="20"/>
        </w:rPr>
        <w:t>Deepashree</w:t>
      </w:r>
      <w:proofErr w:type="spellEnd"/>
      <w:r w:rsidRPr="0064123A">
        <w:rPr>
          <w:rFonts w:ascii="Arial" w:hAnsi="Arial" w:cs="Arial"/>
          <w:sz w:val="20"/>
          <w:szCs w:val="20"/>
        </w:rPr>
        <w:t xml:space="preserve">, R. (2025). A comprehensive analysis of India’s gig economy: Legal frameworks, </w:t>
      </w:r>
    </w:p>
    <w:p w14:paraId="08BF853C" w14:textId="10EB7AA7" w:rsidR="00330AAB" w:rsidRPr="0064123A" w:rsidRDefault="00330AAB" w:rsidP="00330AAB">
      <w:pPr>
        <w:spacing w:after="0" w:line="360" w:lineRule="auto"/>
        <w:ind w:left="360"/>
        <w:jc w:val="both"/>
        <w:rPr>
          <w:rFonts w:ascii="Arial" w:hAnsi="Arial" w:cs="Arial"/>
          <w:sz w:val="20"/>
          <w:szCs w:val="20"/>
        </w:rPr>
      </w:pPr>
      <w:r w:rsidRPr="0064123A">
        <w:rPr>
          <w:rFonts w:ascii="Arial" w:hAnsi="Arial" w:cs="Arial"/>
          <w:sz w:val="20"/>
          <w:szCs w:val="20"/>
        </w:rPr>
        <w:t xml:space="preserve">algorithmic governance, and social realities. </w:t>
      </w:r>
      <w:r w:rsidRPr="0064123A">
        <w:rPr>
          <w:rFonts w:ascii="Arial" w:hAnsi="Arial" w:cs="Arial"/>
          <w:i/>
          <w:iCs/>
          <w:sz w:val="20"/>
          <w:szCs w:val="20"/>
        </w:rPr>
        <w:t>International Journal of Law, Social Science and Security Studies, 3</w:t>
      </w:r>
      <w:r w:rsidRPr="0064123A">
        <w:rPr>
          <w:rFonts w:ascii="Arial" w:hAnsi="Arial" w:cs="Arial"/>
          <w:sz w:val="20"/>
          <w:szCs w:val="20"/>
        </w:rPr>
        <w:t>(4), 532–546.</w:t>
      </w:r>
    </w:p>
    <w:p w14:paraId="36529DA2" w14:textId="77777777" w:rsidR="00330AAB" w:rsidRPr="0064123A" w:rsidRDefault="00330AAB" w:rsidP="00330AAB">
      <w:pPr>
        <w:spacing w:before="240" w:after="0" w:line="360" w:lineRule="auto"/>
        <w:jc w:val="both"/>
        <w:rPr>
          <w:rFonts w:ascii="Arial" w:hAnsi="Arial" w:cs="Arial"/>
          <w:sz w:val="20"/>
          <w:szCs w:val="20"/>
        </w:rPr>
      </w:pPr>
      <w:r w:rsidRPr="0064123A">
        <w:rPr>
          <w:rFonts w:ascii="Arial" w:hAnsi="Arial" w:cs="Arial"/>
          <w:sz w:val="20"/>
          <w:szCs w:val="20"/>
        </w:rPr>
        <w:t xml:space="preserve">Deshpande, A., &amp; Kabeer, N. (2019). Cultural barriers and gendered constraints in informal work. </w:t>
      </w:r>
    </w:p>
    <w:p w14:paraId="36670233" w14:textId="04F7ED2D" w:rsidR="00330AAB" w:rsidRPr="0064123A" w:rsidRDefault="00330AAB" w:rsidP="00330AAB">
      <w:pPr>
        <w:spacing w:after="0" w:line="360" w:lineRule="auto"/>
        <w:ind w:firstLine="360"/>
        <w:jc w:val="both"/>
        <w:rPr>
          <w:rFonts w:ascii="Arial" w:hAnsi="Arial" w:cs="Arial"/>
          <w:sz w:val="20"/>
          <w:szCs w:val="20"/>
        </w:rPr>
      </w:pPr>
      <w:r w:rsidRPr="0064123A">
        <w:rPr>
          <w:rFonts w:ascii="Arial" w:hAnsi="Arial" w:cs="Arial"/>
          <w:i/>
          <w:iCs/>
          <w:sz w:val="20"/>
          <w:szCs w:val="20"/>
        </w:rPr>
        <w:t>International Journal of Engineering Technologies and Management Research</w:t>
      </w:r>
      <w:r w:rsidRPr="0064123A">
        <w:rPr>
          <w:rFonts w:ascii="Arial" w:hAnsi="Arial" w:cs="Arial"/>
          <w:sz w:val="20"/>
          <w:szCs w:val="20"/>
        </w:rPr>
        <w:t>, 36–45.</w:t>
      </w:r>
    </w:p>
    <w:p w14:paraId="608198CA" w14:textId="77777777" w:rsidR="00330AAB" w:rsidRPr="0064123A" w:rsidRDefault="00330AAB" w:rsidP="00330AAB">
      <w:pPr>
        <w:spacing w:before="240" w:after="0" w:line="360" w:lineRule="auto"/>
        <w:jc w:val="both"/>
        <w:rPr>
          <w:rFonts w:ascii="Arial" w:hAnsi="Arial" w:cs="Arial"/>
          <w:sz w:val="20"/>
          <w:szCs w:val="20"/>
        </w:rPr>
      </w:pPr>
      <w:proofErr w:type="spellStart"/>
      <w:r w:rsidRPr="0064123A">
        <w:rPr>
          <w:rFonts w:ascii="Arial" w:hAnsi="Arial" w:cs="Arial"/>
          <w:sz w:val="20"/>
          <w:szCs w:val="20"/>
        </w:rPr>
        <w:t>Dokuka</w:t>
      </w:r>
      <w:proofErr w:type="spellEnd"/>
      <w:r w:rsidRPr="0064123A">
        <w:rPr>
          <w:rFonts w:ascii="Arial" w:hAnsi="Arial" w:cs="Arial"/>
          <w:sz w:val="20"/>
          <w:szCs w:val="20"/>
        </w:rPr>
        <w:t xml:space="preserve">, S., </w:t>
      </w:r>
      <w:proofErr w:type="spellStart"/>
      <w:r w:rsidRPr="0064123A">
        <w:rPr>
          <w:rFonts w:ascii="Arial" w:hAnsi="Arial" w:cs="Arial"/>
          <w:sz w:val="20"/>
          <w:szCs w:val="20"/>
        </w:rPr>
        <w:t>Kapuza</w:t>
      </w:r>
      <w:proofErr w:type="spellEnd"/>
      <w:r w:rsidRPr="0064123A">
        <w:rPr>
          <w:rFonts w:ascii="Arial" w:hAnsi="Arial" w:cs="Arial"/>
          <w:sz w:val="20"/>
          <w:szCs w:val="20"/>
        </w:rPr>
        <w:t xml:space="preserve">, A., Sverdlov, M., &amp; Yalov, T. (2022). Women in gig economy work less in the </w:t>
      </w:r>
    </w:p>
    <w:p w14:paraId="28CC293C" w14:textId="7B289FA6" w:rsidR="00330AAB" w:rsidRPr="0064123A" w:rsidRDefault="00330AAB" w:rsidP="00330AAB">
      <w:pPr>
        <w:spacing w:after="0" w:line="360" w:lineRule="auto"/>
        <w:ind w:firstLine="360"/>
        <w:jc w:val="both"/>
        <w:rPr>
          <w:rFonts w:ascii="Arial" w:hAnsi="Arial" w:cs="Arial"/>
          <w:sz w:val="20"/>
          <w:szCs w:val="20"/>
        </w:rPr>
      </w:pPr>
      <w:r w:rsidRPr="0064123A">
        <w:rPr>
          <w:rFonts w:ascii="Arial" w:hAnsi="Arial" w:cs="Arial"/>
          <w:sz w:val="20"/>
          <w:szCs w:val="20"/>
        </w:rPr>
        <w:t xml:space="preserve">evenings. </w:t>
      </w:r>
      <w:r w:rsidRPr="0064123A">
        <w:rPr>
          <w:rFonts w:ascii="Arial" w:hAnsi="Arial" w:cs="Arial"/>
          <w:i/>
          <w:iCs/>
          <w:sz w:val="20"/>
          <w:szCs w:val="20"/>
        </w:rPr>
        <w:t>Scientific Reports, 12</w:t>
      </w:r>
      <w:r w:rsidRPr="0064123A">
        <w:rPr>
          <w:rFonts w:ascii="Arial" w:hAnsi="Arial" w:cs="Arial"/>
          <w:sz w:val="20"/>
          <w:szCs w:val="20"/>
        </w:rPr>
        <w:t>, Article 8502.</w:t>
      </w:r>
    </w:p>
    <w:p w14:paraId="4535F229" w14:textId="77777777" w:rsidR="00330AAB" w:rsidRPr="0064123A" w:rsidRDefault="00330AAB" w:rsidP="00330AAB">
      <w:pPr>
        <w:spacing w:before="240" w:after="0" w:line="360" w:lineRule="auto"/>
        <w:jc w:val="both"/>
        <w:rPr>
          <w:rFonts w:ascii="Arial" w:hAnsi="Arial" w:cs="Arial"/>
          <w:sz w:val="20"/>
          <w:szCs w:val="20"/>
        </w:rPr>
      </w:pPr>
      <w:r w:rsidRPr="0064123A">
        <w:rPr>
          <w:rFonts w:ascii="Arial" w:hAnsi="Arial" w:cs="Arial"/>
          <w:sz w:val="20"/>
          <w:szCs w:val="20"/>
        </w:rPr>
        <w:t xml:space="preserve">Hussain Khan, S., Reuben, S., &amp; Meyer-Weitz, A. (2026). Exploring the work perceptions and </w:t>
      </w:r>
    </w:p>
    <w:p w14:paraId="3B5699F2" w14:textId="733EA467" w:rsidR="00330AAB" w:rsidRPr="0064123A" w:rsidRDefault="00330AAB" w:rsidP="00330AAB">
      <w:pPr>
        <w:spacing w:after="0" w:line="360" w:lineRule="auto"/>
        <w:ind w:firstLine="360"/>
        <w:jc w:val="both"/>
        <w:rPr>
          <w:rFonts w:ascii="Arial" w:hAnsi="Arial" w:cs="Arial"/>
          <w:sz w:val="20"/>
          <w:szCs w:val="20"/>
        </w:rPr>
      </w:pPr>
      <w:r w:rsidRPr="0064123A">
        <w:rPr>
          <w:rFonts w:ascii="Arial" w:hAnsi="Arial" w:cs="Arial"/>
          <w:sz w:val="20"/>
          <w:szCs w:val="20"/>
        </w:rPr>
        <w:t xml:space="preserve">experiences of gig workers globally: A scoping review. </w:t>
      </w:r>
      <w:r w:rsidRPr="0064123A">
        <w:rPr>
          <w:rFonts w:ascii="Arial" w:hAnsi="Arial" w:cs="Arial"/>
          <w:i/>
          <w:iCs/>
          <w:sz w:val="20"/>
          <w:szCs w:val="20"/>
        </w:rPr>
        <w:t>Administrative Sciences, 16</w:t>
      </w:r>
      <w:r w:rsidRPr="0064123A">
        <w:rPr>
          <w:rFonts w:ascii="Arial" w:hAnsi="Arial" w:cs="Arial"/>
          <w:sz w:val="20"/>
          <w:szCs w:val="20"/>
        </w:rPr>
        <w:t>(2), Article 98.</w:t>
      </w:r>
    </w:p>
    <w:p w14:paraId="5DA55828" w14:textId="77777777" w:rsidR="00330AAB" w:rsidRPr="0064123A" w:rsidRDefault="00330AAB" w:rsidP="00330AAB">
      <w:pPr>
        <w:spacing w:before="240" w:after="0" w:line="360" w:lineRule="auto"/>
        <w:jc w:val="both"/>
        <w:rPr>
          <w:rFonts w:ascii="Arial" w:hAnsi="Arial" w:cs="Arial"/>
          <w:i/>
          <w:iCs/>
          <w:sz w:val="20"/>
          <w:szCs w:val="20"/>
        </w:rPr>
      </w:pPr>
      <w:r w:rsidRPr="0064123A">
        <w:rPr>
          <w:rFonts w:ascii="Arial" w:hAnsi="Arial" w:cs="Arial"/>
          <w:sz w:val="20"/>
          <w:szCs w:val="20"/>
        </w:rPr>
        <w:t xml:space="preserve">International Labour Organization. (2021). </w:t>
      </w:r>
      <w:r w:rsidRPr="0064123A">
        <w:rPr>
          <w:rFonts w:ascii="Arial" w:hAnsi="Arial" w:cs="Arial"/>
          <w:i/>
          <w:iCs/>
          <w:sz w:val="20"/>
          <w:szCs w:val="20"/>
        </w:rPr>
        <w:t xml:space="preserve">World employment and social outlook 2021: The role of </w:t>
      </w:r>
    </w:p>
    <w:p w14:paraId="045CA6C5" w14:textId="66A4DC53" w:rsidR="00330AAB" w:rsidRPr="0064123A" w:rsidRDefault="00330AAB" w:rsidP="00330AAB">
      <w:pPr>
        <w:spacing w:after="0" w:line="360" w:lineRule="auto"/>
        <w:jc w:val="both"/>
        <w:rPr>
          <w:rFonts w:ascii="Arial" w:hAnsi="Arial" w:cs="Arial"/>
          <w:sz w:val="20"/>
          <w:szCs w:val="20"/>
        </w:rPr>
      </w:pPr>
      <w:r w:rsidRPr="0064123A">
        <w:rPr>
          <w:rFonts w:ascii="Arial" w:hAnsi="Arial" w:cs="Arial"/>
          <w:i/>
          <w:iCs/>
          <w:sz w:val="20"/>
          <w:szCs w:val="20"/>
        </w:rPr>
        <w:t>digital labour platforms in transforming the world of work</w:t>
      </w:r>
      <w:r w:rsidRPr="0064123A">
        <w:rPr>
          <w:rFonts w:ascii="Arial" w:hAnsi="Arial" w:cs="Arial"/>
          <w:sz w:val="20"/>
          <w:szCs w:val="20"/>
        </w:rPr>
        <w:t>. ILO.</w:t>
      </w:r>
    </w:p>
    <w:p w14:paraId="3C59B480" w14:textId="77777777" w:rsidR="00330AAB" w:rsidRPr="0064123A" w:rsidRDefault="00330AAB" w:rsidP="00330AAB">
      <w:pPr>
        <w:spacing w:before="240" w:after="0" w:line="360" w:lineRule="auto"/>
        <w:jc w:val="both"/>
        <w:rPr>
          <w:rFonts w:ascii="Arial" w:hAnsi="Arial" w:cs="Arial"/>
          <w:i/>
          <w:iCs/>
          <w:sz w:val="20"/>
          <w:szCs w:val="20"/>
        </w:rPr>
      </w:pPr>
      <w:r w:rsidRPr="0064123A">
        <w:rPr>
          <w:rFonts w:ascii="Arial" w:hAnsi="Arial" w:cs="Arial"/>
          <w:sz w:val="20"/>
          <w:szCs w:val="20"/>
        </w:rPr>
        <w:t xml:space="preserve">James, A. (2024). Platform work-lives in the gig economy: </w:t>
      </w:r>
      <w:proofErr w:type="spellStart"/>
      <w:r w:rsidRPr="0064123A">
        <w:rPr>
          <w:rFonts w:ascii="Arial" w:hAnsi="Arial" w:cs="Arial"/>
          <w:sz w:val="20"/>
          <w:szCs w:val="20"/>
        </w:rPr>
        <w:t>Recentering</w:t>
      </w:r>
      <w:proofErr w:type="spellEnd"/>
      <w:r w:rsidRPr="0064123A">
        <w:rPr>
          <w:rFonts w:ascii="Arial" w:hAnsi="Arial" w:cs="Arial"/>
          <w:sz w:val="20"/>
          <w:szCs w:val="20"/>
        </w:rPr>
        <w:t xml:space="preserve"> work–family research. </w:t>
      </w:r>
      <w:r w:rsidRPr="0064123A">
        <w:rPr>
          <w:rFonts w:ascii="Arial" w:hAnsi="Arial" w:cs="Arial"/>
          <w:i/>
          <w:iCs/>
          <w:sz w:val="20"/>
          <w:szCs w:val="20"/>
        </w:rPr>
        <w:t xml:space="preserve">Gender, </w:t>
      </w:r>
    </w:p>
    <w:p w14:paraId="71767C79" w14:textId="5E0D393D" w:rsidR="00330AAB" w:rsidRPr="0064123A" w:rsidRDefault="00330AAB" w:rsidP="00330AAB">
      <w:pPr>
        <w:spacing w:after="0" w:line="360" w:lineRule="auto"/>
        <w:ind w:firstLine="360"/>
        <w:jc w:val="both"/>
        <w:rPr>
          <w:rFonts w:ascii="Arial" w:hAnsi="Arial" w:cs="Arial"/>
          <w:sz w:val="20"/>
          <w:szCs w:val="20"/>
        </w:rPr>
      </w:pPr>
      <w:r w:rsidRPr="0064123A">
        <w:rPr>
          <w:rFonts w:ascii="Arial" w:hAnsi="Arial" w:cs="Arial"/>
          <w:i/>
          <w:iCs/>
          <w:sz w:val="20"/>
          <w:szCs w:val="20"/>
        </w:rPr>
        <w:t>Work &amp; Organization, 31</w:t>
      </w:r>
      <w:r w:rsidRPr="0064123A">
        <w:rPr>
          <w:rFonts w:ascii="Arial" w:hAnsi="Arial" w:cs="Arial"/>
          <w:sz w:val="20"/>
          <w:szCs w:val="20"/>
        </w:rPr>
        <w:t>(2), 513–534.</w:t>
      </w:r>
    </w:p>
    <w:p w14:paraId="63B11827" w14:textId="77777777" w:rsidR="00330AAB" w:rsidRPr="0064123A" w:rsidRDefault="00330AAB" w:rsidP="00330AAB">
      <w:pPr>
        <w:spacing w:before="240" w:after="0" w:line="360" w:lineRule="auto"/>
        <w:jc w:val="both"/>
        <w:rPr>
          <w:rFonts w:ascii="Arial" w:hAnsi="Arial" w:cs="Arial"/>
          <w:i/>
          <w:iCs/>
          <w:sz w:val="20"/>
          <w:szCs w:val="20"/>
        </w:rPr>
      </w:pPr>
      <w:r w:rsidRPr="0064123A">
        <w:rPr>
          <w:rFonts w:ascii="Arial" w:hAnsi="Arial" w:cs="Arial"/>
          <w:sz w:val="20"/>
          <w:szCs w:val="20"/>
        </w:rPr>
        <w:t xml:space="preserve">Joseph, K. J. (2021). Platform economy and the Kerala model: Challenges and opportunities. </w:t>
      </w:r>
      <w:r w:rsidRPr="0064123A">
        <w:rPr>
          <w:rFonts w:ascii="Arial" w:hAnsi="Arial" w:cs="Arial"/>
          <w:i/>
          <w:iCs/>
          <w:sz w:val="20"/>
          <w:szCs w:val="20"/>
        </w:rPr>
        <w:t xml:space="preserve">Economic </w:t>
      </w:r>
    </w:p>
    <w:p w14:paraId="699234E7" w14:textId="77E69362" w:rsidR="00330AAB" w:rsidRPr="0064123A" w:rsidRDefault="00330AAB" w:rsidP="00330AAB">
      <w:pPr>
        <w:spacing w:after="0" w:line="360" w:lineRule="auto"/>
        <w:ind w:firstLine="360"/>
        <w:jc w:val="both"/>
        <w:rPr>
          <w:rFonts w:ascii="Arial" w:hAnsi="Arial" w:cs="Arial"/>
          <w:sz w:val="20"/>
          <w:szCs w:val="20"/>
        </w:rPr>
      </w:pPr>
      <w:r w:rsidRPr="0064123A">
        <w:rPr>
          <w:rFonts w:ascii="Arial" w:hAnsi="Arial" w:cs="Arial"/>
          <w:i/>
          <w:iCs/>
          <w:sz w:val="20"/>
          <w:szCs w:val="20"/>
        </w:rPr>
        <w:t>and Political Weekly, 56</w:t>
      </w:r>
      <w:r w:rsidRPr="0064123A">
        <w:rPr>
          <w:rFonts w:ascii="Arial" w:hAnsi="Arial" w:cs="Arial"/>
          <w:sz w:val="20"/>
          <w:szCs w:val="20"/>
        </w:rPr>
        <w:t>(34), 45–52.</w:t>
      </w:r>
    </w:p>
    <w:p w14:paraId="245DDC85" w14:textId="77777777" w:rsidR="00330AAB" w:rsidRPr="0064123A" w:rsidRDefault="00330AAB" w:rsidP="00330AAB">
      <w:pPr>
        <w:spacing w:before="240" w:after="0" w:line="360" w:lineRule="auto"/>
        <w:jc w:val="both"/>
        <w:rPr>
          <w:rFonts w:ascii="Arial" w:hAnsi="Arial" w:cs="Arial"/>
          <w:i/>
          <w:iCs/>
          <w:sz w:val="20"/>
          <w:szCs w:val="20"/>
        </w:rPr>
      </w:pPr>
      <w:r w:rsidRPr="0064123A">
        <w:rPr>
          <w:rFonts w:ascii="Arial" w:hAnsi="Arial" w:cs="Arial"/>
          <w:sz w:val="20"/>
          <w:szCs w:val="20"/>
        </w:rPr>
        <w:t xml:space="preserve">Kalleberg, A. L., &amp; Dunn, M. (2016). Good jobs, bad jobs in the gig economy. </w:t>
      </w:r>
      <w:r w:rsidRPr="0064123A">
        <w:rPr>
          <w:rFonts w:ascii="Arial" w:hAnsi="Arial" w:cs="Arial"/>
          <w:i/>
          <w:iCs/>
          <w:sz w:val="20"/>
          <w:szCs w:val="20"/>
        </w:rPr>
        <w:t xml:space="preserve">Perspectives on Work, </w:t>
      </w:r>
    </w:p>
    <w:p w14:paraId="29046101" w14:textId="1BF86C42" w:rsidR="00330AAB" w:rsidRPr="0064123A" w:rsidRDefault="00330AAB" w:rsidP="00330AAB">
      <w:pPr>
        <w:spacing w:after="0" w:line="360" w:lineRule="auto"/>
        <w:ind w:firstLine="360"/>
        <w:jc w:val="both"/>
        <w:rPr>
          <w:rFonts w:ascii="Arial" w:hAnsi="Arial" w:cs="Arial"/>
          <w:sz w:val="20"/>
          <w:szCs w:val="20"/>
        </w:rPr>
      </w:pPr>
      <w:r w:rsidRPr="0064123A">
        <w:rPr>
          <w:rFonts w:ascii="Arial" w:hAnsi="Arial" w:cs="Arial"/>
          <w:i/>
          <w:iCs/>
          <w:sz w:val="20"/>
          <w:szCs w:val="20"/>
        </w:rPr>
        <w:t>20</w:t>
      </w:r>
      <w:r w:rsidRPr="0064123A">
        <w:rPr>
          <w:rFonts w:ascii="Arial" w:hAnsi="Arial" w:cs="Arial"/>
          <w:sz w:val="20"/>
          <w:szCs w:val="20"/>
        </w:rPr>
        <w:t>, 10–14.</w:t>
      </w:r>
    </w:p>
    <w:p w14:paraId="599319AB" w14:textId="77777777" w:rsidR="00330AAB" w:rsidRPr="0064123A" w:rsidRDefault="00330AAB" w:rsidP="00330AAB">
      <w:pPr>
        <w:spacing w:before="240" w:after="0" w:line="360" w:lineRule="auto"/>
        <w:jc w:val="both"/>
        <w:rPr>
          <w:rFonts w:ascii="Arial" w:hAnsi="Arial" w:cs="Arial"/>
          <w:i/>
          <w:iCs/>
          <w:sz w:val="20"/>
          <w:szCs w:val="20"/>
        </w:rPr>
      </w:pPr>
      <w:proofErr w:type="spellStart"/>
      <w:r w:rsidRPr="0064123A">
        <w:rPr>
          <w:rFonts w:ascii="Arial" w:hAnsi="Arial" w:cs="Arial"/>
          <w:sz w:val="20"/>
          <w:szCs w:val="20"/>
        </w:rPr>
        <w:t>Kasliwal</w:t>
      </w:r>
      <w:proofErr w:type="spellEnd"/>
      <w:r w:rsidRPr="0064123A">
        <w:rPr>
          <w:rFonts w:ascii="Arial" w:hAnsi="Arial" w:cs="Arial"/>
          <w:sz w:val="20"/>
          <w:szCs w:val="20"/>
        </w:rPr>
        <w:t xml:space="preserve">, R. (2020). </w:t>
      </w:r>
      <w:r w:rsidRPr="0064123A">
        <w:rPr>
          <w:rFonts w:ascii="Arial" w:hAnsi="Arial" w:cs="Arial"/>
          <w:i/>
          <w:iCs/>
          <w:sz w:val="20"/>
          <w:szCs w:val="20"/>
        </w:rPr>
        <w:t xml:space="preserve">Gender and the gig economy: A qualitative study of gig platforms for women </w:t>
      </w:r>
    </w:p>
    <w:p w14:paraId="280A2A19" w14:textId="02CEFB80" w:rsidR="00330AAB" w:rsidRPr="0064123A" w:rsidRDefault="00330AAB" w:rsidP="00330AAB">
      <w:pPr>
        <w:spacing w:after="0" w:line="360" w:lineRule="auto"/>
        <w:ind w:firstLine="360"/>
        <w:jc w:val="both"/>
        <w:rPr>
          <w:rFonts w:ascii="Arial" w:hAnsi="Arial" w:cs="Arial"/>
          <w:sz w:val="20"/>
          <w:szCs w:val="20"/>
        </w:rPr>
      </w:pPr>
      <w:r w:rsidRPr="0064123A">
        <w:rPr>
          <w:rFonts w:ascii="Arial" w:hAnsi="Arial" w:cs="Arial"/>
          <w:i/>
          <w:iCs/>
          <w:sz w:val="20"/>
          <w:szCs w:val="20"/>
        </w:rPr>
        <w:t>workers</w:t>
      </w:r>
      <w:r w:rsidRPr="0064123A">
        <w:rPr>
          <w:rFonts w:ascii="Arial" w:hAnsi="Arial" w:cs="Arial"/>
          <w:sz w:val="20"/>
          <w:szCs w:val="20"/>
        </w:rPr>
        <w:t xml:space="preserve"> (ORF Issue Brief No. 359). Observer Research Foundation.</w:t>
      </w:r>
    </w:p>
    <w:p w14:paraId="2D238F27" w14:textId="77777777" w:rsidR="00330AAB" w:rsidRPr="0064123A" w:rsidRDefault="00330AAB" w:rsidP="00330AAB">
      <w:pPr>
        <w:spacing w:before="240" w:after="0" w:line="360" w:lineRule="auto"/>
        <w:jc w:val="both"/>
        <w:rPr>
          <w:rFonts w:ascii="Arial" w:hAnsi="Arial" w:cs="Arial"/>
          <w:sz w:val="20"/>
          <w:szCs w:val="20"/>
        </w:rPr>
      </w:pPr>
      <w:proofErr w:type="spellStart"/>
      <w:r w:rsidRPr="0064123A">
        <w:rPr>
          <w:rFonts w:ascii="Arial" w:hAnsi="Arial" w:cs="Arial"/>
          <w:sz w:val="20"/>
          <w:szCs w:val="20"/>
        </w:rPr>
        <w:t>Kasliwal</w:t>
      </w:r>
      <w:proofErr w:type="spellEnd"/>
      <w:r w:rsidRPr="0064123A">
        <w:rPr>
          <w:rFonts w:ascii="Arial" w:hAnsi="Arial" w:cs="Arial"/>
          <w:sz w:val="20"/>
          <w:szCs w:val="20"/>
        </w:rPr>
        <w:t xml:space="preserve">, S. (2023). Persistent structural and socio-cultural barriers shaping women’s participation in </w:t>
      </w:r>
    </w:p>
    <w:p w14:paraId="28FDC68B" w14:textId="68194972" w:rsidR="00330AAB" w:rsidRPr="0064123A" w:rsidRDefault="00330AAB" w:rsidP="00330AAB">
      <w:pPr>
        <w:spacing w:after="0" w:line="360" w:lineRule="auto"/>
        <w:ind w:firstLine="360"/>
        <w:jc w:val="both"/>
        <w:rPr>
          <w:rFonts w:ascii="Arial" w:hAnsi="Arial" w:cs="Arial"/>
          <w:sz w:val="20"/>
          <w:szCs w:val="20"/>
        </w:rPr>
      </w:pPr>
      <w:r w:rsidRPr="0064123A">
        <w:rPr>
          <w:rFonts w:ascii="Arial" w:hAnsi="Arial" w:cs="Arial"/>
          <w:sz w:val="20"/>
          <w:szCs w:val="20"/>
        </w:rPr>
        <w:t xml:space="preserve">the gig economy. </w:t>
      </w:r>
      <w:r w:rsidRPr="0064123A">
        <w:rPr>
          <w:rFonts w:ascii="Arial" w:hAnsi="Arial" w:cs="Arial"/>
          <w:i/>
          <w:iCs/>
          <w:sz w:val="20"/>
          <w:szCs w:val="20"/>
        </w:rPr>
        <w:t>Journal of Gender and Labour Studies, 15</w:t>
      </w:r>
      <w:r w:rsidRPr="0064123A">
        <w:rPr>
          <w:rFonts w:ascii="Arial" w:hAnsi="Arial" w:cs="Arial"/>
          <w:sz w:val="20"/>
          <w:szCs w:val="20"/>
        </w:rPr>
        <w:t>(2), 145–162.</w:t>
      </w:r>
    </w:p>
    <w:p w14:paraId="19BC4FA9" w14:textId="77777777" w:rsidR="00330AAB" w:rsidRPr="0064123A" w:rsidRDefault="00330AAB" w:rsidP="00330AAB">
      <w:pPr>
        <w:spacing w:before="240" w:after="0" w:line="360" w:lineRule="auto"/>
        <w:jc w:val="both"/>
        <w:rPr>
          <w:rFonts w:ascii="Arial" w:hAnsi="Arial" w:cs="Arial"/>
          <w:i/>
          <w:iCs/>
          <w:sz w:val="20"/>
          <w:szCs w:val="20"/>
        </w:rPr>
      </w:pPr>
      <w:r w:rsidRPr="0064123A">
        <w:rPr>
          <w:rFonts w:ascii="Arial" w:hAnsi="Arial" w:cs="Arial"/>
          <w:sz w:val="20"/>
          <w:szCs w:val="20"/>
        </w:rPr>
        <w:t xml:space="preserve">Nazneen, S., &amp; Sultan, M. (2014). Work and wellbeing: Gender dimensions of work and policies. </w:t>
      </w:r>
      <w:r w:rsidRPr="0064123A">
        <w:rPr>
          <w:rFonts w:ascii="Arial" w:hAnsi="Arial" w:cs="Arial"/>
          <w:i/>
          <w:iCs/>
          <w:sz w:val="20"/>
          <w:szCs w:val="20"/>
        </w:rPr>
        <w:t xml:space="preserve">Journal </w:t>
      </w:r>
    </w:p>
    <w:p w14:paraId="2AB68496" w14:textId="4837A4DB" w:rsidR="00330AAB" w:rsidRPr="0064123A" w:rsidRDefault="00330AAB" w:rsidP="00330AAB">
      <w:pPr>
        <w:spacing w:after="0" w:line="360" w:lineRule="auto"/>
        <w:ind w:firstLine="360"/>
        <w:jc w:val="both"/>
        <w:rPr>
          <w:rFonts w:ascii="Arial" w:hAnsi="Arial" w:cs="Arial"/>
          <w:sz w:val="20"/>
          <w:szCs w:val="20"/>
        </w:rPr>
      </w:pPr>
      <w:r w:rsidRPr="0064123A">
        <w:rPr>
          <w:rFonts w:ascii="Arial" w:hAnsi="Arial" w:cs="Arial"/>
          <w:i/>
          <w:iCs/>
          <w:sz w:val="20"/>
          <w:szCs w:val="20"/>
        </w:rPr>
        <w:t>of Development Policy and Practice, 1</w:t>
      </w:r>
      <w:r w:rsidRPr="0064123A">
        <w:rPr>
          <w:rFonts w:ascii="Arial" w:hAnsi="Arial" w:cs="Arial"/>
          <w:sz w:val="20"/>
          <w:szCs w:val="20"/>
        </w:rPr>
        <w:t>(1), 19–39.</w:t>
      </w:r>
    </w:p>
    <w:p w14:paraId="4A3A643C" w14:textId="77777777" w:rsidR="00330AAB" w:rsidRPr="0064123A" w:rsidRDefault="00330AAB" w:rsidP="00330AAB">
      <w:pPr>
        <w:spacing w:before="240" w:after="0" w:line="360" w:lineRule="auto"/>
        <w:jc w:val="both"/>
        <w:rPr>
          <w:rFonts w:ascii="Arial" w:hAnsi="Arial" w:cs="Arial"/>
          <w:i/>
          <w:iCs/>
          <w:sz w:val="20"/>
          <w:szCs w:val="20"/>
        </w:rPr>
      </w:pPr>
      <w:r w:rsidRPr="0064123A">
        <w:rPr>
          <w:rFonts w:ascii="Arial" w:hAnsi="Arial" w:cs="Arial"/>
          <w:sz w:val="20"/>
          <w:szCs w:val="20"/>
        </w:rPr>
        <w:lastRenderedPageBreak/>
        <w:t xml:space="preserve">NITI Aayog. (2022). NITI Aayog pitches for incentives to draw more women into gig economy. </w:t>
      </w:r>
      <w:r w:rsidRPr="0064123A">
        <w:rPr>
          <w:rFonts w:ascii="Arial" w:hAnsi="Arial" w:cs="Arial"/>
          <w:i/>
          <w:iCs/>
          <w:sz w:val="20"/>
          <w:szCs w:val="20"/>
        </w:rPr>
        <w:t xml:space="preserve">The Indian </w:t>
      </w:r>
    </w:p>
    <w:p w14:paraId="370929E9" w14:textId="6848C1A9" w:rsidR="00330AAB" w:rsidRPr="0064123A" w:rsidRDefault="00330AAB" w:rsidP="00330AAB">
      <w:pPr>
        <w:spacing w:after="0" w:line="360" w:lineRule="auto"/>
        <w:ind w:firstLine="360"/>
        <w:jc w:val="both"/>
        <w:rPr>
          <w:rFonts w:ascii="Arial" w:hAnsi="Arial" w:cs="Arial"/>
          <w:sz w:val="20"/>
          <w:szCs w:val="20"/>
        </w:rPr>
      </w:pPr>
      <w:r w:rsidRPr="0064123A">
        <w:rPr>
          <w:rFonts w:ascii="Arial" w:hAnsi="Arial" w:cs="Arial"/>
          <w:i/>
          <w:iCs/>
          <w:sz w:val="20"/>
          <w:szCs w:val="20"/>
        </w:rPr>
        <w:t>Express</w:t>
      </w:r>
      <w:r w:rsidRPr="0064123A">
        <w:rPr>
          <w:rFonts w:ascii="Arial" w:hAnsi="Arial" w:cs="Arial"/>
          <w:sz w:val="20"/>
          <w:szCs w:val="20"/>
        </w:rPr>
        <w:t xml:space="preserve">. </w:t>
      </w:r>
      <w:hyperlink r:id="rId7" w:tgtFrame="_new" w:history="1">
        <w:r w:rsidRPr="0064123A">
          <w:rPr>
            <w:rStyle w:val="Hyperlink"/>
            <w:rFonts w:ascii="Arial" w:hAnsi="Arial" w:cs="Arial"/>
            <w:color w:val="auto"/>
            <w:sz w:val="20"/>
            <w:szCs w:val="20"/>
          </w:rPr>
          <w:t>https://indianexpress.com</w:t>
        </w:r>
      </w:hyperlink>
    </w:p>
    <w:p w14:paraId="3D38C731" w14:textId="77777777" w:rsidR="00330AAB" w:rsidRPr="0064123A" w:rsidRDefault="00330AAB" w:rsidP="00330AAB">
      <w:pPr>
        <w:spacing w:before="240" w:after="0" w:line="360" w:lineRule="auto"/>
        <w:jc w:val="both"/>
        <w:rPr>
          <w:rFonts w:ascii="Arial" w:hAnsi="Arial" w:cs="Arial"/>
          <w:sz w:val="20"/>
          <w:szCs w:val="20"/>
        </w:rPr>
      </w:pPr>
      <w:proofErr w:type="spellStart"/>
      <w:r w:rsidRPr="0064123A">
        <w:rPr>
          <w:rFonts w:ascii="Arial" w:hAnsi="Arial" w:cs="Arial"/>
          <w:sz w:val="20"/>
          <w:szCs w:val="20"/>
        </w:rPr>
        <w:t>Noushad</w:t>
      </w:r>
      <w:proofErr w:type="spellEnd"/>
      <w:r w:rsidRPr="0064123A">
        <w:rPr>
          <w:rFonts w:ascii="Arial" w:hAnsi="Arial" w:cs="Arial"/>
          <w:sz w:val="20"/>
          <w:szCs w:val="20"/>
        </w:rPr>
        <w:t xml:space="preserve"> </w:t>
      </w:r>
      <w:proofErr w:type="spellStart"/>
      <w:r w:rsidRPr="0064123A">
        <w:rPr>
          <w:rFonts w:ascii="Arial" w:hAnsi="Arial" w:cs="Arial"/>
          <w:sz w:val="20"/>
          <w:szCs w:val="20"/>
        </w:rPr>
        <w:t>Chengodan</w:t>
      </w:r>
      <w:proofErr w:type="spellEnd"/>
      <w:r w:rsidRPr="0064123A">
        <w:rPr>
          <w:rFonts w:ascii="Arial" w:hAnsi="Arial" w:cs="Arial"/>
          <w:sz w:val="20"/>
          <w:szCs w:val="20"/>
        </w:rPr>
        <w:t xml:space="preserve">, &amp; </w:t>
      </w:r>
      <w:proofErr w:type="spellStart"/>
      <w:r w:rsidRPr="0064123A">
        <w:rPr>
          <w:rFonts w:ascii="Arial" w:hAnsi="Arial" w:cs="Arial"/>
          <w:sz w:val="20"/>
          <w:szCs w:val="20"/>
        </w:rPr>
        <w:t>Jamsheer</w:t>
      </w:r>
      <w:proofErr w:type="spellEnd"/>
      <w:r w:rsidRPr="0064123A">
        <w:rPr>
          <w:rFonts w:ascii="Arial" w:hAnsi="Arial" w:cs="Arial"/>
          <w:sz w:val="20"/>
          <w:szCs w:val="20"/>
        </w:rPr>
        <w:t xml:space="preserve">, T. P. (2025). Assessing the challenges faced by women gig workers </w:t>
      </w:r>
    </w:p>
    <w:p w14:paraId="7599AB0E" w14:textId="5D4BBA59" w:rsidR="00330AAB" w:rsidRPr="0064123A" w:rsidRDefault="00330AAB" w:rsidP="00330AAB">
      <w:pPr>
        <w:spacing w:after="0" w:line="360" w:lineRule="auto"/>
        <w:ind w:left="360"/>
        <w:jc w:val="both"/>
        <w:rPr>
          <w:rFonts w:ascii="Arial" w:hAnsi="Arial" w:cs="Arial"/>
          <w:sz w:val="20"/>
          <w:szCs w:val="20"/>
        </w:rPr>
      </w:pPr>
      <w:r w:rsidRPr="0064123A">
        <w:rPr>
          <w:rFonts w:ascii="Arial" w:hAnsi="Arial" w:cs="Arial"/>
          <w:sz w:val="20"/>
          <w:szCs w:val="20"/>
        </w:rPr>
        <w:t xml:space="preserve">in the Malappuram district of Kerala, India: A logistic regression approach. </w:t>
      </w:r>
      <w:r w:rsidRPr="0064123A">
        <w:rPr>
          <w:rFonts w:ascii="Arial" w:hAnsi="Arial" w:cs="Arial"/>
          <w:i/>
          <w:iCs/>
          <w:sz w:val="20"/>
          <w:szCs w:val="20"/>
        </w:rPr>
        <w:t>South Asian Journal of Social Studies and Economics, 16</w:t>
      </w:r>
      <w:r w:rsidRPr="0064123A">
        <w:rPr>
          <w:rFonts w:ascii="Arial" w:hAnsi="Arial" w:cs="Arial"/>
          <w:sz w:val="20"/>
          <w:szCs w:val="20"/>
        </w:rPr>
        <w:t>(2), 1–14.</w:t>
      </w:r>
    </w:p>
    <w:p w14:paraId="03CA084A" w14:textId="77777777" w:rsidR="00330AAB" w:rsidRPr="0064123A" w:rsidRDefault="00330AAB" w:rsidP="00330AAB">
      <w:pPr>
        <w:spacing w:before="240" w:after="0" w:line="360" w:lineRule="auto"/>
        <w:jc w:val="both"/>
        <w:rPr>
          <w:rFonts w:ascii="Arial" w:hAnsi="Arial" w:cs="Arial"/>
          <w:sz w:val="20"/>
          <w:szCs w:val="20"/>
        </w:rPr>
      </w:pPr>
      <w:r w:rsidRPr="0064123A">
        <w:rPr>
          <w:rFonts w:ascii="Arial" w:hAnsi="Arial" w:cs="Arial"/>
          <w:sz w:val="20"/>
          <w:szCs w:val="20"/>
        </w:rPr>
        <w:t xml:space="preserve">Oommen, M. A. (2008). Reforms and the Kerala model. </w:t>
      </w:r>
      <w:r w:rsidRPr="0064123A">
        <w:rPr>
          <w:rFonts w:ascii="Arial" w:hAnsi="Arial" w:cs="Arial"/>
          <w:i/>
          <w:iCs/>
          <w:sz w:val="20"/>
          <w:szCs w:val="20"/>
        </w:rPr>
        <w:t>Economic and Political Weekly, 43</w:t>
      </w:r>
      <w:r w:rsidRPr="0064123A">
        <w:rPr>
          <w:rFonts w:ascii="Arial" w:hAnsi="Arial" w:cs="Arial"/>
          <w:sz w:val="20"/>
          <w:szCs w:val="20"/>
        </w:rPr>
        <w:t xml:space="preserve">(2), 22–25. </w:t>
      </w:r>
    </w:p>
    <w:p w14:paraId="23442901" w14:textId="55128B27" w:rsidR="00330AAB" w:rsidRPr="0064123A" w:rsidRDefault="00FC21C1" w:rsidP="00330AAB">
      <w:pPr>
        <w:spacing w:after="0" w:line="360" w:lineRule="auto"/>
        <w:ind w:firstLine="360"/>
        <w:jc w:val="both"/>
        <w:rPr>
          <w:rFonts w:ascii="Arial" w:hAnsi="Arial" w:cs="Arial"/>
          <w:sz w:val="20"/>
          <w:szCs w:val="20"/>
        </w:rPr>
      </w:pPr>
      <w:hyperlink r:id="rId8" w:history="1">
        <w:r w:rsidR="00330AAB" w:rsidRPr="0064123A">
          <w:rPr>
            <w:rStyle w:val="Hyperlink"/>
            <w:rFonts w:ascii="Arial" w:hAnsi="Arial" w:cs="Arial"/>
            <w:color w:val="auto"/>
            <w:sz w:val="20"/>
            <w:szCs w:val="20"/>
          </w:rPr>
          <w:t>https://doi.org/10.2307/40276897</w:t>
        </w:r>
      </w:hyperlink>
    </w:p>
    <w:p w14:paraId="5AC2F780" w14:textId="77777777" w:rsidR="00330AAB" w:rsidRPr="0064123A" w:rsidRDefault="00330AAB" w:rsidP="00330AAB">
      <w:pPr>
        <w:spacing w:before="240" w:after="0" w:line="360" w:lineRule="auto"/>
        <w:jc w:val="both"/>
        <w:rPr>
          <w:rFonts w:ascii="Arial" w:hAnsi="Arial" w:cs="Arial"/>
          <w:sz w:val="20"/>
          <w:szCs w:val="20"/>
        </w:rPr>
      </w:pPr>
      <w:r w:rsidRPr="0064123A">
        <w:rPr>
          <w:rFonts w:ascii="Arial" w:hAnsi="Arial" w:cs="Arial"/>
          <w:sz w:val="20"/>
          <w:szCs w:val="20"/>
        </w:rPr>
        <w:t xml:space="preserve">Raj, A., &amp; Yadav, P. (2026). Deciphering the attrition of women in the gig economy in a developing </w:t>
      </w:r>
    </w:p>
    <w:p w14:paraId="08E5DB04" w14:textId="7D84627B" w:rsidR="00330AAB" w:rsidRPr="0064123A" w:rsidRDefault="00330AAB" w:rsidP="00330AAB">
      <w:pPr>
        <w:spacing w:after="0" w:line="360" w:lineRule="auto"/>
        <w:ind w:firstLine="360"/>
        <w:jc w:val="both"/>
        <w:rPr>
          <w:rFonts w:ascii="Arial" w:hAnsi="Arial" w:cs="Arial"/>
          <w:sz w:val="20"/>
          <w:szCs w:val="20"/>
        </w:rPr>
      </w:pPr>
      <w:r w:rsidRPr="0064123A">
        <w:rPr>
          <w:rFonts w:ascii="Arial" w:hAnsi="Arial" w:cs="Arial"/>
          <w:sz w:val="20"/>
          <w:szCs w:val="20"/>
        </w:rPr>
        <w:t xml:space="preserve">economy. </w:t>
      </w:r>
      <w:r w:rsidRPr="0064123A">
        <w:rPr>
          <w:rFonts w:ascii="Arial" w:hAnsi="Arial" w:cs="Arial"/>
          <w:i/>
          <w:iCs/>
          <w:sz w:val="20"/>
          <w:szCs w:val="20"/>
        </w:rPr>
        <w:t>International Journal of Organizational Analysis</w:t>
      </w:r>
      <w:r w:rsidRPr="0064123A">
        <w:rPr>
          <w:rFonts w:ascii="Arial" w:hAnsi="Arial" w:cs="Arial"/>
          <w:sz w:val="20"/>
          <w:szCs w:val="20"/>
        </w:rPr>
        <w:t>. Advance online publication.</w:t>
      </w:r>
    </w:p>
    <w:p w14:paraId="72E239B7" w14:textId="77777777" w:rsidR="00330AAB" w:rsidRPr="0064123A" w:rsidRDefault="00330AAB" w:rsidP="00330AAB">
      <w:pPr>
        <w:spacing w:before="240" w:after="0" w:line="360" w:lineRule="auto"/>
        <w:jc w:val="both"/>
        <w:rPr>
          <w:rFonts w:ascii="Arial" w:hAnsi="Arial" w:cs="Arial"/>
          <w:sz w:val="20"/>
          <w:szCs w:val="20"/>
        </w:rPr>
      </w:pPr>
      <w:r w:rsidRPr="0064123A">
        <w:rPr>
          <w:rFonts w:ascii="Arial" w:hAnsi="Arial" w:cs="Arial"/>
          <w:sz w:val="20"/>
          <w:szCs w:val="20"/>
        </w:rPr>
        <w:t xml:space="preserve">Ramachandran, R., Singh, A., &amp; Narain, N. (2021). The gig economy in India: A study of platform </w:t>
      </w:r>
    </w:p>
    <w:p w14:paraId="750FDF26" w14:textId="72FF68C0" w:rsidR="00330AAB" w:rsidRPr="0064123A" w:rsidRDefault="00330AAB" w:rsidP="00330AAB">
      <w:pPr>
        <w:spacing w:after="0" w:line="360" w:lineRule="auto"/>
        <w:ind w:left="360"/>
        <w:jc w:val="both"/>
        <w:rPr>
          <w:rFonts w:ascii="Arial" w:hAnsi="Arial" w:cs="Arial"/>
          <w:sz w:val="20"/>
          <w:szCs w:val="20"/>
        </w:rPr>
      </w:pPr>
      <w:r w:rsidRPr="0064123A">
        <w:rPr>
          <w:rFonts w:ascii="Arial" w:hAnsi="Arial" w:cs="Arial"/>
          <w:sz w:val="20"/>
          <w:szCs w:val="20"/>
        </w:rPr>
        <w:t xml:space="preserve">workers’ experiences. </w:t>
      </w:r>
      <w:r w:rsidRPr="0064123A">
        <w:rPr>
          <w:rFonts w:ascii="Arial" w:hAnsi="Arial" w:cs="Arial"/>
          <w:i/>
          <w:iCs/>
          <w:sz w:val="20"/>
          <w:szCs w:val="20"/>
        </w:rPr>
        <w:t>Journal of Labour Research, 42</w:t>
      </w:r>
      <w:r w:rsidRPr="0064123A">
        <w:rPr>
          <w:rFonts w:ascii="Arial" w:hAnsi="Arial" w:cs="Arial"/>
          <w:sz w:val="20"/>
          <w:szCs w:val="20"/>
        </w:rPr>
        <w:t xml:space="preserve">(3), 289–310. </w:t>
      </w:r>
      <w:hyperlink r:id="rId9" w:history="1">
        <w:r w:rsidRPr="0064123A">
          <w:rPr>
            <w:rStyle w:val="Hyperlink"/>
            <w:rFonts w:ascii="Arial" w:hAnsi="Arial" w:cs="Arial"/>
            <w:color w:val="auto"/>
            <w:sz w:val="20"/>
            <w:szCs w:val="20"/>
          </w:rPr>
          <w:t>https://doi.org/10.1007/s12122-021-09322-7</w:t>
        </w:r>
      </w:hyperlink>
    </w:p>
    <w:p w14:paraId="02F465A9" w14:textId="77777777" w:rsidR="00330AAB" w:rsidRPr="0064123A" w:rsidRDefault="00330AAB" w:rsidP="00330AAB">
      <w:pPr>
        <w:spacing w:before="240" w:after="0" w:line="360" w:lineRule="auto"/>
        <w:jc w:val="both"/>
        <w:rPr>
          <w:rFonts w:ascii="Arial" w:hAnsi="Arial" w:cs="Arial"/>
          <w:sz w:val="20"/>
          <w:szCs w:val="20"/>
        </w:rPr>
      </w:pPr>
      <w:r w:rsidRPr="0064123A">
        <w:rPr>
          <w:rFonts w:ascii="Arial" w:hAnsi="Arial" w:cs="Arial"/>
          <w:sz w:val="20"/>
          <w:szCs w:val="20"/>
        </w:rPr>
        <w:t xml:space="preserve">Rani, U., Dhir, R. K., &amp; Gobel, N. (2022). Work on online labour platforms: Does formal education </w:t>
      </w:r>
    </w:p>
    <w:p w14:paraId="7CF0A592" w14:textId="34ECFEB6" w:rsidR="00330AAB" w:rsidRPr="0064123A" w:rsidRDefault="00330AAB" w:rsidP="00330AAB">
      <w:pPr>
        <w:spacing w:after="0" w:line="360" w:lineRule="auto"/>
        <w:ind w:left="360"/>
        <w:jc w:val="both"/>
        <w:rPr>
          <w:rFonts w:ascii="Arial" w:hAnsi="Arial" w:cs="Arial"/>
          <w:sz w:val="20"/>
          <w:szCs w:val="20"/>
        </w:rPr>
      </w:pPr>
      <w:r w:rsidRPr="0064123A">
        <w:rPr>
          <w:rFonts w:ascii="Arial" w:hAnsi="Arial" w:cs="Arial"/>
          <w:sz w:val="20"/>
          <w:szCs w:val="20"/>
        </w:rPr>
        <w:t xml:space="preserve">matter? In U. Huws &amp; A. Surie (Eds.), </w:t>
      </w:r>
      <w:proofErr w:type="spellStart"/>
      <w:r w:rsidRPr="0064123A">
        <w:rPr>
          <w:rFonts w:ascii="Arial" w:hAnsi="Arial" w:cs="Arial"/>
          <w:i/>
          <w:iCs/>
          <w:sz w:val="20"/>
          <w:szCs w:val="20"/>
        </w:rPr>
        <w:t>Platformization</w:t>
      </w:r>
      <w:proofErr w:type="spellEnd"/>
      <w:r w:rsidRPr="0064123A">
        <w:rPr>
          <w:rFonts w:ascii="Arial" w:hAnsi="Arial" w:cs="Arial"/>
          <w:i/>
          <w:iCs/>
          <w:sz w:val="20"/>
          <w:szCs w:val="20"/>
        </w:rPr>
        <w:t xml:space="preserve"> and informality: Pathways of change, alteration and transformation</w:t>
      </w:r>
      <w:r w:rsidRPr="0064123A">
        <w:rPr>
          <w:rFonts w:ascii="Arial" w:hAnsi="Arial" w:cs="Arial"/>
          <w:sz w:val="20"/>
          <w:szCs w:val="20"/>
        </w:rPr>
        <w:t>. Routledge.</w:t>
      </w:r>
    </w:p>
    <w:p w14:paraId="4E2D33F9" w14:textId="77777777" w:rsidR="00330AAB" w:rsidRPr="0064123A" w:rsidRDefault="00330AAB" w:rsidP="00330AAB">
      <w:pPr>
        <w:spacing w:before="240" w:after="0" w:line="360" w:lineRule="auto"/>
        <w:jc w:val="both"/>
        <w:rPr>
          <w:rFonts w:ascii="Arial" w:hAnsi="Arial" w:cs="Arial"/>
          <w:sz w:val="20"/>
          <w:szCs w:val="20"/>
        </w:rPr>
      </w:pPr>
      <w:r w:rsidRPr="0064123A">
        <w:rPr>
          <w:rFonts w:ascii="Arial" w:hAnsi="Arial" w:cs="Arial"/>
          <w:sz w:val="20"/>
          <w:szCs w:val="20"/>
        </w:rPr>
        <w:t xml:space="preserve">Rosca, M. (2025). Digital work: An overview of current definitions, evolution and dimensions. In </w:t>
      </w:r>
    </w:p>
    <w:p w14:paraId="370CBA1E" w14:textId="030E144B" w:rsidR="00330AAB" w:rsidRPr="0064123A" w:rsidRDefault="00330AAB" w:rsidP="00330AAB">
      <w:pPr>
        <w:spacing w:after="0" w:line="360" w:lineRule="auto"/>
        <w:ind w:firstLine="360"/>
        <w:jc w:val="both"/>
        <w:rPr>
          <w:rFonts w:ascii="Arial" w:hAnsi="Arial" w:cs="Arial"/>
          <w:sz w:val="20"/>
          <w:szCs w:val="20"/>
        </w:rPr>
      </w:pPr>
      <w:r w:rsidRPr="0064123A">
        <w:rPr>
          <w:rFonts w:ascii="Arial" w:hAnsi="Arial" w:cs="Arial"/>
          <w:i/>
          <w:iCs/>
          <w:sz w:val="20"/>
          <w:szCs w:val="20"/>
        </w:rPr>
        <w:t xml:space="preserve">Proceedings of the Central and Eastern European </w:t>
      </w:r>
      <w:proofErr w:type="spellStart"/>
      <w:r w:rsidRPr="0064123A">
        <w:rPr>
          <w:rFonts w:ascii="Arial" w:hAnsi="Arial" w:cs="Arial"/>
          <w:i/>
          <w:iCs/>
          <w:sz w:val="20"/>
          <w:szCs w:val="20"/>
        </w:rPr>
        <w:t>eDem</w:t>
      </w:r>
      <w:proofErr w:type="spellEnd"/>
      <w:r w:rsidRPr="0064123A">
        <w:rPr>
          <w:rFonts w:ascii="Arial" w:hAnsi="Arial" w:cs="Arial"/>
          <w:i/>
          <w:iCs/>
          <w:sz w:val="20"/>
          <w:szCs w:val="20"/>
        </w:rPr>
        <w:t xml:space="preserve"> and </w:t>
      </w:r>
      <w:proofErr w:type="spellStart"/>
      <w:r w:rsidRPr="0064123A">
        <w:rPr>
          <w:rFonts w:ascii="Arial" w:hAnsi="Arial" w:cs="Arial"/>
          <w:i/>
          <w:iCs/>
          <w:sz w:val="20"/>
          <w:szCs w:val="20"/>
        </w:rPr>
        <w:t>eGov</w:t>
      </w:r>
      <w:proofErr w:type="spellEnd"/>
      <w:r w:rsidRPr="0064123A">
        <w:rPr>
          <w:rFonts w:ascii="Arial" w:hAnsi="Arial" w:cs="Arial"/>
          <w:i/>
          <w:iCs/>
          <w:sz w:val="20"/>
          <w:szCs w:val="20"/>
        </w:rPr>
        <w:t xml:space="preserve"> Days 2025</w:t>
      </w:r>
      <w:r w:rsidRPr="0064123A">
        <w:rPr>
          <w:rFonts w:ascii="Arial" w:hAnsi="Arial" w:cs="Arial"/>
          <w:sz w:val="20"/>
          <w:szCs w:val="20"/>
        </w:rPr>
        <w:t xml:space="preserve"> (pp. 117–125).</w:t>
      </w:r>
    </w:p>
    <w:p w14:paraId="47987575" w14:textId="77777777" w:rsidR="00330AAB" w:rsidRPr="0064123A" w:rsidRDefault="00330AAB" w:rsidP="00330AAB">
      <w:pPr>
        <w:spacing w:before="240" w:after="0" w:line="360" w:lineRule="auto"/>
        <w:jc w:val="both"/>
        <w:rPr>
          <w:rFonts w:ascii="Arial" w:hAnsi="Arial" w:cs="Arial"/>
          <w:sz w:val="20"/>
          <w:szCs w:val="20"/>
        </w:rPr>
      </w:pPr>
      <w:r w:rsidRPr="0064123A">
        <w:rPr>
          <w:rFonts w:ascii="Arial" w:hAnsi="Arial" w:cs="Arial"/>
          <w:sz w:val="20"/>
          <w:szCs w:val="20"/>
        </w:rPr>
        <w:t xml:space="preserve">Scott, W. R. (2014). </w:t>
      </w:r>
      <w:r w:rsidRPr="0064123A">
        <w:rPr>
          <w:rFonts w:ascii="Arial" w:hAnsi="Arial" w:cs="Arial"/>
          <w:i/>
          <w:iCs/>
          <w:sz w:val="20"/>
          <w:szCs w:val="20"/>
        </w:rPr>
        <w:t>Institutions and organizations: Ideas, interests, and identities</w:t>
      </w:r>
      <w:r w:rsidRPr="0064123A">
        <w:rPr>
          <w:rFonts w:ascii="Arial" w:hAnsi="Arial" w:cs="Arial"/>
          <w:sz w:val="20"/>
          <w:szCs w:val="20"/>
        </w:rPr>
        <w:t xml:space="preserve"> (4th ed.). Sage </w:t>
      </w:r>
    </w:p>
    <w:p w14:paraId="7E4CCFE9" w14:textId="07A1070F" w:rsidR="00330AAB" w:rsidRPr="0064123A" w:rsidRDefault="00330AAB" w:rsidP="00330AAB">
      <w:pPr>
        <w:spacing w:after="0" w:line="360" w:lineRule="auto"/>
        <w:ind w:firstLine="360"/>
        <w:jc w:val="both"/>
        <w:rPr>
          <w:rFonts w:ascii="Arial" w:hAnsi="Arial" w:cs="Arial"/>
          <w:sz w:val="20"/>
          <w:szCs w:val="20"/>
        </w:rPr>
      </w:pPr>
      <w:r w:rsidRPr="0064123A">
        <w:rPr>
          <w:rFonts w:ascii="Arial" w:hAnsi="Arial" w:cs="Arial"/>
          <w:sz w:val="20"/>
          <w:szCs w:val="20"/>
        </w:rPr>
        <w:t>Publications.</w:t>
      </w:r>
    </w:p>
    <w:p w14:paraId="63D114A1" w14:textId="77777777" w:rsidR="00330AAB" w:rsidRPr="0064123A" w:rsidRDefault="00330AAB" w:rsidP="00330AAB">
      <w:pPr>
        <w:spacing w:before="240" w:after="0" w:line="360" w:lineRule="auto"/>
        <w:ind w:left="360"/>
        <w:jc w:val="both"/>
        <w:rPr>
          <w:rFonts w:ascii="Arial" w:hAnsi="Arial" w:cs="Arial"/>
          <w:sz w:val="20"/>
          <w:szCs w:val="20"/>
        </w:rPr>
      </w:pPr>
      <w:proofErr w:type="spellStart"/>
      <w:r w:rsidRPr="0064123A">
        <w:rPr>
          <w:rFonts w:ascii="Arial" w:hAnsi="Arial" w:cs="Arial"/>
          <w:sz w:val="20"/>
          <w:szCs w:val="20"/>
        </w:rPr>
        <w:t>Seguino</w:t>
      </w:r>
      <w:proofErr w:type="spellEnd"/>
      <w:r w:rsidRPr="0064123A">
        <w:rPr>
          <w:rFonts w:ascii="Arial" w:hAnsi="Arial" w:cs="Arial"/>
          <w:sz w:val="20"/>
          <w:szCs w:val="20"/>
        </w:rPr>
        <w:t xml:space="preserve">, S. (2010). </w:t>
      </w:r>
      <w:r w:rsidRPr="0064123A">
        <w:rPr>
          <w:rFonts w:ascii="Arial" w:hAnsi="Arial" w:cs="Arial"/>
          <w:i/>
          <w:iCs/>
          <w:sz w:val="20"/>
          <w:szCs w:val="20"/>
        </w:rPr>
        <w:t>Gender and development</w:t>
      </w:r>
      <w:r w:rsidRPr="0064123A">
        <w:rPr>
          <w:rFonts w:ascii="Arial" w:hAnsi="Arial" w:cs="Arial"/>
          <w:sz w:val="20"/>
          <w:szCs w:val="20"/>
        </w:rPr>
        <w:t>. Palgrave Macmillan.</w:t>
      </w:r>
    </w:p>
    <w:p w14:paraId="4191DFBE" w14:textId="77777777" w:rsidR="00330AAB" w:rsidRPr="0064123A" w:rsidRDefault="00330AAB" w:rsidP="00330AAB">
      <w:pPr>
        <w:spacing w:before="240" w:after="0" w:line="360" w:lineRule="auto"/>
        <w:ind w:left="360"/>
        <w:jc w:val="both"/>
        <w:rPr>
          <w:rFonts w:ascii="Arial" w:hAnsi="Arial" w:cs="Arial"/>
          <w:sz w:val="20"/>
          <w:szCs w:val="20"/>
        </w:rPr>
      </w:pPr>
      <w:r w:rsidRPr="0064123A">
        <w:rPr>
          <w:rFonts w:ascii="Arial" w:hAnsi="Arial" w:cs="Arial"/>
          <w:sz w:val="20"/>
          <w:szCs w:val="20"/>
        </w:rPr>
        <w:t xml:space="preserve">Sen, S., &amp; Kalita, M. (2025). The gig economy and women: Participation factors and reproductive </w:t>
      </w:r>
    </w:p>
    <w:p w14:paraId="67114F69" w14:textId="785720CA" w:rsidR="00330AAB" w:rsidRPr="0064123A" w:rsidRDefault="00330AAB" w:rsidP="00330AAB">
      <w:pPr>
        <w:spacing w:after="0" w:line="360" w:lineRule="auto"/>
        <w:ind w:left="360" w:firstLine="360"/>
        <w:jc w:val="both"/>
        <w:rPr>
          <w:rFonts w:ascii="Arial" w:hAnsi="Arial" w:cs="Arial"/>
          <w:sz w:val="20"/>
          <w:szCs w:val="20"/>
        </w:rPr>
      </w:pPr>
      <w:r w:rsidRPr="0064123A">
        <w:rPr>
          <w:rFonts w:ascii="Arial" w:hAnsi="Arial" w:cs="Arial"/>
          <w:sz w:val="20"/>
          <w:szCs w:val="20"/>
        </w:rPr>
        <w:t xml:space="preserve">health impacts. </w:t>
      </w:r>
      <w:r w:rsidRPr="0064123A">
        <w:rPr>
          <w:rFonts w:ascii="Arial" w:hAnsi="Arial" w:cs="Arial"/>
          <w:i/>
          <w:iCs/>
          <w:sz w:val="20"/>
          <w:szCs w:val="20"/>
        </w:rPr>
        <w:t>South Asian Journal of Social Studies and Economics, 22</w:t>
      </w:r>
      <w:r w:rsidRPr="0064123A">
        <w:rPr>
          <w:rFonts w:ascii="Arial" w:hAnsi="Arial" w:cs="Arial"/>
          <w:sz w:val="20"/>
          <w:szCs w:val="20"/>
        </w:rPr>
        <w:t>(10), 362–373.</w:t>
      </w:r>
    </w:p>
    <w:p w14:paraId="6DBB2354" w14:textId="77777777" w:rsidR="00330AAB" w:rsidRPr="0064123A" w:rsidRDefault="00330AAB" w:rsidP="00330AAB">
      <w:pPr>
        <w:spacing w:before="240" w:after="0" w:line="360" w:lineRule="auto"/>
        <w:ind w:left="360"/>
        <w:jc w:val="both"/>
        <w:rPr>
          <w:rFonts w:ascii="Arial" w:hAnsi="Arial" w:cs="Arial"/>
          <w:i/>
          <w:iCs/>
          <w:sz w:val="20"/>
          <w:szCs w:val="20"/>
        </w:rPr>
      </w:pPr>
      <w:r w:rsidRPr="0064123A">
        <w:rPr>
          <w:rFonts w:ascii="Arial" w:hAnsi="Arial" w:cs="Arial"/>
          <w:sz w:val="20"/>
          <w:szCs w:val="20"/>
        </w:rPr>
        <w:t xml:space="preserve">Sundararajan, A. (2016). </w:t>
      </w:r>
      <w:r w:rsidRPr="0064123A">
        <w:rPr>
          <w:rFonts w:ascii="Arial" w:hAnsi="Arial" w:cs="Arial"/>
          <w:i/>
          <w:iCs/>
          <w:sz w:val="20"/>
          <w:szCs w:val="20"/>
        </w:rPr>
        <w:t>The sharing economy: The end of employment and the rise of crowd-</w:t>
      </w:r>
    </w:p>
    <w:p w14:paraId="1E2050B4" w14:textId="00D7B158" w:rsidR="00330AAB" w:rsidRPr="0064123A" w:rsidRDefault="00330AAB" w:rsidP="00330AAB">
      <w:pPr>
        <w:spacing w:after="0" w:line="360" w:lineRule="auto"/>
        <w:ind w:left="360" w:firstLine="360"/>
        <w:jc w:val="both"/>
        <w:rPr>
          <w:rFonts w:ascii="Arial" w:hAnsi="Arial" w:cs="Arial"/>
          <w:sz w:val="20"/>
          <w:szCs w:val="20"/>
        </w:rPr>
      </w:pPr>
      <w:r w:rsidRPr="0064123A">
        <w:rPr>
          <w:rFonts w:ascii="Arial" w:hAnsi="Arial" w:cs="Arial"/>
          <w:i/>
          <w:iCs/>
          <w:sz w:val="20"/>
          <w:szCs w:val="20"/>
        </w:rPr>
        <w:t>based capitalism</w:t>
      </w:r>
      <w:r w:rsidRPr="0064123A">
        <w:rPr>
          <w:rFonts w:ascii="Arial" w:hAnsi="Arial" w:cs="Arial"/>
          <w:sz w:val="20"/>
          <w:szCs w:val="20"/>
        </w:rPr>
        <w:t>. MIT Press.</w:t>
      </w:r>
    </w:p>
    <w:p w14:paraId="6B50AB60" w14:textId="77777777" w:rsidR="00330AAB" w:rsidRPr="0064123A" w:rsidRDefault="00330AAB" w:rsidP="00330AAB">
      <w:pPr>
        <w:spacing w:before="240" w:after="0" w:line="360" w:lineRule="auto"/>
        <w:ind w:left="360"/>
        <w:jc w:val="both"/>
        <w:rPr>
          <w:rFonts w:ascii="Arial" w:hAnsi="Arial" w:cs="Arial"/>
          <w:i/>
          <w:iCs/>
          <w:sz w:val="20"/>
          <w:szCs w:val="20"/>
        </w:rPr>
      </w:pPr>
      <w:r w:rsidRPr="0064123A">
        <w:rPr>
          <w:rFonts w:ascii="Arial" w:hAnsi="Arial" w:cs="Arial"/>
          <w:sz w:val="20"/>
          <w:szCs w:val="20"/>
        </w:rPr>
        <w:t xml:space="preserve">Verma, M. K. (2025). Gender and work: Women in India’s gig economy. </w:t>
      </w:r>
      <w:r w:rsidRPr="0064123A">
        <w:rPr>
          <w:rFonts w:ascii="Arial" w:hAnsi="Arial" w:cs="Arial"/>
          <w:i/>
          <w:iCs/>
          <w:sz w:val="20"/>
          <w:szCs w:val="20"/>
        </w:rPr>
        <w:t xml:space="preserve">IJSAT–International Journal </w:t>
      </w:r>
    </w:p>
    <w:p w14:paraId="58C4CFE6" w14:textId="34744390" w:rsidR="00330AAB" w:rsidRPr="0064123A" w:rsidRDefault="00330AAB" w:rsidP="00330AAB">
      <w:pPr>
        <w:spacing w:after="0" w:line="360" w:lineRule="auto"/>
        <w:ind w:left="360" w:firstLine="360"/>
        <w:jc w:val="both"/>
        <w:rPr>
          <w:rFonts w:ascii="Arial" w:hAnsi="Arial" w:cs="Arial"/>
          <w:sz w:val="20"/>
          <w:szCs w:val="20"/>
        </w:rPr>
      </w:pPr>
      <w:r w:rsidRPr="0064123A">
        <w:rPr>
          <w:rFonts w:ascii="Arial" w:hAnsi="Arial" w:cs="Arial"/>
          <w:i/>
          <w:iCs/>
          <w:sz w:val="20"/>
          <w:szCs w:val="20"/>
        </w:rPr>
        <w:t>on Science and Technology, 16</w:t>
      </w:r>
      <w:r w:rsidRPr="0064123A">
        <w:rPr>
          <w:rFonts w:ascii="Arial" w:hAnsi="Arial" w:cs="Arial"/>
          <w:sz w:val="20"/>
          <w:szCs w:val="20"/>
        </w:rPr>
        <w:t>(4).</w:t>
      </w:r>
    </w:p>
    <w:p w14:paraId="48A61893" w14:textId="77777777" w:rsidR="00330AAB" w:rsidRPr="0064123A" w:rsidRDefault="00330AAB" w:rsidP="00330AAB">
      <w:pPr>
        <w:spacing w:before="240" w:after="0" w:line="360" w:lineRule="auto"/>
        <w:ind w:left="360"/>
        <w:jc w:val="both"/>
        <w:rPr>
          <w:rFonts w:ascii="Arial" w:hAnsi="Arial" w:cs="Arial"/>
          <w:sz w:val="20"/>
          <w:szCs w:val="20"/>
        </w:rPr>
      </w:pPr>
      <w:r w:rsidRPr="0064123A">
        <w:rPr>
          <w:rFonts w:ascii="Arial" w:hAnsi="Arial" w:cs="Arial"/>
          <w:sz w:val="20"/>
          <w:szCs w:val="20"/>
        </w:rPr>
        <w:t xml:space="preserve">Wood, A. J., </w:t>
      </w:r>
      <w:proofErr w:type="spellStart"/>
      <w:r w:rsidRPr="0064123A">
        <w:rPr>
          <w:rFonts w:ascii="Arial" w:hAnsi="Arial" w:cs="Arial"/>
          <w:sz w:val="20"/>
          <w:szCs w:val="20"/>
        </w:rPr>
        <w:t>Lehdonvirta</w:t>
      </w:r>
      <w:proofErr w:type="spellEnd"/>
      <w:r w:rsidRPr="0064123A">
        <w:rPr>
          <w:rFonts w:ascii="Arial" w:hAnsi="Arial" w:cs="Arial"/>
          <w:sz w:val="20"/>
          <w:szCs w:val="20"/>
        </w:rPr>
        <w:t xml:space="preserve">, V., &amp; Graham, M. (2019). Workers of the Internet unite? Online freelancer </w:t>
      </w:r>
    </w:p>
    <w:p w14:paraId="1168817A" w14:textId="0072A164" w:rsidR="00330AAB" w:rsidRPr="0064123A" w:rsidRDefault="00330AAB" w:rsidP="00330AAB">
      <w:pPr>
        <w:spacing w:after="0" w:line="360" w:lineRule="auto"/>
        <w:ind w:left="720"/>
        <w:jc w:val="both"/>
        <w:rPr>
          <w:rFonts w:ascii="Arial" w:hAnsi="Arial" w:cs="Arial"/>
          <w:sz w:val="20"/>
          <w:szCs w:val="20"/>
        </w:rPr>
      </w:pPr>
      <w:r w:rsidRPr="0064123A">
        <w:rPr>
          <w:rFonts w:ascii="Arial" w:hAnsi="Arial" w:cs="Arial"/>
          <w:sz w:val="20"/>
          <w:szCs w:val="20"/>
        </w:rPr>
        <w:t xml:space="preserve">organisation among remote gig workers in six Asian and African countries. </w:t>
      </w:r>
      <w:r w:rsidRPr="0064123A">
        <w:rPr>
          <w:rFonts w:ascii="Arial" w:hAnsi="Arial" w:cs="Arial"/>
          <w:i/>
          <w:iCs/>
          <w:sz w:val="20"/>
          <w:szCs w:val="20"/>
        </w:rPr>
        <w:t>Economic and Industrial Democracy, 40</w:t>
      </w:r>
      <w:r w:rsidRPr="0064123A">
        <w:rPr>
          <w:rFonts w:ascii="Arial" w:hAnsi="Arial" w:cs="Arial"/>
          <w:sz w:val="20"/>
          <w:szCs w:val="20"/>
        </w:rPr>
        <w:t>(3), 548–564.</w:t>
      </w:r>
    </w:p>
    <w:p w14:paraId="6F108430" w14:textId="77777777" w:rsidR="002D1F76" w:rsidRPr="0059717B" w:rsidRDefault="002D1F76" w:rsidP="00DB4131">
      <w:pPr>
        <w:spacing w:line="360" w:lineRule="auto"/>
        <w:jc w:val="both"/>
        <w:rPr>
          <w:rFonts w:ascii="Arial" w:hAnsi="Arial" w:cs="Arial"/>
          <w:sz w:val="20"/>
          <w:szCs w:val="20"/>
        </w:rPr>
      </w:pPr>
    </w:p>
    <w:sectPr w:rsidR="002D1F76" w:rsidRPr="0059717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A0C4F" w14:textId="77777777" w:rsidR="00FC21C1" w:rsidRDefault="00FC21C1" w:rsidP="000F76EB">
      <w:pPr>
        <w:spacing w:after="0" w:line="240" w:lineRule="auto"/>
      </w:pPr>
      <w:r>
        <w:separator/>
      </w:r>
    </w:p>
  </w:endnote>
  <w:endnote w:type="continuationSeparator" w:id="0">
    <w:p w14:paraId="1A23AF26" w14:textId="77777777" w:rsidR="00FC21C1" w:rsidRDefault="00FC21C1" w:rsidP="000F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AABBF" w14:textId="77777777" w:rsidR="00EB691B" w:rsidRDefault="00EB6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712566"/>
      <w:docPartObj>
        <w:docPartGallery w:val="Page Numbers (Bottom of Page)"/>
        <w:docPartUnique/>
      </w:docPartObj>
    </w:sdtPr>
    <w:sdtEndPr>
      <w:rPr>
        <w:color w:val="7F7F7F" w:themeColor="background1" w:themeShade="7F"/>
        <w:spacing w:val="60"/>
      </w:rPr>
    </w:sdtEndPr>
    <w:sdtContent>
      <w:p w14:paraId="1C4A78D3" w14:textId="4ADD1DD4" w:rsidR="000F76EB" w:rsidRDefault="000F76E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7407154" w14:textId="77777777" w:rsidR="000F76EB" w:rsidRDefault="000F7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FD667" w14:textId="77777777" w:rsidR="00EB691B" w:rsidRDefault="00EB6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0473E" w14:textId="77777777" w:rsidR="00FC21C1" w:rsidRDefault="00FC21C1" w:rsidP="000F76EB">
      <w:pPr>
        <w:spacing w:after="0" w:line="240" w:lineRule="auto"/>
      </w:pPr>
      <w:r>
        <w:separator/>
      </w:r>
    </w:p>
  </w:footnote>
  <w:footnote w:type="continuationSeparator" w:id="0">
    <w:p w14:paraId="298DD5B2" w14:textId="77777777" w:rsidR="00FC21C1" w:rsidRDefault="00FC21C1" w:rsidP="000F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D9946" w14:textId="4CBF3ED3" w:rsidR="00EB691B" w:rsidRDefault="00EB691B">
    <w:pPr>
      <w:pStyle w:val="Header"/>
    </w:pPr>
    <w:r>
      <w:rPr>
        <w:noProof/>
      </w:rPr>
      <w:pict w14:anchorId="22811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24101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06F7E" w14:textId="05D824AB" w:rsidR="00EB691B" w:rsidRDefault="00EB691B">
    <w:pPr>
      <w:pStyle w:val="Header"/>
    </w:pPr>
    <w:r>
      <w:rPr>
        <w:noProof/>
      </w:rPr>
      <w:pict w14:anchorId="010DB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24101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54D09" w14:textId="6A30E404" w:rsidR="00EB691B" w:rsidRDefault="00EB691B">
    <w:pPr>
      <w:pStyle w:val="Header"/>
    </w:pPr>
    <w:r>
      <w:rPr>
        <w:noProof/>
      </w:rPr>
      <w:pict w14:anchorId="42484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24101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A411F"/>
    <w:multiLevelType w:val="multilevel"/>
    <w:tmpl w:val="20908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C5E86"/>
    <w:multiLevelType w:val="hybridMultilevel"/>
    <w:tmpl w:val="AB1A9994"/>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221AF6"/>
    <w:multiLevelType w:val="multilevel"/>
    <w:tmpl w:val="F28C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0514F6"/>
    <w:multiLevelType w:val="multilevel"/>
    <w:tmpl w:val="C484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B94297"/>
    <w:multiLevelType w:val="multilevel"/>
    <w:tmpl w:val="A0A2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926A09"/>
    <w:multiLevelType w:val="hybridMultilevel"/>
    <w:tmpl w:val="348433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F983EBE"/>
    <w:multiLevelType w:val="hybridMultilevel"/>
    <w:tmpl w:val="87E035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0D"/>
    <w:rsid w:val="000016E9"/>
    <w:rsid w:val="00005A0F"/>
    <w:rsid w:val="00030349"/>
    <w:rsid w:val="0003107B"/>
    <w:rsid w:val="00034823"/>
    <w:rsid w:val="00043EF7"/>
    <w:rsid w:val="000455D8"/>
    <w:rsid w:val="000629AA"/>
    <w:rsid w:val="000C0FA5"/>
    <w:rsid w:val="000D4AEE"/>
    <w:rsid w:val="000D5573"/>
    <w:rsid w:val="000E0CD0"/>
    <w:rsid w:val="000E2B17"/>
    <w:rsid w:val="000F76EB"/>
    <w:rsid w:val="0013693E"/>
    <w:rsid w:val="00144909"/>
    <w:rsid w:val="001451A9"/>
    <w:rsid w:val="001617E1"/>
    <w:rsid w:val="00175D97"/>
    <w:rsid w:val="0018085E"/>
    <w:rsid w:val="00185FC5"/>
    <w:rsid w:val="00191033"/>
    <w:rsid w:val="001A3AAD"/>
    <w:rsid w:val="001A50E1"/>
    <w:rsid w:val="001B3AD1"/>
    <w:rsid w:val="001B71BC"/>
    <w:rsid w:val="001D2172"/>
    <w:rsid w:val="001D43AD"/>
    <w:rsid w:val="001E125D"/>
    <w:rsid w:val="00202D2C"/>
    <w:rsid w:val="00215722"/>
    <w:rsid w:val="00221B22"/>
    <w:rsid w:val="00222C82"/>
    <w:rsid w:val="00225533"/>
    <w:rsid w:val="00232C6A"/>
    <w:rsid w:val="0023379E"/>
    <w:rsid w:val="00235C1B"/>
    <w:rsid w:val="0023710D"/>
    <w:rsid w:val="00257933"/>
    <w:rsid w:val="00262573"/>
    <w:rsid w:val="00266F16"/>
    <w:rsid w:val="00273010"/>
    <w:rsid w:val="002A415E"/>
    <w:rsid w:val="002B3121"/>
    <w:rsid w:val="002B7AB5"/>
    <w:rsid w:val="002B7F28"/>
    <w:rsid w:val="002C689E"/>
    <w:rsid w:val="002C78FD"/>
    <w:rsid w:val="002D1F76"/>
    <w:rsid w:val="002D26E0"/>
    <w:rsid w:val="002E0A26"/>
    <w:rsid w:val="002E73F0"/>
    <w:rsid w:val="002F2D48"/>
    <w:rsid w:val="002F6D04"/>
    <w:rsid w:val="00312E10"/>
    <w:rsid w:val="00316400"/>
    <w:rsid w:val="00317278"/>
    <w:rsid w:val="00330AAB"/>
    <w:rsid w:val="00361671"/>
    <w:rsid w:val="00366B14"/>
    <w:rsid w:val="00367C28"/>
    <w:rsid w:val="00373EE8"/>
    <w:rsid w:val="00380434"/>
    <w:rsid w:val="003878E2"/>
    <w:rsid w:val="003A5CF4"/>
    <w:rsid w:val="003C0BFC"/>
    <w:rsid w:val="003D5B6A"/>
    <w:rsid w:val="003D642D"/>
    <w:rsid w:val="003E0295"/>
    <w:rsid w:val="003E3E3B"/>
    <w:rsid w:val="003F69FE"/>
    <w:rsid w:val="00403910"/>
    <w:rsid w:val="00422608"/>
    <w:rsid w:val="00432791"/>
    <w:rsid w:val="00445B06"/>
    <w:rsid w:val="0046049F"/>
    <w:rsid w:val="0046746D"/>
    <w:rsid w:val="00491737"/>
    <w:rsid w:val="00494326"/>
    <w:rsid w:val="00494516"/>
    <w:rsid w:val="004A1E0A"/>
    <w:rsid w:val="004A6152"/>
    <w:rsid w:val="004B2654"/>
    <w:rsid w:val="004C2859"/>
    <w:rsid w:val="004E73DA"/>
    <w:rsid w:val="00511073"/>
    <w:rsid w:val="0051190C"/>
    <w:rsid w:val="0052057F"/>
    <w:rsid w:val="0052532F"/>
    <w:rsid w:val="0054509A"/>
    <w:rsid w:val="00550A44"/>
    <w:rsid w:val="00551884"/>
    <w:rsid w:val="005536A2"/>
    <w:rsid w:val="005568EE"/>
    <w:rsid w:val="005571C5"/>
    <w:rsid w:val="005601B8"/>
    <w:rsid w:val="00575B7E"/>
    <w:rsid w:val="00584A49"/>
    <w:rsid w:val="005904AE"/>
    <w:rsid w:val="0059188D"/>
    <w:rsid w:val="0059717B"/>
    <w:rsid w:val="00597C15"/>
    <w:rsid w:val="005A7EFE"/>
    <w:rsid w:val="005D065F"/>
    <w:rsid w:val="005E3110"/>
    <w:rsid w:val="005F1FD5"/>
    <w:rsid w:val="0061348F"/>
    <w:rsid w:val="006177EA"/>
    <w:rsid w:val="00620477"/>
    <w:rsid w:val="00626787"/>
    <w:rsid w:val="00626C92"/>
    <w:rsid w:val="0064123A"/>
    <w:rsid w:val="00642AC9"/>
    <w:rsid w:val="00646FF2"/>
    <w:rsid w:val="00650FB2"/>
    <w:rsid w:val="0066096C"/>
    <w:rsid w:val="0066614D"/>
    <w:rsid w:val="00680FEF"/>
    <w:rsid w:val="006966FD"/>
    <w:rsid w:val="006A06EA"/>
    <w:rsid w:val="006A7535"/>
    <w:rsid w:val="006B2B5D"/>
    <w:rsid w:val="006B5EA6"/>
    <w:rsid w:val="006B7264"/>
    <w:rsid w:val="006D0F75"/>
    <w:rsid w:val="006F1079"/>
    <w:rsid w:val="0070707D"/>
    <w:rsid w:val="0071142B"/>
    <w:rsid w:val="00724365"/>
    <w:rsid w:val="00726474"/>
    <w:rsid w:val="0073518E"/>
    <w:rsid w:val="00736132"/>
    <w:rsid w:val="00742972"/>
    <w:rsid w:val="007601BD"/>
    <w:rsid w:val="00761999"/>
    <w:rsid w:val="00773E3F"/>
    <w:rsid w:val="00775173"/>
    <w:rsid w:val="00776F1D"/>
    <w:rsid w:val="00787827"/>
    <w:rsid w:val="00792935"/>
    <w:rsid w:val="007B2F7F"/>
    <w:rsid w:val="007C0FD9"/>
    <w:rsid w:val="007C2E38"/>
    <w:rsid w:val="007C703E"/>
    <w:rsid w:val="007F1D34"/>
    <w:rsid w:val="00806308"/>
    <w:rsid w:val="00807669"/>
    <w:rsid w:val="00810513"/>
    <w:rsid w:val="008155BA"/>
    <w:rsid w:val="00825DB4"/>
    <w:rsid w:val="0082793E"/>
    <w:rsid w:val="008438D8"/>
    <w:rsid w:val="00852F03"/>
    <w:rsid w:val="00857DD0"/>
    <w:rsid w:val="008624AE"/>
    <w:rsid w:val="0086322D"/>
    <w:rsid w:val="0087336E"/>
    <w:rsid w:val="008958AE"/>
    <w:rsid w:val="008B510A"/>
    <w:rsid w:val="008D6822"/>
    <w:rsid w:val="008E1DB6"/>
    <w:rsid w:val="008E34EC"/>
    <w:rsid w:val="008F6F65"/>
    <w:rsid w:val="009016E4"/>
    <w:rsid w:val="00904193"/>
    <w:rsid w:val="00905C2D"/>
    <w:rsid w:val="009150C1"/>
    <w:rsid w:val="00917560"/>
    <w:rsid w:val="009428CA"/>
    <w:rsid w:val="00950894"/>
    <w:rsid w:val="00952FE4"/>
    <w:rsid w:val="00956D9A"/>
    <w:rsid w:val="009B6F1F"/>
    <w:rsid w:val="009E7CF5"/>
    <w:rsid w:val="009F7DDA"/>
    <w:rsid w:val="00A021C5"/>
    <w:rsid w:val="00A0779C"/>
    <w:rsid w:val="00A12A99"/>
    <w:rsid w:val="00A252D3"/>
    <w:rsid w:val="00A365D2"/>
    <w:rsid w:val="00A453C4"/>
    <w:rsid w:val="00A506D9"/>
    <w:rsid w:val="00A56ADF"/>
    <w:rsid w:val="00A6594F"/>
    <w:rsid w:val="00A73483"/>
    <w:rsid w:val="00A7738A"/>
    <w:rsid w:val="00AB07B5"/>
    <w:rsid w:val="00AC0A74"/>
    <w:rsid w:val="00AD6E77"/>
    <w:rsid w:val="00AF1EEC"/>
    <w:rsid w:val="00AF217B"/>
    <w:rsid w:val="00AF67F9"/>
    <w:rsid w:val="00B03F36"/>
    <w:rsid w:val="00B25968"/>
    <w:rsid w:val="00B32812"/>
    <w:rsid w:val="00B36840"/>
    <w:rsid w:val="00B5139C"/>
    <w:rsid w:val="00B63B26"/>
    <w:rsid w:val="00B67278"/>
    <w:rsid w:val="00B67692"/>
    <w:rsid w:val="00B70CEC"/>
    <w:rsid w:val="00B71374"/>
    <w:rsid w:val="00B77FD2"/>
    <w:rsid w:val="00BA086B"/>
    <w:rsid w:val="00BD3447"/>
    <w:rsid w:val="00BE2653"/>
    <w:rsid w:val="00C01857"/>
    <w:rsid w:val="00C11A6C"/>
    <w:rsid w:val="00C22E25"/>
    <w:rsid w:val="00C30245"/>
    <w:rsid w:val="00C40AC9"/>
    <w:rsid w:val="00C51BE0"/>
    <w:rsid w:val="00C7476E"/>
    <w:rsid w:val="00C93F05"/>
    <w:rsid w:val="00C96180"/>
    <w:rsid w:val="00CA4042"/>
    <w:rsid w:val="00CA436B"/>
    <w:rsid w:val="00CA4B8D"/>
    <w:rsid w:val="00CC1F42"/>
    <w:rsid w:val="00CC4107"/>
    <w:rsid w:val="00CE5335"/>
    <w:rsid w:val="00CF67EE"/>
    <w:rsid w:val="00D0385F"/>
    <w:rsid w:val="00D1018F"/>
    <w:rsid w:val="00D152E5"/>
    <w:rsid w:val="00D17776"/>
    <w:rsid w:val="00D21347"/>
    <w:rsid w:val="00D4796C"/>
    <w:rsid w:val="00D50CEF"/>
    <w:rsid w:val="00D65E99"/>
    <w:rsid w:val="00D66FB4"/>
    <w:rsid w:val="00D71F71"/>
    <w:rsid w:val="00D7383C"/>
    <w:rsid w:val="00D759DA"/>
    <w:rsid w:val="00D90791"/>
    <w:rsid w:val="00DB05DB"/>
    <w:rsid w:val="00DB4131"/>
    <w:rsid w:val="00DB5CC8"/>
    <w:rsid w:val="00DD2E11"/>
    <w:rsid w:val="00DE41E7"/>
    <w:rsid w:val="00E02899"/>
    <w:rsid w:val="00E112E8"/>
    <w:rsid w:val="00E23360"/>
    <w:rsid w:val="00E26B95"/>
    <w:rsid w:val="00E42BAC"/>
    <w:rsid w:val="00E4401F"/>
    <w:rsid w:val="00E512AC"/>
    <w:rsid w:val="00E55E4B"/>
    <w:rsid w:val="00E63B56"/>
    <w:rsid w:val="00E87686"/>
    <w:rsid w:val="00EA22EC"/>
    <w:rsid w:val="00EB6250"/>
    <w:rsid w:val="00EB691B"/>
    <w:rsid w:val="00EC12A8"/>
    <w:rsid w:val="00EC22EF"/>
    <w:rsid w:val="00EC412D"/>
    <w:rsid w:val="00F10F62"/>
    <w:rsid w:val="00F11624"/>
    <w:rsid w:val="00F178F8"/>
    <w:rsid w:val="00F37D09"/>
    <w:rsid w:val="00F40BDD"/>
    <w:rsid w:val="00F634CF"/>
    <w:rsid w:val="00F656A8"/>
    <w:rsid w:val="00F679DB"/>
    <w:rsid w:val="00F71DFB"/>
    <w:rsid w:val="00F94A50"/>
    <w:rsid w:val="00FA4D5B"/>
    <w:rsid w:val="00FA5F0C"/>
    <w:rsid w:val="00FC21C1"/>
    <w:rsid w:val="00FC680D"/>
    <w:rsid w:val="00FC761E"/>
    <w:rsid w:val="00FC7F0F"/>
    <w:rsid w:val="00FD4716"/>
    <w:rsid w:val="00FD5255"/>
    <w:rsid w:val="00FE26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A963D2"/>
  <w15:chartTrackingRefBased/>
  <w15:docId w15:val="{7E6991F5-E2EC-4ADA-B0B5-116C529A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B06"/>
  </w:style>
  <w:style w:type="paragraph" w:styleId="Heading1">
    <w:name w:val="heading 1"/>
    <w:basedOn w:val="Normal"/>
    <w:next w:val="Normal"/>
    <w:link w:val="Heading1Char"/>
    <w:uiPriority w:val="9"/>
    <w:qFormat/>
    <w:rsid w:val="00FC68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68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68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68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8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8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68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8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8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8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80D"/>
    <w:rPr>
      <w:rFonts w:eastAsiaTheme="majorEastAsia" w:cstheme="majorBidi"/>
      <w:color w:val="272727" w:themeColor="text1" w:themeTint="D8"/>
    </w:rPr>
  </w:style>
  <w:style w:type="paragraph" w:styleId="Title">
    <w:name w:val="Title"/>
    <w:basedOn w:val="Normal"/>
    <w:next w:val="Normal"/>
    <w:link w:val="TitleChar"/>
    <w:uiPriority w:val="10"/>
    <w:qFormat/>
    <w:rsid w:val="00FC6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80D"/>
    <w:pPr>
      <w:spacing w:before="160"/>
      <w:jc w:val="center"/>
    </w:pPr>
    <w:rPr>
      <w:i/>
      <w:iCs/>
      <w:color w:val="404040" w:themeColor="text1" w:themeTint="BF"/>
    </w:rPr>
  </w:style>
  <w:style w:type="character" w:customStyle="1" w:styleId="QuoteChar">
    <w:name w:val="Quote Char"/>
    <w:basedOn w:val="DefaultParagraphFont"/>
    <w:link w:val="Quote"/>
    <w:uiPriority w:val="29"/>
    <w:rsid w:val="00FC680D"/>
    <w:rPr>
      <w:i/>
      <w:iCs/>
      <w:color w:val="404040" w:themeColor="text1" w:themeTint="BF"/>
    </w:rPr>
  </w:style>
  <w:style w:type="paragraph" w:styleId="ListParagraph">
    <w:name w:val="List Paragraph"/>
    <w:basedOn w:val="Normal"/>
    <w:uiPriority w:val="34"/>
    <w:qFormat/>
    <w:rsid w:val="00FC680D"/>
    <w:pPr>
      <w:ind w:left="720"/>
      <w:contextualSpacing/>
    </w:pPr>
  </w:style>
  <w:style w:type="character" w:styleId="IntenseEmphasis">
    <w:name w:val="Intense Emphasis"/>
    <w:basedOn w:val="DefaultParagraphFont"/>
    <w:uiPriority w:val="21"/>
    <w:qFormat/>
    <w:rsid w:val="00FC680D"/>
    <w:rPr>
      <w:i/>
      <w:iCs/>
      <w:color w:val="2F5496" w:themeColor="accent1" w:themeShade="BF"/>
    </w:rPr>
  </w:style>
  <w:style w:type="paragraph" w:styleId="IntenseQuote">
    <w:name w:val="Intense Quote"/>
    <w:basedOn w:val="Normal"/>
    <w:next w:val="Normal"/>
    <w:link w:val="IntenseQuoteChar"/>
    <w:uiPriority w:val="30"/>
    <w:qFormat/>
    <w:rsid w:val="00FC6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80D"/>
    <w:rPr>
      <w:i/>
      <w:iCs/>
      <w:color w:val="2F5496" w:themeColor="accent1" w:themeShade="BF"/>
    </w:rPr>
  </w:style>
  <w:style w:type="character" w:styleId="IntenseReference">
    <w:name w:val="Intense Reference"/>
    <w:basedOn w:val="DefaultParagraphFont"/>
    <w:uiPriority w:val="32"/>
    <w:qFormat/>
    <w:rsid w:val="00FC680D"/>
    <w:rPr>
      <w:b/>
      <w:bCs/>
      <w:smallCaps/>
      <w:color w:val="2F5496" w:themeColor="accent1" w:themeShade="BF"/>
      <w:spacing w:val="5"/>
    </w:rPr>
  </w:style>
  <w:style w:type="paragraph" w:styleId="Header">
    <w:name w:val="header"/>
    <w:basedOn w:val="Normal"/>
    <w:link w:val="HeaderChar"/>
    <w:uiPriority w:val="99"/>
    <w:unhideWhenUsed/>
    <w:rsid w:val="000F7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6EB"/>
  </w:style>
  <w:style w:type="paragraph" w:styleId="Footer">
    <w:name w:val="footer"/>
    <w:basedOn w:val="Normal"/>
    <w:link w:val="FooterChar"/>
    <w:uiPriority w:val="99"/>
    <w:unhideWhenUsed/>
    <w:rsid w:val="000F7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6EB"/>
  </w:style>
  <w:style w:type="paragraph" w:styleId="FootnoteText">
    <w:name w:val="footnote text"/>
    <w:basedOn w:val="Normal"/>
    <w:link w:val="FootnoteTextChar"/>
    <w:uiPriority w:val="99"/>
    <w:unhideWhenUsed/>
    <w:rsid w:val="005536A2"/>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5536A2"/>
    <w:rPr>
      <w:kern w:val="0"/>
      <w:sz w:val="20"/>
      <w:szCs w:val="20"/>
      <w14:ligatures w14:val="none"/>
    </w:rPr>
  </w:style>
  <w:style w:type="character" w:styleId="FootnoteReference">
    <w:name w:val="footnote reference"/>
    <w:basedOn w:val="DefaultParagraphFont"/>
    <w:uiPriority w:val="99"/>
    <w:semiHidden/>
    <w:unhideWhenUsed/>
    <w:rsid w:val="005536A2"/>
    <w:rPr>
      <w:vertAlign w:val="superscript"/>
    </w:rPr>
  </w:style>
  <w:style w:type="table" w:styleId="TableGrid">
    <w:name w:val="Table Grid"/>
    <w:basedOn w:val="TableNormal"/>
    <w:uiPriority w:val="39"/>
    <w:rsid w:val="001910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6180"/>
    <w:rPr>
      <w:rFonts w:ascii="Times New Roman" w:hAnsi="Times New Roman" w:cs="Times New Roman"/>
      <w:sz w:val="24"/>
      <w:szCs w:val="24"/>
    </w:rPr>
  </w:style>
  <w:style w:type="character" w:styleId="Hyperlink">
    <w:name w:val="Hyperlink"/>
    <w:basedOn w:val="DefaultParagraphFont"/>
    <w:uiPriority w:val="99"/>
    <w:unhideWhenUsed/>
    <w:rsid w:val="0059717B"/>
    <w:rPr>
      <w:color w:val="0563C1" w:themeColor="hyperlink"/>
      <w:u w:val="single"/>
    </w:rPr>
  </w:style>
  <w:style w:type="paragraph" w:styleId="NoSpacing">
    <w:name w:val="No Spacing"/>
    <w:uiPriority w:val="1"/>
    <w:qFormat/>
    <w:rsid w:val="00FA5F0C"/>
    <w:pPr>
      <w:spacing w:after="0" w:line="240" w:lineRule="auto"/>
    </w:pPr>
    <w:rPr>
      <w:sz w:val="24"/>
      <w:szCs w:val="24"/>
    </w:rPr>
  </w:style>
  <w:style w:type="character" w:styleId="UnresolvedMention">
    <w:name w:val="Unresolved Mention"/>
    <w:basedOn w:val="DefaultParagraphFont"/>
    <w:uiPriority w:val="99"/>
    <w:semiHidden/>
    <w:unhideWhenUsed/>
    <w:rsid w:val="00DB0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91416">
      <w:bodyDiv w:val="1"/>
      <w:marLeft w:val="0"/>
      <w:marRight w:val="0"/>
      <w:marTop w:val="0"/>
      <w:marBottom w:val="0"/>
      <w:divBdr>
        <w:top w:val="none" w:sz="0" w:space="0" w:color="auto"/>
        <w:left w:val="none" w:sz="0" w:space="0" w:color="auto"/>
        <w:bottom w:val="none" w:sz="0" w:space="0" w:color="auto"/>
        <w:right w:val="none" w:sz="0" w:space="0" w:color="auto"/>
      </w:divBdr>
    </w:div>
    <w:div w:id="106628282">
      <w:bodyDiv w:val="1"/>
      <w:marLeft w:val="0"/>
      <w:marRight w:val="0"/>
      <w:marTop w:val="0"/>
      <w:marBottom w:val="0"/>
      <w:divBdr>
        <w:top w:val="none" w:sz="0" w:space="0" w:color="auto"/>
        <w:left w:val="none" w:sz="0" w:space="0" w:color="auto"/>
        <w:bottom w:val="none" w:sz="0" w:space="0" w:color="auto"/>
        <w:right w:val="none" w:sz="0" w:space="0" w:color="auto"/>
      </w:divBdr>
    </w:div>
    <w:div w:id="111901627">
      <w:bodyDiv w:val="1"/>
      <w:marLeft w:val="0"/>
      <w:marRight w:val="0"/>
      <w:marTop w:val="0"/>
      <w:marBottom w:val="0"/>
      <w:divBdr>
        <w:top w:val="none" w:sz="0" w:space="0" w:color="auto"/>
        <w:left w:val="none" w:sz="0" w:space="0" w:color="auto"/>
        <w:bottom w:val="none" w:sz="0" w:space="0" w:color="auto"/>
        <w:right w:val="none" w:sz="0" w:space="0" w:color="auto"/>
      </w:divBdr>
    </w:div>
    <w:div w:id="487213054">
      <w:bodyDiv w:val="1"/>
      <w:marLeft w:val="0"/>
      <w:marRight w:val="0"/>
      <w:marTop w:val="0"/>
      <w:marBottom w:val="0"/>
      <w:divBdr>
        <w:top w:val="none" w:sz="0" w:space="0" w:color="auto"/>
        <w:left w:val="none" w:sz="0" w:space="0" w:color="auto"/>
        <w:bottom w:val="none" w:sz="0" w:space="0" w:color="auto"/>
        <w:right w:val="none" w:sz="0" w:space="0" w:color="auto"/>
      </w:divBdr>
    </w:div>
    <w:div w:id="986667795">
      <w:bodyDiv w:val="1"/>
      <w:marLeft w:val="0"/>
      <w:marRight w:val="0"/>
      <w:marTop w:val="0"/>
      <w:marBottom w:val="0"/>
      <w:divBdr>
        <w:top w:val="none" w:sz="0" w:space="0" w:color="auto"/>
        <w:left w:val="none" w:sz="0" w:space="0" w:color="auto"/>
        <w:bottom w:val="none" w:sz="0" w:space="0" w:color="auto"/>
        <w:right w:val="none" w:sz="0" w:space="0" w:color="auto"/>
      </w:divBdr>
    </w:div>
    <w:div w:id="1160779820">
      <w:bodyDiv w:val="1"/>
      <w:marLeft w:val="0"/>
      <w:marRight w:val="0"/>
      <w:marTop w:val="0"/>
      <w:marBottom w:val="0"/>
      <w:divBdr>
        <w:top w:val="none" w:sz="0" w:space="0" w:color="auto"/>
        <w:left w:val="none" w:sz="0" w:space="0" w:color="auto"/>
        <w:bottom w:val="none" w:sz="0" w:space="0" w:color="auto"/>
        <w:right w:val="none" w:sz="0" w:space="0" w:color="auto"/>
      </w:divBdr>
    </w:div>
    <w:div w:id="1264919820">
      <w:bodyDiv w:val="1"/>
      <w:marLeft w:val="0"/>
      <w:marRight w:val="0"/>
      <w:marTop w:val="0"/>
      <w:marBottom w:val="0"/>
      <w:divBdr>
        <w:top w:val="none" w:sz="0" w:space="0" w:color="auto"/>
        <w:left w:val="none" w:sz="0" w:space="0" w:color="auto"/>
        <w:bottom w:val="none" w:sz="0" w:space="0" w:color="auto"/>
        <w:right w:val="none" w:sz="0" w:space="0" w:color="auto"/>
      </w:divBdr>
    </w:div>
    <w:div w:id="19883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4027689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ndianexpress.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s12122-021-09322-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1150</TotalTime>
  <Pages>15</Pages>
  <Words>6036</Words>
  <Characters>34410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167</cp:revision>
  <dcterms:created xsi:type="dcterms:W3CDTF">2025-08-05T01:13:00Z</dcterms:created>
  <dcterms:modified xsi:type="dcterms:W3CDTF">2026-03-04T11:10:00Z</dcterms:modified>
</cp:coreProperties>
</file>