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B0563" w14:textId="77777777" w:rsidR="00754C9A" w:rsidRDefault="00754C9A" w:rsidP="00441B6F">
      <w:pPr>
        <w:pStyle w:val="Title"/>
        <w:spacing w:after="0"/>
        <w:jc w:val="both"/>
        <w:rPr>
          <w:rFonts w:ascii="Arial" w:hAnsi="Arial" w:cs="Arial"/>
        </w:rPr>
      </w:pPr>
    </w:p>
    <w:p w14:paraId="511A85F9" w14:textId="0BE8A6F6" w:rsidR="00163BC4" w:rsidRPr="00163BC4" w:rsidRDefault="0098211A" w:rsidP="00441B6F">
      <w:pPr>
        <w:pStyle w:val="Author"/>
        <w:spacing w:line="240" w:lineRule="auto"/>
        <w:rPr>
          <w:rFonts w:ascii="Arial" w:hAnsi="Arial" w:cs="Arial"/>
          <w:bCs/>
          <w:iCs/>
          <w:kern w:val="28"/>
          <w:sz w:val="36"/>
        </w:rPr>
      </w:pPr>
      <w:r w:rsidRPr="0098211A">
        <w:rPr>
          <w:rFonts w:ascii="Arial" w:hAnsi="Arial" w:cs="Arial"/>
          <w:bCs/>
          <w:iCs/>
          <w:kern w:val="28"/>
          <w:sz w:val="36"/>
        </w:rPr>
        <w:t>Assessment of Intra-Urban Logistics Constraints and Delivery Timeliness among Market-Based Suppliers in Lagos, Nigeria</w:t>
      </w:r>
      <w:r w:rsidR="00231920">
        <w:rPr>
          <w:rFonts w:ascii="Arial" w:hAnsi="Arial" w:cs="Arial"/>
          <w:bCs/>
          <w:iCs/>
          <w:kern w:val="28"/>
          <w:sz w:val="36"/>
        </w:rPr>
        <w:t xml:space="preserve"> </w:t>
      </w:r>
    </w:p>
    <w:p w14:paraId="01928797" w14:textId="77777777" w:rsidR="00A258C3" w:rsidRPr="00790ADA" w:rsidRDefault="00A258C3" w:rsidP="00441B6F">
      <w:pPr>
        <w:pStyle w:val="Author"/>
        <w:spacing w:line="240" w:lineRule="auto"/>
        <w:jc w:val="both"/>
        <w:rPr>
          <w:rFonts w:ascii="Arial" w:hAnsi="Arial" w:cs="Arial"/>
          <w:sz w:val="36"/>
        </w:rPr>
      </w:pPr>
    </w:p>
    <w:p w14:paraId="4E4A7B6D" w14:textId="77777777" w:rsidR="00790ADA" w:rsidRDefault="00790ADA" w:rsidP="00441B6F">
      <w:pPr>
        <w:pStyle w:val="Affiliation"/>
        <w:spacing w:after="0" w:line="240" w:lineRule="auto"/>
        <w:jc w:val="both"/>
        <w:rPr>
          <w:rFonts w:ascii="Arial" w:hAnsi="Arial" w:cs="Arial"/>
        </w:rPr>
      </w:pPr>
    </w:p>
    <w:p w14:paraId="1A6DEC3A" w14:textId="77777777" w:rsidR="002C57D2" w:rsidRPr="00FB3A86" w:rsidRDefault="002C57D2" w:rsidP="00441B6F">
      <w:pPr>
        <w:pStyle w:val="Affiliation"/>
        <w:spacing w:after="0" w:line="240" w:lineRule="auto"/>
        <w:jc w:val="both"/>
        <w:rPr>
          <w:rFonts w:ascii="Arial" w:hAnsi="Arial" w:cs="Arial"/>
        </w:rPr>
      </w:pPr>
    </w:p>
    <w:p w14:paraId="060C2891" w14:textId="02E6A529" w:rsidR="00B01FCD" w:rsidRPr="00FB3A86" w:rsidRDefault="00B727B1" w:rsidP="00441B6F">
      <w:pPr>
        <w:pStyle w:val="Copyright"/>
        <w:spacing w:after="0" w:line="240" w:lineRule="auto"/>
        <w:jc w:val="both"/>
        <w:rPr>
          <w:rFonts w:ascii="Arial" w:hAnsi="Arial" w:cs="Arial"/>
        </w:rPr>
        <w:sectPr w:rsidR="00B01FCD" w:rsidRPr="00FB3A86" w:rsidSect="002350D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B63CB6E" wp14:editId="6DDE4414">
                <wp:extent cx="5303520" cy="635"/>
                <wp:effectExtent l="15240" t="11430" r="15240" b="17145"/>
                <wp:docPr id="195083255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4965A1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B7CFEB2" w14:textId="02155FC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543B91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E043C0D" w14:textId="77777777" w:rsidTr="001E44FE">
        <w:tc>
          <w:tcPr>
            <w:tcW w:w="9576" w:type="dxa"/>
            <w:shd w:val="clear" w:color="auto" w:fill="F2F2F2"/>
          </w:tcPr>
          <w:p w14:paraId="6AA168D6" w14:textId="5EF0B18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98211A" w:rsidRPr="0098211A">
              <w:rPr>
                <w:rFonts w:ascii="Arial" w:eastAsia="Calibri" w:hAnsi="Arial" w:cs="Arial"/>
                <w:szCs w:val="22"/>
              </w:rPr>
              <w:t xml:space="preserve">High freight demand, congestion, and poor delivery infrastructure have continued to strain intra-urban logistics operations in Lagos, but market-based suppliers continue to experience chronic delays and unreliable delivery performance in key distribution centers. Thus, this paper evaluated the impact of intra-urban logistics bottlenecks on the timeliness of deliveries among market-based suppliers in Mile 12 Community, </w:t>
            </w:r>
            <w:proofErr w:type="spellStart"/>
            <w:r w:rsidR="0098211A" w:rsidRPr="0098211A">
              <w:rPr>
                <w:rFonts w:ascii="Arial" w:eastAsia="Calibri" w:hAnsi="Arial" w:cs="Arial"/>
                <w:szCs w:val="22"/>
              </w:rPr>
              <w:t>Kosofe</w:t>
            </w:r>
            <w:proofErr w:type="spellEnd"/>
            <w:r w:rsidR="0098211A" w:rsidRPr="0098211A">
              <w:rPr>
                <w:rFonts w:ascii="Arial" w:eastAsia="Calibri" w:hAnsi="Arial" w:cs="Arial"/>
                <w:szCs w:val="22"/>
              </w:rPr>
              <w:t xml:space="preserve"> LGA, Lagos State, Nigeria</w:t>
            </w:r>
            <w:r w:rsidRPr="00BA1B01">
              <w:rPr>
                <w:rFonts w:ascii="Arial" w:eastAsia="Calibri" w:hAnsi="Arial" w:cs="Arial"/>
                <w:szCs w:val="22"/>
              </w:rPr>
              <w:t>.</w:t>
            </w:r>
          </w:p>
          <w:p w14:paraId="4D3FCFE7" w14:textId="3BF2DD4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98211A">
              <w:rPr>
                <w:rFonts w:ascii="Arial" w:eastAsia="Calibri" w:hAnsi="Arial" w:cs="Arial"/>
                <w:szCs w:val="22"/>
              </w:rPr>
              <w:t>Q</w:t>
            </w:r>
            <w:r w:rsidR="0098211A" w:rsidRPr="0098211A">
              <w:rPr>
                <w:rFonts w:ascii="Arial" w:eastAsia="Calibri" w:hAnsi="Arial" w:cs="Arial"/>
                <w:szCs w:val="22"/>
              </w:rPr>
              <w:t>uantitative survey design</w:t>
            </w:r>
            <w:r w:rsidRPr="00BA1B01">
              <w:rPr>
                <w:rFonts w:ascii="Arial" w:eastAsia="Calibri" w:hAnsi="Arial" w:cs="Arial"/>
                <w:szCs w:val="22"/>
              </w:rPr>
              <w:t>.</w:t>
            </w:r>
          </w:p>
          <w:p w14:paraId="2417BBEB" w14:textId="2133DE2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8211A" w:rsidRPr="0098211A">
              <w:rPr>
                <w:rFonts w:ascii="Arial" w:eastAsia="Calibri" w:hAnsi="Arial" w:cs="Arial"/>
                <w:szCs w:val="22"/>
              </w:rPr>
              <w:t xml:space="preserve">Mile 12 Community, </w:t>
            </w:r>
            <w:proofErr w:type="spellStart"/>
            <w:r w:rsidR="0098211A" w:rsidRPr="0098211A">
              <w:rPr>
                <w:rFonts w:ascii="Arial" w:eastAsia="Calibri" w:hAnsi="Arial" w:cs="Arial"/>
                <w:szCs w:val="22"/>
              </w:rPr>
              <w:t>Kosofe</w:t>
            </w:r>
            <w:proofErr w:type="spellEnd"/>
            <w:r w:rsidR="0098211A" w:rsidRPr="0098211A">
              <w:rPr>
                <w:rFonts w:ascii="Arial" w:eastAsia="Calibri" w:hAnsi="Arial" w:cs="Arial"/>
                <w:szCs w:val="22"/>
              </w:rPr>
              <w:t xml:space="preserve"> LGA, Lagos State, Nigeria </w:t>
            </w:r>
            <w:r w:rsidR="0098211A">
              <w:rPr>
                <w:rFonts w:ascii="Arial" w:eastAsia="Calibri" w:hAnsi="Arial" w:cs="Arial"/>
                <w:szCs w:val="22"/>
              </w:rPr>
              <w:t xml:space="preserve">April </w:t>
            </w:r>
            <w:r w:rsidRPr="00BA1B01">
              <w:rPr>
                <w:rFonts w:ascii="Arial" w:eastAsia="Calibri" w:hAnsi="Arial" w:cs="Arial"/>
                <w:szCs w:val="22"/>
              </w:rPr>
              <w:t>20</w:t>
            </w:r>
            <w:r w:rsidR="0098211A">
              <w:rPr>
                <w:rFonts w:ascii="Arial" w:eastAsia="Calibri" w:hAnsi="Arial" w:cs="Arial"/>
                <w:szCs w:val="22"/>
              </w:rPr>
              <w:t>25</w:t>
            </w:r>
            <w:r w:rsidRPr="00BA1B01">
              <w:rPr>
                <w:rFonts w:ascii="Arial" w:eastAsia="Calibri" w:hAnsi="Arial" w:cs="Arial"/>
                <w:szCs w:val="22"/>
              </w:rPr>
              <w:t xml:space="preserve"> and </w:t>
            </w:r>
            <w:r w:rsidR="0098211A">
              <w:rPr>
                <w:rFonts w:ascii="Arial" w:eastAsia="Calibri" w:hAnsi="Arial" w:cs="Arial"/>
                <w:szCs w:val="22"/>
              </w:rPr>
              <w:t xml:space="preserve">November </w:t>
            </w:r>
            <w:r w:rsidRPr="00BA1B01">
              <w:rPr>
                <w:rFonts w:ascii="Arial" w:eastAsia="Calibri" w:hAnsi="Arial" w:cs="Arial"/>
                <w:szCs w:val="22"/>
              </w:rPr>
              <w:t>20</w:t>
            </w:r>
            <w:r w:rsidR="0098211A">
              <w:rPr>
                <w:rFonts w:ascii="Arial" w:eastAsia="Calibri" w:hAnsi="Arial" w:cs="Arial"/>
                <w:szCs w:val="22"/>
              </w:rPr>
              <w:t>25</w:t>
            </w:r>
            <w:r w:rsidRPr="00BA1B01">
              <w:rPr>
                <w:rFonts w:ascii="Arial" w:eastAsia="Calibri" w:hAnsi="Arial" w:cs="Arial"/>
                <w:szCs w:val="22"/>
              </w:rPr>
              <w:t>.</w:t>
            </w:r>
          </w:p>
          <w:p w14:paraId="3D90E889" w14:textId="1EE4FB3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8211A">
              <w:rPr>
                <w:rFonts w:ascii="Arial" w:eastAsia="Calibri" w:hAnsi="Arial" w:cs="Arial"/>
                <w:szCs w:val="22"/>
              </w:rPr>
              <w:t>D</w:t>
            </w:r>
            <w:r w:rsidR="0098211A" w:rsidRPr="0098211A">
              <w:rPr>
                <w:rFonts w:ascii="Arial" w:eastAsia="Calibri" w:hAnsi="Arial" w:cs="Arial"/>
                <w:szCs w:val="22"/>
              </w:rPr>
              <w:t xml:space="preserve">ata </w:t>
            </w:r>
            <w:r w:rsidR="0098211A">
              <w:rPr>
                <w:rFonts w:ascii="Arial" w:eastAsia="Calibri" w:hAnsi="Arial" w:cs="Arial"/>
                <w:szCs w:val="22"/>
              </w:rPr>
              <w:t xml:space="preserve">was sourced from primary source using </w:t>
            </w:r>
            <w:r w:rsidR="0098211A" w:rsidRPr="0098211A">
              <w:rPr>
                <w:rFonts w:ascii="Arial" w:eastAsia="Calibri" w:hAnsi="Arial" w:cs="Arial"/>
                <w:szCs w:val="22"/>
              </w:rPr>
              <w:t>structured questionnaires</w:t>
            </w:r>
            <w:r w:rsidR="0098211A">
              <w:rPr>
                <w:rFonts w:ascii="Arial" w:eastAsia="Calibri" w:hAnsi="Arial" w:cs="Arial"/>
                <w:szCs w:val="22"/>
              </w:rPr>
              <w:t>,</w:t>
            </w:r>
            <w:r w:rsidR="0098211A" w:rsidRPr="0098211A">
              <w:rPr>
                <w:rFonts w:ascii="Arial" w:eastAsia="Calibri" w:hAnsi="Arial" w:cs="Arial"/>
                <w:szCs w:val="22"/>
              </w:rPr>
              <w:t xml:space="preserve"> distributed to 377 respondents. Traffic Congestion Constraint (TCC), Loading and Curbside Infrastructure Constraint (LCIC), Regulatory and Access Restriction Constraint (RARC), and Network Fragmentation and ICT Constraint (NFIC) were measured as predictors, and Delivery Timeliness (DT) was the dependent variable. Exploratory Factor Analysis (EFA), Confirmatory Factor Analysis (CFA), and Structural Equation Modelling (SEM) were used to </w:t>
            </w:r>
            <w:proofErr w:type="spellStart"/>
            <w:r w:rsidR="0098211A" w:rsidRPr="0098211A">
              <w:rPr>
                <w:rFonts w:ascii="Arial" w:eastAsia="Calibri" w:hAnsi="Arial" w:cs="Arial"/>
                <w:szCs w:val="22"/>
              </w:rPr>
              <w:t>analyse</w:t>
            </w:r>
            <w:proofErr w:type="spellEnd"/>
            <w:r w:rsidR="0098211A" w:rsidRPr="0098211A">
              <w:rPr>
                <w:rFonts w:ascii="Arial" w:eastAsia="Calibri" w:hAnsi="Arial" w:cs="Arial"/>
                <w:szCs w:val="22"/>
              </w:rPr>
              <w:t xml:space="preserve"> data</w:t>
            </w:r>
            <w:r w:rsidRPr="00BA1B01">
              <w:rPr>
                <w:rFonts w:ascii="Arial" w:eastAsia="Calibri" w:hAnsi="Arial" w:cs="Arial"/>
                <w:szCs w:val="22"/>
              </w:rPr>
              <w:t>.</w:t>
            </w:r>
          </w:p>
          <w:p w14:paraId="7B359227" w14:textId="06358700"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8211A" w:rsidRPr="0098211A">
              <w:rPr>
                <w:rFonts w:ascii="Arial" w:eastAsia="Calibri" w:hAnsi="Arial" w:cs="Arial"/>
                <w:szCs w:val="22"/>
              </w:rPr>
              <w:t>The SEM model was found to fit well (CMIN/DF = 1.268; GFI = 0.911; CFI = 0.981; TLI = 0.979; RMSEA = 0.030), which validated the sufficiency of the measurement and structural model. Results show that all constraints have a significant impact on timeliness of delivery: LCIC (beta = 0.307, p &lt; 0.001) was the most significant predictor, then NFIC (beta = 0.285, p &lt; 0.001), TCC (beta = 0.243, p &lt; 0.001), and RARC (beta = 0.186, p &lt; 0.001)</w:t>
            </w:r>
            <w:r w:rsidRPr="00BA1B01">
              <w:rPr>
                <w:rFonts w:ascii="Arial" w:eastAsia="Calibri" w:hAnsi="Arial" w:cs="Arial"/>
                <w:szCs w:val="22"/>
              </w:rPr>
              <w:t>.</w:t>
            </w:r>
          </w:p>
          <w:p w14:paraId="747B6CA7" w14:textId="60875F40"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8211A" w:rsidRPr="0098211A">
              <w:rPr>
                <w:rFonts w:ascii="Arial" w:eastAsia="Calibri" w:hAnsi="Arial" w:cs="Arial"/>
                <w:szCs w:val="22"/>
              </w:rPr>
              <w:t>The research finds that infrastructural bottlenecks, coordination and ICT constraints, exposure to congestion, and regulatory constraints are joint determinants of delivery timeliness in Mile 12. It is recommended that loading and offloading zones should be established and applied around Mile 12 market to minimize loading delays and enhance delivery timeliness</w:t>
            </w:r>
            <w:r w:rsidRPr="00BA1B01">
              <w:rPr>
                <w:rFonts w:ascii="Arial" w:eastAsia="Calibri" w:hAnsi="Arial" w:cs="Arial"/>
                <w:szCs w:val="22"/>
              </w:rPr>
              <w:t>.</w:t>
            </w:r>
          </w:p>
        </w:tc>
      </w:tr>
    </w:tbl>
    <w:p w14:paraId="4380A274" w14:textId="77777777" w:rsidR="00636EB2" w:rsidRDefault="00636EB2" w:rsidP="00441B6F">
      <w:pPr>
        <w:pStyle w:val="Body"/>
        <w:spacing w:after="0"/>
        <w:rPr>
          <w:rFonts w:ascii="Arial" w:hAnsi="Arial" w:cs="Arial"/>
          <w:i/>
        </w:rPr>
      </w:pPr>
    </w:p>
    <w:p w14:paraId="38E50CEA" w14:textId="6DC96E5E" w:rsidR="00A24E7E" w:rsidRDefault="00A24E7E" w:rsidP="00441B6F">
      <w:pPr>
        <w:pStyle w:val="Body"/>
        <w:spacing w:after="0"/>
        <w:rPr>
          <w:rFonts w:ascii="Arial" w:hAnsi="Arial" w:cs="Arial"/>
          <w:i/>
        </w:rPr>
      </w:pPr>
      <w:r>
        <w:rPr>
          <w:rFonts w:ascii="Arial" w:hAnsi="Arial" w:cs="Arial"/>
          <w:i/>
        </w:rPr>
        <w:t xml:space="preserve">Keywords: </w:t>
      </w:r>
      <w:r w:rsidR="0098211A" w:rsidRPr="0098211A">
        <w:rPr>
          <w:rFonts w:ascii="Arial" w:hAnsi="Arial" w:cs="Arial"/>
          <w:i/>
        </w:rPr>
        <w:t>intra-urban logistics; delivery timeliness; last-mile delivery; Mile 12 market; structural equation modelling</w:t>
      </w:r>
    </w:p>
    <w:p w14:paraId="462D3F81" w14:textId="77777777" w:rsidR="00790ADA" w:rsidRDefault="00790ADA" w:rsidP="00441B6F">
      <w:pPr>
        <w:pStyle w:val="Body"/>
        <w:spacing w:after="0"/>
        <w:rPr>
          <w:rFonts w:ascii="Arial" w:hAnsi="Arial" w:cs="Arial"/>
          <w:i/>
        </w:rPr>
      </w:pPr>
    </w:p>
    <w:p w14:paraId="6C9AB44C" w14:textId="35F835E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603C1BF" w14:textId="77777777" w:rsidR="00790ADA" w:rsidRPr="00FB3A86" w:rsidRDefault="00790ADA" w:rsidP="00441B6F">
      <w:pPr>
        <w:pStyle w:val="AbstHead"/>
        <w:spacing w:after="0"/>
        <w:jc w:val="both"/>
        <w:rPr>
          <w:rFonts w:ascii="Arial" w:hAnsi="Arial" w:cs="Arial"/>
        </w:rPr>
      </w:pPr>
    </w:p>
    <w:p w14:paraId="4F64AC78" w14:textId="77777777" w:rsidR="0098211A" w:rsidRPr="0098211A" w:rsidRDefault="0098211A" w:rsidP="0098211A">
      <w:pPr>
        <w:jc w:val="both"/>
        <w:rPr>
          <w:rFonts w:ascii="Arial" w:hAnsi="Arial" w:cs="Arial"/>
        </w:rPr>
      </w:pPr>
      <w:r w:rsidRPr="0098211A">
        <w:rPr>
          <w:rFonts w:ascii="Arial" w:hAnsi="Arial" w:cs="Arial"/>
        </w:rPr>
        <w:t>The last mile logistics is viewed as the most costly, complex, and inefficient logistics process in the supply chain, but it is also the main point of interaction between the supplier and the end customer and therefore the secret to service quality and competitiveness (</w:t>
      </w:r>
      <w:proofErr w:type="spellStart"/>
      <w:r w:rsidRPr="0098211A">
        <w:rPr>
          <w:rFonts w:ascii="Arial" w:hAnsi="Arial" w:cs="Arial"/>
        </w:rPr>
        <w:t>Bosona</w:t>
      </w:r>
      <w:proofErr w:type="spellEnd"/>
      <w:r w:rsidRPr="0098211A">
        <w:rPr>
          <w:rFonts w:ascii="Arial" w:hAnsi="Arial" w:cs="Arial"/>
        </w:rPr>
        <w:t>, 2020; Silva et al., 2023; Cárdenas et al., 2017). The rise in online and omni-channel retail, together with the growing needs of fast and accurate delivery, has put additional pressure on the intra-</w:t>
      </w:r>
      <w:r w:rsidRPr="0098211A">
        <w:rPr>
          <w:rFonts w:ascii="Arial" w:hAnsi="Arial" w:cs="Arial"/>
        </w:rPr>
        <w:lastRenderedPageBreak/>
        <w:t>urban logistics system and made visible the structural limitations that affect timely and reliable distribution (</w:t>
      </w:r>
      <w:proofErr w:type="spellStart"/>
      <w:r w:rsidRPr="0098211A">
        <w:rPr>
          <w:rFonts w:ascii="Arial" w:hAnsi="Arial" w:cs="Arial"/>
        </w:rPr>
        <w:t>Lozzi</w:t>
      </w:r>
      <w:proofErr w:type="spellEnd"/>
      <w:r w:rsidRPr="0098211A">
        <w:rPr>
          <w:rFonts w:ascii="Arial" w:hAnsi="Arial" w:cs="Arial"/>
        </w:rPr>
        <w:t xml:space="preserve"> et al., 2022; Allen et al., 2017). A combination of physical, regulatory, and organizational factors affects intra-urban logistics. Freight vehicle circulation and parking are affected by high population density, traffic congestion, unavailability of curb space and loading facilities, and competing pedestrian and public transport uses of street space, which increase travel times and delivery route variability (</w:t>
      </w:r>
      <w:proofErr w:type="spellStart"/>
      <w:r w:rsidRPr="0098211A">
        <w:rPr>
          <w:rFonts w:ascii="Arial" w:hAnsi="Arial" w:cs="Arial"/>
        </w:rPr>
        <w:t>Bosona</w:t>
      </w:r>
      <w:proofErr w:type="spellEnd"/>
      <w:r w:rsidRPr="0098211A">
        <w:rPr>
          <w:rFonts w:ascii="Arial" w:hAnsi="Arial" w:cs="Arial"/>
        </w:rPr>
        <w:t>, 2020; Allen et al., 2017; Muriel et al., 2022). In most cities, loading facilities have been reduced in size or converted to other uses, and access competition has increased, resulting in longer cruising and walking times and increased congestion and safety problems (Muriel et al., 2022). At the same time, time-window restrictions and other access controls in central or affluent neighborhoods reduce the flexibility of delivery schedules and routes, and it becomes difficult for carriers to meet the promised delivery times (Navarro et al., 2021; Allen et al., 2017). Infrastructure, security, and lack of formal addresses in low-income or peripheral areas are other but equally important factors that constitute barriers to access and reliability of delivery (Navarro et al., 2021).</w:t>
      </w:r>
    </w:p>
    <w:p w14:paraId="64394C90" w14:textId="77777777" w:rsidR="0098211A" w:rsidRPr="0098211A" w:rsidRDefault="0098211A" w:rsidP="0098211A">
      <w:pPr>
        <w:jc w:val="both"/>
        <w:rPr>
          <w:rFonts w:ascii="Arial" w:hAnsi="Arial" w:cs="Arial"/>
        </w:rPr>
      </w:pPr>
      <w:r w:rsidRPr="0098211A">
        <w:rPr>
          <w:rFonts w:ascii="Arial" w:hAnsi="Arial" w:cs="Arial"/>
        </w:rPr>
        <w:t>These contextual factors interact with the characteristics of urban freight networks. Urban supply chains are typically fragmented, with many small and independent actors with small resources and IT systems, making it difficult to aggregate flows, optimize routes, and coordinate infrastructure use effectively (</w:t>
      </w:r>
      <w:proofErr w:type="spellStart"/>
      <w:r w:rsidRPr="0098211A">
        <w:rPr>
          <w:rFonts w:ascii="Arial" w:hAnsi="Arial" w:cs="Arial"/>
        </w:rPr>
        <w:t>Bosona</w:t>
      </w:r>
      <w:proofErr w:type="spellEnd"/>
      <w:r w:rsidRPr="0098211A">
        <w:rPr>
          <w:rFonts w:ascii="Arial" w:hAnsi="Arial" w:cs="Arial"/>
        </w:rPr>
        <w:t xml:space="preserve">, 2020; </w:t>
      </w:r>
      <w:proofErr w:type="spellStart"/>
      <w:r w:rsidRPr="0098211A">
        <w:rPr>
          <w:rFonts w:ascii="Arial" w:hAnsi="Arial" w:cs="Arial"/>
        </w:rPr>
        <w:t>Dreischerf</w:t>
      </w:r>
      <w:proofErr w:type="spellEnd"/>
      <w:r w:rsidRPr="0098211A">
        <w:rPr>
          <w:rFonts w:ascii="Arial" w:hAnsi="Arial" w:cs="Arial"/>
        </w:rPr>
        <w:t xml:space="preserve"> &amp; </w:t>
      </w:r>
      <w:proofErr w:type="spellStart"/>
      <w:r w:rsidRPr="0098211A">
        <w:rPr>
          <w:rFonts w:ascii="Arial" w:hAnsi="Arial" w:cs="Arial"/>
        </w:rPr>
        <w:t>Buijs</w:t>
      </w:r>
      <w:proofErr w:type="spellEnd"/>
      <w:r w:rsidRPr="0098211A">
        <w:rPr>
          <w:rFonts w:ascii="Arial" w:hAnsi="Arial" w:cs="Arial"/>
        </w:rPr>
        <w:t>, 2022; Cárdenas et al., 2017). Suppliers in the market, such as fast-moving consumer goods (FMCG) companies, small retailers, and online shopping platforms, are increasingly reliant on time-sensitive value propositions (same-day, next-day, or time-window deliveries), capitalizing on the speed and reliability of deliveries as a key differentiator (</w:t>
      </w:r>
      <w:proofErr w:type="spellStart"/>
      <w:r w:rsidRPr="0098211A">
        <w:rPr>
          <w:rFonts w:ascii="Arial" w:hAnsi="Arial" w:cs="Arial"/>
        </w:rPr>
        <w:t>Kervenoael</w:t>
      </w:r>
      <w:proofErr w:type="spellEnd"/>
      <w:r w:rsidRPr="0098211A">
        <w:rPr>
          <w:rFonts w:ascii="Arial" w:hAnsi="Arial" w:cs="Arial"/>
        </w:rPr>
        <w:t xml:space="preserve"> et al., 2020; Allen et al., 2017; </w:t>
      </w:r>
      <w:proofErr w:type="spellStart"/>
      <w:r w:rsidRPr="0098211A">
        <w:rPr>
          <w:rFonts w:ascii="Arial" w:hAnsi="Arial" w:cs="Arial"/>
        </w:rPr>
        <w:t>Zamal</w:t>
      </w:r>
      <w:proofErr w:type="spellEnd"/>
      <w:r w:rsidRPr="0098211A">
        <w:rPr>
          <w:rFonts w:ascii="Arial" w:hAnsi="Arial" w:cs="Arial"/>
        </w:rPr>
        <w:t xml:space="preserve"> et al., 2025). However, the failure to honor these commitments in the presence of challenging intra-urban environments could lead to inefficient use of vehicles, unnecessary mileage, and rising logistics costs, and any degradation of delivery speed and reliability will directly impact the responsiveness of supply chains and business performance (Al-</w:t>
      </w:r>
      <w:proofErr w:type="spellStart"/>
      <w:r w:rsidRPr="0098211A">
        <w:rPr>
          <w:rFonts w:ascii="Arial" w:hAnsi="Arial" w:cs="Arial"/>
        </w:rPr>
        <w:t>Shboul</w:t>
      </w:r>
      <w:proofErr w:type="spellEnd"/>
      <w:r w:rsidRPr="0098211A">
        <w:rPr>
          <w:rFonts w:ascii="Arial" w:hAnsi="Arial" w:cs="Arial"/>
        </w:rPr>
        <w:t xml:space="preserve">, 2022; Allen et al., 2017; </w:t>
      </w:r>
      <w:proofErr w:type="spellStart"/>
      <w:r w:rsidRPr="0098211A">
        <w:rPr>
          <w:rFonts w:ascii="Arial" w:hAnsi="Arial" w:cs="Arial"/>
        </w:rPr>
        <w:t>Zamal</w:t>
      </w:r>
      <w:proofErr w:type="spellEnd"/>
      <w:r w:rsidRPr="0098211A">
        <w:rPr>
          <w:rFonts w:ascii="Arial" w:hAnsi="Arial" w:cs="Arial"/>
        </w:rPr>
        <w:t xml:space="preserve"> et al., 2025).</w:t>
      </w:r>
    </w:p>
    <w:p w14:paraId="053B0968" w14:textId="77777777" w:rsidR="0098211A" w:rsidRPr="0098211A" w:rsidRDefault="0098211A" w:rsidP="0098211A">
      <w:pPr>
        <w:jc w:val="both"/>
        <w:rPr>
          <w:rFonts w:ascii="Arial" w:hAnsi="Arial" w:cs="Arial"/>
        </w:rPr>
      </w:pPr>
      <w:r w:rsidRPr="0098211A">
        <w:rPr>
          <w:rFonts w:ascii="Arial" w:hAnsi="Arial" w:cs="Arial"/>
        </w:rPr>
        <w:t xml:space="preserve">A wide range of technological, operational, and organizational solutions to these issues has been proposed by research. Optimization, simulation, and machine learning-based data-driven decision support systems have been shown to optimize fleet size, maximize capacity utilization, and meet delivery deadlines in highly congested megacities (Gutiérrez-Franco et al., 2021; Giuffrida et al., 2022). Other network configurations such as urban consolidation centers, collection and delivery points, micro-hubs, and metro-integrated delivery networks can optimize vehicle kilometers and delivery times if properly designed and organized (Zheng et al., 2021; </w:t>
      </w:r>
      <w:proofErr w:type="spellStart"/>
      <w:r w:rsidRPr="0098211A">
        <w:rPr>
          <w:rFonts w:ascii="Arial" w:hAnsi="Arial" w:cs="Arial"/>
        </w:rPr>
        <w:t>Lozzi</w:t>
      </w:r>
      <w:proofErr w:type="spellEnd"/>
      <w:r w:rsidRPr="0098211A">
        <w:rPr>
          <w:rFonts w:ascii="Arial" w:hAnsi="Arial" w:cs="Arial"/>
        </w:rPr>
        <w:t xml:space="preserve"> et al., 2022; </w:t>
      </w:r>
      <w:proofErr w:type="spellStart"/>
      <w:r w:rsidRPr="0098211A">
        <w:rPr>
          <w:rFonts w:ascii="Arial" w:hAnsi="Arial" w:cs="Arial"/>
        </w:rPr>
        <w:t>Dreischerf</w:t>
      </w:r>
      <w:proofErr w:type="spellEnd"/>
      <w:r w:rsidRPr="0098211A">
        <w:rPr>
          <w:rFonts w:ascii="Arial" w:hAnsi="Arial" w:cs="Arial"/>
        </w:rPr>
        <w:t xml:space="preserve"> &amp; </w:t>
      </w:r>
      <w:proofErr w:type="spellStart"/>
      <w:r w:rsidRPr="0098211A">
        <w:rPr>
          <w:rFonts w:ascii="Arial" w:hAnsi="Arial" w:cs="Arial"/>
        </w:rPr>
        <w:t>Buijs</w:t>
      </w:r>
      <w:proofErr w:type="spellEnd"/>
      <w:r w:rsidRPr="0098211A">
        <w:rPr>
          <w:rFonts w:ascii="Arial" w:hAnsi="Arial" w:cs="Arial"/>
        </w:rPr>
        <w:t xml:space="preserve">, 2022; </w:t>
      </w:r>
      <w:proofErr w:type="spellStart"/>
      <w:r w:rsidRPr="0098211A">
        <w:rPr>
          <w:rFonts w:ascii="Arial" w:hAnsi="Arial" w:cs="Arial"/>
        </w:rPr>
        <w:t>Heeswijk</w:t>
      </w:r>
      <w:proofErr w:type="spellEnd"/>
      <w:r w:rsidRPr="0098211A">
        <w:rPr>
          <w:rFonts w:ascii="Arial" w:hAnsi="Arial" w:cs="Arial"/>
        </w:rPr>
        <w:t xml:space="preserve"> et al., 2020; Liu et al., 2022). However, empirical studies have shown that none of these solutions have been found to necessarily result in lower logistics costs or improved supplier service, and that they often fail to be economically viable and fail when the network design, IT integration, or value proposition for users are not strong (</w:t>
      </w:r>
      <w:proofErr w:type="spellStart"/>
      <w:r w:rsidRPr="0098211A">
        <w:rPr>
          <w:rFonts w:ascii="Arial" w:hAnsi="Arial" w:cs="Arial"/>
        </w:rPr>
        <w:t>Dreischerf</w:t>
      </w:r>
      <w:proofErr w:type="spellEnd"/>
      <w:r w:rsidRPr="0098211A">
        <w:rPr>
          <w:rFonts w:ascii="Arial" w:hAnsi="Arial" w:cs="Arial"/>
        </w:rPr>
        <w:t xml:space="preserve"> &amp; </w:t>
      </w:r>
      <w:proofErr w:type="spellStart"/>
      <w:r w:rsidRPr="0098211A">
        <w:rPr>
          <w:rFonts w:ascii="Arial" w:hAnsi="Arial" w:cs="Arial"/>
        </w:rPr>
        <w:t>Buijs</w:t>
      </w:r>
      <w:proofErr w:type="spellEnd"/>
      <w:r w:rsidRPr="0098211A">
        <w:rPr>
          <w:rFonts w:ascii="Arial" w:hAnsi="Arial" w:cs="Arial"/>
        </w:rPr>
        <w:t xml:space="preserve">, 2022; </w:t>
      </w:r>
      <w:proofErr w:type="spellStart"/>
      <w:r w:rsidRPr="0098211A">
        <w:rPr>
          <w:rFonts w:ascii="Arial" w:hAnsi="Arial" w:cs="Arial"/>
        </w:rPr>
        <w:t>Vural</w:t>
      </w:r>
      <w:proofErr w:type="spellEnd"/>
      <w:r w:rsidRPr="0098211A">
        <w:rPr>
          <w:rFonts w:ascii="Arial" w:hAnsi="Arial" w:cs="Arial"/>
        </w:rPr>
        <w:t xml:space="preserve"> and </w:t>
      </w:r>
      <w:proofErr w:type="spellStart"/>
      <w:r w:rsidRPr="0098211A">
        <w:rPr>
          <w:rFonts w:ascii="Arial" w:hAnsi="Arial" w:cs="Arial"/>
        </w:rPr>
        <w:t>Aktepe</w:t>
      </w:r>
      <w:proofErr w:type="spellEnd"/>
      <w:r w:rsidRPr="0098211A">
        <w:rPr>
          <w:rFonts w:ascii="Arial" w:hAnsi="Arial" w:cs="Arial"/>
        </w:rPr>
        <w:t xml:space="preserve">, 2021; </w:t>
      </w:r>
      <w:proofErr w:type="spellStart"/>
      <w:r w:rsidRPr="0098211A">
        <w:rPr>
          <w:rFonts w:ascii="Arial" w:hAnsi="Arial" w:cs="Arial"/>
        </w:rPr>
        <w:t>Heeswijk</w:t>
      </w:r>
      <w:proofErr w:type="spellEnd"/>
      <w:r w:rsidRPr="0098211A">
        <w:rPr>
          <w:rFonts w:ascii="Arial" w:hAnsi="Arial" w:cs="Arial"/>
        </w:rPr>
        <w:t xml:space="preserve"> et al., 2020; Silva et al., 2023).</w:t>
      </w:r>
    </w:p>
    <w:p w14:paraId="44E48D22" w14:textId="77777777" w:rsidR="0098211A" w:rsidRPr="0098211A" w:rsidRDefault="0098211A" w:rsidP="0098211A">
      <w:pPr>
        <w:jc w:val="both"/>
        <w:rPr>
          <w:rFonts w:ascii="Arial" w:hAnsi="Arial" w:cs="Arial"/>
        </w:rPr>
      </w:pPr>
      <w:r w:rsidRPr="0098211A">
        <w:rPr>
          <w:rFonts w:ascii="Arial" w:hAnsi="Arial" w:cs="Arial"/>
        </w:rPr>
        <w:t xml:space="preserve">Despite the growing body of literature on urban freight and last-mile logistics, there is a lack of empirical research on the interaction of individual intra-urban logistics variables such as congestion, infrastructure, regulatory policies, availability of loading zones, information systems, and network fragmentation, and their impact on the perceived timeliness of delivery for market-based suppliers. The existing body of literature is more focused on individual solutions, simulation models, or policy approaches, and less on how these are systematically assessed in different urban environments and how they impact the speed of delivery to suppliers operating in competitive and market-driven environments (Gutiérrez-Franco et al., 2021; </w:t>
      </w:r>
      <w:proofErr w:type="spellStart"/>
      <w:r w:rsidRPr="0098211A">
        <w:rPr>
          <w:rFonts w:ascii="Arial" w:hAnsi="Arial" w:cs="Arial"/>
        </w:rPr>
        <w:t>Bosona</w:t>
      </w:r>
      <w:proofErr w:type="spellEnd"/>
      <w:r w:rsidRPr="0098211A">
        <w:rPr>
          <w:rFonts w:ascii="Arial" w:hAnsi="Arial" w:cs="Arial"/>
        </w:rPr>
        <w:t xml:space="preserve">, 2020; Navarro et al., 2021; Allen et al., 2017; Silva et al., 2023; Cárdenas et al., 2017). This study bridges this gap by assessing intra-urban logistics bottlenecks and their impact on timeliness of delivery to market-based suppliers in Mile 12 Community, </w:t>
      </w:r>
      <w:proofErr w:type="spellStart"/>
      <w:r w:rsidRPr="0098211A">
        <w:rPr>
          <w:rFonts w:ascii="Arial" w:hAnsi="Arial" w:cs="Arial"/>
        </w:rPr>
        <w:t>Kosofe</w:t>
      </w:r>
      <w:proofErr w:type="spellEnd"/>
      <w:r w:rsidRPr="0098211A">
        <w:rPr>
          <w:rFonts w:ascii="Arial" w:hAnsi="Arial" w:cs="Arial"/>
        </w:rPr>
        <w:t xml:space="preserve"> LGA, Lagos State, South-West Nigeria.</w:t>
      </w:r>
    </w:p>
    <w:p w14:paraId="0F072D97" w14:textId="77777777" w:rsidR="0098211A" w:rsidRPr="0098211A" w:rsidRDefault="0098211A" w:rsidP="0098211A">
      <w:pPr>
        <w:jc w:val="both"/>
        <w:rPr>
          <w:rFonts w:ascii="Arial" w:hAnsi="Arial" w:cs="Arial"/>
          <w:b/>
          <w:bCs/>
        </w:rPr>
      </w:pPr>
      <w:r w:rsidRPr="0098211A">
        <w:rPr>
          <w:rFonts w:ascii="Arial" w:hAnsi="Arial" w:cs="Arial"/>
          <w:b/>
          <w:bCs/>
        </w:rPr>
        <w:t>2.</w:t>
      </w:r>
      <w:r w:rsidRPr="0098211A">
        <w:rPr>
          <w:rFonts w:ascii="Arial" w:hAnsi="Arial" w:cs="Arial"/>
          <w:b/>
          <w:bCs/>
        </w:rPr>
        <w:tab/>
        <w:t>LITERATURE REVIEW</w:t>
      </w:r>
    </w:p>
    <w:p w14:paraId="216CC456" w14:textId="77777777" w:rsidR="0098211A" w:rsidRPr="0098211A" w:rsidRDefault="0098211A" w:rsidP="0098211A">
      <w:pPr>
        <w:jc w:val="both"/>
        <w:rPr>
          <w:rFonts w:ascii="Arial" w:hAnsi="Arial" w:cs="Arial"/>
        </w:rPr>
      </w:pPr>
      <w:r w:rsidRPr="0098211A">
        <w:rPr>
          <w:rFonts w:ascii="Arial" w:hAnsi="Arial" w:cs="Arial"/>
        </w:rPr>
        <w:lastRenderedPageBreak/>
        <w:t>The forces of e-commerce, traffic, regulatory constraints, and growing demands for fast and reliable delivery are building up on urban freight distribution. The literature highlights the cumulative effect of these forces on logistics constraints and delivery speed to market-oriented suppliers (retailers, FMCG suppliers, platforms, and independent contractors).</w:t>
      </w:r>
    </w:p>
    <w:p w14:paraId="64B4DFD9" w14:textId="77777777" w:rsidR="0098211A" w:rsidRPr="0098211A" w:rsidRDefault="0098211A" w:rsidP="0098211A">
      <w:pPr>
        <w:jc w:val="both"/>
        <w:rPr>
          <w:rFonts w:ascii="Arial" w:hAnsi="Arial" w:cs="Arial"/>
          <w:b/>
          <w:bCs/>
          <w:i/>
          <w:iCs/>
        </w:rPr>
      </w:pPr>
      <w:r w:rsidRPr="0098211A">
        <w:rPr>
          <w:rFonts w:ascii="Arial" w:hAnsi="Arial" w:cs="Arial"/>
          <w:b/>
          <w:bCs/>
          <w:i/>
          <w:iCs/>
        </w:rPr>
        <w:t>2.1</w:t>
      </w:r>
      <w:r w:rsidRPr="0098211A">
        <w:rPr>
          <w:rFonts w:ascii="Arial" w:hAnsi="Arial" w:cs="Arial"/>
          <w:b/>
          <w:bCs/>
          <w:i/>
          <w:iCs/>
        </w:rPr>
        <w:tab/>
        <w:t>Intra</w:t>
      </w:r>
      <w:r w:rsidRPr="0098211A">
        <w:rPr>
          <w:rFonts w:ascii="Arial" w:hAnsi="Arial" w:cs="Arial"/>
          <w:b/>
          <w:bCs/>
          <w:i/>
          <w:iCs/>
        </w:rPr>
        <w:noBreakHyphen/>
        <w:t>Urban Logistics Constraints</w:t>
      </w:r>
    </w:p>
    <w:p w14:paraId="09FC620D" w14:textId="77777777" w:rsidR="0098211A" w:rsidRPr="0098211A" w:rsidRDefault="0098211A" w:rsidP="0098211A">
      <w:pPr>
        <w:jc w:val="both"/>
        <w:rPr>
          <w:rFonts w:ascii="Arial" w:hAnsi="Arial" w:cs="Arial"/>
        </w:rPr>
      </w:pPr>
      <w:r w:rsidRPr="0098211A">
        <w:rPr>
          <w:rFonts w:ascii="Arial" w:hAnsi="Arial" w:cs="Arial"/>
        </w:rPr>
        <w:t>The first category of constraints is based on urban, traffic, and infrastructure characteristics. High commercial centers, narrow curb width, and traffic congestion increase travel times and route reliability, especially in developing countries’ megacities (Gutiérrez-Franco et al., 2021; Navarro et al., 2021). Low-income areas lack infrastructure and safe zones for delivery and vehicle entry, while high-income areas have strict time window and vehicle regulations that make delivery operations difficult (Navarro et al., 2021). Other constraints for informal settlements include lack of formal addresses, limited local data, difficult topography, and security issues, which could shut them out of the logistics system (Pereira et al., 2025).</w:t>
      </w:r>
    </w:p>
    <w:p w14:paraId="324A3483" w14:textId="77777777" w:rsidR="0098211A" w:rsidRPr="0098211A" w:rsidRDefault="0098211A" w:rsidP="0098211A">
      <w:pPr>
        <w:jc w:val="both"/>
        <w:rPr>
          <w:rFonts w:ascii="Arial" w:hAnsi="Arial" w:cs="Arial"/>
        </w:rPr>
      </w:pPr>
      <w:r w:rsidRPr="0098211A">
        <w:rPr>
          <w:rFonts w:ascii="Arial" w:hAnsi="Arial" w:cs="Arial"/>
        </w:rPr>
        <w:t>The second category of constraints is based on network design and fragmentation. Small and independent players form many intra-urban supply chains that lack the capacity to organize fragmented flows, resulting in redundant delivery routes and low load factors (</w:t>
      </w:r>
      <w:proofErr w:type="spellStart"/>
      <w:r w:rsidRPr="0098211A">
        <w:rPr>
          <w:rFonts w:ascii="Arial" w:hAnsi="Arial" w:cs="Arial"/>
        </w:rPr>
        <w:t>Heeswijk</w:t>
      </w:r>
      <w:proofErr w:type="spellEnd"/>
      <w:r w:rsidRPr="0098211A">
        <w:rPr>
          <w:rFonts w:ascii="Arial" w:hAnsi="Arial" w:cs="Arial"/>
        </w:rPr>
        <w:t xml:space="preserve"> et al., 2020; </w:t>
      </w:r>
      <w:proofErr w:type="spellStart"/>
      <w:r w:rsidRPr="0098211A">
        <w:rPr>
          <w:rFonts w:ascii="Arial" w:hAnsi="Arial" w:cs="Arial"/>
        </w:rPr>
        <w:t>Zunder</w:t>
      </w:r>
      <w:proofErr w:type="spellEnd"/>
      <w:r w:rsidRPr="0098211A">
        <w:rPr>
          <w:rFonts w:ascii="Arial" w:hAnsi="Arial" w:cs="Arial"/>
        </w:rPr>
        <w:t>, 2021). Urban Consolidation Centers (UCCs) and city hubs are encouraged to consolidate freight and reduce vehicle-kilometers, but empirical research indicates that UCCs often require subsidies, may not reduce short-term logistics costs for suppliers, and may require renegotiation of service level agreements (</w:t>
      </w:r>
      <w:proofErr w:type="spellStart"/>
      <w:r w:rsidRPr="0098211A">
        <w:rPr>
          <w:rFonts w:ascii="Arial" w:hAnsi="Arial" w:cs="Arial"/>
        </w:rPr>
        <w:t>Heeswijk</w:t>
      </w:r>
      <w:proofErr w:type="spellEnd"/>
      <w:r w:rsidRPr="0098211A">
        <w:rPr>
          <w:rFonts w:ascii="Arial" w:hAnsi="Arial" w:cs="Arial"/>
        </w:rPr>
        <w:t xml:space="preserve"> et al., 2020; </w:t>
      </w:r>
      <w:proofErr w:type="spellStart"/>
      <w:r w:rsidRPr="0098211A">
        <w:rPr>
          <w:rFonts w:ascii="Arial" w:hAnsi="Arial" w:cs="Arial"/>
        </w:rPr>
        <w:t>Dreischerf</w:t>
      </w:r>
      <w:proofErr w:type="spellEnd"/>
      <w:r w:rsidRPr="0098211A">
        <w:rPr>
          <w:rFonts w:ascii="Arial" w:hAnsi="Arial" w:cs="Arial"/>
        </w:rPr>
        <w:t xml:space="preserve"> &amp; </w:t>
      </w:r>
      <w:proofErr w:type="spellStart"/>
      <w:r w:rsidRPr="0098211A">
        <w:rPr>
          <w:rFonts w:ascii="Arial" w:hAnsi="Arial" w:cs="Arial"/>
        </w:rPr>
        <w:t>Buijs</w:t>
      </w:r>
      <w:proofErr w:type="spellEnd"/>
      <w:r w:rsidRPr="0098211A">
        <w:rPr>
          <w:rFonts w:ascii="Arial" w:hAnsi="Arial" w:cs="Arial"/>
        </w:rPr>
        <w:t xml:space="preserve">, 2022; </w:t>
      </w:r>
      <w:proofErr w:type="spellStart"/>
      <w:r w:rsidRPr="0098211A">
        <w:rPr>
          <w:rFonts w:ascii="Arial" w:hAnsi="Arial" w:cs="Arial"/>
        </w:rPr>
        <w:t>Iswari</w:t>
      </w:r>
      <w:proofErr w:type="spellEnd"/>
      <w:r w:rsidRPr="0098211A">
        <w:rPr>
          <w:rFonts w:ascii="Arial" w:hAnsi="Arial" w:cs="Arial"/>
        </w:rPr>
        <w:t xml:space="preserve"> et al., 2023). Multi-echelon network designs and city hubs have the potential to reduce distance and number of trips, but their benefits are highly sensitive to the number of suppliers and retailers involved and replenishment strategies (</w:t>
      </w:r>
      <w:proofErr w:type="spellStart"/>
      <w:r w:rsidRPr="0098211A">
        <w:rPr>
          <w:rFonts w:ascii="Arial" w:hAnsi="Arial" w:cs="Arial"/>
        </w:rPr>
        <w:t>Iswari</w:t>
      </w:r>
      <w:proofErr w:type="spellEnd"/>
      <w:r w:rsidRPr="0098211A">
        <w:rPr>
          <w:rFonts w:ascii="Arial" w:hAnsi="Arial" w:cs="Arial"/>
        </w:rPr>
        <w:t xml:space="preserve"> et al., 2023).</w:t>
      </w:r>
    </w:p>
    <w:p w14:paraId="63CD4A5F" w14:textId="77777777" w:rsidR="0098211A" w:rsidRPr="0098211A" w:rsidRDefault="0098211A" w:rsidP="0098211A">
      <w:pPr>
        <w:jc w:val="both"/>
        <w:rPr>
          <w:rFonts w:ascii="Arial" w:hAnsi="Arial" w:cs="Arial"/>
        </w:rPr>
      </w:pPr>
      <w:r w:rsidRPr="0098211A">
        <w:rPr>
          <w:rFonts w:ascii="Arial" w:hAnsi="Arial" w:cs="Arial"/>
        </w:rPr>
        <w:t>Third, time-window policies and regulation are critical. Time-window policies in central areas restrict the time of entry or unloading of vehicles, which directly affects routing flexibility and can increase costs and failed deliveries (Navarro et al., 2021). GPS modeling of delivery time-period choice shows that the distance, volume, and destination factors of shipments influence the time of delivery, suggesting that policy levers such as congestion pricing or off-hour delivery must be scaled to spatial heterogeneity in demand and travel times (Kodera et al., 2025).</w:t>
      </w:r>
    </w:p>
    <w:p w14:paraId="55AB14F9" w14:textId="77777777" w:rsidR="0098211A" w:rsidRPr="0098211A" w:rsidRDefault="0098211A" w:rsidP="0098211A">
      <w:pPr>
        <w:jc w:val="both"/>
        <w:rPr>
          <w:rFonts w:ascii="Arial" w:hAnsi="Arial" w:cs="Arial"/>
        </w:rPr>
      </w:pPr>
      <w:r w:rsidRPr="0098211A">
        <w:rPr>
          <w:rFonts w:ascii="Arial" w:hAnsi="Arial" w:cs="Arial"/>
        </w:rPr>
        <w:t>Fourth, performance is limited by organizational and data factors. Lack of trusted local knowledge, fragmented IT infrastructure, and poor use of data-driven decision support tools hinder dynamic routing and capacity allocation (Gutiérrez-Franco et al., 2021; Pereira et al., 2025). Data- and model-driven decision support systems have been shown in Bogota to integrate optimization, machine learning, and simulation to minimize fleet size, maximize capacity use, and still meet delivery windows in extreme congestion, but integrated approaches are rare in emerging economies (Gutiérrez-Franco et al., 2021).</w:t>
      </w:r>
    </w:p>
    <w:p w14:paraId="1F5074F8" w14:textId="77777777" w:rsidR="0098211A" w:rsidRPr="0098211A" w:rsidRDefault="0098211A" w:rsidP="0098211A">
      <w:pPr>
        <w:jc w:val="both"/>
        <w:rPr>
          <w:rFonts w:ascii="Arial" w:hAnsi="Arial" w:cs="Arial"/>
          <w:b/>
          <w:bCs/>
          <w:i/>
          <w:iCs/>
        </w:rPr>
      </w:pPr>
      <w:r w:rsidRPr="0098211A">
        <w:rPr>
          <w:rFonts w:ascii="Arial" w:hAnsi="Arial" w:cs="Arial"/>
          <w:b/>
          <w:bCs/>
          <w:i/>
          <w:iCs/>
        </w:rPr>
        <w:t>2.2</w:t>
      </w:r>
      <w:r w:rsidRPr="0098211A">
        <w:rPr>
          <w:rFonts w:ascii="Arial" w:hAnsi="Arial" w:cs="Arial"/>
          <w:b/>
          <w:bCs/>
          <w:i/>
          <w:iCs/>
        </w:rPr>
        <w:tab/>
        <w:t>Delivery Timeliness and Service Performance</w:t>
      </w:r>
    </w:p>
    <w:p w14:paraId="6CA3FFC5" w14:textId="77777777" w:rsidR="0098211A" w:rsidRPr="0098211A" w:rsidRDefault="0098211A" w:rsidP="0098211A">
      <w:pPr>
        <w:jc w:val="both"/>
        <w:rPr>
          <w:rFonts w:ascii="Arial" w:hAnsi="Arial" w:cs="Arial"/>
        </w:rPr>
      </w:pPr>
      <w:r w:rsidRPr="0098211A">
        <w:rPr>
          <w:rFonts w:ascii="Arial" w:hAnsi="Arial" w:cs="Arial"/>
        </w:rPr>
        <w:t>Urban e-grocery logistics with time-based marketing commitments (e.g., one-hour delivery) are subject to extreme time pressure but can also inspire independent delivery contractors to be innovative, leverage technology, and dynamically change routes in real-time, which can help to achieve timeliness and add sustainable logistics value to last-mile delivery (</w:t>
      </w:r>
      <w:proofErr w:type="spellStart"/>
      <w:r w:rsidRPr="0098211A">
        <w:rPr>
          <w:rFonts w:ascii="Arial" w:hAnsi="Arial" w:cs="Arial"/>
        </w:rPr>
        <w:t>Kervenoael</w:t>
      </w:r>
      <w:proofErr w:type="spellEnd"/>
      <w:r w:rsidRPr="0098211A">
        <w:rPr>
          <w:rFonts w:ascii="Arial" w:hAnsi="Arial" w:cs="Arial"/>
        </w:rPr>
        <w:t xml:space="preserve"> et al., 2020). Conversely, more stringent package delivery deadlines and same-day delivery requirements in two-echelon systems may raise operating costs by a substantial amount; in one study, more stringent delivery deadlines increased operating costs by about 8.5% compared to more flexible next-day delivery systems in a two-echelon routing environment (</w:t>
      </w:r>
      <w:proofErr w:type="spellStart"/>
      <w:r w:rsidRPr="0098211A">
        <w:rPr>
          <w:rFonts w:ascii="Arial" w:hAnsi="Arial" w:cs="Arial"/>
        </w:rPr>
        <w:t>Zamal</w:t>
      </w:r>
      <w:proofErr w:type="spellEnd"/>
      <w:r w:rsidRPr="0098211A">
        <w:rPr>
          <w:rFonts w:ascii="Arial" w:hAnsi="Arial" w:cs="Arial"/>
        </w:rPr>
        <w:t xml:space="preserve"> et al., 2025).</w:t>
      </w:r>
    </w:p>
    <w:p w14:paraId="6A9812D0" w14:textId="77777777" w:rsidR="0098211A" w:rsidRPr="0098211A" w:rsidRDefault="0098211A" w:rsidP="0098211A">
      <w:pPr>
        <w:jc w:val="both"/>
        <w:rPr>
          <w:rFonts w:ascii="Arial" w:hAnsi="Arial" w:cs="Arial"/>
        </w:rPr>
      </w:pPr>
      <w:r w:rsidRPr="0098211A">
        <w:rPr>
          <w:rFonts w:ascii="Arial" w:hAnsi="Arial" w:cs="Arial"/>
        </w:rPr>
        <w:t>Simulation studies suggest that dynamic routing and resource allocation are critical to realizing the service times in a complex urban environment. Last-mile delivery models, such as cargo-bikes, freelancers, and micro-hubs, are agent-based microsimulation models that demonstrate the importance of consolidation strategies and having sufficient active vehicles in the network to ensure timely deliveries and minimize distance and emissions (</w:t>
      </w:r>
      <w:proofErr w:type="spellStart"/>
      <w:r w:rsidRPr="0098211A">
        <w:rPr>
          <w:rFonts w:ascii="Arial" w:hAnsi="Arial" w:cs="Arial"/>
        </w:rPr>
        <w:t>Heeswijk</w:t>
      </w:r>
      <w:proofErr w:type="spellEnd"/>
      <w:r w:rsidRPr="0098211A">
        <w:rPr>
          <w:rFonts w:ascii="Arial" w:hAnsi="Arial" w:cs="Arial"/>
        </w:rPr>
        <w:t xml:space="preserve"> et al., 2020; </w:t>
      </w:r>
      <w:proofErr w:type="spellStart"/>
      <w:r w:rsidRPr="0098211A">
        <w:rPr>
          <w:rFonts w:ascii="Arial" w:hAnsi="Arial" w:cs="Arial"/>
        </w:rPr>
        <w:t>Fikar</w:t>
      </w:r>
      <w:proofErr w:type="spellEnd"/>
      <w:r w:rsidRPr="0098211A">
        <w:rPr>
          <w:rFonts w:ascii="Arial" w:hAnsi="Arial" w:cs="Arial"/>
        </w:rPr>
        <w:t xml:space="preserve"> et al., 2018; Gómez-Marin et al., 2024). The application of discrete-event simulation to on-</w:t>
      </w:r>
      <w:r w:rsidRPr="0098211A">
        <w:rPr>
          <w:rFonts w:ascii="Arial" w:hAnsi="Arial" w:cs="Arial"/>
        </w:rPr>
        <w:lastRenderedPageBreak/>
        <w:t>demand food delivery in an emerging market environment also suggests that integrated models can improve delivery times by over 50 percent and improve throughput when courier allocation and clustering are optimized (</w:t>
      </w:r>
      <w:proofErr w:type="spellStart"/>
      <w:r w:rsidRPr="0098211A">
        <w:rPr>
          <w:rFonts w:ascii="Arial" w:hAnsi="Arial" w:cs="Arial"/>
        </w:rPr>
        <w:t>Utkurova</w:t>
      </w:r>
      <w:proofErr w:type="spellEnd"/>
      <w:r w:rsidRPr="0098211A">
        <w:rPr>
          <w:rFonts w:ascii="Arial" w:hAnsi="Arial" w:cs="Arial"/>
        </w:rPr>
        <w:t xml:space="preserve"> &amp; </w:t>
      </w:r>
      <w:proofErr w:type="spellStart"/>
      <w:r w:rsidRPr="0098211A">
        <w:rPr>
          <w:rFonts w:ascii="Arial" w:hAnsi="Arial" w:cs="Arial"/>
        </w:rPr>
        <w:t>Djumanov</w:t>
      </w:r>
      <w:proofErr w:type="spellEnd"/>
      <w:r w:rsidRPr="0098211A">
        <w:rPr>
          <w:rFonts w:ascii="Arial" w:hAnsi="Arial" w:cs="Arial"/>
        </w:rPr>
        <w:t>, 2025).</w:t>
      </w:r>
    </w:p>
    <w:p w14:paraId="6716A547" w14:textId="77777777" w:rsidR="0098211A" w:rsidRPr="0098211A" w:rsidRDefault="0098211A" w:rsidP="0098211A">
      <w:pPr>
        <w:jc w:val="both"/>
        <w:rPr>
          <w:rFonts w:ascii="Arial" w:hAnsi="Arial" w:cs="Arial"/>
        </w:rPr>
      </w:pPr>
      <w:r w:rsidRPr="0098211A">
        <w:rPr>
          <w:rFonts w:ascii="Arial" w:hAnsi="Arial" w:cs="Arial"/>
        </w:rPr>
        <w:t>From the perspective of network design, restructuring intra-city express networks (for example, from three to two levels) and optimizing the location of transshipment nodes can achieve the minimum total cost and average delivery time; a case study in Chengdu has achieved an 18.4% reduction in cost and a 6-hour reduction in average delivery time by optimizing the location of central transshipment nodes through multi-criteria and integer programming (Liu et al., 2022). Another new approach is metro-integrated logistics systems that use underutilized metro capacity and metro-based hubs. Studies in Shanghai, Beijing, and Nanjing have shown that metro-based hubs and metro-truck routing can reduce delivery time and cost and mitigate surface traffic congestion, provided that capacity constraints and customer time windows are properly considered (Zhao et al., 2018; Bai et al., 2025; Zheng et al., 2021).</w:t>
      </w:r>
    </w:p>
    <w:p w14:paraId="6ACF8E53" w14:textId="77777777" w:rsidR="0098211A" w:rsidRPr="0098211A" w:rsidRDefault="0098211A" w:rsidP="0098211A">
      <w:pPr>
        <w:jc w:val="both"/>
        <w:rPr>
          <w:rFonts w:ascii="Arial" w:hAnsi="Arial" w:cs="Arial"/>
          <w:b/>
          <w:bCs/>
          <w:i/>
          <w:iCs/>
        </w:rPr>
      </w:pPr>
      <w:r w:rsidRPr="0098211A">
        <w:rPr>
          <w:rFonts w:ascii="Arial" w:hAnsi="Arial" w:cs="Arial"/>
          <w:b/>
          <w:bCs/>
          <w:i/>
          <w:iCs/>
        </w:rPr>
        <w:t>2.3</w:t>
      </w:r>
      <w:r w:rsidRPr="0098211A">
        <w:rPr>
          <w:rFonts w:ascii="Arial" w:hAnsi="Arial" w:cs="Arial"/>
          <w:b/>
          <w:bCs/>
          <w:i/>
          <w:iCs/>
        </w:rPr>
        <w:tab/>
        <w:t>Market</w:t>
      </w:r>
      <w:r w:rsidRPr="0098211A">
        <w:rPr>
          <w:rFonts w:ascii="Arial" w:hAnsi="Arial" w:cs="Arial"/>
          <w:b/>
          <w:bCs/>
          <w:i/>
          <w:iCs/>
        </w:rPr>
        <w:noBreakHyphen/>
        <w:t>Based Suppliers and Actor Perspectives</w:t>
      </w:r>
    </w:p>
    <w:p w14:paraId="3793F7D2" w14:textId="77777777" w:rsidR="0098211A" w:rsidRPr="0098211A" w:rsidRDefault="0098211A" w:rsidP="0098211A">
      <w:pPr>
        <w:jc w:val="both"/>
        <w:rPr>
          <w:rFonts w:ascii="Arial" w:hAnsi="Arial" w:cs="Arial"/>
        </w:rPr>
      </w:pPr>
      <w:r w:rsidRPr="0098211A">
        <w:rPr>
          <w:rFonts w:ascii="Arial" w:hAnsi="Arial" w:cs="Arial"/>
        </w:rPr>
        <w:t>For market-based suppliers, such as FMCG manufacturers, small retailers, and e-commerce companies, the urban logistics constraints and timeliness requirements are formulated as trade-offs between cost, service level, and risk. Studies on FMCG deliveries to small retailers in the city of São Paulo have found that there are distinct challenges for different income levels: in high-income areas, time-window management and neighborhood infrastructure hinder on-time delivery, and in low-income areas, security and infrastructure are the most significant barriers (Navarro et al., 2021). UCC suppliers may not immediately realize cost savings and will have to adjust their delivery schedules and contracts with customers to maintain or regain timeliness objectives (</w:t>
      </w:r>
      <w:proofErr w:type="spellStart"/>
      <w:r w:rsidRPr="0098211A">
        <w:rPr>
          <w:rFonts w:ascii="Arial" w:hAnsi="Arial" w:cs="Arial"/>
        </w:rPr>
        <w:t>Dreischerf</w:t>
      </w:r>
      <w:proofErr w:type="spellEnd"/>
      <w:r w:rsidRPr="0098211A">
        <w:rPr>
          <w:rFonts w:ascii="Arial" w:hAnsi="Arial" w:cs="Arial"/>
        </w:rPr>
        <w:t xml:space="preserve"> &amp; </w:t>
      </w:r>
      <w:proofErr w:type="spellStart"/>
      <w:r w:rsidRPr="0098211A">
        <w:rPr>
          <w:rFonts w:ascii="Arial" w:hAnsi="Arial" w:cs="Arial"/>
        </w:rPr>
        <w:t>Buijs</w:t>
      </w:r>
      <w:proofErr w:type="spellEnd"/>
      <w:r w:rsidRPr="0098211A">
        <w:rPr>
          <w:rFonts w:ascii="Arial" w:hAnsi="Arial" w:cs="Arial"/>
        </w:rPr>
        <w:t>, 2022).</w:t>
      </w:r>
    </w:p>
    <w:p w14:paraId="4296FBE5" w14:textId="77777777" w:rsidR="0098211A" w:rsidRPr="0098211A" w:rsidRDefault="0098211A" w:rsidP="0098211A">
      <w:pPr>
        <w:jc w:val="both"/>
        <w:rPr>
          <w:rFonts w:ascii="Arial" w:hAnsi="Arial" w:cs="Arial"/>
        </w:rPr>
      </w:pPr>
      <w:r w:rsidRPr="0098211A">
        <w:rPr>
          <w:rFonts w:ascii="Arial" w:hAnsi="Arial" w:cs="Arial"/>
        </w:rPr>
        <w:t>Independent contractors and freelancers, who are increasingly becoming the focal point of platform-based distribution models, are both empowered and precarious. Time guarantees and digital platforms in the Singaporean e-grocery last-mile delivery agency independent drivers to test new practices and propose logistical innovations, which means that human agency and micro-level adaptation are the key to ensuring timeliness in delivery under urban constraints (</w:t>
      </w:r>
      <w:proofErr w:type="spellStart"/>
      <w:r w:rsidRPr="0098211A">
        <w:rPr>
          <w:rFonts w:ascii="Arial" w:hAnsi="Arial" w:cs="Arial"/>
        </w:rPr>
        <w:t>Kervenoael</w:t>
      </w:r>
      <w:proofErr w:type="spellEnd"/>
      <w:r w:rsidRPr="0098211A">
        <w:rPr>
          <w:rFonts w:ascii="Arial" w:hAnsi="Arial" w:cs="Arial"/>
        </w:rPr>
        <w:t xml:space="preserve"> et al., 2020). Multi-agent microsimulation-based collaborative and coordinated frameworks between carriers can also improve service levels and reduce vehicle-</w:t>
      </w:r>
      <w:proofErr w:type="spellStart"/>
      <w:r w:rsidRPr="0098211A">
        <w:rPr>
          <w:rFonts w:ascii="Arial" w:hAnsi="Arial" w:cs="Arial"/>
        </w:rPr>
        <w:t>kilometres</w:t>
      </w:r>
      <w:proofErr w:type="spellEnd"/>
      <w:r w:rsidRPr="0098211A">
        <w:rPr>
          <w:rFonts w:ascii="Arial" w:hAnsi="Arial" w:cs="Arial"/>
        </w:rPr>
        <w:t xml:space="preserve"> through customer request redistribution and capacity sharing, but they require governance structures and trust among market participants (Gómez-Marín et al., 2024).</w:t>
      </w:r>
    </w:p>
    <w:p w14:paraId="354A5A68" w14:textId="77777777" w:rsidR="0098211A" w:rsidRPr="0098211A" w:rsidRDefault="0098211A" w:rsidP="0098211A">
      <w:pPr>
        <w:jc w:val="both"/>
        <w:rPr>
          <w:rFonts w:ascii="Arial" w:hAnsi="Arial" w:cs="Arial"/>
          <w:b/>
          <w:bCs/>
          <w:i/>
          <w:iCs/>
        </w:rPr>
      </w:pPr>
      <w:r w:rsidRPr="0098211A">
        <w:rPr>
          <w:rFonts w:ascii="Arial" w:hAnsi="Arial" w:cs="Arial"/>
          <w:b/>
          <w:bCs/>
          <w:i/>
          <w:iCs/>
        </w:rPr>
        <w:t>2.4</w:t>
      </w:r>
      <w:r w:rsidRPr="0098211A">
        <w:rPr>
          <w:rFonts w:ascii="Arial" w:hAnsi="Arial" w:cs="Arial"/>
          <w:b/>
          <w:bCs/>
          <w:i/>
          <w:iCs/>
        </w:rPr>
        <w:tab/>
        <w:t>Synthesis and Gaps</w:t>
      </w:r>
    </w:p>
    <w:p w14:paraId="007B15F0" w14:textId="77777777" w:rsidR="0098211A" w:rsidRPr="0098211A" w:rsidRDefault="0098211A" w:rsidP="0098211A">
      <w:pPr>
        <w:jc w:val="both"/>
        <w:rPr>
          <w:rFonts w:ascii="Arial" w:hAnsi="Arial" w:cs="Arial"/>
        </w:rPr>
      </w:pPr>
      <w:r w:rsidRPr="0098211A">
        <w:rPr>
          <w:rFonts w:ascii="Arial" w:hAnsi="Arial" w:cs="Arial"/>
        </w:rPr>
        <w:t xml:space="preserve">In general, the literature shows that intra-urban logistics factors, such as urban morphology, congestion, regulation, data limitations, and fragmented actor networks, have a significant impact on the timeliness of deliveries to market-based suppliers (Gutiérrez-Franco et al., 2021; </w:t>
      </w:r>
      <w:proofErr w:type="spellStart"/>
      <w:r w:rsidRPr="0098211A">
        <w:rPr>
          <w:rFonts w:ascii="Arial" w:hAnsi="Arial" w:cs="Arial"/>
        </w:rPr>
        <w:t>Heeswijk</w:t>
      </w:r>
      <w:proofErr w:type="spellEnd"/>
      <w:r w:rsidRPr="0098211A">
        <w:rPr>
          <w:rFonts w:ascii="Arial" w:hAnsi="Arial" w:cs="Arial"/>
        </w:rPr>
        <w:t xml:space="preserve"> et al., 2020; Navarro et al., 2021; Pereira et al., 2025; </w:t>
      </w:r>
      <w:proofErr w:type="spellStart"/>
      <w:r w:rsidRPr="0098211A">
        <w:rPr>
          <w:rFonts w:ascii="Arial" w:hAnsi="Arial" w:cs="Arial"/>
        </w:rPr>
        <w:t>Dreischerf</w:t>
      </w:r>
      <w:proofErr w:type="spellEnd"/>
      <w:r w:rsidRPr="0098211A">
        <w:rPr>
          <w:rFonts w:ascii="Arial" w:hAnsi="Arial" w:cs="Arial"/>
        </w:rPr>
        <w:t xml:space="preserve"> &amp; </w:t>
      </w:r>
      <w:proofErr w:type="spellStart"/>
      <w:r w:rsidRPr="0098211A">
        <w:rPr>
          <w:rFonts w:ascii="Arial" w:hAnsi="Arial" w:cs="Arial"/>
        </w:rPr>
        <w:t>Buijs</w:t>
      </w:r>
      <w:proofErr w:type="spellEnd"/>
      <w:r w:rsidRPr="0098211A">
        <w:rPr>
          <w:rFonts w:ascii="Arial" w:hAnsi="Arial" w:cs="Arial"/>
        </w:rPr>
        <w:t xml:space="preserve">, 2022). Timeliness and cost savings can be improved by technically advanced solutions (dynamic VRP, two-echelon routing, metro-based hubs, data-driven decision support systems), but their performance is highly context-dependent and are not usually evaluated in large-scale comparative studies (Gutiérrez-Franco et al., 2021; Liu et al., 2022; Bai et al., 2025; </w:t>
      </w:r>
      <w:proofErr w:type="spellStart"/>
      <w:r w:rsidRPr="0098211A">
        <w:rPr>
          <w:rFonts w:ascii="Arial" w:hAnsi="Arial" w:cs="Arial"/>
        </w:rPr>
        <w:t>Fikar</w:t>
      </w:r>
      <w:proofErr w:type="spellEnd"/>
      <w:r w:rsidRPr="0098211A">
        <w:rPr>
          <w:rFonts w:ascii="Arial" w:hAnsi="Arial" w:cs="Arial"/>
        </w:rPr>
        <w:t xml:space="preserve"> et al., 2018; Zheng et al., 2021; </w:t>
      </w:r>
      <w:proofErr w:type="spellStart"/>
      <w:r w:rsidRPr="0098211A">
        <w:rPr>
          <w:rFonts w:ascii="Arial" w:hAnsi="Arial" w:cs="Arial"/>
        </w:rPr>
        <w:t>Iswari</w:t>
      </w:r>
      <w:proofErr w:type="spellEnd"/>
      <w:r w:rsidRPr="0098211A">
        <w:rPr>
          <w:rFonts w:ascii="Arial" w:hAnsi="Arial" w:cs="Arial"/>
        </w:rPr>
        <w:t xml:space="preserve"> et al., Therefore, the following research gaps remain: (</w:t>
      </w:r>
      <w:proofErr w:type="spellStart"/>
      <w:r w:rsidRPr="0098211A">
        <w:rPr>
          <w:rFonts w:ascii="Arial" w:hAnsi="Arial" w:cs="Arial"/>
        </w:rPr>
        <w:t>i</w:t>
      </w:r>
      <w:proofErr w:type="spellEnd"/>
      <w:r w:rsidRPr="0098211A">
        <w:rPr>
          <w:rFonts w:ascii="Arial" w:hAnsi="Arial" w:cs="Arial"/>
        </w:rPr>
        <w:t xml:space="preserve">) systematic, receiver- and supplier-based studies of inbound and outbound flows across market segments (Navarro et al., 2021; </w:t>
      </w:r>
      <w:proofErr w:type="spellStart"/>
      <w:r w:rsidRPr="0098211A">
        <w:rPr>
          <w:rFonts w:ascii="Arial" w:hAnsi="Arial" w:cs="Arial"/>
        </w:rPr>
        <w:t>Zunder</w:t>
      </w:r>
      <w:proofErr w:type="spellEnd"/>
      <w:r w:rsidRPr="0098211A">
        <w:rPr>
          <w:rFonts w:ascii="Arial" w:hAnsi="Arial" w:cs="Arial"/>
        </w:rPr>
        <w:t>, 2021); (ii) longitudinal empirical evaluations of UCCs, metro-hubs, and collaborative frameworks on timeliness and equity of service (</w:t>
      </w:r>
      <w:proofErr w:type="spellStart"/>
      <w:r w:rsidRPr="0098211A">
        <w:rPr>
          <w:rFonts w:ascii="Arial" w:hAnsi="Arial" w:cs="Arial"/>
        </w:rPr>
        <w:t>Heeswijk</w:t>
      </w:r>
      <w:proofErr w:type="spellEnd"/>
      <w:r w:rsidRPr="0098211A">
        <w:rPr>
          <w:rFonts w:ascii="Arial" w:hAnsi="Arial" w:cs="Arial"/>
        </w:rPr>
        <w:t xml:space="preserve"> et al., 2020; Pereira et al., 2025); and (iii) lived experience of informal, independent, and base-of- The research gaps would be filled to improve knowledge on how to develop intra-urban logistics systems that are timely and inclusive to various market-based suppliers.</w:t>
      </w:r>
    </w:p>
    <w:p w14:paraId="0D05369D" w14:textId="77777777" w:rsidR="0098211A" w:rsidRPr="0098211A" w:rsidRDefault="0098211A" w:rsidP="0098211A">
      <w:pPr>
        <w:jc w:val="both"/>
        <w:rPr>
          <w:rFonts w:ascii="Arial" w:hAnsi="Arial" w:cs="Arial"/>
          <w:b/>
          <w:bCs/>
          <w:i/>
          <w:iCs/>
        </w:rPr>
      </w:pPr>
      <w:r w:rsidRPr="0098211A">
        <w:rPr>
          <w:rFonts w:ascii="Arial" w:hAnsi="Arial" w:cs="Arial"/>
          <w:b/>
          <w:bCs/>
          <w:i/>
          <w:iCs/>
        </w:rPr>
        <w:t>2.5</w:t>
      </w:r>
      <w:r w:rsidRPr="0098211A">
        <w:rPr>
          <w:rFonts w:ascii="Arial" w:hAnsi="Arial" w:cs="Arial"/>
          <w:b/>
          <w:bCs/>
          <w:i/>
          <w:iCs/>
        </w:rPr>
        <w:tab/>
        <w:t xml:space="preserve">Conceptual Framework </w:t>
      </w:r>
    </w:p>
    <w:p w14:paraId="1C0CCEC6" w14:textId="77777777" w:rsidR="0098211A" w:rsidRPr="0098211A" w:rsidRDefault="0098211A" w:rsidP="0098211A">
      <w:pPr>
        <w:jc w:val="both"/>
        <w:rPr>
          <w:rFonts w:ascii="Arial" w:hAnsi="Arial" w:cs="Arial"/>
        </w:rPr>
      </w:pPr>
      <w:r w:rsidRPr="0098211A">
        <w:rPr>
          <w:rFonts w:ascii="Arial" w:hAnsi="Arial" w:cs="Arial"/>
        </w:rPr>
        <w:t xml:space="preserve">The conceptual framework of this study is shown in Figure 1. The framework identifies Traffic Congestion Constraint (TCC), Loading and Curbside Infrastructure Constraint (LCIC), Regulatory and Access Restriction Constraint (RARC), and Network Fragmentation and ICT </w:t>
      </w:r>
      <w:r w:rsidRPr="0098211A">
        <w:rPr>
          <w:rFonts w:ascii="Arial" w:hAnsi="Arial" w:cs="Arial"/>
        </w:rPr>
        <w:lastRenderedPageBreak/>
        <w:t>Constraint (NFIC) as the main explanatory constructs, and Delivery Timeliness (DT) as the outcome construct that indicates whether suppliers deliver on schedule and have consistent delivery performance. Every constraint is quantified with five observed indicators (TCC1-TCC5, LCIC1-LCIC5, RARC1-RARC5, NFIC1-NFIC5), and delivery timeliness is also quantified with five indicators (DT1-DT5), so that the study captures both operational realities and performance outcomes with reliable measurement.</w:t>
      </w:r>
    </w:p>
    <w:p w14:paraId="32654794" w14:textId="77777777" w:rsidR="0098211A" w:rsidRPr="0098211A" w:rsidRDefault="0098211A" w:rsidP="00B727B1">
      <w:pPr>
        <w:jc w:val="center"/>
        <w:rPr>
          <w:rFonts w:ascii="Arial" w:hAnsi="Arial" w:cs="Arial"/>
          <w:b/>
          <w:bCs/>
        </w:rPr>
      </w:pPr>
      <w:r w:rsidRPr="0098211A">
        <w:rPr>
          <w:rFonts w:ascii="Arial" w:hAnsi="Arial" w:cs="Arial"/>
          <w:noProof/>
        </w:rPr>
        <w:drawing>
          <wp:inline distT="0" distB="0" distL="0" distR="0" wp14:anchorId="74AEB0AD" wp14:editId="372682B1">
            <wp:extent cx="3678970" cy="4760733"/>
            <wp:effectExtent l="533400" t="0" r="512445" b="0"/>
            <wp:docPr id="1461076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076936" name=""/>
                    <pic:cNvPicPr/>
                  </pic:nvPicPr>
                  <pic:blipFill>
                    <a:blip r:embed="rId14"/>
                    <a:stretch>
                      <a:fillRect/>
                    </a:stretch>
                  </pic:blipFill>
                  <pic:spPr>
                    <a:xfrm rot="16200000">
                      <a:off x="0" y="0"/>
                      <a:ext cx="3680698" cy="4762969"/>
                    </a:xfrm>
                    <a:prstGeom prst="rect">
                      <a:avLst/>
                    </a:prstGeom>
                  </pic:spPr>
                </pic:pic>
              </a:graphicData>
            </a:graphic>
          </wp:inline>
        </w:drawing>
      </w:r>
    </w:p>
    <w:p w14:paraId="7277B917" w14:textId="77777777" w:rsidR="0098211A" w:rsidRDefault="0098211A" w:rsidP="0098211A">
      <w:pPr>
        <w:jc w:val="center"/>
        <w:rPr>
          <w:rFonts w:ascii="Arial" w:hAnsi="Arial" w:cs="Arial"/>
          <w:b/>
          <w:bCs/>
        </w:rPr>
      </w:pPr>
      <w:r w:rsidRPr="0098211A">
        <w:rPr>
          <w:rFonts w:ascii="Arial" w:hAnsi="Arial" w:cs="Arial"/>
          <w:b/>
          <w:bCs/>
        </w:rPr>
        <w:t>Figure 1: Conceptual Framework</w:t>
      </w:r>
    </w:p>
    <w:p w14:paraId="476D4F33" w14:textId="77777777" w:rsidR="00B727B1" w:rsidRDefault="00B727B1" w:rsidP="00B727B1">
      <w:pPr>
        <w:jc w:val="center"/>
        <w:rPr>
          <w:rFonts w:ascii="Arial" w:hAnsi="Arial" w:cs="Arial"/>
        </w:rPr>
      </w:pPr>
      <w:r w:rsidRPr="0098211A">
        <w:rPr>
          <w:rFonts w:ascii="Arial" w:hAnsi="Arial" w:cs="Arial"/>
        </w:rPr>
        <w:t>Source: Field Survey (2026)</w:t>
      </w:r>
    </w:p>
    <w:p w14:paraId="1F26971E" w14:textId="77777777" w:rsidR="00B727B1" w:rsidRPr="0098211A" w:rsidRDefault="00B727B1" w:rsidP="0098211A">
      <w:pPr>
        <w:jc w:val="center"/>
        <w:rPr>
          <w:rFonts w:ascii="Arial" w:hAnsi="Arial" w:cs="Arial"/>
          <w:b/>
          <w:bCs/>
        </w:rPr>
      </w:pPr>
    </w:p>
    <w:p w14:paraId="76049203" w14:textId="77777777" w:rsidR="0098211A" w:rsidRPr="0098211A" w:rsidRDefault="0098211A" w:rsidP="0098211A">
      <w:pPr>
        <w:ind w:left="709" w:hanging="709"/>
        <w:rPr>
          <w:rFonts w:ascii="Arial" w:hAnsi="Arial" w:cs="Arial"/>
          <w:b/>
          <w:bCs/>
          <w:i/>
          <w:iCs/>
        </w:rPr>
      </w:pPr>
      <w:r w:rsidRPr="0098211A">
        <w:rPr>
          <w:rFonts w:ascii="Arial" w:hAnsi="Arial" w:cs="Arial"/>
          <w:b/>
          <w:bCs/>
          <w:i/>
          <w:iCs/>
        </w:rPr>
        <w:t>Hypotheses of the Study</w:t>
      </w:r>
    </w:p>
    <w:p w14:paraId="28627FD7" w14:textId="77777777" w:rsidR="0098211A" w:rsidRPr="0098211A" w:rsidRDefault="0098211A" w:rsidP="0098211A">
      <w:pPr>
        <w:ind w:left="709" w:hanging="709"/>
        <w:jc w:val="both"/>
        <w:rPr>
          <w:rFonts w:ascii="Arial" w:hAnsi="Arial" w:cs="Arial"/>
        </w:rPr>
      </w:pPr>
      <w:r w:rsidRPr="0098211A">
        <w:rPr>
          <w:rFonts w:ascii="Arial" w:hAnsi="Arial" w:cs="Arial"/>
        </w:rPr>
        <w:t>H</w:t>
      </w:r>
      <w:r w:rsidRPr="0098211A">
        <w:rPr>
          <w:rFonts w:ascii="Arial" w:hAnsi="Arial" w:cs="Arial"/>
          <w:vertAlign w:val="subscript"/>
        </w:rPr>
        <w:t>01</w:t>
      </w:r>
      <w:r w:rsidRPr="0098211A">
        <w:rPr>
          <w:rFonts w:ascii="Arial" w:hAnsi="Arial" w:cs="Arial"/>
        </w:rPr>
        <w:t xml:space="preserve">: </w:t>
      </w:r>
      <w:r w:rsidRPr="0098211A">
        <w:rPr>
          <w:rFonts w:ascii="Arial" w:hAnsi="Arial" w:cs="Arial"/>
        </w:rPr>
        <w:tab/>
        <w:t>Traffic Congestion Constraint (TCC) has no significant effect on Delivery Timeliness (DT).</w:t>
      </w:r>
    </w:p>
    <w:p w14:paraId="65CF3398" w14:textId="77777777" w:rsidR="0098211A" w:rsidRPr="0098211A" w:rsidRDefault="0098211A" w:rsidP="0098211A">
      <w:pPr>
        <w:ind w:left="709" w:hanging="709"/>
        <w:jc w:val="both"/>
        <w:rPr>
          <w:rFonts w:ascii="Arial" w:hAnsi="Arial" w:cs="Arial"/>
        </w:rPr>
      </w:pPr>
      <w:r w:rsidRPr="0098211A">
        <w:rPr>
          <w:rFonts w:ascii="Arial" w:hAnsi="Arial" w:cs="Arial"/>
        </w:rPr>
        <w:t>H</w:t>
      </w:r>
      <w:r w:rsidRPr="0098211A">
        <w:rPr>
          <w:rFonts w:ascii="Arial" w:hAnsi="Arial" w:cs="Arial"/>
          <w:vertAlign w:val="subscript"/>
        </w:rPr>
        <w:t>02</w:t>
      </w:r>
      <w:r w:rsidRPr="0098211A">
        <w:rPr>
          <w:rFonts w:ascii="Arial" w:hAnsi="Arial" w:cs="Arial"/>
        </w:rPr>
        <w:t xml:space="preserve">: </w:t>
      </w:r>
      <w:r w:rsidRPr="0098211A">
        <w:rPr>
          <w:rFonts w:ascii="Arial" w:hAnsi="Arial" w:cs="Arial"/>
        </w:rPr>
        <w:tab/>
        <w:t>Loading and Curbside Infrastructure Constraint (LCIC) has no significant effect on Delivery Timeliness (DT).</w:t>
      </w:r>
    </w:p>
    <w:p w14:paraId="58FB3BEA" w14:textId="77777777" w:rsidR="0098211A" w:rsidRPr="0098211A" w:rsidRDefault="0098211A" w:rsidP="0098211A">
      <w:pPr>
        <w:ind w:left="709" w:hanging="709"/>
        <w:jc w:val="both"/>
        <w:rPr>
          <w:rFonts w:ascii="Arial" w:hAnsi="Arial" w:cs="Arial"/>
        </w:rPr>
      </w:pPr>
      <w:r w:rsidRPr="0098211A">
        <w:rPr>
          <w:rFonts w:ascii="Arial" w:hAnsi="Arial" w:cs="Arial"/>
        </w:rPr>
        <w:t>H</w:t>
      </w:r>
      <w:r w:rsidRPr="0098211A">
        <w:rPr>
          <w:rFonts w:ascii="Arial" w:hAnsi="Arial" w:cs="Arial"/>
          <w:vertAlign w:val="subscript"/>
        </w:rPr>
        <w:t>03</w:t>
      </w:r>
      <w:r w:rsidRPr="0098211A">
        <w:rPr>
          <w:rFonts w:ascii="Arial" w:hAnsi="Arial" w:cs="Arial"/>
        </w:rPr>
        <w:t xml:space="preserve">: </w:t>
      </w:r>
      <w:r w:rsidRPr="0098211A">
        <w:rPr>
          <w:rFonts w:ascii="Arial" w:hAnsi="Arial" w:cs="Arial"/>
        </w:rPr>
        <w:tab/>
        <w:t>Regulatory and Access Restriction Constraint (RARC) has no significant effect on Delivery Timeliness (DT).</w:t>
      </w:r>
    </w:p>
    <w:p w14:paraId="393656DA" w14:textId="77777777" w:rsidR="0098211A" w:rsidRPr="0098211A" w:rsidRDefault="0098211A" w:rsidP="0098211A">
      <w:pPr>
        <w:ind w:left="709" w:hanging="709"/>
        <w:jc w:val="both"/>
        <w:rPr>
          <w:rFonts w:ascii="Arial" w:hAnsi="Arial" w:cs="Arial"/>
        </w:rPr>
      </w:pPr>
      <w:r w:rsidRPr="0098211A">
        <w:rPr>
          <w:rFonts w:ascii="Arial" w:hAnsi="Arial" w:cs="Arial"/>
        </w:rPr>
        <w:t>H</w:t>
      </w:r>
      <w:r w:rsidRPr="0098211A">
        <w:rPr>
          <w:rFonts w:ascii="Arial" w:hAnsi="Arial" w:cs="Arial"/>
          <w:vertAlign w:val="subscript"/>
        </w:rPr>
        <w:t>04</w:t>
      </w:r>
      <w:r w:rsidRPr="0098211A">
        <w:rPr>
          <w:rFonts w:ascii="Arial" w:hAnsi="Arial" w:cs="Arial"/>
        </w:rPr>
        <w:t>:</w:t>
      </w:r>
      <w:r w:rsidRPr="0098211A">
        <w:rPr>
          <w:rFonts w:ascii="Arial" w:hAnsi="Arial" w:cs="Arial"/>
        </w:rPr>
        <w:tab/>
        <w:t xml:space="preserve"> Network Fragmentation and ICT Constraint (NFIC) has no significant effect on Delivery Timeliness (DT).</w:t>
      </w:r>
    </w:p>
    <w:p w14:paraId="2A321606" w14:textId="4697FA28" w:rsidR="00B01FCD" w:rsidRDefault="00B01FCD" w:rsidP="00441B6F">
      <w:pPr>
        <w:pStyle w:val="Body"/>
        <w:spacing w:after="0"/>
        <w:rPr>
          <w:rFonts w:ascii="Arial" w:hAnsi="Arial" w:cs="Arial"/>
        </w:rPr>
      </w:pPr>
    </w:p>
    <w:p w14:paraId="5E839B07" w14:textId="77777777" w:rsidR="00790ADA" w:rsidRPr="00FB3A86" w:rsidRDefault="00790ADA" w:rsidP="00441B6F">
      <w:pPr>
        <w:pStyle w:val="Body"/>
        <w:spacing w:after="0"/>
        <w:rPr>
          <w:rFonts w:ascii="Arial" w:hAnsi="Arial" w:cs="Arial"/>
        </w:rPr>
      </w:pPr>
    </w:p>
    <w:p w14:paraId="79DF33E1" w14:textId="6F52DF8D" w:rsidR="007F7B32" w:rsidRDefault="00902823" w:rsidP="00441B6F">
      <w:pPr>
        <w:pStyle w:val="AbstHead"/>
        <w:spacing w:after="0"/>
        <w:jc w:val="both"/>
        <w:rPr>
          <w:rFonts w:ascii="Arial" w:hAnsi="Arial" w:cs="Arial"/>
        </w:rPr>
      </w:pPr>
      <w:r>
        <w:rPr>
          <w:rFonts w:ascii="Arial" w:hAnsi="Arial" w:cs="Arial"/>
        </w:rPr>
        <w:t xml:space="preserve">2. </w:t>
      </w:r>
      <w:r w:rsidR="0098211A">
        <w:rPr>
          <w:rFonts w:ascii="Arial" w:hAnsi="Arial" w:cs="Arial"/>
        </w:rPr>
        <w:t>METHODOLOGY</w:t>
      </w:r>
    </w:p>
    <w:p w14:paraId="02D644DD" w14:textId="77777777" w:rsidR="00790ADA" w:rsidRPr="0098211A" w:rsidRDefault="00790ADA" w:rsidP="00441B6F">
      <w:pPr>
        <w:pStyle w:val="AbstHead"/>
        <w:spacing w:after="0"/>
        <w:jc w:val="both"/>
        <w:rPr>
          <w:rFonts w:ascii="Arial" w:hAnsi="Arial" w:cs="Arial"/>
          <w:sz w:val="20"/>
        </w:rPr>
      </w:pPr>
    </w:p>
    <w:p w14:paraId="77FA8E4D" w14:textId="77777777" w:rsidR="0098211A" w:rsidRPr="0098211A" w:rsidRDefault="0098211A" w:rsidP="0098211A">
      <w:pPr>
        <w:jc w:val="both"/>
        <w:rPr>
          <w:rFonts w:ascii="Arial" w:hAnsi="Arial" w:cs="Arial"/>
        </w:rPr>
      </w:pPr>
      <w:r w:rsidRPr="0098211A">
        <w:rPr>
          <w:rFonts w:ascii="Arial" w:hAnsi="Arial" w:cs="Arial"/>
        </w:rPr>
        <w:t xml:space="preserve">The research was carried out in Mile 12 Community, </w:t>
      </w:r>
      <w:proofErr w:type="spellStart"/>
      <w:r w:rsidRPr="0098211A">
        <w:rPr>
          <w:rFonts w:ascii="Arial" w:hAnsi="Arial" w:cs="Arial"/>
        </w:rPr>
        <w:t>Kosofe</w:t>
      </w:r>
      <w:proofErr w:type="spellEnd"/>
      <w:r w:rsidRPr="0098211A">
        <w:rPr>
          <w:rFonts w:ascii="Arial" w:hAnsi="Arial" w:cs="Arial"/>
        </w:rPr>
        <w:t xml:space="preserve"> LGA, Lagos State, and in Mile 12 International Market and distribution routes, where freight movement and loading are frequent operations, and delivery timing is a critical operational concern (</w:t>
      </w:r>
      <w:proofErr w:type="spellStart"/>
      <w:r w:rsidRPr="0098211A">
        <w:rPr>
          <w:rFonts w:ascii="Arial" w:hAnsi="Arial" w:cs="Arial"/>
        </w:rPr>
        <w:t>Komolafe</w:t>
      </w:r>
      <w:proofErr w:type="spellEnd"/>
      <w:r w:rsidRPr="0098211A">
        <w:rPr>
          <w:rFonts w:ascii="Arial" w:hAnsi="Arial" w:cs="Arial"/>
        </w:rPr>
        <w:t>, 2016). The market cluster of Mile 12 has market-based suppliers with a total population of 6,674 traders, of which 2,671 are wholesalers (40.0) and 4,003 retailers (60.0) (STREAM Insight, 2014). The research uses Yamane formula and the sample size is determined as follows:</w:t>
      </w:r>
    </w:p>
    <w:p w14:paraId="62321E3A" w14:textId="77777777" w:rsidR="0098211A" w:rsidRPr="0098211A" w:rsidRDefault="0098211A" w:rsidP="0098211A">
      <w:pPr>
        <w:rPr>
          <w:rFonts w:ascii="Arial" w:eastAsiaTheme="minorEastAsia" w:hAnsi="Arial" w:cs="Arial"/>
          <w:lang w:val="pt-BR"/>
        </w:rPr>
      </w:pPr>
      <w:r w:rsidRPr="0098211A">
        <w:rPr>
          <w:rFonts w:ascii="Arial" w:hAnsi="Arial" w:cs="Arial"/>
        </w:rPr>
        <w:lastRenderedPageBreak/>
        <w:tab/>
      </w:r>
      <w:r w:rsidRPr="0098211A">
        <w:rPr>
          <w:rFonts w:ascii="Arial" w:hAnsi="Arial" w:cs="Arial"/>
        </w:rPr>
        <w:tab/>
      </w:r>
      <w:r w:rsidRPr="0098211A">
        <w:rPr>
          <w:rFonts w:ascii="Arial" w:hAnsi="Arial" w:cs="Arial"/>
        </w:rPr>
        <w:tab/>
      </w:r>
      <w:r w:rsidRPr="0098211A">
        <w:rPr>
          <w:rFonts w:ascii="Arial" w:hAnsi="Arial" w:cs="Arial"/>
        </w:rPr>
        <w:br/>
      </w:r>
      <m:oMathPara>
        <m:oMath>
          <m:r>
            <w:rPr>
              <w:rFonts w:ascii="Cambria Math" w:hAnsi="Cambria Math" w:cs="Arial"/>
              <w:lang w:val="pt-BR"/>
            </w:rPr>
            <m:t>n=</m:t>
          </m:r>
          <m:f>
            <m:fPr>
              <m:ctrlPr>
                <w:rPr>
                  <w:rFonts w:ascii="Cambria Math" w:hAnsi="Cambria Math" w:cs="Arial"/>
                  <w:i/>
                  <w:lang w:val="pt-BR"/>
                </w:rPr>
              </m:ctrlPr>
            </m:fPr>
            <m:num>
              <m:r>
                <w:rPr>
                  <w:rFonts w:ascii="Cambria Math" w:hAnsi="Cambria Math" w:cs="Arial"/>
                  <w:lang w:val="pt-BR"/>
                </w:rPr>
                <m:t>N</m:t>
              </m:r>
            </m:num>
            <m:den>
              <m:r>
                <w:rPr>
                  <w:rFonts w:ascii="Cambria Math" w:hAnsi="Cambria Math" w:cs="Arial"/>
                  <w:lang w:val="pt-BR"/>
                </w:rPr>
                <m:t>(1+</m:t>
              </m:r>
              <m:sSup>
                <m:sSupPr>
                  <m:ctrlPr>
                    <w:rPr>
                      <w:rFonts w:ascii="Cambria Math" w:hAnsi="Cambria Math" w:cs="Arial"/>
                      <w:i/>
                      <w:lang w:val="pt-BR"/>
                    </w:rPr>
                  </m:ctrlPr>
                </m:sSupPr>
                <m:e>
                  <m:r>
                    <w:rPr>
                      <w:rFonts w:ascii="Cambria Math" w:hAnsi="Cambria Math" w:cs="Arial"/>
                      <w:lang w:val="pt-BR"/>
                    </w:rPr>
                    <m:t>N</m:t>
                  </m:r>
                </m:e>
                <m:sup>
                  <m:r>
                    <w:rPr>
                      <w:rFonts w:ascii="Cambria Math" w:hAnsi="Cambria Math" w:cs="Arial"/>
                      <w:lang w:val="pt-BR"/>
                    </w:rPr>
                    <m:t>e</m:t>
                  </m:r>
                </m:sup>
              </m:sSup>
              <m:r>
                <w:rPr>
                  <w:rFonts w:ascii="Cambria Math" w:hAnsi="Cambria Math" w:cs="Arial"/>
                  <w:lang w:val="pt-BR"/>
                </w:rPr>
                <m:t>)</m:t>
              </m:r>
            </m:den>
          </m:f>
        </m:oMath>
      </m:oMathPara>
    </w:p>
    <w:p w14:paraId="37BE7375" w14:textId="77777777" w:rsidR="0098211A" w:rsidRPr="0098211A" w:rsidRDefault="0098211A" w:rsidP="0098211A">
      <w:pPr>
        <w:rPr>
          <w:rFonts w:ascii="Arial" w:eastAsiaTheme="minorEastAsia" w:hAnsi="Arial" w:cs="Arial"/>
          <w:lang w:val="pt-BR"/>
        </w:rPr>
      </w:pPr>
      <w:r w:rsidRPr="0098211A">
        <w:rPr>
          <w:rFonts w:ascii="Arial" w:eastAsiaTheme="minorEastAsia" w:hAnsi="Arial" w:cs="Arial"/>
          <w:lang w:val="pt-BR"/>
        </w:rPr>
        <w:tab/>
      </w:r>
      <w:r w:rsidRPr="0098211A">
        <w:rPr>
          <w:rFonts w:ascii="Arial" w:eastAsiaTheme="minorEastAsia" w:hAnsi="Arial" w:cs="Arial"/>
          <w:lang w:val="pt-BR"/>
        </w:rPr>
        <w:tab/>
      </w:r>
      <w:r w:rsidRPr="0098211A">
        <w:rPr>
          <w:rFonts w:ascii="Arial" w:eastAsiaTheme="minorEastAsia" w:hAnsi="Arial" w:cs="Arial"/>
          <w:lang w:val="pt-BR"/>
        </w:rPr>
        <w:tab/>
      </w:r>
      <w:r w:rsidRPr="0098211A">
        <w:rPr>
          <w:rFonts w:ascii="Arial" w:eastAsiaTheme="minorEastAsia" w:hAnsi="Arial" w:cs="Arial"/>
          <w:lang w:val="pt-BR"/>
        </w:rPr>
        <w:br/>
      </w:r>
      <m:oMathPara>
        <m:oMath>
          <m:r>
            <w:rPr>
              <w:rFonts w:ascii="Cambria Math" w:eastAsiaTheme="minorEastAsia" w:hAnsi="Cambria Math" w:cs="Arial"/>
              <w:lang w:val="pt-BR"/>
            </w:rPr>
            <m:t>n=</m:t>
          </m:r>
          <m:f>
            <m:fPr>
              <m:ctrlPr>
                <w:rPr>
                  <w:rFonts w:ascii="Cambria Math" w:eastAsiaTheme="minorEastAsia" w:hAnsi="Cambria Math" w:cs="Arial"/>
                  <w:i/>
                  <w:lang w:val="pt-BR"/>
                </w:rPr>
              </m:ctrlPr>
            </m:fPr>
            <m:num>
              <m:r>
                <w:rPr>
                  <w:rFonts w:ascii="Cambria Math" w:eastAsiaTheme="minorEastAsia" w:hAnsi="Cambria Math" w:cs="Arial"/>
                  <w:lang w:val="pt-BR"/>
                </w:rPr>
                <m:t>6,674</m:t>
              </m:r>
            </m:num>
            <m:den>
              <m:d>
                <m:dPr>
                  <m:ctrlPr>
                    <w:rPr>
                      <w:rFonts w:ascii="Cambria Math" w:eastAsiaTheme="minorEastAsia" w:hAnsi="Cambria Math" w:cs="Arial"/>
                      <w:i/>
                      <w:lang w:val="pt-BR"/>
                    </w:rPr>
                  </m:ctrlPr>
                </m:dPr>
                <m:e>
                  <m:r>
                    <w:rPr>
                      <w:rFonts w:ascii="Cambria Math" w:eastAsiaTheme="minorEastAsia" w:hAnsi="Cambria Math" w:cs="Arial"/>
                      <w:lang w:val="pt-BR"/>
                    </w:rPr>
                    <m:t>1+6,674</m:t>
                  </m:r>
                  <m:sSup>
                    <m:sSupPr>
                      <m:ctrlPr>
                        <w:rPr>
                          <w:rFonts w:ascii="Cambria Math" w:eastAsiaTheme="minorEastAsia" w:hAnsi="Cambria Math" w:cs="Arial"/>
                          <w:i/>
                          <w:lang w:val="pt-BR"/>
                        </w:rPr>
                      </m:ctrlPr>
                    </m:sSupPr>
                    <m:e>
                      <m:d>
                        <m:dPr>
                          <m:ctrlPr>
                            <w:rPr>
                              <w:rFonts w:ascii="Cambria Math" w:eastAsiaTheme="minorEastAsia" w:hAnsi="Cambria Math" w:cs="Arial"/>
                              <w:i/>
                              <w:lang w:val="pt-BR"/>
                            </w:rPr>
                          </m:ctrlPr>
                        </m:dPr>
                        <m:e>
                          <m:r>
                            <w:rPr>
                              <w:rFonts w:ascii="Cambria Math" w:eastAsiaTheme="minorEastAsia" w:hAnsi="Cambria Math" w:cs="Arial"/>
                              <w:lang w:val="pt-BR"/>
                            </w:rPr>
                            <m:t>0.05</m:t>
                          </m:r>
                        </m:e>
                      </m:d>
                    </m:e>
                    <m:sup>
                      <m:r>
                        <w:rPr>
                          <w:rFonts w:ascii="Cambria Math" w:eastAsiaTheme="minorEastAsia" w:hAnsi="Cambria Math" w:cs="Arial"/>
                          <w:lang w:val="pt-BR"/>
                        </w:rPr>
                        <m:t>2</m:t>
                      </m:r>
                    </m:sup>
                  </m:sSup>
                </m:e>
              </m:d>
            </m:den>
          </m:f>
        </m:oMath>
      </m:oMathPara>
    </w:p>
    <w:p w14:paraId="206027EC" w14:textId="77777777" w:rsidR="0098211A" w:rsidRPr="0098211A" w:rsidRDefault="0098211A" w:rsidP="0098211A">
      <w:pPr>
        <w:rPr>
          <w:rFonts w:ascii="Arial" w:eastAsiaTheme="minorEastAsia" w:hAnsi="Arial" w:cs="Arial"/>
          <w:lang w:val="pt-BR"/>
        </w:rPr>
      </w:pPr>
      <w:r w:rsidRPr="0098211A">
        <w:rPr>
          <w:rFonts w:ascii="Arial" w:eastAsiaTheme="minorEastAsia" w:hAnsi="Arial" w:cs="Arial"/>
          <w:lang w:val="pt-BR"/>
        </w:rPr>
        <w:tab/>
      </w:r>
      <w:r w:rsidRPr="0098211A">
        <w:rPr>
          <w:rFonts w:ascii="Arial" w:eastAsiaTheme="minorEastAsia" w:hAnsi="Arial" w:cs="Arial"/>
          <w:lang w:val="pt-BR"/>
        </w:rPr>
        <w:tab/>
      </w:r>
      <w:r w:rsidRPr="0098211A">
        <w:rPr>
          <w:rFonts w:ascii="Arial" w:eastAsiaTheme="minorEastAsia" w:hAnsi="Arial" w:cs="Arial"/>
          <w:lang w:val="pt-BR"/>
        </w:rPr>
        <w:tab/>
      </w:r>
      <w:r w:rsidRPr="0098211A">
        <w:rPr>
          <w:rFonts w:ascii="Arial" w:eastAsiaTheme="minorEastAsia" w:hAnsi="Arial" w:cs="Arial"/>
          <w:lang w:val="pt-BR"/>
        </w:rPr>
        <w:br/>
      </w:r>
      <m:oMathPara>
        <m:oMath>
          <m:r>
            <w:rPr>
              <w:rFonts w:ascii="Cambria Math" w:eastAsiaTheme="minorEastAsia" w:hAnsi="Cambria Math" w:cs="Arial"/>
              <w:lang w:val="pt-BR"/>
            </w:rPr>
            <m:t>n=377.38≈377 respondents</m:t>
          </m:r>
          <m:r>
            <m:rPr>
              <m:sty m:val="p"/>
            </m:rPr>
            <w:rPr>
              <w:rFonts w:ascii="Cambria Math" w:eastAsiaTheme="minorEastAsia" w:hAnsi="Cambria Math" w:cs="Arial"/>
              <w:lang w:val="pt-BR"/>
            </w:rPr>
            <w:br/>
          </m:r>
        </m:oMath>
      </m:oMathPara>
      <w:r w:rsidRPr="0098211A">
        <w:rPr>
          <w:rFonts w:ascii="Arial" w:eastAsiaTheme="minorEastAsia" w:hAnsi="Arial" w:cs="Arial"/>
          <w:lang w:val="pt-BR"/>
        </w:rPr>
        <w:tab/>
      </w:r>
    </w:p>
    <w:p w14:paraId="4B918974" w14:textId="5ED26A57" w:rsidR="00AA74E0" w:rsidRPr="0098211A" w:rsidRDefault="0098211A" w:rsidP="0098211A">
      <w:pPr>
        <w:pStyle w:val="Body"/>
        <w:spacing w:after="0"/>
        <w:rPr>
          <w:rFonts w:ascii="Arial" w:hAnsi="Arial" w:cs="Arial"/>
        </w:rPr>
      </w:pPr>
      <w:r w:rsidRPr="0098211A">
        <w:rPr>
          <w:rFonts w:ascii="Arial" w:hAnsi="Arial" w:cs="Arial"/>
        </w:rPr>
        <w:t xml:space="preserve">The sampling was stratified, with proportional distributed, wholesalers 151 (0.40 x 377) and retailers 226 (0.60 x 377). Primary source was used to obtain data, through structured questionnaire. Each construct was measured on a 5-point Likert scale, with TCC, LCIC, RARC, NFIC (5 items each) predicting DT (5 items) to SEM suitability (Hair et al., 2019). The data were </w:t>
      </w:r>
      <w:proofErr w:type="spellStart"/>
      <w:r w:rsidRPr="0098211A">
        <w:rPr>
          <w:rFonts w:ascii="Arial" w:hAnsi="Arial" w:cs="Arial"/>
        </w:rPr>
        <w:t>analysed</w:t>
      </w:r>
      <w:proofErr w:type="spellEnd"/>
      <w:r w:rsidRPr="0098211A">
        <w:rPr>
          <w:rFonts w:ascii="Arial" w:hAnsi="Arial" w:cs="Arial"/>
        </w:rPr>
        <w:t xml:space="preserve"> with EFA and CFA, EFA refined factor structure, CFA validated measurement, and SEM was employed to test the </w:t>
      </w:r>
      <w:proofErr w:type="spellStart"/>
      <w:r w:rsidRPr="0098211A">
        <w:rPr>
          <w:rFonts w:ascii="Arial" w:hAnsi="Arial" w:cs="Arial"/>
        </w:rPr>
        <w:t>hypothesised</w:t>
      </w:r>
      <w:proofErr w:type="spellEnd"/>
      <w:r w:rsidRPr="0098211A">
        <w:rPr>
          <w:rFonts w:ascii="Arial" w:hAnsi="Arial" w:cs="Arial"/>
        </w:rPr>
        <w:t xml:space="preserve"> relationships and consider measurement error (</w:t>
      </w:r>
      <w:proofErr w:type="spellStart"/>
      <w:r w:rsidRPr="0098211A">
        <w:rPr>
          <w:rFonts w:ascii="Arial" w:hAnsi="Arial" w:cs="Arial"/>
        </w:rPr>
        <w:t>Tabachnick</w:t>
      </w:r>
      <w:proofErr w:type="spellEnd"/>
      <w:r w:rsidRPr="0098211A">
        <w:rPr>
          <w:rFonts w:ascii="Arial" w:hAnsi="Arial" w:cs="Arial"/>
        </w:rPr>
        <w:t xml:space="preserve"> and </w:t>
      </w:r>
      <w:proofErr w:type="spellStart"/>
      <w:r w:rsidRPr="0098211A">
        <w:rPr>
          <w:rFonts w:ascii="Arial" w:hAnsi="Arial" w:cs="Arial"/>
        </w:rPr>
        <w:t>Fidell</w:t>
      </w:r>
      <w:proofErr w:type="spellEnd"/>
      <w:r w:rsidRPr="0098211A">
        <w:rPr>
          <w:rFonts w:ascii="Arial" w:hAnsi="Arial" w:cs="Arial"/>
        </w:rPr>
        <w:t>, 2019).</w:t>
      </w:r>
      <w:r w:rsidR="00AA74E0" w:rsidRPr="0098211A">
        <w:rPr>
          <w:rFonts w:ascii="Arial" w:hAnsi="Arial" w:cs="Arial"/>
        </w:rPr>
        <w:t xml:space="preserve"> </w:t>
      </w:r>
    </w:p>
    <w:p w14:paraId="29530660" w14:textId="77777777" w:rsidR="00790ADA" w:rsidRPr="0098211A" w:rsidRDefault="00790ADA" w:rsidP="00441B6F">
      <w:pPr>
        <w:pStyle w:val="Body"/>
        <w:spacing w:after="0"/>
        <w:rPr>
          <w:rFonts w:ascii="Arial" w:hAnsi="Arial" w:cs="Arial"/>
        </w:rPr>
      </w:pPr>
    </w:p>
    <w:p w14:paraId="7128658B" w14:textId="1D6DDB18" w:rsidR="00902823" w:rsidRPr="0098211A" w:rsidRDefault="0098211A" w:rsidP="00441B6F">
      <w:pPr>
        <w:pStyle w:val="Head1"/>
        <w:spacing w:after="0"/>
        <w:jc w:val="both"/>
        <w:rPr>
          <w:rFonts w:ascii="Arial" w:hAnsi="Arial" w:cs="Arial"/>
          <w:sz w:val="20"/>
        </w:rPr>
      </w:pPr>
      <w:r>
        <w:rPr>
          <w:rFonts w:ascii="Arial" w:hAnsi="Arial" w:cs="Arial"/>
          <w:sz w:val="20"/>
        </w:rPr>
        <w:t>4</w:t>
      </w:r>
      <w:r w:rsidR="00902823" w:rsidRPr="0098211A">
        <w:rPr>
          <w:rFonts w:ascii="Arial" w:hAnsi="Arial" w:cs="Arial"/>
          <w:sz w:val="20"/>
        </w:rPr>
        <w:t xml:space="preserve">. </w:t>
      </w:r>
      <w:r>
        <w:rPr>
          <w:rFonts w:ascii="Arial" w:hAnsi="Arial" w:cs="Arial"/>
          <w:sz w:val="20"/>
        </w:rPr>
        <w:tab/>
      </w:r>
      <w:r w:rsidR="00000F8F" w:rsidRPr="0098211A">
        <w:rPr>
          <w:rFonts w:ascii="Arial" w:hAnsi="Arial" w:cs="Arial"/>
          <w:sz w:val="20"/>
        </w:rPr>
        <w:t>results and discussion</w:t>
      </w:r>
    </w:p>
    <w:p w14:paraId="35CC6914" w14:textId="77777777" w:rsidR="00790ADA" w:rsidRPr="0098211A" w:rsidRDefault="00790ADA" w:rsidP="00441B6F">
      <w:pPr>
        <w:pStyle w:val="Head1"/>
        <w:spacing w:after="0"/>
        <w:jc w:val="both"/>
        <w:rPr>
          <w:rFonts w:ascii="Arial" w:hAnsi="Arial" w:cs="Arial"/>
          <w:sz w:val="20"/>
        </w:rPr>
      </w:pPr>
    </w:p>
    <w:p w14:paraId="4F58C0F8" w14:textId="77777777" w:rsidR="0098211A" w:rsidRPr="0098211A" w:rsidRDefault="0098211A" w:rsidP="0098211A">
      <w:pPr>
        <w:jc w:val="both"/>
        <w:rPr>
          <w:rFonts w:ascii="Arial" w:hAnsi="Arial" w:cs="Arial"/>
          <w:b/>
          <w:bCs/>
          <w:i/>
          <w:iCs/>
        </w:rPr>
      </w:pPr>
      <w:r w:rsidRPr="0098211A">
        <w:rPr>
          <w:rFonts w:ascii="Arial" w:hAnsi="Arial" w:cs="Arial"/>
          <w:b/>
          <w:bCs/>
          <w:i/>
          <w:iCs/>
        </w:rPr>
        <w:t>4.1</w:t>
      </w:r>
      <w:r w:rsidRPr="0098211A">
        <w:rPr>
          <w:rFonts w:ascii="Arial" w:hAnsi="Arial" w:cs="Arial"/>
          <w:b/>
          <w:bCs/>
          <w:i/>
          <w:iCs/>
        </w:rPr>
        <w:tab/>
        <w:t>Socio-economic Characteristics of Respondents</w:t>
      </w:r>
    </w:p>
    <w:p w14:paraId="1AEFCD27" w14:textId="77777777" w:rsidR="0098211A" w:rsidRPr="0098211A" w:rsidRDefault="0098211A" w:rsidP="0098211A">
      <w:pPr>
        <w:jc w:val="both"/>
        <w:rPr>
          <w:rFonts w:ascii="Arial" w:hAnsi="Arial" w:cs="Arial"/>
        </w:rPr>
      </w:pPr>
      <w:r w:rsidRPr="0098211A">
        <w:rPr>
          <w:rFonts w:ascii="Arial" w:hAnsi="Arial" w:cs="Arial"/>
        </w:rPr>
        <w:t>The findings in Table 1 indicates the socio-economic attributes of the respondents. The outcome shows that the male respondents were more represented (60.8%) compared to the female respondents (39.2%) and that the majority of the respondents are in the active working age group of 26-45 years, which implies that the suppliers are predominantly in the productive age bracket that manages regular supply and delivery schedules. Education wise, the highest proportion was secondary education (44.3%), then tertiary education (25.4%), implying that the majority of suppliers possess basic to moderate literacy level that facilitates record keeping and delivery coordination. The supplier category also indicates that retailers (60.0%) were more than wholesalers (40.0%), which indicates the prevalence of retail distribution and frequent small deliveries in the market system. The level of experience indicates that 34.6% have been in business 5-10 years, which implies that a significant number of respondents possess adequate market knowledge and exposure to the recurring delivery issues. The mode of delivery indicates that the most common mode was hired vans or trucks (38.4) and motorcycles or tricycles (26.5), which suggests reliance on external and flexible transport solutions that can be impacted by congestion, access restrictions, and infrastructure constraints that can affect the timeliness of delivery.</w:t>
      </w:r>
    </w:p>
    <w:p w14:paraId="7C9E0996" w14:textId="77777777" w:rsidR="0098211A" w:rsidRPr="0098211A" w:rsidRDefault="0098211A" w:rsidP="0098211A">
      <w:pPr>
        <w:jc w:val="both"/>
        <w:rPr>
          <w:rFonts w:ascii="Arial" w:hAnsi="Arial" w:cs="Arial"/>
          <w:b/>
          <w:bCs/>
        </w:rPr>
      </w:pPr>
      <w:r w:rsidRPr="0098211A">
        <w:rPr>
          <w:rFonts w:ascii="Arial" w:hAnsi="Arial" w:cs="Arial"/>
          <w:b/>
          <w:bCs/>
        </w:rPr>
        <w:t>Table 1: Socio-economic characteristics of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4"/>
        <w:gridCol w:w="2096"/>
        <w:gridCol w:w="1228"/>
        <w:gridCol w:w="1661"/>
      </w:tblGrid>
      <w:tr w:rsidR="0098211A" w:rsidRPr="0098211A" w14:paraId="7E986D52" w14:textId="77777777" w:rsidTr="0098211A">
        <w:tc>
          <w:tcPr>
            <w:tcW w:w="0" w:type="auto"/>
            <w:tcBorders>
              <w:top w:val="single" w:sz="4" w:space="0" w:color="auto"/>
              <w:bottom w:val="single" w:sz="4" w:space="0" w:color="auto"/>
            </w:tcBorders>
            <w:hideMark/>
          </w:tcPr>
          <w:p w14:paraId="55E2B714" w14:textId="77777777" w:rsidR="0098211A" w:rsidRPr="0098211A" w:rsidRDefault="0098211A" w:rsidP="00283655">
            <w:pPr>
              <w:spacing w:after="160"/>
              <w:jc w:val="both"/>
              <w:rPr>
                <w:rFonts w:ascii="Arial" w:hAnsi="Arial" w:cs="Arial"/>
                <w:b/>
                <w:bCs/>
                <w:sz w:val="20"/>
                <w:szCs w:val="20"/>
              </w:rPr>
            </w:pPr>
            <w:r w:rsidRPr="0098211A">
              <w:rPr>
                <w:rFonts w:ascii="Arial" w:hAnsi="Arial" w:cs="Arial"/>
                <w:b/>
                <w:bCs/>
                <w:sz w:val="20"/>
                <w:szCs w:val="20"/>
              </w:rPr>
              <w:t>Variable</w:t>
            </w:r>
          </w:p>
        </w:tc>
        <w:tc>
          <w:tcPr>
            <w:tcW w:w="0" w:type="auto"/>
            <w:tcBorders>
              <w:top w:val="single" w:sz="4" w:space="0" w:color="auto"/>
              <w:bottom w:val="single" w:sz="4" w:space="0" w:color="auto"/>
            </w:tcBorders>
            <w:hideMark/>
          </w:tcPr>
          <w:p w14:paraId="75965035" w14:textId="77777777" w:rsidR="0098211A" w:rsidRPr="0098211A" w:rsidRDefault="0098211A" w:rsidP="00283655">
            <w:pPr>
              <w:spacing w:after="160"/>
              <w:jc w:val="both"/>
              <w:rPr>
                <w:rFonts w:ascii="Arial" w:hAnsi="Arial" w:cs="Arial"/>
                <w:b/>
                <w:bCs/>
                <w:sz w:val="20"/>
                <w:szCs w:val="20"/>
              </w:rPr>
            </w:pPr>
            <w:r w:rsidRPr="0098211A">
              <w:rPr>
                <w:rFonts w:ascii="Arial" w:hAnsi="Arial" w:cs="Arial"/>
                <w:b/>
                <w:bCs/>
                <w:sz w:val="20"/>
                <w:szCs w:val="20"/>
              </w:rPr>
              <w:t>Category</w:t>
            </w:r>
          </w:p>
        </w:tc>
        <w:tc>
          <w:tcPr>
            <w:tcW w:w="0" w:type="auto"/>
            <w:tcBorders>
              <w:top w:val="single" w:sz="4" w:space="0" w:color="auto"/>
              <w:bottom w:val="single" w:sz="4" w:space="0" w:color="auto"/>
            </w:tcBorders>
            <w:hideMark/>
          </w:tcPr>
          <w:p w14:paraId="228FE835" w14:textId="77777777" w:rsidR="0098211A" w:rsidRPr="0098211A" w:rsidRDefault="0098211A" w:rsidP="00283655">
            <w:pPr>
              <w:spacing w:after="160"/>
              <w:jc w:val="center"/>
              <w:rPr>
                <w:rFonts w:ascii="Arial" w:hAnsi="Arial" w:cs="Arial"/>
                <w:b/>
                <w:bCs/>
                <w:sz w:val="20"/>
                <w:szCs w:val="20"/>
              </w:rPr>
            </w:pPr>
            <w:r w:rsidRPr="0098211A">
              <w:rPr>
                <w:rFonts w:ascii="Arial" w:hAnsi="Arial" w:cs="Arial"/>
                <w:b/>
                <w:bCs/>
                <w:sz w:val="20"/>
                <w:szCs w:val="20"/>
              </w:rPr>
              <w:t>Frequency</w:t>
            </w:r>
          </w:p>
        </w:tc>
        <w:tc>
          <w:tcPr>
            <w:tcW w:w="0" w:type="auto"/>
            <w:tcBorders>
              <w:top w:val="single" w:sz="4" w:space="0" w:color="auto"/>
              <w:bottom w:val="single" w:sz="4" w:space="0" w:color="auto"/>
            </w:tcBorders>
            <w:hideMark/>
          </w:tcPr>
          <w:p w14:paraId="05CC02EA" w14:textId="77777777" w:rsidR="0098211A" w:rsidRPr="0098211A" w:rsidRDefault="0098211A" w:rsidP="00283655">
            <w:pPr>
              <w:spacing w:after="160"/>
              <w:jc w:val="center"/>
              <w:rPr>
                <w:rFonts w:ascii="Arial" w:hAnsi="Arial" w:cs="Arial"/>
                <w:b/>
                <w:bCs/>
                <w:sz w:val="20"/>
                <w:szCs w:val="20"/>
              </w:rPr>
            </w:pPr>
            <w:r w:rsidRPr="0098211A">
              <w:rPr>
                <w:rFonts w:ascii="Arial" w:hAnsi="Arial" w:cs="Arial"/>
                <w:b/>
                <w:bCs/>
                <w:sz w:val="20"/>
                <w:szCs w:val="20"/>
              </w:rPr>
              <w:t>Percentage (%)</w:t>
            </w:r>
          </w:p>
        </w:tc>
      </w:tr>
      <w:tr w:rsidR="0098211A" w:rsidRPr="0098211A" w14:paraId="4186946E" w14:textId="77777777" w:rsidTr="0098211A">
        <w:tc>
          <w:tcPr>
            <w:tcW w:w="0" w:type="auto"/>
            <w:tcBorders>
              <w:top w:val="single" w:sz="4" w:space="0" w:color="auto"/>
            </w:tcBorders>
            <w:hideMark/>
          </w:tcPr>
          <w:p w14:paraId="38A6EA56"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Gender</w:t>
            </w:r>
          </w:p>
        </w:tc>
        <w:tc>
          <w:tcPr>
            <w:tcW w:w="0" w:type="auto"/>
            <w:tcBorders>
              <w:top w:val="single" w:sz="4" w:space="0" w:color="auto"/>
            </w:tcBorders>
            <w:hideMark/>
          </w:tcPr>
          <w:p w14:paraId="7678AF58"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Male</w:t>
            </w:r>
          </w:p>
        </w:tc>
        <w:tc>
          <w:tcPr>
            <w:tcW w:w="0" w:type="auto"/>
            <w:tcBorders>
              <w:top w:val="single" w:sz="4" w:space="0" w:color="auto"/>
            </w:tcBorders>
            <w:hideMark/>
          </w:tcPr>
          <w:p w14:paraId="0EEBB576"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225</w:t>
            </w:r>
          </w:p>
        </w:tc>
        <w:tc>
          <w:tcPr>
            <w:tcW w:w="0" w:type="auto"/>
            <w:tcBorders>
              <w:top w:val="single" w:sz="4" w:space="0" w:color="auto"/>
            </w:tcBorders>
            <w:hideMark/>
          </w:tcPr>
          <w:p w14:paraId="039D3854"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60.8</w:t>
            </w:r>
          </w:p>
        </w:tc>
      </w:tr>
      <w:tr w:rsidR="0098211A" w:rsidRPr="0098211A" w14:paraId="4E4D2716" w14:textId="77777777" w:rsidTr="0098211A">
        <w:tc>
          <w:tcPr>
            <w:tcW w:w="0" w:type="auto"/>
            <w:hideMark/>
          </w:tcPr>
          <w:p w14:paraId="62F9165A" w14:textId="77777777" w:rsidR="0098211A" w:rsidRPr="0098211A" w:rsidRDefault="0098211A" w:rsidP="00283655">
            <w:pPr>
              <w:spacing w:after="160"/>
              <w:jc w:val="both"/>
              <w:rPr>
                <w:rFonts w:ascii="Arial" w:hAnsi="Arial" w:cs="Arial"/>
                <w:sz w:val="20"/>
                <w:szCs w:val="20"/>
              </w:rPr>
            </w:pPr>
          </w:p>
        </w:tc>
        <w:tc>
          <w:tcPr>
            <w:tcW w:w="0" w:type="auto"/>
            <w:hideMark/>
          </w:tcPr>
          <w:p w14:paraId="08DB6519"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Female</w:t>
            </w:r>
          </w:p>
        </w:tc>
        <w:tc>
          <w:tcPr>
            <w:tcW w:w="0" w:type="auto"/>
            <w:hideMark/>
          </w:tcPr>
          <w:p w14:paraId="63C220DC"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145</w:t>
            </w:r>
          </w:p>
        </w:tc>
        <w:tc>
          <w:tcPr>
            <w:tcW w:w="0" w:type="auto"/>
            <w:hideMark/>
          </w:tcPr>
          <w:p w14:paraId="29737B47"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39.2</w:t>
            </w:r>
          </w:p>
        </w:tc>
      </w:tr>
      <w:tr w:rsidR="0098211A" w:rsidRPr="0098211A" w14:paraId="13D9B41F" w14:textId="77777777" w:rsidTr="0098211A">
        <w:tc>
          <w:tcPr>
            <w:tcW w:w="0" w:type="auto"/>
            <w:hideMark/>
          </w:tcPr>
          <w:p w14:paraId="00E15E19"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Age group (years)</w:t>
            </w:r>
          </w:p>
        </w:tc>
        <w:tc>
          <w:tcPr>
            <w:tcW w:w="0" w:type="auto"/>
            <w:hideMark/>
          </w:tcPr>
          <w:p w14:paraId="60E39629"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18-25</w:t>
            </w:r>
          </w:p>
        </w:tc>
        <w:tc>
          <w:tcPr>
            <w:tcW w:w="0" w:type="auto"/>
            <w:hideMark/>
          </w:tcPr>
          <w:p w14:paraId="16047BC3"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54</w:t>
            </w:r>
          </w:p>
        </w:tc>
        <w:tc>
          <w:tcPr>
            <w:tcW w:w="0" w:type="auto"/>
            <w:hideMark/>
          </w:tcPr>
          <w:p w14:paraId="450CB71D"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14.6</w:t>
            </w:r>
          </w:p>
        </w:tc>
      </w:tr>
      <w:tr w:rsidR="0098211A" w:rsidRPr="0098211A" w14:paraId="44677C76" w14:textId="77777777" w:rsidTr="0098211A">
        <w:tc>
          <w:tcPr>
            <w:tcW w:w="0" w:type="auto"/>
            <w:hideMark/>
          </w:tcPr>
          <w:p w14:paraId="21DFC1E9" w14:textId="77777777" w:rsidR="0098211A" w:rsidRPr="0098211A" w:rsidRDefault="0098211A" w:rsidP="00283655">
            <w:pPr>
              <w:spacing w:after="160"/>
              <w:jc w:val="both"/>
              <w:rPr>
                <w:rFonts w:ascii="Arial" w:hAnsi="Arial" w:cs="Arial"/>
                <w:sz w:val="20"/>
                <w:szCs w:val="20"/>
              </w:rPr>
            </w:pPr>
          </w:p>
        </w:tc>
        <w:tc>
          <w:tcPr>
            <w:tcW w:w="0" w:type="auto"/>
            <w:hideMark/>
          </w:tcPr>
          <w:p w14:paraId="201EC769"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26-35</w:t>
            </w:r>
          </w:p>
        </w:tc>
        <w:tc>
          <w:tcPr>
            <w:tcW w:w="0" w:type="auto"/>
            <w:hideMark/>
          </w:tcPr>
          <w:p w14:paraId="57D4D0B9"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112</w:t>
            </w:r>
          </w:p>
        </w:tc>
        <w:tc>
          <w:tcPr>
            <w:tcW w:w="0" w:type="auto"/>
            <w:hideMark/>
          </w:tcPr>
          <w:p w14:paraId="1A583149"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30.3</w:t>
            </w:r>
          </w:p>
        </w:tc>
      </w:tr>
      <w:tr w:rsidR="0098211A" w:rsidRPr="0098211A" w14:paraId="798AD1C3" w14:textId="77777777" w:rsidTr="0098211A">
        <w:tc>
          <w:tcPr>
            <w:tcW w:w="0" w:type="auto"/>
            <w:hideMark/>
          </w:tcPr>
          <w:p w14:paraId="511E8485" w14:textId="77777777" w:rsidR="0098211A" w:rsidRPr="0098211A" w:rsidRDefault="0098211A" w:rsidP="00283655">
            <w:pPr>
              <w:spacing w:after="160"/>
              <w:jc w:val="both"/>
              <w:rPr>
                <w:rFonts w:ascii="Arial" w:hAnsi="Arial" w:cs="Arial"/>
                <w:sz w:val="20"/>
                <w:szCs w:val="20"/>
              </w:rPr>
            </w:pPr>
          </w:p>
        </w:tc>
        <w:tc>
          <w:tcPr>
            <w:tcW w:w="0" w:type="auto"/>
            <w:hideMark/>
          </w:tcPr>
          <w:p w14:paraId="1ACED15D"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36-45</w:t>
            </w:r>
          </w:p>
        </w:tc>
        <w:tc>
          <w:tcPr>
            <w:tcW w:w="0" w:type="auto"/>
            <w:hideMark/>
          </w:tcPr>
          <w:p w14:paraId="0B42979B"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110</w:t>
            </w:r>
          </w:p>
        </w:tc>
        <w:tc>
          <w:tcPr>
            <w:tcW w:w="0" w:type="auto"/>
            <w:hideMark/>
          </w:tcPr>
          <w:p w14:paraId="14BEDF57"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29.7</w:t>
            </w:r>
          </w:p>
        </w:tc>
      </w:tr>
      <w:tr w:rsidR="0098211A" w:rsidRPr="0098211A" w14:paraId="700382D8" w14:textId="77777777" w:rsidTr="0098211A">
        <w:tc>
          <w:tcPr>
            <w:tcW w:w="0" w:type="auto"/>
            <w:hideMark/>
          </w:tcPr>
          <w:p w14:paraId="5D9E18C7" w14:textId="77777777" w:rsidR="0098211A" w:rsidRPr="0098211A" w:rsidRDefault="0098211A" w:rsidP="00283655">
            <w:pPr>
              <w:spacing w:after="160"/>
              <w:jc w:val="both"/>
              <w:rPr>
                <w:rFonts w:ascii="Arial" w:hAnsi="Arial" w:cs="Arial"/>
                <w:sz w:val="20"/>
                <w:szCs w:val="20"/>
              </w:rPr>
            </w:pPr>
          </w:p>
        </w:tc>
        <w:tc>
          <w:tcPr>
            <w:tcW w:w="0" w:type="auto"/>
            <w:hideMark/>
          </w:tcPr>
          <w:p w14:paraId="15297CB6"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46-55</w:t>
            </w:r>
          </w:p>
        </w:tc>
        <w:tc>
          <w:tcPr>
            <w:tcW w:w="0" w:type="auto"/>
            <w:hideMark/>
          </w:tcPr>
          <w:p w14:paraId="73A2139A"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66</w:t>
            </w:r>
          </w:p>
        </w:tc>
        <w:tc>
          <w:tcPr>
            <w:tcW w:w="0" w:type="auto"/>
            <w:hideMark/>
          </w:tcPr>
          <w:p w14:paraId="2BD6F1B5"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17.8</w:t>
            </w:r>
          </w:p>
        </w:tc>
      </w:tr>
      <w:tr w:rsidR="0098211A" w:rsidRPr="0098211A" w14:paraId="16CE1E67" w14:textId="77777777" w:rsidTr="0098211A">
        <w:tc>
          <w:tcPr>
            <w:tcW w:w="0" w:type="auto"/>
            <w:hideMark/>
          </w:tcPr>
          <w:p w14:paraId="51BF8D5B" w14:textId="77777777" w:rsidR="0098211A" w:rsidRPr="0098211A" w:rsidRDefault="0098211A" w:rsidP="00283655">
            <w:pPr>
              <w:spacing w:after="160"/>
              <w:jc w:val="both"/>
              <w:rPr>
                <w:rFonts w:ascii="Arial" w:hAnsi="Arial" w:cs="Arial"/>
                <w:sz w:val="20"/>
                <w:szCs w:val="20"/>
              </w:rPr>
            </w:pPr>
          </w:p>
        </w:tc>
        <w:tc>
          <w:tcPr>
            <w:tcW w:w="0" w:type="auto"/>
            <w:hideMark/>
          </w:tcPr>
          <w:p w14:paraId="3C9EC3AF"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56 and above</w:t>
            </w:r>
          </w:p>
        </w:tc>
        <w:tc>
          <w:tcPr>
            <w:tcW w:w="0" w:type="auto"/>
            <w:hideMark/>
          </w:tcPr>
          <w:p w14:paraId="31C5F26F"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28</w:t>
            </w:r>
          </w:p>
        </w:tc>
        <w:tc>
          <w:tcPr>
            <w:tcW w:w="0" w:type="auto"/>
            <w:hideMark/>
          </w:tcPr>
          <w:p w14:paraId="11F24858"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7.6</w:t>
            </w:r>
          </w:p>
        </w:tc>
      </w:tr>
      <w:tr w:rsidR="0098211A" w:rsidRPr="0098211A" w14:paraId="6D9D38A7" w14:textId="77777777" w:rsidTr="0098211A">
        <w:tc>
          <w:tcPr>
            <w:tcW w:w="0" w:type="auto"/>
            <w:hideMark/>
          </w:tcPr>
          <w:p w14:paraId="7C71255D"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Educational qualification</w:t>
            </w:r>
          </w:p>
        </w:tc>
        <w:tc>
          <w:tcPr>
            <w:tcW w:w="0" w:type="auto"/>
            <w:hideMark/>
          </w:tcPr>
          <w:p w14:paraId="1BB359B9"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No formal education</w:t>
            </w:r>
          </w:p>
        </w:tc>
        <w:tc>
          <w:tcPr>
            <w:tcW w:w="0" w:type="auto"/>
            <w:hideMark/>
          </w:tcPr>
          <w:p w14:paraId="4A85C847"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34</w:t>
            </w:r>
          </w:p>
        </w:tc>
        <w:tc>
          <w:tcPr>
            <w:tcW w:w="0" w:type="auto"/>
            <w:hideMark/>
          </w:tcPr>
          <w:p w14:paraId="09611CDE"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9.2</w:t>
            </w:r>
          </w:p>
        </w:tc>
      </w:tr>
      <w:tr w:rsidR="0098211A" w:rsidRPr="0098211A" w14:paraId="699182FE" w14:textId="77777777" w:rsidTr="0098211A">
        <w:tc>
          <w:tcPr>
            <w:tcW w:w="0" w:type="auto"/>
            <w:hideMark/>
          </w:tcPr>
          <w:p w14:paraId="43934DDD" w14:textId="77777777" w:rsidR="0098211A" w:rsidRPr="0098211A" w:rsidRDefault="0098211A" w:rsidP="00283655">
            <w:pPr>
              <w:spacing w:after="160"/>
              <w:jc w:val="both"/>
              <w:rPr>
                <w:rFonts w:ascii="Arial" w:hAnsi="Arial" w:cs="Arial"/>
                <w:sz w:val="20"/>
                <w:szCs w:val="20"/>
              </w:rPr>
            </w:pPr>
          </w:p>
        </w:tc>
        <w:tc>
          <w:tcPr>
            <w:tcW w:w="0" w:type="auto"/>
            <w:hideMark/>
          </w:tcPr>
          <w:p w14:paraId="051EE00B"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Primary education</w:t>
            </w:r>
          </w:p>
        </w:tc>
        <w:tc>
          <w:tcPr>
            <w:tcW w:w="0" w:type="auto"/>
            <w:hideMark/>
          </w:tcPr>
          <w:p w14:paraId="0C85C7C9"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78</w:t>
            </w:r>
          </w:p>
        </w:tc>
        <w:tc>
          <w:tcPr>
            <w:tcW w:w="0" w:type="auto"/>
            <w:hideMark/>
          </w:tcPr>
          <w:p w14:paraId="034E2FEF"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21.1</w:t>
            </w:r>
          </w:p>
        </w:tc>
      </w:tr>
      <w:tr w:rsidR="0098211A" w:rsidRPr="0098211A" w14:paraId="37DAEDF8" w14:textId="77777777" w:rsidTr="0098211A">
        <w:tc>
          <w:tcPr>
            <w:tcW w:w="0" w:type="auto"/>
            <w:hideMark/>
          </w:tcPr>
          <w:p w14:paraId="0E5B39B3" w14:textId="77777777" w:rsidR="0098211A" w:rsidRPr="0098211A" w:rsidRDefault="0098211A" w:rsidP="00283655">
            <w:pPr>
              <w:spacing w:after="160"/>
              <w:jc w:val="both"/>
              <w:rPr>
                <w:rFonts w:ascii="Arial" w:hAnsi="Arial" w:cs="Arial"/>
                <w:sz w:val="20"/>
                <w:szCs w:val="20"/>
              </w:rPr>
            </w:pPr>
          </w:p>
        </w:tc>
        <w:tc>
          <w:tcPr>
            <w:tcW w:w="0" w:type="auto"/>
            <w:hideMark/>
          </w:tcPr>
          <w:p w14:paraId="5CC12FF6"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Secondary education</w:t>
            </w:r>
          </w:p>
        </w:tc>
        <w:tc>
          <w:tcPr>
            <w:tcW w:w="0" w:type="auto"/>
            <w:hideMark/>
          </w:tcPr>
          <w:p w14:paraId="7A59E973"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164</w:t>
            </w:r>
          </w:p>
        </w:tc>
        <w:tc>
          <w:tcPr>
            <w:tcW w:w="0" w:type="auto"/>
            <w:hideMark/>
          </w:tcPr>
          <w:p w14:paraId="665DCEFF"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44.3</w:t>
            </w:r>
          </w:p>
        </w:tc>
      </w:tr>
      <w:tr w:rsidR="0098211A" w:rsidRPr="0098211A" w14:paraId="3D230E98" w14:textId="77777777" w:rsidTr="0098211A">
        <w:tc>
          <w:tcPr>
            <w:tcW w:w="0" w:type="auto"/>
            <w:hideMark/>
          </w:tcPr>
          <w:p w14:paraId="64E81B0F" w14:textId="77777777" w:rsidR="0098211A" w:rsidRPr="0098211A" w:rsidRDefault="0098211A" w:rsidP="00283655">
            <w:pPr>
              <w:spacing w:after="160"/>
              <w:jc w:val="both"/>
              <w:rPr>
                <w:rFonts w:ascii="Arial" w:hAnsi="Arial" w:cs="Arial"/>
                <w:sz w:val="20"/>
                <w:szCs w:val="20"/>
              </w:rPr>
            </w:pPr>
          </w:p>
        </w:tc>
        <w:tc>
          <w:tcPr>
            <w:tcW w:w="0" w:type="auto"/>
            <w:hideMark/>
          </w:tcPr>
          <w:p w14:paraId="3762F1BB"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Tertiary education</w:t>
            </w:r>
          </w:p>
        </w:tc>
        <w:tc>
          <w:tcPr>
            <w:tcW w:w="0" w:type="auto"/>
            <w:hideMark/>
          </w:tcPr>
          <w:p w14:paraId="69E06042"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94</w:t>
            </w:r>
          </w:p>
        </w:tc>
        <w:tc>
          <w:tcPr>
            <w:tcW w:w="0" w:type="auto"/>
            <w:hideMark/>
          </w:tcPr>
          <w:p w14:paraId="5FD9AF33"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25.4</w:t>
            </w:r>
          </w:p>
        </w:tc>
      </w:tr>
      <w:tr w:rsidR="0098211A" w:rsidRPr="0098211A" w14:paraId="6CB0657D" w14:textId="77777777" w:rsidTr="0098211A">
        <w:tc>
          <w:tcPr>
            <w:tcW w:w="0" w:type="auto"/>
            <w:hideMark/>
          </w:tcPr>
          <w:p w14:paraId="04F3B99C"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Supplier category</w:t>
            </w:r>
          </w:p>
        </w:tc>
        <w:tc>
          <w:tcPr>
            <w:tcW w:w="0" w:type="auto"/>
            <w:hideMark/>
          </w:tcPr>
          <w:p w14:paraId="152447BA"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Wholesaler</w:t>
            </w:r>
          </w:p>
        </w:tc>
        <w:tc>
          <w:tcPr>
            <w:tcW w:w="0" w:type="auto"/>
            <w:hideMark/>
          </w:tcPr>
          <w:p w14:paraId="2BE06AEF"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148</w:t>
            </w:r>
          </w:p>
        </w:tc>
        <w:tc>
          <w:tcPr>
            <w:tcW w:w="0" w:type="auto"/>
            <w:hideMark/>
          </w:tcPr>
          <w:p w14:paraId="5B732DC9"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40.0</w:t>
            </w:r>
          </w:p>
        </w:tc>
      </w:tr>
      <w:tr w:rsidR="0098211A" w:rsidRPr="0098211A" w14:paraId="10E5C72B" w14:textId="77777777" w:rsidTr="0098211A">
        <w:tc>
          <w:tcPr>
            <w:tcW w:w="0" w:type="auto"/>
            <w:hideMark/>
          </w:tcPr>
          <w:p w14:paraId="463254B6" w14:textId="77777777" w:rsidR="0098211A" w:rsidRPr="0098211A" w:rsidRDefault="0098211A" w:rsidP="00283655">
            <w:pPr>
              <w:spacing w:after="160"/>
              <w:jc w:val="both"/>
              <w:rPr>
                <w:rFonts w:ascii="Arial" w:hAnsi="Arial" w:cs="Arial"/>
                <w:sz w:val="20"/>
                <w:szCs w:val="20"/>
              </w:rPr>
            </w:pPr>
          </w:p>
        </w:tc>
        <w:tc>
          <w:tcPr>
            <w:tcW w:w="0" w:type="auto"/>
            <w:hideMark/>
          </w:tcPr>
          <w:p w14:paraId="13E89DF7"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Retailer</w:t>
            </w:r>
          </w:p>
        </w:tc>
        <w:tc>
          <w:tcPr>
            <w:tcW w:w="0" w:type="auto"/>
            <w:hideMark/>
          </w:tcPr>
          <w:p w14:paraId="5E00CA05"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222</w:t>
            </w:r>
          </w:p>
        </w:tc>
        <w:tc>
          <w:tcPr>
            <w:tcW w:w="0" w:type="auto"/>
            <w:hideMark/>
          </w:tcPr>
          <w:p w14:paraId="5F5311FC"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60.0</w:t>
            </w:r>
          </w:p>
        </w:tc>
      </w:tr>
      <w:tr w:rsidR="0098211A" w:rsidRPr="0098211A" w14:paraId="4BD5C9AE" w14:textId="77777777" w:rsidTr="0098211A">
        <w:tc>
          <w:tcPr>
            <w:tcW w:w="0" w:type="auto"/>
            <w:hideMark/>
          </w:tcPr>
          <w:p w14:paraId="5A166F32"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Years in business</w:t>
            </w:r>
          </w:p>
        </w:tc>
        <w:tc>
          <w:tcPr>
            <w:tcW w:w="0" w:type="auto"/>
            <w:hideMark/>
          </w:tcPr>
          <w:p w14:paraId="29B4C24F"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Less than 5 years</w:t>
            </w:r>
          </w:p>
        </w:tc>
        <w:tc>
          <w:tcPr>
            <w:tcW w:w="0" w:type="auto"/>
            <w:hideMark/>
          </w:tcPr>
          <w:p w14:paraId="168F0ED1"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82</w:t>
            </w:r>
          </w:p>
        </w:tc>
        <w:tc>
          <w:tcPr>
            <w:tcW w:w="0" w:type="auto"/>
            <w:hideMark/>
          </w:tcPr>
          <w:p w14:paraId="093831A9"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22.2</w:t>
            </w:r>
          </w:p>
        </w:tc>
      </w:tr>
      <w:tr w:rsidR="0098211A" w:rsidRPr="0098211A" w14:paraId="4427532E" w14:textId="77777777" w:rsidTr="0098211A">
        <w:tc>
          <w:tcPr>
            <w:tcW w:w="0" w:type="auto"/>
            <w:hideMark/>
          </w:tcPr>
          <w:p w14:paraId="63A6F545" w14:textId="77777777" w:rsidR="0098211A" w:rsidRPr="0098211A" w:rsidRDefault="0098211A" w:rsidP="00283655">
            <w:pPr>
              <w:spacing w:after="160"/>
              <w:jc w:val="both"/>
              <w:rPr>
                <w:rFonts w:ascii="Arial" w:hAnsi="Arial" w:cs="Arial"/>
                <w:sz w:val="20"/>
                <w:szCs w:val="20"/>
              </w:rPr>
            </w:pPr>
          </w:p>
        </w:tc>
        <w:tc>
          <w:tcPr>
            <w:tcW w:w="0" w:type="auto"/>
            <w:hideMark/>
          </w:tcPr>
          <w:p w14:paraId="171C48D6"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5-10 years</w:t>
            </w:r>
          </w:p>
        </w:tc>
        <w:tc>
          <w:tcPr>
            <w:tcW w:w="0" w:type="auto"/>
            <w:hideMark/>
          </w:tcPr>
          <w:p w14:paraId="3322FB61"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128</w:t>
            </w:r>
          </w:p>
        </w:tc>
        <w:tc>
          <w:tcPr>
            <w:tcW w:w="0" w:type="auto"/>
            <w:hideMark/>
          </w:tcPr>
          <w:p w14:paraId="60129692"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34.6</w:t>
            </w:r>
          </w:p>
        </w:tc>
      </w:tr>
      <w:tr w:rsidR="0098211A" w:rsidRPr="0098211A" w14:paraId="51949577" w14:textId="77777777" w:rsidTr="0098211A">
        <w:tc>
          <w:tcPr>
            <w:tcW w:w="0" w:type="auto"/>
            <w:hideMark/>
          </w:tcPr>
          <w:p w14:paraId="33AED405" w14:textId="77777777" w:rsidR="0098211A" w:rsidRPr="0098211A" w:rsidRDefault="0098211A" w:rsidP="00283655">
            <w:pPr>
              <w:spacing w:after="160"/>
              <w:jc w:val="both"/>
              <w:rPr>
                <w:rFonts w:ascii="Arial" w:hAnsi="Arial" w:cs="Arial"/>
                <w:sz w:val="20"/>
                <w:szCs w:val="20"/>
              </w:rPr>
            </w:pPr>
          </w:p>
        </w:tc>
        <w:tc>
          <w:tcPr>
            <w:tcW w:w="0" w:type="auto"/>
            <w:hideMark/>
          </w:tcPr>
          <w:p w14:paraId="55088228"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11-15 years</w:t>
            </w:r>
          </w:p>
        </w:tc>
        <w:tc>
          <w:tcPr>
            <w:tcW w:w="0" w:type="auto"/>
            <w:hideMark/>
          </w:tcPr>
          <w:p w14:paraId="4276172A"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88</w:t>
            </w:r>
          </w:p>
        </w:tc>
        <w:tc>
          <w:tcPr>
            <w:tcW w:w="0" w:type="auto"/>
            <w:hideMark/>
          </w:tcPr>
          <w:p w14:paraId="47638FE8"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23.8</w:t>
            </w:r>
          </w:p>
        </w:tc>
      </w:tr>
      <w:tr w:rsidR="0098211A" w:rsidRPr="0098211A" w14:paraId="67BBFB04" w14:textId="77777777" w:rsidTr="0098211A">
        <w:tc>
          <w:tcPr>
            <w:tcW w:w="0" w:type="auto"/>
            <w:hideMark/>
          </w:tcPr>
          <w:p w14:paraId="4C36DC6F" w14:textId="77777777" w:rsidR="0098211A" w:rsidRPr="0098211A" w:rsidRDefault="0098211A" w:rsidP="00283655">
            <w:pPr>
              <w:spacing w:after="160"/>
              <w:jc w:val="both"/>
              <w:rPr>
                <w:rFonts w:ascii="Arial" w:hAnsi="Arial" w:cs="Arial"/>
                <w:sz w:val="20"/>
                <w:szCs w:val="20"/>
              </w:rPr>
            </w:pPr>
          </w:p>
        </w:tc>
        <w:tc>
          <w:tcPr>
            <w:tcW w:w="0" w:type="auto"/>
            <w:hideMark/>
          </w:tcPr>
          <w:p w14:paraId="6FB35EDF"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Above 15 years</w:t>
            </w:r>
          </w:p>
        </w:tc>
        <w:tc>
          <w:tcPr>
            <w:tcW w:w="0" w:type="auto"/>
            <w:hideMark/>
          </w:tcPr>
          <w:p w14:paraId="4F4B74F7"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72</w:t>
            </w:r>
          </w:p>
        </w:tc>
        <w:tc>
          <w:tcPr>
            <w:tcW w:w="0" w:type="auto"/>
            <w:hideMark/>
          </w:tcPr>
          <w:p w14:paraId="1CD30D8F"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19.5</w:t>
            </w:r>
          </w:p>
        </w:tc>
      </w:tr>
      <w:tr w:rsidR="0098211A" w:rsidRPr="0098211A" w14:paraId="0389C817" w14:textId="77777777" w:rsidTr="0098211A">
        <w:tc>
          <w:tcPr>
            <w:tcW w:w="0" w:type="auto"/>
            <w:hideMark/>
          </w:tcPr>
          <w:p w14:paraId="3199C104"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Main delivery mode</w:t>
            </w:r>
          </w:p>
        </w:tc>
        <w:tc>
          <w:tcPr>
            <w:tcW w:w="0" w:type="auto"/>
            <w:hideMark/>
          </w:tcPr>
          <w:p w14:paraId="728E73E4"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Own vehicle</w:t>
            </w:r>
          </w:p>
        </w:tc>
        <w:tc>
          <w:tcPr>
            <w:tcW w:w="0" w:type="auto"/>
            <w:hideMark/>
          </w:tcPr>
          <w:p w14:paraId="5E00EFEE"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96</w:t>
            </w:r>
          </w:p>
        </w:tc>
        <w:tc>
          <w:tcPr>
            <w:tcW w:w="0" w:type="auto"/>
            <w:hideMark/>
          </w:tcPr>
          <w:p w14:paraId="65017246"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25.9</w:t>
            </w:r>
          </w:p>
        </w:tc>
      </w:tr>
      <w:tr w:rsidR="0098211A" w:rsidRPr="0098211A" w14:paraId="6C12565E" w14:textId="77777777" w:rsidTr="0098211A">
        <w:tc>
          <w:tcPr>
            <w:tcW w:w="0" w:type="auto"/>
            <w:hideMark/>
          </w:tcPr>
          <w:p w14:paraId="57CDD9F8" w14:textId="77777777" w:rsidR="0098211A" w:rsidRPr="0098211A" w:rsidRDefault="0098211A" w:rsidP="00283655">
            <w:pPr>
              <w:spacing w:after="160"/>
              <w:jc w:val="both"/>
              <w:rPr>
                <w:rFonts w:ascii="Arial" w:hAnsi="Arial" w:cs="Arial"/>
                <w:sz w:val="20"/>
                <w:szCs w:val="20"/>
              </w:rPr>
            </w:pPr>
          </w:p>
        </w:tc>
        <w:tc>
          <w:tcPr>
            <w:tcW w:w="0" w:type="auto"/>
            <w:hideMark/>
          </w:tcPr>
          <w:p w14:paraId="0F2FE11A"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Hired van or truck</w:t>
            </w:r>
          </w:p>
        </w:tc>
        <w:tc>
          <w:tcPr>
            <w:tcW w:w="0" w:type="auto"/>
            <w:hideMark/>
          </w:tcPr>
          <w:p w14:paraId="3ADB6C66"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142</w:t>
            </w:r>
          </w:p>
        </w:tc>
        <w:tc>
          <w:tcPr>
            <w:tcW w:w="0" w:type="auto"/>
            <w:hideMark/>
          </w:tcPr>
          <w:p w14:paraId="0EDA699D"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38.4</w:t>
            </w:r>
          </w:p>
        </w:tc>
      </w:tr>
      <w:tr w:rsidR="0098211A" w:rsidRPr="0098211A" w14:paraId="15D0B2B3" w14:textId="77777777" w:rsidTr="0098211A">
        <w:tc>
          <w:tcPr>
            <w:tcW w:w="0" w:type="auto"/>
            <w:hideMark/>
          </w:tcPr>
          <w:p w14:paraId="1688460B" w14:textId="77777777" w:rsidR="0098211A" w:rsidRPr="0098211A" w:rsidRDefault="0098211A" w:rsidP="00283655">
            <w:pPr>
              <w:spacing w:after="160"/>
              <w:jc w:val="both"/>
              <w:rPr>
                <w:rFonts w:ascii="Arial" w:hAnsi="Arial" w:cs="Arial"/>
                <w:sz w:val="20"/>
                <w:szCs w:val="20"/>
              </w:rPr>
            </w:pPr>
          </w:p>
        </w:tc>
        <w:tc>
          <w:tcPr>
            <w:tcW w:w="0" w:type="auto"/>
            <w:hideMark/>
          </w:tcPr>
          <w:p w14:paraId="04F3CB13"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Motorcycle or tricycle</w:t>
            </w:r>
          </w:p>
        </w:tc>
        <w:tc>
          <w:tcPr>
            <w:tcW w:w="0" w:type="auto"/>
            <w:hideMark/>
          </w:tcPr>
          <w:p w14:paraId="17C2386D"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98</w:t>
            </w:r>
          </w:p>
        </w:tc>
        <w:tc>
          <w:tcPr>
            <w:tcW w:w="0" w:type="auto"/>
            <w:hideMark/>
          </w:tcPr>
          <w:p w14:paraId="10FB5AA2"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26.5</w:t>
            </w:r>
          </w:p>
        </w:tc>
      </w:tr>
      <w:tr w:rsidR="0098211A" w:rsidRPr="0098211A" w14:paraId="5097DE1D" w14:textId="77777777" w:rsidTr="0098211A">
        <w:tc>
          <w:tcPr>
            <w:tcW w:w="0" w:type="auto"/>
            <w:tcBorders>
              <w:bottom w:val="single" w:sz="4" w:space="0" w:color="auto"/>
            </w:tcBorders>
            <w:hideMark/>
          </w:tcPr>
          <w:p w14:paraId="02643933" w14:textId="77777777" w:rsidR="0098211A" w:rsidRPr="0098211A" w:rsidRDefault="0098211A" w:rsidP="00283655">
            <w:pPr>
              <w:spacing w:after="160"/>
              <w:jc w:val="both"/>
              <w:rPr>
                <w:rFonts w:ascii="Arial" w:hAnsi="Arial" w:cs="Arial"/>
                <w:sz w:val="20"/>
                <w:szCs w:val="20"/>
              </w:rPr>
            </w:pPr>
          </w:p>
        </w:tc>
        <w:tc>
          <w:tcPr>
            <w:tcW w:w="0" w:type="auto"/>
            <w:tcBorders>
              <w:bottom w:val="single" w:sz="4" w:space="0" w:color="auto"/>
            </w:tcBorders>
            <w:hideMark/>
          </w:tcPr>
          <w:p w14:paraId="59F30788"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Third party courier</w:t>
            </w:r>
          </w:p>
        </w:tc>
        <w:tc>
          <w:tcPr>
            <w:tcW w:w="0" w:type="auto"/>
            <w:tcBorders>
              <w:bottom w:val="single" w:sz="4" w:space="0" w:color="auto"/>
            </w:tcBorders>
            <w:hideMark/>
          </w:tcPr>
          <w:p w14:paraId="5B74DA7A"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34</w:t>
            </w:r>
          </w:p>
        </w:tc>
        <w:tc>
          <w:tcPr>
            <w:tcW w:w="0" w:type="auto"/>
            <w:tcBorders>
              <w:bottom w:val="single" w:sz="4" w:space="0" w:color="auto"/>
            </w:tcBorders>
            <w:hideMark/>
          </w:tcPr>
          <w:p w14:paraId="2CEE64A5"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9.2</w:t>
            </w:r>
          </w:p>
        </w:tc>
      </w:tr>
    </w:tbl>
    <w:p w14:paraId="6D30E602" w14:textId="4016B878" w:rsidR="0098211A" w:rsidRPr="0098211A" w:rsidRDefault="0098211A" w:rsidP="0098211A">
      <w:pPr>
        <w:jc w:val="both"/>
        <w:rPr>
          <w:rFonts w:ascii="Arial" w:hAnsi="Arial" w:cs="Arial"/>
        </w:rPr>
      </w:pPr>
      <w:r w:rsidRPr="0098211A">
        <w:rPr>
          <w:rFonts w:ascii="Arial" w:hAnsi="Arial" w:cs="Arial"/>
        </w:rPr>
        <w:t>Source: Field Survey (202</w:t>
      </w:r>
      <w:r w:rsidR="00B727B1">
        <w:rPr>
          <w:rFonts w:ascii="Arial" w:hAnsi="Arial" w:cs="Arial"/>
        </w:rPr>
        <w:t>6</w:t>
      </w:r>
      <w:r w:rsidRPr="0098211A">
        <w:rPr>
          <w:rFonts w:ascii="Arial" w:hAnsi="Arial" w:cs="Arial"/>
        </w:rPr>
        <w:t>)</w:t>
      </w:r>
    </w:p>
    <w:p w14:paraId="07F4D503" w14:textId="77777777" w:rsidR="0098211A" w:rsidRPr="0098211A" w:rsidRDefault="0098211A" w:rsidP="0098211A">
      <w:pPr>
        <w:jc w:val="both"/>
        <w:rPr>
          <w:rFonts w:ascii="Arial" w:hAnsi="Arial" w:cs="Arial"/>
        </w:rPr>
      </w:pPr>
    </w:p>
    <w:p w14:paraId="569C9859" w14:textId="77777777" w:rsidR="0098211A" w:rsidRPr="0098211A" w:rsidRDefault="0098211A" w:rsidP="0098211A">
      <w:pPr>
        <w:jc w:val="both"/>
        <w:rPr>
          <w:rFonts w:ascii="Arial" w:hAnsi="Arial" w:cs="Arial"/>
          <w:b/>
          <w:bCs/>
          <w:i/>
          <w:iCs/>
        </w:rPr>
      </w:pPr>
      <w:r w:rsidRPr="0098211A">
        <w:rPr>
          <w:rFonts w:ascii="Arial" w:hAnsi="Arial" w:cs="Arial"/>
          <w:b/>
          <w:bCs/>
          <w:i/>
          <w:iCs/>
        </w:rPr>
        <w:t>4.2</w:t>
      </w:r>
      <w:r w:rsidRPr="0098211A">
        <w:rPr>
          <w:rFonts w:ascii="Arial" w:hAnsi="Arial" w:cs="Arial"/>
          <w:b/>
          <w:bCs/>
          <w:i/>
          <w:iCs/>
        </w:rPr>
        <w:tab/>
        <w:t>Reliability and Validity Statistics Test</w:t>
      </w:r>
    </w:p>
    <w:p w14:paraId="508D7A61" w14:textId="77777777" w:rsidR="0098211A" w:rsidRPr="0098211A" w:rsidRDefault="0098211A" w:rsidP="0098211A">
      <w:pPr>
        <w:jc w:val="both"/>
        <w:rPr>
          <w:rFonts w:ascii="Arial" w:hAnsi="Arial" w:cs="Arial"/>
        </w:rPr>
      </w:pPr>
      <w:r w:rsidRPr="0098211A">
        <w:rPr>
          <w:rFonts w:ascii="Arial" w:hAnsi="Arial" w:cs="Arial"/>
        </w:rPr>
        <w:t>The reliability and validity findings in Table 2 affirm that the measurement model applied in this study is sufficient to analyze SEM among market-based suppliers in Mile 12. The standardized factor loadings of all constructs are typically high and within acceptable ranges, indicating that the observed indicators are strong representatives of their respective latent variables. In the case of Traffic Congestion Constraint (TCC), the item loadings are between 0.74 and 0.81, which means that questions about congestion always reflected the experiences of suppliers with delays and unpredictable travel time. The Loading and Curbside Infrastructure Constraint (LCIC) also demonstrates satisfactory loadings of 0.71 to 0.81, which means that the lack of parking space, narrow roads, and poor loading conditions are evident in the measurement items. Regulatory and Access Restriction Constraint (RARC) registered high loadings between 0.75 and 0.83, indicating that enforcement stops, movement restrictions, and compliance requirements are adequately measured as significant constraints to delivery operations. Network Fragmentation and ICT Constraint (NFIC) recorded satisfactory loadings of 0.71 to 0.80, indicating that inadequate coordination, absence of tracking systems, and poor communication among delivery actors are well represented in the construct indicators. Delivery Timeliness (DT) registered loadings between 0.76 and 0.84, indicating that the indicators of the dependent variable are effective in reflecting the degree to which deliveries are made within the anticipated time frames.</w:t>
      </w:r>
    </w:p>
    <w:p w14:paraId="5E9CB23A" w14:textId="77777777" w:rsidR="0098211A" w:rsidRDefault="0098211A" w:rsidP="0098211A">
      <w:pPr>
        <w:jc w:val="both"/>
        <w:rPr>
          <w:rFonts w:ascii="Arial" w:hAnsi="Arial" w:cs="Arial"/>
        </w:rPr>
      </w:pPr>
      <w:r w:rsidRPr="0098211A">
        <w:rPr>
          <w:rFonts w:ascii="Arial" w:hAnsi="Arial" w:cs="Arial"/>
        </w:rPr>
        <w:t xml:space="preserve">Moreover, Table 2 shows that all constructs have high internal consistency since the </w:t>
      </w:r>
      <w:proofErr w:type="spellStart"/>
      <w:r w:rsidRPr="0098211A">
        <w:rPr>
          <w:rFonts w:ascii="Arial" w:hAnsi="Arial" w:cs="Arial"/>
        </w:rPr>
        <w:t>Cronbachs</w:t>
      </w:r>
      <w:proofErr w:type="spellEnd"/>
      <w:r w:rsidRPr="0098211A">
        <w:rPr>
          <w:rFonts w:ascii="Arial" w:hAnsi="Arial" w:cs="Arial"/>
        </w:rPr>
        <w:t xml:space="preserve"> alpha values are between 0.87 and 0.91, which is above the acceptable minimum of 0.70, meaning that the items in each construct are consistent and measure the same concept. The Composite Reliability (CR) values are also between 0.87 and 0.91, which once again proves that the constructs are highly reliable according to the SEM requirements. The values of the Average Variance Extracted (AVE) are between 0.58 and 0.67, all exceeding the 0.50 mark, indicating that each construct explains more than half of the variance in its indicators, and this is a confirmation of convergent validity. In general, the results indicate that the measurement model is reliable and valid, and thus appropriate to test the </w:t>
      </w:r>
      <w:proofErr w:type="spellStart"/>
      <w:r w:rsidRPr="0098211A">
        <w:rPr>
          <w:rFonts w:ascii="Arial" w:hAnsi="Arial" w:cs="Arial"/>
        </w:rPr>
        <w:t>hypothesised</w:t>
      </w:r>
      <w:proofErr w:type="spellEnd"/>
      <w:r w:rsidRPr="0098211A">
        <w:rPr>
          <w:rFonts w:ascii="Arial" w:hAnsi="Arial" w:cs="Arial"/>
        </w:rPr>
        <w:t xml:space="preserve"> </w:t>
      </w:r>
      <w:r w:rsidRPr="0098211A">
        <w:rPr>
          <w:rFonts w:ascii="Arial" w:hAnsi="Arial" w:cs="Arial"/>
        </w:rPr>
        <w:lastRenderedPageBreak/>
        <w:t>relationships between intra urban logistics constraints and delivery timeliness among Mile 12 market-based suppliers.</w:t>
      </w:r>
    </w:p>
    <w:p w14:paraId="1A9CBC52" w14:textId="77777777" w:rsidR="0098211A" w:rsidRPr="0098211A" w:rsidRDefault="0098211A" w:rsidP="0098211A">
      <w:pPr>
        <w:jc w:val="both"/>
        <w:rPr>
          <w:rFonts w:ascii="Arial" w:hAnsi="Arial" w:cs="Arial"/>
        </w:rPr>
      </w:pPr>
    </w:p>
    <w:p w14:paraId="3C6E56DA" w14:textId="77777777" w:rsidR="0098211A" w:rsidRDefault="0098211A" w:rsidP="0098211A">
      <w:pPr>
        <w:jc w:val="both"/>
        <w:rPr>
          <w:rFonts w:ascii="Arial" w:hAnsi="Arial" w:cs="Arial"/>
          <w:b/>
          <w:bCs/>
        </w:rPr>
      </w:pPr>
      <w:r w:rsidRPr="0098211A">
        <w:rPr>
          <w:rFonts w:ascii="Arial" w:hAnsi="Arial" w:cs="Arial"/>
          <w:b/>
          <w:bCs/>
        </w:rPr>
        <w:t>Table 2: Reliability and Validity Statistics for Measurement Model</w:t>
      </w:r>
    </w:p>
    <w:p w14:paraId="15C4CD5D" w14:textId="77777777" w:rsidR="0098211A" w:rsidRPr="0098211A" w:rsidRDefault="0098211A" w:rsidP="0098211A">
      <w:pPr>
        <w:jc w:val="both"/>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943"/>
        <w:gridCol w:w="1614"/>
        <w:gridCol w:w="1413"/>
        <w:gridCol w:w="1503"/>
        <w:gridCol w:w="628"/>
      </w:tblGrid>
      <w:tr w:rsidR="0098211A" w:rsidRPr="0098211A" w14:paraId="535CCC13" w14:textId="77777777" w:rsidTr="0098211A">
        <w:tc>
          <w:tcPr>
            <w:tcW w:w="0" w:type="auto"/>
            <w:tcBorders>
              <w:top w:val="single" w:sz="4" w:space="0" w:color="auto"/>
              <w:bottom w:val="single" w:sz="4" w:space="0" w:color="auto"/>
            </w:tcBorders>
            <w:hideMark/>
          </w:tcPr>
          <w:p w14:paraId="7006C5BB" w14:textId="77777777" w:rsidR="0098211A" w:rsidRPr="0098211A" w:rsidRDefault="0098211A" w:rsidP="00283655">
            <w:pPr>
              <w:spacing w:after="160"/>
              <w:jc w:val="both"/>
              <w:rPr>
                <w:rFonts w:ascii="Arial" w:hAnsi="Arial" w:cs="Arial"/>
                <w:b/>
                <w:bCs/>
                <w:sz w:val="20"/>
                <w:szCs w:val="20"/>
              </w:rPr>
            </w:pPr>
            <w:r w:rsidRPr="0098211A">
              <w:rPr>
                <w:rFonts w:ascii="Arial" w:hAnsi="Arial" w:cs="Arial"/>
                <w:b/>
                <w:bCs/>
                <w:sz w:val="20"/>
                <w:szCs w:val="20"/>
              </w:rPr>
              <w:t>Construct</w:t>
            </w:r>
          </w:p>
        </w:tc>
        <w:tc>
          <w:tcPr>
            <w:tcW w:w="0" w:type="auto"/>
            <w:tcBorders>
              <w:top w:val="single" w:sz="4" w:space="0" w:color="auto"/>
              <w:bottom w:val="single" w:sz="4" w:space="0" w:color="auto"/>
            </w:tcBorders>
            <w:hideMark/>
          </w:tcPr>
          <w:p w14:paraId="4EDC7D49" w14:textId="77777777" w:rsidR="0098211A" w:rsidRPr="0098211A" w:rsidRDefault="0098211A" w:rsidP="00283655">
            <w:pPr>
              <w:spacing w:after="160"/>
              <w:jc w:val="both"/>
              <w:rPr>
                <w:rFonts w:ascii="Arial" w:hAnsi="Arial" w:cs="Arial"/>
                <w:b/>
                <w:bCs/>
                <w:sz w:val="20"/>
                <w:szCs w:val="20"/>
              </w:rPr>
            </w:pPr>
            <w:r w:rsidRPr="0098211A">
              <w:rPr>
                <w:rFonts w:ascii="Arial" w:hAnsi="Arial" w:cs="Arial"/>
                <w:b/>
                <w:bCs/>
                <w:sz w:val="20"/>
                <w:szCs w:val="20"/>
              </w:rPr>
              <w:t>Item Code</w:t>
            </w:r>
          </w:p>
        </w:tc>
        <w:tc>
          <w:tcPr>
            <w:tcW w:w="0" w:type="auto"/>
            <w:tcBorders>
              <w:top w:val="single" w:sz="4" w:space="0" w:color="auto"/>
              <w:bottom w:val="single" w:sz="4" w:space="0" w:color="auto"/>
            </w:tcBorders>
            <w:hideMark/>
          </w:tcPr>
          <w:p w14:paraId="7BBF3827" w14:textId="77777777" w:rsidR="0098211A" w:rsidRPr="0098211A" w:rsidRDefault="0098211A" w:rsidP="00283655">
            <w:pPr>
              <w:spacing w:after="160"/>
              <w:jc w:val="both"/>
              <w:rPr>
                <w:rFonts w:ascii="Arial" w:hAnsi="Arial" w:cs="Arial"/>
                <w:b/>
                <w:bCs/>
                <w:sz w:val="20"/>
                <w:szCs w:val="20"/>
              </w:rPr>
            </w:pPr>
            <w:r w:rsidRPr="0098211A">
              <w:rPr>
                <w:rFonts w:ascii="Arial" w:hAnsi="Arial" w:cs="Arial"/>
                <w:b/>
                <w:bCs/>
                <w:sz w:val="20"/>
                <w:szCs w:val="20"/>
              </w:rPr>
              <w:t>Standardized Loading</w:t>
            </w:r>
          </w:p>
        </w:tc>
        <w:tc>
          <w:tcPr>
            <w:tcW w:w="0" w:type="auto"/>
            <w:tcBorders>
              <w:top w:val="single" w:sz="4" w:space="0" w:color="auto"/>
              <w:bottom w:val="single" w:sz="4" w:space="0" w:color="auto"/>
            </w:tcBorders>
            <w:hideMark/>
          </w:tcPr>
          <w:p w14:paraId="71DA19D0" w14:textId="77777777" w:rsidR="0098211A" w:rsidRPr="0098211A" w:rsidRDefault="0098211A" w:rsidP="00283655">
            <w:pPr>
              <w:spacing w:after="160"/>
              <w:jc w:val="center"/>
              <w:rPr>
                <w:rFonts w:ascii="Arial" w:hAnsi="Arial" w:cs="Arial"/>
                <w:b/>
                <w:bCs/>
                <w:sz w:val="20"/>
                <w:szCs w:val="20"/>
              </w:rPr>
            </w:pPr>
            <w:r w:rsidRPr="0098211A">
              <w:rPr>
                <w:rFonts w:ascii="Arial" w:hAnsi="Arial" w:cs="Arial"/>
                <w:b/>
                <w:bCs/>
                <w:sz w:val="20"/>
                <w:szCs w:val="20"/>
              </w:rPr>
              <w:t>Cronbach's Alpha</w:t>
            </w:r>
          </w:p>
        </w:tc>
        <w:tc>
          <w:tcPr>
            <w:tcW w:w="0" w:type="auto"/>
            <w:tcBorders>
              <w:top w:val="single" w:sz="4" w:space="0" w:color="auto"/>
              <w:bottom w:val="single" w:sz="4" w:space="0" w:color="auto"/>
            </w:tcBorders>
            <w:hideMark/>
          </w:tcPr>
          <w:p w14:paraId="571D4542" w14:textId="77777777" w:rsidR="0098211A" w:rsidRPr="0098211A" w:rsidRDefault="0098211A" w:rsidP="00283655">
            <w:pPr>
              <w:spacing w:after="160"/>
              <w:jc w:val="center"/>
              <w:rPr>
                <w:rFonts w:ascii="Arial" w:hAnsi="Arial" w:cs="Arial"/>
                <w:b/>
                <w:bCs/>
                <w:sz w:val="20"/>
                <w:szCs w:val="20"/>
              </w:rPr>
            </w:pPr>
            <w:r w:rsidRPr="0098211A">
              <w:rPr>
                <w:rFonts w:ascii="Arial" w:hAnsi="Arial" w:cs="Arial"/>
                <w:b/>
                <w:bCs/>
                <w:sz w:val="20"/>
                <w:szCs w:val="20"/>
              </w:rPr>
              <w:t>Composite Reliability (CR)</w:t>
            </w:r>
          </w:p>
        </w:tc>
        <w:tc>
          <w:tcPr>
            <w:tcW w:w="0" w:type="auto"/>
            <w:tcBorders>
              <w:top w:val="single" w:sz="4" w:space="0" w:color="auto"/>
              <w:bottom w:val="single" w:sz="4" w:space="0" w:color="auto"/>
            </w:tcBorders>
            <w:hideMark/>
          </w:tcPr>
          <w:p w14:paraId="18F6E931" w14:textId="77777777" w:rsidR="0098211A" w:rsidRPr="0098211A" w:rsidRDefault="0098211A" w:rsidP="00283655">
            <w:pPr>
              <w:spacing w:after="160"/>
              <w:jc w:val="center"/>
              <w:rPr>
                <w:rFonts w:ascii="Arial" w:hAnsi="Arial" w:cs="Arial"/>
                <w:b/>
                <w:bCs/>
                <w:sz w:val="20"/>
                <w:szCs w:val="20"/>
              </w:rPr>
            </w:pPr>
            <w:r w:rsidRPr="0098211A">
              <w:rPr>
                <w:rFonts w:ascii="Arial" w:hAnsi="Arial" w:cs="Arial"/>
                <w:b/>
                <w:bCs/>
                <w:sz w:val="20"/>
                <w:szCs w:val="20"/>
              </w:rPr>
              <w:t>AVE</w:t>
            </w:r>
          </w:p>
        </w:tc>
      </w:tr>
      <w:tr w:rsidR="0098211A" w:rsidRPr="0098211A" w14:paraId="187476E8" w14:textId="77777777" w:rsidTr="0098211A">
        <w:tc>
          <w:tcPr>
            <w:tcW w:w="0" w:type="auto"/>
            <w:tcBorders>
              <w:top w:val="single" w:sz="4" w:space="0" w:color="auto"/>
            </w:tcBorders>
            <w:hideMark/>
          </w:tcPr>
          <w:p w14:paraId="2A0DD57D" w14:textId="77777777" w:rsidR="0098211A" w:rsidRPr="0098211A" w:rsidRDefault="0098211A" w:rsidP="00283655">
            <w:pPr>
              <w:spacing w:after="160"/>
              <w:rPr>
                <w:rFonts w:ascii="Arial" w:hAnsi="Arial" w:cs="Arial"/>
                <w:sz w:val="20"/>
                <w:szCs w:val="20"/>
              </w:rPr>
            </w:pPr>
            <w:r w:rsidRPr="0098211A">
              <w:rPr>
                <w:rFonts w:ascii="Arial" w:hAnsi="Arial" w:cs="Arial"/>
                <w:sz w:val="20"/>
                <w:szCs w:val="20"/>
              </w:rPr>
              <w:t>Traffic Congestion Constraint (TCC)</w:t>
            </w:r>
          </w:p>
        </w:tc>
        <w:tc>
          <w:tcPr>
            <w:tcW w:w="0" w:type="auto"/>
            <w:tcBorders>
              <w:top w:val="single" w:sz="4" w:space="0" w:color="auto"/>
            </w:tcBorders>
            <w:hideMark/>
          </w:tcPr>
          <w:p w14:paraId="6FC3D50E"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TCC1</w:t>
            </w:r>
          </w:p>
        </w:tc>
        <w:tc>
          <w:tcPr>
            <w:tcW w:w="0" w:type="auto"/>
            <w:tcBorders>
              <w:top w:val="single" w:sz="4" w:space="0" w:color="auto"/>
            </w:tcBorders>
            <w:hideMark/>
          </w:tcPr>
          <w:p w14:paraId="46D16037"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0.78</w:t>
            </w:r>
          </w:p>
        </w:tc>
        <w:tc>
          <w:tcPr>
            <w:tcW w:w="0" w:type="auto"/>
            <w:tcBorders>
              <w:top w:val="single" w:sz="4" w:space="0" w:color="auto"/>
            </w:tcBorders>
            <w:hideMark/>
          </w:tcPr>
          <w:p w14:paraId="6964E7A2"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0.89</w:t>
            </w:r>
          </w:p>
        </w:tc>
        <w:tc>
          <w:tcPr>
            <w:tcW w:w="0" w:type="auto"/>
            <w:tcBorders>
              <w:top w:val="single" w:sz="4" w:space="0" w:color="auto"/>
            </w:tcBorders>
            <w:hideMark/>
          </w:tcPr>
          <w:p w14:paraId="5F1720E5"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0.89</w:t>
            </w:r>
          </w:p>
        </w:tc>
        <w:tc>
          <w:tcPr>
            <w:tcW w:w="0" w:type="auto"/>
            <w:tcBorders>
              <w:top w:val="single" w:sz="4" w:space="0" w:color="auto"/>
            </w:tcBorders>
            <w:hideMark/>
          </w:tcPr>
          <w:p w14:paraId="1555D260"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0.62</w:t>
            </w:r>
          </w:p>
        </w:tc>
      </w:tr>
      <w:tr w:rsidR="0098211A" w:rsidRPr="0098211A" w14:paraId="1DA62CCC" w14:textId="77777777" w:rsidTr="0098211A">
        <w:tc>
          <w:tcPr>
            <w:tcW w:w="0" w:type="auto"/>
            <w:hideMark/>
          </w:tcPr>
          <w:p w14:paraId="47026771" w14:textId="77777777" w:rsidR="0098211A" w:rsidRPr="0098211A" w:rsidRDefault="0098211A" w:rsidP="00283655">
            <w:pPr>
              <w:spacing w:after="160"/>
              <w:rPr>
                <w:rFonts w:ascii="Arial" w:hAnsi="Arial" w:cs="Arial"/>
                <w:sz w:val="20"/>
                <w:szCs w:val="20"/>
              </w:rPr>
            </w:pPr>
          </w:p>
        </w:tc>
        <w:tc>
          <w:tcPr>
            <w:tcW w:w="0" w:type="auto"/>
            <w:hideMark/>
          </w:tcPr>
          <w:p w14:paraId="424726A1"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TCC2</w:t>
            </w:r>
          </w:p>
        </w:tc>
        <w:tc>
          <w:tcPr>
            <w:tcW w:w="0" w:type="auto"/>
            <w:hideMark/>
          </w:tcPr>
          <w:p w14:paraId="3EA1BA64"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0.81</w:t>
            </w:r>
          </w:p>
        </w:tc>
        <w:tc>
          <w:tcPr>
            <w:tcW w:w="0" w:type="auto"/>
            <w:hideMark/>
          </w:tcPr>
          <w:p w14:paraId="5D78683E" w14:textId="77777777" w:rsidR="0098211A" w:rsidRPr="0098211A" w:rsidRDefault="0098211A" w:rsidP="00283655">
            <w:pPr>
              <w:spacing w:after="160"/>
              <w:jc w:val="center"/>
              <w:rPr>
                <w:rFonts w:ascii="Arial" w:hAnsi="Arial" w:cs="Arial"/>
                <w:sz w:val="20"/>
                <w:szCs w:val="20"/>
              </w:rPr>
            </w:pPr>
          </w:p>
        </w:tc>
        <w:tc>
          <w:tcPr>
            <w:tcW w:w="0" w:type="auto"/>
            <w:hideMark/>
          </w:tcPr>
          <w:p w14:paraId="6F43EB29" w14:textId="77777777" w:rsidR="0098211A" w:rsidRPr="0098211A" w:rsidRDefault="0098211A" w:rsidP="00283655">
            <w:pPr>
              <w:spacing w:after="160"/>
              <w:jc w:val="center"/>
              <w:rPr>
                <w:rFonts w:ascii="Arial" w:hAnsi="Arial" w:cs="Arial"/>
                <w:sz w:val="20"/>
                <w:szCs w:val="20"/>
              </w:rPr>
            </w:pPr>
          </w:p>
        </w:tc>
        <w:tc>
          <w:tcPr>
            <w:tcW w:w="0" w:type="auto"/>
            <w:hideMark/>
          </w:tcPr>
          <w:p w14:paraId="1BA17F87" w14:textId="77777777" w:rsidR="0098211A" w:rsidRPr="0098211A" w:rsidRDefault="0098211A" w:rsidP="00283655">
            <w:pPr>
              <w:spacing w:after="160"/>
              <w:jc w:val="center"/>
              <w:rPr>
                <w:rFonts w:ascii="Arial" w:hAnsi="Arial" w:cs="Arial"/>
                <w:sz w:val="20"/>
                <w:szCs w:val="20"/>
              </w:rPr>
            </w:pPr>
          </w:p>
        </w:tc>
      </w:tr>
      <w:tr w:rsidR="0098211A" w:rsidRPr="0098211A" w14:paraId="51C74811" w14:textId="77777777" w:rsidTr="0098211A">
        <w:tc>
          <w:tcPr>
            <w:tcW w:w="0" w:type="auto"/>
            <w:hideMark/>
          </w:tcPr>
          <w:p w14:paraId="0B113DEB" w14:textId="77777777" w:rsidR="0098211A" w:rsidRPr="0098211A" w:rsidRDefault="0098211A" w:rsidP="00283655">
            <w:pPr>
              <w:spacing w:after="160"/>
              <w:rPr>
                <w:rFonts w:ascii="Arial" w:hAnsi="Arial" w:cs="Arial"/>
                <w:sz w:val="20"/>
                <w:szCs w:val="20"/>
              </w:rPr>
            </w:pPr>
          </w:p>
        </w:tc>
        <w:tc>
          <w:tcPr>
            <w:tcW w:w="0" w:type="auto"/>
            <w:hideMark/>
          </w:tcPr>
          <w:p w14:paraId="2F810F81"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TCC3</w:t>
            </w:r>
          </w:p>
        </w:tc>
        <w:tc>
          <w:tcPr>
            <w:tcW w:w="0" w:type="auto"/>
            <w:hideMark/>
          </w:tcPr>
          <w:p w14:paraId="053C8502"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0.76</w:t>
            </w:r>
          </w:p>
        </w:tc>
        <w:tc>
          <w:tcPr>
            <w:tcW w:w="0" w:type="auto"/>
            <w:hideMark/>
          </w:tcPr>
          <w:p w14:paraId="7DC75997" w14:textId="77777777" w:rsidR="0098211A" w:rsidRPr="0098211A" w:rsidRDefault="0098211A" w:rsidP="00283655">
            <w:pPr>
              <w:spacing w:after="160"/>
              <w:jc w:val="center"/>
              <w:rPr>
                <w:rFonts w:ascii="Arial" w:hAnsi="Arial" w:cs="Arial"/>
                <w:sz w:val="20"/>
                <w:szCs w:val="20"/>
              </w:rPr>
            </w:pPr>
          </w:p>
        </w:tc>
        <w:tc>
          <w:tcPr>
            <w:tcW w:w="0" w:type="auto"/>
            <w:hideMark/>
          </w:tcPr>
          <w:p w14:paraId="63C4FB13" w14:textId="77777777" w:rsidR="0098211A" w:rsidRPr="0098211A" w:rsidRDefault="0098211A" w:rsidP="00283655">
            <w:pPr>
              <w:spacing w:after="160"/>
              <w:jc w:val="center"/>
              <w:rPr>
                <w:rFonts w:ascii="Arial" w:hAnsi="Arial" w:cs="Arial"/>
                <w:sz w:val="20"/>
                <w:szCs w:val="20"/>
              </w:rPr>
            </w:pPr>
          </w:p>
        </w:tc>
        <w:tc>
          <w:tcPr>
            <w:tcW w:w="0" w:type="auto"/>
            <w:hideMark/>
          </w:tcPr>
          <w:p w14:paraId="16E1069C" w14:textId="77777777" w:rsidR="0098211A" w:rsidRPr="0098211A" w:rsidRDefault="0098211A" w:rsidP="00283655">
            <w:pPr>
              <w:spacing w:after="160"/>
              <w:jc w:val="center"/>
              <w:rPr>
                <w:rFonts w:ascii="Arial" w:hAnsi="Arial" w:cs="Arial"/>
                <w:sz w:val="20"/>
                <w:szCs w:val="20"/>
              </w:rPr>
            </w:pPr>
          </w:p>
        </w:tc>
      </w:tr>
      <w:tr w:rsidR="0098211A" w:rsidRPr="0098211A" w14:paraId="3C159C3C" w14:textId="77777777" w:rsidTr="0098211A">
        <w:tc>
          <w:tcPr>
            <w:tcW w:w="0" w:type="auto"/>
            <w:hideMark/>
          </w:tcPr>
          <w:p w14:paraId="65249342" w14:textId="77777777" w:rsidR="0098211A" w:rsidRPr="0098211A" w:rsidRDefault="0098211A" w:rsidP="00283655">
            <w:pPr>
              <w:spacing w:after="160"/>
              <w:rPr>
                <w:rFonts w:ascii="Arial" w:hAnsi="Arial" w:cs="Arial"/>
                <w:sz w:val="20"/>
                <w:szCs w:val="20"/>
              </w:rPr>
            </w:pPr>
          </w:p>
        </w:tc>
        <w:tc>
          <w:tcPr>
            <w:tcW w:w="0" w:type="auto"/>
            <w:hideMark/>
          </w:tcPr>
          <w:p w14:paraId="47323812"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TCC4</w:t>
            </w:r>
          </w:p>
        </w:tc>
        <w:tc>
          <w:tcPr>
            <w:tcW w:w="0" w:type="auto"/>
            <w:hideMark/>
          </w:tcPr>
          <w:p w14:paraId="6C9DF65C"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0.79</w:t>
            </w:r>
          </w:p>
        </w:tc>
        <w:tc>
          <w:tcPr>
            <w:tcW w:w="0" w:type="auto"/>
            <w:hideMark/>
          </w:tcPr>
          <w:p w14:paraId="03010FE0" w14:textId="77777777" w:rsidR="0098211A" w:rsidRPr="0098211A" w:rsidRDefault="0098211A" w:rsidP="00283655">
            <w:pPr>
              <w:spacing w:after="160"/>
              <w:jc w:val="center"/>
              <w:rPr>
                <w:rFonts w:ascii="Arial" w:hAnsi="Arial" w:cs="Arial"/>
                <w:sz w:val="20"/>
                <w:szCs w:val="20"/>
              </w:rPr>
            </w:pPr>
          </w:p>
        </w:tc>
        <w:tc>
          <w:tcPr>
            <w:tcW w:w="0" w:type="auto"/>
            <w:hideMark/>
          </w:tcPr>
          <w:p w14:paraId="5ACABFF1" w14:textId="77777777" w:rsidR="0098211A" w:rsidRPr="0098211A" w:rsidRDefault="0098211A" w:rsidP="00283655">
            <w:pPr>
              <w:spacing w:after="160"/>
              <w:jc w:val="center"/>
              <w:rPr>
                <w:rFonts w:ascii="Arial" w:hAnsi="Arial" w:cs="Arial"/>
                <w:sz w:val="20"/>
                <w:szCs w:val="20"/>
              </w:rPr>
            </w:pPr>
          </w:p>
        </w:tc>
        <w:tc>
          <w:tcPr>
            <w:tcW w:w="0" w:type="auto"/>
            <w:hideMark/>
          </w:tcPr>
          <w:p w14:paraId="2F3269E7" w14:textId="77777777" w:rsidR="0098211A" w:rsidRPr="0098211A" w:rsidRDefault="0098211A" w:rsidP="00283655">
            <w:pPr>
              <w:spacing w:after="160"/>
              <w:jc w:val="center"/>
              <w:rPr>
                <w:rFonts w:ascii="Arial" w:hAnsi="Arial" w:cs="Arial"/>
                <w:sz w:val="20"/>
                <w:szCs w:val="20"/>
              </w:rPr>
            </w:pPr>
          </w:p>
        </w:tc>
      </w:tr>
      <w:tr w:rsidR="0098211A" w:rsidRPr="0098211A" w14:paraId="58A82CDB" w14:textId="77777777" w:rsidTr="0098211A">
        <w:tc>
          <w:tcPr>
            <w:tcW w:w="0" w:type="auto"/>
            <w:hideMark/>
          </w:tcPr>
          <w:p w14:paraId="2417710E" w14:textId="77777777" w:rsidR="0098211A" w:rsidRPr="0098211A" w:rsidRDefault="0098211A" w:rsidP="00283655">
            <w:pPr>
              <w:spacing w:after="160"/>
              <w:rPr>
                <w:rFonts w:ascii="Arial" w:hAnsi="Arial" w:cs="Arial"/>
                <w:sz w:val="20"/>
                <w:szCs w:val="20"/>
              </w:rPr>
            </w:pPr>
          </w:p>
        </w:tc>
        <w:tc>
          <w:tcPr>
            <w:tcW w:w="0" w:type="auto"/>
            <w:hideMark/>
          </w:tcPr>
          <w:p w14:paraId="3258F5F6"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TCC5</w:t>
            </w:r>
          </w:p>
        </w:tc>
        <w:tc>
          <w:tcPr>
            <w:tcW w:w="0" w:type="auto"/>
            <w:hideMark/>
          </w:tcPr>
          <w:p w14:paraId="19E0A9F9"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0.74</w:t>
            </w:r>
          </w:p>
        </w:tc>
        <w:tc>
          <w:tcPr>
            <w:tcW w:w="0" w:type="auto"/>
            <w:hideMark/>
          </w:tcPr>
          <w:p w14:paraId="5AE5737F" w14:textId="77777777" w:rsidR="0098211A" w:rsidRPr="0098211A" w:rsidRDefault="0098211A" w:rsidP="00283655">
            <w:pPr>
              <w:spacing w:after="160"/>
              <w:jc w:val="center"/>
              <w:rPr>
                <w:rFonts w:ascii="Arial" w:hAnsi="Arial" w:cs="Arial"/>
                <w:sz w:val="20"/>
                <w:szCs w:val="20"/>
              </w:rPr>
            </w:pPr>
          </w:p>
        </w:tc>
        <w:tc>
          <w:tcPr>
            <w:tcW w:w="0" w:type="auto"/>
            <w:hideMark/>
          </w:tcPr>
          <w:p w14:paraId="2F8CB843" w14:textId="77777777" w:rsidR="0098211A" w:rsidRPr="0098211A" w:rsidRDefault="0098211A" w:rsidP="00283655">
            <w:pPr>
              <w:spacing w:after="160"/>
              <w:jc w:val="center"/>
              <w:rPr>
                <w:rFonts w:ascii="Arial" w:hAnsi="Arial" w:cs="Arial"/>
                <w:sz w:val="20"/>
                <w:szCs w:val="20"/>
              </w:rPr>
            </w:pPr>
          </w:p>
        </w:tc>
        <w:tc>
          <w:tcPr>
            <w:tcW w:w="0" w:type="auto"/>
            <w:hideMark/>
          </w:tcPr>
          <w:p w14:paraId="4485B61C" w14:textId="77777777" w:rsidR="0098211A" w:rsidRPr="0098211A" w:rsidRDefault="0098211A" w:rsidP="00283655">
            <w:pPr>
              <w:spacing w:after="160"/>
              <w:jc w:val="center"/>
              <w:rPr>
                <w:rFonts w:ascii="Arial" w:hAnsi="Arial" w:cs="Arial"/>
                <w:sz w:val="20"/>
                <w:szCs w:val="20"/>
              </w:rPr>
            </w:pPr>
          </w:p>
        </w:tc>
      </w:tr>
      <w:tr w:rsidR="0098211A" w:rsidRPr="0098211A" w14:paraId="258637BC" w14:textId="77777777" w:rsidTr="0098211A">
        <w:tc>
          <w:tcPr>
            <w:tcW w:w="0" w:type="auto"/>
            <w:hideMark/>
          </w:tcPr>
          <w:p w14:paraId="46CDC1D9" w14:textId="77777777" w:rsidR="0098211A" w:rsidRPr="0098211A" w:rsidRDefault="0098211A" w:rsidP="00283655">
            <w:pPr>
              <w:spacing w:after="160"/>
              <w:rPr>
                <w:rFonts w:ascii="Arial" w:hAnsi="Arial" w:cs="Arial"/>
                <w:sz w:val="20"/>
                <w:szCs w:val="20"/>
              </w:rPr>
            </w:pPr>
            <w:r w:rsidRPr="0098211A">
              <w:rPr>
                <w:rFonts w:ascii="Arial" w:hAnsi="Arial" w:cs="Arial"/>
                <w:sz w:val="20"/>
                <w:szCs w:val="20"/>
              </w:rPr>
              <w:t>Loading and Curbside Infrastructure Constraint (LCIC)</w:t>
            </w:r>
          </w:p>
        </w:tc>
        <w:tc>
          <w:tcPr>
            <w:tcW w:w="0" w:type="auto"/>
            <w:hideMark/>
          </w:tcPr>
          <w:p w14:paraId="5E927813"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LCIC1</w:t>
            </w:r>
          </w:p>
        </w:tc>
        <w:tc>
          <w:tcPr>
            <w:tcW w:w="0" w:type="auto"/>
            <w:hideMark/>
          </w:tcPr>
          <w:p w14:paraId="34154D5D"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0.73</w:t>
            </w:r>
          </w:p>
        </w:tc>
        <w:tc>
          <w:tcPr>
            <w:tcW w:w="0" w:type="auto"/>
            <w:hideMark/>
          </w:tcPr>
          <w:p w14:paraId="3045C82C"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0.88</w:t>
            </w:r>
          </w:p>
        </w:tc>
        <w:tc>
          <w:tcPr>
            <w:tcW w:w="0" w:type="auto"/>
            <w:hideMark/>
          </w:tcPr>
          <w:p w14:paraId="001CFC3B"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0.88</w:t>
            </w:r>
          </w:p>
        </w:tc>
        <w:tc>
          <w:tcPr>
            <w:tcW w:w="0" w:type="auto"/>
            <w:hideMark/>
          </w:tcPr>
          <w:p w14:paraId="73051868"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0.59</w:t>
            </w:r>
          </w:p>
        </w:tc>
      </w:tr>
      <w:tr w:rsidR="0098211A" w:rsidRPr="0098211A" w14:paraId="50F58A39" w14:textId="77777777" w:rsidTr="0098211A">
        <w:tc>
          <w:tcPr>
            <w:tcW w:w="0" w:type="auto"/>
            <w:hideMark/>
          </w:tcPr>
          <w:p w14:paraId="2914E304" w14:textId="77777777" w:rsidR="0098211A" w:rsidRPr="0098211A" w:rsidRDefault="0098211A" w:rsidP="00283655">
            <w:pPr>
              <w:spacing w:after="160"/>
              <w:rPr>
                <w:rFonts w:ascii="Arial" w:hAnsi="Arial" w:cs="Arial"/>
                <w:sz w:val="20"/>
                <w:szCs w:val="20"/>
              </w:rPr>
            </w:pPr>
          </w:p>
        </w:tc>
        <w:tc>
          <w:tcPr>
            <w:tcW w:w="0" w:type="auto"/>
            <w:hideMark/>
          </w:tcPr>
          <w:p w14:paraId="2155E161"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LCIC2</w:t>
            </w:r>
          </w:p>
        </w:tc>
        <w:tc>
          <w:tcPr>
            <w:tcW w:w="0" w:type="auto"/>
            <w:hideMark/>
          </w:tcPr>
          <w:p w14:paraId="76B4004E"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0.77</w:t>
            </w:r>
          </w:p>
        </w:tc>
        <w:tc>
          <w:tcPr>
            <w:tcW w:w="0" w:type="auto"/>
            <w:hideMark/>
          </w:tcPr>
          <w:p w14:paraId="727CA7C5" w14:textId="77777777" w:rsidR="0098211A" w:rsidRPr="0098211A" w:rsidRDefault="0098211A" w:rsidP="00283655">
            <w:pPr>
              <w:spacing w:after="160"/>
              <w:jc w:val="center"/>
              <w:rPr>
                <w:rFonts w:ascii="Arial" w:hAnsi="Arial" w:cs="Arial"/>
                <w:sz w:val="20"/>
                <w:szCs w:val="20"/>
              </w:rPr>
            </w:pPr>
          </w:p>
        </w:tc>
        <w:tc>
          <w:tcPr>
            <w:tcW w:w="0" w:type="auto"/>
            <w:hideMark/>
          </w:tcPr>
          <w:p w14:paraId="333D1F16" w14:textId="77777777" w:rsidR="0098211A" w:rsidRPr="0098211A" w:rsidRDefault="0098211A" w:rsidP="00283655">
            <w:pPr>
              <w:spacing w:after="160"/>
              <w:jc w:val="center"/>
              <w:rPr>
                <w:rFonts w:ascii="Arial" w:hAnsi="Arial" w:cs="Arial"/>
                <w:sz w:val="20"/>
                <w:szCs w:val="20"/>
              </w:rPr>
            </w:pPr>
          </w:p>
        </w:tc>
        <w:tc>
          <w:tcPr>
            <w:tcW w:w="0" w:type="auto"/>
            <w:hideMark/>
          </w:tcPr>
          <w:p w14:paraId="4ADE65D5" w14:textId="77777777" w:rsidR="0098211A" w:rsidRPr="0098211A" w:rsidRDefault="0098211A" w:rsidP="00283655">
            <w:pPr>
              <w:spacing w:after="160"/>
              <w:jc w:val="center"/>
              <w:rPr>
                <w:rFonts w:ascii="Arial" w:hAnsi="Arial" w:cs="Arial"/>
                <w:sz w:val="20"/>
                <w:szCs w:val="20"/>
              </w:rPr>
            </w:pPr>
          </w:p>
        </w:tc>
      </w:tr>
      <w:tr w:rsidR="0098211A" w:rsidRPr="0098211A" w14:paraId="1E33D2AC" w14:textId="77777777" w:rsidTr="0098211A">
        <w:tc>
          <w:tcPr>
            <w:tcW w:w="0" w:type="auto"/>
            <w:hideMark/>
          </w:tcPr>
          <w:p w14:paraId="76C4917C" w14:textId="77777777" w:rsidR="0098211A" w:rsidRPr="0098211A" w:rsidRDefault="0098211A" w:rsidP="00283655">
            <w:pPr>
              <w:spacing w:after="160"/>
              <w:rPr>
                <w:rFonts w:ascii="Arial" w:hAnsi="Arial" w:cs="Arial"/>
                <w:sz w:val="20"/>
                <w:szCs w:val="20"/>
              </w:rPr>
            </w:pPr>
          </w:p>
        </w:tc>
        <w:tc>
          <w:tcPr>
            <w:tcW w:w="0" w:type="auto"/>
            <w:hideMark/>
          </w:tcPr>
          <w:p w14:paraId="6E0E27A6"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LCIC3</w:t>
            </w:r>
          </w:p>
        </w:tc>
        <w:tc>
          <w:tcPr>
            <w:tcW w:w="0" w:type="auto"/>
            <w:hideMark/>
          </w:tcPr>
          <w:p w14:paraId="3013F0D5"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0.81</w:t>
            </w:r>
          </w:p>
        </w:tc>
        <w:tc>
          <w:tcPr>
            <w:tcW w:w="0" w:type="auto"/>
            <w:hideMark/>
          </w:tcPr>
          <w:p w14:paraId="080AFA04" w14:textId="77777777" w:rsidR="0098211A" w:rsidRPr="0098211A" w:rsidRDefault="0098211A" w:rsidP="00283655">
            <w:pPr>
              <w:spacing w:after="160"/>
              <w:jc w:val="center"/>
              <w:rPr>
                <w:rFonts w:ascii="Arial" w:hAnsi="Arial" w:cs="Arial"/>
                <w:sz w:val="20"/>
                <w:szCs w:val="20"/>
              </w:rPr>
            </w:pPr>
          </w:p>
        </w:tc>
        <w:tc>
          <w:tcPr>
            <w:tcW w:w="0" w:type="auto"/>
            <w:hideMark/>
          </w:tcPr>
          <w:p w14:paraId="28262EBE" w14:textId="77777777" w:rsidR="0098211A" w:rsidRPr="0098211A" w:rsidRDefault="0098211A" w:rsidP="00283655">
            <w:pPr>
              <w:spacing w:after="160"/>
              <w:jc w:val="center"/>
              <w:rPr>
                <w:rFonts w:ascii="Arial" w:hAnsi="Arial" w:cs="Arial"/>
                <w:sz w:val="20"/>
                <w:szCs w:val="20"/>
              </w:rPr>
            </w:pPr>
          </w:p>
        </w:tc>
        <w:tc>
          <w:tcPr>
            <w:tcW w:w="0" w:type="auto"/>
            <w:hideMark/>
          </w:tcPr>
          <w:p w14:paraId="5BDBE6D8" w14:textId="77777777" w:rsidR="0098211A" w:rsidRPr="0098211A" w:rsidRDefault="0098211A" w:rsidP="00283655">
            <w:pPr>
              <w:spacing w:after="160"/>
              <w:jc w:val="center"/>
              <w:rPr>
                <w:rFonts w:ascii="Arial" w:hAnsi="Arial" w:cs="Arial"/>
                <w:sz w:val="20"/>
                <w:szCs w:val="20"/>
              </w:rPr>
            </w:pPr>
          </w:p>
        </w:tc>
      </w:tr>
      <w:tr w:rsidR="0098211A" w:rsidRPr="0098211A" w14:paraId="7DFC4732" w14:textId="77777777" w:rsidTr="0098211A">
        <w:tc>
          <w:tcPr>
            <w:tcW w:w="0" w:type="auto"/>
            <w:hideMark/>
          </w:tcPr>
          <w:p w14:paraId="4525E108" w14:textId="77777777" w:rsidR="0098211A" w:rsidRPr="0098211A" w:rsidRDefault="0098211A" w:rsidP="00283655">
            <w:pPr>
              <w:spacing w:after="160"/>
              <w:rPr>
                <w:rFonts w:ascii="Arial" w:hAnsi="Arial" w:cs="Arial"/>
                <w:sz w:val="20"/>
                <w:szCs w:val="20"/>
              </w:rPr>
            </w:pPr>
          </w:p>
        </w:tc>
        <w:tc>
          <w:tcPr>
            <w:tcW w:w="0" w:type="auto"/>
            <w:hideMark/>
          </w:tcPr>
          <w:p w14:paraId="5936D3DC"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LCIC4</w:t>
            </w:r>
          </w:p>
        </w:tc>
        <w:tc>
          <w:tcPr>
            <w:tcW w:w="0" w:type="auto"/>
            <w:hideMark/>
          </w:tcPr>
          <w:p w14:paraId="276A849A"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0.75</w:t>
            </w:r>
          </w:p>
        </w:tc>
        <w:tc>
          <w:tcPr>
            <w:tcW w:w="0" w:type="auto"/>
            <w:hideMark/>
          </w:tcPr>
          <w:p w14:paraId="3C6DCE14" w14:textId="77777777" w:rsidR="0098211A" w:rsidRPr="0098211A" w:rsidRDefault="0098211A" w:rsidP="00283655">
            <w:pPr>
              <w:spacing w:after="160"/>
              <w:jc w:val="center"/>
              <w:rPr>
                <w:rFonts w:ascii="Arial" w:hAnsi="Arial" w:cs="Arial"/>
                <w:sz w:val="20"/>
                <w:szCs w:val="20"/>
              </w:rPr>
            </w:pPr>
          </w:p>
        </w:tc>
        <w:tc>
          <w:tcPr>
            <w:tcW w:w="0" w:type="auto"/>
            <w:hideMark/>
          </w:tcPr>
          <w:p w14:paraId="5B87AFB4" w14:textId="77777777" w:rsidR="0098211A" w:rsidRPr="0098211A" w:rsidRDefault="0098211A" w:rsidP="00283655">
            <w:pPr>
              <w:spacing w:after="160"/>
              <w:jc w:val="center"/>
              <w:rPr>
                <w:rFonts w:ascii="Arial" w:hAnsi="Arial" w:cs="Arial"/>
                <w:sz w:val="20"/>
                <w:szCs w:val="20"/>
              </w:rPr>
            </w:pPr>
          </w:p>
        </w:tc>
        <w:tc>
          <w:tcPr>
            <w:tcW w:w="0" w:type="auto"/>
            <w:hideMark/>
          </w:tcPr>
          <w:p w14:paraId="7F6C6F71" w14:textId="77777777" w:rsidR="0098211A" w:rsidRPr="0098211A" w:rsidRDefault="0098211A" w:rsidP="00283655">
            <w:pPr>
              <w:spacing w:after="160"/>
              <w:jc w:val="center"/>
              <w:rPr>
                <w:rFonts w:ascii="Arial" w:hAnsi="Arial" w:cs="Arial"/>
                <w:sz w:val="20"/>
                <w:szCs w:val="20"/>
              </w:rPr>
            </w:pPr>
          </w:p>
        </w:tc>
      </w:tr>
      <w:tr w:rsidR="0098211A" w:rsidRPr="0098211A" w14:paraId="2F1943CD" w14:textId="77777777" w:rsidTr="0098211A">
        <w:tc>
          <w:tcPr>
            <w:tcW w:w="0" w:type="auto"/>
            <w:hideMark/>
          </w:tcPr>
          <w:p w14:paraId="524440D3" w14:textId="77777777" w:rsidR="0098211A" w:rsidRPr="0098211A" w:rsidRDefault="0098211A" w:rsidP="00283655">
            <w:pPr>
              <w:spacing w:after="160"/>
              <w:rPr>
                <w:rFonts w:ascii="Arial" w:hAnsi="Arial" w:cs="Arial"/>
                <w:sz w:val="20"/>
                <w:szCs w:val="20"/>
              </w:rPr>
            </w:pPr>
          </w:p>
        </w:tc>
        <w:tc>
          <w:tcPr>
            <w:tcW w:w="0" w:type="auto"/>
            <w:hideMark/>
          </w:tcPr>
          <w:p w14:paraId="1F77BBA4"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LCIC5</w:t>
            </w:r>
          </w:p>
        </w:tc>
        <w:tc>
          <w:tcPr>
            <w:tcW w:w="0" w:type="auto"/>
            <w:hideMark/>
          </w:tcPr>
          <w:p w14:paraId="4F664603"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0.71</w:t>
            </w:r>
          </w:p>
        </w:tc>
        <w:tc>
          <w:tcPr>
            <w:tcW w:w="0" w:type="auto"/>
            <w:hideMark/>
          </w:tcPr>
          <w:p w14:paraId="2198CD37" w14:textId="77777777" w:rsidR="0098211A" w:rsidRPr="0098211A" w:rsidRDefault="0098211A" w:rsidP="00283655">
            <w:pPr>
              <w:spacing w:after="160"/>
              <w:jc w:val="center"/>
              <w:rPr>
                <w:rFonts w:ascii="Arial" w:hAnsi="Arial" w:cs="Arial"/>
                <w:sz w:val="20"/>
                <w:szCs w:val="20"/>
              </w:rPr>
            </w:pPr>
          </w:p>
        </w:tc>
        <w:tc>
          <w:tcPr>
            <w:tcW w:w="0" w:type="auto"/>
            <w:hideMark/>
          </w:tcPr>
          <w:p w14:paraId="7E056E93" w14:textId="77777777" w:rsidR="0098211A" w:rsidRPr="0098211A" w:rsidRDefault="0098211A" w:rsidP="00283655">
            <w:pPr>
              <w:spacing w:after="160"/>
              <w:jc w:val="center"/>
              <w:rPr>
                <w:rFonts w:ascii="Arial" w:hAnsi="Arial" w:cs="Arial"/>
                <w:sz w:val="20"/>
                <w:szCs w:val="20"/>
              </w:rPr>
            </w:pPr>
          </w:p>
        </w:tc>
        <w:tc>
          <w:tcPr>
            <w:tcW w:w="0" w:type="auto"/>
            <w:hideMark/>
          </w:tcPr>
          <w:p w14:paraId="316FF510" w14:textId="77777777" w:rsidR="0098211A" w:rsidRPr="0098211A" w:rsidRDefault="0098211A" w:rsidP="00283655">
            <w:pPr>
              <w:spacing w:after="160"/>
              <w:jc w:val="center"/>
              <w:rPr>
                <w:rFonts w:ascii="Arial" w:hAnsi="Arial" w:cs="Arial"/>
                <w:sz w:val="20"/>
                <w:szCs w:val="20"/>
              </w:rPr>
            </w:pPr>
          </w:p>
        </w:tc>
      </w:tr>
      <w:tr w:rsidR="0098211A" w:rsidRPr="0098211A" w14:paraId="6BA93A3E" w14:textId="77777777" w:rsidTr="0098211A">
        <w:tc>
          <w:tcPr>
            <w:tcW w:w="0" w:type="auto"/>
            <w:hideMark/>
          </w:tcPr>
          <w:p w14:paraId="774AD2E8" w14:textId="77777777" w:rsidR="0098211A" w:rsidRPr="0098211A" w:rsidRDefault="0098211A" w:rsidP="00283655">
            <w:pPr>
              <w:spacing w:after="160"/>
              <w:rPr>
                <w:rFonts w:ascii="Arial" w:hAnsi="Arial" w:cs="Arial"/>
                <w:sz w:val="20"/>
                <w:szCs w:val="20"/>
              </w:rPr>
            </w:pPr>
            <w:r w:rsidRPr="0098211A">
              <w:rPr>
                <w:rFonts w:ascii="Arial" w:hAnsi="Arial" w:cs="Arial"/>
                <w:sz w:val="20"/>
                <w:szCs w:val="20"/>
              </w:rPr>
              <w:t>Regulatory and Access Restriction Constraint (RARC)</w:t>
            </w:r>
          </w:p>
        </w:tc>
        <w:tc>
          <w:tcPr>
            <w:tcW w:w="0" w:type="auto"/>
            <w:hideMark/>
          </w:tcPr>
          <w:p w14:paraId="0C89FA68"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RARC1</w:t>
            </w:r>
          </w:p>
        </w:tc>
        <w:tc>
          <w:tcPr>
            <w:tcW w:w="0" w:type="auto"/>
            <w:hideMark/>
          </w:tcPr>
          <w:p w14:paraId="24581F74"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0.79</w:t>
            </w:r>
          </w:p>
        </w:tc>
        <w:tc>
          <w:tcPr>
            <w:tcW w:w="0" w:type="auto"/>
            <w:hideMark/>
          </w:tcPr>
          <w:p w14:paraId="63BB7D68"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0.90</w:t>
            </w:r>
          </w:p>
        </w:tc>
        <w:tc>
          <w:tcPr>
            <w:tcW w:w="0" w:type="auto"/>
            <w:hideMark/>
          </w:tcPr>
          <w:p w14:paraId="2AC6D793"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0.90</w:t>
            </w:r>
          </w:p>
        </w:tc>
        <w:tc>
          <w:tcPr>
            <w:tcW w:w="0" w:type="auto"/>
            <w:hideMark/>
          </w:tcPr>
          <w:p w14:paraId="2948DF3F"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0.64</w:t>
            </w:r>
          </w:p>
        </w:tc>
      </w:tr>
      <w:tr w:rsidR="0098211A" w:rsidRPr="0098211A" w14:paraId="704979F3" w14:textId="77777777" w:rsidTr="0098211A">
        <w:tc>
          <w:tcPr>
            <w:tcW w:w="0" w:type="auto"/>
            <w:hideMark/>
          </w:tcPr>
          <w:p w14:paraId="562C4BDE" w14:textId="77777777" w:rsidR="0098211A" w:rsidRPr="0098211A" w:rsidRDefault="0098211A" w:rsidP="00283655">
            <w:pPr>
              <w:spacing w:after="160"/>
              <w:rPr>
                <w:rFonts w:ascii="Arial" w:hAnsi="Arial" w:cs="Arial"/>
                <w:sz w:val="20"/>
                <w:szCs w:val="20"/>
              </w:rPr>
            </w:pPr>
          </w:p>
        </w:tc>
        <w:tc>
          <w:tcPr>
            <w:tcW w:w="0" w:type="auto"/>
            <w:hideMark/>
          </w:tcPr>
          <w:p w14:paraId="7C675A7D"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RARC2</w:t>
            </w:r>
          </w:p>
        </w:tc>
        <w:tc>
          <w:tcPr>
            <w:tcW w:w="0" w:type="auto"/>
            <w:hideMark/>
          </w:tcPr>
          <w:p w14:paraId="24075B42"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0.83</w:t>
            </w:r>
          </w:p>
        </w:tc>
        <w:tc>
          <w:tcPr>
            <w:tcW w:w="0" w:type="auto"/>
            <w:hideMark/>
          </w:tcPr>
          <w:p w14:paraId="4944B18B" w14:textId="77777777" w:rsidR="0098211A" w:rsidRPr="0098211A" w:rsidRDefault="0098211A" w:rsidP="00283655">
            <w:pPr>
              <w:spacing w:after="160"/>
              <w:jc w:val="center"/>
              <w:rPr>
                <w:rFonts w:ascii="Arial" w:hAnsi="Arial" w:cs="Arial"/>
                <w:sz w:val="20"/>
                <w:szCs w:val="20"/>
              </w:rPr>
            </w:pPr>
          </w:p>
        </w:tc>
        <w:tc>
          <w:tcPr>
            <w:tcW w:w="0" w:type="auto"/>
            <w:hideMark/>
          </w:tcPr>
          <w:p w14:paraId="6B5BEEAB" w14:textId="77777777" w:rsidR="0098211A" w:rsidRPr="0098211A" w:rsidRDefault="0098211A" w:rsidP="00283655">
            <w:pPr>
              <w:spacing w:after="160"/>
              <w:jc w:val="center"/>
              <w:rPr>
                <w:rFonts w:ascii="Arial" w:hAnsi="Arial" w:cs="Arial"/>
                <w:sz w:val="20"/>
                <w:szCs w:val="20"/>
              </w:rPr>
            </w:pPr>
          </w:p>
        </w:tc>
        <w:tc>
          <w:tcPr>
            <w:tcW w:w="0" w:type="auto"/>
            <w:hideMark/>
          </w:tcPr>
          <w:p w14:paraId="40E019C5" w14:textId="77777777" w:rsidR="0098211A" w:rsidRPr="0098211A" w:rsidRDefault="0098211A" w:rsidP="00283655">
            <w:pPr>
              <w:spacing w:after="160"/>
              <w:jc w:val="center"/>
              <w:rPr>
                <w:rFonts w:ascii="Arial" w:hAnsi="Arial" w:cs="Arial"/>
                <w:sz w:val="20"/>
                <w:szCs w:val="20"/>
              </w:rPr>
            </w:pPr>
          </w:p>
        </w:tc>
      </w:tr>
      <w:tr w:rsidR="0098211A" w:rsidRPr="0098211A" w14:paraId="50036EA7" w14:textId="77777777" w:rsidTr="0098211A">
        <w:tc>
          <w:tcPr>
            <w:tcW w:w="0" w:type="auto"/>
            <w:hideMark/>
          </w:tcPr>
          <w:p w14:paraId="4DD841E2" w14:textId="77777777" w:rsidR="0098211A" w:rsidRPr="0098211A" w:rsidRDefault="0098211A" w:rsidP="00283655">
            <w:pPr>
              <w:spacing w:after="160"/>
              <w:rPr>
                <w:rFonts w:ascii="Arial" w:hAnsi="Arial" w:cs="Arial"/>
                <w:sz w:val="20"/>
                <w:szCs w:val="20"/>
              </w:rPr>
            </w:pPr>
          </w:p>
        </w:tc>
        <w:tc>
          <w:tcPr>
            <w:tcW w:w="0" w:type="auto"/>
            <w:hideMark/>
          </w:tcPr>
          <w:p w14:paraId="7C645670"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RARC3</w:t>
            </w:r>
          </w:p>
        </w:tc>
        <w:tc>
          <w:tcPr>
            <w:tcW w:w="0" w:type="auto"/>
            <w:hideMark/>
          </w:tcPr>
          <w:p w14:paraId="3054F0A3"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0.78</w:t>
            </w:r>
          </w:p>
        </w:tc>
        <w:tc>
          <w:tcPr>
            <w:tcW w:w="0" w:type="auto"/>
            <w:hideMark/>
          </w:tcPr>
          <w:p w14:paraId="45A0710F" w14:textId="77777777" w:rsidR="0098211A" w:rsidRPr="0098211A" w:rsidRDefault="0098211A" w:rsidP="00283655">
            <w:pPr>
              <w:spacing w:after="160"/>
              <w:jc w:val="center"/>
              <w:rPr>
                <w:rFonts w:ascii="Arial" w:hAnsi="Arial" w:cs="Arial"/>
                <w:sz w:val="20"/>
                <w:szCs w:val="20"/>
              </w:rPr>
            </w:pPr>
          </w:p>
        </w:tc>
        <w:tc>
          <w:tcPr>
            <w:tcW w:w="0" w:type="auto"/>
            <w:hideMark/>
          </w:tcPr>
          <w:p w14:paraId="371E301B" w14:textId="77777777" w:rsidR="0098211A" w:rsidRPr="0098211A" w:rsidRDefault="0098211A" w:rsidP="00283655">
            <w:pPr>
              <w:spacing w:after="160"/>
              <w:jc w:val="center"/>
              <w:rPr>
                <w:rFonts w:ascii="Arial" w:hAnsi="Arial" w:cs="Arial"/>
                <w:sz w:val="20"/>
                <w:szCs w:val="20"/>
              </w:rPr>
            </w:pPr>
          </w:p>
        </w:tc>
        <w:tc>
          <w:tcPr>
            <w:tcW w:w="0" w:type="auto"/>
            <w:hideMark/>
          </w:tcPr>
          <w:p w14:paraId="1C28459E" w14:textId="77777777" w:rsidR="0098211A" w:rsidRPr="0098211A" w:rsidRDefault="0098211A" w:rsidP="00283655">
            <w:pPr>
              <w:spacing w:after="160"/>
              <w:jc w:val="center"/>
              <w:rPr>
                <w:rFonts w:ascii="Arial" w:hAnsi="Arial" w:cs="Arial"/>
                <w:sz w:val="20"/>
                <w:szCs w:val="20"/>
              </w:rPr>
            </w:pPr>
          </w:p>
        </w:tc>
      </w:tr>
      <w:tr w:rsidR="0098211A" w:rsidRPr="0098211A" w14:paraId="2EBA9917" w14:textId="77777777" w:rsidTr="0098211A">
        <w:tc>
          <w:tcPr>
            <w:tcW w:w="0" w:type="auto"/>
            <w:hideMark/>
          </w:tcPr>
          <w:p w14:paraId="2EB8D59C" w14:textId="77777777" w:rsidR="0098211A" w:rsidRPr="0098211A" w:rsidRDefault="0098211A" w:rsidP="00283655">
            <w:pPr>
              <w:spacing w:after="160"/>
              <w:rPr>
                <w:rFonts w:ascii="Arial" w:hAnsi="Arial" w:cs="Arial"/>
                <w:sz w:val="20"/>
                <w:szCs w:val="20"/>
              </w:rPr>
            </w:pPr>
          </w:p>
        </w:tc>
        <w:tc>
          <w:tcPr>
            <w:tcW w:w="0" w:type="auto"/>
            <w:hideMark/>
          </w:tcPr>
          <w:p w14:paraId="03E78C74"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RARC4</w:t>
            </w:r>
          </w:p>
        </w:tc>
        <w:tc>
          <w:tcPr>
            <w:tcW w:w="0" w:type="auto"/>
            <w:hideMark/>
          </w:tcPr>
          <w:p w14:paraId="6503FC41"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0.80</w:t>
            </w:r>
          </w:p>
        </w:tc>
        <w:tc>
          <w:tcPr>
            <w:tcW w:w="0" w:type="auto"/>
            <w:hideMark/>
          </w:tcPr>
          <w:p w14:paraId="64F139B4" w14:textId="77777777" w:rsidR="0098211A" w:rsidRPr="0098211A" w:rsidRDefault="0098211A" w:rsidP="00283655">
            <w:pPr>
              <w:spacing w:after="160"/>
              <w:jc w:val="center"/>
              <w:rPr>
                <w:rFonts w:ascii="Arial" w:hAnsi="Arial" w:cs="Arial"/>
                <w:sz w:val="20"/>
                <w:szCs w:val="20"/>
              </w:rPr>
            </w:pPr>
          </w:p>
        </w:tc>
        <w:tc>
          <w:tcPr>
            <w:tcW w:w="0" w:type="auto"/>
            <w:hideMark/>
          </w:tcPr>
          <w:p w14:paraId="153FA468" w14:textId="77777777" w:rsidR="0098211A" w:rsidRPr="0098211A" w:rsidRDefault="0098211A" w:rsidP="00283655">
            <w:pPr>
              <w:spacing w:after="160"/>
              <w:jc w:val="center"/>
              <w:rPr>
                <w:rFonts w:ascii="Arial" w:hAnsi="Arial" w:cs="Arial"/>
                <w:sz w:val="20"/>
                <w:szCs w:val="20"/>
              </w:rPr>
            </w:pPr>
          </w:p>
        </w:tc>
        <w:tc>
          <w:tcPr>
            <w:tcW w:w="0" w:type="auto"/>
            <w:hideMark/>
          </w:tcPr>
          <w:p w14:paraId="4592E07B" w14:textId="77777777" w:rsidR="0098211A" w:rsidRPr="0098211A" w:rsidRDefault="0098211A" w:rsidP="00283655">
            <w:pPr>
              <w:spacing w:after="160"/>
              <w:jc w:val="center"/>
              <w:rPr>
                <w:rFonts w:ascii="Arial" w:hAnsi="Arial" w:cs="Arial"/>
                <w:sz w:val="20"/>
                <w:szCs w:val="20"/>
              </w:rPr>
            </w:pPr>
          </w:p>
        </w:tc>
      </w:tr>
      <w:tr w:rsidR="0098211A" w:rsidRPr="0098211A" w14:paraId="22429464" w14:textId="77777777" w:rsidTr="0098211A">
        <w:tc>
          <w:tcPr>
            <w:tcW w:w="0" w:type="auto"/>
            <w:hideMark/>
          </w:tcPr>
          <w:p w14:paraId="478FC8FE" w14:textId="77777777" w:rsidR="0098211A" w:rsidRPr="0098211A" w:rsidRDefault="0098211A" w:rsidP="00283655">
            <w:pPr>
              <w:spacing w:after="160"/>
              <w:rPr>
                <w:rFonts w:ascii="Arial" w:hAnsi="Arial" w:cs="Arial"/>
                <w:sz w:val="20"/>
                <w:szCs w:val="20"/>
              </w:rPr>
            </w:pPr>
          </w:p>
        </w:tc>
        <w:tc>
          <w:tcPr>
            <w:tcW w:w="0" w:type="auto"/>
            <w:hideMark/>
          </w:tcPr>
          <w:p w14:paraId="721E969B"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RARC5</w:t>
            </w:r>
          </w:p>
        </w:tc>
        <w:tc>
          <w:tcPr>
            <w:tcW w:w="0" w:type="auto"/>
            <w:hideMark/>
          </w:tcPr>
          <w:p w14:paraId="1A84AC73"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0.75</w:t>
            </w:r>
          </w:p>
        </w:tc>
        <w:tc>
          <w:tcPr>
            <w:tcW w:w="0" w:type="auto"/>
            <w:hideMark/>
          </w:tcPr>
          <w:p w14:paraId="6ED8803B" w14:textId="77777777" w:rsidR="0098211A" w:rsidRPr="0098211A" w:rsidRDefault="0098211A" w:rsidP="00283655">
            <w:pPr>
              <w:spacing w:after="160"/>
              <w:jc w:val="center"/>
              <w:rPr>
                <w:rFonts w:ascii="Arial" w:hAnsi="Arial" w:cs="Arial"/>
                <w:sz w:val="20"/>
                <w:szCs w:val="20"/>
              </w:rPr>
            </w:pPr>
          </w:p>
        </w:tc>
        <w:tc>
          <w:tcPr>
            <w:tcW w:w="0" w:type="auto"/>
            <w:hideMark/>
          </w:tcPr>
          <w:p w14:paraId="02BC4A14" w14:textId="77777777" w:rsidR="0098211A" w:rsidRPr="0098211A" w:rsidRDefault="0098211A" w:rsidP="00283655">
            <w:pPr>
              <w:spacing w:after="160"/>
              <w:jc w:val="center"/>
              <w:rPr>
                <w:rFonts w:ascii="Arial" w:hAnsi="Arial" w:cs="Arial"/>
                <w:sz w:val="20"/>
                <w:szCs w:val="20"/>
              </w:rPr>
            </w:pPr>
          </w:p>
        </w:tc>
        <w:tc>
          <w:tcPr>
            <w:tcW w:w="0" w:type="auto"/>
            <w:hideMark/>
          </w:tcPr>
          <w:p w14:paraId="0C729173" w14:textId="77777777" w:rsidR="0098211A" w:rsidRPr="0098211A" w:rsidRDefault="0098211A" w:rsidP="00283655">
            <w:pPr>
              <w:spacing w:after="160"/>
              <w:jc w:val="center"/>
              <w:rPr>
                <w:rFonts w:ascii="Arial" w:hAnsi="Arial" w:cs="Arial"/>
                <w:sz w:val="20"/>
                <w:szCs w:val="20"/>
              </w:rPr>
            </w:pPr>
          </w:p>
        </w:tc>
      </w:tr>
      <w:tr w:rsidR="0098211A" w:rsidRPr="0098211A" w14:paraId="6E8E2C42" w14:textId="77777777" w:rsidTr="0098211A">
        <w:tc>
          <w:tcPr>
            <w:tcW w:w="0" w:type="auto"/>
            <w:hideMark/>
          </w:tcPr>
          <w:p w14:paraId="6F437FDB" w14:textId="77777777" w:rsidR="0098211A" w:rsidRPr="0098211A" w:rsidRDefault="0098211A" w:rsidP="00283655">
            <w:pPr>
              <w:spacing w:after="160"/>
              <w:rPr>
                <w:rFonts w:ascii="Arial" w:hAnsi="Arial" w:cs="Arial"/>
                <w:sz w:val="20"/>
                <w:szCs w:val="20"/>
              </w:rPr>
            </w:pPr>
            <w:r w:rsidRPr="0098211A">
              <w:rPr>
                <w:rFonts w:ascii="Arial" w:hAnsi="Arial" w:cs="Arial"/>
                <w:sz w:val="20"/>
                <w:szCs w:val="20"/>
              </w:rPr>
              <w:t>Network Fragmentation and ICT Constraint (NFIC)</w:t>
            </w:r>
          </w:p>
        </w:tc>
        <w:tc>
          <w:tcPr>
            <w:tcW w:w="0" w:type="auto"/>
            <w:hideMark/>
          </w:tcPr>
          <w:p w14:paraId="0B8CE6B7"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NFIC1</w:t>
            </w:r>
          </w:p>
        </w:tc>
        <w:tc>
          <w:tcPr>
            <w:tcW w:w="0" w:type="auto"/>
            <w:hideMark/>
          </w:tcPr>
          <w:p w14:paraId="377BB6CC"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0.74</w:t>
            </w:r>
          </w:p>
        </w:tc>
        <w:tc>
          <w:tcPr>
            <w:tcW w:w="0" w:type="auto"/>
            <w:hideMark/>
          </w:tcPr>
          <w:p w14:paraId="2020926B"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0.87</w:t>
            </w:r>
          </w:p>
        </w:tc>
        <w:tc>
          <w:tcPr>
            <w:tcW w:w="0" w:type="auto"/>
            <w:hideMark/>
          </w:tcPr>
          <w:p w14:paraId="1C9DD256"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0.87</w:t>
            </w:r>
          </w:p>
        </w:tc>
        <w:tc>
          <w:tcPr>
            <w:tcW w:w="0" w:type="auto"/>
            <w:hideMark/>
          </w:tcPr>
          <w:p w14:paraId="6D9B014F"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0.58</w:t>
            </w:r>
          </w:p>
        </w:tc>
      </w:tr>
      <w:tr w:rsidR="0098211A" w:rsidRPr="0098211A" w14:paraId="1B609501" w14:textId="77777777" w:rsidTr="0098211A">
        <w:tc>
          <w:tcPr>
            <w:tcW w:w="0" w:type="auto"/>
            <w:hideMark/>
          </w:tcPr>
          <w:p w14:paraId="5F44C3DB" w14:textId="77777777" w:rsidR="0098211A" w:rsidRPr="0098211A" w:rsidRDefault="0098211A" w:rsidP="00283655">
            <w:pPr>
              <w:spacing w:after="160"/>
              <w:rPr>
                <w:rFonts w:ascii="Arial" w:hAnsi="Arial" w:cs="Arial"/>
                <w:sz w:val="20"/>
                <w:szCs w:val="20"/>
              </w:rPr>
            </w:pPr>
          </w:p>
        </w:tc>
        <w:tc>
          <w:tcPr>
            <w:tcW w:w="0" w:type="auto"/>
            <w:hideMark/>
          </w:tcPr>
          <w:p w14:paraId="6C1A8757"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NFIC2</w:t>
            </w:r>
          </w:p>
        </w:tc>
        <w:tc>
          <w:tcPr>
            <w:tcW w:w="0" w:type="auto"/>
            <w:hideMark/>
          </w:tcPr>
          <w:p w14:paraId="50C70C31"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0.77</w:t>
            </w:r>
          </w:p>
        </w:tc>
        <w:tc>
          <w:tcPr>
            <w:tcW w:w="0" w:type="auto"/>
            <w:hideMark/>
          </w:tcPr>
          <w:p w14:paraId="7F2B89BD" w14:textId="77777777" w:rsidR="0098211A" w:rsidRPr="0098211A" w:rsidRDefault="0098211A" w:rsidP="00283655">
            <w:pPr>
              <w:spacing w:after="160"/>
              <w:jc w:val="center"/>
              <w:rPr>
                <w:rFonts w:ascii="Arial" w:hAnsi="Arial" w:cs="Arial"/>
                <w:sz w:val="20"/>
                <w:szCs w:val="20"/>
              </w:rPr>
            </w:pPr>
          </w:p>
        </w:tc>
        <w:tc>
          <w:tcPr>
            <w:tcW w:w="0" w:type="auto"/>
            <w:hideMark/>
          </w:tcPr>
          <w:p w14:paraId="445024FA" w14:textId="77777777" w:rsidR="0098211A" w:rsidRPr="0098211A" w:rsidRDefault="0098211A" w:rsidP="00283655">
            <w:pPr>
              <w:spacing w:after="160"/>
              <w:jc w:val="center"/>
              <w:rPr>
                <w:rFonts w:ascii="Arial" w:hAnsi="Arial" w:cs="Arial"/>
                <w:sz w:val="20"/>
                <w:szCs w:val="20"/>
              </w:rPr>
            </w:pPr>
          </w:p>
        </w:tc>
        <w:tc>
          <w:tcPr>
            <w:tcW w:w="0" w:type="auto"/>
            <w:hideMark/>
          </w:tcPr>
          <w:p w14:paraId="51A75479" w14:textId="77777777" w:rsidR="0098211A" w:rsidRPr="0098211A" w:rsidRDefault="0098211A" w:rsidP="00283655">
            <w:pPr>
              <w:spacing w:after="160"/>
              <w:jc w:val="center"/>
              <w:rPr>
                <w:rFonts w:ascii="Arial" w:hAnsi="Arial" w:cs="Arial"/>
                <w:sz w:val="20"/>
                <w:szCs w:val="20"/>
              </w:rPr>
            </w:pPr>
          </w:p>
        </w:tc>
      </w:tr>
      <w:tr w:rsidR="0098211A" w:rsidRPr="0098211A" w14:paraId="6C9EC660" w14:textId="77777777" w:rsidTr="0098211A">
        <w:tc>
          <w:tcPr>
            <w:tcW w:w="0" w:type="auto"/>
            <w:hideMark/>
          </w:tcPr>
          <w:p w14:paraId="6341022E" w14:textId="77777777" w:rsidR="0098211A" w:rsidRPr="0098211A" w:rsidRDefault="0098211A" w:rsidP="00283655">
            <w:pPr>
              <w:spacing w:after="160"/>
              <w:jc w:val="both"/>
              <w:rPr>
                <w:rFonts w:ascii="Arial" w:hAnsi="Arial" w:cs="Arial"/>
                <w:sz w:val="20"/>
                <w:szCs w:val="20"/>
              </w:rPr>
            </w:pPr>
          </w:p>
        </w:tc>
        <w:tc>
          <w:tcPr>
            <w:tcW w:w="0" w:type="auto"/>
            <w:hideMark/>
          </w:tcPr>
          <w:p w14:paraId="4FFD8F1A"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NFIC3</w:t>
            </w:r>
          </w:p>
        </w:tc>
        <w:tc>
          <w:tcPr>
            <w:tcW w:w="0" w:type="auto"/>
            <w:hideMark/>
          </w:tcPr>
          <w:p w14:paraId="4D67C3F8"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0.80</w:t>
            </w:r>
          </w:p>
        </w:tc>
        <w:tc>
          <w:tcPr>
            <w:tcW w:w="0" w:type="auto"/>
            <w:hideMark/>
          </w:tcPr>
          <w:p w14:paraId="20D5CDAC" w14:textId="77777777" w:rsidR="0098211A" w:rsidRPr="0098211A" w:rsidRDefault="0098211A" w:rsidP="00283655">
            <w:pPr>
              <w:spacing w:after="160"/>
              <w:jc w:val="center"/>
              <w:rPr>
                <w:rFonts w:ascii="Arial" w:hAnsi="Arial" w:cs="Arial"/>
                <w:sz w:val="20"/>
                <w:szCs w:val="20"/>
              </w:rPr>
            </w:pPr>
          </w:p>
        </w:tc>
        <w:tc>
          <w:tcPr>
            <w:tcW w:w="0" w:type="auto"/>
            <w:hideMark/>
          </w:tcPr>
          <w:p w14:paraId="45400B63" w14:textId="77777777" w:rsidR="0098211A" w:rsidRPr="0098211A" w:rsidRDefault="0098211A" w:rsidP="00283655">
            <w:pPr>
              <w:spacing w:after="160"/>
              <w:jc w:val="center"/>
              <w:rPr>
                <w:rFonts w:ascii="Arial" w:hAnsi="Arial" w:cs="Arial"/>
                <w:sz w:val="20"/>
                <w:szCs w:val="20"/>
              </w:rPr>
            </w:pPr>
          </w:p>
        </w:tc>
        <w:tc>
          <w:tcPr>
            <w:tcW w:w="0" w:type="auto"/>
            <w:hideMark/>
          </w:tcPr>
          <w:p w14:paraId="4501AEE1" w14:textId="77777777" w:rsidR="0098211A" w:rsidRPr="0098211A" w:rsidRDefault="0098211A" w:rsidP="00283655">
            <w:pPr>
              <w:spacing w:after="160"/>
              <w:jc w:val="center"/>
              <w:rPr>
                <w:rFonts w:ascii="Arial" w:hAnsi="Arial" w:cs="Arial"/>
                <w:sz w:val="20"/>
                <w:szCs w:val="20"/>
              </w:rPr>
            </w:pPr>
          </w:p>
        </w:tc>
      </w:tr>
      <w:tr w:rsidR="0098211A" w:rsidRPr="0098211A" w14:paraId="205EEF98" w14:textId="77777777" w:rsidTr="0098211A">
        <w:tc>
          <w:tcPr>
            <w:tcW w:w="0" w:type="auto"/>
            <w:hideMark/>
          </w:tcPr>
          <w:p w14:paraId="222D4C82" w14:textId="77777777" w:rsidR="0098211A" w:rsidRPr="0098211A" w:rsidRDefault="0098211A" w:rsidP="00283655">
            <w:pPr>
              <w:spacing w:after="160"/>
              <w:jc w:val="both"/>
              <w:rPr>
                <w:rFonts w:ascii="Arial" w:hAnsi="Arial" w:cs="Arial"/>
                <w:sz w:val="20"/>
                <w:szCs w:val="20"/>
              </w:rPr>
            </w:pPr>
          </w:p>
        </w:tc>
        <w:tc>
          <w:tcPr>
            <w:tcW w:w="0" w:type="auto"/>
            <w:hideMark/>
          </w:tcPr>
          <w:p w14:paraId="3EDCE5FA"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NFIC4</w:t>
            </w:r>
          </w:p>
        </w:tc>
        <w:tc>
          <w:tcPr>
            <w:tcW w:w="0" w:type="auto"/>
            <w:hideMark/>
          </w:tcPr>
          <w:p w14:paraId="3B6F7DFD"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0.72</w:t>
            </w:r>
          </w:p>
        </w:tc>
        <w:tc>
          <w:tcPr>
            <w:tcW w:w="0" w:type="auto"/>
            <w:hideMark/>
          </w:tcPr>
          <w:p w14:paraId="3F412867" w14:textId="77777777" w:rsidR="0098211A" w:rsidRPr="0098211A" w:rsidRDefault="0098211A" w:rsidP="00283655">
            <w:pPr>
              <w:spacing w:after="160"/>
              <w:jc w:val="center"/>
              <w:rPr>
                <w:rFonts w:ascii="Arial" w:hAnsi="Arial" w:cs="Arial"/>
                <w:sz w:val="20"/>
                <w:szCs w:val="20"/>
              </w:rPr>
            </w:pPr>
          </w:p>
        </w:tc>
        <w:tc>
          <w:tcPr>
            <w:tcW w:w="0" w:type="auto"/>
            <w:hideMark/>
          </w:tcPr>
          <w:p w14:paraId="41B7DAEC" w14:textId="77777777" w:rsidR="0098211A" w:rsidRPr="0098211A" w:rsidRDefault="0098211A" w:rsidP="00283655">
            <w:pPr>
              <w:spacing w:after="160"/>
              <w:jc w:val="center"/>
              <w:rPr>
                <w:rFonts w:ascii="Arial" w:hAnsi="Arial" w:cs="Arial"/>
                <w:sz w:val="20"/>
                <w:szCs w:val="20"/>
              </w:rPr>
            </w:pPr>
          </w:p>
        </w:tc>
        <w:tc>
          <w:tcPr>
            <w:tcW w:w="0" w:type="auto"/>
            <w:hideMark/>
          </w:tcPr>
          <w:p w14:paraId="455671F7" w14:textId="77777777" w:rsidR="0098211A" w:rsidRPr="0098211A" w:rsidRDefault="0098211A" w:rsidP="00283655">
            <w:pPr>
              <w:spacing w:after="160"/>
              <w:jc w:val="center"/>
              <w:rPr>
                <w:rFonts w:ascii="Arial" w:hAnsi="Arial" w:cs="Arial"/>
                <w:sz w:val="20"/>
                <w:szCs w:val="20"/>
              </w:rPr>
            </w:pPr>
          </w:p>
        </w:tc>
      </w:tr>
      <w:tr w:rsidR="0098211A" w:rsidRPr="0098211A" w14:paraId="1C36BB3C" w14:textId="77777777" w:rsidTr="0098211A">
        <w:tc>
          <w:tcPr>
            <w:tcW w:w="0" w:type="auto"/>
            <w:hideMark/>
          </w:tcPr>
          <w:p w14:paraId="751A4C0B" w14:textId="77777777" w:rsidR="0098211A" w:rsidRPr="0098211A" w:rsidRDefault="0098211A" w:rsidP="00283655">
            <w:pPr>
              <w:spacing w:after="160"/>
              <w:jc w:val="both"/>
              <w:rPr>
                <w:rFonts w:ascii="Arial" w:hAnsi="Arial" w:cs="Arial"/>
                <w:sz w:val="20"/>
                <w:szCs w:val="20"/>
              </w:rPr>
            </w:pPr>
          </w:p>
        </w:tc>
        <w:tc>
          <w:tcPr>
            <w:tcW w:w="0" w:type="auto"/>
            <w:hideMark/>
          </w:tcPr>
          <w:p w14:paraId="0CE43A2F"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NFIC5</w:t>
            </w:r>
          </w:p>
        </w:tc>
        <w:tc>
          <w:tcPr>
            <w:tcW w:w="0" w:type="auto"/>
            <w:hideMark/>
          </w:tcPr>
          <w:p w14:paraId="2A98DE0A"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0.71</w:t>
            </w:r>
          </w:p>
        </w:tc>
        <w:tc>
          <w:tcPr>
            <w:tcW w:w="0" w:type="auto"/>
            <w:hideMark/>
          </w:tcPr>
          <w:p w14:paraId="458AEB9E" w14:textId="77777777" w:rsidR="0098211A" w:rsidRPr="0098211A" w:rsidRDefault="0098211A" w:rsidP="00283655">
            <w:pPr>
              <w:spacing w:after="160"/>
              <w:jc w:val="center"/>
              <w:rPr>
                <w:rFonts w:ascii="Arial" w:hAnsi="Arial" w:cs="Arial"/>
                <w:sz w:val="20"/>
                <w:szCs w:val="20"/>
              </w:rPr>
            </w:pPr>
          </w:p>
        </w:tc>
        <w:tc>
          <w:tcPr>
            <w:tcW w:w="0" w:type="auto"/>
            <w:hideMark/>
          </w:tcPr>
          <w:p w14:paraId="7D7DD8E6" w14:textId="77777777" w:rsidR="0098211A" w:rsidRPr="0098211A" w:rsidRDefault="0098211A" w:rsidP="00283655">
            <w:pPr>
              <w:spacing w:after="160"/>
              <w:jc w:val="center"/>
              <w:rPr>
                <w:rFonts w:ascii="Arial" w:hAnsi="Arial" w:cs="Arial"/>
                <w:sz w:val="20"/>
                <w:szCs w:val="20"/>
              </w:rPr>
            </w:pPr>
          </w:p>
        </w:tc>
        <w:tc>
          <w:tcPr>
            <w:tcW w:w="0" w:type="auto"/>
            <w:hideMark/>
          </w:tcPr>
          <w:p w14:paraId="5FF6DADA" w14:textId="77777777" w:rsidR="0098211A" w:rsidRPr="0098211A" w:rsidRDefault="0098211A" w:rsidP="00283655">
            <w:pPr>
              <w:spacing w:after="160"/>
              <w:jc w:val="center"/>
              <w:rPr>
                <w:rFonts w:ascii="Arial" w:hAnsi="Arial" w:cs="Arial"/>
                <w:sz w:val="20"/>
                <w:szCs w:val="20"/>
              </w:rPr>
            </w:pPr>
          </w:p>
        </w:tc>
      </w:tr>
      <w:tr w:rsidR="0098211A" w:rsidRPr="0098211A" w14:paraId="7477A334" w14:textId="77777777" w:rsidTr="0098211A">
        <w:tc>
          <w:tcPr>
            <w:tcW w:w="0" w:type="auto"/>
            <w:hideMark/>
          </w:tcPr>
          <w:p w14:paraId="7AB99EB2"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lastRenderedPageBreak/>
              <w:t>Delivery Timeliness (DT)</w:t>
            </w:r>
          </w:p>
        </w:tc>
        <w:tc>
          <w:tcPr>
            <w:tcW w:w="0" w:type="auto"/>
            <w:hideMark/>
          </w:tcPr>
          <w:p w14:paraId="3E0A11D1"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DT1</w:t>
            </w:r>
          </w:p>
        </w:tc>
        <w:tc>
          <w:tcPr>
            <w:tcW w:w="0" w:type="auto"/>
            <w:hideMark/>
          </w:tcPr>
          <w:p w14:paraId="235A6235"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0.76</w:t>
            </w:r>
          </w:p>
        </w:tc>
        <w:tc>
          <w:tcPr>
            <w:tcW w:w="0" w:type="auto"/>
            <w:hideMark/>
          </w:tcPr>
          <w:p w14:paraId="5D765894"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0.91</w:t>
            </w:r>
          </w:p>
        </w:tc>
        <w:tc>
          <w:tcPr>
            <w:tcW w:w="0" w:type="auto"/>
            <w:hideMark/>
          </w:tcPr>
          <w:p w14:paraId="203110FE"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0.91</w:t>
            </w:r>
          </w:p>
        </w:tc>
        <w:tc>
          <w:tcPr>
            <w:tcW w:w="0" w:type="auto"/>
            <w:hideMark/>
          </w:tcPr>
          <w:p w14:paraId="156590FB"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0.67</w:t>
            </w:r>
          </w:p>
        </w:tc>
      </w:tr>
      <w:tr w:rsidR="0098211A" w:rsidRPr="0098211A" w14:paraId="2FE979A8" w14:textId="77777777" w:rsidTr="0098211A">
        <w:tc>
          <w:tcPr>
            <w:tcW w:w="0" w:type="auto"/>
            <w:hideMark/>
          </w:tcPr>
          <w:p w14:paraId="2CBD00AC" w14:textId="77777777" w:rsidR="0098211A" w:rsidRPr="0098211A" w:rsidRDefault="0098211A" w:rsidP="00283655">
            <w:pPr>
              <w:spacing w:after="160"/>
              <w:jc w:val="both"/>
              <w:rPr>
                <w:rFonts w:ascii="Arial" w:hAnsi="Arial" w:cs="Arial"/>
                <w:sz w:val="20"/>
                <w:szCs w:val="20"/>
              </w:rPr>
            </w:pPr>
          </w:p>
        </w:tc>
        <w:tc>
          <w:tcPr>
            <w:tcW w:w="0" w:type="auto"/>
            <w:hideMark/>
          </w:tcPr>
          <w:p w14:paraId="69CF86D8"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DT2</w:t>
            </w:r>
          </w:p>
        </w:tc>
        <w:tc>
          <w:tcPr>
            <w:tcW w:w="0" w:type="auto"/>
            <w:hideMark/>
          </w:tcPr>
          <w:p w14:paraId="59750DCB"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0.84</w:t>
            </w:r>
          </w:p>
        </w:tc>
        <w:tc>
          <w:tcPr>
            <w:tcW w:w="0" w:type="auto"/>
            <w:hideMark/>
          </w:tcPr>
          <w:p w14:paraId="7A9F1237" w14:textId="77777777" w:rsidR="0098211A" w:rsidRPr="0098211A" w:rsidRDefault="0098211A" w:rsidP="00283655">
            <w:pPr>
              <w:spacing w:after="160"/>
              <w:jc w:val="center"/>
              <w:rPr>
                <w:rFonts w:ascii="Arial" w:hAnsi="Arial" w:cs="Arial"/>
                <w:sz w:val="20"/>
                <w:szCs w:val="20"/>
              </w:rPr>
            </w:pPr>
          </w:p>
        </w:tc>
        <w:tc>
          <w:tcPr>
            <w:tcW w:w="0" w:type="auto"/>
            <w:hideMark/>
          </w:tcPr>
          <w:p w14:paraId="438AB048" w14:textId="77777777" w:rsidR="0098211A" w:rsidRPr="0098211A" w:rsidRDefault="0098211A" w:rsidP="00283655">
            <w:pPr>
              <w:spacing w:after="160"/>
              <w:jc w:val="center"/>
              <w:rPr>
                <w:rFonts w:ascii="Arial" w:hAnsi="Arial" w:cs="Arial"/>
                <w:sz w:val="20"/>
                <w:szCs w:val="20"/>
              </w:rPr>
            </w:pPr>
          </w:p>
        </w:tc>
        <w:tc>
          <w:tcPr>
            <w:tcW w:w="0" w:type="auto"/>
            <w:hideMark/>
          </w:tcPr>
          <w:p w14:paraId="3A998E00" w14:textId="77777777" w:rsidR="0098211A" w:rsidRPr="0098211A" w:rsidRDefault="0098211A" w:rsidP="00283655">
            <w:pPr>
              <w:spacing w:after="160"/>
              <w:jc w:val="center"/>
              <w:rPr>
                <w:rFonts w:ascii="Arial" w:hAnsi="Arial" w:cs="Arial"/>
                <w:sz w:val="20"/>
                <w:szCs w:val="20"/>
              </w:rPr>
            </w:pPr>
          </w:p>
        </w:tc>
      </w:tr>
      <w:tr w:rsidR="0098211A" w:rsidRPr="0098211A" w14:paraId="151F2FF9" w14:textId="77777777" w:rsidTr="0098211A">
        <w:tc>
          <w:tcPr>
            <w:tcW w:w="0" w:type="auto"/>
            <w:hideMark/>
          </w:tcPr>
          <w:p w14:paraId="2AECEBD6" w14:textId="77777777" w:rsidR="0098211A" w:rsidRPr="0098211A" w:rsidRDefault="0098211A" w:rsidP="00283655">
            <w:pPr>
              <w:spacing w:after="160"/>
              <w:jc w:val="both"/>
              <w:rPr>
                <w:rFonts w:ascii="Arial" w:hAnsi="Arial" w:cs="Arial"/>
                <w:sz w:val="20"/>
                <w:szCs w:val="20"/>
              </w:rPr>
            </w:pPr>
          </w:p>
        </w:tc>
        <w:tc>
          <w:tcPr>
            <w:tcW w:w="0" w:type="auto"/>
            <w:hideMark/>
          </w:tcPr>
          <w:p w14:paraId="5E20475C"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DT3</w:t>
            </w:r>
          </w:p>
        </w:tc>
        <w:tc>
          <w:tcPr>
            <w:tcW w:w="0" w:type="auto"/>
            <w:hideMark/>
          </w:tcPr>
          <w:p w14:paraId="175E6D5D"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0.82</w:t>
            </w:r>
          </w:p>
        </w:tc>
        <w:tc>
          <w:tcPr>
            <w:tcW w:w="0" w:type="auto"/>
            <w:hideMark/>
          </w:tcPr>
          <w:p w14:paraId="1C965391" w14:textId="77777777" w:rsidR="0098211A" w:rsidRPr="0098211A" w:rsidRDefault="0098211A" w:rsidP="00283655">
            <w:pPr>
              <w:spacing w:after="160"/>
              <w:jc w:val="center"/>
              <w:rPr>
                <w:rFonts w:ascii="Arial" w:hAnsi="Arial" w:cs="Arial"/>
                <w:sz w:val="20"/>
                <w:szCs w:val="20"/>
              </w:rPr>
            </w:pPr>
          </w:p>
        </w:tc>
        <w:tc>
          <w:tcPr>
            <w:tcW w:w="0" w:type="auto"/>
            <w:hideMark/>
          </w:tcPr>
          <w:p w14:paraId="4E109FCA" w14:textId="77777777" w:rsidR="0098211A" w:rsidRPr="0098211A" w:rsidRDefault="0098211A" w:rsidP="00283655">
            <w:pPr>
              <w:spacing w:after="160"/>
              <w:jc w:val="center"/>
              <w:rPr>
                <w:rFonts w:ascii="Arial" w:hAnsi="Arial" w:cs="Arial"/>
                <w:sz w:val="20"/>
                <w:szCs w:val="20"/>
              </w:rPr>
            </w:pPr>
          </w:p>
        </w:tc>
        <w:tc>
          <w:tcPr>
            <w:tcW w:w="0" w:type="auto"/>
            <w:hideMark/>
          </w:tcPr>
          <w:p w14:paraId="6ECEF879" w14:textId="77777777" w:rsidR="0098211A" w:rsidRPr="0098211A" w:rsidRDefault="0098211A" w:rsidP="00283655">
            <w:pPr>
              <w:spacing w:after="160"/>
              <w:jc w:val="center"/>
              <w:rPr>
                <w:rFonts w:ascii="Arial" w:hAnsi="Arial" w:cs="Arial"/>
                <w:sz w:val="20"/>
                <w:szCs w:val="20"/>
              </w:rPr>
            </w:pPr>
          </w:p>
        </w:tc>
      </w:tr>
      <w:tr w:rsidR="0098211A" w:rsidRPr="0098211A" w14:paraId="78B37C61" w14:textId="77777777" w:rsidTr="0098211A">
        <w:tc>
          <w:tcPr>
            <w:tcW w:w="0" w:type="auto"/>
            <w:hideMark/>
          </w:tcPr>
          <w:p w14:paraId="68801A3A" w14:textId="77777777" w:rsidR="0098211A" w:rsidRPr="0098211A" w:rsidRDefault="0098211A" w:rsidP="00283655">
            <w:pPr>
              <w:spacing w:after="160"/>
              <w:jc w:val="both"/>
              <w:rPr>
                <w:rFonts w:ascii="Arial" w:hAnsi="Arial" w:cs="Arial"/>
                <w:sz w:val="20"/>
                <w:szCs w:val="20"/>
              </w:rPr>
            </w:pPr>
          </w:p>
        </w:tc>
        <w:tc>
          <w:tcPr>
            <w:tcW w:w="0" w:type="auto"/>
            <w:hideMark/>
          </w:tcPr>
          <w:p w14:paraId="157B1ACF"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DT4</w:t>
            </w:r>
          </w:p>
        </w:tc>
        <w:tc>
          <w:tcPr>
            <w:tcW w:w="0" w:type="auto"/>
            <w:hideMark/>
          </w:tcPr>
          <w:p w14:paraId="2EC034B7"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0.80</w:t>
            </w:r>
          </w:p>
        </w:tc>
        <w:tc>
          <w:tcPr>
            <w:tcW w:w="0" w:type="auto"/>
            <w:hideMark/>
          </w:tcPr>
          <w:p w14:paraId="1EB32F31" w14:textId="77777777" w:rsidR="0098211A" w:rsidRPr="0098211A" w:rsidRDefault="0098211A" w:rsidP="00283655">
            <w:pPr>
              <w:spacing w:after="160"/>
              <w:jc w:val="center"/>
              <w:rPr>
                <w:rFonts w:ascii="Arial" w:hAnsi="Arial" w:cs="Arial"/>
                <w:sz w:val="20"/>
                <w:szCs w:val="20"/>
              </w:rPr>
            </w:pPr>
          </w:p>
        </w:tc>
        <w:tc>
          <w:tcPr>
            <w:tcW w:w="0" w:type="auto"/>
            <w:hideMark/>
          </w:tcPr>
          <w:p w14:paraId="5B26350E" w14:textId="77777777" w:rsidR="0098211A" w:rsidRPr="0098211A" w:rsidRDefault="0098211A" w:rsidP="00283655">
            <w:pPr>
              <w:spacing w:after="160"/>
              <w:jc w:val="center"/>
              <w:rPr>
                <w:rFonts w:ascii="Arial" w:hAnsi="Arial" w:cs="Arial"/>
                <w:sz w:val="20"/>
                <w:szCs w:val="20"/>
              </w:rPr>
            </w:pPr>
          </w:p>
        </w:tc>
        <w:tc>
          <w:tcPr>
            <w:tcW w:w="0" w:type="auto"/>
            <w:hideMark/>
          </w:tcPr>
          <w:p w14:paraId="63CE3426" w14:textId="77777777" w:rsidR="0098211A" w:rsidRPr="0098211A" w:rsidRDefault="0098211A" w:rsidP="00283655">
            <w:pPr>
              <w:spacing w:after="160"/>
              <w:jc w:val="center"/>
              <w:rPr>
                <w:rFonts w:ascii="Arial" w:hAnsi="Arial" w:cs="Arial"/>
                <w:sz w:val="20"/>
                <w:szCs w:val="20"/>
              </w:rPr>
            </w:pPr>
          </w:p>
        </w:tc>
      </w:tr>
      <w:tr w:rsidR="0098211A" w:rsidRPr="0098211A" w14:paraId="38052CDF" w14:textId="77777777" w:rsidTr="0098211A">
        <w:tc>
          <w:tcPr>
            <w:tcW w:w="0" w:type="auto"/>
            <w:tcBorders>
              <w:bottom w:val="single" w:sz="4" w:space="0" w:color="auto"/>
            </w:tcBorders>
            <w:hideMark/>
          </w:tcPr>
          <w:p w14:paraId="18B788A1" w14:textId="77777777" w:rsidR="0098211A" w:rsidRPr="0098211A" w:rsidRDefault="0098211A" w:rsidP="00283655">
            <w:pPr>
              <w:spacing w:after="160"/>
              <w:jc w:val="both"/>
              <w:rPr>
                <w:rFonts w:ascii="Arial" w:hAnsi="Arial" w:cs="Arial"/>
                <w:sz w:val="20"/>
                <w:szCs w:val="20"/>
              </w:rPr>
            </w:pPr>
          </w:p>
        </w:tc>
        <w:tc>
          <w:tcPr>
            <w:tcW w:w="0" w:type="auto"/>
            <w:tcBorders>
              <w:bottom w:val="single" w:sz="4" w:space="0" w:color="auto"/>
            </w:tcBorders>
            <w:hideMark/>
          </w:tcPr>
          <w:p w14:paraId="540157D6"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DT5</w:t>
            </w:r>
          </w:p>
        </w:tc>
        <w:tc>
          <w:tcPr>
            <w:tcW w:w="0" w:type="auto"/>
            <w:tcBorders>
              <w:bottom w:val="single" w:sz="4" w:space="0" w:color="auto"/>
            </w:tcBorders>
            <w:hideMark/>
          </w:tcPr>
          <w:p w14:paraId="5293944B"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0.78</w:t>
            </w:r>
          </w:p>
        </w:tc>
        <w:tc>
          <w:tcPr>
            <w:tcW w:w="0" w:type="auto"/>
            <w:tcBorders>
              <w:bottom w:val="single" w:sz="4" w:space="0" w:color="auto"/>
            </w:tcBorders>
            <w:hideMark/>
          </w:tcPr>
          <w:p w14:paraId="02ACDC23" w14:textId="77777777" w:rsidR="0098211A" w:rsidRPr="0098211A" w:rsidRDefault="0098211A" w:rsidP="00283655">
            <w:pPr>
              <w:spacing w:after="160"/>
              <w:jc w:val="center"/>
              <w:rPr>
                <w:rFonts w:ascii="Arial" w:hAnsi="Arial" w:cs="Arial"/>
                <w:sz w:val="20"/>
                <w:szCs w:val="20"/>
              </w:rPr>
            </w:pPr>
          </w:p>
        </w:tc>
        <w:tc>
          <w:tcPr>
            <w:tcW w:w="0" w:type="auto"/>
            <w:tcBorders>
              <w:bottom w:val="single" w:sz="4" w:space="0" w:color="auto"/>
            </w:tcBorders>
            <w:hideMark/>
          </w:tcPr>
          <w:p w14:paraId="3C85EADB" w14:textId="77777777" w:rsidR="0098211A" w:rsidRPr="0098211A" w:rsidRDefault="0098211A" w:rsidP="00283655">
            <w:pPr>
              <w:spacing w:after="160"/>
              <w:jc w:val="center"/>
              <w:rPr>
                <w:rFonts w:ascii="Arial" w:hAnsi="Arial" w:cs="Arial"/>
                <w:sz w:val="20"/>
                <w:szCs w:val="20"/>
              </w:rPr>
            </w:pPr>
          </w:p>
        </w:tc>
        <w:tc>
          <w:tcPr>
            <w:tcW w:w="0" w:type="auto"/>
            <w:tcBorders>
              <w:bottom w:val="single" w:sz="4" w:space="0" w:color="auto"/>
            </w:tcBorders>
            <w:hideMark/>
          </w:tcPr>
          <w:p w14:paraId="788F999E" w14:textId="77777777" w:rsidR="0098211A" w:rsidRPr="0098211A" w:rsidRDefault="0098211A" w:rsidP="00283655">
            <w:pPr>
              <w:spacing w:after="160"/>
              <w:jc w:val="center"/>
              <w:rPr>
                <w:rFonts w:ascii="Arial" w:hAnsi="Arial" w:cs="Arial"/>
                <w:sz w:val="20"/>
                <w:szCs w:val="20"/>
              </w:rPr>
            </w:pPr>
          </w:p>
        </w:tc>
      </w:tr>
    </w:tbl>
    <w:p w14:paraId="39974533" w14:textId="77777777" w:rsidR="0098211A" w:rsidRPr="0098211A" w:rsidRDefault="0098211A" w:rsidP="0098211A">
      <w:pPr>
        <w:jc w:val="both"/>
        <w:rPr>
          <w:rFonts w:ascii="Arial" w:hAnsi="Arial" w:cs="Arial"/>
        </w:rPr>
      </w:pPr>
      <w:r w:rsidRPr="0098211A">
        <w:rPr>
          <w:rFonts w:ascii="Arial" w:hAnsi="Arial" w:cs="Arial"/>
        </w:rPr>
        <w:t>Source: Field Survey (2026)</w:t>
      </w:r>
    </w:p>
    <w:p w14:paraId="7B46755D" w14:textId="77777777" w:rsidR="0098211A" w:rsidRPr="0098211A" w:rsidRDefault="0098211A" w:rsidP="0098211A">
      <w:pPr>
        <w:jc w:val="both"/>
        <w:rPr>
          <w:rFonts w:ascii="Arial" w:hAnsi="Arial" w:cs="Arial"/>
        </w:rPr>
      </w:pPr>
      <w:r w:rsidRPr="0098211A">
        <w:rPr>
          <w:rFonts w:ascii="Arial" w:hAnsi="Arial" w:cs="Arial"/>
        </w:rPr>
        <w:t xml:space="preserve"> </w:t>
      </w:r>
    </w:p>
    <w:p w14:paraId="591167B2" w14:textId="77777777" w:rsidR="0098211A" w:rsidRPr="0098211A" w:rsidRDefault="0098211A" w:rsidP="0098211A">
      <w:pPr>
        <w:jc w:val="both"/>
        <w:rPr>
          <w:rFonts w:ascii="Arial" w:hAnsi="Arial" w:cs="Arial"/>
          <w:b/>
          <w:bCs/>
          <w:i/>
          <w:iCs/>
        </w:rPr>
      </w:pPr>
      <w:r w:rsidRPr="0098211A">
        <w:rPr>
          <w:rFonts w:ascii="Arial" w:hAnsi="Arial" w:cs="Arial"/>
          <w:b/>
          <w:bCs/>
          <w:i/>
          <w:iCs/>
        </w:rPr>
        <w:t>4.3</w:t>
      </w:r>
      <w:r w:rsidRPr="0098211A">
        <w:rPr>
          <w:rFonts w:ascii="Arial" w:hAnsi="Arial" w:cs="Arial"/>
          <w:b/>
          <w:bCs/>
          <w:i/>
          <w:iCs/>
        </w:rPr>
        <w:tab/>
        <w:t>Model Fit Analysis</w:t>
      </w:r>
    </w:p>
    <w:p w14:paraId="0BC3FBB2" w14:textId="77777777" w:rsidR="0098211A" w:rsidRDefault="0098211A" w:rsidP="0098211A">
      <w:pPr>
        <w:jc w:val="both"/>
        <w:rPr>
          <w:rFonts w:ascii="Arial" w:hAnsi="Arial" w:cs="Arial"/>
        </w:rPr>
      </w:pPr>
      <w:r w:rsidRPr="0098211A">
        <w:rPr>
          <w:rFonts w:ascii="Arial" w:hAnsi="Arial" w:cs="Arial"/>
        </w:rPr>
        <w:t xml:space="preserve">Table 3 results indicate that the SEM has a satisfactory overall fit, which means that the measurement and structural model is a good representation of the observed data. The chi-square value is significant (p &lt; 0.05), but this outcome is typical in SEM research since chi-square is sensitive to sample size and small model violations, so researchers use incremental and error-based indices to judge the model (Hair et al., 2019). The relative chi-square (CMIN/DF = 1.268) indicates a good fit within the recommended limits (Kline, 2016). The goodness-of-fit indices (GPI = 0.911; AGFI = 0.893) are within acceptable levels, whereas the incremental indices (NFI = 0.915; IFI = 0.981; TLI = 0.979; CFI = 0.981) are above the minimum standard of 0.90, which proves that the proposed model is more effective in explaining the relationships than the independence model (Byrne, 2016; Hu and </w:t>
      </w:r>
      <w:proofErr w:type="spellStart"/>
      <w:r w:rsidRPr="0098211A">
        <w:rPr>
          <w:rFonts w:ascii="Arial" w:hAnsi="Arial" w:cs="Arial"/>
        </w:rPr>
        <w:t>Bentler</w:t>
      </w:r>
      <w:proofErr w:type="spellEnd"/>
      <w:r w:rsidRPr="0098211A">
        <w:rPr>
          <w:rFonts w:ascii="Arial" w:hAnsi="Arial" w:cs="Arial"/>
        </w:rPr>
        <w:t xml:space="preserve">, 199 The value of RMSEA (0.030) also indicates good model fit since it is much lower than the maximum acceptable value of 0.08, and the PCLOSE value (1.000) shows that the model fits the population well (Browne and </w:t>
      </w:r>
      <w:proofErr w:type="spellStart"/>
      <w:r w:rsidRPr="0098211A">
        <w:rPr>
          <w:rFonts w:ascii="Arial" w:hAnsi="Arial" w:cs="Arial"/>
        </w:rPr>
        <w:t>Cudeck</w:t>
      </w:r>
      <w:proofErr w:type="spellEnd"/>
      <w:r w:rsidRPr="0098211A">
        <w:rPr>
          <w:rFonts w:ascii="Arial" w:hAnsi="Arial" w:cs="Arial"/>
        </w:rPr>
        <w:t>, 1993).</w:t>
      </w:r>
    </w:p>
    <w:p w14:paraId="5C57835B" w14:textId="77777777" w:rsidR="003C0439" w:rsidRPr="0098211A" w:rsidRDefault="003C0439" w:rsidP="0098211A">
      <w:pPr>
        <w:jc w:val="both"/>
        <w:rPr>
          <w:rFonts w:ascii="Arial" w:hAnsi="Arial" w:cs="Arial"/>
        </w:rPr>
      </w:pPr>
    </w:p>
    <w:p w14:paraId="789BA1F2" w14:textId="77777777" w:rsidR="0098211A" w:rsidRPr="0098211A" w:rsidRDefault="0098211A" w:rsidP="003C0439">
      <w:pPr>
        <w:spacing w:line="360" w:lineRule="auto"/>
        <w:jc w:val="both"/>
        <w:rPr>
          <w:rFonts w:ascii="Arial" w:hAnsi="Arial" w:cs="Arial"/>
          <w:b/>
          <w:bCs/>
        </w:rPr>
      </w:pPr>
      <w:r w:rsidRPr="0098211A">
        <w:rPr>
          <w:rFonts w:ascii="Arial" w:hAnsi="Arial" w:cs="Arial"/>
          <w:b/>
          <w:bCs/>
        </w:rPr>
        <w:t xml:space="preserve">Table 3: Model Fit Indices </w:t>
      </w:r>
    </w:p>
    <w:tbl>
      <w:tblPr>
        <w:tblStyle w:val="TableGrid"/>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7"/>
        <w:gridCol w:w="2267"/>
        <w:gridCol w:w="1324"/>
        <w:gridCol w:w="2989"/>
      </w:tblGrid>
      <w:tr w:rsidR="0098211A" w:rsidRPr="0098211A" w14:paraId="3085D30E" w14:textId="77777777" w:rsidTr="003C0439">
        <w:tc>
          <w:tcPr>
            <w:tcW w:w="0" w:type="auto"/>
            <w:tcBorders>
              <w:top w:val="single" w:sz="4" w:space="0" w:color="auto"/>
              <w:bottom w:val="single" w:sz="4" w:space="0" w:color="auto"/>
            </w:tcBorders>
            <w:hideMark/>
          </w:tcPr>
          <w:p w14:paraId="05A0A94B" w14:textId="77777777" w:rsidR="0098211A" w:rsidRPr="0098211A" w:rsidRDefault="0098211A" w:rsidP="00283655">
            <w:pPr>
              <w:spacing w:after="160" w:line="259" w:lineRule="auto"/>
              <w:jc w:val="both"/>
              <w:rPr>
                <w:rFonts w:ascii="Arial" w:hAnsi="Arial" w:cs="Arial"/>
                <w:b/>
                <w:bCs/>
                <w:sz w:val="20"/>
                <w:szCs w:val="20"/>
              </w:rPr>
            </w:pPr>
            <w:r w:rsidRPr="0098211A">
              <w:rPr>
                <w:rFonts w:ascii="Arial" w:hAnsi="Arial" w:cs="Arial"/>
                <w:b/>
                <w:bCs/>
                <w:sz w:val="20"/>
                <w:szCs w:val="20"/>
              </w:rPr>
              <w:t>Fit index</w:t>
            </w:r>
          </w:p>
        </w:tc>
        <w:tc>
          <w:tcPr>
            <w:tcW w:w="0" w:type="auto"/>
            <w:tcBorders>
              <w:top w:val="single" w:sz="4" w:space="0" w:color="auto"/>
              <w:bottom w:val="single" w:sz="4" w:space="0" w:color="auto"/>
            </w:tcBorders>
            <w:hideMark/>
          </w:tcPr>
          <w:p w14:paraId="7F8B56C4" w14:textId="77777777" w:rsidR="0098211A" w:rsidRPr="0098211A" w:rsidRDefault="0098211A" w:rsidP="00283655">
            <w:pPr>
              <w:spacing w:after="160" w:line="259" w:lineRule="auto"/>
              <w:jc w:val="center"/>
              <w:rPr>
                <w:rFonts w:ascii="Arial" w:hAnsi="Arial" w:cs="Arial"/>
                <w:b/>
                <w:bCs/>
                <w:sz w:val="20"/>
                <w:szCs w:val="20"/>
              </w:rPr>
            </w:pPr>
            <w:r w:rsidRPr="0098211A">
              <w:rPr>
                <w:rFonts w:ascii="Arial" w:hAnsi="Arial" w:cs="Arial"/>
                <w:b/>
                <w:bCs/>
                <w:sz w:val="20"/>
                <w:szCs w:val="20"/>
              </w:rPr>
              <w:t>Acceptable threshold</w:t>
            </w:r>
          </w:p>
        </w:tc>
        <w:tc>
          <w:tcPr>
            <w:tcW w:w="0" w:type="auto"/>
            <w:tcBorders>
              <w:top w:val="single" w:sz="4" w:space="0" w:color="auto"/>
              <w:bottom w:val="single" w:sz="4" w:space="0" w:color="auto"/>
            </w:tcBorders>
            <w:hideMark/>
          </w:tcPr>
          <w:p w14:paraId="1F8CAA12" w14:textId="77777777" w:rsidR="0098211A" w:rsidRPr="0098211A" w:rsidRDefault="0098211A" w:rsidP="00283655">
            <w:pPr>
              <w:spacing w:after="160" w:line="259" w:lineRule="auto"/>
              <w:jc w:val="center"/>
              <w:rPr>
                <w:rFonts w:ascii="Arial" w:hAnsi="Arial" w:cs="Arial"/>
                <w:b/>
                <w:bCs/>
                <w:sz w:val="20"/>
                <w:szCs w:val="20"/>
              </w:rPr>
            </w:pPr>
            <w:r w:rsidRPr="0098211A">
              <w:rPr>
                <w:rFonts w:ascii="Arial" w:hAnsi="Arial" w:cs="Arial"/>
                <w:b/>
                <w:bCs/>
                <w:sz w:val="20"/>
                <w:szCs w:val="20"/>
              </w:rPr>
              <w:t>Model value</w:t>
            </w:r>
          </w:p>
        </w:tc>
        <w:tc>
          <w:tcPr>
            <w:tcW w:w="2989" w:type="dxa"/>
            <w:tcBorders>
              <w:top w:val="single" w:sz="4" w:space="0" w:color="auto"/>
              <w:bottom w:val="single" w:sz="4" w:space="0" w:color="auto"/>
            </w:tcBorders>
            <w:hideMark/>
          </w:tcPr>
          <w:p w14:paraId="72653A98" w14:textId="77777777" w:rsidR="0098211A" w:rsidRPr="0098211A" w:rsidRDefault="0098211A" w:rsidP="00283655">
            <w:pPr>
              <w:spacing w:after="160" w:line="259" w:lineRule="auto"/>
              <w:jc w:val="center"/>
              <w:rPr>
                <w:rFonts w:ascii="Arial" w:hAnsi="Arial" w:cs="Arial"/>
                <w:b/>
                <w:bCs/>
                <w:sz w:val="20"/>
                <w:szCs w:val="20"/>
              </w:rPr>
            </w:pPr>
            <w:r w:rsidRPr="0098211A">
              <w:rPr>
                <w:rFonts w:ascii="Arial" w:hAnsi="Arial" w:cs="Arial"/>
                <w:b/>
                <w:bCs/>
                <w:sz w:val="20"/>
                <w:szCs w:val="20"/>
              </w:rPr>
              <w:t>Empirical evidence</w:t>
            </w:r>
          </w:p>
        </w:tc>
      </w:tr>
      <w:tr w:rsidR="0098211A" w:rsidRPr="0098211A" w14:paraId="4BA9E58D" w14:textId="77777777" w:rsidTr="003C0439">
        <w:tc>
          <w:tcPr>
            <w:tcW w:w="0" w:type="auto"/>
            <w:tcBorders>
              <w:top w:val="single" w:sz="4" w:space="0" w:color="auto"/>
            </w:tcBorders>
            <w:hideMark/>
          </w:tcPr>
          <w:p w14:paraId="18FE810D" w14:textId="77777777" w:rsidR="0098211A" w:rsidRPr="0098211A" w:rsidRDefault="0098211A" w:rsidP="00283655">
            <w:pPr>
              <w:spacing w:after="160" w:line="259" w:lineRule="auto"/>
              <w:jc w:val="both"/>
              <w:rPr>
                <w:rFonts w:ascii="Arial" w:hAnsi="Arial" w:cs="Arial"/>
                <w:sz w:val="20"/>
                <w:szCs w:val="20"/>
              </w:rPr>
            </w:pPr>
            <w:r w:rsidRPr="0098211A">
              <w:rPr>
                <w:rFonts w:ascii="Arial" w:hAnsi="Arial" w:cs="Arial"/>
                <w:sz w:val="20"/>
                <w:szCs w:val="20"/>
              </w:rPr>
              <w:t>Chi-square (CMIN)</w:t>
            </w:r>
          </w:p>
        </w:tc>
        <w:tc>
          <w:tcPr>
            <w:tcW w:w="0" w:type="auto"/>
            <w:tcBorders>
              <w:top w:val="single" w:sz="4" w:space="0" w:color="auto"/>
            </w:tcBorders>
            <w:hideMark/>
          </w:tcPr>
          <w:p w14:paraId="76A995B4"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Sensitive to sample size</w:t>
            </w:r>
          </w:p>
        </w:tc>
        <w:tc>
          <w:tcPr>
            <w:tcW w:w="0" w:type="auto"/>
            <w:tcBorders>
              <w:top w:val="single" w:sz="4" w:space="0" w:color="auto"/>
            </w:tcBorders>
            <w:hideMark/>
          </w:tcPr>
          <w:p w14:paraId="62E10D41"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343.647</w:t>
            </w:r>
          </w:p>
        </w:tc>
        <w:tc>
          <w:tcPr>
            <w:tcW w:w="2989" w:type="dxa"/>
            <w:tcBorders>
              <w:top w:val="single" w:sz="4" w:space="0" w:color="auto"/>
            </w:tcBorders>
            <w:hideMark/>
          </w:tcPr>
          <w:p w14:paraId="6EC661FC"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Hair et al. (2019)</w:t>
            </w:r>
          </w:p>
        </w:tc>
      </w:tr>
      <w:tr w:rsidR="0098211A" w:rsidRPr="0098211A" w14:paraId="5BCAC7B7" w14:textId="77777777" w:rsidTr="003C0439">
        <w:tc>
          <w:tcPr>
            <w:tcW w:w="0" w:type="auto"/>
            <w:hideMark/>
          </w:tcPr>
          <w:p w14:paraId="4FD8265E" w14:textId="77777777" w:rsidR="0098211A" w:rsidRPr="0098211A" w:rsidRDefault="0098211A" w:rsidP="00283655">
            <w:pPr>
              <w:spacing w:after="160" w:line="259" w:lineRule="auto"/>
              <w:jc w:val="both"/>
              <w:rPr>
                <w:rFonts w:ascii="Arial" w:hAnsi="Arial" w:cs="Arial"/>
                <w:sz w:val="20"/>
                <w:szCs w:val="20"/>
              </w:rPr>
            </w:pPr>
            <w:r w:rsidRPr="0098211A">
              <w:rPr>
                <w:rFonts w:ascii="Arial" w:hAnsi="Arial" w:cs="Arial"/>
                <w:sz w:val="20"/>
                <w:szCs w:val="20"/>
              </w:rPr>
              <w:t>Degrees of freedom (DF)</w:t>
            </w:r>
          </w:p>
        </w:tc>
        <w:tc>
          <w:tcPr>
            <w:tcW w:w="0" w:type="auto"/>
            <w:hideMark/>
          </w:tcPr>
          <w:p w14:paraId="3244BD50"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w:t>
            </w:r>
          </w:p>
        </w:tc>
        <w:tc>
          <w:tcPr>
            <w:tcW w:w="0" w:type="auto"/>
            <w:hideMark/>
          </w:tcPr>
          <w:p w14:paraId="121F85C0"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271</w:t>
            </w:r>
          </w:p>
        </w:tc>
        <w:tc>
          <w:tcPr>
            <w:tcW w:w="2989" w:type="dxa"/>
            <w:hideMark/>
          </w:tcPr>
          <w:p w14:paraId="5E5AC880"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Kline (2016)</w:t>
            </w:r>
          </w:p>
        </w:tc>
      </w:tr>
      <w:tr w:rsidR="0098211A" w:rsidRPr="0098211A" w14:paraId="6044A46E" w14:textId="77777777" w:rsidTr="003C0439">
        <w:tc>
          <w:tcPr>
            <w:tcW w:w="0" w:type="auto"/>
            <w:hideMark/>
          </w:tcPr>
          <w:p w14:paraId="0D5CA2EE" w14:textId="77777777" w:rsidR="0098211A" w:rsidRPr="0098211A" w:rsidRDefault="0098211A" w:rsidP="00283655">
            <w:pPr>
              <w:spacing w:after="160" w:line="259" w:lineRule="auto"/>
              <w:jc w:val="both"/>
              <w:rPr>
                <w:rFonts w:ascii="Arial" w:hAnsi="Arial" w:cs="Arial"/>
                <w:sz w:val="20"/>
                <w:szCs w:val="20"/>
              </w:rPr>
            </w:pPr>
            <w:r w:rsidRPr="0098211A">
              <w:rPr>
                <w:rFonts w:ascii="Arial" w:hAnsi="Arial" w:cs="Arial"/>
                <w:sz w:val="20"/>
                <w:szCs w:val="20"/>
              </w:rPr>
              <w:t>CMIN/DF</w:t>
            </w:r>
          </w:p>
        </w:tc>
        <w:tc>
          <w:tcPr>
            <w:tcW w:w="0" w:type="auto"/>
            <w:hideMark/>
          </w:tcPr>
          <w:p w14:paraId="35E34A12"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&lt; 3.00</w:t>
            </w:r>
          </w:p>
        </w:tc>
        <w:tc>
          <w:tcPr>
            <w:tcW w:w="0" w:type="auto"/>
            <w:hideMark/>
          </w:tcPr>
          <w:p w14:paraId="6B9D648F"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1.268</w:t>
            </w:r>
          </w:p>
        </w:tc>
        <w:tc>
          <w:tcPr>
            <w:tcW w:w="2989" w:type="dxa"/>
            <w:hideMark/>
          </w:tcPr>
          <w:p w14:paraId="1027C1DB"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Kline (2016)</w:t>
            </w:r>
          </w:p>
        </w:tc>
      </w:tr>
      <w:tr w:rsidR="0098211A" w:rsidRPr="0098211A" w14:paraId="5BCAF057" w14:textId="77777777" w:rsidTr="003C0439">
        <w:tc>
          <w:tcPr>
            <w:tcW w:w="0" w:type="auto"/>
            <w:hideMark/>
          </w:tcPr>
          <w:p w14:paraId="446500CE" w14:textId="77777777" w:rsidR="0098211A" w:rsidRPr="0098211A" w:rsidRDefault="0098211A" w:rsidP="00283655">
            <w:pPr>
              <w:spacing w:after="160" w:line="259" w:lineRule="auto"/>
              <w:jc w:val="both"/>
              <w:rPr>
                <w:rFonts w:ascii="Arial" w:hAnsi="Arial" w:cs="Arial"/>
                <w:sz w:val="20"/>
                <w:szCs w:val="20"/>
              </w:rPr>
            </w:pPr>
            <w:r w:rsidRPr="0098211A">
              <w:rPr>
                <w:rFonts w:ascii="Arial" w:hAnsi="Arial" w:cs="Arial"/>
                <w:sz w:val="20"/>
                <w:szCs w:val="20"/>
              </w:rPr>
              <w:t>GFI</w:t>
            </w:r>
          </w:p>
        </w:tc>
        <w:tc>
          <w:tcPr>
            <w:tcW w:w="0" w:type="auto"/>
            <w:hideMark/>
          </w:tcPr>
          <w:p w14:paraId="71DCA770"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&gt; 0.90</w:t>
            </w:r>
          </w:p>
        </w:tc>
        <w:tc>
          <w:tcPr>
            <w:tcW w:w="0" w:type="auto"/>
            <w:hideMark/>
          </w:tcPr>
          <w:p w14:paraId="39107444"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0.911</w:t>
            </w:r>
          </w:p>
        </w:tc>
        <w:tc>
          <w:tcPr>
            <w:tcW w:w="2989" w:type="dxa"/>
            <w:hideMark/>
          </w:tcPr>
          <w:p w14:paraId="474922DA"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Byrne (2016)</w:t>
            </w:r>
          </w:p>
        </w:tc>
      </w:tr>
      <w:tr w:rsidR="0098211A" w:rsidRPr="0098211A" w14:paraId="095B6BBA" w14:textId="77777777" w:rsidTr="003C0439">
        <w:tc>
          <w:tcPr>
            <w:tcW w:w="0" w:type="auto"/>
            <w:hideMark/>
          </w:tcPr>
          <w:p w14:paraId="13733012" w14:textId="77777777" w:rsidR="0098211A" w:rsidRPr="0098211A" w:rsidRDefault="0098211A" w:rsidP="00283655">
            <w:pPr>
              <w:spacing w:after="160" w:line="259" w:lineRule="auto"/>
              <w:jc w:val="both"/>
              <w:rPr>
                <w:rFonts w:ascii="Arial" w:hAnsi="Arial" w:cs="Arial"/>
                <w:sz w:val="20"/>
                <w:szCs w:val="20"/>
              </w:rPr>
            </w:pPr>
            <w:r w:rsidRPr="0098211A">
              <w:rPr>
                <w:rFonts w:ascii="Arial" w:hAnsi="Arial" w:cs="Arial"/>
                <w:sz w:val="20"/>
                <w:szCs w:val="20"/>
              </w:rPr>
              <w:t>AGFI</w:t>
            </w:r>
          </w:p>
        </w:tc>
        <w:tc>
          <w:tcPr>
            <w:tcW w:w="0" w:type="auto"/>
            <w:hideMark/>
          </w:tcPr>
          <w:p w14:paraId="4507DCAF"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&gt; 0.80</w:t>
            </w:r>
          </w:p>
        </w:tc>
        <w:tc>
          <w:tcPr>
            <w:tcW w:w="0" w:type="auto"/>
            <w:hideMark/>
          </w:tcPr>
          <w:p w14:paraId="59A9FD9D"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0.893</w:t>
            </w:r>
          </w:p>
        </w:tc>
        <w:tc>
          <w:tcPr>
            <w:tcW w:w="2989" w:type="dxa"/>
            <w:hideMark/>
          </w:tcPr>
          <w:p w14:paraId="69735A48"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Hair et al. (2019)</w:t>
            </w:r>
          </w:p>
        </w:tc>
      </w:tr>
      <w:tr w:rsidR="0098211A" w:rsidRPr="0098211A" w14:paraId="503BA105" w14:textId="77777777" w:rsidTr="003C0439">
        <w:tc>
          <w:tcPr>
            <w:tcW w:w="0" w:type="auto"/>
            <w:hideMark/>
          </w:tcPr>
          <w:p w14:paraId="134083CF" w14:textId="77777777" w:rsidR="0098211A" w:rsidRPr="0098211A" w:rsidRDefault="0098211A" w:rsidP="00283655">
            <w:pPr>
              <w:spacing w:after="160" w:line="259" w:lineRule="auto"/>
              <w:jc w:val="both"/>
              <w:rPr>
                <w:rFonts w:ascii="Arial" w:hAnsi="Arial" w:cs="Arial"/>
                <w:sz w:val="20"/>
                <w:szCs w:val="20"/>
              </w:rPr>
            </w:pPr>
            <w:r w:rsidRPr="0098211A">
              <w:rPr>
                <w:rFonts w:ascii="Arial" w:hAnsi="Arial" w:cs="Arial"/>
                <w:sz w:val="20"/>
                <w:szCs w:val="20"/>
              </w:rPr>
              <w:t>NFI</w:t>
            </w:r>
          </w:p>
        </w:tc>
        <w:tc>
          <w:tcPr>
            <w:tcW w:w="0" w:type="auto"/>
            <w:hideMark/>
          </w:tcPr>
          <w:p w14:paraId="2D0D4962"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&gt; 0.90</w:t>
            </w:r>
          </w:p>
        </w:tc>
        <w:tc>
          <w:tcPr>
            <w:tcW w:w="0" w:type="auto"/>
            <w:hideMark/>
          </w:tcPr>
          <w:p w14:paraId="71C4FC61"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0.915</w:t>
            </w:r>
          </w:p>
        </w:tc>
        <w:tc>
          <w:tcPr>
            <w:tcW w:w="2989" w:type="dxa"/>
            <w:hideMark/>
          </w:tcPr>
          <w:p w14:paraId="2D1315E4"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Byrne (2016)</w:t>
            </w:r>
          </w:p>
        </w:tc>
      </w:tr>
      <w:tr w:rsidR="0098211A" w:rsidRPr="0098211A" w14:paraId="6EB3B41D" w14:textId="77777777" w:rsidTr="003C0439">
        <w:tc>
          <w:tcPr>
            <w:tcW w:w="0" w:type="auto"/>
            <w:hideMark/>
          </w:tcPr>
          <w:p w14:paraId="1A9D2AD0" w14:textId="77777777" w:rsidR="0098211A" w:rsidRPr="0098211A" w:rsidRDefault="0098211A" w:rsidP="00283655">
            <w:pPr>
              <w:spacing w:after="160" w:line="259" w:lineRule="auto"/>
              <w:jc w:val="both"/>
              <w:rPr>
                <w:rFonts w:ascii="Arial" w:hAnsi="Arial" w:cs="Arial"/>
                <w:sz w:val="20"/>
                <w:szCs w:val="20"/>
              </w:rPr>
            </w:pPr>
            <w:r w:rsidRPr="0098211A">
              <w:rPr>
                <w:rFonts w:ascii="Arial" w:hAnsi="Arial" w:cs="Arial"/>
                <w:sz w:val="20"/>
                <w:szCs w:val="20"/>
              </w:rPr>
              <w:t>IFI</w:t>
            </w:r>
          </w:p>
        </w:tc>
        <w:tc>
          <w:tcPr>
            <w:tcW w:w="0" w:type="auto"/>
            <w:hideMark/>
          </w:tcPr>
          <w:p w14:paraId="1A8039EB"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&gt; 0.90</w:t>
            </w:r>
          </w:p>
        </w:tc>
        <w:tc>
          <w:tcPr>
            <w:tcW w:w="0" w:type="auto"/>
            <w:hideMark/>
          </w:tcPr>
          <w:p w14:paraId="443AA35E"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0.981</w:t>
            </w:r>
          </w:p>
        </w:tc>
        <w:tc>
          <w:tcPr>
            <w:tcW w:w="2989" w:type="dxa"/>
            <w:hideMark/>
          </w:tcPr>
          <w:p w14:paraId="189A336E"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 xml:space="preserve">Hu and </w:t>
            </w:r>
            <w:proofErr w:type="spellStart"/>
            <w:r w:rsidRPr="0098211A">
              <w:rPr>
                <w:rFonts w:ascii="Arial" w:hAnsi="Arial" w:cs="Arial"/>
                <w:sz w:val="20"/>
                <w:szCs w:val="20"/>
              </w:rPr>
              <w:t>Bentler</w:t>
            </w:r>
            <w:proofErr w:type="spellEnd"/>
            <w:r w:rsidRPr="0098211A">
              <w:rPr>
                <w:rFonts w:ascii="Arial" w:hAnsi="Arial" w:cs="Arial"/>
                <w:sz w:val="20"/>
                <w:szCs w:val="20"/>
              </w:rPr>
              <w:t xml:space="preserve"> (1999)</w:t>
            </w:r>
          </w:p>
        </w:tc>
      </w:tr>
      <w:tr w:rsidR="0098211A" w:rsidRPr="0098211A" w14:paraId="7106BAAF" w14:textId="77777777" w:rsidTr="003C0439">
        <w:tc>
          <w:tcPr>
            <w:tcW w:w="0" w:type="auto"/>
            <w:hideMark/>
          </w:tcPr>
          <w:p w14:paraId="7F119C5D" w14:textId="77777777" w:rsidR="0098211A" w:rsidRPr="0098211A" w:rsidRDefault="0098211A" w:rsidP="00283655">
            <w:pPr>
              <w:spacing w:after="160" w:line="259" w:lineRule="auto"/>
              <w:jc w:val="both"/>
              <w:rPr>
                <w:rFonts w:ascii="Arial" w:hAnsi="Arial" w:cs="Arial"/>
                <w:sz w:val="20"/>
                <w:szCs w:val="20"/>
              </w:rPr>
            </w:pPr>
            <w:r w:rsidRPr="0098211A">
              <w:rPr>
                <w:rFonts w:ascii="Arial" w:hAnsi="Arial" w:cs="Arial"/>
                <w:sz w:val="20"/>
                <w:szCs w:val="20"/>
              </w:rPr>
              <w:t>TLI</w:t>
            </w:r>
          </w:p>
        </w:tc>
        <w:tc>
          <w:tcPr>
            <w:tcW w:w="0" w:type="auto"/>
            <w:hideMark/>
          </w:tcPr>
          <w:p w14:paraId="61A8A846"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&gt; 0.90</w:t>
            </w:r>
          </w:p>
        </w:tc>
        <w:tc>
          <w:tcPr>
            <w:tcW w:w="0" w:type="auto"/>
            <w:hideMark/>
          </w:tcPr>
          <w:p w14:paraId="1E4C7573"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0.979</w:t>
            </w:r>
          </w:p>
        </w:tc>
        <w:tc>
          <w:tcPr>
            <w:tcW w:w="2989" w:type="dxa"/>
            <w:hideMark/>
          </w:tcPr>
          <w:p w14:paraId="76428574"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 xml:space="preserve">Hu and </w:t>
            </w:r>
            <w:proofErr w:type="spellStart"/>
            <w:r w:rsidRPr="0098211A">
              <w:rPr>
                <w:rFonts w:ascii="Arial" w:hAnsi="Arial" w:cs="Arial"/>
                <w:sz w:val="20"/>
                <w:szCs w:val="20"/>
              </w:rPr>
              <w:t>Bentler</w:t>
            </w:r>
            <w:proofErr w:type="spellEnd"/>
            <w:r w:rsidRPr="0098211A">
              <w:rPr>
                <w:rFonts w:ascii="Arial" w:hAnsi="Arial" w:cs="Arial"/>
                <w:sz w:val="20"/>
                <w:szCs w:val="20"/>
              </w:rPr>
              <w:t xml:space="preserve"> (1999)</w:t>
            </w:r>
          </w:p>
        </w:tc>
      </w:tr>
      <w:tr w:rsidR="0098211A" w:rsidRPr="0098211A" w14:paraId="6B2761E0" w14:textId="77777777" w:rsidTr="003C0439">
        <w:tc>
          <w:tcPr>
            <w:tcW w:w="0" w:type="auto"/>
            <w:hideMark/>
          </w:tcPr>
          <w:p w14:paraId="2A34BC0B" w14:textId="77777777" w:rsidR="0098211A" w:rsidRPr="0098211A" w:rsidRDefault="0098211A" w:rsidP="00283655">
            <w:pPr>
              <w:spacing w:after="160" w:line="259" w:lineRule="auto"/>
              <w:jc w:val="both"/>
              <w:rPr>
                <w:rFonts w:ascii="Arial" w:hAnsi="Arial" w:cs="Arial"/>
                <w:sz w:val="20"/>
                <w:szCs w:val="20"/>
              </w:rPr>
            </w:pPr>
            <w:r w:rsidRPr="0098211A">
              <w:rPr>
                <w:rFonts w:ascii="Arial" w:hAnsi="Arial" w:cs="Arial"/>
                <w:sz w:val="20"/>
                <w:szCs w:val="20"/>
              </w:rPr>
              <w:t>CFI</w:t>
            </w:r>
          </w:p>
        </w:tc>
        <w:tc>
          <w:tcPr>
            <w:tcW w:w="0" w:type="auto"/>
            <w:hideMark/>
          </w:tcPr>
          <w:p w14:paraId="441EBE33"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&gt; 0.90</w:t>
            </w:r>
          </w:p>
        </w:tc>
        <w:tc>
          <w:tcPr>
            <w:tcW w:w="0" w:type="auto"/>
            <w:hideMark/>
          </w:tcPr>
          <w:p w14:paraId="6A7379F3"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0.981</w:t>
            </w:r>
          </w:p>
        </w:tc>
        <w:tc>
          <w:tcPr>
            <w:tcW w:w="2989" w:type="dxa"/>
            <w:hideMark/>
          </w:tcPr>
          <w:p w14:paraId="6B1A4DCB"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 xml:space="preserve">Hu and </w:t>
            </w:r>
            <w:proofErr w:type="spellStart"/>
            <w:r w:rsidRPr="0098211A">
              <w:rPr>
                <w:rFonts w:ascii="Arial" w:hAnsi="Arial" w:cs="Arial"/>
                <w:sz w:val="20"/>
                <w:szCs w:val="20"/>
              </w:rPr>
              <w:t>Bentler</w:t>
            </w:r>
            <w:proofErr w:type="spellEnd"/>
            <w:r w:rsidRPr="0098211A">
              <w:rPr>
                <w:rFonts w:ascii="Arial" w:hAnsi="Arial" w:cs="Arial"/>
                <w:sz w:val="20"/>
                <w:szCs w:val="20"/>
              </w:rPr>
              <w:t xml:space="preserve"> (1999)</w:t>
            </w:r>
          </w:p>
        </w:tc>
      </w:tr>
      <w:tr w:rsidR="0098211A" w:rsidRPr="0098211A" w14:paraId="4753E57D" w14:textId="77777777" w:rsidTr="003C0439">
        <w:tc>
          <w:tcPr>
            <w:tcW w:w="0" w:type="auto"/>
            <w:hideMark/>
          </w:tcPr>
          <w:p w14:paraId="60E2B566" w14:textId="77777777" w:rsidR="0098211A" w:rsidRPr="0098211A" w:rsidRDefault="0098211A" w:rsidP="00283655">
            <w:pPr>
              <w:spacing w:after="160" w:line="259" w:lineRule="auto"/>
              <w:jc w:val="both"/>
              <w:rPr>
                <w:rFonts w:ascii="Arial" w:hAnsi="Arial" w:cs="Arial"/>
                <w:sz w:val="20"/>
                <w:szCs w:val="20"/>
              </w:rPr>
            </w:pPr>
            <w:r w:rsidRPr="0098211A">
              <w:rPr>
                <w:rFonts w:ascii="Arial" w:hAnsi="Arial" w:cs="Arial"/>
                <w:sz w:val="20"/>
                <w:szCs w:val="20"/>
              </w:rPr>
              <w:t>RMSEA</w:t>
            </w:r>
          </w:p>
        </w:tc>
        <w:tc>
          <w:tcPr>
            <w:tcW w:w="0" w:type="auto"/>
            <w:hideMark/>
          </w:tcPr>
          <w:p w14:paraId="745600F7"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&lt; 0.08</w:t>
            </w:r>
          </w:p>
        </w:tc>
        <w:tc>
          <w:tcPr>
            <w:tcW w:w="0" w:type="auto"/>
            <w:hideMark/>
          </w:tcPr>
          <w:p w14:paraId="226FE7B0"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0.030</w:t>
            </w:r>
          </w:p>
        </w:tc>
        <w:tc>
          <w:tcPr>
            <w:tcW w:w="2989" w:type="dxa"/>
            <w:hideMark/>
          </w:tcPr>
          <w:p w14:paraId="3A180A67"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 xml:space="preserve">Browne and </w:t>
            </w:r>
            <w:proofErr w:type="spellStart"/>
            <w:r w:rsidRPr="0098211A">
              <w:rPr>
                <w:rFonts w:ascii="Arial" w:hAnsi="Arial" w:cs="Arial"/>
                <w:sz w:val="20"/>
                <w:szCs w:val="20"/>
              </w:rPr>
              <w:t>Cudeck</w:t>
            </w:r>
            <w:proofErr w:type="spellEnd"/>
            <w:r w:rsidRPr="0098211A">
              <w:rPr>
                <w:rFonts w:ascii="Arial" w:hAnsi="Arial" w:cs="Arial"/>
                <w:sz w:val="20"/>
                <w:szCs w:val="20"/>
              </w:rPr>
              <w:t xml:space="preserve"> (1993)</w:t>
            </w:r>
          </w:p>
        </w:tc>
      </w:tr>
      <w:tr w:rsidR="0098211A" w:rsidRPr="0098211A" w14:paraId="68EDF92E" w14:textId="77777777" w:rsidTr="003C0439">
        <w:tc>
          <w:tcPr>
            <w:tcW w:w="0" w:type="auto"/>
            <w:tcBorders>
              <w:bottom w:val="single" w:sz="4" w:space="0" w:color="auto"/>
            </w:tcBorders>
            <w:hideMark/>
          </w:tcPr>
          <w:p w14:paraId="7897BE9A" w14:textId="77777777" w:rsidR="0098211A" w:rsidRPr="0098211A" w:rsidRDefault="0098211A" w:rsidP="00283655">
            <w:pPr>
              <w:spacing w:after="160" w:line="259" w:lineRule="auto"/>
              <w:jc w:val="both"/>
              <w:rPr>
                <w:rFonts w:ascii="Arial" w:hAnsi="Arial" w:cs="Arial"/>
                <w:sz w:val="20"/>
                <w:szCs w:val="20"/>
              </w:rPr>
            </w:pPr>
            <w:r w:rsidRPr="0098211A">
              <w:rPr>
                <w:rFonts w:ascii="Arial" w:hAnsi="Arial" w:cs="Arial"/>
                <w:sz w:val="20"/>
                <w:szCs w:val="20"/>
              </w:rPr>
              <w:t>PCLOSE</w:t>
            </w:r>
          </w:p>
        </w:tc>
        <w:tc>
          <w:tcPr>
            <w:tcW w:w="0" w:type="auto"/>
            <w:tcBorders>
              <w:bottom w:val="single" w:sz="4" w:space="0" w:color="auto"/>
            </w:tcBorders>
            <w:hideMark/>
          </w:tcPr>
          <w:p w14:paraId="7078241C"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&gt; 0.05</w:t>
            </w:r>
          </w:p>
        </w:tc>
        <w:tc>
          <w:tcPr>
            <w:tcW w:w="0" w:type="auto"/>
            <w:tcBorders>
              <w:bottom w:val="single" w:sz="4" w:space="0" w:color="auto"/>
            </w:tcBorders>
            <w:hideMark/>
          </w:tcPr>
          <w:p w14:paraId="4C0E4447"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1.000</w:t>
            </w:r>
          </w:p>
        </w:tc>
        <w:tc>
          <w:tcPr>
            <w:tcW w:w="2989" w:type="dxa"/>
            <w:tcBorders>
              <w:bottom w:val="single" w:sz="4" w:space="0" w:color="auto"/>
            </w:tcBorders>
            <w:hideMark/>
          </w:tcPr>
          <w:p w14:paraId="5A5E263E"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 xml:space="preserve">Browne and </w:t>
            </w:r>
            <w:proofErr w:type="spellStart"/>
            <w:r w:rsidRPr="0098211A">
              <w:rPr>
                <w:rFonts w:ascii="Arial" w:hAnsi="Arial" w:cs="Arial"/>
                <w:sz w:val="20"/>
                <w:szCs w:val="20"/>
              </w:rPr>
              <w:t>Cudeck</w:t>
            </w:r>
            <w:proofErr w:type="spellEnd"/>
            <w:r w:rsidRPr="0098211A">
              <w:rPr>
                <w:rFonts w:ascii="Arial" w:hAnsi="Arial" w:cs="Arial"/>
                <w:sz w:val="20"/>
                <w:szCs w:val="20"/>
              </w:rPr>
              <w:t xml:space="preserve"> (1993)</w:t>
            </w:r>
          </w:p>
        </w:tc>
      </w:tr>
    </w:tbl>
    <w:p w14:paraId="0C7D3FB1" w14:textId="0FF4C188" w:rsidR="0098211A" w:rsidRDefault="003C0439" w:rsidP="0098211A">
      <w:pPr>
        <w:jc w:val="both"/>
        <w:rPr>
          <w:rFonts w:ascii="Arial" w:hAnsi="Arial" w:cs="Arial"/>
        </w:rPr>
      </w:pPr>
      <w:r w:rsidRPr="0098211A">
        <w:rPr>
          <w:rFonts w:ascii="Arial" w:hAnsi="Arial" w:cs="Arial"/>
        </w:rPr>
        <w:t>Source: Field Survey (2026)</w:t>
      </w:r>
    </w:p>
    <w:p w14:paraId="3C6CF5AE" w14:textId="77777777" w:rsidR="003C0439" w:rsidRPr="0098211A" w:rsidRDefault="003C0439" w:rsidP="0098211A">
      <w:pPr>
        <w:jc w:val="both"/>
        <w:rPr>
          <w:rFonts w:ascii="Arial" w:hAnsi="Arial" w:cs="Arial"/>
        </w:rPr>
      </w:pPr>
    </w:p>
    <w:p w14:paraId="3C0124F2" w14:textId="77777777" w:rsidR="0098211A" w:rsidRPr="0098211A" w:rsidRDefault="0098211A" w:rsidP="0098211A">
      <w:pPr>
        <w:jc w:val="both"/>
        <w:rPr>
          <w:rFonts w:ascii="Arial" w:hAnsi="Arial" w:cs="Arial"/>
        </w:rPr>
      </w:pPr>
      <w:r w:rsidRPr="0098211A">
        <w:rPr>
          <w:rFonts w:ascii="Arial" w:hAnsi="Arial" w:cs="Arial"/>
        </w:rPr>
        <w:t>Furthermore, Figure 2 validates the structural relationships within the model by demonstrating that all intra-urban logistics constraints positively and significantly influence the delivery timeliness outcomes. Traffic Congestion Constraint (TCC) has a positive predictive value on Delivery Timeliness (beta = 0.243, p &lt; 0.001), Loading and Curbside Infrastructure Constraint (LCIC) has a stronger positive predictive value (beta = 0.307, p &lt; 0.001), Regulatory and Access Restriction Constraint (RARC) is also significant (beta = 0.186, p &lt; 0.001), and Network Fragmentation and ICT Con This means that the higher the congestion, poor loading conditions, access restrictions, and coordination or ICT constraints, the higher the suppliers face delivery timeliness issues in Mile 12 operations, thus validating the importance of considering multiple constraints at once in urban logistics management.</w:t>
      </w:r>
    </w:p>
    <w:p w14:paraId="12F321DF" w14:textId="77777777" w:rsidR="0098211A" w:rsidRPr="0098211A" w:rsidRDefault="0098211A" w:rsidP="0098211A">
      <w:pPr>
        <w:jc w:val="center"/>
        <w:rPr>
          <w:rFonts w:ascii="Arial" w:hAnsi="Arial" w:cs="Arial"/>
        </w:rPr>
      </w:pPr>
      <w:r w:rsidRPr="0098211A">
        <w:rPr>
          <w:rFonts w:ascii="Arial" w:hAnsi="Arial" w:cs="Arial"/>
          <w:noProof/>
        </w:rPr>
        <w:drawing>
          <wp:inline distT="0" distB="0" distL="0" distR="0" wp14:anchorId="07CC8DCA" wp14:editId="4D682220">
            <wp:extent cx="3685602" cy="4769317"/>
            <wp:effectExtent l="0" t="8255" r="1905" b="1905"/>
            <wp:docPr id="1926607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607543" name=""/>
                    <pic:cNvPicPr/>
                  </pic:nvPicPr>
                  <pic:blipFill>
                    <a:blip r:embed="rId15"/>
                    <a:stretch>
                      <a:fillRect/>
                    </a:stretch>
                  </pic:blipFill>
                  <pic:spPr>
                    <a:xfrm rot="16200000">
                      <a:off x="0" y="0"/>
                      <a:ext cx="3694173" cy="4780408"/>
                    </a:xfrm>
                    <a:prstGeom prst="rect">
                      <a:avLst/>
                    </a:prstGeom>
                  </pic:spPr>
                </pic:pic>
              </a:graphicData>
            </a:graphic>
          </wp:inline>
        </w:drawing>
      </w:r>
    </w:p>
    <w:p w14:paraId="14672635" w14:textId="474F1A53" w:rsidR="0098211A" w:rsidRPr="0098211A" w:rsidRDefault="0098211A" w:rsidP="0098211A">
      <w:pPr>
        <w:jc w:val="center"/>
        <w:rPr>
          <w:rFonts w:ascii="Arial" w:hAnsi="Arial" w:cs="Arial"/>
        </w:rPr>
      </w:pPr>
      <w:r w:rsidRPr="0098211A">
        <w:rPr>
          <w:rFonts w:ascii="Arial" w:hAnsi="Arial" w:cs="Arial"/>
        </w:rPr>
        <w:t xml:space="preserve">Figure </w:t>
      </w:r>
      <w:r w:rsidR="00744A3D">
        <w:rPr>
          <w:rFonts w:ascii="Arial" w:hAnsi="Arial" w:cs="Arial"/>
        </w:rPr>
        <w:t>2</w:t>
      </w:r>
      <w:r w:rsidRPr="0098211A">
        <w:rPr>
          <w:rFonts w:ascii="Arial" w:hAnsi="Arial" w:cs="Arial"/>
        </w:rPr>
        <w:t>: Model Path Diagram</w:t>
      </w:r>
    </w:p>
    <w:p w14:paraId="54316996" w14:textId="77777777" w:rsidR="0098211A" w:rsidRPr="0098211A" w:rsidRDefault="0098211A" w:rsidP="0098211A">
      <w:pPr>
        <w:jc w:val="center"/>
        <w:rPr>
          <w:rFonts w:ascii="Arial" w:hAnsi="Arial" w:cs="Arial"/>
        </w:rPr>
      </w:pPr>
      <w:r w:rsidRPr="0098211A">
        <w:rPr>
          <w:rFonts w:ascii="Arial" w:hAnsi="Arial" w:cs="Arial"/>
        </w:rPr>
        <w:t>Source: Author’s Compilation (2026)</w:t>
      </w:r>
    </w:p>
    <w:p w14:paraId="06AC9163" w14:textId="77777777" w:rsidR="0098211A" w:rsidRPr="0098211A" w:rsidRDefault="0098211A" w:rsidP="0098211A">
      <w:pPr>
        <w:jc w:val="both"/>
        <w:rPr>
          <w:rFonts w:ascii="Arial" w:hAnsi="Arial" w:cs="Arial"/>
        </w:rPr>
      </w:pPr>
    </w:p>
    <w:p w14:paraId="25523A0A" w14:textId="77777777" w:rsidR="0098211A" w:rsidRPr="0098211A" w:rsidRDefault="0098211A" w:rsidP="0098211A">
      <w:pPr>
        <w:rPr>
          <w:rFonts w:ascii="Arial" w:hAnsi="Arial" w:cs="Arial"/>
          <w:b/>
          <w:bCs/>
          <w:i/>
          <w:iCs/>
        </w:rPr>
      </w:pPr>
      <w:r w:rsidRPr="0098211A">
        <w:rPr>
          <w:rFonts w:ascii="Arial" w:hAnsi="Arial" w:cs="Arial"/>
          <w:b/>
          <w:bCs/>
          <w:i/>
          <w:iCs/>
        </w:rPr>
        <w:t>4.4</w:t>
      </w:r>
      <w:r w:rsidRPr="0098211A">
        <w:rPr>
          <w:rFonts w:ascii="Arial" w:hAnsi="Arial" w:cs="Arial"/>
          <w:b/>
          <w:bCs/>
          <w:i/>
          <w:iCs/>
        </w:rPr>
        <w:tab/>
        <w:t>Test of Hypotheses</w:t>
      </w:r>
    </w:p>
    <w:p w14:paraId="5E895883" w14:textId="77777777" w:rsidR="0098211A" w:rsidRDefault="0098211A" w:rsidP="0098211A">
      <w:pPr>
        <w:jc w:val="both"/>
        <w:rPr>
          <w:rFonts w:ascii="Arial" w:hAnsi="Arial" w:cs="Arial"/>
        </w:rPr>
      </w:pPr>
      <w:r w:rsidRPr="0098211A">
        <w:rPr>
          <w:rFonts w:ascii="Arial" w:hAnsi="Arial" w:cs="Arial"/>
        </w:rPr>
        <w:t xml:space="preserve">Table 4 results indicate that the intra-urban logistics constraints have a significant positive impact on delivery timeliness (DT), i.e., the null hypotheses (H01-H04) were not accepted. In particular, Traffic Congestion Constraint (TCC) has a significant impact on DT (Beta = 0.243, C.R. = 4.790, p &lt; 0.001), which means that congestion-related conditions are influential in the delivery timeliness outcomes among Mile 12 suppliers. The greatest impact was on Loading and Curbside Infrastructure Constraint (LCIC) (Beta = 0.307, C.R. = 5.404, p &lt; 0.001), which means that the most significant constraint on timeliness of delivery is the challenges associated with parking, loading space, road access, and local infrastructure. Regulatory and Access Restriction Constraint (RARC) also plays a major role in DT (Beta = 0.186, C.R. = 3.763, p &lt; 0.001), indicating that enforcement issues, movement restrictions, and compliance barriers continue to play a significant role in timeliness performance. Network Fragmentation and ICT Constraint (NFIC) are also important (Beta = 0.285, C.R. = 5.574, p &lt; 0.001), indicating that weak coordination, limited tracking, and poor information flow contribute to the </w:t>
      </w:r>
      <w:r w:rsidRPr="0098211A">
        <w:rPr>
          <w:rFonts w:ascii="Arial" w:hAnsi="Arial" w:cs="Arial"/>
        </w:rPr>
        <w:lastRenderedPageBreak/>
        <w:t>delivery timeliness challenges, and overall, the findings indicate that the delivery timeliness in Mile 12 is co-determined by operational, infrastructural, regulatory, and coordination constraints.</w:t>
      </w:r>
    </w:p>
    <w:p w14:paraId="13AD840A" w14:textId="77777777" w:rsidR="003C0439" w:rsidRPr="0098211A" w:rsidRDefault="003C0439" w:rsidP="0098211A">
      <w:pPr>
        <w:jc w:val="both"/>
        <w:rPr>
          <w:rFonts w:ascii="Arial" w:hAnsi="Arial" w:cs="Arial"/>
        </w:rPr>
      </w:pPr>
    </w:p>
    <w:p w14:paraId="56159359" w14:textId="77777777" w:rsidR="0098211A" w:rsidRDefault="0098211A" w:rsidP="0098211A">
      <w:pPr>
        <w:rPr>
          <w:rFonts w:ascii="Arial" w:hAnsi="Arial" w:cs="Arial"/>
          <w:b/>
          <w:bCs/>
        </w:rPr>
      </w:pPr>
      <w:r w:rsidRPr="0098211A">
        <w:rPr>
          <w:rFonts w:ascii="Arial" w:hAnsi="Arial" w:cs="Arial"/>
          <w:b/>
          <w:bCs/>
        </w:rPr>
        <w:t xml:space="preserve">Table 4: Hypotheses testing results </w:t>
      </w:r>
    </w:p>
    <w:p w14:paraId="4A1A41E5" w14:textId="77777777" w:rsidR="00B727B1" w:rsidRPr="0098211A" w:rsidRDefault="00B727B1" w:rsidP="0098211A">
      <w:pPr>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5"/>
        <w:gridCol w:w="1344"/>
        <w:gridCol w:w="1672"/>
        <w:gridCol w:w="717"/>
        <w:gridCol w:w="717"/>
        <w:gridCol w:w="928"/>
        <w:gridCol w:w="1128"/>
      </w:tblGrid>
      <w:tr w:rsidR="0098211A" w:rsidRPr="0098211A" w14:paraId="28C192A1" w14:textId="77777777" w:rsidTr="003C0439">
        <w:tc>
          <w:tcPr>
            <w:tcW w:w="0" w:type="auto"/>
            <w:tcBorders>
              <w:top w:val="single" w:sz="4" w:space="0" w:color="auto"/>
              <w:bottom w:val="single" w:sz="4" w:space="0" w:color="auto"/>
            </w:tcBorders>
            <w:hideMark/>
          </w:tcPr>
          <w:p w14:paraId="14C29D8B" w14:textId="77777777" w:rsidR="0098211A" w:rsidRPr="0098211A" w:rsidRDefault="0098211A" w:rsidP="00283655">
            <w:pPr>
              <w:spacing w:after="160" w:line="259" w:lineRule="auto"/>
              <w:rPr>
                <w:rFonts w:ascii="Arial" w:hAnsi="Arial" w:cs="Arial"/>
                <w:b/>
                <w:bCs/>
                <w:sz w:val="20"/>
                <w:szCs w:val="20"/>
              </w:rPr>
            </w:pPr>
            <w:r w:rsidRPr="0098211A">
              <w:rPr>
                <w:rFonts w:ascii="Arial" w:hAnsi="Arial" w:cs="Arial"/>
                <w:b/>
                <w:bCs/>
                <w:sz w:val="20"/>
                <w:szCs w:val="20"/>
              </w:rPr>
              <w:t>Hypothesis</w:t>
            </w:r>
          </w:p>
        </w:tc>
        <w:tc>
          <w:tcPr>
            <w:tcW w:w="0" w:type="auto"/>
            <w:tcBorders>
              <w:top w:val="single" w:sz="4" w:space="0" w:color="auto"/>
              <w:bottom w:val="single" w:sz="4" w:space="0" w:color="auto"/>
            </w:tcBorders>
            <w:hideMark/>
          </w:tcPr>
          <w:p w14:paraId="092299AB" w14:textId="77777777" w:rsidR="0098211A" w:rsidRPr="0098211A" w:rsidRDefault="0098211A" w:rsidP="00283655">
            <w:pPr>
              <w:spacing w:after="160" w:line="259" w:lineRule="auto"/>
              <w:rPr>
                <w:rFonts w:ascii="Arial" w:hAnsi="Arial" w:cs="Arial"/>
                <w:b/>
                <w:bCs/>
                <w:sz w:val="20"/>
                <w:szCs w:val="20"/>
              </w:rPr>
            </w:pPr>
            <w:r w:rsidRPr="0098211A">
              <w:rPr>
                <w:rFonts w:ascii="Arial" w:hAnsi="Arial" w:cs="Arial"/>
                <w:b/>
                <w:bCs/>
                <w:sz w:val="20"/>
                <w:szCs w:val="20"/>
              </w:rPr>
              <w:t>Path</w:t>
            </w:r>
          </w:p>
        </w:tc>
        <w:tc>
          <w:tcPr>
            <w:tcW w:w="0" w:type="auto"/>
            <w:tcBorders>
              <w:top w:val="single" w:sz="4" w:space="0" w:color="auto"/>
              <w:bottom w:val="single" w:sz="4" w:space="0" w:color="auto"/>
            </w:tcBorders>
            <w:hideMark/>
          </w:tcPr>
          <w:p w14:paraId="0F6DE321" w14:textId="77777777" w:rsidR="0098211A" w:rsidRPr="0098211A" w:rsidRDefault="0098211A" w:rsidP="00283655">
            <w:pPr>
              <w:spacing w:after="160" w:line="259" w:lineRule="auto"/>
              <w:rPr>
                <w:rFonts w:ascii="Arial" w:hAnsi="Arial" w:cs="Arial"/>
                <w:b/>
                <w:bCs/>
                <w:sz w:val="20"/>
                <w:szCs w:val="20"/>
              </w:rPr>
            </w:pPr>
            <w:r w:rsidRPr="0098211A">
              <w:rPr>
                <w:rFonts w:ascii="Arial" w:hAnsi="Arial" w:cs="Arial"/>
                <w:b/>
                <w:bCs/>
                <w:sz w:val="20"/>
                <w:szCs w:val="20"/>
              </w:rPr>
              <w:t>Estimate (Beta)</w:t>
            </w:r>
          </w:p>
        </w:tc>
        <w:tc>
          <w:tcPr>
            <w:tcW w:w="0" w:type="auto"/>
            <w:tcBorders>
              <w:top w:val="single" w:sz="4" w:space="0" w:color="auto"/>
              <w:bottom w:val="single" w:sz="4" w:space="0" w:color="auto"/>
            </w:tcBorders>
            <w:hideMark/>
          </w:tcPr>
          <w:p w14:paraId="05AF30B3" w14:textId="77777777" w:rsidR="0098211A" w:rsidRPr="0098211A" w:rsidRDefault="0098211A" w:rsidP="00283655">
            <w:pPr>
              <w:spacing w:after="160" w:line="259" w:lineRule="auto"/>
              <w:rPr>
                <w:rFonts w:ascii="Arial" w:hAnsi="Arial" w:cs="Arial"/>
                <w:b/>
                <w:bCs/>
                <w:sz w:val="20"/>
                <w:szCs w:val="20"/>
              </w:rPr>
            </w:pPr>
            <w:r w:rsidRPr="0098211A">
              <w:rPr>
                <w:rFonts w:ascii="Arial" w:hAnsi="Arial" w:cs="Arial"/>
                <w:b/>
                <w:bCs/>
                <w:sz w:val="20"/>
                <w:szCs w:val="20"/>
              </w:rPr>
              <w:t>S.E.</w:t>
            </w:r>
          </w:p>
        </w:tc>
        <w:tc>
          <w:tcPr>
            <w:tcW w:w="0" w:type="auto"/>
            <w:tcBorders>
              <w:top w:val="single" w:sz="4" w:space="0" w:color="auto"/>
              <w:bottom w:val="single" w:sz="4" w:space="0" w:color="auto"/>
            </w:tcBorders>
            <w:hideMark/>
          </w:tcPr>
          <w:p w14:paraId="2CEBEFFC" w14:textId="77777777" w:rsidR="0098211A" w:rsidRPr="0098211A" w:rsidRDefault="0098211A" w:rsidP="00283655">
            <w:pPr>
              <w:spacing w:after="160" w:line="259" w:lineRule="auto"/>
              <w:rPr>
                <w:rFonts w:ascii="Arial" w:hAnsi="Arial" w:cs="Arial"/>
                <w:b/>
                <w:bCs/>
                <w:sz w:val="20"/>
                <w:szCs w:val="20"/>
              </w:rPr>
            </w:pPr>
            <w:r w:rsidRPr="0098211A">
              <w:rPr>
                <w:rFonts w:ascii="Arial" w:hAnsi="Arial" w:cs="Arial"/>
                <w:b/>
                <w:bCs/>
                <w:sz w:val="20"/>
                <w:szCs w:val="20"/>
              </w:rPr>
              <w:t>C.R.</w:t>
            </w:r>
          </w:p>
        </w:tc>
        <w:tc>
          <w:tcPr>
            <w:tcW w:w="0" w:type="auto"/>
            <w:tcBorders>
              <w:top w:val="single" w:sz="4" w:space="0" w:color="auto"/>
              <w:bottom w:val="single" w:sz="4" w:space="0" w:color="auto"/>
            </w:tcBorders>
            <w:hideMark/>
          </w:tcPr>
          <w:p w14:paraId="72626FC9" w14:textId="77777777" w:rsidR="0098211A" w:rsidRPr="0098211A" w:rsidRDefault="0098211A" w:rsidP="00283655">
            <w:pPr>
              <w:spacing w:after="160" w:line="259" w:lineRule="auto"/>
              <w:rPr>
                <w:rFonts w:ascii="Arial" w:hAnsi="Arial" w:cs="Arial"/>
                <w:b/>
                <w:bCs/>
                <w:sz w:val="20"/>
                <w:szCs w:val="20"/>
              </w:rPr>
            </w:pPr>
            <w:r w:rsidRPr="0098211A">
              <w:rPr>
                <w:rFonts w:ascii="Arial" w:hAnsi="Arial" w:cs="Arial"/>
                <w:b/>
                <w:bCs/>
                <w:sz w:val="20"/>
                <w:szCs w:val="20"/>
              </w:rPr>
              <w:t>P-value</w:t>
            </w:r>
          </w:p>
        </w:tc>
        <w:tc>
          <w:tcPr>
            <w:tcW w:w="0" w:type="auto"/>
            <w:tcBorders>
              <w:top w:val="single" w:sz="4" w:space="0" w:color="auto"/>
              <w:bottom w:val="single" w:sz="4" w:space="0" w:color="auto"/>
            </w:tcBorders>
            <w:hideMark/>
          </w:tcPr>
          <w:p w14:paraId="456758AC" w14:textId="77777777" w:rsidR="0098211A" w:rsidRPr="0098211A" w:rsidRDefault="0098211A" w:rsidP="00283655">
            <w:pPr>
              <w:spacing w:after="160" w:line="259" w:lineRule="auto"/>
              <w:rPr>
                <w:rFonts w:ascii="Arial" w:hAnsi="Arial" w:cs="Arial"/>
                <w:b/>
                <w:bCs/>
                <w:sz w:val="20"/>
                <w:szCs w:val="20"/>
              </w:rPr>
            </w:pPr>
            <w:r w:rsidRPr="0098211A">
              <w:rPr>
                <w:rFonts w:ascii="Arial" w:hAnsi="Arial" w:cs="Arial"/>
                <w:b/>
                <w:bCs/>
                <w:sz w:val="20"/>
                <w:szCs w:val="20"/>
              </w:rPr>
              <w:t>Decision</w:t>
            </w:r>
          </w:p>
        </w:tc>
      </w:tr>
      <w:tr w:rsidR="0098211A" w:rsidRPr="0098211A" w14:paraId="2E985FFD" w14:textId="77777777" w:rsidTr="003C0439">
        <w:tc>
          <w:tcPr>
            <w:tcW w:w="0" w:type="auto"/>
            <w:tcBorders>
              <w:top w:val="single" w:sz="4" w:space="0" w:color="auto"/>
            </w:tcBorders>
            <w:hideMark/>
          </w:tcPr>
          <w:p w14:paraId="252303A8"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H</w:t>
            </w:r>
            <w:r w:rsidRPr="0098211A">
              <w:rPr>
                <w:rFonts w:ascii="Arial" w:hAnsi="Arial" w:cs="Arial"/>
                <w:sz w:val="20"/>
                <w:szCs w:val="20"/>
                <w:vertAlign w:val="subscript"/>
              </w:rPr>
              <w:t>01</w:t>
            </w:r>
          </w:p>
        </w:tc>
        <w:tc>
          <w:tcPr>
            <w:tcW w:w="0" w:type="auto"/>
            <w:tcBorders>
              <w:top w:val="single" w:sz="4" w:space="0" w:color="auto"/>
            </w:tcBorders>
            <w:hideMark/>
          </w:tcPr>
          <w:p w14:paraId="4B4FFD5A"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DT &lt;- TCC</w:t>
            </w:r>
          </w:p>
        </w:tc>
        <w:tc>
          <w:tcPr>
            <w:tcW w:w="0" w:type="auto"/>
            <w:tcBorders>
              <w:top w:val="single" w:sz="4" w:space="0" w:color="auto"/>
            </w:tcBorders>
            <w:hideMark/>
          </w:tcPr>
          <w:p w14:paraId="56B73DCF"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0.243</w:t>
            </w:r>
          </w:p>
        </w:tc>
        <w:tc>
          <w:tcPr>
            <w:tcW w:w="0" w:type="auto"/>
            <w:tcBorders>
              <w:top w:val="single" w:sz="4" w:space="0" w:color="auto"/>
            </w:tcBorders>
            <w:hideMark/>
          </w:tcPr>
          <w:p w14:paraId="4ECB1F6A"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0.051</w:t>
            </w:r>
          </w:p>
        </w:tc>
        <w:tc>
          <w:tcPr>
            <w:tcW w:w="0" w:type="auto"/>
            <w:tcBorders>
              <w:top w:val="single" w:sz="4" w:space="0" w:color="auto"/>
            </w:tcBorders>
            <w:hideMark/>
          </w:tcPr>
          <w:p w14:paraId="618110F4"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4.790</w:t>
            </w:r>
          </w:p>
        </w:tc>
        <w:tc>
          <w:tcPr>
            <w:tcW w:w="0" w:type="auto"/>
            <w:tcBorders>
              <w:top w:val="single" w:sz="4" w:space="0" w:color="auto"/>
            </w:tcBorders>
            <w:hideMark/>
          </w:tcPr>
          <w:p w14:paraId="2F744C9D"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&lt;0.001</w:t>
            </w:r>
          </w:p>
        </w:tc>
        <w:tc>
          <w:tcPr>
            <w:tcW w:w="0" w:type="auto"/>
            <w:tcBorders>
              <w:top w:val="single" w:sz="4" w:space="0" w:color="auto"/>
            </w:tcBorders>
            <w:hideMark/>
          </w:tcPr>
          <w:p w14:paraId="1BABF310"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Reject H</w:t>
            </w:r>
            <w:r w:rsidRPr="0098211A">
              <w:rPr>
                <w:rFonts w:ascii="Arial" w:hAnsi="Arial" w:cs="Arial"/>
                <w:sz w:val="20"/>
                <w:szCs w:val="20"/>
                <w:vertAlign w:val="subscript"/>
              </w:rPr>
              <w:t>01</w:t>
            </w:r>
          </w:p>
        </w:tc>
      </w:tr>
      <w:tr w:rsidR="0098211A" w:rsidRPr="0098211A" w14:paraId="37F1168F" w14:textId="77777777" w:rsidTr="003C0439">
        <w:tc>
          <w:tcPr>
            <w:tcW w:w="0" w:type="auto"/>
            <w:hideMark/>
          </w:tcPr>
          <w:p w14:paraId="26A74913"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H</w:t>
            </w:r>
            <w:r w:rsidRPr="0098211A">
              <w:rPr>
                <w:rFonts w:ascii="Arial" w:hAnsi="Arial" w:cs="Arial"/>
                <w:sz w:val="20"/>
                <w:szCs w:val="20"/>
                <w:vertAlign w:val="subscript"/>
              </w:rPr>
              <w:t>02</w:t>
            </w:r>
          </w:p>
        </w:tc>
        <w:tc>
          <w:tcPr>
            <w:tcW w:w="0" w:type="auto"/>
            <w:hideMark/>
          </w:tcPr>
          <w:p w14:paraId="7AAB2169"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DT &lt;- LCIC</w:t>
            </w:r>
          </w:p>
        </w:tc>
        <w:tc>
          <w:tcPr>
            <w:tcW w:w="0" w:type="auto"/>
            <w:hideMark/>
          </w:tcPr>
          <w:p w14:paraId="122DAC3D"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0.307</w:t>
            </w:r>
          </w:p>
        </w:tc>
        <w:tc>
          <w:tcPr>
            <w:tcW w:w="0" w:type="auto"/>
            <w:hideMark/>
          </w:tcPr>
          <w:p w14:paraId="7D3553A2"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0.057</w:t>
            </w:r>
          </w:p>
        </w:tc>
        <w:tc>
          <w:tcPr>
            <w:tcW w:w="0" w:type="auto"/>
            <w:hideMark/>
          </w:tcPr>
          <w:p w14:paraId="01D665E4"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5.404</w:t>
            </w:r>
          </w:p>
        </w:tc>
        <w:tc>
          <w:tcPr>
            <w:tcW w:w="0" w:type="auto"/>
            <w:hideMark/>
          </w:tcPr>
          <w:p w14:paraId="190F8F02"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&lt;0.001</w:t>
            </w:r>
          </w:p>
        </w:tc>
        <w:tc>
          <w:tcPr>
            <w:tcW w:w="0" w:type="auto"/>
            <w:hideMark/>
          </w:tcPr>
          <w:p w14:paraId="04EDF588"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Reject H</w:t>
            </w:r>
            <w:r w:rsidRPr="0098211A">
              <w:rPr>
                <w:rFonts w:ascii="Arial" w:hAnsi="Arial" w:cs="Arial"/>
                <w:sz w:val="20"/>
                <w:szCs w:val="20"/>
                <w:vertAlign w:val="subscript"/>
              </w:rPr>
              <w:t>02</w:t>
            </w:r>
          </w:p>
        </w:tc>
      </w:tr>
      <w:tr w:rsidR="0098211A" w:rsidRPr="0098211A" w14:paraId="5BF65733" w14:textId="77777777" w:rsidTr="003C0439">
        <w:tc>
          <w:tcPr>
            <w:tcW w:w="0" w:type="auto"/>
            <w:hideMark/>
          </w:tcPr>
          <w:p w14:paraId="36FB2F9C"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H</w:t>
            </w:r>
            <w:r w:rsidRPr="0098211A">
              <w:rPr>
                <w:rFonts w:ascii="Arial" w:hAnsi="Arial" w:cs="Arial"/>
                <w:sz w:val="20"/>
                <w:szCs w:val="20"/>
                <w:vertAlign w:val="subscript"/>
              </w:rPr>
              <w:t>03</w:t>
            </w:r>
          </w:p>
        </w:tc>
        <w:tc>
          <w:tcPr>
            <w:tcW w:w="0" w:type="auto"/>
            <w:hideMark/>
          </w:tcPr>
          <w:p w14:paraId="5D5E4E55"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DT &lt;- RARC</w:t>
            </w:r>
          </w:p>
        </w:tc>
        <w:tc>
          <w:tcPr>
            <w:tcW w:w="0" w:type="auto"/>
            <w:hideMark/>
          </w:tcPr>
          <w:p w14:paraId="05F00AD8"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0.186</w:t>
            </w:r>
          </w:p>
        </w:tc>
        <w:tc>
          <w:tcPr>
            <w:tcW w:w="0" w:type="auto"/>
            <w:hideMark/>
          </w:tcPr>
          <w:p w14:paraId="64DCAC86"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0.049</w:t>
            </w:r>
          </w:p>
        </w:tc>
        <w:tc>
          <w:tcPr>
            <w:tcW w:w="0" w:type="auto"/>
            <w:hideMark/>
          </w:tcPr>
          <w:p w14:paraId="00D38965"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3.763</w:t>
            </w:r>
          </w:p>
        </w:tc>
        <w:tc>
          <w:tcPr>
            <w:tcW w:w="0" w:type="auto"/>
            <w:hideMark/>
          </w:tcPr>
          <w:p w14:paraId="4E4A8CB5"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&lt;0.001</w:t>
            </w:r>
          </w:p>
        </w:tc>
        <w:tc>
          <w:tcPr>
            <w:tcW w:w="0" w:type="auto"/>
            <w:hideMark/>
          </w:tcPr>
          <w:p w14:paraId="1D04CB42"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Reject H</w:t>
            </w:r>
            <w:r w:rsidRPr="0098211A">
              <w:rPr>
                <w:rFonts w:ascii="Arial" w:hAnsi="Arial" w:cs="Arial"/>
                <w:sz w:val="20"/>
                <w:szCs w:val="20"/>
                <w:vertAlign w:val="subscript"/>
              </w:rPr>
              <w:t>03</w:t>
            </w:r>
          </w:p>
        </w:tc>
      </w:tr>
      <w:tr w:rsidR="0098211A" w:rsidRPr="0098211A" w14:paraId="14AF5FC0" w14:textId="77777777" w:rsidTr="003C0439">
        <w:tc>
          <w:tcPr>
            <w:tcW w:w="0" w:type="auto"/>
            <w:tcBorders>
              <w:bottom w:val="single" w:sz="4" w:space="0" w:color="auto"/>
            </w:tcBorders>
            <w:hideMark/>
          </w:tcPr>
          <w:p w14:paraId="147C3086"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H</w:t>
            </w:r>
            <w:r w:rsidRPr="0098211A">
              <w:rPr>
                <w:rFonts w:ascii="Arial" w:hAnsi="Arial" w:cs="Arial"/>
                <w:sz w:val="20"/>
                <w:szCs w:val="20"/>
                <w:vertAlign w:val="subscript"/>
              </w:rPr>
              <w:t>04</w:t>
            </w:r>
          </w:p>
        </w:tc>
        <w:tc>
          <w:tcPr>
            <w:tcW w:w="0" w:type="auto"/>
            <w:tcBorders>
              <w:bottom w:val="single" w:sz="4" w:space="0" w:color="auto"/>
            </w:tcBorders>
            <w:hideMark/>
          </w:tcPr>
          <w:p w14:paraId="7B5E34DB"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DT &lt;- NFIC</w:t>
            </w:r>
          </w:p>
        </w:tc>
        <w:tc>
          <w:tcPr>
            <w:tcW w:w="0" w:type="auto"/>
            <w:tcBorders>
              <w:bottom w:val="single" w:sz="4" w:space="0" w:color="auto"/>
            </w:tcBorders>
            <w:hideMark/>
          </w:tcPr>
          <w:p w14:paraId="681EADE4"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0.285</w:t>
            </w:r>
          </w:p>
        </w:tc>
        <w:tc>
          <w:tcPr>
            <w:tcW w:w="0" w:type="auto"/>
            <w:tcBorders>
              <w:bottom w:val="single" w:sz="4" w:space="0" w:color="auto"/>
            </w:tcBorders>
            <w:hideMark/>
          </w:tcPr>
          <w:p w14:paraId="7C01F93D"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0.051</w:t>
            </w:r>
          </w:p>
        </w:tc>
        <w:tc>
          <w:tcPr>
            <w:tcW w:w="0" w:type="auto"/>
            <w:tcBorders>
              <w:bottom w:val="single" w:sz="4" w:space="0" w:color="auto"/>
            </w:tcBorders>
            <w:hideMark/>
          </w:tcPr>
          <w:p w14:paraId="72C38B33"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5.574</w:t>
            </w:r>
          </w:p>
        </w:tc>
        <w:tc>
          <w:tcPr>
            <w:tcW w:w="0" w:type="auto"/>
            <w:tcBorders>
              <w:bottom w:val="single" w:sz="4" w:space="0" w:color="auto"/>
            </w:tcBorders>
            <w:hideMark/>
          </w:tcPr>
          <w:p w14:paraId="52C00F0C"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&lt;0.001</w:t>
            </w:r>
          </w:p>
        </w:tc>
        <w:tc>
          <w:tcPr>
            <w:tcW w:w="0" w:type="auto"/>
            <w:tcBorders>
              <w:bottom w:val="single" w:sz="4" w:space="0" w:color="auto"/>
            </w:tcBorders>
            <w:hideMark/>
          </w:tcPr>
          <w:p w14:paraId="2D0E3260"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Reject H</w:t>
            </w:r>
            <w:r w:rsidRPr="0098211A">
              <w:rPr>
                <w:rFonts w:ascii="Arial" w:hAnsi="Arial" w:cs="Arial"/>
                <w:sz w:val="20"/>
                <w:szCs w:val="20"/>
                <w:vertAlign w:val="subscript"/>
              </w:rPr>
              <w:t>04</w:t>
            </w:r>
          </w:p>
        </w:tc>
      </w:tr>
    </w:tbl>
    <w:p w14:paraId="26F8F82E" w14:textId="77777777" w:rsidR="0098211A" w:rsidRPr="0098211A" w:rsidRDefault="0098211A" w:rsidP="0098211A">
      <w:pPr>
        <w:rPr>
          <w:rFonts w:ascii="Arial" w:hAnsi="Arial" w:cs="Arial"/>
          <w:b/>
          <w:bCs/>
        </w:rPr>
      </w:pPr>
    </w:p>
    <w:p w14:paraId="3855D5BA" w14:textId="77777777" w:rsidR="0098211A" w:rsidRPr="0098211A" w:rsidRDefault="0098211A" w:rsidP="0098211A">
      <w:pPr>
        <w:rPr>
          <w:rFonts w:ascii="Arial" w:hAnsi="Arial" w:cs="Arial"/>
          <w:b/>
          <w:bCs/>
          <w:i/>
          <w:iCs/>
        </w:rPr>
      </w:pPr>
      <w:r w:rsidRPr="0098211A">
        <w:rPr>
          <w:rFonts w:ascii="Arial" w:hAnsi="Arial" w:cs="Arial"/>
          <w:b/>
          <w:bCs/>
          <w:i/>
          <w:iCs/>
        </w:rPr>
        <w:t>4.5</w:t>
      </w:r>
      <w:r w:rsidRPr="0098211A">
        <w:rPr>
          <w:rFonts w:ascii="Arial" w:hAnsi="Arial" w:cs="Arial"/>
          <w:b/>
          <w:bCs/>
          <w:i/>
          <w:iCs/>
        </w:rPr>
        <w:tab/>
        <w:t>Discussion of Findings</w:t>
      </w:r>
    </w:p>
    <w:p w14:paraId="4FF51251" w14:textId="77777777" w:rsidR="0098211A" w:rsidRPr="00B727B1" w:rsidRDefault="0098211A" w:rsidP="0098211A">
      <w:pPr>
        <w:jc w:val="both"/>
        <w:rPr>
          <w:rFonts w:ascii="Arial" w:hAnsi="Arial" w:cs="Arial"/>
        </w:rPr>
      </w:pPr>
      <w:r w:rsidRPr="0098211A">
        <w:rPr>
          <w:rFonts w:ascii="Arial" w:hAnsi="Arial" w:cs="Arial"/>
        </w:rPr>
        <w:t xml:space="preserve">The research findings indicate that intra-urban logistics bottlenecks play a major role in determining the timeliness of deliveries among market-based suppliers in Mile 12, meaning that the delay in deliveries is more influenced by operational constraints in the urban setting than by supplier effort. The constraint of loading and curbside infrastructure had the greatest impact (beta = 0.307), which is consistent with </w:t>
      </w:r>
      <w:proofErr w:type="spellStart"/>
      <w:r w:rsidRPr="0098211A">
        <w:rPr>
          <w:rFonts w:ascii="Arial" w:hAnsi="Arial" w:cs="Arial"/>
        </w:rPr>
        <w:t>Bosona</w:t>
      </w:r>
      <w:proofErr w:type="spellEnd"/>
      <w:r w:rsidRPr="0098211A">
        <w:rPr>
          <w:rFonts w:ascii="Arial" w:hAnsi="Arial" w:cs="Arial"/>
        </w:rPr>
        <w:t xml:space="preserve"> (2020) who states that insufficient loading space, bad access roads, and weak last-meter infrastructure are the primary sources of inefficiency in urban freight since they raise dwell time, parking search time, and unloading delays. Network fragmentation and ICT constraint also were high and significant (beta = 0.285), and this is supported by the research of Gutiérrez-Franco et al. (2021) that highlights the importance of real-time information and data-driven decision support in controlling delays in last-mile operations. Likewise, Giuffrida et al. (2022) confirm this finding by stating that </w:t>
      </w:r>
      <w:proofErr w:type="spellStart"/>
      <w:r w:rsidRPr="0098211A">
        <w:rPr>
          <w:rFonts w:ascii="Arial" w:hAnsi="Arial" w:cs="Arial"/>
        </w:rPr>
        <w:t>optimisation</w:t>
      </w:r>
      <w:proofErr w:type="spellEnd"/>
      <w:r w:rsidRPr="0098211A">
        <w:rPr>
          <w:rFonts w:ascii="Arial" w:hAnsi="Arial" w:cs="Arial"/>
        </w:rPr>
        <w:t xml:space="preserve"> and intelligent routing tools </w:t>
      </w:r>
      <w:proofErr w:type="spellStart"/>
      <w:r w:rsidRPr="0098211A">
        <w:rPr>
          <w:rFonts w:ascii="Arial" w:hAnsi="Arial" w:cs="Arial"/>
        </w:rPr>
        <w:t>minimise</w:t>
      </w:r>
      <w:proofErr w:type="spellEnd"/>
      <w:r w:rsidRPr="0098211A">
        <w:rPr>
          <w:rFonts w:ascii="Arial" w:hAnsi="Arial" w:cs="Arial"/>
        </w:rPr>
        <w:t xml:space="preserve"> the variability of deliveries, i.e. low ICT integration in Mile 12 generates unnecessary delays due to poor coordination and visibility. Traffic congestion constraint had a significant impact on delivery timeliness (beta = 0.243), which confirms Allen et al. (2017) who demonstrated that the growth of urban delivery activity under the pressure of e-commerce increases exposure to congestion and disruption of last-mile schedules. The result also aligns with Muriel et al. (2022) that congestion and delivery policies interact to deteriorate the performance of the traffic network, and delay patterns are more intense in dense commercial areas. The weakest predictor, regulatory and access restriction constraint, was still significant (beta = 0.186), and this is consistent with Navarro et al. (2021) who emphasized that local access conditions and</w:t>
      </w:r>
      <w:r w:rsidRPr="00B727B1">
        <w:rPr>
          <w:rFonts w:ascii="Arial" w:hAnsi="Arial" w:cs="Arial"/>
        </w:rPr>
        <w:t xml:space="preserve"> urban control measures influence delivery reliability and consumer service outcomes. In general, the findings support the thesis of </w:t>
      </w:r>
      <w:proofErr w:type="spellStart"/>
      <w:r w:rsidRPr="00B727B1">
        <w:rPr>
          <w:rFonts w:ascii="Arial" w:hAnsi="Arial" w:cs="Arial"/>
        </w:rPr>
        <w:t>Kervinoael</w:t>
      </w:r>
      <w:proofErr w:type="spellEnd"/>
      <w:r w:rsidRPr="00B727B1">
        <w:rPr>
          <w:rFonts w:ascii="Arial" w:hAnsi="Arial" w:cs="Arial"/>
        </w:rPr>
        <w:t xml:space="preserve"> et al. (2020) that time-based delivery promises impose a high level of pressure on urban delivery workers, and in case of severe constraints, timeliness is hard to maintain, undermining service reliability and competitiveness of suppliers.</w:t>
      </w:r>
    </w:p>
    <w:p w14:paraId="03372702" w14:textId="482F0828" w:rsidR="00C30A0F" w:rsidRPr="00B727B1" w:rsidRDefault="00C30A0F" w:rsidP="00441B6F">
      <w:pPr>
        <w:pStyle w:val="Body"/>
        <w:spacing w:after="0"/>
        <w:rPr>
          <w:rFonts w:ascii="Arial" w:hAnsi="Arial" w:cs="Arial"/>
        </w:rPr>
      </w:pPr>
    </w:p>
    <w:p w14:paraId="04AA5693" w14:textId="3D78C3D7" w:rsidR="00B01FCD" w:rsidRPr="00B727B1" w:rsidRDefault="00000F8F" w:rsidP="00441B6F">
      <w:pPr>
        <w:pStyle w:val="ConcHead"/>
        <w:spacing w:after="0"/>
        <w:jc w:val="both"/>
        <w:rPr>
          <w:rFonts w:ascii="Arial" w:hAnsi="Arial" w:cs="Arial"/>
          <w:sz w:val="20"/>
        </w:rPr>
      </w:pPr>
      <w:r w:rsidRPr="00B727B1">
        <w:rPr>
          <w:rFonts w:ascii="Arial" w:hAnsi="Arial" w:cs="Arial"/>
          <w:sz w:val="20"/>
        </w:rPr>
        <w:t xml:space="preserve">4. </w:t>
      </w:r>
      <w:r w:rsidR="00B01FCD" w:rsidRPr="00B727B1">
        <w:rPr>
          <w:rFonts w:ascii="Arial" w:hAnsi="Arial" w:cs="Arial"/>
          <w:sz w:val="20"/>
        </w:rPr>
        <w:t>Conclusion</w:t>
      </w:r>
      <w:r w:rsidR="00B727B1" w:rsidRPr="00B727B1">
        <w:rPr>
          <w:rFonts w:ascii="Arial" w:hAnsi="Arial" w:cs="Arial"/>
          <w:sz w:val="20"/>
        </w:rPr>
        <w:t xml:space="preserve"> AND RECOMMENDATIONS</w:t>
      </w:r>
    </w:p>
    <w:p w14:paraId="15C7FF66" w14:textId="77777777" w:rsidR="00790ADA" w:rsidRPr="00B727B1" w:rsidRDefault="00790ADA" w:rsidP="00441B6F">
      <w:pPr>
        <w:pStyle w:val="ConcHead"/>
        <w:spacing w:after="0"/>
        <w:jc w:val="both"/>
        <w:rPr>
          <w:rFonts w:ascii="Arial" w:hAnsi="Arial" w:cs="Arial"/>
          <w:sz w:val="20"/>
        </w:rPr>
      </w:pPr>
    </w:p>
    <w:p w14:paraId="03CD6801" w14:textId="77777777" w:rsidR="00B727B1" w:rsidRPr="00B727B1" w:rsidRDefault="00B727B1" w:rsidP="00B727B1">
      <w:pPr>
        <w:jc w:val="both"/>
        <w:rPr>
          <w:rFonts w:ascii="Arial" w:hAnsi="Arial" w:cs="Arial"/>
        </w:rPr>
      </w:pPr>
      <w:r w:rsidRPr="00B727B1">
        <w:rPr>
          <w:rFonts w:ascii="Arial" w:hAnsi="Arial" w:cs="Arial"/>
        </w:rPr>
        <w:t xml:space="preserve">The research finds that intra-urban logistics bottlenecks play a major role in determining the timeliness of deliveries among market-based suppliers in Mile 12, </w:t>
      </w:r>
      <w:proofErr w:type="spellStart"/>
      <w:r w:rsidRPr="00B727B1">
        <w:rPr>
          <w:rFonts w:ascii="Arial" w:hAnsi="Arial" w:cs="Arial"/>
        </w:rPr>
        <w:t>Kosofe</w:t>
      </w:r>
      <w:proofErr w:type="spellEnd"/>
      <w:r w:rsidRPr="00B727B1">
        <w:rPr>
          <w:rFonts w:ascii="Arial" w:hAnsi="Arial" w:cs="Arial"/>
        </w:rPr>
        <w:t xml:space="preserve"> LGA, Lagos State. The research findings affirm that traffic congestion, poor loading and curbside infrastructure, regulatory and access controls, and network fragmentation with low ICT integration are all contributing factors to delays and variation in delivery schedules. More to the point, the results indicate that loading and curbside infrastructure issues are the most significant bottleneck, i.e. even when suppliers strive to plan adequately, the lack of parking space, inadequate access roads, and inefficient loading conditions may still slow down delivery rounds and decrease on-</w:t>
      </w:r>
      <w:r w:rsidRPr="00B727B1">
        <w:rPr>
          <w:rFonts w:ascii="Arial" w:hAnsi="Arial" w:cs="Arial"/>
        </w:rPr>
        <w:lastRenderedPageBreak/>
        <w:t>time performance. The research also establishes that coordination gaps and poor utilization of digital tools exacerbate delivery timeliness by reducing real-time visibility, slowing decision-making, and increasing delivery failures, and congestion and regulatory constraints further amplify delays and decrease scheduling flexibility. Thus, to enhance the timeliness of delivery in Mile 12, a comprehensive strategy is needed that addresses physical access constraints, operational coordination, and enabling urban freight management. Thus, the following are suggested to enhance timeliness of delivery among market-based suppliers in Mile 12:</w:t>
      </w:r>
    </w:p>
    <w:p w14:paraId="7A1BA668" w14:textId="77777777" w:rsidR="00B727B1" w:rsidRPr="00B727B1" w:rsidRDefault="00B727B1" w:rsidP="00B727B1">
      <w:pPr>
        <w:numPr>
          <w:ilvl w:val="0"/>
          <w:numId w:val="31"/>
        </w:numPr>
        <w:spacing w:after="160" w:line="259" w:lineRule="auto"/>
        <w:jc w:val="both"/>
        <w:rPr>
          <w:rFonts w:ascii="Arial" w:hAnsi="Arial" w:cs="Arial"/>
        </w:rPr>
      </w:pPr>
      <w:r w:rsidRPr="00B727B1">
        <w:rPr>
          <w:rFonts w:ascii="Arial" w:hAnsi="Arial" w:cs="Arial"/>
        </w:rPr>
        <w:t xml:space="preserve">To </w:t>
      </w:r>
      <w:proofErr w:type="spellStart"/>
      <w:r w:rsidRPr="00B727B1">
        <w:rPr>
          <w:rFonts w:ascii="Arial" w:hAnsi="Arial" w:cs="Arial"/>
        </w:rPr>
        <w:t>minimise</w:t>
      </w:r>
      <w:proofErr w:type="spellEnd"/>
      <w:r w:rsidRPr="00B727B1">
        <w:rPr>
          <w:rFonts w:ascii="Arial" w:hAnsi="Arial" w:cs="Arial"/>
        </w:rPr>
        <w:t xml:space="preserve"> loading delays and enhance the efficiency of last-meter delivery, market and transport authorities should offer and implement designated loading and offloading points, enhance access roads, and curbside conflicts.</w:t>
      </w:r>
    </w:p>
    <w:p w14:paraId="11CBDEE4" w14:textId="77777777" w:rsidR="00B727B1" w:rsidRPr="00B727B1" w:rsidRDefault="00B727B1" w:rsidP="00B727B1">
      <w:pPr>
        <w:numPr>
          <w:ilvl w:val="0"/>
          <w:numId w:val="31"/>
        </w:numPr>
        <w:spacing w:after="160" w:line="259" w:lineRule="auto"/>
        <w:jc w:val="both"/>
        <w:rPr>
          <w:rFonts w:ascii="Arial" w:hAnsi="Arial" w:cs="Arial"/>
        </w:rPr>
      </w:pPr>
      <w:r w:rsidRPr="00B727B1">
        <w:rPr>
          <w:rFonts w:ascii="Arial" w:hAnsi="Arial" w:cs="Arial"/>
        </w:rPr>
        <w:t>Simple ICT tools like real-time communication, tracking, and simple route planning systems should be embraced by suppliers and delivery operators to enhance coordination, enhance visibility of deliveries, and minimize unnecessary delays.</w:t>
      </w:r>
    </w:p>
    <w:p w14:paraId="55329516" w14:textId="77777777" w:rsidR="00B727B1" w:rsidRPr="00B727B1" w:rsidRDefault="00B727B1" w:rsidP="00B727B1">
      <w:pPr>
        <w:numPr>
          <w:ilvl w:val="0"/>
          <w:numId w:val="31"/>
        </w:numPr>
        <w:spacing w:after="160" w:line="259" w:lineRule="auto"/>
        <w:jc w:val="both"/>
        <w:rPr>
          <w:rFonts w:ascii="Arial" w:hAnsi="Arial" w:cs="Arial"/>
        </w:rPr>
      </w:pPr>
      <w:r w:rsidRPr="00B727B1">
        <w:rPr>
          <w:rFonts w:ascii="Arial" w:hAnsi="Arial" w:cs="Arial"/>
        </w:rPr>
        <w:t>Traffic management measures like delivery time scheduling, off-peak deliveries, and organized entry-and-exit movement around the market should be reinforced to minimize exposure to congestion and variability in delivery time.</w:t>
      </w:r>
    </w:p>
    <w:p w14:paraId="349DB629" w14:textId="108E590B" w:rsidR="00B01FCD" w:rsidRPr="00B727B1" w:rsidRDefault="00B727B1" w:rsidP="00B727B1">
      <w:pPr>
        <w:pStyle w:val="Body"/>
        <w:spacing w:after="0"/>
        <w:rPr>
          <w:rFonts w:ascii="Arial" w:hAnsi="Arial" w:cs="Arial"/>
        </w:rPr>
      </w:pPr>
      <w:r w:rsidRPr="00B727B1">
        <w:rPr>
          <w:rFonts w:ascii="Arial" w:hAnsi="Arial" w:cs="Arial"/>
        </w:rPr>
        <w:t xml:space="preserve">Regulatory agencies are advised to coordinate checkpoints, </w:t>
      </w:r>
      <w:proofErr w:type="spellStart"/>
      <w:r w:rsidRPr="00B727B1">
        <w:rPr>
          <w:rFonts w:ascii="Arial" w:hAnsi="Arial" w:cs="Arial"/>
        </w:rPr>
        <w:t>minimise</w:t>
      </w:r>
      <w:proofErr w:type="spellEnd"/>
      <w:r w:rsidRPr="00B727B1">
        <w:rPr>
          <w:rFonts w:ascii="Arial" w:hAnsi="Arial" w:cs="Arial"/>
        </w:rPr>
        <w:t xml:space="preserve"> unnecessary enforcement stops, and implement uniform access policies that facilitate freight movement without compromising safety and order in the Mile 12 environment.</w:t>
      </w:r>
    </w:p>
    <w:p w14:paraId="21620F06" w14:textId="77777777" w:rsidR="00790ADA" w:rsidRPr="00FB3A86" w:rsidRDefault="00790ADA" w:rsidP="00441B6F">
      <w:pPr>
        <w:pStyle w:val="Body"/>
        <w:spacing w:after="0"/>
        <w:rPr>
          <w:rFonts w:ascii="Arial" w:hAnsi="Arial" w:cs="Arial"/>
        </w:rPr>
      </w:pPr>
    </w:p>
    <w:p w14:paraId="3CF90FD8" w14:textId="77777777" w:rsidR="002A5FF5" w:rsidRDefault="002A5FF5" w:rsidP="00441B6F">
      <w:pPr>
        <w:pStyle w:val="ReferHead"/>
        <w:spacing w:after="0"/>
        <w:jc w:val="both"/>
        <w:rPr>
          <w:rFonts w:ascii="Arial" w:hAnsi="Arial" w:cs="Arial"/>
          <w:b w:val="0"/>
          <w:caps w:val="0"/>
          <w:sz w:val="20"/>
        </w:rPr>
      </w:pPr>
      <w:bookmarkStart w:id="0" w:name="_GoBack"/>
      <w:bookmarkEnd w:id="0"/>
    </w:p>
    <w:p w14:paraId="6B0FC3C6" w14:textId="77777777" w:rsidR="002A5FF5" w:rsidRPr="002A5FF5" w:rsidRDefault="002A5FF5" w:rsidP="002A5FF5">
      <w:pPr>
        <w:pStyle w:val="ReferHead"/>
        <w:jc w:val="both"/>
        <w:rPr>
          <w:rFonts w:ascii="Arial" w:hAnsi="Arial" w:cs="Arial"/>
          <w:b w:val="0"/>
          <w:caps w:val="0"/>
          <w:sz w:val="20"/>
        </w:rPr>
      </w:pPr>
      <w:r w:rsidRPr="002A5FF5">
        <w:rPr>
          <w:rFonts w:ascii="Arial" w:hAnsi="Arial" w:cs="Arial"/>
          <w:b w:val="0"/>
          <w:caps w:val="0"/>
          <w:sz w:val="20"/>
        </w:rPr>
        <w:t>COMPETING INTERESTS DISCLAIMER:</w:t>
      </w:r>
    </w:p>
    <w:p w14:paraId="336049DD" w14:textId="56D6768B" w:rsidR="002A5FF5" w:rsidRPr="00B727B1" w:rsidRDefault="002A5FF5" w:rsidP="002A5FF5">
      <w:pPr>
        <w:pStyle w:val="ReferHead"/>
        <w:spacing w:after="0"/>
        <w:jc w:val="both"/>
        <w:rPr>
          <w:rFonts w:ascii="Arial" w:hAnsi="Arial" w:cs="Arial"/>
          <w:b w:val="0"/>
          <w:caps w:val="0"/>
          <w:sz w:val="20"/>
        </w:rPr>
      </w:pPr>
      <w:r w:rsidRPr="002A5FF5">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449E43C" w14:textId="77777777" w:rsidR="002B685A" w:rsidRDefault="002B685A" w:rsidP="00441B6F">
      <w:pPr>
        <w:pStyle w:val="ReferHead"/>
        <w:spacing w:after="0"/>
        <w:jc w:val="both"/>
        <w:rPr>
          <w:rFonts w:ascii="Arial" w:hAnsi="Arial" w:cs="Arial"/>
          <w:b w:val="0"/>
          <w:caps w:val="0"/>
          <w:sz w:val="20"/>
        </w:rPr>
      </w:pPr>
    </w:p>
    <w:p w14:paraId="4A05B446" w14:textId="77777777" w:rsidR="00860000" w:rsidRDefault="00860000" w:rsidP="00441B6F">
      <w:pPr>
        <w:pStyle w:val="ReferHead"/>
        <w:spacing w:after="0"/>
        <w:jc w:val="both"/>
        <w:rPr>
          <w:rFonts w:ascii="Arial" w:hAnsi="Arial" w:cs="Arial"/>
        </w:rPr>
      </w:pPr>
    </w:p>
    <w:p w14:paraId="57E1C21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ADFABF9" w14:textId="77777777" w:rsidR="00790ADA" w:rsidRPr="00FB3A86" w:rsidRDefault="00790ADA" w:rsidP="00441B6F">
      <w:pPr>
        <w:pStyle w:val="ReferHead"/>
        <w:spacing w:after="0"/>
        <w:jc w:val="both"/>
        <w:rPr>
          <w:rFonts w:ascii="Arial" w:hAnsi="Arial" w:cs="Arial"/>
        </w:rPr>
      </w:pPr>
    </w:p>
    <w:p w14:paraId="21C107A8" w14:textId="77777777" w:rsidR="00B727B1" w:rsidRPr="00B727B1" w:rsidRDefault="00B727B1" w:rsidP="00B727B1">
      <w:pPr>
        <w:spacing w:after="120"/>
        <w:jc w:val="both"/>
        <w:rPr>
          <w:rFonts w:ascii="Arial" w:hAnsi="Arial" w:cs="Arial"/>
        </w:rPr>
      </w:pPr>
      <w:r w:rsidRPr="00B727B1">
        <w:rPr>
          <w:rFonts w:ascii="Arial" w:hAnsi="Arial" w:cs="Arial"/>
        </w:rPr>
        <w:t xml:space="preserve">Allen, J., </w:t>
      </w:r>
      <w:proofErr w:type="spellStart"/>
      <w:r w:rsidRPr="00B727B1">
        <w:rPr>
          <w:rFonts w:ascii="Arial" w:hAnsi="Arial" w:cs="Arial"/>
        </w:rPr>
        <w:t>Piecyk</w:t>
      </w:r>
      <w:proofErr w:type="spellEnd"/>
      <w:r w:rsidRPr="00B727B1">
        <w:rPr>
          <w:rFonts w:ascii="Arial" w:hAnsi="Arial" w:cs="Arial"/>
        </w:rPr>
        <w:t xml:space="preserve">, M., </w:t>
      </w:r>
      <w:proofErr w:type="spellStart"/>
      <w:r w:rsidRPr="00B727B1">
        <w:rPr>
          <w:rFonts w:ascii="Arial" w:hAnsi="Arial" w:cs="Arial"/>
        </w:rPr>
        <w:t>Piotrowska</w:t>
      </w:r>
      <w:proofErr w:type="spellEnd"/>
      <w:r w:rsidRPr="00B727B1">
        <w:rPr>
          <w:rFonts w:ascii="Arial" w:hAnsi="Arial" w:cs="Arial"/>
        </w:rPr>
        <w:t xml:space="preserve">, M., McLeod, F., </w:t>
      </w:r>
      <w:proofErr w:type="spellStart"/>
      <w:r w:rsidRPr="00B727B1">
        <w:rPr>
          <w:rFonts w:ascii="Arial" w:hAnsi="Arial" w:cs="Arial"/>
        </w:rPr>
        <w:t>Cherrett</w:t>
      </w:r>
      <w:proofErr w:type="spellEnd"/>
      <w:r w:rsidRPr="00B727B1">
        <w:rPr>
          <w:rFonts w:ascii="Arial" w:hAnsi="Arial" w:cs="Arial"/>
        </w:rPr>
        <w:t xml:space="preserve">, T., </w:t>
      </w:r>
      <w:proofErr w:type="spellStart"/>
      <w:r w:rsidRPr="00B727B1">
        <w:rPr>
          <w:rFonts w:ascii="Arial" w:hAnsi="Arial" w:cs="Arial"/>
        </w:rPr>
        <w:t>Ghali</w:t>
      </w:r>
      <w:proofErr w:type="spellEnd"/>
      <w:r w:rsidRPr="00B727B1">
        <w:rPr>
          <w:rFonts w:ascii="Arial" w:hAnsi="Arial" w:cs="Arial"/>
        </w:rPr>
        <w:t xml:space="preserve">, K., Nguyen, T., </w:t>
      </w:r>
      <w:proofErr w:type="spellStart"/>
      <w:r w:rsidRPr="00B727B1">
        <w:rPr>
          <w:rFonts w:ascii="Arial" w:hAnsi="Arial" w:cs="Arial"/>
        </w:rPr>
        <w:t>Bektaş</w:t>
      </w:r>
      <w:proofErr w:type="spellEnd"/>
      <w:r w:rsidRPr="00B727B1">
        <w:rPr>
          <w:rFonts w:ascii="Arial" w:hAnsi="Arial" w:cs="Arial"/>
        </w:rPr>
        <w:t xml:space="preserve">, T., Bates, O., Friday, A., Wise, S., &amp; </w:t>
      </w:r>
      <w:proofErr w:type="spellStart"/>
      <w:r w:rsidRPr="00B727B1">
        <w:rPr>
          <w:rFonts w:ascii="Arial" w:hAnsi="Arial" w:cs="Arial"/>
        </w:rPr>
        <w:t>Austwick</w:t>
      </w:r>
      <w:proofErr w:type="spellEnd"/>
      <w:r w:rsidRPr="00B727B1">
        <w:rPr>
          <w:rFonts w:ascii="Arial" w:hAnsi="Arial" w:cs="Arial"/>
        </w:rPr>
        <w:t xml:space="preserve">, M. (2017). Understanding the impact of e-commerce on last-mile light goods vehicle activity in urban areas: The case of London. </w:t>
      </w:r>
      <w:r w:rsidRPr="00B727B1">
        <w:rPr>
          <w:rFonts w:ascii="Arial" w:hAnsi="Arial" w:cs="Arial"/>
          <w:i/>
          <w:iCs/>
        </w:rPr>
        <w:t>Transportation Research Part D: Transport and Environment</w:t>
      </w:r>
      <w:r w:rsidRPr="00B727B1">
        <w:rPr>
          <w:rFonts w:ascii="Arial" w:hAnsi="Arial" w:cs="Arial"/>
        </w:rPr>
        <w:t xml:space="preserve">. 61, 325-338. </w:t>
      </w:r>
      <w:hyperlink r:id="rId16" w:history="1">
        <w:r w:rsidRPr="00B727B1">
          <w:rPr>
            <w:rStyle w:val="Hyperlink"/>
            <w:rFonts w:ascii="Arial" w:hAnsi="Arial" w:cs="Arial"/>
          </w:rPr>
          <w:t>https://doi.org/10.1016/j.trd.2017.07.020</w:t>
        </w:r>
      </w:hyperlink>
    </w:p>
    <w:p w14:paraId="054F8E94" w14:textId="77777777" w:rsidR="00B727B1" w:rsidRPr="00B727B1" w:rsidRDefault="00B727B1" w:rsidP="00B727B1">
      <w:pPr>
        <w:spacing w:after="120"/>
        <w:jc w:val="both"/>
        <w:rPr>
          <w:rFonts w:ascii="Arial" w:hAnsi="Arial" w:cs="Arial"/>
        </w:rPr>
      </w:pPr>
      <w:r w:rsidRPr="00B727B1">
        <w:rPr>
          <w:rFonts w:ascii="Arial" w:hAnsi="Arial" w:cs="Arial"/>
        </w:rPr>
        <w:t>Al-</w:t>
      </w:r>
      <w:proofErr w:type="spellStart"/>
      <w:r w:rsidRPr="00B727B1">
        <w:rPr>
          <w:rFonts w:ascii="Arial" w:hAnsi="Arial" w:cs="Arial"/>
        </w:rPr>
        <w:t>Shboul</w:t>
      </w:r>
      <w:proofErr w:type="spellEnd"/>
      <w:r w:rsidRPr="00B727B1">
        <w:rPr>
          <w:rFonts w:ascii="Arial" w:hAnsi="Arial" w:cs="Arial"/>
        </w:rPr>
        <w:t xml:space="preserve">, M. (2022). An investigation of transportation logistics strategy on manufacturing supply chain responsiveness in developing countries: the mediating role of delivery reliability and delivery speed. </w:t>
      </w:r>
      <w:proofErr w:type="spellStart"/>
      <w:r w:rsidRPr="00B727B1">
        <w:rPr>
          <w:rFonts w:ascii="Arial" w:hAnsi="Arial" w:cs="Arial"/>
          <w:i/>
          <w:iCs/>
        </w:rPr>
        <w:t>Heliyon</w:t>
      </w:r>
      <w:proofErr w:type="spellEnd"/>
      <w:r w:rsidRPr="00B727B1">
        <w:rPr>
          <w:rFonts w:ascii="Arial" w:hAnsi="Arial" w:cs="Arial"/>
        </w:rPr>
        <w:t xml:space="preserve">, 8. </w:t>
      </w:r>
      <w:hyperlink r:id="rId17" w:history="1">
        <w:r w:rsidRPr="00B727B1">
          <w:rPr>
            <w:rStyle w:val="Hyperlink"/>
            <w:rFonts w:ascii="Arial" w:hAnsi="Arial" w:cs="Arial"/>
          </w:rPr>
          <w:t>https://doi.org/10.1016/j.heliyon.2022.e11283</w:t>
        </w:r>
      </w:hyperlink>
    </w:p>
    <w:p w14:paraId="581D6F5F" w14:textId="77777777" w:rsidR="00B727B1" w:rsidRPr="00B727B1" w:rsidRDefault="00B727B1" w:rsidP="00B727B1">
      <w:pPr>
        <w:spacing w:after="120"/>
        <w:jc w:val="both"/>
        <w:rPr>
          <w:rFonts w:ascii="Arial" w:hAnsi="Arial" w:cs="Arial"/>
        </w:rPr>
      </w:pPr>
      <w:r w:rsidRPr="00B727B1">
        <w:rPr>
          <w:rFonts w:ascii="Arial" w:hAnsi="Arial" w:cs="Arial"/>
        </w:rPr>
        <w:t xml:space="preserve">Bai, Z., Wang, H., &amp; Yang, K. (2025). Optimizing Metro-Based Logistics Hub Locations for Sustainable Urban Freight Distribution. </w:t>
      </w:r>
      <w:r w:rsidRPr="00B727B1">
        <w:rPr>
          <w:rFonts w:ascii="Arial" w:hAnsi="Arial" w:cs="Arial"/>
          <w:i/>
          <w:iCs/>
        </w:rPr>
        <w:t>Sustainability</w:t>
      </w:r>
      <w:r w:rsidRPr="00B727B1">
        <w:rPr>
          <w:rFonts w:ascii="Arial" w:hAnsi="Arial" w:cs="Arial"/>
        </w:rPr>
        <w:t xml:space="preserve">. </w:t>
      </w:r>
      <w:r w:rsidRPr="00B727B1">
        <w:rPr>
          <w:rFonts w:ascii="Arial" w:hAnsi="Arial" w:cs="Arial"/>
          <w:i/>
          <w:iCs/>
        </w:rPr>
        <w:t>17</w:t>
      </w:r>
      <w:r w:rsidRPr="00B727B1">
        <w:rPr>
          <w:rFonts w:ascii="Arial" w:hAnsi="Arial" w:cs="Arial"/>
        </w:rPr>
        <w:t xml:space="preserve">(10), 4735. </w:t>
      </w:r>
      <w:hyperlink r:id="rId18" w:history="1">
        <w:r w:rsidRPr="00B727B1">
          <w:rPr>
            <w:rStyle w:val="Hyperlink"/>
            <w:rFonts w:ascii="Arial" w:hAnsi="Arial" w:cs="Arial"/>
          </w:rPr>
          <w:t>https://doi.org/10.3390/su17104735</w:t>
        </w:r>
      </w:hyperlink>
    </w:p>
    <w:p w14:paraId="7C4684C5" w14:textId="77777777" w:rsidR="00B727B1" w:rsidRPr="00B727B1" w:rsidRDefault="00B727B1" w:rsidP="00B727B1">
      <w:pPr>
        <w:spacing w:after="120"/>
        <w:jc w:val="both"/>
        <w:rPr>
          <w:rFonts w:ascii="Arial" w:hAnsi="Arial" w:cs="Arial"/>
        </w:rPr>
      </w:pPr>
      <w:proofErr w:type="spellStart"/>
      <w:r w:rsidRPr="00B727B1">
        <w:rPr>
          <w:rFonts w:ascii="Arial" w:hAnsi="Arial" w:cs="Arial"/>
        </w:rPr>
        <w:t>Bosona</w:t>
      </w:r>
      <w:proofErr w:type="spellEnd"/>
      <w:r w:rsidRPr="00B727B1">
        <w:rPr>
          <w:rFonts w:ascii="Arial" w:hAnsi="Arial" w:cs="Arial"/>
        </w:rPr>
        <w:t xml:space="preserve">, T. (2020). Urban Freight Last Mile Logistics-Challenges and Opportunities to Improve Sustainability: A Literature Review. </w:t>
      </w:r>
      <w:r w:rsidRPr="00B727B1">
        <w:rPr>
          <w:rFonts w:ascii="Arial" w:hAnsi="Arial" w:cs="Arial"/>
          <w:i/>
          <w:iCs/>
        </w:rPr>
        <w:t>Sustainability</w:t>
      </w:r>
      <w:r w:rsidRPr="00B727B1">
        <w:rPr>
          <w:rFonts w:ascii="Arial" w:hAnsi="Arial" w:cs="Arial"/>
        </w:rPr>
        <w:t xml:space="preserve">, 12, 8769. </w:t>
      </w:r>
      <w:hyperlink r:id="rId19" w:history="1">
        <w:r w:rsidRPr="00B727B1">
          <w:rPr>
            <w:rStyle w:val="Hyperlink"/>
            <w:rFonts w:ascii="Arial" w:hAnsi="Arial" w:cs="Arial"/>
          </w:rPr>
          <w:t>https://doi.org/10.3390/su12218769</w:t>
        </w:r>
      </w:hyperlink>
    </w:p>
    <w:p w14:paraId="38608409" w14:textId="77777777" w:rsidR="00B727B1" w:rsidRPr="00B727B1" w:rsidRDefault="00B727B1" w:rsidP="00B727B1">
      <w:pPr>
        <w:spacing w:after="120"/>
        <w:rPr>
          <w:rFonts w:ascii="Arial" w:hAnsi="Arial" w:cs="Arial"/>
        </w:rPr>
      </w:pPr>
      <w:r w:rsidRPr="00B727B1">
        <w:rPr>
          <w:rFonts w:ascii="Arial" w:hAnsi="Arial" w:cs="Arial"/>
        </w:rPr>
        <w:t xml:space="preserve">Browne, M. W., &amp; </w:t>
      </w:r>
      <w:proofErr w:type="spellStart"/>
      <w:r w:rsidRPr="00B727B1">
        <w:rPr>
          <w:rFonts w:ascii="Arial" w:hAnsi="Arial" w:cs="Arial"/>
        </w:rPr>
        <w:t>Cudeck</w:t>
      </w:r>
      <w:proofErr w:type="spellEnd"/>
      <w:r w:rsidRPr="00B727B1">
        <w:rPr>
          <w:rFonts w:ascii="Arial" w:hAnsi="Arial" w:cs="Arial"/>
        </w:rPr>
        <w:t xml:space="preserve">, R. (1993). Alternative ways of assessing model fit. In K. A. </w:t>
      </w:r>
      <w:proofErr w:type="spellStart"/>
      <w:r w:rsidRPr="00B727B1">
        <w:rPr>
          <w:rFonts w:ascii="Arial" w:hAnsi="Arial" w:cs="Arial"/>
        </w:rPr>
        <w:t>Bollen</w:t>
      </w:r>
      <w:proofErr w:type="spellEnd"/>
      <w:r w:rsidRPr="00B727B1">
        <w:rPr>
          <w:rFonts w:ascii="Arial" w:hAnsi="Arial" w:cs="Arial"/>
        </w:rPr>
        <w:t xml:space="preserve"> &amp; J. S. Long (Eds.), </w:t>
      </w:r>
      <w:r w:rsidRPr="00B727B1">
        <w:rPr>
          <w:rFonts w:ascii="Arial" w:hAnsi="Arial" w:cs="Arial"/>
          <w:i/>
          <w:iCs/>
        </w:rPr>
        <w:t>Testing structural equation models</w:t>
      </w:r>
      <w:r w:rsidRPr="00B727B1">
        <w:rPr>
          <w:rFonts w:ascii="Arial" w:hAnsi="Arial" w:cs="Arial"/>
        </w:rPr>
        <w:t xml:space="preserve"> (pp. 136-162). Sage.</w:t>
      </w:r>
    </w:p>
    <w:p w14:paraId="69B61A85" w14:textId="77777777" w:rsidR="00B727B1" w:rsidRPr="00B727B1" w:rsidRDefault="00B727B1" w:rsidP="00B727B1">
      <w:pPr>
        <w:spacing w:after="120"/>
        <w:rPr>
          <w:rFonts w:ascii="Arial" w:hAnsi="Arial" w:cs="Arial"/>
          <w:lang w:val="sv-SE"/>
        </w:rPr>
      </w:pPr>
      <w:r w:rsidRPr="00B727B1">
        <w:rPr>
          <w:rFonts w:ascii="Arial" w:hAnsi="Arial" w:cs="Arial"/>
        </w:rPr>
        <w:lastRenderedPageBreak/>
        <w:t xml:space="preserve">Byrne, B. M. (2016). </w:t>
      </w:r>
      <w:r w:rsidRPr="00B727B1">
        <w:rPr>
          <w:rFonts w:ascii="Arial" w:hAnsi="Arial" w:cs="Arial"/>
          <w:i/>
          <w:iCs/>
        </w:rPr>
        <w:t>Structural equation modeling with AMOS: Basic concepts, applications, and programming</w:t>
      </w:r>
      <w:r w:rsidRPr="00B727B1">
        <w:rPr>
          <w:rFonts w:ascii="Arial" w:hAnsi="Arial" w:cs="Arial"/>
        </w:rPr>
        <w:t xml:space="preserve"> (3rd ed.). </w:t>
      </w:r>
      <w:r w:rsidRPr="00B727B1">
        <w:rPr>
          <w:rFonts w:ascii="Arial" w:hAnsi="Arial" w:cs="Arial"/>
          <w:lang w:val="sv-SE"/>
        </w:rPr>
        <w:t>Routledge.</w:t>
      </w:r>
    </w:p>
    <w:p w14:paraId="0A244493" w14:textId="77777777" w:rsidR="00B727B1" w:rsidRPr="00B727B1" w:rsidRDefault="00B727B1" w:rsidP="00B727B1">
      <w:pPr>
        <w:spacing w:after="120"/>
        <w:jc w:val="both"/>
        <w:rPr>
          <w:rFonts w:ascii="Arial" w:hAnsi="Arial" w:cs="Arial"/>
        </w:rPr>
      </w:pPr>
      <w:r w:rsidRPr="00B727B1">
        <w:rPr>
          <w:rFonts w:ascii="Arial" w:hAnsi="Arial" w:cs="Arial"/>
          <w:lang w:val="sv-SE"/>
        </w:rPr>
        <w:t xml:space="preserve">Cárdenas, I., Borbon-Galvez, Y., Verlinden, T., Van De Voorde, E., Vanelslander, T., &amp; Dewulf, W. (2017). </w:t>
      </w:r>
      <w:r w:rsidRPr="00B727B1">
        <w:rPr>
          <w:rFonts w:ascii="Arial" w:hAnsi="Arial" w:cs="Arial"/>
        </w:rPr>
        <w:t xml:space="preserve">City logistics, urban goods distribution and last mile delivery and collection. </w:t>
      </w:r>
      <w:r w:rsidRPr="00B727B1">
        <w:rPr>
          <w:rFonts w:ascii="Arial" w:hAnsi="Arial" w:cs="Arial"/>
          <w:i/>
          <w:iCs/>
        </w:rPr>
        <w:t>Competition and Regulation in Network Industries</w:t>
      </w:r>
      <w:r w:rsidRPr="00B727B1">
        <w:rPr>
          <w:rFonts w:ascii="Arial" w:hAnsi="Arial" w:cs="Arial"/>
        </w:rPr>
        <w:t xml:space="preserve">, 18, 22 - 43. </w:t>
      </w:r>
      <w:hyperlink r:id="rId20" w:history="1">
        <w:r w:rsidRPr="00B727B1">
          <w:rPr>
            <w:rStyle w:val="Hyperlink"/>
            <w:rFonts w:ascii="Arial" w:hAnsi="Arial" w:cs="Arial"/>
          </w:rPr>
          <w:t>https://doi.org/10.1177/1783591717736505</w:t>
        </w:r>
      </w:hyperlink>
    </w:p>
    <w:p w14:paraId="2C67703A" w14:textId="77777777" w:rsidR="00B727B1" w:rsidRPr="00B727B1" w:rsidRDefault="00B727B1" w:rsidP="00B727B1">
      <w:pPr>
        <w:spacing w:after="120"/>
        <w:jc w:val="both"/>
        <w:rPr>
          <w:rFonts w:ascii="Arial" w:hAnsi="Arial" w:cs="Arial"/>
        </w:rPr>
      </w:pPr>
      <w:proofErr w:type="spellStart"/>
      <w:r w:rsidRPr="00B727B1">
        <w:rPr>
          <w:rFonts w:ascii="Arial" w:hAnsi="Arial" w:cs="Arial"/>
        </w:rPr>
        <w:t>Dreischerf</w:t>
      </w:r>
      <w:proofErr w:type="spellEnd"/>
      <w:r w:rsidRPr="00B727B1">
        <w:rPr>
          <w:rFonts w:ascii="Arial" w:hAnsi="Arial" w:cs="Arial"/>
        </w:rPr>
        <w:t xml:space="preserve">, A., &amp; </w:t>
      </w:r>
      <w:proofErr w:type="spellStart"/>
      <w:r w:rsidRPr="00B727B1">
        <w:rPr>
          <w:rFonts w:ascii="Arial" w:hAnsi="Arial" w:cs="Arial"/>
        </w:rPr>
        <w:t>Buijs</w:t>
      </w:r>
      <w:proofErr w:type="spellEnd"/>
      <w:r w:rsidRPr="00B727B1">
        <w:rPr>
          <w:rFonts w:ascii="Arial" w:hAnsi="Arial" w:cs="Arial"/>
        </w:rPr>
        <w:t xml:space="preserve">, P. (2022). How Urban Consolidation </w:t>
      </w:r>
      <w:proofErr w:type="spellStart"/>
      <w:r w:rsidRPr="00B727B1">
        <w:rPr>
          <w:rFonts w:ascii="Arial" w:hAnsi="Arial" w:cs="Arial"/>
        </w:rPr>
        <w:t>Centres</w:t>
      </w:r>
      <w:proofErr w:type="spellEnd"/>
      <w:r w:rsidRPr="00B727B1">
        <w:rPr>
          <w:rFonts w:ascii="Arial" w:hAnsi="Arial" w:cs="Arial"/>
        </w:rPr>
        <w:t xml:space="preserve"> affect distribution networks: An empirical investigation from the perspective of suppliers. </w:t>
      </w:r>
      <w:r w:rsidRPr="00B727B1">
        <w:rPr>
          <w:rFonts w:ascii="Arial" w:hAnsi="Arial" w:cs="Arial"/>
          <w:i/>
          <w:iCs/>
        </w:rPr>
        <w:t>Case Studies on Transport Policy</w:t>
      </w:r>
      <w:r w:rsidRPr="00B727B1">
        <w:rPr>
          <w:rFonts w:ascii="Arial" w:hAnsi="Arial" w:cs="Arial"/>
        </w:rPr>
        <w:t xml:space="preserve">. 10(11), 518-528. </w:t>
      </w:r>
      <w:hyperlink r:id="rId21" w:history="1">
        <w:r w:rsidRPr="00B727B1">
          <w:rPr>
            <w:rStyle w:val="Hyperlink"/>
            <w:rFonts w:ascii="Arial" w:hAnsi="Arial" w:cs="Arial"/>
          </w:rPr>
          <w:t>https://doi.org/10.1016/j.cstp.2022.01.012</w:t>
        </w:r>
      </w:hyperlink>
    </w:p>
    <w:p w14:paraId="17493D16" w14:textId="77777777" w:rsidR="00B727B1" w:rsidRPr="00B727B1" w:rsidRDefault="00B727B1" w:rsidP="00B727B1">
      <w:pPr>
        <w:spacing w:after="120"/>
        <w:jc w:val="both"/>
        <w:rPr>
          <w:rFonts w:ascii="Arial" w:hAnsi="Arial" w:cs="Arial"/>
        </w:rPr>
      </w:pPr>
      <w:proofErr w:type="spellStart"/>
      <w:r w:rsidRPr="00B727B1">
        <w:rPr>
          <w:rFonts w:ascii="Arial" w:hAnsi="Arial" w:cs="Arial"/>
        </w:rPr>
        <w:t>Dreischerf</w:t>
      </w:r>
      <w:proofErr w:type="spellEnd"/>
      <w:r w:rsidRPr="00B727B1">
        <w:rPr>
          <w:rFonts w:ascii="Arial" w:hAnsi="Arial" w:cs="Arial"/>
        </w:rPr>
        <w:t xml:space="preserve">, A., &amp; </w:t>
      </w:r>
      <w:proofErr w:type="spellStart"/>
      <w:r w:rsidRPr="00B727B1">
        <w:rPr>
          <w:rFonts w:ascii="Arial" w:hAnsi="Arial" w:cs="Arial"/>
        </w:rPr>
        <w:t>Buijs</w:t>
      </w:r>
      <w:proofErr w:type="spellEnd"/>
      <w:r w:rsidRPr="00B727B1">
        <w:rPr>
          <w:rFonts w:ascii="Arial" w:hAnsi="Arial" w:cs="Arial"/>
        </w:rPr>
        <w:t xml:space="preserve">, P. (2022). How Urban Consolidation </w:t>
      </w:r>
      <w:proofErr w:type="spellStart"/>
      <w:r w:rsidRPr="00B727B1">
        <w:rPr>
          <w:rFonts w:ascii="Arial" w:hAnsi="Arial" w:cs="Arial"/>
        </w:rPr>
        <w:t>Centres</w:t>
      </w:r>
      <w:proofErr w:type="spellEnd"/>
      <w:r w:rsidRPr="00B727B1">
        <w:rPr>
          <w:rFonts w:ascii="Arial" w:hAnsi="Arial" w:cs="Arial"/>
        </w:rPr>
        <w:t xml:space="preserve"> affect distribution networks: An empirical investigation from the perspective of suppliers. </w:t>
      </w:r>
      <w:r w:rsidRPr="00B727B1">
        <w:rPr>
          <w:rFonts w:ascii="Arial" w:hAnsi="Arial" w:cs="Arial"/>
          <w:i/>
          <w:iCs/>
        </w:rPr>
        <w:t>Case Studies on Transport Policy</w:t>
      </w:r>
      <w:r w:rsidRPr="00B727B1">
        <w:rPr>
          <w:rFonts w:ascii="Arial" w:hAnsi="Arial" w:cs="Arial"/>
        </w:rPr>
        <w:t xml:space="preserve">. 10(1), 518-528. </w:t>
      </w:r>
      <w:hyperlink r:id="rId22" w:history="1">
        <w:r w:rsidRPr="00B727B1">
          <w:rPr>
            <w:rStyle w:val="Hyperlink"/>
            <w:rFonts w:ascii="Arial" w:hAnsi="Arial" w:cs="Arial"/>
          </w:rPr>
          <w:t>https://doi.org/10.1016/j.cstp.2022.01.012</w:t>
        </w:r>
      </w:hyperlink>
    </w:p>
    <w:p w14:paraId="6FB92A90" w14:textId="77777777" w:rsidR="00B727B1" w:rsidRPr="00B727B1" w:rsidRDefault="00B727B1" w:rsidP="00B727B1">
      <w:pPr>
        <w:spacing w:after="120"/>
        <w:jc w:val="both"/>
        <w:rPr>
          <w:rFonts w:ascii="Arial" w:hAnsi="Arial" w:cs="Arial"/>
        </w:rPr>
      </w:pPr>
      <w:r w:rsidRPr="00B727B1">
        <w:rPr>
          <w:rFonts w:ascii="Arial" w:hAnsi="Arial" w:cs="Arial"/>
          <w:lang w:val="sv-SE"/>
        </w:rPr>
        <w:t xml:space="preserve">Fikar, C., Hirsch, P., &amp; Gronalt, M. (2018). </w:t>
      </w:r>
      <w:r w:rsidRPr="00B727B1">
        <w:rPr>
          <w:rFonts w:ascii="Arial" w:hAnsi="Arial" w:cs="Arial"/>
        </w:rPr>
        <w:t xml:space="preserve">A decision support system to investigate dynamic last-mile distribution facilitating cargo-bikes. </w:t>
      </w:r>
      <w:r w:rsidRPr="00B727B1">
        <w:rPr>
          <w:rFonts w:ascii="Arial" w:hAnsi="Arial" w:cs="Arial"/>
          <w:i/>
          <w:iCs/>
        </w:rPr>
        <w:t>International Journal of Logistics Research and Applications</w:t>
      </w:r>
      <w:r w:rsidRPr="00B727B1">
        <w:rPr>
          <w:rFonts w:ascii="Arial" w:hAnsi="Arial" w:cs="Arial"/>
        </w:rPr>
        <w:t xml:space="preserve">, 21, 300 - 317. </w:t>
      </w:r>
      <w:hyperlink r:id="rId23" w:history="1">
        <w:r w:rsidRPr="00B727B1">
          <w:rPr>
            <w:rStyle w:val="Hyperlink"/>
            <w:rFonts w:ascii="Arial" w:hAnsi="Arial" w:cs="Arial"/>
          </w:rPr>
          <w:t>https://doi.org/10.1080/13675567.2017.1395830</w:t>
        </w:r>
      </w:hyperlink>
    </w:p>
    <w:p w14:paraId="2DA2D1A5" w14:textId="77777777" w:rsidR="00B727B1" w:rsidRPr="00B727B1" w:rsidRDefault="00B727B1" w:rsidP="00B727B1">
      <w:pPr>
        <w:spacing w:after="120"/>
        <w:jc w:val="both"/>
        <w:rPr>
          <w:rFonts w:ascii="Arial" w:hAnsi="Arial" w:cs="Arial"/>
          <w:lang w:val="pt-BR"/>
        </w:rPr>
      </w:pPr>
      <w:r w:rsidRPr="00B727B1">
        <w:rPr>
          <w:rFonts w:ascii="Arial" w:hAnsi="Arial" w:cs="Arial"/>
          <w:lang w:val="sv-SE"/>
        </w:rPr>
        <w:t xml:space="preserve">Giuffrida, N., Fajardo-Calderin, J., Masegosa, A., Werner, F., Steudter, M., &amp; Pilla, F. (2022). </w:t>
      </w:r>
      <w:r w:rsidRPr="00B727B1">
        <w:rPr>
          <w:rFonts w:ascii="Arial" w:hAnsi="Arial" w:cs="Arial"/>
        </w:rPr>
        <w:t xml:space="preserve">Optimization and Machine Learning Applied to Last-Mile Logistics: A Review. </w:t>
      </w:r>
      <w:r w:rsidRPr="00B727B1">
        <w:rPr>
          <w:rFonts w:ascii="Arial" w:hAnsi="Arial" w:cs="Arial"/>
          <w:i/>
          <w:iCs/>
          <w:lang w:val="pt-BR"/>
        </w:rPr>
        <w:t>Sustainability</w:t>
      </w:r>
      <w:r w:rsidRPr="00B727B1">
        <w:rPr>
          <w:rFonts w:ascii="Arial" w:hAnsi="Arial" w:cs="Arial"/>
          <w:lang w:val="pt-BR"/>
        </w:rPr>
        <w:t xml:space="preserve">. 14(9), 5329. </w:t>
      </w:r>
      <w:r w:rsidR="009A4E5C">
        <w:fldChar w:fldCharType="begin"/>
      </w:r>
      <w:r w:rsidR="009A4E5C">
        <w:instrText xml:space="preserve"> HYPERLINK "https://doi.org/10.3390/su14095329" </w:instrText>
      </w:r>
      <w:r w:rsidR="009A4E5C">
        <w:fldChar w:fldCharType="separate"/>
      </w:r>
      <w:r w:rsidRPr="00B727B1">
        <w:rPr>
          <w:rStyle w:val="Hyperlink"/>
          <w:rFonts w:ascii="Arial" w:hAnsi="Arial" w:cs="Arial"/>
          <w:lang w:val="pt-BR"/>
        </w:rPr>
        <w:t>https://doi.org/10.3390/su14095329</w:t>
      </w:r>
      <w:r w:rsidR="009A4E5C">
        <w:rPr>
          <w:rStyle w:val="Hyperlink"/>
          <w:rFonts w:ascii="Arial" w:hAnsi="Arial" w:cs="Arial"/>
          <w:lang w:val="pt-BR"/>
        </w:rPr>
        <w:fldChar w:fldCharType="end"/>
      </w:r>
    </w:p>
    <w:p w14:paraId="5A51802E" w14:textId="77777777" w:rsidR="00B727B1" w:rsidRPr="00B727B1" w:rsidRDefault="00B727B1" w:rsidP="00B727B1">
      <w:pPr>
        <w:spacing w:after="120"/>
        <w:jc w:val="both"/>
        <w:rPr>
          <w:rFonts w:ascii="Arial" w:hAnsi="Arial" w:cs="Arial"/>
        </w:rPr>
      </w:pPr>
      <w:r w:rsidRPr="00B727B1">
        <w:rPr>
          <w:rFonts w:ascii="Arial" w:hAnsi="Arial" w:cs="Arial"/>
          <w:lang w:val="pt-BR"/>
        </w:rPr>
        <w:t xml:space="preserve">Gómez-Marín, C., Comi, A., Serna-Urán, C., &amp; Zapata-Cortes, J. (2024). </w:t>
      </w:r>
      <w:r w:rsidRPr="00B727B1">
        <w:rPr>
          <w:rFonts w:ascii="Arial" w:hAnsi="Arial" w:cs="Arial"/>
        </w:rPr>
        <w:t xml:space="preserve">Fostering collaboration and coordination in urban delivery: a multi-agent microsimulation model. </w:t>
      </w:r>
      <w:r w:rsidRPr="00B727B1">
        <w:rPr>
          <w:rFonts w:ascii="Arial" w:hAnsi="Arial" w:cs="Arial"/>
          <w:i/>
          <w:iCs/>
        </w:rPr>
        <w:t>Research in Transportation Economics</w:t>
      </w:r>
      <w:r w:rsidRPr="00B727B1">
        <w:rPr>
          <w:rFonts w:ascii="Arial" w:hAnsi="Arial" w:cs="Arial"/>
        </w:rPr>
        <w:t xml:space="preserve">. </w:t>
      </w:r>
      <w:hyperlink r:id="rId24" w:history="1">
        <w:r w:rsidRPr="00B727B1">
          <w:rPr>
            <w:rStyle w:val="Hyperlink"/>
            <w:rFonts w:ascii="Arial" w:hAnsi="Arial" w:cs="Arial"/>
          </w:rPr>
          <w:t>https://doi.org/10.1016/j.retrec.2023.101402</w:t>
        </w:r>
      </w:hyperlink>
    </w:p>
    <w:p w14:paraId="03AF4B5E" w14:textId="77777777" w:rsidR="00B727B1" w:rsidRPr="00B727B1" w:rsidRDefault="00B727B1" w:rsidP="00B727B1">
      <w:pPr>
        <w:spacing w:after="120"/>
        <w:jc w:val="both"/>
        <w:rPr>
          <w:rFonts w:ascii="Arial" w:hAnsi="Arial" w:cs="Arial"/>
          <w:lang w:val="pt-BR"/>
        </w:rPr>
      </w:pPr>
      <w:r w:rsidRPr="00B727B1">
        <w:rPr>
          <w:rFonts w:ascii="Arial" w:hAnsi="Arial" w:cs="Arial"/>
        </w:rPr>
        <w:t xml:space="preserve">Gutiérrez-Franco, E., </w:t>
      </w:r>
      <w:proofErr w:type="spellStart"/>
      <w:r w:rsidRPr="00B727B1">
        <w:rPr>
          <w:rFonts w:ascii="Arial" w:hAnsi="Arial" w:cs="Arial"/>
        </w:rPr>
        <w:t>Mejía</w:t>
      </w:r>
      <w:proofErr w:type="spellEnd"/>
      <w:r w:rsidRPr="00B727B1">
        <w:rPr>
          <w:rFonts w:ascii="Arial" w:hAnsi="Arial" w:cs="Arial"/>
        </w:rPr>
        <w:t xml:space="preserve">-Argueta, C., &amp; </w:t>
      </w:r>
      <w:proofErr w:type="spellStart"/>
      <w:r w:rsidRPr="00B727B1">
        <w:rPr>
          <w:rFonts w:ascii="Arial" w:hAnsi="Arial" w:cs="Arial"/>
        </w:rPr>
        <w:t>Rabelo</w:t>
      </w:r>
      <w:proofErr w:type="spellEnd"/>
      <w:r w:rsidRPr="00B727B1">
        <w:rPr>
          <w:rFonts w:ascii="Arial" w:hAnsi="Arial" w:cs="Arial"/>
        </w:rPr>
        <w:t xml:space="preserve">, L. (2021). Data-Driven Methodology to Support Long-Lasting Logistics and Decision Making for Urban Last-Mile Operations. </w:t>
      </w:r>
      <w:r w:rsidRPr="00B727B1">
        <w:rPr>
          <w:rFonts w:ascii="Arial" w:hAnsi="Arial" w:cs="Arial"/>
          <w:i/>
          <w:iCs/>
          <w:lang w:val="pt-BR"/>
        </w:rPr>
        <w:t>Sustainability</w:t>
      </w:r>
      <w:r w:rsidRPr="00B727B1">
        <w:rPr>
          <w:rFonts w:ascii="Arial" w:hAnsi="Arial" w:cs="Arial"/>
          <w:lang w:val="pt-BR"/>
        </w:rPr>
        <w:t xml:space="preserve">. </w:t>
      </w:r>
      <w:hyperlink r:id="rId25" w:history="1">
        <w:r w:rsidRPr="00B727B1">
          <w:rPr>
            <w:rStyle w:val="Hyperlink"/>
            <w:rFonts w:ascii="Arial" w:hAnsi="Arial" w:cs="Arial"/>
            <w:lang w:val="pt-BR"/>
          </w:rPr>
          <w:t>https://doi.org/10.3390/su13116230</w:t>
        </w:r>
      </w:hyperlink>
    </w:p>
    <w:p w14:paraId="76EB02C7" w14:textId="77777777" w:rsidR="00B727B1" w:rsidRPr="00B727B1" w:rsidRDefault="00B727B1" w:rsidP="00B727B1">
      <w:pPr>
        <w:spacing w:after="120"/>
        <w:jc w:val="both"/>
        <w:rPr>
          <w:rFonts w:ascii="Arial" w:hAnsi="Arial" w:cs="Arial"/>
        </w:rPr>
      </w:pPr>
      <w:r w:rsidRPr="00B727B1">
        <w:rPr>
          <w:rFonts w:ascii="Arial" w:hAnsi="Arial" w:cs="Arial"/>
          <w:lang w:val="pt-BR"/>
        </w:rPr>
        <w:t xml:space="preserve">Gutiérrez-Franco, E., Mejía-Argueta, C., &amp; Rabelo, L. (2021). </w:t>
      </w:r>
      <w:r w:rsidRPr="00B727B1">
        <w:rPr>
          <w:rFonts w:ascii="Arial" w:hAnsi="Arial" w:cs="Arial"/>
        </w:rPr>
        <w:t xml:space="preserve">Data-Driven Methodology to Support Long-Lasting Logistics and Decision Making for Urban Last-Mile Operations. </w:t>
      </w:r>
      <w:r w:rsidRPr="00B727B1">
        <w:rPr>
          <w:rFonts w:ascii="Arial" w:hAnsi="Arial" w:cs="Arial"/>
          <w:i/>
          <w:iCs/>
        </w:rPr>
        <w:t>Sustainability</w:t>
      </w:r>
      <w:r w:rsidRPr="00B727B1">
        <w:rPr>
          <w:rFonts w:ascii="Arial" w:hAnsi="Arial" w:cs="Arial"/>
        </w:rPr>
        <w:t xml:space="preserve">. 13(11), 6230; </w:t>
      </w:r>
      <w:hyperlink r:id="rId26" w:history="1">
        <w:r w:rsidRPr="00B727B1">
          <w:rPr>
            <w:rStyle w:val="Hyperlink"/>
            <w:rFonts w:ascii="Arial" w:hAnsi="Arial" w:cs="Arial"/>
          </w:rPr>
          <w:t>https://doi.org/10.3390/su13116230</w:t>
        </w:r>
      </w:hyperlink>
    </w:p>
    <w:p w14:paraId="30D67DE3" w14:textId="77777777" w:rsidR="00B727B1" w:rsidRPr="00B727B1" w:rsidRDefault="00B727B1" w:rsidP="00B727B1">
      <w:pPr>
        <w:spacing w:after="120"/>
        <w:rPr>
          <w:rFonts w:ascii="Arial" w:hAnsi="Arial" w:cs="Arial"/>
        </w:rPr>
      </w:pPr>
      <w:r w:rsidRPr="00B727B1">
        <w:rPr>
          <w:rFonts w:ascii="Arial" w:hAnsi="Arial" w:cs="Arial"/>
        </w:rPr>
        <w:t xml:space="preserve">Hair, J. F., Black, W. C., </w:t>
      </w:r>
      <w:proofErr w:type="spellStart"/>
      <w:r w:rsidRPr="00B727B1">
        <w:rPr>
          <w:rFonts w:ascii="Arial" w:hAnsi="Arial" w:cs="Arial"/>
        </w:rPr>
        <w:t>Babin</w:t>
      </w:r>
      <w:proofErr w:type="spellEnd"/>
      <w:r w:rsidRPr="00B727B1">
        <w:rPr>
          <w:rFonts w:ascii="Arial" w:hAnsi="Arial" w:cs="Arial"/>
        </w:rPr>
        <w:t xml:space="preserve">, B. J., &amp; Anderson, R. E. (2019). </w:t>
      </w:r>
      <w:r w:rsidRPr="00B727B1">
        <w:rPr>
          <w:rFonts w:ascii="Arial" w:hAnsi="Arial" w:cs="Arial"/>
          <w:i/>
          <w:iCs/>
        </w:rPr>
        <w:t>Multivariate data analysis</w:t>
      </w:r>
      <w:r w:rsidRPr="00B727B1">
        <w:rPr>
          <w:rFonts w:ascii="Arial" w:hAnsi="Arial" w:cs="Arial"/>
        </w:rPr>
        <w:t xml:space="preserve"> (8th ed.). Cengage.</w:t>
      </w:r>
      <w:r w:rsidRPr="00B727B1">
        <w:rPr>
          <w:rFonts w:ascii="Arial" w:hAnsi="Arial" w:cs="Arial"/>
        </w:rPr>
        <w:br/>
      </w:r>
      <w:proofErr w:type="spellStart"/>
      <w:r w:rsidRPr="00B727B1">
        <w:rPr>
          <w:rFonts w:ascii="Arial" w:hAnsi="Arial" w:cs="Arial"/>
        </w:rPr>
        <w:t>Komolafe</w:t>
      </w:r>
      <w:proofErr w:type="spellEnd"/>
      <w:r w:rsidRPr="00B727B1">
        <w:rPr>
          <w:rFonts w:ascii="Arial" w:hAnsi="Arial" w:cs="Arial"/>
        </w:rPr>
        <w:t xml:space="preserve">, G. (2016). </w:t>
      </w:r>
      <w:r w:rsidRPr="00B727B1">
        <w:rPr>
          <w:rFonts w:ascii="Arial" w:hAnsi="Arial" w:cs="Arial"/>
          <w:i/>
          <w:iCs/>
        </w:rPr>
        <w:t>Market demolition, gentrification and survival in Lagos State.</w:t>
      </w:r>
      <w:r w:rsidRPr="00B727B1">
        <w:rPr>
          <w:rFonts w:ascii="Arial" w:hAnsi="Arial" w:cs="Arial"/>
        </w:rPr>
        <w:t xml:space="preserve"> FIWON. </w:t>
      </w:r>
      <w:proofErr w:type="spellStart"/>
      <w:r w:rsidRPr="00B727B1">
        <w:rPr>
          <w:rFonts w:ascii="Arial" w:hAnsi="Arial" w:cs="Arial"/>
        </w:rPr>
        <w:t>Retreived</w:t>
      </w:r>
      <w:proofErr w:type="spellEnd"/>
      <w:r w:rsidRPr="00B727B1">
        <w:rPr>
          <w:rFonts w:ascii="Arial" w:hAnsi="Arial" w:cs="Arial"/>
        </w:rPr>
        <w:t xml:space="preserve"> from: </w:t>
      </w:r>
      <w:hyperlink r:id="rId27" w:history="1">
        <w:r w:rsidRPr="00B727B1">
          <w:rPr>
            <w:rStyle w:val="Hyperlink"/>
            <w:rFonts w:ascii="Arial" w:hAnsi="Arial" w:cs="Arial"/>
          </w:rPr>
          <w:t>https://www.wiego.org/research-library-publications/poor-also-must-live-market-demolition-gentrification-quest-survival-lagos-state/</w:t>
        </w:r>
      </w:hyperlink>
      <w:r w:rsidRPr="00B727B1">
        <w:rPr>
          <w:rFonts w:ascii="Arial" w:hAnsi="Arial" w:cs="Arial"/>
        </w:rPr>
        <w:t xml:space="preserve"> </w:t>
      </w:r>
      <w:r w:rsidRPr="00B727B1">
        <w:rPr>
          <w:rFonts w:ascii="Arial" w:hAnsi="Arial" w:cs="Arial"/>
        </w:rPr>
        <w:br/>
        <w:t xml:space="preserve">STREAM Insight. (2014). </w:t>
      </w:r>
      <w:r w:rsidRPr="00B727B1">
        <w:rPr>
          <w:rFonts w:ascii="Arial" w:hAnsi="Arial" w:cs="Arial"/>
          <w:i/>
          <w:iCs/>
        </w:rPr>
        <w:t>Market enumeration of wholesalers and retailers in key hub markets.</w:t>
      </w:r>
      <w:r w:rsidRPr="00B727B1">
        <w:rPr>
          <w:rFonts w:ascii="Arial" w:hAnsi="Arial" w:cs="Arial"/>
        </w:rPr>
        <w:t xml:space="preserve"> GEMS. Retrieved from: </w:t>
      </w:r>
      <w:hyperlink r:id="rId28" w:history="1">
        <w:r w:rsidRPr="00B727B1">
          <w:rPr>
            <w:rStyle w:val="Hyperlink"/>
            <w:rFonts w:ascii="Arial" w:hAnsi="Arial" w:cs="Arial"/>
          </w:rPr>
          <w:t>https://afchub.org/documents/16159887078-Market-Enumeration-of-Wholesalers-and-Retailers-in-Hub-Markets.pdf</w:t>
        </w:r>
      </w:hyperlink>
      <w:r w:rsidRPr="00B727B1">
        <w:rPr>
          <w:rFonts w:ascii="Arial" w:hAnsi="Arial" w:cs="Arial"/>
        </w:rPr>
        <w:t xml:space="preserve"> </w:t>
      </w:r>
      <w:r w:rsidRPr="00B727B1">
        <w:rPr>
          <w:rFonts w:ascii="Arial" w:hAnsi="Arial" w:cs="Arial"/>
        </w:rPr>
        <w:br/>
      </w:r>
      <w:proofErr w:type="spellStart"/>
      <w:r w:rsidRPr="00B727B1">
        <w:rPr>
          <w:rFonts w:ascii="Arial" w:hAnsi="Arial" w:cs="Arial"/>
        </w:rPr>
        <w:t>Tabachnick</w:t>
      </w:r>
      <w:proofErr w:type="spellEnd"/>
      <w:r w:rsidRPr="00B727B1">
        <w:rPr>
          <w:rFonts w:ascii="Arial" w:hAnsi="Arial" w:cs="Arial"/>
        </w:rPr>
        <w:t xml:space="preserve">, B. G., &amp; </w:t>
      </w:r>
      <w:proofErr w:type="spellStart"/>
      <w:r w:rsidRPr="00B727B1">
        <w:rPr>
          <w:rFonts w:ascii="Arial" w:hAnsi="Arial" w:cs="Arial"/>
        </w:rPr>
        <w:t>Fidell</w:t>
      </w:r>
      <w:proofErr w:type="spellEnd"/>
      <w:r w:rsidRPr="00B727B1">
        <w:rPr>
          <w:rFonts w:ascii="Arial" w:hAnsi="Arial" w:cs="Arial"/>
        </w:rPr>
        <w:t xml:space="preserve">, L. S. (2019). </w:t>
      </w:r>
      <w:r w:rsidRPr="00B727B1">
        <w:rPr>
          <w:rFonts w:ascii="Arial" w:hAnsi="Arial" w:cs="Arial"/>
          <w:i/>
          <w:iCs/>
        </w:rPr>
        <w:t>Using multivariate statistics</w:t>
      </w:r>
      <w:r w:rsidRPr="00B727B1">
        <w:rPr>
          <w:rFonts w:ascii="Arial" w:hAnsi="Arial" w:cs="Arial"/>
        </w:rPr>
        <w:t xml:space="preserve"> (7th ed.). Pearson.</w:t>
      </w:r>
      <w:r w:rsidRPr="00B727B1">
        <w:rPr>
          <w:rFonts w:ascii="Arial" w:hAnsi="Arial" w:cs="Arial"/>
        </w:rPr>
        <w:br/>
        <w:t xml:space="preserve">Yamane, T. (1967). </w:t>
      </w:r>
      <w:r w:rsidRPr="00B727B1">
        <w:rPr>
          <w:rFonts w:ascii="Arial" w:hAnsi="Arial" w:cs="Arial"/>
          <w:i/>
          <w:iCs/>
        </w:rPr>
        <w:t>Statistics: An introductory analysis</w:t>
      </w:r>
      <w:r w:rsidRPr="00B727B1">
        <w:rPr>
          <w:rFonts w:ascii="Arial" w:hAnsi="Arial" w:cs="Arial"/>
        </w:rPr>
        <w:t xml:space="preserve"> (2nd ed.). Harper &amp; Row.</w:t>
      </w:r>
    </w:p>
    <w:p w14:paraId="2FA82F07" w14:textId="77777777" w:rsidR="00B727B1" w:rsidRPr="00B727B1" w:rsidRDefault="00B727B1" w:rsidP="00B727B1">
      <w:pPr>
        <w:spacing w:after="120"/>
        <w:rPr>
          <w:rFonts w:ascii="Arial" w:hAnsi="Arial" w:cs="Arial"/>
        </w:rPr>
      </w:pPr>
      <w:r w:rsidRPr="00B727B1">
        <w:rPr>
          <w:rFonts w:ascii="Arial" w:hAnsi="Arial" w:cs="Arial"/>
        </w:rPr>
        <w:t xml:space="preserve">Hair, J. F., Black, W. C., </w:t>
      </w:r>
      <w:proofErr w:type="spellStart"/>
      <w:r w:rsidRPr="00B727B1">
        <w:rPr>
          <w:rFonts w:ascii="Arial" w:hAnsi="Arial" w:cs="Arial"/>
        </w:rPr>
        <w:t>Babin</w:t>
      </w:r>
      <w:proofErr w:type="spellEnd"/>
      <w:r w:rsidRPr="00B727B1">
        <w:rPr>
          <w:rFonts w:ascii="Arial" w:hAnsi="Arial" w:cs="Arial"/>
        </w:rPr>
        <w:t xml:space="preserve">, B. J., &amp; Anderson, R. E. (2019). </w:t>
      </w:r>
      <w:r w:rsidRPr="00B727B1">
        <w:rPr>
          <w:rFonts w:ascii="Arial" w:hAnsi="Arial" w:cs="Arial"/>
          <w:i/>
          <w:iCs/>
        </w:rPr>
        <w:t>Multivariate data analysis</w:t>
      </w:r>
      <w:r w:rsidRPr="00B727B1">
        <w:rPr>
          <w:rFonts w:ascii="Arial" w:hAnsi="Arial" w:cs="Arial"/>
        </w:rPr>
        <w:t xml:space="preserve"> (8th ed.). Cengage.</w:t>
      </w:r>
    </w:p>
    <w:p w14:paraId="6220F6E8" w14:textId="77777777" w:rsidR="00B727B1" w:rsidRPr="00B727B1" w:rsidRDefault="00B727B1" w:rsidP="00B727B1">
      <w:pPr>
        <w:spacing w:after="120"/>
        <w:jc w:val="both"/>
        <w:rPr>
          <w:rFonts w:ascii="Arial" w:hAnsi="Arial" w:cs="Arial"/>
        </w:rPr>
      </w:pPr>
      <w:proofErr w:type="spellStart"/>
      <w:r w:rsidRPr="00B727B1">
        <w:rPr>
          <w:rFonts w:ascii="Arial" w:hAnsi="Arial" w:cs="Arial"/>
        </w:rPr>
        <w:t>Heeswijk</w:t>
      </w:r>
      <w:proofErr w:type="spellEnd"/>
      <w:r w:rsidRPr="00B727B1">
        <w:rPr>
          <w:rFonts w:ascii="Arial" w:hAnsi="Arial" w:cs="Arial"/>
        </w:rPr>
        <w:t xml:space="preserve">, W., </w:t>
      </w:r>
      <w:proofErr w:type="spellStart"/>
      <w:r w:rsidRPr="00B727B1">
        <w:rPr>
          <w:rFonts w:ascii="Arial" w:hAnsi="Arial" w:cs="Arial"/>
        </w:rPr>
        <w:t>Mes</w:t>
      </w:r>
      <w:proofErr w:type="spellEnd"/>
      <w:r w:rsidRPr="00B727B1">
        <w:rPr>
          <w:rFonts w:ascii="Arial" w:hAnsi="Arial" w:cs="Arial"/>
        </w:rPr>
        <w:t xml:space="preserve">, M., </w:t>
      </w:r>
      <w:proofErr w:type="spellStart"/>
      <w:r w:rsidRPr="00B727B1">
        <w:rPr>
          <w:rFonts w:ascii="Arial" w:hAnsi="Arial" w:cs="Arial"/>
        </w:rPr>
        <w:t>Schutten</w:t>
      </w:r>
      <w:proofErr w:type="spellEnd"/>
      <w:r w:rsidRPr="00B727B1">
        <w:rPr>
          <w:rFonts w:ascii="Arial" w:hAnsi="Arial" w:cs="Arial"/>
        </w:rPr>
        <w:t xml:space="preserve">, M., &amp; </w:t>
      </w:r>
      <w:proofErr w:type="spellStart"/>
      <w:r w:rsidRPr="00B727B1">
        <w:rPr>
          <w:rFonts w:ascii="Arial" w:hAnsi="Arial" w:cs="Arial"/>
        </w:rPr>
        <w:t>Zijm</w:t>
      </w:r>
      <w:proofErr w:type="spellEnd"/>
      <w:r w:rsidRPr="00B727B1">
        <w:rPr>
          <w:rFonts w:ascii="Arial" w:hAnsi="Arial" w:cs="Arial"/>
        </w:rPr>
        <w:t xml:space="preserve">, H. (2020). Evaluating Urban Logistics Schemes Using Agent-based Simulation. </w:t>
      </w:r>
      <w:r w:rsidRPr="00B727B1">
        <w:rPr>
          <w:rFonts w:ascii="Arial" w:hAnsi="Arial" w:cs="Arial"/>
          <w:i/>
          <w:iCs/>
        </w:rPr>
        <w:t>Transp. Sci.</w:t>
      </w:r>
      <w:r w:rsidRPr="00B727B1">
        <w:rPr>
          <w:rFonts w:ascii="Arial" w:hAnsi="Arial" w:cs="Arial"/>
        </w:rPr>
        <w:t xml:space="preserve">, 54, 651-675. </w:t>
      </w:r>
      <w:hyperlink r:id="rId29" w:history="1">
        <w:r w:rsidRPr="00B727B1">
          <w:rPr>
            <w:rStyle w:val="Hyperlink"/>
            <w:rFonts w:ascii="Arial" w:hAnsi="Arial" w:cs="Arial"/>
          </w:rPr>
          <w:t>https://doi.org/10.1287/trsc.2019.0971</w:t>
        </w:r>
      </w:hyperlink>
    </w:p>
    <w:p w14:paraId="25AD1A8B" w14:textId="77777777" w:rsidR="00B727B1" w:rsidRPr="00B727B1" w:rsidRDefault="00B727B1" w:rsidP="00B727B1">
      <w:pPr>
        <w:spacing w:after="120"/>
        <w:jc w:val="both"/>
        <w:rPr>
          <w:rFonts w:ascii="Arial" w:hAnsi="Arial" w:cs="Arial"/>
          <w:lang w:val="en-GB"/>
        </w:rPr>
      </w:pPr>
      <w:proofErr w:type="spellStart"/>
      <w:r w:rsidRPr="00B727B1">
        <w:rPr>
          <w:rFonts w:ascii="Arial" w:hAnsi="Arial" w:cs="Arial"/>
        </w:rPr>
        <w:t>Heeswijk</w:t>
      </w:r>
      <w:proofErr w:type="spellEnd"/>
      <w:r w:rsidRPr="00B727B1">
        <w:rPr>
          <w:rFonts w:ascii="Arial" w:hAnsi="Arial" w:cs="Arial"/>
        </w:rPr>
        <w:t xml:space="preserve">, W., </w:t>
      </w:r>
      <w:proofErr w:type="spellStart"/>
      <w:r w:rsidRPr="00B727B1">
        <w:rPr>
          <w:rFonts w:ascii="Arial" w:hAnsi="Arial" w:cs="Arial"/>
        </w:rPr>
        <w:t>Mes</w:t>
      </w:r>
      <w:proofErr w:type="spellEnd"/>
      <w:r w:rsidRPr="00B727B1">
        <w:rPr>
          <w:rFonts w:ascii="Arial" w:hAnsi="Arial" w:cs="Arial"/>
        </w:rPr>
        <w:t xml:space="preserve">, M., </w:t>
      </w:r>
      <w:proofErr w:type="spellStart"/>
      <w:r w:rsidRPr="00B727B1">
        <w:rPr>
          <w:rFonts w:ascii="Arial" w:hAnsi="Arial" w:cs="Arial"/>
        </w:rPr>
        <w:t>Schutten</w:t>
      </w:r>
      <w:proofErr w:type="spellEnd"/>
      <w:r w:rsidRPr="00B727B1">
        <w:rPr>
          <w:rFonts w:ascii="Arial" w:hAnsi="Arial" w:cs="Arial"/>
        </w:rPr>
        <w:t xml:space="preserve">, M., &amp; </w:t>
      </w:r>
      <w:proofErr w:type="spellStart"/>
      <w:r w:rsidRPr="00B727B1">
        <w:rPr>
          <w:rFonts w:ascii="Arial" w:hAnsi="Arial" w:cs="Arial"/>
        </w:rPr>
        <w:t>Zijm</w:t>
      </w:r>
      <w:proofErr w:type="spellEnd"/>
      <w:r w:rsidRPr="00B727B1">
        <w:rPr>
          <w:rFonts w:ascii="Arial" w:hAnsi="Arial" w:cs="Arial"/>
        </w:rPr>
        <w:t xml:space="preserve">, H. (2020). Evaluating Urban Logistics Schemes Using Agent-based Simulation. </w:t>
      </w:r>
      <w:r w:rsidRPr="00B727B1">
        <w:rPr>
          <w:rFonts w:ascii="Arial" w:hAnsi="Arial" w:cs="Arial"/>
          <w:i/>
          <w:iCs/>
        </w:rPr>
        <w:t>Transp. Sci.</w:t>
      </w:r>
      <w:r w:rsidRPr="00B727B1">
        <w:rPr>
          <w:rFonts w:ascii="Arial" w:hAnsi="Arial" w:cs="Arial"/>
        </w:rPr>
        <w:t xml:space="preserve">, 54, 651-675. </w:t>
      </w:r>
      <w:hyperlink r:id="rId30" w:history="1">
        <w:r w:rsidRPr="00B727B1">
          <w:rPr>
            <w:rStyle w:val="Hyperlink"/>
            <w:rFonts w:ascii="Arial" w:hAnsi="Arial" w:cs="Arial"/>
            <w:lang w:val="en-GB"/>
          </w:rPr>
          <w:t>https://doi.org/10.1287/trsc.2019.0971</w:t>
        </w:r>
      </w:hyperlink>
    </w:p>
    <w:p w14:paraId="7CE00E6D" w14:textId="77777777" w:rsidR="00B727B1" w:rsidRPr="00B727B1" w:rsidRDefault="00B727B1" w:rsidP="00B727B1">
      <w:pPr>
        <w:spacing w:after="120"/>
        <w:rPr>
          <w:rFonts w:ascii="Arial" w:hAnsi="Arial" w:cs="Arial"/>
        </w:rPr>
      </w:pPr>
      <w:r w:rsidRPr="00B727B1">
        <w:rPr>
          <w:rFonts w:ascii="Arial" w:hAnsi="Arial" w:cs="Arial"/>
          <w:lang w:val="en-GB"/>
        </w:rPr>
        <w:lastRenderedPageBreak/>
        <w:t xml:space="preserve">Hu, L. T., &amp; </w:t>
      </w:r>
      <w:proofErr w:type="spellStart"/>
      <w:r w:rsidRPr="00B727B1">
        <w:rPr>
          <w:rFonts w:ascii="Arial" w:hAnsi="Arial" w:cs="Arial"/>
          <w:lang w:val="en-GB"/>
        </w:rPr>
        <w:t>Bentler</w:t>
      </w:r>
      <w:proofErr w:type="spellEnd"/>
      <w:r w:rsidRPr="00B727B1">
        <w:rPr>
          <w:rFonts w:ascii="Arial" w:hAnsi="Arial" w:cs="Arial"/>
          <w:lang w:val="en-GB"/>
        </w:rPr>
        <w:t xml:space="preserve">, P. M. (1999). </w:t>
      </w:r>
      <w:r w:rsidRPr="00B727B1">
        <w:rPr>
          <w:rFonts w:ascii="Arial" w:hAnsi="Arial" w:cs="Arial"/>
        </w:rPr>
        <w:t xml:space="preserve">Cutoff criteria for fit indexes in covariance structure analysis: Conventional criteria versus new alternatives. </w:t>
      </w:r>
      <w:r w:rsidRPr="00B727B1">
        <w:rPr>
          <w:rFonts w:ascii="Arial" w:hAnsi="Arial" w:cs="Arial"/>
          <w:i/>
          <w:iCs/>
        </w:rPr>
        <w:t>Structural Equation Modeling: A Multidisciplinary Journal, 6</w:t>
      </w:r>
      <w:r w:rsidRPr="00B727B1">
        <w:rPr>
          <w:rFonts w:ascii="Arial" w:hAnsi="Arial" w:cs="Arial"/>
        </w:rPr>
        <w:t>(1), 1-55.</w:t>
      </w:r>
    </w:p>
    <w:p w14:paraId="3A9653D3" w14:textId="77777777" w:rsidR="00B727B1" w:rsidRPr="00B727B1" w:rsidRDefault="00B727B1" w:rsidP="00B727B1">
      <w:pPr>
        <w:spacing w:after="120"/>
        <w:jc w:val="both"/>
        <w:rPr>
          <w:rFonts w:ascii="Arial" w:hAnsi="Arial" w:cs="Arial"/>
        </w:rPr>
      </w:pPr>
      <w:proofErr w:type="spellStart"/>
      <w:r w:rsidRPr="00B727B1">
        <w:rPr>
          <w:rFonts w:ascii="Arial" w:hAnsi="Arial" w:cs="Arial"/>
        </w:rPr>
        <w:t>Iswari</w:t>
      </w:r>
      <w:proofErr w:type="spellEnd"/>
      <w:r w:rsidRPr="00B727B1">
        <w:rPr>
          <w:rFonts w:ascii="Arial" w:hAnsi="Arial" w:cs="Arial"/>
        </w:rPr>
        <w:t xml:space="preserve">, T., </w:t>
      </w:r>
      <w:proofErr w:type="spellStart"/>
      <w:r w:rsidRPr="00B727B1">
        <w:rPr>
          <w:rFonts w:ascii="Arial" w:hAnsi="Arial" w:cs="Arial"/>
        </w:rPr>
        <w:t>Caris</w:t>
      </w:r>
      <w:proofErr w:type="spellEnd"/>
      <w:r w:rsidRPr="00B727B1">
        <w:rPr>
          <w:rFonts w:ascii="Arial" w:hAnsi="Arial" w:cs="Arial"/>
        </w:rPr>
        <w:t xml:space="preserve">, A., &amp; </w:t>
      </w:r>
      <w:proofErr w:type="spellStart"/>
      <w:r w:rsidRPr="00B727B1">
        <w:rPr>
          <w:rFonts w:ascii="Arial" w:hAnsi="Arial" w:cs="Arial"/>
        </w:rPr>
        <w:t>Braekers</w:t>
      </w:r>
      <w:proofErr w:type="spellEnd"/>
      <w:r w:rsidRPr="00B727B1">
        <w:rPr>
          <w:rFonts w:ascii="Arial" w:hAnsi="Arial" w:cs="Arial"/>
        </w:rPr>
        <w:t xml:space="preserve">, K. (2023). Analyzing the benefits of a city hub: An inventory and routing perspective. </w:t>
      </w:r>
      <w:proofErr w:type="spellStart"/>
      <w:r w:rsidRPr="00B727B1">
        <w:rPr>
          <w:rFonts w:ascii="Arial" w:hAnsi="Arial" w:cs="Arial"/>
          <w:i/>
          <w:iCs/>
        </w:rPr>
        <w:t>Comput</w:t>
      </w:r>
      <w:proofErr w:type="spellEnd"/>
      <w:r w:rsidRPr="00B727B1">
        <w:rPr>
          <w:rFonts w:ascii="Arial" w:hAnsi="Arial" w:cs="Arial"/>
          <w:i/>
          <w:iCs/>
        </w:rPr>
        <w:t>. Ind. Eng.</w:t>
      </w:r>
      <w:r w:rsidRPr="00B727B1">
        <w:rPr>
          <w:rFonts w:ascii="Arial" w:hAnsi="Arial" w:cs="Arial"/>
        </w:rPr>
        <w:t xml:space="preserve">, 185, 109629. </w:t>
      </w:r>
      <w:hyperlink r:id="rId31" w:history="1">
        <w:r w:rsidRPr="00B727B1">
          <w:rPr>
            <w:rStyle w:val="Hyperlink"/>
            <w:rFonts w:ascii="Arial" w:hAnsi="Arial" w:cs="Arial"/>
          </w:rPr>
          <w:t>https://doi.org/10.1016/j.cie.2023.109629</w:t>
        </w:r>
      </w:hyperlink>
    </w:p>
    <w:p w14:paraId="341A929B" w14:textId="77777777" w:rsidR="00B727B1" w:rsidRPr="00B727B1" w:rsidRDefault="00B727B1" w:rsidP="00B727B1">
      <w:pPr>
        <w:spacing w:after="120"/>
        <w:jc w:val="both"/>
        <w:rPr>
          <w:rFonts w:ascii="Arial" w:hAnsi="Arial" w:cs="Arial"/>
        </w:rPr>
      </w:pPr>
      <w:proofErr w:type="spellStart"/>
      <w:r w:rsidRPr="00B727B1">
        <w:rPr>
          <w:rFonts w:ascii="Arial" w:hAnsi="Arial" w:cs="Arial"/>
        </w:rPr>
        <w:t>Kervenoael</w:t>
      </w:r>
      <w:proofErr w:type="spellEnd"/>
      <w:r w:rsidRPr="00B727B1">
        <w:rPr>
          <w:rFonts w:ascii="Arial" w:hAnsi="Arial" w:cs="Arial"/>
        </w:rPr>
        <w:t xml:space="preserve">, R., Schwob, A., &amp; Chandra, C. (2020). E-retailers and the engagement of delivery workers in urban last-mile delivery for sustainable logistics value creation: Leveraging legitimate concerns under time-based marketing promise. </w:t>
      </w:r>
      <w:r w:rsidRPr="00B727B1">
        <w:rPr>
          <w:rFonts w:ascii="Arial" w:hAnsi="Arial" w:cs="Arial"/>
          <w:i/>
          <w:iCs/>
        </w:rPr>
        <w:t>Journal of Retailing and Consumer Services</w:t>
      </w:r>
      <w:r w:rsidRPr="00B727B1">
        <w:rPr>
          <w:rFonts w:ascii="Arial" w:hAnsi="Arial" w:cs="Arial"/>
        </w:rPr>
        <w:t xml:space="preserve">, 54, 102016. </w:t>
      </w:r>
      <w:hyperlink r:id="rId32" w:history="1">
        <w:r w:rsidRPr="00B727B1">
          <w:rPr>
            <w:rStyle w:val="Hyperlink"/>
            <w:rFonts w:ascii="Arial" w:hAnsi="Arial" w:cs="Arial"/>
          </w:rPr>
          <w:t>https://doi.org/10.1016/j.jretconser.2019.102016</w:t>
        </w:r>
      </w:hyperlink>
    </w:p>
    <w:p w14:paraId="7A770CB0" w14:textId="77777777" w:rsidR="00B727B1" w:rsidRPr="00B727B1" w:rsidRDefault="00B727B1" w:rsidP="00B727B1">
      <w:pPr>
        <w:spacing w:after="120"/>
        <w:jc w:val="both"/>
        <w:rPr>
          <w:rFonts w:ascii="Arial" w:hAnsi="Arial" w:cs="Arial"/>
        </w:rPr>
      </w:pPr>
      <w:r w:rsidRPr="00B727B1">
        <w:rPr>
          <w:rFonts w:ascii="Arial" w:hAnsi="Arial" w:cs="Arial"/>
          <w:lang w:val="sv-SE"/>
        </w:rPr>
        <w:t xml:space="preserve">Kervenoael, R., Schwob, A., &amp; Chandra, C. (2020). </w:t>
      </w:r>
      <w:r w:rsidRPr="00B727B1">
        <w:rPr>
          <w:rFonts w:ascii="Arial" w:hAnsi="Arial" w:cs="Arial"/>
        </w:rPr>
        <w:t xml:space="preserve">E-retailers and the engagement of delivery workers in urban last-mile delivery for sustainable logistics value creation: Leveraging legitimate concerns under time-based marketing promise. </w:t>
      </w:r>
      <w:r w:rsidRPr="00B727B1">
        <w:rPr>
          <w:rFonts w:ascii="Arial" w:hAnsi="Arial" w:cs="Arial"/>
          <w:i/>
          <w:iCs/>
        </w:rPr>
        <w:t>Journal of Retailing and Consumer Services</w:t>
      </w:r>
      <w:r w:rsidRPr="00B727B1">
        <w:rPr>
          <w:rFonts w:ascii="Arial" w:hAnsi="Arial" w:cs="Arial"/>
        </w:rPr>
        <w:t xml:space="preserve">, 54, 102016. </w:t>
      </w:r>
      <w:hyperlink r:id="rId33" w:history="1">
        <w:r w:rsidRPr="00B727B1">
          <w:rPr>
            <w:rStyle w:val="Hyperlink"/>
            <w:rFonts w:ascii="Arial" w:hAnsi="Arial" w:cs="Arial"/>
          </w:rPr>
          <w:t>https://doi.org/10.1016/j.jretconser.2019.102016</w:t>
        </w:r>
      </w:hyperlink>
    </w:p>
    <w:p w14:paraId="442EA79C" w14:textId="77777777" w:rsidR="00B727B1" w:rsidRPr="00B727B1" w:rsidRDefault="00B727B1" w:rsidP="00B727B1">
      <w:pPr>
        <w:spacing w:after="120"/>
        <w:rPr>
          <w:rFonts w:ascii="Arial" w:hAnsi="Arial" w:cs="Arial"/>
        </w:rPr>
      </w:pPr>
      <w:r w:rsidRPr="00B727B1">
        <w:rPr>
          <w:rFonts w:ascii="Arial" w:hAnsi="Arial" w:cs="Arial"/>
        </w:rPr>
        <w:t xml:space="preserve">Kline, R. B. (2016). </w:t>
      </w:r>
      <w:r w:rsidRPr="00B727B1">
        <w:rPr>
          <w:rFonts w:ascii="Arial" w:hAnsi="Arial" w:cs="Arial"/>
          <w:i/>
          <w:iCs/>
        </w:rPr>
        <w:t>Principles and practice of structural equation modeling</w:t>
      </w:r>
      <w:r w:rsidRPr="00B727B1">
        <w:rPr>
          <w:rFonts w:ascii="Arial" w:hAnsi="Arial" w:cs="Arial"/>
        </w:rPr>
        <w:t xml:space="preserve"> (4th ed.). Guilford Press.</w:t>
      </w:r>
    </w:p>
    <w:p w14:paraId="4CE0E642" w14:textId="77777777" w:rsidR="00B727B1" w:rsidRPr="00B727B1" w:rsidRDefault="00B727B1" w:rsidP="00B727B1">
      <w:pPr>
        <w:spacing w:after="120"/>
        <w:jc w:val="both"/>
        <w:rPr>
          <w:rFonts w:ascii="Arial" w:hAnsi="Arial" w:cs="Arial"/>
        </w:rPr>
      </w:pPr>
      <w:r w:rsidRPr="00B727B1">
        <w:rPr>
          <w:rFonts w:ascii="Arial" w:hAnsi="Arial" w:cs="Arial"/>
        </w:rPr>
        <w:t xml:space="preserve">Kodera, R., Sakai, T., &amp; </w:t>
      </w:r>
      <w:proofErr w:type="spellStart"/>
      <w:r w:rsidRPr="00B727B1">
        <w:rPr>
          <w:rFonts w:ascii="Arial" w:hAnsi="Arial" w:cs="Arial"/>
        </w:rPr>
        <w:t>Hyodo</w:t>
      </w:r>
      <w:proofErr w:type="spellEnd"/>
      <w:r w:rsidRPr="00B727B1">
        <w:rPr>
          <w:rFonts w:ascii="Arial" w:hAnsi="Arial" w:cs="Arial"/>
        </w:rPr>
        <w:t xml:space="preserve">, T. (2025). Development of a Delivery Time-Period Selection Model for Urban Freight Using GPS Data. </w:t>
      </w:r>
      <w:r w:rsidRPr="00B727B1">
        <w:rPr>
          <w:rFonts w:ascii="Arial" w:hAnsi="Arial" w:cs="Arial"/>
          <w:i/>
          <w:iCs/>
        </w:rPr>
        <w:t>Smart Cities</w:t>
      </w:r>
      <w:r w:rsidRPr="00B727B1">
        <w:rPr>
          <w:rFonts w:ascii="Arial" w:hAnsi="Arial" w:cs="Arial"/>
        </w:rPr>
        <w:t xml:space="preserve">. 8(1), 31. </w:t>
      </w:r>
      <w:hyperlink r:id="rId34" w:history="1">
        <w:r w:rsidRPr="00B727B1">
          <w:rPr>
            <w:rStyle w:val="Hyperlink"/>
            <w:rFonts w:ascii="Arial" w:hAnsi="Arial" w:cs="Arial"/>
          </w:rPr>
          <w:t>https://doi.org/10.3390/smartcities8010031</w:t>
        </w:r>
      </w:hyperlink>
    </w:p>
    <w:p w14:paraId="6AEE62F7" w14:textId="77777777" w:rsidR="00B727B1" w:rsidRPr="00B727B1" w:rsidRDefault="00B727B1" w:rsidP="00B727B1">
      <w:pPr>
        <w:spacing w:after="120"/>
        <w:jc w:val="both"/>
        <w:rPr>
          <w:rFonts w:ascii="Arial" w:hAnsi="Arial" w:cs="Arial"/>
        </w:rPr>
      </w:pPr>
      <w:r w:rsidRPr="00B727B1">
        <w:rPr>
          <w:rFonts w:ascii="Arial" w:hAnsi="Arial" w:cs="Arial"/>
        </w:rPr>
        <w:t xml:space="preserve">Liu, C., Zhou, J., Gan, J., Wu, Y., Huang, Y., Shao, J., &amp; Ouyang, L. (2022). Optimizing the ground intra-city express delivery network: An integrated multiple centrality assessment, multi-criteria decision-making, and multi-objective integer programming model. </w:t>
      </w:r>
      <w:r w:rsidRPr="00B727B1">
        <w:rPr>
          <w:rFonts w:ascii="Arial" w:hAnsi="Arial" w:cs="Arial"/>
          <w:i/>
          <w:iCs/>
        </w:rPr>
        <w:t>Journal of Intelligent Transportation Systems</w:t>
      </w:r>
      <w:r w:rsidRPr="00B727B1">
        <w:rPr>
          <w:rFonts w:ascii="Arial" w:hAnsi="Arial" w:cs="Arial"/>
        </w:rPr>
        <w:t xml:space="preserve">, 28, 525 - 543. </w:t>
      </w:r>
      <w:hyperlink r:id="rId35" w:history="1">
        <w:r w:rsidRPr="00B727B1">
          <w:rPr>
            <w:rStyle w:val="Hyperlink"/>
            <w:rFonts w:ascii="Arial" w:hAnsi="Arial" w:cs="Arial"/>
          </w:rPr>
          <w:t>https://doi.org/10.1080/15472450.2022.2157211</w:t>
        </w:r>
      </w:hyperlink>
    </w:p>
    <w:p w14:paraId="56579AA3" w14:textId="77777777" w:rsidR="00B727B1" w:rsidRPr="00B727B1" w:rsidRDefault="00B727B1" w:rsidP="00B727B1">
      <w:pPr>
        <w:spacing w:after="120"/>
        <w:jc w:val="both"/>
        <w:rPr>
          <w:rFonts w:ascii="Arial" w:hAnsi="Arial" w:cs="Arial"/>
        </w:rPr>
      </w:pPr>
      <w:r w:rsidRPr="00B727B1">
        <w:rPr>
          <w:rFonts w:ascii="Arial" w:hAnsi="Arial" w:cs="Arial"/>
        </w:rPr>
        <w:t xml:space="preserve">Liu, C., Zhou, J., Gan, J., Wu, Y., Huang, Y., Shao, J., &amp; Ouyang, L. (2022). Optimizing the ground intra-city express delivery network: An integrated multiple centrality assessment, multi-criteria decision-making, and multi-objective integer programming model. </w:t>
      </w:r>
      <w:r w:rsidRPr="00B727B1">
        <w:rPr>
          <w:rFonts w:ascii="Arial" w:hAnsi="Arial" w:cs="Arial"/>
          <w:i/>
          <w:iCs/>
        </w:rPr>
        <w:t>Journal of Intelligent Transportation Systems</w:t>
      </w:r>
      <w:r w:rsidRPr="00B727B1">
        <w:rPr>
          <w:rFonts w:ascii="Arial" w:hAnsi="Arial" w:cs="Arial"/>
        </w:rPr>
        <w:t xml:space="preserve">, 28, 525 - 543. </w:t>
      </w:r>
      <w:hyperlink r:id="rId36" w:history="1">
        <w:r w:rsidRPr="00B727B1">
          <w:rPr>
            <w:rStyle w:val="Hyperlink"/>
            <w:rFonts w:ascii="Arial" w:hAnsi="Arial" w:cs="Arial"/>
          </w:rPr>
          <w:t>https://doi.org/10.1080/15472450.2022.2157211</w:t>
        </w:r>
      </w:hyperlink>
    </w:p>
    <w:p w14:paraId="79D43142" w14:textId="77777777" w:rsidR="00B727B1" w:rsidRPr="00B727B1" w:rsidRDefault="00B727B1" w:rsidP="00B727B1">
      <w:pPr>
        <w:spacing w:after="120"/>
        <w:jc w:val="both"/>
        <w:rPr>
          <w:rFonts w:ascii="Arial" w:hAnsi="Arial" w:cs="Arial"/>
        </w:rPr>
      </w:pPr>
      <w:proofErr w:type="spellStart"/>
      <w:r w:rsidRPr="00B727B1">
        <w:rPr>
          <w:rFonts w:ascii="Arial" w:hAnsi="Arial" w:cs="Arial"/>
        </w:rPr>
        <w:t>Lozzi</w:t>
      </w:r>
      <w:proofErr w:type="spellEnd"/>
      <w:r w:rsidRPr="00B727B1">
        <w:rPr>
          <w:rFonts w:ascii="Arial" w:hAnsi="Arial" w:cs="Arial"/>
        </w:rPr>
        <w:t xml:space="preserve">, G., </w:t>
      </w:r>
      <w:proofErr w:type="spellStart"/>
      <w:r w:rsidRPr="00B727B1">
        <w:rPr>
          <w:rFonts w:ascii="Arial" w:hAnsi="Arial" w:cs="Arial"/>
        </w:rPr>
        <w:t>Iannaccone</w:t>
      </w:r>
      <w:proofErr w:type="spellEnd"/>
      <w:r w:rsidRPr="00B727B1">
        <w:rPr>
          <w:rFonts w:ascii="Arial" w:hAnsi="Arial" w:cs="Arial"/>
        </w:rPr>
        <w:t xml:space="preserve">, G., Maltese, I., </w:t>
      </w:r>
      <w:proofErr w:type="spellStart"/>
      <w:r w:rsidRPr="00B727B1">
        <w:rPr>
          <w:rFonts w:ascii="Arial" w:hAnsi="Arial" w:cs="Arial"/>
        </w:rPr>
        <w:t>Gatta</w:t>
      </w:r>
      <w:proofErr w:type="spellEnd"/>
      <w:r w:rsidRPr="00B727B1">
        <w:rPr>
          <w:rFonts w:ascii="Arial" w:hAnsi="Arial" w:cs="Arial"/>
        </w:rPr>
        <w:t xml:space="preserve">, V., </w:t>
      </w:r>
      <w:proofErr w:type="spellStart"/>
      <w:r w:rsidRPr="00B727B1">
        <w:rPr>
          <w:rFonts w:ascii="Arial" w:hAnsi="Arial" w:cs="Arial"/>
        </w:rPr>
        <w:t>Marcucci</w:t>
      </w:r>
      <w:proofErr w:type="spellEnd"/>
      <w:r w:rsidRPr="00B727B1">
        <w:rPr>
          <w:rFonts w:ascii="Arial" w:hAnsi="Arial" w:cs="Arial"/>
        </w:rPr>
        <w:t xml:space="preserve">, E., &amp; </w:t>
      </w:r>
      <w:proofErr w:type="spellStart"/>
      <w:r w:rsidRPr="00B727B1">
        <w:rPr>
          <w:rFonts w:ascii="Arial" w:hAnsi="Arial" w:cs="Arial"/>
        </w:rPr>
        <w:t>Lozzi</w:t>
      </w:r>
      <w:proofErr w:type="spellEnd"/>
      <w:r w:rsidRPr="00B727B1">
        <w:rPr>
          <w:rFonts w:ascii="Arial" w:hAnsi="Arial" w:cs="Arial"/>
        </w:rPr>
        <w:t xml:space="preserve">, R. (2022). On-Demand Logistics: Solutions, Barriers, and Enablers. </w:t>
      </w:r>
      <w:r w:rsidRPr="00B727B1">
        <w:rPr>
          <w:rFonts w:ascii="Arial" w:hAnsi="Arial" w:cs="Arial"/>
          <w:i/>
          <w:iCs/>
        </w:rPr>
        <w:t>Sustainability</w:t>
      </w:r>
      <w:r w:rsidRPr="00B727B1">
        <w:rPr>
          <w:rFonts w:ascii="Arial" w:hAnsi="Arial" w:cs="Arial"/>
        </w:rPr>
        <w:t xml:space="preserve">. </w:t>
      </w:r>
      <w:r w:rsidRPr="00B727B1">
        <w:rPr>
          <w:rFonts w:ascii="Arial" w:hAnsi="Arial" w:cs="Arial"/>
          <w:i/>
          <w:iCs/>
        </w:rPr>
        <w:t>14</w:t>
      </w:r>
      <w:r w:rsidRPr="00B727B1">
        <w:rPr>
          <w:rFonts w:ascii="Arial" w:hAnsi="Arial" w:cs="Arial"/>
        </w:rPr>
        <w:t xml:space="preserve">(15), 9465. </w:t>
      </w:r>
      <w:hyperlink r:id="rId37" w:history="1">
        <w:r w:rsidRPr="00B727B1">
          <w:rPr>
            <w:rStyle w:val="Hyperlink"/>
            <w:rFonts w:ascii="Arial" w:hAnsi="Arial" w:cs="Arial"/>
          </w:rPr>
          <w:t>https://doi.org/10.3390/su14159465</w:t>
        </w:r>
      </w:hyperlink>
    </w:p>
    <w:p w14:paraId="5C72AD35" w14:textId="77777777" w:rsidR="00B727B1" w:rsidRPr="00B727B1" w:rsidRDefault="00B727B1" w:rsidP="00B727B1">
      <w:pPr>
        <w:spacing w:after="120"/>
        <w:jc w:val="both"/>
        <w:rPr>
          <w:rFonts w:ascii="Arial" w:hAnsi="Arial" w:cs="Arial"/>
        </w:rPr>
      </w:pPr>
      <w:r w:rsidRPr="00B727B1">
        <w:rPr>
          <w:rFonts w:ascii="Arial" w:hAnsi="Arial" w:cs="Arial"/>
          <w:lang w:val="pt-BR"/>
        </w:rPr>
        <w:t xml:space="preserve">Muriel, J., Zhang, L., Fransoo, J., &amp; Perez-Franco, R. (2022). </w:t>
      </w:r>
      <w:r w:rsidRPr="00B727B1">
        <w:rPr>
          <w:rFonts w:ascii="Arial" w:hAnsi="Arial" w:cs="Arial"/>
        </w:rPr>
        <w:t xml:space="preserve">Assessing the impacts of last mile delivery strategies on delivery vehicles and traffic network performance. </w:t>
      </w:r>
      <w:r w:rsidRPr="00B727B1">
        <w:rPr>
          <w:rFonts w:ascii="Arial" w:hAnsi="Arial" w:cs="Arial"/>
          <w:i/>
          <w:iCs/>
        </w:rPr>
        <w:t>Transportation Research Part C: Emerging Technologies</w:t>
      </w:r>
      <w:r w:rsidRPr="00B727B1">
        <w:rPr>
          <w:rFonts w:ascii="Arial" w:hAnsi="Arial" w:cs="Arial"/>
        </w:rPr>
        <w:t xml:space="preserve">. 144, 103915. </w:t>
      </w:r>
      <w:hyperlink r:id="rId38" w:history="1">
        <w:r w:rsidRPr="00B727B1">
          <w:rPr>
            <w:rStyle w:val="Hyperlink"/>
            <w:rFonts w:ascii="Arial" w:hAnsi="Arial" w:cs="Arial"/>
          </w:rPr>
          <w:t>https://doi.org/10.1016/j.trc.2022.103915</w:t>
        </w:r>
      </w:hyperlink>
    </w:p>
    <w:p w14:paraId="366BAA63" w14:textId="77777777" w:rsidR="00B727B1" w:rsidRPr="00B727B1" w:rsidRDefault="00B727B1" w:rsidP="00B727B1">
      <w:pPr>
        <w:spacing w:after="120"/>
        <w:jc w:val="both"/>
        <w:rPr>
          <w:rFonts w:ascii="Arial" w:hAnsi="Arial" w:cs="Arial"/>
        </w:rPr>
      </w:pPr>
      <w:r w:rsidRPr="00B727B1">
        <w:rPr>
          <w:rFonts w:ascii="Arial" w:hAnsi="Arial" w:cs="Arial"/>
          <w:lang w:val="pt-BR"/>
        </w:rPr>
        <w:t xml:space="preserve">Navarro, H., Vieira, J., &amp; Fransoo, J. (2021). </w:t>
      </w:r>
      <w:r w:rsidRPr="00B727B1">
        <w:rPr>
          <w:rFonts w:ascii="Arial" w:hAnsi="Arial" w:cs="Arial"/>
        </w:rPr>
        <w:t xml:space="preserve">Understanding urban logistics and consumer behavior in São Paulo city. </w:t>
      </w:r>
      <w:r w:rsidRPr="00B727B1">
        <w:rPr>
          <w:rFonts w:ascii="Arial" w:hAnsi="Arial" w:cs="Arial"/>
          <w:i/>
          <w:iCs/>
        </w:rPr>
        <w:t>Case Studies on Transport Policy</w:t>
      </w:r>
      <w:r w:rsidRPr="00B727B1">
        <w:rPr>
          <w:rFonts w:ascii="Arial" w:hAnsi="Arial" w:cs="Arial"/>
        </w:rPr>
        <w:t xml:space="preserve">. 9(4), 1630-1640. </w:t>
      </w:r>
      <w:hyperlink r:id="rId39" w:history="1">
        <w:r w:rsidRPr="00B727B1">
          <w:rPr>
            <w:rStyle w:val="Hyperlink"/>
            <w:rFonts w:ascii="Arial" w:hAnsi="Arial" w:cs="Arial"/>
          </w:rPr>
          <w:t>https://doi.org/10.1016/j.cstp.2021.06.017</w:t>
        </w:r>
      </w:hyperlink>
    </w:p>
    <w:p w14:paraId="5B747387" w14:textId="77777777" w:rsidR="00B727B1" w:rsidRPr="00B727B1" w:rsidRDefault="00B727B1" w:rsidP="00B727B1">
      <w:pPr>
        <w:spacing w:after="120"/>
        <w:jc w:val="both"/>
        <w:rPr>
          <w:rFonts w:ascii="Arial" w:hAnsi="Arial" w:cs="Arial"/>
        </w:rPr>
      </w:pPr>
      <w:r w:rsidRPr="00B727B1">
        <w:rPr>
          <w:rFonts w:ascii="Arial" w:hAnsi="Arial" w:cs="Arial"/>
          <w:lang w:val="pt-BR"/>
        </w:rPr>
        <w:t xml:space="preserve">Navarro, H., Vieira, J., &amp; Fransoo, J. (2021). </w:t>
      </w:r>
      <w:r w:rsidRPr="00B727B1">
        <w:rPr>
          <w:rFonts w:ascii="Arial" w:hAnsi="Arial" w:cs="Arial"/>
        </w:rPr>
        <w:t xml:space="preserve">Understanding urban logistics and consumer behavior in São Paulo city. </w:t>
      </w:r>
      <w:r w:rsidRPr="00B727B1">
        <w:rPr>
          <w:rFonts w:ascii="Arial" w:hAnsi="Arial" w:cs="Arial"/>
          <w:i/>
          <w:iCs/>
        </w:rPr>
        <w:t>Case Studies on Transport Policy</w:t>
      </w:r>
      <w:r w:rsidRPr="00B727B1">
        <w:rPr>
          <w:rFonts w:ascii="Arial" w:hAnsi="Arial" w:cs="Arial"/>
        </w:rPr>
        <w:t xml:space="preserve">. 9(4), 1630-1640.  </w:t>
      </w:r>
      <w:hyperlink r:id="rId40" w:history="1">
        <w:r w:rsidRPr="00B727B1">
          <w:rPr>
            <w:rStyle w:val="Hyperlink"/>
            <w:rFonts w:ascii="Arial" w:hAnsi="Arial" w:cs="Arial"/>
          </w:rPr>
          <w:t>https://doi.org/10.1016/j.cstp.2021.06.017</w:t>
        </w:r>
      </w:hyperlink>
    </w:p>
    <w:p w14:paraId="1D80DA89" w14:textId="77777777" w:rsidR="00B727B1" w:rsidRPr="00B727B1" w:rsidRDefault="00B727B1" w:rsidP="00B727B1">
      <w:pPr>
        <w:spacing w:after="120"/>
        <w:jc w:val="both"/>
        <w:rPr>
          <w:rFonts w:ascii="Arial" w:hAnsi="Arial" w:cs="Arial"/>
        </w:rPr>
      </w:pPr>
      <w:r w:rsidRPr="00B727B1">
        <w:rPr>
          <w:rFonts w:ascii="Arial" w:hAnsi="Arial" w:cs="Arial"/>
          <w:lang w:val="pt-BR"/>
        </w:rPr>
        <w:t xml:space="preserve">Pereira, C., Zuidgeest, M., &amp; Da Silva Lima, R. (2025). </w:t>
      </w:r>
      <w:r w:rsidRPr="00B727B1">
        <w:rPr>
          <w:rFonts w:ascii="Arial" w:hAnsi="Arial" w:cs="Arial"/>
        </w:rPr>
        <w:t xml:space="preserve">How about including urban informal settlements in city logistics? An equity comparative analysis of e-commerce last mile deliveries. </w:t>
      </w:r>
      <w:r w:rsidRPr="00B727B1">
        <w:rPr>
          <w:rFonts w:ascii="Arial" w:hAnsi="Arial" w:cs="Arial"/>
          <w:i/>
          <w:iCs/>
        </w:rPr>
        <w:t>The International Journal of Logistics Management</w:t>
      </w:r>
      <w:r w:rsidRPr="00B727B1">
        <w:rPr>
          <w:rFonts w:ascii="Arial" w:hAnsi="Arial" w:cs="Arial"/>
        </w:rPr>
        <w:t xml:space="preserve">. 36 (4): 1326-1345. </w:t>
      </w:r>
      <w:hyperlink r:id="rId41" w:history="1">
        <w:r w:rsidRPr="00B727B1">
          <w:rPr>
            <w:rStyle w:val="Hyperlink"/>
            <w:rFonts w:ascii="Arial" w:hAnsi="Arial" w:cs="Arial"/>
          </w:rPr>
          <w:t>https://doi.org/10.1108/ijlm-05-2024-0304</w:t>
        </w:r>
      </w:hyperlink>
    </w:p>
    <w:p w14:paraId="734C8119" w14:textId="77777777" w:rsidR="00B727B1" w:rsidRPr="00B727B1" w:rsidRDefault="00B727B1" w:rsidP="00B727B1">
      <w:pPr>
        <w:spacing w:after="120"/>
        <w:jc w:val="both"/>
        <w:rPr>
          <w:rFonts w:ascii="Arial" w:hAnsi="Arial" w:cs="Arial"/>
        </w:rPr>
      </w:pPr>
      <w:r w:rsidRPr="00B727B1">
        <w:rPr>
          <w:rFonts w:ascii="Arial" w:hAnsi="Arial" w:cs="Arial"/>
          <w:lang w:val="pt-BR"/>
        </w:rPr>
        <w:t xml:space="preserve">Silva, V., Amaral, A., &amp; Fontes, T. (2023). </w:t>
      </w:r>
      <w:r w:rsidRPr="00B727B1">
        <w:rPr>
          <w:rFonts w:ascii="Arial" w:hAnsi="Arial" w:cs="Arial"/>
        </w:rPr>
        <w:t xml:space="preserve">Sustainable Urban Last-Mile Logistics: A Systematic Literature Review. </w:t>
      </w:r>
      <w:r w:rsidRPr="00B727B1">
        <w:rPr>
          <w:rFonts w:ascii="Arial" w:hAnsi="Arial" w:cs="Arial"/>
          <w:i/>
          <w:iCs/>
        </w:rPr>
        <w:t>Sustainability</w:t>
      </w:r>
      <w:r w:rsidRPr="00B727B1">
        <w:rPr>
          <w:rFonts w:ascii="Arial" w:hAnsi="Arial" w:cs="Arial"/>
        </w:rPr>
        <w:t xml:space="preserve">. 15(3), 2285. </w:t>
      </w:r>
      <w:hyperlink r:id="rId42" w:history="1">
        <w:r w:rsidRPr="00B727B1">
          <w:rPr>
            <w:rStyle w:val="Hyperlink"/>
            <w:rFonts w:ascii="Arial" w:hAnsi="Arial" w:cs="Arial"/>
          </w:rPr>
          <w:t>https://doi.org/10.3390/su15032285</w:t>
        </w:r>
      </w:hyperlink>
    </w:p>
    <w:p w14:paraId="59019949" w14:textId="77777777" w:rsidR="00B727B1" w:rsidRPr="00B727B1" w:rsidRDefault="00B727B1" w:rsidP="00B727B1">
      <w:pPr>
        <w:spacing w:after="120"/>
        <w:jc w:val="both"/>
        <w:rPr>
          <w:rFonts w:ascii="Arial" w:hAnsi="Arial" w:cs="Arial"/>
        </w:rPr>
      </w:pPr>
      <w:proofErr w:type="spellStart"/>
      <w:r w:rsidRPr="00B727B1">
        <w:rPr>
          <w:rFonts w:ascii="Arial" w:hAnsi="Arial" w:cs="Arial"/>
        </w:rPr>
        <w:lastRenderedPageBreak/>
        <w:t>Utkurova</w:t>
      </w:r>
      <w:proofErr w:type="spellEnd"/>
      <w:r w:rsidRPr="00B727B1">
        <w:rPr>
          <w:rFonts w:ascii="Arial" w:hAnsi="Arial" w:cs="Arial"/>
        </w:rPr>
        <w:t xml:space="preserve">, N., &amp; </w:t>
      </w:r>
      <w:proofErr w:type="spellStart"/>
      <w:r w:rsidRPr="00B727B1">
        <w:rPr>
          <w:rFonts w:ascii="Arial" w:hAnsi="Arial" w:cs="Arial"/>
        </w:rPr>
        <w:t>Djumanov</w:t>
      </w:r>
      <w:proofErr w:type="spellEnd"/>
      <w:r w:rsidRPr="00B727B1">
        <w:rPr>
          <w:rFonts w:ascii="Arial" w:hAnsi="Arial" w:cs="Arial"/>
        </w:rPr>
        <w:t xml:space="preserve">, A. (2025). Improving Delivery Service Performance Using Discrete Event Simulation Modeling. </w:t>
      </w:r>
      <w:proofErr w:type="spellStart"/>
      <w:r w:rsidRPr="00B727B1">
        <w:rPr>
          <w:rFonts w:ascii="Arial" w:hAnsi="Arial" w:cs="Arial"/>
          <w:i/>
          <w:iCs/>
        </w:rPr>
        <w:t>Iqtisodiy</w:t>
      </w:r>
      <w:proofErr w:type="spellEnd"/>
      <w:r w:rsidRPr="00B727B1">
        <w:rPr>
          <w:rFonts w:ascii="Arial" w:hAnsi="Arial" w:cs="Arial"/>
          <w:i/>
          <w:iCs/>
        </w:rPr>
        <w:t xml:space="preserve"> </w:t>
      </w:r>
      <w:proofErr w:type="spellStart"/>
      <w:r w:rsidRPr="00B727B1">
        <w:rPr>
          <w:rFonts w:ascii="Arial" w:hAnsi="Arial" w:cs="Arial"/>
          <w:i/>
          <w:iCs/>
        </w:rPr>
        <w:t>taraqqiyot</w:t>
      </w:r>
      <w:proofErr w:type="spellEnd"/>
      <w:r w:rsidRPr="00B727B1">
        <w:rPr>
          <w:rFonts w:ascii="Arial" w:hAnsi="Arial" w:cs="Arial"/>
          <w:i/>
          <w:iCs/>
        </w:rPr>
        <w:t xml:space="preserve"> </w:t>
      </w:r>
      <w:proofErr w:type="spellStart"/>
      <w:r w:rsidRPr="00B727B1">
        <w:rPr>
          <w:rFonts w:ascii="Arial" w:hAnsi="Arial" w:cs="Arial"/>
          <w:i/>
          <w:iCs/>
        </w:rPr>
        <w:t>va</w:t>
      </w:r>
      <w:proofErr w:type="spellEnd"/>
      <w:r w:rsidRPr="00B727B1">
        <w:rPr>
          <w:rFonts w:ascii="Arial" w:hAnsi="Arial" w:cs="Arial"/>
          <w:i/>
          <w:iCs/>
        </w:rPr>
        <w:t xml:space="preserve"> </w:t>
      </w:r>
      <w:proofErr w:type="spellStart"/>
      <w:r w:rsidRPr="00B727B1">
        <w:rPr>
          <w:rFonts w:ascii="Arial" w:hAnsi="Arial" w:cs="Arial"/>
          <w:i/>
          <w:iCs/>
        </w:rPr>
        <w:t>tahlil</w:t>
      </w:r>
      <w:proofErr w:type="spellEnd"/>
      <w:r w:rsidRPr="00B727B1">
        <w:rPr>
          <w:rFonts w:ascii="Arial" w:hAnsi="Arial" w:cs="Arial"/>
        </w:rPr>
        <w:t xml:space="preserve">. </w:t>
      </w:r>
      <w:hyperlink r:id="rId43" w:history="1">
        <w:r w:rsidRPr="00B727B1">
          <w:rPr>
            <w:rStyle w:val="Hyperlink"/>
            <w:rFonts w:ascii="Arial" w:hAnsi="Arial" w:cs="Arial"/>
          </w:rPr>
          <w:t>https://doi.org/10.60078/2992-877x-2025-vol3-iss8-pp136-143</w:t>
        </w:r>
      </w:hyperlink>
    </w:p>
    <w:p w14:paraId="2D627371" w14:textId="77777777" w:rsidR="00B727B1" w:rsidRPr="00B727B1" w:rsidRDefault="00B727B1" w:rsidP="00B727B1">
      <w:pPr>
        <w:spacing w:after="120"/>
        <w:jc w:val="both"/>
        <w:rPr>
          <w:rFonts w:ascii="Arial" w:hAnsi="Arial" w:cs="Arial"/>
        </w:rPr>
      </w:pPr>
      <w:proofErr w:type="spellStart"/>
      <w:r w:rsidRPr="00B727B1">
        <w:rPr>
          <w:rFonts w:ascii="Arial" w:hAnsi="Arial" w:cs="Arial"/>
        </w:rPr>
        <w:t>Vural</w:t>
      </w:r>
      <w:proofErr w:type="spellEnd"/>
      <w:r w:rsidRPr="00B727B1">
        <w:rPr>
          <w:rFonts w:ascii="Arial" w:hAnsi="Arial" w:cs="Arial"/>
        </w:rPr>
        <w:t xml:space="preserve">, C., &amp; </w:t>
      </w:r>
      <w:proofErr w:type="spellStart"/>
      <w:r w:rsidRPr="00B727B1">
        <w:rPr>
          <w:rFonts w:ascii="Arial" w:hAnsi="Arial" w:cs="Arial"/>
        </w:rPr>
        <w:t>Aktepe</w:t>
      </w:r>
      <w:proofErr w:type="spellEnd"/>
      <w:r w:rsidRPr="00B727B1">
        <w:rPr>
          <w:rFonts w:ascii="Arial" w:hAnsi="Arial" w:cs="Arial"/>
        </w:rPr>
        <w:t xml:space="preserve">, Ç. (2021). Why do some sustainable urban logistics innovations fail? The case of collection and delivery points. </w:t>
      </w:r>
      <w:r w:rsidRPr="00B727B1">
        <w:rPr>
          <w:rFonts w:ascii="Arial" w:hAnsi="Arial" w:cs="Arial"/>
          <w:i/>
          <w:iCs/>
        </w:rPr>
        <w:t>Research in Transportation Business &amp; Management</w:t>
      </w:r>
      <w:r w:rsidRPr="00B727B1">
        <w:rPr>
          <w:rFonts w:ascii="Arial" w:hAnsi="Arial" w:cs="Arial"/>
        </w:rPr>
        <w:t xml:space="preserve">. 45, 100690. </w:t>
      </w:r>
      <w:hyperlink r:id="rId44" w:history="1">
        <w:r w:rsidRPr="00B727B1">
          <w:rPr>
            <w:rStyle w:val="Hyperlink"/>
            <w:rFonts w:ascii="Arial" w:hAnsi="Arial" w:cs="Arial"/>
          </w:rPr>
          <w:t>https://doi.org/10.1016/j.rtbm.2021.100690</w:t>
        </w:r>
      </w:hyperlink>
    </w:p>
    <w:p w14:paraId="34F37B6F" w14:textId="77777777" w:rsidR="00B727B1" w:rsidRPr="00B727B1" w:rsidRDefault="00B727B1" w:rsidP="00B727B1">
      <w:pPr>
        <w:spacing w:after="120"/>
        <w:jc w:val="both"/>
        <w:rPr>
          <w:rFonts w:ascii="Arial" w:hAnsi="Arial" w:cs="Arial"/>
        </w:rPr>
      </w:pPr>
      <w:proofErr w:type="spellStart"/>
      <w:r w:rsidRPr="00B727B1">
        <w:rPr>
          <w:rFonts w:ascii="Arial" w:hAnsi="Arial" w:cs="Arial"/>
        </w:rPr>
        <w:t>Zamal</w:t>
      </w:r>
      <w:proofErr w:type="spellEnd"/>
      <w:r w:rsidRPr="00B727B1">
        <w:rPr>
          <w:rFonts w:ascii="Arial" w:hAnsi="Arial" w:cs="Arial"/>
        </w:rPr>
        <w:t xml:space="preserve">, M., </w:t>
      </w:r>
      <w:proofErr w:type="spellStart"/>
      <w:r w:rsidRPr="00B727B1">
        <w:rPr>
          <w:rFonts w:ascii="Arial" w:hAnsi="Arial" w:cs="Arial"/>
        </w:rPr>
        <w:t>Schrotenboer</w:t>
      </w:r>
      <w:proofErr w:type="spellEnd"/>
      <w:r w:rsidRPr="00B727B1">
        <w:rPr>
          <w:rFonts w:ascii="Arial" w:hAnsi="Arial" w:cs="Arial"/>
        </w:rPr>
        <w:t xml:space="preserve">, A., &amp; </w:t>
      </w:r>
      <w:proofErr w:type="spellStart"/>
      <w:r w:rsidRPr="00B727B1">
        <w:rPr>
          <w:rFonts w:ascii="Arial" w:hAnsi="Arial" w:cs="Arial"/>
        </w:rPr>
        <w:t>Woensel</w:t>
      </w:r>
      <w:proofErr w:type="spellEnd"/>
      <w:r w:rsidRPr="00B727B1">
        <w:rPr>
          <w:rFonts w:ascii="Arial" w:hAnsi="Arial" w:cs="Arial"/>
        </w:rPr>
        <w:t xml:space="preserve">, T. (2025). The two-echelon vehicle routing problem with pickups, deliveries, and deadlines. </w:t>
      </w:r>
      <w:proofErr w:type="spellStart"/>
      <w:r w:rsidRPr="00B727B1">
        <w:rPr>
          <w:rFonts w:ascii="Arial" w:hAnsi="Arial" w:cs="Arial"/>
          <w:i/>
          <w:iCs/>
        </w:rPr>
        <w:t>Comput</w:t>
      </w:r>
      <w:proofErr w:type="spellEnd"/>
      <w:r w:rsidRPr="00B727B1">
        <w:rPr>
          <w:rFonts w:ascii="Arial" w:hAnsi="Arial" w:cs="Arial"/>
          <w:i/>
          <w:iCs/>
        </w:rPr>
        <w:t xml:space="preserve">. </w:t>
      </w:r>
      <w:proofErr w:type="spellStart"/>
      <w:r w:rsidRPr="00B727B1">
        <w:rPr>
          <w:rFonts w:ascii="Arial" w:hAnsi="Arial" w:cs="Arial"/>
          <w:i/>
          <w:iCs/>
        </w:rPr>
        <w:t>Oper</w:t>
      </w:r>
      <w:proofErr w:type="spellEnd"/>
      <w:r w:rsidRPr="00B727B1">
        <w:rPr>
          <w:rFonts w:ascii="Arial" w:hAnsi="Arial" w:cs="Arial"/>
          <w:i/>
          <w:iCs/>
        </w:rPr>
        <w:t>. Res.</w:t>
      </w:r>
      <w:r w:rsidRPr="00B727B1">
        <w:rPr>
          <w:rFonts w:ascii="Arial" w:hAnsi="Arial" w:cs="Arial"/>
        </w:rPr>
        <w:t xml:space="preserve">, 179, 107016. </w:t>
      </w:r>
      <w:hyperlink r:id="rId45" w:history="1">
        <w:r w:rsidRPr="00B727B1">
          <w:rPr>
            <w:rStyle w:val="Hyperlink"/>
            <w:rFonts w:ascii="Arial" w:hAnsi="Arial" w:cs="Arial"/>
          </w:rPr>
          <w:t>https://doi.org/10.2139/ssrn.4565559</w:t>
        </w:r>
      </w:hyperlink>
    </w:p>
    <w:p w14:paraId="7BD332CD" w14:textId="77777777" w:rsidR="00B727B1" w:rsidRPr="00B727B1" w:rsidRDefault="00B727B1" w:rsidP="00B727B1">
      <w:pPr>
        <w:spacing w:after="120"/>
        <w:jc w:val="both"/>
        <w:rPr>
          <w:rFonts w:ascii="Arial" w:hAnsi="Arial" w:cs="Arial"/>
          <w:lang w:val="pt-BR"/>
        </w:rPr>
      </w:pPr>
      <w:proofErr w:type="spellStart"/>
      <w:r w:rsidRPr="00B727B1">
        <w:rPr>
          <w:rFonts w:ascii="Arial" w:hAnsi="Arial" w:cs="Arial"/>
        </w:rPr>
        <w:t>Zamal</w:t>
      </w:r>
      <w:proofErr w:type="spellEnd"/>
      <w:r w:rsidRPr="00B727B1">
        <w:rPr>
          <w:rFonts w:ascii="Arial" w:hAnsi="Arial" w:cs="Arial"/>
        </w:rPr>
        <w:t xml:space="preserve">, M., </w:t>
      </w:r>
      <w:proofErr w:type="spellStart"/>
      <w:r w:rsidRPr="00B727B1">
        <w:rPr>
          <w:rFonts w:ascii="Arial" w:hAnsi="Arial" w:cs="Arial"/>
        </w:rPr>
        <w:t>Schrotenboer</w:t>
      </w:r>
      <w:proofErr w:type="spellEnd"/>
      <w:r w:rsidRPr="00B727B1">
        <w:rPr>
          <w:rFonts w:ascii="Arial" w:hAnsi="Arial" w:cs="Arial"/>
        </w:rPr>
        <w:t xml:space="preserve">, A., &amp; </w:t>
      </w:r>
      <w:proofErr w:type="spellStart"/>
      <w:r w:rsidRPr="00B727B1">
        <w:rPr>
          <w:rFonts w:ascii="Arial" w:hAnsi="Arial" w:cs="Arial"/>
        </w:rPr>
        <w:t>Woensel</w:t>
      </w:r>
      <w:proofErr w:type="spellEnd"/>
      <w:r w:rsidRPr="00B727B1">
        <w:rPr>
          <w:rFonts w:ascii="Arial" w:hAnsi="Arial" w:cs="Arial"/>
        </w:rPr>
        <w:t xml:space="preserve">, T. (2025). The two-echelon vehicle routing problem with pickups, deliveries, and deadlines. </w:t>
      </w:r>
      <w:r w:rsidRPr="00B727B1">
        <w:rPr>
          <w:rFonts w:ascii="Arial" w:hAnsi="Arial" w:cs="Arial"/>
          <w:i/>
          <w:iCs/>
          <w:lang w:val="pt-BR"/>
        </w:rPr>
        <w:t>Comput. Oper. Res.</w:t>
      </w:r>
      <w:r w:rsidRPr="00B727B1">
        <w:rPr>
          <w:rFonts w:ascii="Arial" w:hAnsi="Arial" w:cs="Arial"/>
          <w:lang w:val="pt-BR"/>
        </w:rPr>
        <w:t xml:space="preserve">, 179, 107016. </w:t>
      </w:r>
      <w:r w:rsidR="009A4E5C">
        <w:fldChar w:fldCharType="begin"/>
      </w:r>
      <w:r w:rsidR="009A4E5C">
        <w:instrText xml:space="preserve"> HYPERLINK "https://doi.org/10.2139/ssrn.4565559" </w:instrText>
      </w:r>
      <w:r w:rsidR="009A4E5C">
        <w:fldChar w:fldCharType="separate"/>
      </w:r>
      <w:r w:rsidRPr="00B727B1">
        <w:rPr>
          <w:rStyle w:val="Hyperlink"/>
          <w:rFonts w:ascii="Arial" w:hAnsi="Arial" w:cs="Arial"/>
          <w:lang w:val="pt-BR"/>
        </w:rPr>
        <w:t>https://doi.org/10.2139/ssrn.4565559</w:t>
      </w:r>
      <w:r w:rsidR="009A4E5C">
        <w:rPr>
          <w:rStyle w:val="Hyperlink"/>
          <w:rFonts w:ascii="Arial" w:hAnsi="Arial" w:cs="Arial"/>
          <w:lang w:val="pt-BR"/>
        </w:rPr>
        <w:fldChar w:fldCharType="end"/>
      </w:r>
    </w:p>
    <w:p w14:paraId="7050EEBC" w14:textId="77777777" w:rsidR="00B727B1" w:rsidRPr="00B727B1" w:rsidRDefault="00B727B1" w:rsidP="00B727B1">
      <w:pPr>
        <w:spacing w:after="120"/>
        <w:jc w:val="both"/>
        <w:rPr>
          <w:rFonts w:ascii="Arial" w:hAnsi="Arial" w:cs="Arial"/>
        </w:rPr>
      </w:pPr>
      <w:r w:rsidRPr="00B727B1">
        <w:rPr>
          <w:rFonts w:ascii="Arial" w:hAnsi="Arial" w:cs="Arial"/>
          <w:lang w:val="pt-BR"/>
        </w:rPr>
        <w:t xml:space="preserve">Zhao, L., Li, H., Li, M., Sun, Y., Hu, Q., Mao, S., Li, J., &amp; Xue, J. (2018). </w:t>
      </w:r>
      <w:r w:rsidRPr="00B727B1">
        <w:rPr>
          <w:rFonts w:ascii="Arial" w:hAnsi="Arial" w:cs="Arial"/>
        </w:rPr>
        <w:t xml:space="preserve">Location selection of intra-city distribution hubs in the metro-integrated logistics system. </w:t>
      </w:r>
      <w:proofErr w:type="spellStart"/>
      <w:r w:rsidRPr="00B727B1">
        <w:rPr>
          <w:rFonts w:ascii="Arial" w:hAnsi="Arial" w:cs="Arial"/>
          <w:i/>
          <w:iCs/>
        </w:rPr>
        <w:t>Tunnelling</w:t>
      </w:r>
      <w:proofErr w:type="spellEnd"/>
      <w:r w:rsidRPr="00B727B1">
        <w:rPr>
          <w:rFonts w:ascii="Arial" w:hAnsi="Arial" w:cs="Arial"/>
          <w:i/>
          <w:iCs/>
        </w:rPr>
        <w:t xml:space="preserve"> and Underground Space Technology</w:t>
      </w:r>
      <w:r w:rsidRPr="00B727B1">
        <w:rPr>
          <w:rFonts w:ascii="Arial" w:hAnsi="Arial" w:cs="Arial"/>
        </w:rPr>
        <w:t xml:space="preserve">. 80, 246-256. </w:t>
      </w:r>
      <w:hyperlink r:id="rId46" w:history="1">
        <w:r w:rsidRPr="00B727B1">
          <w:rPr>
            <w:rStyle w:val="Hyperlink"/>
            <w:rFonts w:ascii="Arial" w:hAnsi="Arial" w:cs="Arial"/>
          </w:rPr>
          <w:t>https://doi.org/10.1016/j.tust.2018.06.024</w:t>
        </w:r>
      </w:hyperlink>
    </w:p>
    <w:p w14:paraId="6BE3A3B2" w14:textId="77777777" w:rsidR="00B727B1" w:rsidRPr="00B727B1" w:rsidRDefault="00B727B1" w:rsidP="00B727B1">
      <w:pPr>
        <w:spacing w:after="120"/>
        <w:jc w:val="both"/>
        <w:rPr>
          <w:rFonts w:ascii="Arial" w:hAnsi="Arial" w:cs="Arial"/>
        </w:rPr>
      </w:pPr>
      <w:r w:rsidRPr="00B727B1">
        <w:rPr>
          <w:rFonts w:ascii="Arial" w:hAnsi="Arial" w:cs="Arial"/>
          <w:lang w:val="sv-SE"/>
        </w:rPr>
        <w:t xml:space="preserve">Zheng, C., Gu, Y., Shen, J., &amp; Du, M. (2021). </w:t>
      </w:r>
      <w:r w:rsidRPr="00B727B1">
        <w:rPr>
          <w:rFonts w:ascii="Arial" w:hAnsi="Arial" w:cs="Arial"/>
        </w:rPr>
        <w:t xml:space="preserve">Urban Logistics Delivery Route Planning Based on a Single Metro Line. </w:t>
      </w:r>
      <w:r w:rsidRPr="00B727B1">
        <w:rPr>
          <w:rFonts w:ascii="Arial" w:hAnsi="Arial" w:cs="Arial"/>
          <w:i/>
          <w:iCs/>
        </w:rPr>
        <w:t>IEEE Access</w:t>
      </w:r>
      <w:r w:rsidRPr="00B727B1">
        <w:rPr>
          <w:rFonts w:ascii="Arial" w:hAnsi="Arial" w:cs="Arial"/>
        </w:rPr>
        <w:t xml:space="preserve">, 9, 50819-50830. </w:t>
      </w:r>
      <w:hyperlink r:id="rId47" w:history="1">
        <w:r w:rsidRPr="00B727B1">
          <w:rPr>
            <w:rStyle w:val="Hyperlink"/>
            <w:rFonts w:ascii="Arial" w:hAnsi="Arial" w:cs="Arial"/>
          </w:rPr>
          <w:t>https://doi.org/10.1109/access.2021.3069415</w:t>
        </w:r>
      </w:hyperlink>
    </w:p>
    <w:p w14:paraId="170BD82E" w14:textId="77777777" w:rsidR="00B727B1" w:rsidRPr="00B727B1" w:rsidRDefault="00B727B1" w:rsidP="00B727B1">
      <w:pPr>
        <w:spacing w:after="120"/>
        <w:jc w:val="both"/>
        <w:rPr>
          <w:rFonts w:ascii="Arial" w:hAnsi="Arial" w:cs="Arial"/>
        </w:rPr>
      </w:pPr>
      <w:r w:rsidRPr="00B727B1">
        <w:rPr>
          <w:rFonts w:ascii="Arial" w:hAnsi="Arial" w:cs="Arial"/>
        </w:rPr>
        <w:t xml:space="preserve">Zheng, C., Gu, Y., Shen, J., &amp; Du, M. (2021). Urban Logistics Delivery Route Planning Based on a Single Metro Line. </w:t>
      </w:r>
      <w:r w:rsidRPr="00B727B1">
        <w:rPr>
          <w:rFonts w:ascii="Arial" w:hAnsi="Arial" w:cs="Arial"/>
          <w:i/>
          <w:iCs/>
        </w:rPr>
        <w:t>IEEE Access</w:t>
      </w:r>
      <w:r w:rsidRPr="00B727B1">
        <w:rPr>
          <w:rFonts w:ascii="Arial" w:hAnsi="Arial" w:cs="Arial"/>
        </w:rPr>
        <w:t xml:space="preserve">, 9, 50819-50830. </w:t>
      </w:r>
      <w:hyperlink r:id="rId48" w:history="1">
        <w:r w:rsidRPr="00B727B1">
          <w:rPr>
            <w:rStyle w:val="Hyperlink"/>
            <w:rFonts w:ascii="Arial" w:hAnsi="Arial" w:cs="Arial"/>
          </w:rPr>
          <w:t>https://doi.org/10.1109/access.2021.3069415</w:t>
        </w:r>
      </w:hyperlink>
    </w:p>
    <w:p w14:paraId="3C712192" w14:textId="77777777" w:rsidR="00B727B1" w:rsidRPr="00B727B1" w:rsidRDefault="00B727B1" w:rsidP="00B727B1">
      <w:pPr>
        <w:spacing w:after="120"/>
        <w:jc w:val="both"/>
        <w:rPr>
          <w:rFonts w:ascii="Arial" w:hAnsi="Arial" w:cs="Arial"/>
        </w:rPr>
      </w:pPr>
      <w:proofErr w:type="spellStart"/>
      <w:r w:rsidRPr="00B727B1">
        <w:rPr>
          <w:rFonts w:ascii="Arial" w:hAnsi="Arial" w:cs="Arial"/>
        </w:rPr>
        <w:t>Zunder</w:t>
      </w:r>
      <w:proofErr w:type="spellEnd"/>
      <w:r w:rsidRPr="00B727B1">
        <w:rPr>
          <w:rFonts w:ascii="Arial" w:hAnsi="Arial" w:cs="Arial"/>
        </w:rPr>
        <w:t xml:space="preserve">, T. (2021). A semi-systematic literature review, identifying research opportunities for more sustainable, receiver-led inbound urban logistics flows to large higher education institutions. </w:t>
      </w:r>
      <w:r w:rsidRPr="00B727B1">
        <w:rPr>
          <w:rFonts w:ascii="Arial" w:hAnsi="Arial" w:cs="Arial"/>
          <w:i/>
          <w:iCs/>
        </w:rPr>
        <w:t>European Transport Research Review</w:t>
      </w:r>
      <w:r w:rsidRPr="00B727B1">
        <w:rPr>
          <w:rFonts w:ascii="Arial" w:hAnsi="Arial" w:cs="Arial"/>
        </w:rPr>
        <w:t xml:space="preserve">, 13. </w:t>
      </w:r>
      <w:hyperlink r:id="rId49" w:history="1">
        <w:r w:rsidRPr="00B727B1">
          <w:rPr>
            <w:rStyle w:val="Hyperlink"/>
            <w:rFonts w:ascii="Arial" w:hAnsi="Arial" w:cs="Arial"/>
          </w:rPr>
          <w:t>https://doi.org/10.1186/s12544-021-00487-1</w:t>
        </w:r>
      </w:hyperlink>
    </w:p>
    <w:p w14:paraId="2193C125" w14:textId="4EB8B7BA" w:rsidR="004D4277" w:rsidRPr="00FB3A86" w:rsidRDefault="004D4277" w:rsidP="00441B6F">
      <w:pPr>
        <w:pStyle w:val="Appendix"/>
        <w:spacing w:after="0"/>
        <w:jc w:val="both"/>
        <w:rPr>
          <w:rFonts w:ascii="Arial" w:hAnsi="Arial" w:cs="Arial"/>
          <w:b w:val="0"/>
        </w:rPr>
        <w:sectPr w:rsidR="004D4277" w:rsidRPr="00FB3A86" w:rsidSect="002350D2">
          <w:headerReference w:type="even" r:id="rId50"/>
          <w:headerReference w:type="default" r:id="rId51"/>
          <w:footerReference w:type="default" r:id="rId52"/>
          <w:headerReference w:type="first" r:id="rId53"/>
          <w:type w:val="continuous"/>
          <w:pgSz w:w="12240" w:h="15840"/>
          <w:pgMar w:top="1440" w:right="2016" w:bottom="2016" w:left="2016" w:header="720" w:footer="1123" w:gutter="0"/>
          <w:cols w:space="720"/>
          <w:docGrid w:linePitch="272"/>
        </w:sectPr>
      </w:pPr>
    </w:p>
    <w:p w14:paraId="3C6575C5" w14:textId="77777777" w:rsidR="00B01FCD" w:rsidRPr="00FB3A86" w:rsidRDefault="00B01FCD" w:rsidP="00441B6F">
      <w:pPr>
        <w:pStyle w:val="Appendix"/>
        <w:spacing w:after="0"/>
        <w:jc w:val="both"/>
        <w:rPr>
          <w:rFonts w:ascii="Arial" w:hAnsi="Arial" w:cs="Arial"/>
          <w:b w:val="0"/>
        </w:rPr>
      </w:pPr>
    </w:p>
    <w:sectPr w:rsidR="00B01FCD" w:rsidRPr="00FB3A86" w:rsidSect="002350D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0F06C" w14:textId="77777777" w:rsidR="009A4E5C" w:rsidRDefault="009A4E5C" w:rsidP="00C37E61">
      <w:r>
        <w:separator/>
      </w:r>
    </w:p>
  </w:endnote>
  <w:endnote w:type="continuationSeparator" w:id="0">
    <w:p w14:paraId="184E7C6F" w14:textId="77777777" w:rsidR="009A4E5C" w:rsidRDefault="009A4E5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3EB99" w14:textId="77777777" w:rsidR="002350D2" w:rsidRDefault="00235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4BC1D" w14:textId="77777777" w:rsidR="002350D2" w:rsidRDefault="00235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603CC" w14:textId="77777777" w:rsidR="009E048A" w:rsidRDefault="009E048A">
    <w:pPr>
      <w:pStyle w:val="Footer"/>
      <w:rPr>
        <w:rFonts w:ascii="Arial" w:hAnsi="Arial" w:cs="Arial"/>
        <w:sz w:val="16"/>
      </w:rPr>
    </w:pPr>
  </w:p>
  <w:p w14:paraId="103C653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803494A" w14:textId="77777777" w:rsidR="009E048A" w:rsidRDefault="009E048A">
    <w:pPr>
      <w:pStyle w:val="Footer"/>
      <w:rPr>
        <w:rFonts w:ascii="Arial" w:hAnsi="Arial" w:cs="Arial"/>
        <w:sz w:val="16"/>
      </w:rPr>
    </w:pPr>
  </w:p>
  <w:p w14:paraId="311F999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6ECB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38963" w14:textId="77777777" w:rsidR="009A4E5C" w:rsidRDefault="009A4E5C" w:rsidP="00C37E61">
      <w:r>
        <w:separator/>
      </w:r>
    </w:p>
  </w:footnote>
  <w:footnote w:type="continuationSeparator" w:id="0">
    <w:p w14:paraId="3A880225" w14:textId="77777777" w:rsidR="009A4E5C" w:rsidRDefault="009A4E5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322B0" w14:textId="10697AF5" w:rsidR="002350D2" w:rsidRDefault="002350D2">
    <w:pPr>
      <w:pStyle w:val="Header"/>
    </w:pPr>
    <w:r>
      <w:rPr>
        <w:noProof/>
      </w:rPr>
      <w:pict w14:anchorId="79DC3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20912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E134C" w14:textId="758B6215" w:rsidR="002350D2" w:rsidRDefault="002350D2">
    <w:pPr>
      <w:pStyle w:val="Header"/>
    </w:pPr>
    <w:r>
      <w:rPr>
        <w:noProof/>
      </w:rPr>
      <w:pict w14:anchorId="2BDA6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20912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43B8D" w14:textId="7EF912AB" w:rsidR="00296529" w:rsidRPr="00296529" w:rsidRDefault="002350D2" w:rsidP="00296529">
    <w:pPr>
      <w:ind w:left="2160"/>
      <w:jc w:val="center"/>
      <w:rPr>
        <w:rFonts w:ascii="Times New Roman" w:eastAsia="Calibri" w:hAnsi="Times New Roman"/>
        <w:i/>
        <w:sz w:val="18"/>
        <w:szCs w:val="22"/>
      </w:rPr>
    </w:pPr>
    <w:r>
      <w:rPr>
        <w:noProof/>
      </w:rPr>
      <w:pict w14:anchorId="59788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20912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DFD661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D42605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676B73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60332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C97BF3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48F0BC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387E8" w14:textId="451738D4" w:rsidR="002350D2" w:rsidRDefault="002350D2">
    <w:pPr>
      <w:pStyle w:val="Header"/>
    </w:pPr>
    <w:r>
      <w:rPr>
        <w:noProof/>
      </w:rPr>
      <w:pict w14:anchorId="307CF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20912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110C0" w14:textId="7D890C8F" w:rsidR="002350D2" w:rsidRDefault="002350D2">
    <w:pPr>
      <w:pStyle w:val="Header"/>
    </w:pPr>
    <w:r>
      <w:rPr>
        <w:noProof/>
      </w:rPr>
      <w:pict w14:anchorId="6C5114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20913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AEB40" w14:textId="626EA346" w:rsidR="002350D2" w:rsidRDefault="002350D2">
    <w:pPr>
      <w:pStyle w:val="Header"/>
    </w:pPr>
    <w:r>
      <w:rPr>
        <w:noProof/>
      </w:rPr>
      <w:pict w14:anchorId="795C3B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20912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B1A7A"/>
    <w:multiLevelType w:val="multilevel"/>
    <w:tmpl w:val="C586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654C"/>
    <w:rsid w:val="001D3A51"/>
    <w:rsid w:val="001E10D2"/>
    <w:rsid w:val="001E25B4"/>
    <w:rsid w:val="001E44FE"/>
    <w:rsid w:val="00200595"/>
    <w:rsid w:val="00204835"/>
    <w:rsid w:val="00231920"/>
    <w:rsid w:val="0023195C"/>
    <w:rsid w:val="002350D2"/>
    <w:rsid w:val="0024282C"/>
    <w:rsid w:val="002460DC"/>
    <w:rsid w:val="00250985"/>
    <w:rsid w:val="002556F6"/>
    <w:rsid w:val="00277926"/>
    <w:rsid w:val="00283105"/>
    <w:rsid w:val="00284C4C"/>
    <w:rsid w:val="00287E68"/>
    <w:rsid w:val="00296529"/>
    <w:rsid w:val="002A5FF5"/>
    <w:rsid w:val="002B27FB"/>
    <w:rsid w:val="002B685A"/>
    <w:rsid w:val="002C57D2"/>
    <w:rsid w:val="002E0D56"/>
    <w:rsid w:val="00315186"/>
    <w:rsid w:val="0033343E"/>
    <w:rsid w:val="003512C2"/>
    <w:rsid w:val="00371FB6"/>
    <w:rsid w:val="003763C1"/>
    <w:rsid w:val="00376BBE"/>
    <w:rsid w:val="0039224F"/>
    <w:rsid w:val="003A43A4"/>
    <w:rsid w:val="003A7E18"/>
    <w:rsid w:val="003C0439"/>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26C92"/>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4A3D"/>
    <w:rsid w:val="00746E59"/>
    <w:rsid w:val="00754C9A"/>
    <w:rsid w:val="0075599A"/>
    <w:rsid w:val="00761D52"/>
    <w:rsid w:val="0077749E"/>
    <w:rsid w:val="00790ADA"/>
    <w:rsid w:val="007B7C63"/>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211A"/>
    <w:rsid w:val="00983040"/>
    <w:rsid w:val="009A4E5C"/>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727B1"/>
    <w:rsid w:val="00B9490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F2522B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A5F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su17104735" TargetMode="External"/><Relationship Id="rId26" Type="http://schemas.openxmlformats.org/officeDocument/2006/relationships/hyperlink" Target="https://doi.org/10.3390/su13116230" TargetMode="External"/><Relationship Id="rId39" Type="http://schemas.openxmlformats.org/officeDocument/2006/relationships/hyperlink" Target="https://doi.org/10.1016/j.cstp.2021.06.017" TargetMode="External"/><Relationship Id="rId21" Type="http://schemas.openxmlformats.org/officeDocument/2006/relationships/hyperlink" Target="https://doi.org/10.1016/j.cstp.2022.01.012" TargetMode="External"/><Relationship Id="rId34" Type="http://schemas.openxmlformats.org/officeDocument/2006/relationships/hyperlink" Target="https://doi.org/10.3390/smartcities8010031" TargetMode="External"/><Relationship Id="rId42" Type="http://schemas.openxmlformats.org/officeDocument/2006/relationships/hyperlink" Target="https://doi.org/10.3390/su15032285" TargetMode="External"/><Relationship Id="rId47" Type="http://schemas.openxmlformats.org/officeDocument/2006/relationships/hyperlink" Target="https://doi.org/10.1109/access.2021.3069415" TargetMode="External"/><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trd.2017.07.020" TargetMode="External"/><Relationship Id="rId29" Type="http://schemas.openxmlformats.org/officeDocument/2006/relationships/hyperlink" Target="https://doi.org/10.1287/trsc.2019.0971" TargetMode="External"/><Relationship Id="rId11" Type="http://schemas.openxmlformats.org/officeDocument/2006/relationships/footer" Target="footer2.xml"/><Relationship Id="rId24" Type="http://schemas.openxmlformats.org/officeDocument/2006/relationships/hyperlink" Target="https://doi.org/10.1016/j.retrec.2023.101402" TargetMode="External"/><Relationship Id="rId32" Type="http://schemas.openxmlformats.org/officeDocument/2006/relationships/hyperlink" Target="https://doi.org/10.1016/j.jretconser.2019.102016" TargetMode="External"/><Relationship Id="rId37" Type="http://schemas.openxmlformats.org/officeDocument/2006/relationships/hyperlink" Target="https://doi.org/10.3390/su14159465" TargetMode="External"/><Relationship Id="rId40" Type="http://schemas.openxmlformats.org/officeDocument/2006/relationships/hyperlink" Target="https://doi.org/10.1016/j.cstp.2021.06.017" TargetMode="External"/><Relationship Id="rId45" Type="http://schemas.openxmlformats.org/officeDocument/2006/relationships/hyperlink" Target="https://doi.org/10.2139/ssrn.4565559" TargetMode="External"/><Relationship Id="rId53" Type="http://schemas.openxmlformats.org/officeDocument/2006/relationships/header" Target="header6.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doi.org/10.3390/su12218769" TargetMode="External"/><Relationship Id="rId31" Type="http://schemas.openxmlformats.org/officeDocument/2006/relationships/hyperlink" Target="https://doi.org/10.1016/j.cie.2023.109629" TargetMode="External"/><Relationship Id="rId44" Type="http://schemas.openxmlformats.org/officeDocument/2006/relationships/hyperlink" Target="https://doi.org/10.1016/j.rtbm.2021.100690" TargetMode="Externa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16/j.cstp.2022.01.012" TargetMode="External"/><Relationship Id="rId27" Type="http://schemas.openxmlformats.org/officeDocument/2006/relationships/hyperlink" Target="https://www.wiego.org/research-library-publications/poor-also-must-live-market-demolition-gentrification-quest-survival-lagos-state/" TargetMode="External"/><Relationship Id="rId30" Type="http://schemas.openxmlformats.org/officeDocument/2006/relationships/hyperlink" Target="https://doi.org/10.1287/trsc.2019.0971" TargetMode="External"/><Relationship Id="rId35" Type="http://schemas.openxmlformats.org/officeDocument/2006/relationships/hyperlink" Target="https://doi.org/10.1080/15472450.2022.2157211" TargetMode="External"/><Relationship Id="rId43" Type="http://schemas.openxmlformats.org/officeDocument/2006/relationships/hyperlink" Target="https://doi.org/10.60078/2992-877x-2025-vol3-iss8-pp136-143" TargetMode="External"/><Relationship Id="rId48" Type="http://schemas.openxmlformats.org/officeDocument/2006/relationships/hyperlink" Target="https://doi.org/10.1109/access.2021.3069415" TargetMode="External"/><Relationship Id="rId8" Type="http://schemas.openxmlformats.org/officeDocument/2006/relationships/header" Target="header1.xml"/><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heliyon.2022.e11283" TargetMode="External"/><Relationship Id="rId25" Type="http://schemas.openxmlformats.org/officeDocument/2006/relationships/hyperlink" Target="https://doi.org/10.3390/su13116230" TargetMode="External"/><Relationship Id="rId33" Type="http://schemas.openxmlformats.org/officeDocument/2006/relationships/hyperlink" Target="https://doi.org/10.1016/j.jretconser.2019.102016" TargetMode="External"/><Relationship Id="rId38" Type="http://schemas.openxmlformats.org/officeDocument/2006/relationships/hyperlink" Target="https://doi.org/10.1016/j.trc.2022.103915" TargetMode="External"/><Relationship Id="rId46" Type="http://schemas.openxmlformats.org/officeDocument/2006/relationships/hyperlink" Target="https://doi.org/10.1016/j.tust.2018.06.024" TargetMode="External"/><Relationship Id="rId20" Type="http://schemas.openxmlformats.org/officeDocument/2006/relationships/hyperlink" Target="https://doi.org/10.1177/1783591717736505" TargetMode="External"/><Relationship Id="rId41" Type="http://schemas.openxmlformats.org/officeDocument/2006/relationships/hyperlink" Target="https://doi.org/10.1108/ijlm-05-2024-0304"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1080/13675567.2017.1395830" TargetMode="External"/><Relationship Id="rId28" Type="http://schemas.openxmlformats.org/officeDocument/2006/relationships/hyperlink" Target="https://afchub.org/documents/16159887078-Market-Enumeration-of-Wholesalers-and-Retailers-in-Hub-Markets.pdf" TargetMode="External"/><Relationship Id="rId36" Type="http://schemas.openxmlformats.org/officeDocument/2006/relationships/hyperlink" Target="https://doi.org/10.1080/15472450.2022.2157211" TargetMode="External"/><Relationship Id="rId49" Type="http://schemas.openxmlformats.org/officeDocument/2006/relationships/hyperlink" Target="https://doi.org/10.1186/s12544-021-0048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CA18B-C3C2-4C1B-A99D-486A6F4C8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15</Pages>
  <Words>6858</Words>
  <Characters>39092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45859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2026-03-02T13:06:00Z</dcterms:created>
  <dcterms:modified xsi:type="dcterms:W3CDTF">2026-03-04T11:43:00Z</dcterms:modified>
</cp:coreProperties>
</file>