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FE57" w14:textId="77777777" w:rsidR="0099767F" w:rsidRDefault="0099767F" w:rsidP="008853D9">
      <w:pPr>
        <w:spacing w:line="480" w:lineRule="auto"/>
        <w:jc w:val="right"/>
        <w:rPr>
          <w:rFonts w:ascii="Arial" w:hAnsi="Arial" w:cs="Arial"/>
          <w:b/>
          <w:sz w:val="36"/>
          <w:szCs w:val="24"/>
        </w:rPr>
      </w:pPr>
      <w:r w:rsidRPr="0099767F">
        <w:rPr>
          <w:rFonts w:ascii="Arial" w:hAnsi="Arial" w:cs="Arial"/>
          <w:b/>
          <w:sz w:val="36"/>
          <w:szCs w:val="24"/>
        </w:rPr>
        <w:t xml:space="preserve">Original Research Article </w:t>
      </w:r>
    </w:p>
    <w:p w14:paraId="4CCFD7C6" w14:textId="661CC413" w:rsidR="00205106" w:rsidRPr="008853D9" w:rsidRDefault="008E7CBF" w:rsidP="008853D9">
      <w:pPr>
        <w:spacing w:line="480" w:lineRule="auto"/>
        <w:jc w:val="right"/>
        <w:rPr>
          <w:rFonts w:ascii="Arial" w:hAnsi="Arial" w:cs="Arial"/>
          <w:b/>
          <w:sz w:val="36"/>
          <w:szCs w:val="24"/>
        </w:rPr>
      </w:pPr>
      <w:r w:rsidRPr="008853D9">
        <w:rPr>
          <w:rFonts w:ascii="Arial" w:hAnsi="Arial" w:cs="Arial"/>
          <w:b/>
          <w:sz w:val="36"/>
          <w:szCs w:val="24"/>
        </w:rPr>
        <w:t xml:space="preserve">Insecticidal Activities of some Tropical Plants Extracts against Malaria Mosquito, </w:t>
      </w:r>
      <w:r w:rsidRPr="008853D9">
        <w:rPr>
          <w:rFonts w:ascii="Arial" w:hAnsi="Arial" w:cs="Arial"/>
          <w:b/>
          <w:i/>
          <w:sz w:val="36"/>
          <w:szCs w:val="24"/>
        </w:rPr>
        <w:t xml:space="preserve">Anopheles gambae </w:t>
      </w:r>
      <w:r w:rsidR="007C649B" w:rsidRPr="008853D9">
        <w:rPr>
          <w:rFonts w:ascii="Arial" w:hAnsi="Arial" w:cs="Arial"/>
          <w:b/>
          <w:sz w:val="36"/>
          <w:szCs w:val="24"/>
        </w:rPr>
        <w:t>Giles</w:t>
      </w:r>
      <w:r w:rsidRPr="008853D9">
        <w:rPr>
          <w:rFonts w:ascii="Arial" w:hAnsi="Arial" w:cs="Arial"/>
          <w:b/>
          <w:sz w:val="36"/>
          <w:szCs w:val="24"/>
        </w:rPr>
        <w:t xml:space="preserve"> </w:t>
      </w:r>
      <w:r w:rsidR="00876BE4">
        <w:rPr>
          <w:rFonts w:ascii="Arial" w:hAnsi="Arial" w:cs="Arial"/>
          <w:b/>
          <w:sz w:val="36"/>
          <w:szCs w:val="24"/>
        </w:rPr>
        <w:t>(</w:t>
      </w:r>
      <w:r w:rsidRPr="008853D9">
        <w:rPr>
          <w:rFonts w:ascii="Arial" w:hAnsi="Arial" w:cs="Arial"/>
          <w:b/>
          <w:sz w:val="36"/>
          <w:szCs w:val="24"/>
        </w:rPr>
        <w:t>Diptera: Culicidae)</w:t>
      </w:r>
    </w:p>
    <w:p w14:paraId="62774BC9" w14:textId="77777777" w:rsidR="008F6A05" w:rsidRPr="008853D9" w:rsidRDefault="008F6A05" w:rsidP="008F6A05">
      <w:pPr>
        <w:spacing w:line="480" w:lineRule="auto"/>
        <w:jc w:val="right"/>
        <w:rPr>
          <w:rFonts w:ascii="Arial" w:hAnsi="Arial" w:cs="Arial"/>
          <w:sz w:val="24"/>
          <w:szCs w:val="24"/>
        </w:rPr>
      </w:pPr>
      <w:bookmarkStart w:id="0" w:name="_GoBack"/>
      <w:bookmarkEnd w:id="0"/>
    </w:p>
    <w:p w14:paraId="60E2049C" w14:textId="77777777" w:rsidR="00205106" w:rsidRPr="008853D9" w:rsidRDefault="00144781" w:rsidP="00144781">
      <w:pPr>
        <w:autoSpaceDE w:val="0"/>
        <w:autoSpaceDN w:val="0"/>
        <w:adjustRightInd w:val="0"/>
        <w:spacing w:after="0" w:line="480" w:lineRule="auto"/>
        <w:rPr>
          <w:rFonts w:ascii="Arial" w:hAnsi="Arial" w:cs="Arial"/>
          <w:b/>
          <w:bCs/>
        </w:rPr>
      </w:pPr>
      <w:r w:rsidRPr="008853D9">
        <w:rPr>
          <w:rFonts w:ascii="Arial" w:hAnsi="Arial" w:cs="Arial"/>
          <w:b/>
          <w:bCs/>
        </w:rPr>
        <w:t>ABSTRACT</w:t>
      </w:r>
    </w:p>
    <w:p w14:paraId="59D7B926" w14:textId="77777777" w:rsidR="0004442F" w:rsidRPr="008853D9" w:rsidRDefault="0004442F" w:rsidP="00144781">
      <w:pPr>
        <w:spacing w:before="100" w:beforeAutospacing="1" w:after="100" w:afterAutospacing="1" w:line="480" w:lineRule="auto"/>
        <w:jc w:val="both"/>
        <w:rPr>
          <w:rFonts w:ascii="Arial" w:eastAsia="Times New Roman" w:hAnsi="Arial" w:cs="Arial"/>
          <w:sz w:val="20"/>
          <w:szCs w:val="24"/>
        </w:rPr>
      </w:pPr>
      <w:r w:rsidRPr="008853D9">
        <w:rPr>
          <w:rFonts w:ascii="Arial" w:eastAsia="Times New Roman" w:hAnsi="Arial" w:cs="Arial"/>
          <w:sz w:val="20"/>
          <w:szCs w:val="24"/>
        </w:rPr>
        <w:t xml:space="preserve">Anopheles mosquitoes are the primary vectors responsible for transmitting malaria-causing protozoans that affect populations worldwide. The use of synthetic insecticides to control mosquito populations can result in environmental pollution, human health risks, and depletion of the ozone layer. Consequently, there is a growing interest in identifying alternatives to synthetic insecticides. Botanical insecticides, which are inexpensive, readily available, and environmentally friendly, have emerged as viable options. This study investigated the insecticidal effects of methanol, ethanol, n-hexane, and acetone crude leaf extracts from </w:t>
      </w:r>
      <w:r w:rsidRPr="008853D9">
        <w:rPr>
          <w:rFonts w:ascii="Arial" w:eastAsia="Times New Roman" w:hAnsi="Arial" w:cs="Arial"/>
          <w:i/>
          <w:iCs/>
          <w:sz w:val="20"/>
          <w:szCs w:val="24"/>
        </w:rPr>
        <w:t>Moringa oleifera</w:t>
      </w:r>
      <w:r w:rsidRPr="008853D9">
        <w:rPr>
          <w:rFonts w:ascii="Arial" w:eastAsia="Times New Roman" w:hAnsi="Arial" w:cs="Arial"/>
          <w:sz w:val="20"/>
          <w:szCs w:val="24"/>
        </w:rPr>
        <w:t xml:space="preserve">, </w:t>
      </w:r>
      <w:r w:rsidRPr="008853D9">
        <w:rPr>
          <w:rFonts w:ascii="Arial" w:eastAsia="Times New Roman" w:hAnsi="Arial" w:cs="Arial"/>
          <w:i/>
          <w:iCs/>
          <w:sz w:val="20"/>
          <w:szCs w:val="24"/>
        </w:rPr>
        <w:t>Eucalyptus citriodora</w:t>
      </w:r>
      <w:r w:rsidRPr="008853D9">
        <w:rPr>
          <w:rFonts w:ascii="Arial" w:eastAsia="Times New Roman" w:hAnsi="Arial" w:cs="Arial"/>
          <w:sz w:val="20"/>
          <w:szCs w:val="24"/>
        </w:rPr>
        <w:t xml:space="preserve">, </w:t>
      </w:r>
      <w:r w:rsidRPr="008853D9">
        <w:rPr>
          <w:rFonts w:ascii="Arial" w:eastAsia="Times New Roman" w:hAnsi="Arial" w:cs="Arial"/>
          <w:i/>
          <w:iCs/>
          <w:sz w:val="20"/>
          <w:szCs w:val="24"/>
        </w:rPr>
        <w:t>Mentha piperita</w:t>
      </w:r>
      <w:r w:rsidRPr="008853D9">
        <w:rPr>
          <w:rFonts w:ascii="Arial" w:eastAsia="Times New Roman" w:hAnsi="Arial" w:cs="Arial"/>
          <w:sz w:val="20"/>
          <w:szCs w:val="24"/>
        </w:rPr>
        <w:t xml:space="preserve">, </w:t>
      </w:r>
      <w:r w:rsidRPr="008853D9">
        <w:rPr>
          <w:rFonts w:ascii="Arial" w:eastAsia="Times New Roman" w:hAnsi="Arial" w:cs="Arial"/>
          <w:i/>
          <w:iCs/>
          <w:sz w:val="20"/>
          <w:szCs w:val="24"/>
        </w:rPr>
        <w:t>Azadirachta indica</w:t>
      </w:r>
      <w:r w:rsidRPr="008853D9">
        <w:rPr>
          <w:rFonts w:ascii="Arial" w:eastAsia="Times New Roman" w:hAnsi="Arial" w:cs="Arial"/>
          <w:sz w:val="20"/>
          <w:szCs w:val="24"/>
        </w:rPr>
        <w:t xml:space="preserve">, and </w:t>
      </w:r>
      <w:r w:rsidRPr="008853D9">
        <w:rPr>
          <w:rFonts w:ascii="Arial" w:eastAsia="Times New Roman" w:hAnsi="Arial" w:cs="Arial"/>
          <w:i/>
          <w:iCs/>
          <w:sz w:val="20"/>
          <w:szCs w:val="24"/>
        </w:rPr>
        <w:t>Andrographis paniculata</w:t>
      </w:r>
      <w:r w:rsidRPr="008853D9">
        <w:rPr>
          <w:rFonts w:ascii="Arial" w:eastAsia="Times New Roman" w:hAnsi="Arial" w:cs="Arial"/>
          <w:sz w:val="20"/>
          <w:szCs w:val="24"/>
        </w:rPr>
        <w:t xml:space="preserve"> on both adult and larval stages of </w:t>
      </w:r>
      <w:r w:rsidRPr="008853D9">
        <w:rPr>
          <w:rFonts w:ascii="Arial" w:eastAsia="Times New Roman" w:hAnsi="Arial" w:cs="Arial"/>
          <w:i/>
          <w:iCs/>
          <w:sz w:val="20"/>
          <w:szCs w:val="24"/>
        </w:rPr>
        <w:t>Anopheles gambiae</w:t>
      </w:r>
      <w:r w:rsidRPr="008853D9">
        <w:rPr>
          <w:rFonts w:ascii="Arial" w:eastAsia="Times New Roman" w:hAnsi="Arial" w:cs="Arial"/>
          <w:sz w:val="20"/>
          <w:szCs w:val="24"/>
        </w:rPr>
        <w:t xml:space="preserve">. Fresh leaves of the selected plants were collected, air-dried, and ground into powders. These powdered leaves were then extracted using absolute ethanol, methanol, n-hexane, and acetone at 60 °C in a Soxhlet extractor. Extract concentrations of 100, 150, 200, 250, and 300 ppm were prepared and tested against </w:t>
      </w:r>
      <w:r w:rsidRPr="008853D9">
        <w:rPr>
          <w:rFonts w:ascii="Arial" w:eastAsia="Times New Roman" w:hAnsi="Arial" w:cs="Arial"/>
          <w:i/>
          <w:iCs/>
          <w:sz w:val="20"/>
          <w:szCs w:val="24"/>
        </w:rPr>
        <w:t>An. gambiae</w:t>
      </w:r>
      <w:r w:rsidRPr="008853D9">
        <w:rPr>
          <w:rFonts w:ascii="Arial" w:eastAsia="Times New Roman" w:hAnsi="Arial" w:cs="Arial"/>
          <w:sz w:val="20"/>
          <w:szCs w:val="24"/>
        </w:rPr>
        <w:t xml:space="preserve"> larvae and adults, with mortality recorded after 24 hours of exposure. The results demonstrated that ethanol and methanol extracts exhibited strong insecticidal activity, achieving 100% larval mortality at concentrations of 200, 250, and 300 ppm, and 100% adult mortality at 300 ppm. In contrast, n-hexane and acetone extracts showed limited activity against adult </w:t>
      </w:r>
      <w:r w:rsidRPr="008853D9">
        <w:rPr>
          <w:rFonts w:ascii="Arial" w:eastAsia="Times New Roman" w:hAnsi="Arial" w:cs="Arial"/>
          <w:i/>
          <w:iCs/>
          <w:sz w:val="20"/>
          <w:szCs w:val="24"/>
        </w:rPr>
        <w:t>An. gambiae</w:t>
      </w:r>
      <w:r w:rsidRPr="008853D9">
        <w:rPr>
          <w:rFonts w:ascii="Arial" w:eastAsia="Times New Roman" w:hAnsi="Arial" w:cs="Arial"/>
          <w:sz w:val="20"/>
          <w:szCs w:val="24"/>
        </w:rPr>
        <w:t xml:space="preserve">. Among the extracts tested, </w:t>
      </w:r>
      <w:r w:rsidRPr="008853D9">
        <w:rPr>
          <w:rFonts w:ascii="Arial" w:eastAsia="Times New Roman" w:hAnsi="Arial" w:cs="Arial"/>
          <w:i/>
          <w:iCs/>
          <w:sz w:val="20"/>
          <w:szCs w:val="24"/>
        </w:rPr>
        <w:t>A. indica</w:t>
      </w:r>
      <w:r w:rsidRPr="008853D9">
        <w:rPr>
          <w:rFonts w:ascii="Arial" w:eastAsia="Times New Roman" w:hAnsi="Arial" w:cs="Arial"/>
          <w:sz w:val="20"/>
          <w:szCs w:val="24"/>
        </w:rPr>
        <w:t xml:space="preserve"> ethanol extract was the most potent, inducing 100% adult mortality at 300 ppm and complete larval mortality at 200 ppm. These findings indicate that leaf extracts of the tested plants, particularly </w:t>
      </w:r>
      <w:r w:rsidRPr="008853D9">
        <w:rPr>
          <w:rFonts w:ascii="Arial" w:eastAsia="Times New Roman" w:hAnsi="Arial" w:cs="Arial"/>
          <w:i/>
          <w:iCs/>
          <w:sz w:val="20"/>
          <w:szCs w:val="24"/>
        </w:rPr>
        <w:t>A. indica</w:t>
      </w:r>
      <w:r w:rsidRPr="008853D9">
        <w:rPr>
          <w:rFonts w:ascii="Arial" w:eastAsia="Times New Roman" w:hAnsi="Arial" w:cs="Arial"/>
          <w:sz w:val="20"/>
          <w:szCs w:val="24"/>
        </w:rPr>
        <w:t xml:space="preserve">, have significant </w:t>
      </w:r>
      <w:r w:rsidRPr="008853D9">
        <w:rPr>
          <w:rFonts w:ascii="Arial" w:eastAsia="Times New Roman" w:hAnsi="Arial" w:cs="Arial"/>
          <w:sz w:val="20"/>
          <w:szCs w:val="24"/>
        </w:rPr>
        <w:lastRenderedPageBreak/>
        <w:t xml:space="preserve">potential for controlling both larval and adult </w:t>
      </w:r>
      <w:r w:rsidRPr="008853D9">
        <w:rPr>
          <w:rFonts w:ascii="Arial" w:eastAsia="Times New Roman" w:hAnsi="Arial" w:cs="Arial"/>
          <w:i/>
          <w:iCs/>
          <w:sz w:val="20"/>
          <w:szCs w:val="24"/>
        </w:rPr>
        <w:t>An. gambiae</w:t>
      </w:r>
      <w:r w:rsidRPr="008853D9">
        <w:rPr>
          <w:rFonts w:ascii="Arial" w:eastAsia="Times New Roman" w:hAnsi="Arial" w:cs="Arial"/>
          <w:sz w:val="20"/>
          <w:szCs w:val="24"/>
        </w:rPr>
        <w:t xml:space="preserve">. They may therefore serve as effective, eco-friendly alternatives to synthetic insecticides. </w:t>
      </w:r>
    </w:p>
    <w:p w14:paraId="43E6D6E6" w14:textId="77777777" w:rsidR="0004442F" w:rsidRPr="008853D9" w:rsidRDefault="0004442F" w:rsidP="00144781">
      <w:pPr>
        <w:pBdr>
          <w:top w:val="single" w:sz="6" w:space="1" w:color="auto"/>
        </w:pBdr>
        <w:spacing w:after="0" w:line="480" w:lineRule="auto"/>
        <w:jc w:val="center"/>
        <w:rPr>
          <w:rFonts w:ascii="Arial" w:eastAsia="Times New Roman" w:hAnsi="Arial" w:cs="Arial"/>
          <w:i/>
          <w:vanish/>
          <w:sz w:val="20"/>
          <w:szCs w:val="24"/>
        </w:rPr>
      </w:pPr>
      <w:r w:rsidRPr="008853D9">
        <w:rPr>
          <w:rFonts w:ascii="Arial" w:eastAsia="Times New Roman" w:hAnsi="Arial" w:cs="Arial"/>
          <w:i/>
          <w:vanish/>
          <w:sz w:val="20"/>
          <w:szCs w:val="24"/>
        </w:rPr>
        <w:t>Bottom of Form</w:t>
      </w:r>
    </w:p>
    <w:p w14:paraId="09CF0535" w14:textId="77777777" w:rsidR="00205106" w:rsidRPr="008853D9" w:rsidRDefault="00205106" w:rsidP="00144781">
      <w:pPr>
        <w:pStyle w:val="BodyText"/>
        <w:spacing w:line="480" w:lineRule="auto"/>
        <w:ind w:right="139"/>
        <w:jc w:val="both"/>
        <w:rPr>
          <w:rFonts w:ascii="Arial" w:hAnsi="Arial" w:cs="Arial"/>
          <w:i/>
          <w:sz w:val="20"/>
          <w:szCs w:val="24"/>
        </w:rPr>
      </w:pPr>
      <w:r w:rsidRPr="008853D9">
        <w:rPr>
          <w:rFonts w:ascii="Arial" w:hAnsi="Arial" w:cs="Arial"/>
          <w:i/>
          <w:sz w:val="20"/>
          <w:szCs w:val="24"/>
        </w:rPr>
        <w:t xml:space="preserve">Keywords: mortality, </w:t>
      </w:r>
      <w:r w:rsidR="009F5C00" w:rsidRPr="008853D9">
        <w:rPr>
          <w:rFonts w:ascii="Arial" w:hAnsi="Arial" w:cs="Arial"/>
          <w:i/>
          <w:sz w:val="20"/>
          <w:szCs w:val="24"/>
        </w:rPr>
        <w:t xml:space="preserve">insecticidal, </w:t>
      </w:r>
      <w:r w:rsidRPr="008853D9">
        <w:rPr>
          <w:rFonts w:ascii="Arial" w:hAnsi="Arial" w:cs="Arial"/>
          <w:i/>
          <w:iCs/>
          <w:sz w:val="20"/>
          <w:szCs w:val="24"/>
        </w:rPr>
        <w:t>Anopheles gambiae</w:t>
      </w:r>
      <w:r w:rsidRPr="008853D9">
        <w:rPr>
          <w:rFonts w:ascii="Arial" w:hAnsi="Arial" w:cs="Arial"/>
          <w:i/>
          <w:sz w:val="20"/>
          <w:szCs w:val="24"/>
        </w:rPr>
        <w:t xml:space="preserve">, </w:t>
      </w:r>
      <w:r w:rsidRPr="008853D9">
        <w:rPr>
          <w:rFonts w:ascii="Arial" w:hAnsi="Arial" w:cs="Arial"/>
          <w:bCs/>
          <w:i/>
          <w:sz w:val="20"/>
          <w:szCs w:val="24"/>
        </w:rPr>
        <w:t>Moringa oleifera, Eucalptus citriodora, Mentha peperita, Azadiractha indica and Andrographis paniculata</w:t>
      </w:r>
    </w:p>
    <w:p w14:paraId="660778F3" w14:textId="77777777" w:rsidR="002F54E8" w:rsidRPr="008853D9" w:rsidRDefault="002F54E8" w:rsidP="00144781">
      <w:pPr>
        <w:spacing w:line="480" w:lineRule="auto"/>
        <w:rPr>
          <w:rFonts w:ascii="Arial" w:hAnsi="Arial" w:cs="Arial"/>
          <w:b/>
          <w:i/>
          <w:sz w:val="24"/>
          <w:szCs w:val="24"/>
        </w:rPr>
      </w:pPr>
    </w:p>
    <w:p w14:paraId="47B7F30B" w14:textId="77777777" w:rsidR="002F54E8" w:rsidRPr="00F00FE6" w:rsidRDefault="002F54E8" w:rsidP="00144781">
      <w:pPr>
        <w:pStyle w:val="Heading2"/>
        <w:spacing w:line="480" w:lineRule="auto"/>
        <w:rPr>
          <w:rFonts w:ascii="Arial" w:hAnsi="Arial" w:cs="Arial"/>
          <w:color w:val="auto"/>
          <w:sz w:val="22"/>
          <w:szCs w:val="24"/>
        </w:rPr>
      </w:pPr>
      <w:r w:rsidRPr="00F00FE6">
        <w:rPr>
          <w:rFonts w:ascii="Arial" w:hAnsi="Arial" w:cs="Arial"/>
          <w:color w:val="auto"/>
          <w:sz w:val="22"/>
          <w:szCs w:val="24"/>
        </w:rPr>
        <w:t>INTRODUCTION</w:t>
      </w:r>
    </w:p>
    <w:p w14:paraId="76F3D4FE"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Mosquitoes comprise more than 3,500 species globally, with approximately 837 species recorded in Africa, 100 in Europe, and 170 in North America. Despite this vast diversity, only a limited number of species are capable of transmit</w:t>
      </w:r>
      <w:r w:rsidR="00F00FE6">
        <w:rPr>
          <w:rFonts w:ascii="Arial" w:hAnsi="Arial" w:cs="Arial"/>
          <w:sz w:val="22"/>
        </w:rPr>
        <w:t xml:space="preserve">ting disease-causing pathogens (Gordon and </w:t>
      </w:r>
      <w:r w:rsidR="00F00FE6" w:rsidRPr="00F00FE6">
        <w:rPr>
          <w:rFonts w:ascii="Arial" w:hAnsi="Arial" w:cs="Arial"/>
          <w:bCs/>
          <w:sz w:val="20"/>
          <w:szCs w:val="20"/>
        </w:rPr>
        <w:t>Molyneux</w:t>
      </w:r>
      <w:r w:rsidR="00F00FE6">
        <w:rPr>
          <w:rFonts w:ascii="Arial" w:hAnsi="Arial" w:cs="Arial"/>
          <w:bCs/>
          <w:sz w:val="20"/>
          <w:szCs w:val="20"/>
        </w:rPr>
        <w:t xml:space="preserve"> 2008)</w:t>
      </w:r>
      <w:r w:rsidRPr="00F00FE6">
        <w:rPr>
          <w:rFonts w:ascii="Arial" w:hAnsi="Arial" w:cs="Arial"/>
          <w:sz w:val="22"/>
        </w:rPr>
        <w:t>. It is also noteworthy that mosquito species are reproductively isolat</w:t>
      </w:r>
      <w:r w:rsidR="009F74F9" w:rsidRPr="00F00FE6">
        <w:rPr>
          <w:rFonts w:ascii="Arial" w:hAnsi="Arial" w:cs="Arial"/>
          <w:sz w:val="22"/>
        </w:rPr>
        <w:t>ed and cannot interbreed</w:t>
      </w:r>
      <w:r w:rsidR="00F00FE6">
        <w:rPr>
          <w:rFonts w:ascii="Arial" w:hAnsi="Arial" w:cs="Arial"/>
          <w:sz w:val="22"/>
        </w:rPr>
        <w:t xml:space="preserve">(Sinka </w:t>
      </w:r>
      <w:r w:rsidR="00F00FE6">
        <w:rPr>
          <w:rFonts w:ascii="Arial" w:hAnsi="Arial" w:cs="Arial"/>
          <w:i/>
          <w:sz w:val="22"/>
        </w:rPr>
        <w:t xml:space="preserve">et al., </w:t>
      </w:r>
      <w:r w:rsidR="00F00FE6">
        <w:rPr>
          <w:rFonts w:ascii="Arial" w:hAnsi="Arial" w:cs="Arial"/>
          <w:sz w:val="22"/>
        </w:rPr>
        <w:t>2010)</w:t>
      </w:r>
      <w:r w:rsidRPr="00F00FE6">
        <w:rPr>
          <w:rFonts w:ascii="Arial" w:hAnsi="Arial" w:cs="Arial"/>
          <w:sz w:val="22"/>
        </w:rPr>
        <w:t xml:space="preserve">. Malaria is transmitted through the bite of female </w:t>
      </w:r>
      <w:r w:rsidRPr="00F00FE6">
        <w:rPr>
          <w:rStyle w:val="Emphasis"/>
          <w:rFonts w:ascii="Arial" w:hAnsi="Arial" w:cs="Arial"/>
          <w:sz w:val="22"/>
        </w:rPr>
        <w:t>Anopheles</w:t>
      </w:r>
      <w:r w:rsidRPr="00F00FE6">
        <w:rPr>
          <w:rFonts w:ascii="Arial" w:hAnsi="Arial" w:cs="Arial"/>
          <w:sz w:val="22"/>
        </w:rPr>
        <w:t xml:space="preserve"> mosquitoes. Over 500 </w:t>
      </w:r>
      <w:r w:rsidRPr="00F00FE6">
        <w:rPr>
          <w:rStyle w:val="Emphasis"/>
          <w:rFonts w:ascii="Arial" w:hAnsi="Arial" w:cs="Arial"/>
          <w:sz w:val="22"/>
        </w:rPr>
        <w:t>Anopheles</w:t>
      </w:r>
      <w:r w:rsidRPr="00F00FE6">
        <w:rPr>
          <w:rFonts w:ascii="Arial" w:hAnsi="Arial" w:cs="Arial"/>
          <w:sz w:val="22"/>
        </w:rPr>
        <w:t xml:space="preserve"> species have been identified worldwide, of which more than 30 pose significant public health conce</w:t>
      </w:r>
      <w:r w:rsidR="009F74F9" w:rsidRPr="00F00FE6">
        <w:rPr>
          <w:rFonts w:ascii="Arial" w:hAnsi="Arial" w:cs="Arial"/>
          <w:sz w:val="22"/>
        </w:rPr>
        <w:t>rns</w:t>
      </w:r>
      <w:r w:rsidR="004B3742">
        <w:rPr>
          <w:rFonts w:ascii="Arial" w:hAnsi="Arial" w:cs="Arial"/>
          <w:sz w:val="22"/>
        </w:rPr>
        <w:t xml:space="preserve"> (</w:t>
      </w:r>
      <w:r w:rsidR="004B3742" w:rsidRPr="00F00FE6">
        <w:rPr>
          <w:rFonts w:ascii="Arial" w:hAnsi="Arial" w:cs="Arial"/>
          <w:bCs/>
          <w:sz w:val="20"/>
          <w:szCs w:val="20"/>
        </w:rPr>
        <w:t>Koenraadt</w:t>
      </w:r>
      <w:r w:rsidR="004B3742">
        <w:rPr>
          <w:rFonts w:ascii="Arial" w:hAnsi="Arial" w:cs="Arial"/>
          <w:bCs/>
          <w:sz w:val="20"/>
          <w:szCs w:val="20"/>
        </w:rPr>
        <w:t xml:space="preserve"> and Takken 2013)</w:t>
      </w:r>
      <w:r w:rsidRPr="00F00FE6">
        <w:rPr>
          <w:rFonts w:ascii="Arial" w:hAnsi="Arial" w:cs="Arial"/>
          <w:sz w:val="22"/>
        </w:rPr>
        <w:t>. Among these, three closely related species (</w:t>
      </w:r>
      <w:r w:rsidRPr="00F00FE6">
        <w:rPr>
          <w:rStyle w:val="Emphasis"/>
          <w:rFonts w:ascii="Arial" w:hAnsi="Arial" w:cs="Arial"/>
          <w:sz w:val="22"/>
        </w:rPr>
        <w:t>Anopheles gambiae</w:t>
      </w:r>
      <w:r w:rsidRPr="00F00FE6">
        <w:rPr>
          <w:rFonts w:ascii="Arial" w:hAnsi="Arial" w:cs="Arial"/>
          <w:sz w:val="22"/>
        </w:rPr>
        <w:t xml:space="preserve">, </w:t>
      </w:r>
      <w:r w:rsidRPr="00F00FE6">
        <w:rPr>
          <w:rStyle w:val="Emphasis"/>
          <w:rFonts w:ascii="Arial" w:hAnsi="Arial" w:cs="Arial"/>
          <w:sz w:val="22"/>
        </w:rPr>
        <w:t>Anopheles coluzzii</w:t>
      </w:r>
      <w:r w:rsidRPr="00F00FE6">
        <w:rPr>
          <w:rFonts w:ascii="Arial" w:hAnsi="Arial" w:cs="Arial"/>
          <w:sz w:val="22"/>
        </w:rPr>
        <w:t xml:space="preserve">, and </w:t>
      </w:r>
      <w:r w:rsidRPr="00F00FE6">
        <w:rPr>
          <w:rStyle w:val="Emphasis"/>
          <w:rFonts w:ascii="Arial" w:hAnsi="Arial" w:cs="Arial"/>
          <w:sz w:val="22"/>
        </w:rPr>
        <w:t>Anopheles arabiensis</w:t>
      </w:r>
      <w:r w:rsidRPr="00F00FE6">
        <w:rPr>
          <w:rStyle w:val="Emphasis"/>
          <w:rFonts w:ascii="Arial" w:hAnsi="Arial" w:cs="Arial"/>
          <w:i w:val="0"/>
          <w:sz w:val="22"/>
        </w:rPr>
        <w:t>)</w:t>
      </w:r>
      <w:r w:rsidRPr="00F00FE6">
        <w:rPr>
          <w:rFonts w:ascii="Arial" w:hAnsi="Arial" w:cs="Arial"/>
          <w:sz w:val="22"/>
        </w:rPr>
        <w:t xml:space="preserve"> are responsible for the majority of malaria trans</w:t>
      </w:r>
      <w:r w:rsidR="009F74F9" w:rsidRPr="00F00FE6">
        <w:rPr>
          <w:rFonts w:ascii="Arial" w:hAnsi="Arial" w:cs="Arial"/>
          <w:sz w:val="22"/>
        </w:rPr>
        <w:t>mission</w:t>
      </w:r>
      <w:r w:rsidR="004B3742">
        <w:rPr>
          <w:rFonts w:ascii="Arial" w:hAnsi="Arial" w:cs="Arial"/>
          <w:sz w:val="22"/>
        </w:rPr>
        <w:t xml:space="preserve"> (Martins and Leal 2015)</w:t>
      </w:r>
      <w:r w:rsidRPr="00F00FE6">
        <w:rPr>
          <w:rFonts w:ascii="Arial" w:hAnsi="Arial" w:cs="Arial"/>
          <w:sz w:val="22"/>
        </w:rPr>
        <w:t>.</w:t>
      </w:r>
    </w:p>
    <w:p w14:paraId="033F18FA" w14:textId="77777777" w:rsidR="002F54E8" w:rsidRPr="00F00FE6" w:rsidRDefault="002F54E8" w:rsidP="00144781">
      <w:pPr>
        <w:pStyle w:val="NormalWeb"/>
        <w:spacing w:line="480" w:lineRule="auto"/>
        <w:jc w:val="both"/>
        <w:rPr>
          <w:rFonts w:ascii="Arial" w:hAnsi="Arial" w:cs="Arial"/>
          <w:sz w:val="22"/>
        </w:rPr>
      </w:pPr>
      <w:r w:rsidRPr="00F00FE6">
        <w:rPr>
          <w:rStyle w:val="Emphasis"/>
          <w:rFonts w:ascii="Arial" w:hAnsi="Arial" w:cs="Arial"/>
          <w:sz w:val="22"/>
        </w:rPr>
        <w:t>Anopheles</w:t>
      </w:r>
      <w:r w:rsidRPr="00F00FE6">
        <w:rPr>
          <w:rFonts w:ascii="Arial" w:hAnsi="Arial" w:cs="Arial"/>
          <w:sz w:val="22"/>
        </w:rPr>
        <w:t xml:space="preserve"> mosquitoes serve as the primary vectors for malaria-causing protozoan parasites, including </w:t>
      </w:r>
      <w:r w:rsidRPr="00F00FE6">
        <w:rPr>
          <w:rStyle w:val="Emphasis"/>
          <w:rFonts w:ascii="Arial" w:hAnsi="Arial" w:cs="Arial"/>
          <w:sz w:val="22"/>
        </w:rPr>
        <w:t>Plasmodium falciparum</w:t>
      </w:r>
      <w:r w:rsidRPr="00F00FE6">
        <w:rPr>
          <w:rFonts w:ascii="Arial" w:hAnsi="Arial" w:cs="Arial"/>
          <w:sz w:val="22"/>
        </w:rPr>
        <w:t xml:space="preserve">, </w:t>
      </w:r>
      <w:r w:rsidRPr="00F00FE6">
        <w:rPr>
          <w:rStyle w:val="Emphasis"/>
          <w:rFonts w:ascii="Arial" w:hAnsi="Arial" w:cs="Arial"/>
          <w:sz w:val="22"/>
        </w:rPr>
        <w:t>Plasmodium vivax</w:t>
      </w:r>
      <w:r w:rsidRPr="00F00FE6">
        <w:rPr>
          <w:rFonts w:ascii="Arial" w:hAnsi="Arial" w:cs="Arial"/>
          <w:sz w:val="22"/>
        </w:rPr>
        <w:t xml:space="preserve">, </w:t>
      </w:r>
      <w:r w:rsidRPr="00F00FE6">
        <w:rPr>
          <w:rStyle w:val="Emphasis"/>
          <w:rFonts w:ascii="Arial" w:hAnsi="Arial" w:cs="Arial"/>
          <w:sz w:val="22"/>
        </w:rPr>
        <w:t>Plasmodium ovale</w:t>
      </w:r>
      <w:r w:rsidRPr="00F00FE6">
        <w:rPr>
          <w:rFonts w:ascii="Arial" w:hAnsi="Arial" w:cs="Arial"/>
          <w:sz w:val="22"/>
        </w:rPr>
        <w:t xml:space="preserve">, </w:t>
      </w:r>
      <w:r w:rsidRPr="00F00FE6">
        <w:rPr>
          <w:rStyle w:val="Emphasis"/>
          <w:rFonts w:ascii="Arial" w:hAnsi="Arial" w:cs="Arial"/>
          <w:sz w:val="22"/>
        </w:rPr>
        <w:t>Plasmodium malariae</w:t>
      </w:r>
      <w:r w:rsidRPr="00F00FE6">
        <w:rPr>
          <w:rFonts w:ascii="Arial" w:hAnsi="Arial" w:cs="Arial"/>
          <w:sz w:val="22"/>
        </w:rPr>
        <w:t xml:space="preserve">, and </w:t>
      </w:r>
      <w:r w:rsidRPr="00F00FE6">
        <w:rPr>
          <w:rStyle w:val="Emphasis"/>
          <w:rFonts w:ascii="Arial" w:hAnsi="Arial" w:cs="Arial"/>
          <w:sz w:val="22"/>
        </w:rPr>
        <w:t>Plasmodium knowlesi</w:t>
      </w:r>
      <w:r w:rsidR="004B3742">
        <w:rPr>
          <w:rFonts w:ascii="Arial" w:hAnsi="Arial" w:cs="Arial"/>
          <w:sz w:val="22"/>
        </w:rPr>
        <w:t xml:space="preserve"> (</w:t>
      </w:r>
      <w:r w:rsidR="004B3742" w:rsidRPr="00F00FE6">
        <w:rPr>
          <w:rFonts w:ascii="Arial" w:hAnsi="Arial" w:cs="Arial"/>
          <w:color w:val="000000"/>
          <w:sz w:val="20"/>
          <w:szCs w:val="20"/>
        </w:rPr>
        <w:t>Govindarajan</w:t>
      </w:r>
      <w:r w:rsidR="004B3742">
        <w:rPr>
          <w:rFonts w:ascii="Arial" w:hAnsi="Arial" w:cs="Arial"/>
          <w:color w:val="000000"/>
          <w:sz w:val="20"/>
          <w:szCs w:val="20"/>
        </w:rPr>
        <w:t xml:space="preserve"> </w:t>
      </w:r>
      <w:r w:rsidR="004B3742">
        <w:rPr>
          <w:rFonts w:ascii="Arial" w:hAnsi="Arial" w:cs="Arial"/>
          <w:i/>
          <w:color w:val="000000"/>
          <w:sz w:val="20"/>
          <w:szCs w:val="20"/>
        </w:rPr>
        <w:t>et al.,</w:t>
      </w:r>
      <w:r w:rsidR="004B3742">
        <w:rPr>
          <w:rFonts w:ascii="Arial" w:hAnsi="Arial" w:cs="Arial"/>
          <w:color w:val="000000"/>
          <w:sz w:val="20"/>
          <w:szCs w:val="20"/>
        </w:rPr>
        <w:t xml:space="preserve"> 2016; Khater </w:t>
      </w:r>
      <w:r w:rsidR="004B3742">
        <w:rPr>
          <w:rFonts w:ascii="Arial" w:hAnsi="Arial" w:cs="Arial"/>
          <w:i/>
          <w:color w:val="000000"/>
          <w:sz w:val="20"/>
          <w:szCs w:val="20"/>
        </w:rPr>
        <w:t>et al.,</w:t>
      </w:r>
      <w:r w:rsidR="004B3742">
        <w:rPr>
          <w:rFonts w:ascii="Arial" w:hAnsi="Arial" w:cs="Arial"/>
          <w:color w:val="000000"/>
          <w:sz w:val="20"/>
          <w:szCs w:val="20"/>
        </w:rPr>
        <w:t xml:space="preserve"> 2020)</w:t>
      </w:r>
      <w:r w:rsidRPr="00F00FE6">
        <w:rPr>
          <w:rFonts w:ascii="Arial" w:hAnsi="Arial" w:cs="Arial"/>
          <w:sz w:val="22"/>
        </w:rPr>
        <w:t xml:space="preserve">. Malaria is caused by protozoan parasites of the genus </w:t>
      </w:r>
      <w:r w:rsidRPr="00F00FE6">
        <w:rPr>
          <w:rStyle w:val="Emphasis"/>
          <w:rFonts w:ascii="Arial" w:hAnsi="Arial" w:cs="Arial"/>
          <w:sz w:val="22"/>
        </w:rPr>
        <w:t>Plasmodium</w:t>
      </w:r>
      <w:r w:rsidRPr="00F00FE6">
        <w:rPr>
          <w:rFonts w:ascii="Arial" w:hAnsi="Arial" w:cs="Arial"/>
          <w:sz w:val="22"/>
        </w:rPr>
        <w:t xml:space="preserve"> and is transmitted exclusively by female </w:t>
      </w:r>
      <w:r w:rsidRPr="00F00FE6">
        <w:rPr>
          <w:rStyle w:val="Emphasis"/>
          <w:rFonts w:ascii="Arial" w:hAnsi="Arial" w:cs="Arial"/>
          <w:sz w:val="22"/>
        </w:rPr>
        <w:t>Anopheles</w:t>
      </w:r>
      <w:r w:rsidR="009F74F9" w:rsidRPr="00F00FE6">
        <w:rPr>
          <w:rFonts w:ascii="Arial" w:hAnsi="Arial" w:cs="Arial"/>
          <w:sz w:val="22"/>
        </w:rPr>
        <w:t xml:space="preserve"> mosquitoes</w:t>
      </w:r>
      <w:r w:rsidR="004B3742">
        <w:rPr>
          <w:rFonts w:ascii="Arial" w:hAnsi="Arial" w:cs="Arial"/>
          <w:sz w:val="22"/>
        </w:rPr>
        <w:t xml:space="preserve"> (Eve </w:t>
      </w:r>
      <w:r w:rsidR="004B3742">
        <w:rPr>
          <w:rFonts w:ascii="Arial" w:hAnsi="Arial" w:cs="Arial"/>
          <w:i/>
          <w:sz w:val="22"/>
        </w:rPr>
        <w:t xml:space="preserve">et al., </w:t>
      </w:r>
      <w:r w:rsidR="004B3742">
        <w:rPr>
          <w:rFonts w:ascii="Arial" w:hAnsi="Arial" w:cs="Arial"/>
          <w:sz w:val="22"/>
        </w:rPr>
        <w:t>2005).</w:t>
      </w:r>
      <w:r w:rsidR="009F74F9" w:rsidRPr="00F00FE6">
        <w:rPr>
          <w:rFonts w:ascii="Arial" w:hAnsi="Arial" w:cs="Arial"/>
          <w:sz w:val="22"/>
        </w:rPr>
        <w:t xml:space="preserve"> </w:t>
      </w:r>
      <w:r w:rsidRPr="00F00FE6">
        <w:rPr>
          <w:rFonts w:ascii="Arial" w:hAnsi="Arial" w:cs="Arial"/>
          <w:sz w:val="22"/>
        </w:rPr>
        <w:t xml:space="preserve">Owing to the high morbidity and mortality associated with malaria, </w:t>
      </w:r>
      <w:r w:rsidRPr="00F00FE6">
        <w:rPr>
          <w:rStyle w:val="Emphasis"/>
          <w:rFonts w:ascii="Arial" w:hAnsi="Arial" w:cs="Arial"/>
          <w:sz w:val="22"/>
        </w:rPr>
        <w:t>Anopheles</w:t>
      </w:r>
      <w:r w:rsidRPr="00F00FE6">
        <w:rPr>
          <w:rFonts w:ascii="Arial" w:hAnsi="Arial" w:cs="Arial"/>
          <w:sz w:val="22"/>
        </w:rPr>
        <w:t xml:space="preserve"> mosquitoes represent a major public health challenge that requires urgent and comprehensive</w:t>
      </w:r>
      <w:r w:rsidR="009F74F9" w:rsidRPr="00F00FE6">
        <w:rPr>
          <w:rFonts w:ascii="Arial" w:hAnsi="Arial" w:cs="Arial"/>
          <w:sz w:val="22"/>
        </w:rPr>
        <w:t xml:space="preserve"> control efforts</w:t>
      </w:r>
      <w:r w:rsidR="004B3742">
        <w:rPr>
          <w:rFonts w:ascii="Arial" w:hAnsi="Arial" w:cs="Arial"/>
          <w:sz w:val="22"/>
        </w:rPr>
        <w:t xml:space="preserve"> (</w:t>
      </w:r>
      <w:r w:rsidR="004B3742" w:rsidRPr="00F00FE6">
        <w:rPr>
          <w:rFonts w:ascii="Arial" w:hAnsi="Arial" w:cs="Arial"/>
          <w:sz w:val="20"/>
          <w:szCs w:val="20"/>
        </w:rPr>
        <w:t>Bloland</w:t>
      </w:r>
      <w:r w:rsidR="004B3742">
        <w:rPr>
          <w:rFonts w:ascii="Arial" w:hAnsi="Arial" w:cs="Arial"/>
          <w:sz w:val="20"/>
          <w:szCs w:val="20"/>
        </w:rPr>
        <w:t>, 2001)</w:t>
      </w:r>
      <w:r w:rsidRPr="00F00FE6">
        <w:rPr>
          <w:rFonts w:ascii="Arial" w:hAnsi="Arial" w:cs="Arial"/>
          <w:sz w:val="22"/>
        </w:rPr>
        <w:t xml:space="preserve">. According to the World Health Organization (WHO), an estimated 435,000 malaria-related deaths occurred globally in 2017, with children under five years accounting for 61% of these deaths. Furthermore, approximately </w:t>
      </w:r>
      <w:r w:rsidRPr="00F00FE6">
        <w:rPr>
          <w:rFonts w:ascii="Arial" w:hAnsi="Arial" w:cs="Arial"/>
          <w:sz w:val="22"/>
        </w:rPr>
        <w:lastRenderedPageBreak/>
        <w:t>93% of malaria-related deaths were reported in Africa a</w:t>
      </w:r>
      <w:r w:rsidR="009F74F9" w:rsidRPr="00F00FE6">
        <w:rPr>
          <w:rFonts w:ascii="Arial" w:hAnsi="Arial" w:cs="Arial"/>
          <w:sz w:val="22"/>
        </w:rPr>
        <w:t>lone</w:t>
      </w:r>
      <w:r w:rsidR="004B3742">
        <w:rPr>
          <w:rFonts w:ascii="Arial" w:hAnsi="Arial" w:cs="Arial"/>
          <w:sz w:val="22"/>
        </w:rPr>
        <w:t xml:space="preserve"> (WHO, 2015)</w:t>
      </w:r>
      <w:r w:rsidR="00F62290" w:rsidRPr="00F00FE6">
        <w:rPr>
          <w:rFonts w:ascii="Arial" w:hAnsi="Arial" w:cs="Arial"/>
          <w:sz w:val="22"/>
        </w:rPr>
        <w:t xml:space="preserve">. </w:t>
      </w:r>
      <w:r w:rsidRPr="00F00FE6">
        <w:rPr>
          <w:rFonts w:ascii="Arial" w:hAnsi="Arial" w:cs="Arial"/>
          <w:sz w:val="22"/>
        </w:rPr>
        <w:t>In 2020, malaria cases were estimated at 241 million, with 627,000 deaths reported across 85 countries. Sub-Saharan Africa accounted for about 95% of malaria cases and 96% of malaria deaths, with nearly 80% of these deaths occurring among children u</w:t>
      </w:r>
      <w:r w:rsidR="009F74F9" w:rsidRPr="00F00FE6">
        <w:rPr>
          <w:rFonts w:ascii="Arial" w:hAnsi="Arial" w:cs="Arial"/>
          <w:sz w:val="22"/>
        </w:rPr>
        <w:t>nder the age of five</w:t>
      </w:r>
      <w:r w:rsidR="004B3742">
        <w:rPr>
          <w:rFonts w:ascii="Arial" w:hAnsi="Arial" w:cs="Arial"/>
          <w:sz w:val="22"/>
        </w:rPr>
        <w:t xml:space="preserve"> (WHO, 2021)</w:t>
      </w:r>
      <w:r w:rsidRPr="00F00FE6">
        <w:rPr>
          <w:rFonts w:ascii="Arial" w:hAnsi="Arial" w:cs="Arial"/>
          <w:sz w:val="22"/>
        </w:rPr>
        <w:t>.</w:t>
      </w:r>
    </w:p>
    <w:p w14:paraId="26ADD64F"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Currently, synthetic insecticides remain the most widely used tools for mosquito control. The scale-up of long-lasting insecticidal nets (LLINs) and indoor residual spraying (IRS) has contributed significantly to reductions in malaria cases and deaths </w:t>
      </w:r>
      <w:r w:rsidR="004C59FD" w:rsidRPr="00F00FE6">
        <w:rPr>
          <w:rFonts w:ascii="Arial" w:hAnsi="Arial" w:cs="Arial"/>
          <w:sz w:val="22"/>
        </w:rPr>
        <w:t>worldwide</w:t>
      </w:r>
      <w:r w:rsidR="004B3742">
        <w:rPr>
          <w:rFonts w:ascii="Arial" w:hAnsi="Arial" w:cs="Arial"/>
          <w:sz w:val="22"/>
        </w:rPr>
        <w:t xml:space="preserve"> (WHO, 2015; Isman, 2006)</w:t>
      </w:r>
      <w:r w:rsidRPr="00F00FE6">
        <w:rPr>
          <w:rFonts w:ascii="Arial" w:hAnsi="Arial" w:cs="Arial"/>
          <w:sz w:val="22"/>
        </w:rPr>
        <w:t>. However, the extensive use of synthetic insecticides has led to the accumulation of persistent, non-biodegradable chemicals in the environment, resulting in ecological imbalance and toxic effects on non-target organisms</w:t>
      </w:r>
      <w:r w:rsidR="004B3742">
        <w:rPr>
          <w:rFonts w:ascii="Arial" w:hAnsi="Arial" w:cs="Arial"/>
          <w:sz w:val="22"/>
        </w:rPr>
        <w:t xml:space="preserve"> (WHO, 2012)</w:t>
      </w:r>
      <w:r w:rsidR="009F74F9" w:rsidRPr="00F00FE6">
        <w:rPr>
          <w:rFonts w:ascii="Arial" w:hAnsi="Arial" w:cs="Arial"/>
          <w:sz w:val="22"/>
        </w:rPr>
        <w:t>.</w:t>
      </w:r>
      <w:r w:rsidRPr="00F00FE6">
        <w:rPr>
          <w:rFonts w:ascii="Arial" w:hAnsi="Arial" w:cs="Arial"/>
          <w:sz w:val="22"/>
        </w:rPr>
        <w:t xml:space="preserve"> In addition to environmental pollution, concerns such as high mammalian toxicity, cost, and limited availability persist. Moreover, mosquito populations have developed genetic resistance to many commonly used synthetic insectici</w:t>
      </w:r>
      <w:r w:rsidR="009F74F9" w:rsidRPr="00F00FE6">
        <w:rPr>
          <w:rFonts w:ascii="Arial" w:hAnsi="Arial" w:cs="Arial"/>
          <w:sz w:val="22"/>
        </w:rPr>
        <w:t>des</w:t>
      </w:r>
      <w:r w:rsidR="004B3742">
        <w:rPr>
          <w:rFonts w:ascii="Arial" w:hAnsi="Arial" w:cs="Arial"/>
          <w:sz w:val="22"/>
          <w:vertAlign w:val="superscript"/>
        </w:rPr>
        <w:t xml:space="preserve"> </w:t>
      </w:r>
      <w:r w:rsidR="004B3742">
        <w:rPr>
          <w:rFonts w:ascii="Arial" w:hAnsi="Arial" w:cs="Arial"/>
          <w:sz w:val="22"/>
        </w:rPr>
        <w:t xml:space="preserve">(Singh </w:t>
      </w:r>
      <w:r w:rsidR="004B3742">
        <w:rPr>
          <w:rFonts w:ascii="Arial" w:hAnsi="Arial" w:cs="Arial"/>
          <w:i/>
          <w:sz w:val="22"/>
        </w:rPr>
        <w:t xml:space="preserve">et al., </w:t>
      </w:r>
      <w:r w:rsidR="004B3742">
        <w:rPr>
          <w:rFonts w:ascii="Arial" w:hAnsi="Arial" w:cs="Arial"/>
          <w:sz w:val="22"/>
        </w:rPr>
        <w:t xml:space="preserve">2007; Obembe </w:t>
      </w:r>
      <w:r w:rsidR="004B3742">
        <w:rPr>
          <w:rFonts w:ascii="Arial" w:hAnsi="Arial" w:cs="Arial"/>
          <w:i/>
          <w:sz w:val="22"/>
        </w:rPr>
        <w:t xml:space="preserve">et al., </w:t>
      </w:r>
      <w:r w:rsidR="004B3742">
        <w:rPr>
          <w:rFonts w:ascii="Arial" w:hAnsi="Arial" w:cs="Arial"/>
          <w:sz w:val="22"/>
        </w:rPr>
        <w:t>2024)</w:t>
      </w:r>
      <w:r w:rsidRPr="00F00FE6">
        <w:rPr>
          <w:rFonts w:ascii="Arial" w:hAnsi="Arial" w:cs="Arial"/>
          <w:sz w:val="22"/>
        </w:rPr>
        <w:t xml:space="preserve">. Recent WHO reports confirm widespread resistance in </w:t>
      </w:r>
      <w:r w:rsidRPr="00F00FE6">
        <w:rPr>
          <w:rStyle w:val="Emphasis"/>
          <w:rFonts w:ascii="Arial" w:hAnsi="Arial" w:cs="Arial"/>
          <w:sz w:val="22"/>
        </w:rPr>
        <w:t>Anopheles</w:t>
      </w:r>
      <w:r w:rsidRPr="00F00FE6">
        <w:rPr>
          <w:rFonts w:ascii="Arial" w:hAnsi="Arial" w:cs="Arial"/>
          <w:sz w:val="22"/>
        </w:rPr>
        <w:t xml:space="preserve"> mosquitoes to the four major classes of insecticides pyrethroids, organochlorines, c</w:t>
      </w:r>
      <w:r w:rsidR="004B3742">
        <w:rPr>
          <w:rFonts w:ascii="Arial" w:hAnsi="Arial" w:cs="Arial"/>
          <w:sz w:val="22"/>
        </w:rPr>
        <w:t xml:space="preserve">arbamates, and </w:t>
      </w:r>
      <w:r w:rsidR="004B3742" w:rsidRPr="004B3742">
        <w:rPr>
          <w:rFonts w:ascii="Arial" w:hAnsi="Arial" w:cs="Arial"/>
          <w:sz w:val="22"/>
        </w:rPr>
        <w:t>organophosphates</w:t>
      </w:r>
      <w:r w:rsidR="004B3742">
        <w:rPr>
          <w:rFonts w:ascii="Arial" w:hAnsi="Arial" w:cs="Arial"/>
          <w:sz w:val="22"/>
        </w:rPr>
        <w:t xml:space="preserve"> </w:t>
      </w:r>
      <w:r w:rsidRPr="004B3742">
        <w:rPr>
          <w:rFonts w:ascii="Arial" w:hAnsi="Arial" w:cs="Arial"/>
          <w:sz w:val="22"/>
        </w:rPr>
        <w:t>across</w:t>
      </w:r>
      <w:r w:rsidRPr="00F00FE6">
        <w:rPr>
          <w:rFonts w:ascii="Arial" w:hAnsi="Arial" w:cs="Arial"/>
          <w:sz w:val="22"/>
        </w:rPr>
        <w:t xml:space="preserve"> different </w:t>
      </w:r>
      <w:r w:rsidR="009F74F9" w:rsidRPr="00F00FE6">
        <w:rPr>
          <w:rFonts w:ascii="Arial" w:hAnsi="Arial" w:cs="Arial"/>
          <w:sz w:val="22"/>
        </w:rPr>
        <w:t>regions of the world</w:t>
      </w:r>
      <w:r w:rsidR="00211B56">
        <w:rPr>
          <w:rFonts w:ascii="Arial" w:hAnsi="Arial" w:cs="Arial"/>
          <w:sz w:val="22"/>
        </w:rPr>
        <w:t xml:space="preserve"> (WHO, 2019)</w:t>
      </w:r>
      <w:r w:rsidRPr="00F00FE6">
        <w:rPr>
          <w:rFonts w:ascii="Arial" w:hAnsi="Arial" w:cs="Arial"/>
          <w:sz w:val="22"/>
        </w:rPr>
        <w:t>. Consequently, there is an increasing need to explore alternative mosqu</w:t>
      </w:r>
      <w:r w:rsidR="00DB375D" w:rsidRPr="00F00FE6">
        <w:rPr>
          <w:rFonts w:ascii="Arial" w:hAnsi="Arial" w:cs="Arial"/>
          <w:sz w:val="22"/>
        </w:rPr>
        <w:t>ito control strategies</w:t>
      </w:r>
      <w:r w:rsidR="00D21E52">
        <w:rPr>
          <w:rFonts w:ascii="Arial" w:hAnsi="Arial" w:cs="Arial"/>
          <w:sz w:val="22"/>
        </w:rPr>
        <w:t xml:space="preserve"> (Markouk </w:t>
      </w:r>
      <w:r w:rsidR="00D21E52">
        <w:rPr>
          <w:rFonts w:ascii="Arial" w:hAnsi="Arial" w:cs="Arial"/>
          <w:i/>
          <w:sz w:val="22"/>
        </w:rPr>
        <w:t>et al.,</w:t>
      </w:r>
      <w:r w:rsidR="00D21E52">
        <w:rPr>
          <w:rFonts w:ascii="Arial" w:hAnsi="Arial" w:cs="Arial"/>
          <w:sz w:val="22"/>
        </w:rPr>
        <w:t xml:space="preserve"> 2000)</w:t>
      </w:r>
      <w:r w:rsidRPr="00F00FE6">
        <w:rPr>
          <w:rFonts w:ascii="Arial" w:hAnsi="Arial" w:cs="Arial"/>
          <w:sz w:val="22"/>
        </w:rPr>
        <w:t>.</w:t>
      </w:r>
    </w:p>
    <w:p w14:paraId="760363F9"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In this context, botanical insecticides, including plant extracts and essential oils with insecticidal properties, have gained recognition as promising alternatives to synthetic insecticides. These botanicals possess larvicidal, pupicidal, and adulticidal activities and have also been reported to inhibit ov</w:t>
      </w:r>
      <w:r w:rsidR="00DB375D" w:rsidRPr="00F00FE6">
        <w:rPr>
          <w:rFonts w:ascii="Arial" w:hAnsi="Arial" w:cs="Arial"/>
          <w:sz w:val="22"/>
        </w:rPr>
        <w:t>iposition in mosquitoes</w:t>
      </w:r>
      <w:r w:rsidR="00D21E52">
        <w:rPr>
          <w:rFonts w:ascii="Arial" w:hAnsi="Arial" w:cs="Arial"/>
          <w:sz w:val="22"/>
        </w:rPr>
        <w:t xml:space="preserve"> (Obembe </w:t>
      </w:r>
      <w:r w:rsidR="00D21E52">
        <w:rPr>
          <w:rFonts w:ascii="Arial" w:hAnsi="Arial" w:cs="Arial"/>
          <w:i/>
          <w:sz w:val="22"/>
        </w:rPr>
        <w:t>et al.,</w:t>
      </w:r>
      <w:r w:rsidR="00D21E52">
        <w:rPr>
          <w:rFonts w:ascii="Arial" w:hAnsi="Arial" w:cs="Arial"/>
          <w:sz w:val="22"/>
        </w:rPr>
        <w:t xml:space="preserve"> 2025)</w:t>
      </w:r>
      <w:r w:rsidRPr="00F00FE6">
        <w:rPr>
          <w:rFonts w:ascii="Arial" w:hAnsi="Arial" w:cs="Arial"/>
          <w:sz w:val="22"/>
        </w:rPr>
        <w:t xml:space="preserve"> Numerous plant species with natural mosquito-repellent properties have been identified. Notable examples include citronella oil derived from lemongrass (</w:t>
      </w:r>
      <w:r w:rsidRPr="00F00FE6">
        <w:rPr>
          <w:rStyle w:val="Emphasis"/>
          <w:rFonts w:ascii="Arial" w:hAnsi="Arial" w:cs="Arial"/>
          <w:sz w:val="22"/>
        </w:rPr>
        <w:t>Cymbopogon citratus</w:t>
      </w:r>
      <w:r w:rsidRPr="00F00FE6">
        <w:rPr>
          <w:rFonts w:ascii="Arial" w:hAnsi="Arial" w:cs="Arial"/>
          <w:sz w:val="22"/>
        </w:rPr>
        <w:t>) and azadirachtin obtained from the neem plant (</w:t>
      </w:r>
      <w:r w:rsidRPr="00F00FE6">
        <w:rPr>
          <w:rStyle w:val="Emphasis"/>
          <w:rFonts w:ascii="Arial" w:hAnsi="Arial" w:cs="Arial"/>
          <w:sz w:val="22"/>
        </w:rPr>
        <w:t>Azadirachta indica</w:t>
      </w:r>
      <w:r w:rsidR="00DB375D" w:rsidRPr="00F00FE6">
        <w:rPr>
          <w:rFonts w:ascii="Arial" w:hAnsi="Arial" w:cs="Arial"/>
          <w:sz w:val="22"/>
        </w:rPr>
        <w:t xml:space="preserve">). </w:t>
      </w:r>
      <w:r w:rsidR="00D21E52">
        <w:rPr>
          <w:rFonts w:ascii="Arial" w:hAnsi="Arial" w:cs="Arial"/>
          <w:sz w:val="22"/>
        </w:rPr>
        <w:t>(</w:t>
      </w:r>
      <w:r w:rsidR="00D21E52" w:rsidRPr="00F00FE6">
        <w:rPr>
          <w:rFonts w:ascii="Arial" w:hAnsi="Arial" w:cs="Arial"/>
          <w:sz w:val="20"/>
          <w:szCs w:val="20"/>
        </w:rPr>
        <w:t>Trongtokit</w:t>
      </w:r>
      <w:r w:rsidR="00D21E52">
        <w:rPr>
          <w:rFonts w:ascii="Arial" w:hAnsi="Arial" w:cs="Arial"/>
          <w:sz w:val="20"/>
          <w:szCs w:val="20"/>
        </w:rPr>
        <w:t xml:space="preserve"> </w:t>
      </w:r>
      <w:r w:rsidR="00D21E52">
        <w:rPr>
          <w:rFonts w:ascii="Arial" w:hAnsi="Arial" w:cs="Arial"/>
          <w:i/>
          <w:sz w:val="20"/>
          <w:szCs w:val="20"/>
        </w:rPr>
        <w:t>et al.,</w:t>
      </w:r>
      <w:r w:rsidR="00D21E52">
        <w:rPr>
          <w:rFonts w:ascii="Arial" w:hAnsi="Arial" w:cs="Arial"/>
          <w:sz w:val="20"/>
          <w:szCs w:val="20"/>
        </w:rPr>
        <w:t xml:space="preserve"> 2005)</w:t>
      </w:r>
      <w:r w:rsidRPr="00F00FE6">
        <w:rPr>
          <w:rFonts w:ascii="Arial" w:hAnsi="Arial" w:cs="Arial"/>
          <w:sz w:val="22"/>
        </w:rPr>
        <w:t xml:space="preserve"> demonstrated strong repellent activity of citronella oil against </w:t>
      </w:r>
      <w:r w:rsidRPr="00F00FE6">
        <w:rPr>
          <w:rStyle w:val="Emphasis"/>
          <w:rFonts w:ascii="Arial" w:hAnsi="Arial" w:cs="Arial"/>
          <w:sz w:val="22"/>
        </w:rPr>
        <w:t>Aedes aegypti</w:t>
      </w:r>
      <w:r w:rsidRPr="00F00FE6">
        <w:rPr>
          <w:rFonts w:ascii="Arial" w:hAnsi="Arial" w:cs="Arial"/>
          <w:sz w:val="22"/>
        </w:rPr>
        <w:t>, the vector of dengue fever. Other plant extracts with proven mosquito-</w:t>
      </w:r>
      <w:r w:rsidRPr="00F00FE6">
        <w:rPr>
          <w:rFonts w:ascii="Arial" w:hAnsi="Arial" w:cs="Arial"/>
          <w:sz w:val="22"/>
        </w:rPr>
        <w:lastRenderedPageBreak/>
        <w:t xml:space="preserve">repellent properties include eucalyptus and lavender. Beyond repellency, certain plant-derived compounds exhibit potent insecticidal effects, leading to mosquito mortality. Pyrethrum, extracted from chrysanthemum flowers and rich in pyrethrins, is a well-known natural insecticide that targets the mosquito nervous system, causing paralysis and death. Its effectiveness against </w:t>
      </w:r>
      <w:r w:rsidRPr="00F00FE6">
        <w:rPr>
          <w:rStyle w:val="Emphasis"/>
          <w:rFonts w:ascii="Arial" w:hAnsi="Arial" w:cs="Arial"/>
          <w:sz w:val="22"/>
        </w:rPr>
        <w:t>Aedes</w:t>
      </w:r>
      <w:r w:rsidRPr="00F00FE6">
        <w:rPr>
          <w:rFonts w:ascii="Arial" w:hAnsi="Arial" w:cs="Arial"/>
          <w:sz w:val="22"/>
        </w:rPr>
        <w:t xml:space="preserve"> mosquitoes and its potential as an eco-friendly alternative to synthetic insecticides have </w:t>
      </w:r>
      <w:r w:rsidR="00DB375D" w:rsidRPr="00F00FE6">
        <w:rPr>
          <w:rFonts w:ascii="Arial" w:hAnsi="Arial" w:cs="Arial"/>
          <w:sz w:val="22"/>
        </w:rPr>
        <w:t>been demonstrated</w:t>
      </w:r>
      <w:r w:rsidR="00D21E52">
        <w:rPr>
          <w:rFonts w:ascii="Arial" w:hAnsi="Arial" w:cs="Arial"/>
          <w:sz w:val="22"/>
        </w:rPr>
        <w:t xml:space="preserve"> (</w:t>
      </w:r>
      <w:r w:rsidR="00D21E52" w:rsidRPr="00F00FE6">
        <w:rPr>
          <w:rFonts w:ascii="Arial" w:hAnsi="Arial" w:cs="Arial"/>
          <w:color w:val="000000"/>
          <w:sz w:val="20"/>
          <w:szCs w:val="20"/>
        </w:rPr>
        <w:t>Govindarajan</w:t>
      </w:r>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2"/>
        </w:rPr>
        <w:t>.</w:t>
      </w:r>
    </w:p>
    <w:p w14:paraId="7B1F3F0A"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Botanical insecticides are considered environmentally sustainable due to their biodegradability and rapid breakdown in the environment, thereby reducing soil, water, and air pollution compared with synthetic chemical insecticides. They also pose lower risks to humans and livestock because of their relatively low mammalian toxicity when used appropriately, making them safer for farmers, consumers, and animals, particularly in smallholder farming systems where access to protective equipment may be limited. Additionally, botanical insecticides reduce the likelihood of pest resistance owing to the presence of multiple bioactive compounds with diverse modes of action. Their local availability and cost-effectiveness further enhance their suitability for integrated vec</w:t>
      </w:r>
      <w:r w:rsidR="00DB375D" w:rsidRPr="00F00FE6">
        <w:rPr>
          <w:rFonts w:ascii="Arial" w:hAnsi="Arial" w:cs="Arial"/>
          <w:sz w:val="22"/>
        </w:rPr>
        <w:t>tor management programs</w:t>
      </w:r>
      <w:r w:rsidR="00D21E52">
        <w:rPr>
          <w:rFonts w:ascii="Arial" w:hAnsi="Arial" w:cs="Arial"/>
          <w:sz w:val="22"/>
        </w:rPr>
        <w:t xml:space="preserve">(Shaalan </w:t>
      </w:r>
      <w:r w:rsidR="00D21E52">
        <w:rPr>
          <w:rFonts w:ascii="Arial" w:hAnsi="Arial" w:cs="Arial"/>
          <w:i/>
          <w:sz w:val="22"/>
        </w:rPr>
        <w:t>et al.,</w:t>
      </w:r>
      <w:r w:rsidR="00D21E52">
        <w:rPr>
          <w:rFonts w:ascii="Arial" w:hAnsi="Arial" w:cs="Arial"/>
          <w:sz w:val="22"/>
        </w:rPr>
        <w:t xml:space="preserve"> 2005; Isman, 2006; Pavela, 2016; Obembe </w:t>
      </w:r>
      <w:r w:rsidR="00D21E52">
        <w:rPr>
          <w:rFonts w:ascii="Arial" w:hAnsi="Arial" w:cs="Arial"/>
          <w:i/>
          <w:sz w:val="22"/>
        </w:rPr>
        <w:t xml:space="preserve">et al., </w:t>
      </w:r>
      <w:r w:rsidR="00D21E52" w:rsidRPr="00D21E52">
        <w:rPr>
          <w:rFonts w:ascii="Arial" w:hAnsi="Arial" w:cs="Arial"/>
          <w:sz w:val="22"/>
        </w:rPr>
        <w:t>2025)</w:t>
      </w:r>
      <w:r w:rsidRPr="00F00FE6">
        <w:rPr>
          <w:rFonts w:ascii="Arial" w:hAnsi="Arial" w:cs="Arial"/>
          <w:sz w:val="22"/>
        </w:rPr>
        <w:t>.</w:t>
      </w:r>
    </w:p>
    <w:p w14:paraId="78C25EF0"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The present study therefore aimed to evaluate the insecticidal effects of </w:t>
      </w:r>
      <w:r w:rsidRPr="00F00FE6">
        <w:rPr>
          <w:rStyle w:val="Emphasis"/>
          <w:rFonts w:ascii="Arial" w:hAnsi="Arial" w:cs="Arial"/>
          <w:sz w:val="22"/>
        </w:rPr>
        <w:t>Moringa oleifera</w:t>
      </w:r>
      <w:r w:rsidRPr="00F00FE6">
        <w:rPr>
          <w:rFonts w:ascii="Arial" w:hAnsi="Arial" w:cs="Arial"/>
          <w:sz w:val="22"/>
        </w:rPr>
        <w:t xml:space="preserve">, </w:t>
      </w:r>
      <w:r w:rsidRPr="00F00FE6">
        <w:rPr>
          <w:rStyle w:val="Emphasis"/>
          <w:rFonts w:ascii="Arial" w:hAnsi="Arial" w:cs="Arial"/>
          <w:sz w:val="22"/>
        </w:rPr>
        <w:t>Eucalyptus citriodora</w:t>
      </w:r>
      <w:r w:rsidRPr="00F00FE6">
        <w:rPr>
          <w:rFonts w:ascii="Arial" w:hAnsi="Arial" w:cs="Arial"/>
          <w:sz w:val="22"/>
        </w:rPr>
        <w:t xml:space="preserve">, </w:t>
      </w:r>
      <w:r w:rsidRPr="00F00FE6">
        <w:rPr>
          <w:rStyle w:val="Emphasis"/>
          <w:rFonts w:ascii="Arial" w:hAnsi="Arial" w:cs="Arial"/>
          <w:sz w:val="22"/>
        </w:rPr>
        <w:t>Mentha piperita</w:t>
      </w:r>
      <w:r w:rsidRPr="00F00FE6">
        <w:rPr>
          <w:rFonts w:ascii="Arial" w:hAnsi="Arial" w:cs="Arial"/>
          <w:sz w:val="22"/>
        </w:rPr>
        <w:t xml:space="preserve">, </w:t>
      </w:r>
      <w:r w:rsidRPr="00F00FE6">
        <w:rPr>
          <w:rStyle w:val="Emphasis"/>
          <w:rFonts w:ascii="Arial" w:hAnsi="Arial" w:cs="Arial"/>
          <w:sz w:val="22"/>
        </w:rPr>
        <w:t>Azadirachta indica</w:t>
      </w:r>
      <w:r w:rsidRPr="00F00FE6">
        <w:rPr>
          <w:rFonts w:ascii="Arial" w:hAnsi="Arial" w:cs="Arial"/>
          <w:sz w:val="22"/>
        </w:rPr>
        <w:t xml:space="preserve">, and </w:t>
      </w:r>
      <w:r w:rsidRPr="00F00FE6">
        <w:rPr>
          <w:rStyle w:val="Emphasis"/>
          <w:rFonts w:ascii="Arial" w:hAnsi="Arial" w:cs="Arial"/>
          <w:sz w:val="22"/>
        </w:rPr>
        <w:t>Andrographis paniculata</w:t>
      </w:r>
      <w:r w:rsidRPr="00F00FE6">
        <w:rPr>
          <w:rFonts w:ascii="Arial" w:hAnsi="Arial" w:cs="Arial"/>
          <w:sz w:val="22"/>
        </w:rPr>
        <w:t xml:space="preserve"> against the malaria vector </w:t>
      </w:r>
      <w:r w:rsidRPr="00F00FE6">
        <w:rPr>
          <w:rStyle w:val="Emphasis"/>
          <w:rFonts w:ascii="Arial" w:hAnsi="Arial" w:cs="Arial"/>
          <w:sz w:val="22"/>
        </w:rPr>
        <w:t>Anopheles gambiae</w:t>
      </w:r>
      <w:r w:rsidRPr="00F00FE6">
        <w:rPr>
          <w:rFonts w:ascii="Arial" w:hAnsi="Arial" w:cs="Arial"/>
          <w:sz w:val="22"/>
        </w:rPr>
        <w:t>.</w:t>
      </w:r>
    </w:p>
    <w:p w14:paraId="53C10437" w14:textId="77777777" w:rsidR="00D301B2" w:rsidRPr="008853D9" w:rsidRDefault="00072F71" w:rsidP="00144781">
      <w:pPr>
        <w:autoSpaceDE w:val="0"/>
        <w:autoSpaceDN w:val="0"/>
        <w:adjustRightInd w:val="0"/>
        <w:spacing w:after="0" w:line="480" w:lineRule="auto"/>
        <w:rPr>
          <w:rFonts w:ascii="Arial" w:eastAsia="Times New Roman" w:hAnsi="Arial" w:cs="Arial"/>
          <w:bCs/>
          <w:sz w:val="24"/>
          <w:szCs w:val="24"/>
        </w:rPr>
      </w:pPr>
      <w:r w:rsidRPr="008853D9">
        <w:rPr>
          <w:rFonts w:ascii="Arial" w:eastAsia="Times New Roman" w:hAnsi="Arial" w:cs="Arial"/>
          <w:bCs/>
          <w:sz w:val="24"/>
          <w:szCs w:val="24"/>
        </w:rPr>
        <w:t xml:space="preserve"> </w:t>
      </w:r>
    </w:p>
    <w:p w14:paraId="2ECB8288" w14:textId="77777777" w:rsidR="00072F71" w:rsidRPr="00F00FE6" w:rsidRDefault="00052F9C" w:rsidP="00144781">
      <w:pPr>
        <w:autoSpaceDE w:val="0"/>
        <w:autoSpaceDN w:val="0"/>
        <w:adjustRightInd w:val="0"/>
        <w:spacing w:after="0" w:line="480" w:lineRule="auto"/>
        <w:rPr>
          <w:rFonts w:ascii="Arial" w:eastAsia="Times New Roman" w:hAnsi="Arial" w:cs="Arial"/>
          <w:b/>
          <w:bCs/>
          <w:szCs w:val="24"/>
        </w:rPr>
      </w:pPr>
      <w:r w:rsidRPr="00F00FE6">
        <w:rPr>
          <w:rFonts w:ascii="Arial" w:eastAsia="Times New Roman" w:hAnsi="Arial" w:cs="Arial"/>
          <w:b/>
          <w:bCs/>
          <w:szCs w:val="24"/>
        </w:rPr>
        <w:t>MATERIALS AND METHODS</w:t>
      </w:r>
    </w:p>
    <w:p w14:paraId="505B58FF" w14:textId="77777777" w:rsidR="00052F9C" w:rsidRPr="00F00FE6" w:rsidRDefault="00052F9C" w:rsidP="00144781">
      <w:pPr>
        <w:pStyle w:val="Heading3"/>
        <w:spacing w:line="480" w:lineRule="auto"/>
        <w:rPr>
          <w:rFonts w:ascii="Arial" w:hAnsi="Arial" w:cs="Arial"/>
          <w:color w:val="auto"/>
          <w:szCs w:val="24"/>
        </w:rPr>
      </w:pPr>
      <w:r w:rsidRPr="00F00FE6">
        <w:rPr>
          <w:rFonts w:ascii="Arial" w:hAnsi="Arial" w:cs="Arial"/>
          <w:color w:val="auto"/>
          <w:szCs w:val="24"/>
        </w:rPr>
        <w:lastRenderedPageBreak/>
        <w:t>Collection and Authentication of Plant Materials</w:t>
      </w:r>
    </w:p>
    <w:p w14:paraId="5B72145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Mature and fully developed fresh leaves of </w:t>
      </w:r>
      <w:r w:rsidRPr="00F00FE6">
        <w:rPr>
          <w:rStyle w:val="Emphasis"/>
          <w:rFonts w:ascii="Arial" w:hAnsi="Arial" w:cs="Arial"/>
          <w:sz w:val="20"/>
        </w:rPr>
        <w:t>Moringa oleifera</w:t>
      </w:r>
      <w:r w:rsidRPr="00F00FE6">
        <w:rPr>
          <w:rFonts w:ascii="Arial" w:hAnsi="Arial" w:cs="Arial"/>
          <w:sz w:val="20"/>
        </w:rPr>
        <w:t xml:space="preserve">, </w:t>
      </w:r>
      <w:r w:rsidRPr="00F00FE6">
        <w:rPr>
          <w:rStyle w:val="Emphasis"/>
          <w:rFonts w:ascii="Arial" w:hAnsi="Arial" w:cs="Arial"/>
          <w:sz w:val="20"/>
        </w:rPr>
        <w:t>Eucalyptus citriodora</w:t>
      </w:r>
      <w:r w:rsidRPr="00F00FE6">
        <w:rPr>
          <w:rFonts w:ascii="Arial" w:hAnsi="Arial" w:cs="Arial"/>
          <w:sz w:val="20"/>
        </w:rPr>
        <w:t xml:space="preserve">, </w:t>
      </w:r>
      <w:r w:rsidRPr="00F00FE6">
        <w:rPr>
          <w:rStyle w:val="Emphasis"/>
          <w:rFonts w:ascii="Arial" w:hAnsi="Arial" w:cs="Arial"/>
          <w:sz w:val="20"/>
        </w:rPr>
        <w:t>Mentha piperita</w:t>
      </w:r>
      <w:r w:rsidRPr="00F00FE6">
        <w:rPr>
          <w:rFonts w:ascii="Arial" w:hAnsi="Arial" w:cs="Arial"/>
          <w:sz w:val="20"/>
        </w:rPr>
        <w:t xml:space="preserve">, </w:t>
      </w:r>
      <w:r w:rsidRPr="00F00FE6">
        <w:rPr>
          <w:rStyle w:val="Emphasis"/>
          <w:rFonts w:ascii="Arial" w:hAnsi="Arial" w:cs="Arial"/>
          <w:sz w:val="20"/>
        </w:rPr>
        <w:t>Azadirachta indica</w:t>
      </w:r>
      <w:r w:rsidRPr="00F00FE6">
        <w:rPr>
          <w:rFonts w:ascii="Arial" w:hAnsi="Arial" w:cs="Arial"/>
          <w:sz w:val="20"/>
        </w:rPr>
        <w:t xml:space="preserve">, and </w:t>
      </w:r>
      <w:r w:rsidRPr="00F00FE6">
        <w:rPr>
          <w:rStyle w:val="Emphasis"/>
          <w:rFonts w:ascii="Arial" w:hAnsi="Arial" w:cs="Arial"/>
          <w:sz w:val="20"/>
        </w:rPr>
        <w:t>Andrographis paniculata</w:t>
      </w:r>
      <w:r w:rsidRPr="00F00FE6">
        <w:rPr>
          <w:rFonts w:ascii="Arial" w:hAnsi="Arial" w:cs="Arial"/>
          <w:sz w:val="20"/>
        </w:rPr>
        <w:t xml:space="preserve"> were collected from the campus of Ekiti State University, Ado-Ekiti, Nigeria. The plant materials were authenticated by the Herbarium Curator in the Department of Plant Science and Biotechnology, Ekiti State University, Ado-Ekiti, Nigeria.</w:t>
      </w:r>
    </w:p>
    <w:p w14:paraId="42822D8F"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Preparation of Plant Extracts</w:t>
      </w:r>
    </w:p>
    <w:p w14:paraId="171AA16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The collected leaves were thoroughly washed with tap water and air-dried separately under laboratory conditions in the Department of Plant Science and Biotechnology, Ekiti State University, Ado-Ekiti, for a period of two weeks. The dried leaves were manually ground using a pestle and mortar, after which the powdered samples were sieved through a 1 mm² mesh to obtain fine powders. The powders were stored in labeled, airtight plastic containers at room temperature until use.</w:t>
      </w:r>
    </w:p>
    <w:p w14:paraId="73AE360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hundred grams (100 g) of each powdered plant sample (</w:t>
      </w:r>
      <w:r w:rsidRPr="00F00FE6">
        <w:rPr>
          <w:rStyle w:val="Emphasis"/>
          <w:rFonts w:ascii="Arial" w:hAnsi="Arial" w:cs="Arial"/>
          <w:sz w:val="20"/>
        </w:rPr>
        <w:t>M. oleifera</w:t>
      </w:r>
      <w:r w:rsidRPr="00F00FE6">
        <w:rPr>
          <w:rFonts w:ascii="Arial" w:hAnsi="Arial" w:cs="Arial"/>
          <w:sz w:val="20"/>
        </w:rPr>
        <w:t xml:space="preserve">, </w:t>
      </w:r>
      <w:r w:rsidRPr="00F00FE6">
        <w:rPr>
          <w:rStyle w:val="Emphasis"/>
          <w:rFonts w:ascii="Arial" w:hAnsi="Arial" w:cs="Arial"/>
          <w:sz w:val="20"/>
        </w:rPr>
        <w:t>E. citriodora</w:t>
      </w:r>
      <w:r w:rsidRPr="00F00FE6">
        <w:rPr>
          <w:rFonts w:ascii="Arial" w:hAnsi="Arial" w:cs="Arial"/>
          <w:sz w:val="20"/>
        </w:rPr>
        <w:t xml:space="preserve">, </w:t>
      </w:r>
      <w:r w:rsidRPr="00F00FE6">
        <w:rPr>
          <w:rStyle w:val="Emphasis"/>
          <w:rFonts w:ascii="Arial" w:hAnsi="Arial" w:cs="Arial"/>
          <w:sz w:val="20"/>
        </w:rPr>
        <w:t>M. piperita</w:t>
      </w:r>
      <w:r w:rsidRPr="00F00FE6">
        <w:rPr>
          <w:rFonts w:ascii="Arial" w:hAnsi="Arial" w:cs="Arial"/>
          <w:sz w:val="20"/>
        </w:rPr>
        <w:t xml:space="preserve">, </w:t>
      </w:r>
      <w:r w:rsidRPr="00F00FE6">
        <w:rPr>
          <w:rStyle w:val="Emphasis"/>
          <w:rFonts w:ascii="Arial" w:hAnsi="Arial" w:cs="Arial"/>
          <w:sz w:val="20"/>
        </w:rPr>
        <w:t>A. indica</w:t>
      </w:r>
      <w:r w:rsidRPr="00F00FE6">
        <w:rPr>
          <w:rFonts w:ascii="Arial" w:hAnsi="Arial" w:cs="Arial"/>
          <w:sz w:val="20"/>
        </w:rPr>
        <w:t xml:space="preserve">, and </w:t>
      </w:r>
      <w:r w:rsidRPr="00F00FE6">
        <w:rPr>
          <w:rStyle w:val="Emphasis"/>
          <w:rFonts w:ascii="Arial" w:hAnsi="Arial" w:cs="Arial"/>
          <w:sz w:val="20"/>
        </w:rPr>
        <w:t>A. paniculata</w:t>
      </w:r>
      <w:r w:rsidRPr="00F00FE6">
        <w:rPr>
          <w:rFonts w:ascii="Arial" w:hAnsi="Arial" w:cs="Arial"/>
          <w:sz w:val="20"/>
        </w:rPr>
        <w:t>) were placed in a thimble and extracted separately using absolute ethanol at 60 °C in a Soxhlet extractor. The resulting extracts were concentrated using a rotary evaporator and subsequently air-dried to remove residual solvent. The same extraction procedure was followed using methanol, n-hexane, and acetone. All extracts were collected separately in specimen bottles and stored in a refrigerator at 4 °C until required for bioassay experiments.</w:t>
      </w:r>
    </w:p>
    <w:p w14:paraId="7D5B3C99" w14:textId="77777777" w:rsidR="00052F9C" w:rsidRPr="00F00FE6" w:rsidRDefault="00052F9C" w:rsidP="00144781">
      <w:pPr>
        <w:pStyle w:val="NormalWeb"/>
        <w:spacing w:line="480" w:lineRule="auto"/>
        <w:jc w:val="both"/>
        <w:rPr>
          <w:rFonts w:ascii="Arial" w:hAnsi="Arial" w:cs="Arial"/>
          <w:b/>
          <w:sz w:val="22"/>
        </w:rPr>
      </w:pPr>
      <w:r w:rsidRPr="00F00FE6">
        <w:rPr>
          <w:rFonts w:ascii="Arial" w:hAnsi="Arial" w:cs="Arial"/>
          <w:b/>
          <w:sz w:val="22"/>
        </w:rPr>
        <w:t>Preparation of Stock Solutions</w:t>
      </w:r>
    </w:p>
    <w:p w14:paraId="3030B13E"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gram (1 g) of each crude plant extract was dissolved separately in 100 mL of the corresponding solvent (ethanol, methanol, n-hexane, or acetone) in a 250 mL Wheaton glass bottle to obtain a 1% stock solution. From this stock solution, working concentrations of 100, 150, 200, 250, and 300 ppm were prepared for larval and adult mosquito bioassays.</w:t>
      </w:r>
    </w:p>
    <w:p w14:paraId="570C7482"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lastRenderedPageBreak/>
        <w:t>Collection and Rearing of Mosquito Larvae</w:t>
      </w:r>
    </w:p>
    <w:p w14:paraId="13DE890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Mosquito larvae were collected and reared follo</w:t>
      </w:r>
      <w:r w:rsidR="00DB375D" w:rsidRPr="00F00FE6">
        <w:rPr>
          <w:rFonts w:ascii="Arial" w:hAnsi="Arial" w:cs="Arial"/>
          <w:sz w:val="20"/>
        </w:rPr>
        <w:t>wing the procedure described by</w:t>
      </w:r>
      <w:r w:rsidR="00D21E52">
        <w:rPr>
          <w:rFonts w:ascii="Arial" w:hAnsi="Arial" w:cs="Arial"/>
          <w:sz w:val="20"/>
        </w:rPr>
        <w:t xml:space="preserve"> (Obembe </w:t>
      </w:r>
      <w:r w:rsidR="00D21E52">
        <w:rPr>
          <w:rFonts w:ascii="Arial" w:hAnsi="Arial" w:cs="Arial"/>
          <w:i/>
          <w:sz w:val="20"/>
        </w:rPr>
        <w:t xml:space="preserve">et al., </w:t>
      </w:r>
      <w:r w:rsidR="00D21E52">
        <w:rPr>
          <w:rFonts w:ascii="Arial" w:hAnsi="Arial" w:cs="Arial"/>
          <w:sz w:val="20"/>
        </w:rPr>
        <w:t>2025)</w:t>
      </w:r>
      <w:r w:rsidR="00DB375D" w:rsidRPr="00F00FE6">
        <w:rPr>
          <w:rFonts w:ascii="Arial" w:hAnsi="Arial" w:cs="Arial"/>
          <w:sz w:val="20"/>
          <w:vertAlign w:val="superscript"/>
        </w:rPr>
        <w:t xml:space="preserve">. </w:t>
      </w:r>
      <w:r w:rsidRPr="00F00FE6">
        <w:rPr>
          <w:rFonts w:ascii="Arial" w:hAnsi="Arial" w:cs="Arial"/>
          <w:sz w:val="20"/>
        </w:rPr>
        <w:t>Two black plastic water baths (200 L capacity) with large surface areas were filled with rainwater to simulate natural mosquito breeding conditions. Fifty grams (50 g) of yeast were dissolved in the water to serve as food for the developing larvae. The yeast-enriched water also functioned as bait to attract adult mosquitoes for oviposition.</w:t>
      </w:r>
    </w:p>
    <w:p w14:paraId="5B3B974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The containers were left outdoors to allow adult mosquitoes to lay eggs, which later developed into larvae. Subsequently, the containers were transferred to the laboratory and maintained under standard rearing conditions of 12:12 h light and dark photoperi</w:t>
      </w:r>
      <w:r w:rsidR="00150BCC" w:rsidRPr="00F00FE6">
        <w:rPr>
          <w:rFonts w:ascii="Arial" w:hAnsi="Arial" w:cs="Arial"/>
          <w:sz w:val="20"/>
        </w:rPr>
        <w:t>ods, in accordance with</w:t>
      </w:r>
      <w:r w:rsidR="00D21E52">
        <w:rPr>
          <w:rFonts w:ascii="Arial" w:hAnsi="Arial" w:cs="Arial"/>
          <w:sz w:val="20"/>
        </w:rPr>
        <w:t xml:space="preserve"> (WHO, 2015)</w:t>
      </w:r>
      <w:r w:rsidRPr="00F00FE6">
        <w:rPr>
          <w:rFonts w:ascii="Arial" w:hAnsi="Arial" w:cs="Arial"/>
          <w:sz w:val="20"/>
        </w:rPr>
        <w:t xml:space="preserve"> guidelines. Third instar larvae were distinguished from pupae by the absence of a respiratory siphon and the presence of spiracles on the eighth abdominal segment. Additionally, larvae were elongated in shape, whereas pupae exhibited a swollen anterior region. One of the water baths was placed in a large netted cage to prevent the escape of emerging adult mosquitoes. Larvae were considered dead when they failed to surface for gaseous exchange.</w:t>
      </w:r>
    </w:p>
    <w:p w14:paraId="182842EF" w14:textId="77777777" w:rsidR="00052F9C" w:rsidRPr="00F00FE6" w:rsidRDefault="00052F9C" w:rsidP="00144781">
      <w:pPr>
        <w:spacing w:line="480" w:lineRule="auto"/>
        <w:jc w:val="both"/>
        <w:rPr>
          <w:rFonts w:ascii="Arial" w:hAnsi="Arial" w:cs="Arial"/>
          <w:sz w:val="20"/>
          <w:szCs w:val="24"/>
        </w:rPr>
      </w:pPr>
    </w:p>
    <w:p w14:paraId="5B9C9C1F"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Larvicidal Bioassay</w:t>
      </w:r>
    </w:p>
    <w:p w14:paraId="221E2E2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Larvicidal activity of ethanol, methanol, n-hexane, and acetone crude leaf extracts of the test plants was evaluated at concentrations of 25, 50, 100, 150, 200, 250, and 300 ppm. Twenty (20) third instar larvae were introduced into a 250 mL beaker containing 99 mL of distilled water, after which 1 mL of the desired extract concentration was added. A control setup containing 100 mL of distilled water without extract was also prepared.</w:t>
      </w:r>
    </w:p>
    <w:p w14:paraId="7ADE30D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The bioassay was conducted for 24 hours under laboratory conditions of 28 ± 5 °C temperature, 75 ± 15% relative humidity, and a 12:12 h light and dark photoperiod. Larvae were not fed during the exposure period. Each treatment was replicated three times on different days. Mortality was recorded after 24 </w:t>
      </w:r>
      <w:r w:rsidRPr="00F00FE6">
        <w:rPr>
          <w:rFonts w:ascii="Arial" w:hAnsi="Arial" w:cs="Arial"/>
          <w:sz w:val="20"/>
        </w:rPr>
        <w:lastRenderedPageBreak/>
        <w:t>hours, and percentage mortality was calculated. Larvae were considered dead if they did not rise to the water surface for respiration.</w:t>
      </w:r>
    </w:p>
    <w:p w14:paraId="39038BCE"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Adulticidal Bioassay</w:t>
      </w:r>
    </w:p>
    <w:p w14:paraId="58173B92"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Adulticidal activity was assessed following the method des</w:t>
      </w:r>
      <w:r w:rsidR="00150BCC" w:rsidRPr="00F00FE6">
        <w:rPr>
          <w:rFonts w:ascii="Arial" w:hAnsi="Arial" w:cs="Arial"/>
          <w:sz w:val="20"/>
        </w:rPr>
        <w:t>cribed by</w:t>
      </w:r>
      <w:r w:rsidR="00D21E52">
        <w:rPr>
          <w:rFonts w:ascii="Arial" w:hAnsi="Arial" w:cs="Arial"/>
          <w:sz w:val="20"/>
          <w:vertAlign w:val="superscript"/>
        </w:rPr>
        <w:t xml:space="preserve"> </w:t>
      </w:r>
      <w:r w:rsidR="00D21E52">
        <w:rPr>
          <w:rFonts w:ascii="Arial" w:hAnsi="Arial" w:cs="Arial"/>
          <w:sz w:val="20"/>
        </w:rPr>
        <w:t>(Maia and Moore 2011)</w:t>
      </w:r>
      <w:r w:rsidRPr="00F00FE6">
        <w:rPr>
          <w:rFonts w:ascii="Arial" w:hAnsi="Arial" w:cs="Arial"/>
          <w:sz w:val="20"/>
        </w:rPr>
        <w:t xml:space="preserve">. Ethanol, methanol, n-hexane, and acetone crude leaf extracts of </w:t>
      </w:r>
      <w:r w:rsidRPr="00F00FE6">
        <w:rPr>
          <w:rStyle w:val="Emphasis"/>
          <w:rFonts w:ascii="Arial" w:hAnsi="Arial" w:cs="Arial"/>
          <w:sz w:val="20"/>
        </w:rPr>
        <w:t>M. oleifera</w:t>
      </w:r>
      <w:r w:rsidRPr="00F00FE6">
        <w:rPr>
          <w:rFonts w:ascii="Arial" w:hAnsi="Arial" w:cs="Arial"/>
          <w:sz w:val="20"/>
        </w:rPr>
        <w:t xml:space="preserve">, </w:t>
      </w:r>
      <w:r w:rsidRPr="00F00FE6">
        <w:rPr>
          <w:rStyle w:val="Emphasis"/>
          <w:rFonts w:ascii="Arial" w:hAnsi="Arial" w:cs="Arial"/>
          <w:sz w:val="20"/>
        </w:rPr>
        <w:t>E. citriodora</w:t>
      </w:r>
      <w:r w:rsidRPr="00F00FE6">
        <w:rPr>
          <w:rFonts w:ascii="Arial" w:hAnsi="Arial" w:cs="Arial"/>
          <w:sz w:val="20"/>
        </w:rPr>
        <w:t xml:space="preserve">, </w:t>
      </w:r>
      <w:r w:rsidRPr="00F00FE6">
        <w:rPr>
          <w:rStyle w:val="Emphasis"/>
          <w:rFonts w:ascii="Arial" w:hAnsi="Arial" w:cs="Arial"/>
          <w:sz w:val="20"/>
        </w:rPr>
        <w:t>M. piperita</w:t>
      </w:r>
      <w:r w:rsidRPr="00F00FE6">
        <w:rPr>
          <w:rFonts w:ascii="Arial" w:hAnsi="Arial" w:cs="Arial"/>
          <w:sz w:val="20"/>
        </w:rPr>
        <w:t xml:space="preserve">, </w:t>
      </w:r>
      <w:r w:rsidRPr="00F00FE6">
        <w:rPr>
          <w:rStyle w:val="Emphasis"/>
          <w:rFonts w:ascii="Arial" w:hAnsi="Arial" w:cs="Arial"/>
          <w:sz w:val="20"/>
        </w:rPr>
        <w:t>A. indica</w:t>
      </w:r>
      <w:r w:rsidRPr="00F00FE6">
        <w:rPr>
          <w:rFonts w:ascii="Arial" w:hAnsi="Arial" w:cs="Arial"/>
          <w:sz w:val="20"/>
        </w:rPr>
        <w:t xml:space="preserve">, and </w:t>
      </w:r>
      <w:r w:rsidRPr="00F00FE6">
        <w:rPr>
          <w:rStyle w:val="Emphasis"/>
          <w:rFonts w:ascii="Arial" w:hAnsi="Arial" w:cs="Arial"/>
          <w:sz w:val="20"/>
        </w:rPr>
        <w:t>A. paniculata</w:t>
      </w:r>
      <w:r w:rsidRPr="00F00FE6">
        <w:rPr>
          <w:rFonts w:ascii="Arial" w:hAnsi="Arial" w:cs="Arial"/>
          <w:sz w:val="20"/>
        </w:rPr>
        <w:t xml:space="preserve"> were tested at concentrations of 100, 150, 200, 250, and 300 ppm.</w:t>
      </w:r>
    </w:p>
    <w:p w14:paraId="0E5532C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Clean, dry 250 mL Wheaton bottles with screw caps were coated internally with 1 mL of the desired extract concentration and allowed to air-dry. Uncoated bottles served as controls. Adult mosquitoes previously fed with yeast solution were introduced into the bottles using a mouth aspirator, and the bottles were sealed to prevent escape.</w:t>
      </w:r>
      <w:r w:rsidR="002368DD" w:rsidRPr="00F00FE6">
        <w:rPr>
          <w:rFonts w:ascii="Arial" w:hAnsi="Arial" w:cs="Arial"/>
          <w:sz w:val="20"/>
        </w:rPr>
        <w:t xml:space="preserve"> Mosquitoes were exposed to the </w:t>
      </w:r>
      <w:r w:rsidRPr="00F00FE6">
        <w:rPr>
          <w:rFonts w:ascii="Arial" w:hAnsi="Arial" w:cs="Arial"/>
          <w:sz w:val="20"/>
        </w:rPr>
        <w:t>treatments for 24 hours under laboratory conditions of 28 ± 5 °C, 75 ± 15% relative humidity, and a 12:12 h light and dark photoperiod.</w:t>
      </w:r>
    </w:p>
    <w:p w14:paraId="758A7F04" w14:textId="77777777" w:rsidR="00052F9C" w:rsidRPr="00F00FE6" w:rsidRDefault="00052F9C" w:rsidP="00144781">
      <w:pPr>
        <w:pStyle w:val="NormalWeb"/>
        <w:spacing w:line="480" w:lineRule="auto"/>
        <w:jc w:val="both"/>
        <w:rPr>
          <w:rFonts w:ascii="Arial" w:hAnsi="Arial" w:cs="Arial"/>
          <w:sz w:val="22"/>
        </w:rPr>
      </w:pPr>
      <w:r w:rsidRPr="00F00FE6">
        <w:rPr>
          <w:rFonts w:ascii="Arial" w:hAnsi="Arial" w:cs="Arial"/>
          <w:sz w:val="20"/>
        </w:rPr>
        <w:t>After exposure, the mosquitoes were transferred to transparent 250 mL plastic containers and provided with yeast solution. Mortality was assessed after a further 24 hours.</w:t>
      </w:r>
    </w:p>
    <w:p w14:paraId="5D37C485"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Data Analysis</w:t>
      </w:r>
    </w:p>
    <w:p w14:paraId="3F7B1D20" w14:textId="77777777" w:rsidR="002368DD" w:rsidRPr="00F00FE6" w:rsidRDefault="00052F9C" w:rsidP="002368DD">
      <w:pPr>
        <w:pStyle w:val="NormalWeb"/>
        <w:spacing w:line="480" w:lineRule="auto"/>
        <w:jc w:val="both"/>
        <w:rPr>
          <w:rFonts w:ascii="Arial" w:hAnsi="Arial" w:cs="Arial"/>
          <w:sz w:val="20"/>
        </w:rPr>
      </w:pPr>
      <w:r w:rsidRPr="00F00FE6">
        <w:rPr>
          <w:rFonts w:ascii="Arial" w:hAnsi="Arial" w:cs="Arial"/>
          <w:sz w:val="20"/>
        </w:rPr>
        <w:t>Data obtained from the study were analyzed using Analysis of Variance (ANOVA), and mean differences were separated using Fisher’s Least Sig</w:t>
      </w:r>
      <w:r w:rsidR="00150BCC" w:rsidRPr="00F00FE6">
        <w:rPr>
          <w:rFonts w:ascii="Arial" w:hAnsi="Arial" w:cs="Arial"/>
          <w:sz w:val="20"/>
        </w:rPr>
        <w:t>nificant Difference (LSD) test.</w:t>
      </w:r>
    </w:p>
    <w:p w14:paraId="7119234C" w14:textId="77777777" w:rsidR="00F3167B" w:rsidRPr="008853D9" w:rsidRDefault="00144781" w:rsidP="002368DD">
      <w:pPr>
        <w:pStyle w:val="NormalWeb"/>
        <w:spacing w:line="480" w:lineRule="auto"/>
        <w:jc w:val="both"/>
        <w:rPr>
          <w:rFonts w:ascii="Arial" w:hAnsi="Arial" w:cs="Arial"/>
        </w:rPr>
      </w:pPr>
      <w:r w:rsidRPr="008853D9">
        <w:rPr>
          <w:rFonts w:ascii="Arial" w:hAnsi="Arial" w:cs="Arial"/>
          <w:b/>
        </w:rPr>
        <w:t>TABLES</w:t>
      </w:r>
    </w:p>
    <w:p w14:paraId="6C6C102B" w14:textId="77777777" w:rsidR="00F3167B" w:rsidRPr="00F00FE6" w:rsidRDefault="00AC0EBE"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593B00" w:rsidRPr="00F00FE6">
        <w:rPr>
          <w:rFonts w:ascii="Arial" w:hAnsi="Arial" w:cs="Arial"/>
          <w:sz w:val="20"/>
          <w:szCs w:val="20"/>
        </w:rPr>
        <w:t xml:space="preserve">1. </w:t>
      </w:r>
      <w:r w:rsidR="00F3167B" w:rsidRPr="00F00FE6">
        <w:rPr>
          <w:rFonts w:ascii="Arial" w:hAnsi="Arial" w:cs="Arial"/>
          <w:sz w:val="20"/>
          <w:szCs w:val="20"/>
        </w:rPr>
        <w:t xml:space="preserve">Mean % larval mortality of </w:t>
      </w:r>
      <w:r w:rsidR="00F3167B" w:rsidRPr="00F00FE6">
        <w:rPr>
          <w:rFonts w:ascii="Arial" w:hAnsi="Arial" w:cs="Arial"/>
          <w:i/>
          <w:iCs/>
          <w:sz w:val="20"/>
          <w:szCs w:val="20"/>
        </w:rPr>
        <w:t xml:space="preserve">M. oleifera </w:t>
      </w:r>
      <w:r w:rsidR="00754D17" w:rsidRPr="00F00FE6">
        <w:rPr>
          <w:rFonts w:ascii="Arial" w:hAnsi="Arial" w:cs="Arial"/>
          <w:sz w:val="20"/>
          <w:szCs w:val="20"/>
        </w:rPr>
        <w:t xml:space="preserve">crude leaf </w:t>
      </w:r>
      <w:r w:rsidR="00F3167B" w:rsidRPr="00F00FE6">
        <w:rPr>
          <w:rFonts w:ascii="Arial" w:hAnsi="Arial" w:cs="Arial"/>
          <w:sz w:val="20"/>
          <w:szCs w:val="20"/>
        </w:rPr>
        <w:t xml:space="preserve">extracts at different rates against </w:t>
      </w:r>
      <w:r w:rsidR="00F3167B" w:rsidRPr="00F00FE6">
        <w:rPr>
          <w:rFonts w:ascii="Arial" w:hAnsi="Arial" w:cs="Arial"/>
          <w:i/>
          <w:iCs/>
          <w:sz w:val="20"/>
          <w:szCs w:val="20"/>
        </w:rPr>
        <w:t xml:space="preserve">Anopheles gambiae </w:t>
      </w:r>
      <w:r w:rsidR="00F3167B"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3167B" w:rsidRPr="00F00FE6" w14:paraId="4FBF2AE6" w14:textId="77777777" w:rsidTr="009F21B9">
        <w:tc>
          <w:tcPr>
            <w:tcW w:w="1915" w:type="dxa"/>
            <w:tcBorders>
              <w:bottom w:val="nil"/>
            </w:tcBorders>
          </w:tcPr>
          <w:p w14:paraId="08B541A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2CA54DA9" w14:textId="77777777" w:rsidR="00F3167B" w:rsidRPr="00F00FE6" w:rsidRDefault="00F3167B" w:rsidP="00144781">
            <w:pPr>
              <w:spacing w:line="480" w:lineRule="auto"/>
              <w:contextualSpacing/>
              <w:rPr>
                <w:rFonts w:ascii="Arial" w:hAnsi="Arial" w:cs="Arial"/>
                <w:b/>
                <w:sz w:val="20"/>
                <w:szCs w:val="20"/>
              </w:rPr>
            </w:pPr>
          </w:p>
        </w:tc>
        <w:tc>
          <w:tcPr>
            <w:tcW w:w="1915" w:type="dxa"/>
          </w:tcPr>
          <w:p w14:paraId="5CA10EA1"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29BB2635"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0BB5926E" w14:textId="77777777" w:rsidR="00F3167B" w:rsidRPr="00F00FE6" w:rsidRDefault="00F3167B" w:rsidP="00144781">
            <w:pPr>
              <w:spacing w:line="480" w:lineRule="auto"/>
              <w:contextualSpacing/>
              <w:rPr>
                <w:rFonts w:ascii="Arial" w:hAnsi="Arial" w:cs="Arial"/>
                <w:b/>
                <w:sz w:val="20"/>
                <w:szCs w:val="20"/>
              </w:rPr>
            </w:pPr>
          </w:p>
        </w:tc>
      </w:tr>
      <w:tr w:rsidR="00F3167B" w:rsidRPr="00F00FE6" w14:paraId="28ED566C" w14:textId="77777777" w:rsidTr="009F21B9">
        <w:tc>
          <w:tcPr>
            <w:tcW w:w="1915" w:type="dxa"/>
            <w:tcBorders>
              <w:top w:val="nil"/>
              <w:bottom w:val="single" w:sz="4" w:space="0" w:color="auto"/>
            </w:tcBorders>
          </w:tcPr>
          <w:p w14:paraId="73DDA872" w14:textId="77777777" w:rsidR="00F3167B" w:rsidRPr="00F00FE6" w:rsidRDefault="00F3167B" w:rsidP="00144781">
            <w:pPr>
              <w:spacing w:line="480" w:lineRule="auto"/>
              <w:contextualSpacing/>
              <w:rPr>
                <w:rFonts w:ascii="Arial" w:hAnsi="Arial" w:cs="Arial"/>
                <w:b/>
                <w:sz w:val="20"/>
                <w:szCs w:val="20"/>
              </w:rPr>
            </w:pPr>
          </w:p>
        </w:tc>
        <w:tc>
          <w:tcPr>
            <w:tcW w:w="1915" w:type="dxa"/>
            <w:tcBorders>
              <w:bottom w:val="single" w:sz="4" w:space="0" w:color="auto"/>
            </w:tcBorders>
          </w:tcPr>
          <w:p w14:paraId="1994170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6144138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0BADED6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2A7A17BC"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167B" w:rsidRPr="00F00FE6" w14:paraId="24859E94" w14:textId="77777777" w:rsidTr="009F21B9">
        <w:tc>
          <w:tcPr>
            <w:tcW w:w="1915" w:type="dxa"/>
            <w:tcBorders>
              <w:bottom w:val="nil"/>
            </w:tcBorders>
          </w:tcPr>
          <w:p w14:paraId="34193FE2"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7B481FD" w14:textId="77777777" w:rsidR="00F3167B" w:rsidRPr="00F00FE6" w:rsidRDefault="00D20EC1" w:rsidP="00144781">
            <w:pPr>
              <w:spacing w:line="480" w:lineRule="auto"/>
              <w:contextualSpacing/>
              <w:rPr>
                <w:rFonts w:ascii="Arial" w:hAnsi="Arial" w:cs="Arial"/>
                <w:sz w:val="20"/>
                <w:szCs w:val="20"/>
                <w:vertAlign w:val="superscript"/>
              </w:rPr>
            </w:pPr>
            <w:r w:rsidRPr="00F00FE6">
              <w:rPr>
                <w:rFonts w:ascii="Arial" w:hAnsi="Arial" w:cs="Arial"/>
                <w:sz w:val="20"/>
                <w:szCs w:val="20"/>
              </w:rPr>
              <w:t>75.50 ± 3.13</w:t>
            </w:r>
            <w:r w:rsidR="00E911AA" w:rsidRPr="00F00FE6">
              <w:rPr>
                <w:rFonts w:ascii="Arial" w:hAnsi="Arial" w:cs="Arial"/>
                <w:sz w:val="20"/>
                <w:szCs w:val="20"/>
                <w:vertAlign w:val="superscript"/>
              </w:rPr>
              <w:t>a</w:t>
            </w:r>
          </w:p>
        </w:tc>
        <w:tc>
          <w:tcPr>
            <w:tcW w:w="1915" w:type="dxa"/>
            <w:tcBorders>
              <w:bottom w:val="nil"/>
            </w:tcBorders>
          </w:tcPr>
          <w:p w14:paraId="72EBAC49"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73.10 ± 3.12</w:t>
            </w:r>
            <w:r w:rsidR="00E911AA" w:rsidRPr="00F00FE6">
              <w:rPr>
                <w:rFonts w:ascii="Arial" w:hAnsi="Arial" w:cs="Arial"/>
                <w:sz w:val="20"/>
                <w:szCs w:val="20"/>
                <w:vertAlign w:val="superscript"/>
              </w:rPr>
              <w:t>b</w:t>
            </w:r>
          </w:p>
        </w:tc>
        <w:tc>
          <w:tcPr>
            <w:tcW w:w="1915" w:type="dxa"/>
            <w:tcBorders>
              <w:bottom w:val="nil"/>
            </w:tcBorders>
          </w:tcPr>
          <w:p w14:paraId="563D6381"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71.15 ± 2.83</w:t>
            </w:r>
            <w:r w:rsidR="00E911AA" w:rsidRPr="00F00FE6">
              <w:rPr>
                <w:rFonts w:ascii="Arial" w:hAnsi="Arial" w:cs="Arial"/>
                <w:sz w:val="20"/>
                <w:szCs w:val="20"/>
                <w:vertAlign w:val="superscript"/>
              </w:rPr>
              <w:t>c</w:t>
            </w:r>
          </w:p>
        </w:tc>
        <w:tc>
          <w:tcPr>
            <w:tcW w:w="1916" w:type="dxa"/>
            <w:tcBorders>
              <w:bottom w:val="nil"/>
            </w:tcBorders>
          </w:tcPr>
          <w:p w14:paraId="0C1F36C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66.25 ± 2.72</w:t>
            </w:r>
            <w:r w:rsidR="00E911AA" w:rsidRPr="00F00FE6">
              <w:rPr>
                <w:rFonts w:ascii="Arial" w:hAnsi="Arial" w:cs="Arial"/>
                <w:sz w:val="20"/>
                <w:szCs w:val="20"/>
                <w:vertAlign w:val="superscript"/>
              </w:rPr>
              <w:t>d</w:t>
            </w:r>
          </w:p>
        </w:tc>
      </w:tr>
      <w:tr w:rsidR="00F3167B" w:rsidRPr="00F00FE6" w14:paraId="7D16D3A3" w14:textId="77777777" w:rsidTr="009F21B9">
        <w:tc>
          <w:tcPr>
            <w:tcW w:w="1915" w:type="dxa"/>
            <w:tcBorders>
              <w:top w:val="nil"/>
              <w:bottom w:val="nil"/>
            </w:tcBorders>
          </w:tcPr>
          <w:p w14:paraId="35215A4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lastRenderedPageBreak/>
              <w:t>150</w:t>
            </w:r>
          </w:p>
        </w:tc>
        <w:tc>
          <w:tcPr>
            <w:tcW w:w="1915" w:type="dxa"/>
            <w:tcBorders>
              <w:top w:val="nil"/>
              <w:bottom w:val="nil"/>
            </w:tcBorders>
          </w:tcPr>
          <w:p w14:paraId="5B91065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95.38 ± 2.14</w:t>
            </w:r>
            <w:r w:rsidR="00E911AA" w:rsidRPr="00F00FE6">
              <w:rPr>
                <w:rFonts w:ascii="Arial" w:hAnsi="Arial" w:cs="Arial"/>
                <w:sz w:val="20"/>
                <w:szCs w:val="20"/>
                <w:vertAlign w:val="superscript"/>
              </w:rPr>
              <w:t>a</w:t>
            </w:r>
          </w:p>
        </w:tc>
        <w:tc>
          <w:tcPr>
            <w:tcW w:w="1915" w:type="dxa"/>
            <w:tcBorders>
              <w:top w:val="nil"/>
              <w:bottom w:val="nil"/>
            </w:tcBorders>
          </w:tcPr>
          <w:p w14:paraId="65AD52C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92.45 ± 3.38</w:t>
            </w:r>
            <w:r w:rsidR="00E911AA" w:rsidRPr="00F00FE6">
              <w:rPr>
                <w:rFonts w:ascii="Arial" w:hAnsi="Arial" w:cs="Arial"/>
                <w:sz w:val="20"/>
                <w:szCs w:val="20"/>
                <w:vertAlign w:val="superscript"/>
              </w:rPr>
              <w:t>b</w:t>
            </w:r>
          </w:p>
        </w:tc>
        <w:tc>
          <w:tcPr>
            <w:tcW w:w="1915" w:type="dxa"/>
            <w:tcBorders>
              <w:top w:val="nil"/>
              <w:bottom w:val="nil"/>
            </w:tcBorders>
          </w:tcPr>
          <w:p w14:paraId="454DA350"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88.25 ± 3.16</w:t>
            </w:r>
            <w:r w:rsidR="00E911AA" w:rsidRPr="00F00FE6">
              <w:rPr>
                <w:rFonts w:ascii="Arial" w:hAnsi="Arial" w:cs="Arial"/>
                <w:sz w:val="20"/>
                <w:szCs w:val="20"/>
                <w:vertAlign w:val="superscript"/>
              </w:rPr>
              <w:t>c</w:t>
            </w:r>
          </w:p>
        </w:tc>
        <w:tc>
          <w:tcPr>
            <w:tcW w:w="1916" w:type="dxa"/>
            <w:tcBorders>
              <w:top w:val="nil"/>
              <w:bottom w:val="nil"/>
            </w:tcBorders>
          </w:tcPr>
          <w:p w14:paraId="4E7F1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84.50 ± 4.15</w:t>
            </w:r>
            <w:r w:rsidR="00E911AA" w:rsidRPr="00F00FE6">
              <w:rPr>
                <w:rFonts w:ascii="Arial" w:hAnsi="Arial" w:cs="Arial"/>
                <w:sz w:val="20"/>
                <w:szCs w:val="20"/>
                <w:vertAlign w:val="superscript"/>
              </w:rPr>
              <w:t>d</w:t>
            </w:r>
          </w:p>
        </w:tc>
      </w:tr>
      <w:tr w:rsidR="00F3167B" w:rsidRPr="00F00FE6" w14:paraId="7DB6FBAE" w14:textId="77777777" w:rsidTr="009F21B9">
        <w:tc>
          <w:tcPr>
            <w:tcW w:w="1915" w:type="dxa"/>
            <w:tcBorders>
              <w:top w:val="nil"/>
              <w:bottom w:val="nil"/>
            </w:tcBorders>
          </w:tcPr>
          <w:p w14:paraId="6FC20488"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134B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5ED1C302"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98.68 ± 3.26</w:t>
            </w:r>
            <w:r w:rsidR="00E911AA" w:rsidRPr="00F00FE6">
              <w:rPr>
                <w:rFonts w:ascii="Arial" w:hAnsi="Arial" w:cs="Arial"/>
                <w:sz w:val="20"/>
                <w:szCs w:val="20"/>
                <w:vertAlign w:val="superscript"/>
              </w:rPr>
              <w:t>b</w:t>
            </w:r>
          </w:p>
        </w:tc>
        <w:tc>
          <w:tcPr>
            <w:tcW w:w="1915" w:type="dxa"/>
            <w:tcBorders>
              <w:top w:val="nil"/>
              <w:bottom w:val="nil"/>
            </w:tcBorders>
          </w:tcPr>
          <w:p w14:paraId="3033187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 xml:space="preserve">92.15 ± </w:t>
            </w:r>
            <w:r w:rsidR="008D5984" w:rsidRPr="00F00FE6">
              <w:rPr>
                <w:rFonts w:ascii="Arial" w:hAnsi="Arial" w:cs="Arial"/>
                <w:sz w:val="20"/>
                <w:szCs w:val="20"/>
              </w:rPr>
              <w:t>2.21</w:t>
            </w:r>
            <w:r w:rsidR="00E911AA" w:rsidRPr="00F00FE6">
              <w:rPr>
                <w:rFonts w:ascii="Arial" w:hAnsi="Arial" w:cs="Arial"/>
                <w:sz w:val="20"/>
                <w:szCs w:val="20"/>
                <w:vertAlign w:val="superscript"/>
              </w:rPr>
              <w:t>c</w:t>
            </w:r>
          </w:p>
        </w:tc>
        <w:tc>
          <w:tcPr>
            <w:tcW w:w="1916" w:type="dxa"/>
            <w:tcBorders>
              <w:top w:val="nil"/>
              <w:bottom w:val="nil"/>
            </w:tcBorders>
          </w:tcPr>
          <w:p w14:paraId="333E7263"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89.20 ± 2.18</w:t>
            </w:r>
            <w:r w:rsidR="00E911AA" w:rsidRPr="00F00FE6">
              <w:rPr>
                <w:rFonts w:ascii="Arial" w:hAnsi="Arial" w:cs="Arial"/>
                <w:sz w:val="20"/>
                <w:szCs w:val="20"/>
                <w:vertAlign w:val="superscript"/>
              </w:rPr>
              <w:t>d</w:t>
            </w:r>
          </w:p>
        </w:tc>
      </w:tr>
      <w:tr w:rsidR="00F3167B" w:rsidRPr="00F00FE6" w14:paraId="04687F8D" w14:textId="77777777" w:rsidTr="009F21B9">
        <w:tc>
          <w:tcPr>
            <w:tcW w:w="1915" w:type="dxa"/>
            <w:tcBorders>
              <w:top w:val="nil"/>
              <w:bottom w:val="nil"/>
            </w:tcBorders>
          </w:tcPr>
          <w:p w14:paraId="6FE2397F"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54C49D92"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15DDBB30" w14:textId="77777777" w:rsidR="00F3167B" w:rsidRPr="00F00FE6" w:rsidRDefault="008D5984"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00E911AA" w:rsidRPr="00F00FE6">
              <w:rPr>
                <w:rFonts w:ascii="Arial" w:hAnsi="Arial" w:cs="Arial"/>
                <w:sz w:val="20"/>
                <w:szCs w:val="20"/>
                <w:vertAlign w:val="subscript"/>
              </w:rPr>
              <w:t>a</w:t>
            </w:r>
          </w:p>
        </w:tc>
        <w:tc>
          <w:tcPr>
            <w:tcW w:w="1915" w:type="dxa"/>
            <w:tcBorders>
              <w:top w:val="nil"/>
              <w:bottom w:val="nil"/>
            </w:tcBorders>
          </w:tcPr>
          <w:p w14:paraId="7662EF69"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6" w:type="dxa"/>
            <w:tcBorders>
              <w:top w:val="nil"/>
              <w:bottom w:val="nil"/>
            </w:tcBorders>
          </w:tcPr>
          <w:p w14:paraId="4C877A37"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r>
      <w:tr w:rsidR="00F3167B" w:rsidRPr="00F00FE6" w14:paraId="2F9BAA8C" w14:textId="77777777" w:rsidTr="009F21B9">
        <w:tc>
          <w:tcPr>
            <w:tcW w:w="1915" w:type="dxa"/>
            <w:tcBorders>
              <w:top w:val="nil"/>
              <w:bottom w:val="nil"/>
            </w:tcBorders>
          </w:tcPr>
          <w:p w14:paraId="37F20975"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5B61A10C"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4B6C3781"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19A2A28"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24FEF49"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F3167B" w:rsidRPr="00F00FE6" w14:paraId="2F613DD9" w14:textId="77777777" w:rsidTr="009F21B9">
        <w:tc>
          <w:tcPr>
            <w:tcW w:w="1915" w:type="dxa"/>
            <w:tcBorders>
              <w:top w:val="nil"/>
            </w:tcBorders>
          </w:tcPr>
          <w:p w14:paraId="01EA8D5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1E3CD2DE"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1E725217"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22C3F2C1"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6" w:type="dxa"/>
            <w:tcBorders>
              <w:top w:val="nil"/>
            </w:tcBorders>
          </w:tcPr>
          <w:p w14:paraId="5244AB02"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r>
    </w:tbl>
    <w:p w14:paraId="408E8AAB" w14:textId="77777777" w:rsidR="00C029BA" w:rsidRPr="00F00FE6" w:rsidRDefault="00C029BA"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376A9DFC" w14:textId="77777777" w:rsidR="009703C1"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2.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E.</w:t>
      </w:r>
      <w:r w:rsidR="009703C1" w:rsidRPr="00F00FE6">
        <w:rPr>
          <w:rFonts w:ascii="Arial" w:eastAsia="Times New Roman" w:hAnsi="Arial" w:cs="Arial"/>
          <w:bCs/>
          <w:sz w:val="20"/>
          <w:szCs w:val="20"/>
        </w:rPr>
        <w:t xml:space="preserve"> </w:t>
      </w:r>
      <w:r w:rsidR="009703C1" w:rsidRPr="00F00FE6">
        <w:rPr>
          <w:rFonts w:ascii="Arial" w:eastAsia="Times New Roman" w:hAnsi="Arial" w:cs="Arial"/>
          <w:bCs/>
          <w:i/>
          <w:sz w:val="20"/>
          <w:szCs w:val="20"/>
        </w:rPr>
        <w:t>citriodora</w:t>
      </w:r>
      <w:r w:rsidR="009703C1" w:rsidRPr="00F00FE6">
        <w:rPr>
          <w:rFonts w:ascii="Arial" w:hAnsi="Arial" w:cs="Arial"/>
          <w:i/>
          <w:iCs/>
          <w:sz w:val="20"/>
          <w:szCs w:val="20"/>
        </w:rPr>
        <w:t xml:space="preserve"> </w:t>
      </w:r>
      <w:r w:rsidR="00754D17" w:rsidRPr="00F00FE6">
        <w:rPr>
          <w:rFonts w:ascii="Arial" w:hAnsi="Arial" w:cs="Arial"/>
          <w:sz w:val="20"/>
          <w:szCs w:val="20"/>
        </w:rPr>
        <w:t>crude</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gambiae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3DF26784" w14:textId="77777777" w:rsidTr="00DB375D">
        <w:tc>
          <w:tcPr>
            <w:tcW w:w="1915" w:type="dxa"/>
            <w:tcBorders>
              <w:bottom w:val="nil"/>
              <w:right w:val="nil"/>
            </w:tcBorders>
          </w:tcPr>
          <w:p w14:paraId="103B9A8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left w:val="nil"/>
              <w:bottom w:val="single" w:sz="4" w:space="0" w:color="auto"/>
              <w:right w:val="nil"/>
            </w:tcBorders>
          </w:tcPr>
          <w:p w14:paraId="59A4CA12" w14:textId="77777777" w:rsidR="009703C1" w:rsidRPr="00F00FE6" w:rsidRDefault="009703C1" w:rsidP="00144781">
            <w:pPr>
              <w:spacing w:line="480" w:lineRule="auto"/>
              <w:contextualSpacing/>
              <w:rPr>
                <w:rFonts w:ascii="Arial" w:hAnsi="Arial" w:cs="Arial"/>
                <w:b/>
                <w:sz w:val="20"/>
                <w:szCs w:val="20"/>
              </w:rPr>
            </w:pPr>
          </w:p>
        </w:tc>
        <w:tc>
          <w:tcPr>
            <w:tcW w:w="1915" w:type="dxa"/>
            <w:tcBorders>
              <w:left w:val="nil"/>
              <w:bottom w:val="single" w:sz="4" w:space="0" w:color="auto"/>
              <w:right w:val="nil"/>
            </w:tcBorders>
          </w:tcPr>
          <w:p w14:paraId="21E8ECE2"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left w:val="nil"/>
              <w:bottom w:val="single" w:sz="4" w:space="0" w:color="auto"/>
              <w:right w:val="nil"/>
            </w:tcBorders>
          </w:tcPr>
          <w:p w14:paraId="7FD4537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left w:val="nil"/>
              <w:bottom w:val="single" w:sz="4" w:space="0" w:color="auto"/>
            </w:tcBorders>
          </w:tcPr>
          <w:p w14:paraId="0F940E39"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583818AF" w14:textId="77777777" w:rsidTr="00DB375D">
        <w:tc>
          <w:tcPr>
            <w:tcW w:w="1915" w:type="dxa"/>
            <w:tcBorders>
              <w:top w:val="nil"/>
              <w:bottom w:val="single" w:sz="4" w:space="0" w:color="auto"/>
              <w:right w:val="nil"/>
            </w:tcBorders>
          </w:tcPr>
          <w:p w14:paraId="1779FF62"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left w:val="nil"/>
              <w:bottom w:val="single" w:sz="4" w:space="0" w:color="auto"/>
              <w:right w:val="nil"/>
            </w:tcBorders>
          </w:tcPr>
          <w:p w14:paraId="3E47109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left w:val="nil"/>
              <w:bottom w:val="single" w:sz="4" w:space="0" w:color="auto"/>
              <w:right w:val="nil"/>
            </w:tcBorders>
          </w:tcPr>
          <w:p w14:paraId="47536C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left w:val="nil"/>
              <w:bottom w:val="single" w:sz="4" w:space="0" w:color="auto"/>
              <w:right w:val="nil"/>
            </w:tcBorders>
          </w:tcPr>
          <w:p w14:paraId="6682FF4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left w:val="nil"/>
              <w:bottom w:val="single" w:sz="4" w:space="0" w:color="auto"/>
            </w:tcBorders>
          </w:tcPr>
          <w:p w14:paraId="4A87D66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DCAC21B" w14:textId="77777777" w:rsidTr="00DB375D">
        <w:tc>
          <w:tcPr>
            <w:tcW w:w="1915" w:type="dxa"/>
            <w:tcBorders>
              <w:top w:val="single" w:sz="4" w:space="0" w:color="auto"/>
              <w:bottom w:val="nil"/>
            </w:tcBorders>
          </w:tcPr>
          <w:p w14:paraId="7B17DC6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D6FF5D2"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77.25 ± 2.33</w:t>
            </w:r>
            <w:r w:rsidR="00286FB1" w:rsidRPr="00F00FE6">
              <w:rPr>
                <w:rFonts w:ascii="Arial" w:hAnsi="Arial" w:cs="Arial"/>
                <w:sz w:val="20"/>
                <w:szCs w:val="20"/>
                <w:vertAlign w:val="superscript"/>
              </w:rPr>
              <w:t>a</w:t>
            </w:r>
          </w:p>
        </w:tc>
        <w:tc>
          <w:tcPr>
            <w:tcW w:w="1915" w:type="dxa"/>
            <w:tcBorders>
              <w:top w:val="single" w:sz="4" w:space="0" w:color="auto"/>
              <w:bottom w:val="nil"/>
            </w:tcBorders>
          </w:tcPr>
          <w:p w14:paraId="2B366A5C"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74.85 ± 1.62</w:t>
            </w:r>
            <w:r w:rsidR="00286FB1" w:rsidRPr="00F00FE6">
              <w:rPr>
                <w:rFonts w:ascii="Arial" w:hAnsi="Arial" w:cs="Arial"/>
                <w:sz w:val="20"/>
                <w:szCs w:val="20"/>
                <w:vertAlign w:val="superscript"/>
              </w:rPr>
              <w:t>b</w:t>
            </w:r>
          </w:p>
        </w:tc>
        <w:tc>
          <w:tcPr>
            <w:tcW w:w="1915" w:type="dxa"/>
            <w:tcBorders>
              <w:top w:val="single" w:sz="4" w:space="0" w:color="auto"/>
              <w:bottom w:val="nil"/>
            </w:tcBorders>
          </w:tcPr>
          <w:p w14:paraId="619B0291"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70.14 ± 2.17</w:t>
            </w:r>
            <w:r w:rsidR="00286FB1" w:rsidRPr="00F00FE6">
              <w:rPr>
                <w:rFonts w:ascii="Arial" w:hAnsi="Arial" w:cs="Arial"/>
                <w:sz w:val="20"/>
                <w:szCs w:val="20"/>
                <w:vertAlign w:val="superscript"/>
              </w:rPr>
              <w:t>c</w:t>
            </w:r>
          </w:p>
        </w:tc>
        <w:tc>
          <w:tcPr>
            <w:tcW w:w="1916" w:type="dxa"/>
            <w:tcBorders>
              <w:top w:val="single" w:sz="4" w:space="0" w:color="auto"/>
              <w:bottom w:val="nil"/>
            </w:tcBorders>
          </w:tcPr>
          <w:p w14:paraId="12BE68E5"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68.15 ± 1.44</w:t>
            </w:r>
            <w:r w:rsidR="00286FB1" w:rsidRPr="00F00FE6">
              <w:rPr>
                <w:rFonts w:ascii="Arial" w:hAnsi="Arial" w:cs="Arial"/>
                <w:sz w:val="20"/>
                <w:szCs w:val="20"/>
                <w:vertAlign w:val="superscript"/>
              </w:rPr>
              <w:t>d</w:t>
            </w:r>
          </w:p>
        </w:tc>
      </w:tr>
      <w:tr w:rsidR="009703C1" w:rsidRPr="00F00FE6" w14:paraId="39551F2B" w14:textId="77777777" w:rsidTr="009F21B9">
        <w:tc>
          <w:tcPr>
            <w:tcW w:w="1915" w:type="dxa"/>
            <w:tcBorders>
              <w:top w:val="nil"/>
              <w:bottom w:val="nil"/>
            </w:tcBorders>
          </w:tcPr>
          <w:p w14:paraId="5685400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F62B8D"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98.54 ± 3.81</w:t>
            </w:r>
            <w:r w:rsidR="00286FB1" w:rsidRPr="00F00FE6">
              <w:rPr>
                <w:rFonts w:ascii="Arial" w:hAnsi="Arial" w:cs="Arial"/>
                <w:sz w:val="20"/>
                <w:szCs w:val="20"/>
                <w:vertAlign w:val="superscript"/>
              </w:rPr>
              <w:t>a</w:t>
            </w:r>
          </w:p>
        </w:tc>
        <w:tc>
          <w:tcPr>
            <w:tcW w:w="1915" w:type="dxa"/>
            <w:tcBorders>
              <w:top w:val="nil"/>
              <w:bottom w:val="nil"/>
            </w:tcBorders>
          </w:tcPr>
          <w:p w14:paraId="0EF1A65A"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91.35 ± 4.19</w:t>
            </w:r>
            <w:r w:rsidR="00286FB1" w:rsidRPr="00F00FE6">
              <w:rPr>
                <w:rFonts w:ascii="Arial" w:hAnsi="Arial" w:cs="Arial"/>
                <w:sz w:val="20"/>
                <w:szCs w:val="20"/>
                <w:vertAlign w:val="superscript"/>
              </w:rPr>
              <w:t>b</w:t>
            </w:r>
          </w:p>
        </w:tc>
        <w:tc>
          <w:tcPr>
            <w:tcW w:w="1915" w:type="dxa"/>
            <w:tcBorders>
              <w:top w:val="nil"/>
              <w:bottom w:val="nil"/>
            </w:tcBorders>
          </w:tcPr>
          <w:p w14:paraId="67879446"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 ± 2.14</w:t>
            </w:r>
            <w:r w:rsidR="00286FB1" w:rsidRPr="00F00FE6">
              <w:rPr>
                <w:rFonts w:ascii="Arial" w:hAnsi="Arial" w:cs="Arial"/>
                <w:sz w:val="20"/>
                <w:szCs w:val="20"/>
                <w:vertAlign w:val="superscript"/>
              </w:rPr>
              <w:t>c</w:t>
            </w:r>
          </w:p>
        </w:tc>
        <w:tc>
          <w:tcPr>
            <w:tcW w:w="1916" w:type="dxa"/>
            <w:tcBorders>
              <w:top w:val="nil"/>
              <w:bottom w:val="nil"/>
            </w:tcBorders>
          </w:tcPr>
          <w:p w14:paraId="5750298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3.71</w:t>
            </w:r>
            <w:r w:rsidR="00286FB1" w:rsidRPr="00F00FE6">
              <w:rPr>
                <w:rFonts w:ascii="Arial" w:hAnsi="Arial" w:cs="Arial"/>
                <w:sz w:val="20"/>
                <w:szCs w:val="20"/>
                <w:vertAlign w:val="superscript"/>
              </w:rPr>
              <w:t>d</w:t>
            </w:r>
          </w:p>
        </w:tc>
      </w:tr>
      <w:tr w:rsidR="001C7C5D" w:rsidRPr="00F00FE6" w14:paraId="210F0C75" w14:textId="77777777" w:rsidTr="009F21B9">
        <w:tc>
          <w:tcPr>
            <w:tcW w:w="1915" w:type="dxa"/>
            <w:tcBorders>
              <w:top w:val="nil"/>
              <w:bottom w:val="nil"/>
            </w:tcBorders>
          </w:tcPr>
          <w:p w14:paraId="11997E47" w14:textId="77777777" w:rsidR="001C7C5D" w:rsidRPr="00F00FE6" w:rsidRDefault="001C7C5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8E3279"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286FB1" w:rsidRPr="00F00FE6">
              <w:rPr>
                <w:rFonts w:ascii="Arial" w:hAnsi="Arial" w:cs="Arial"/>
                <w:sz w:val="20"/>
                <w:szCs w:val="20"/>
                <w:vertAlign w:val="superscript"/>
              </w:rPr>
              <w:t>a</w:t>
            </w:r>
          </w:p>
        </w:tc>
        <w:tc>
          <w:tcPr>
            <w:tcW w:w="1915" w:type="dxa"/>
            <w:tcBorders>
              <w:top w:val="nil"/>
              <w:bottom w:val="nil"/>
            </w:tcBorders>
          </w:tcPr>
          <w:p w14:paraId="12332D24"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98.68 ± 3.26</w:t>
            </w:r>
            <w:r w:rsidR="00286FB1" w:rsidRPr="00F00FE6">
              <w:rPr>
                <w:rFonts w:ascii="Arial" w:hAnsi="Arial" w:cs="Arial"/>
                <w:sz w:val="20"/>
                <w:szCs w:val="20"/>
                <w:vertAlign w:val="superscript"/>
              </w:rPr>
              <w:t>b</w:t>
            </w:r>
          </w:p>
        </w:tc>
        <w:tc>
          <w:tcPr>
            <w:tcW w:w="1915" w:type="dxa"/>
            <w:tcBorders>
              <w:top w:val="nil"/>
              <w:bottom w:val="nil"/>
            </w:tcBorders>
          </w:tcPr>
          <w:p w14:paraId="5057881B"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97.10</w:t>
            </w:r>
            <w:r w:rsidR="001C7C5D" w:rsidRPr="00F00FE6">
              <w:rPr>
                <w:rFonts w:ascii="Arial" w:hAnsi="Arial" w:cs="Arial"/>
                <w:sz w:val="20"/>
                <w:szCs w:val="20"/>
              </w:rPr>
              <w:t xml:space="preserve"> ± </w:t>
            </w:r>
            <w:r w:rsidRPr="00F00FE6">
              <w:rPr>
                <w:rFonts w:ascii="Arial" w:hAnsi="Arial" w:cs="Arial"/>
                <w:sz w:val="20"/>
                <w:szCs w:val="20"/>
              </w:rPr>
              <w:t>2.67</w:t>
            </w:r>
            <w:r w:rsidR="00286FB1" w:rsidRPr="00F00FE6">
              <w:rPr>
                <w:rFonts w:ascii="Arial" w:hAnsi="Arial" w:cs="Arial"/>
                <w:sz w:val="20"/>
                <w:szCs w:val="20"/>
                <w:vertAlign w:val="superscript"/>
              </w:rPr>
              <w:t>b</w:t>
            </w:r>
          </w:p>
        </w:tc>
        <w:tc>
          <w:tcPr>
            <w:tcW w:w="1916" w:type="dxa"/>
            <w:tcBorders>
              <w:top w:val="nil"/>
              <w:bottom w:val="nil"/>
            </w:tcBorders>
          </w:tcPr>
          <w:p w14:paraId="490D5F55"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90.70</w:t>
            </w:r>
            <w:r w:rsidR="001C7C5D" w:rsidRPr="00F00FE6">
              <w:rPr>
                <w:rFonts w:ascii="Arial" w:hAnsi="Arial" w:cs="Arial"/>
                <w:sz w:val="20"/>
                <w:szCs w:val="20"/>
              </w:rPr>
              <w:t xml:space="preserve"> ± </w:t>
            </w:r>
            <w:r w:rsidRPr="00F00FE6">
              <w:rPr>
                <w:rFonts w:ascii="Arial" w:hAnsi="Arial" w:cs="Arial"/>
                <w:sz w:val="20"/>
                <w:szCs w:val="20"/>
              </w:rPr>
              <w:t>3.21</w:t>
            </w:r>
            <w:r w:rsidR="00286FB1" w:rsidRPr="00F00FE6">
              <w:rPr>
                <w:rFonts w:ascii="Arial" w:hAnsi="Arial" w:cs="Arial"/>
                <w:sz w:val="20"/>
                <w:szCs w:val="20"/>
                <w:vertAlign w:val="superscript"/>
              </w:rPr>
              <w:t>c</w:t>
            </w:r>
          </w:p>
        </w:tc>
      </w:tr>
      <w:tr w:rsidR="000A3586" w:rsidRPr="00F00FE6" w14:paraId="7CB799EA" w14:textId="77777777" w:rsidTr="009F21B9">
        <w:tc>
          <w:tcPr>
            <w:tcW w:w="1915" w:type="dxa"/>
            <w:tcBorders>
              <w:top w:val="nil"/>
              <w:bottom w:val="nil"/>
            </w:tcBorders>
          </w:tcPr>
          <w:p w14:paraId="595DB06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A455F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275084E"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6ECC6DAD"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39881C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0F3EDDE8" w14:textId="77777777" w:rsidTr="009F21B9">
        <w:tc>
          <w:tcPr>
            <w:tcW w:w="1915" w:type="dxa"/>
            <w:tcBorders>
              <w:top w:val="nil"/>
              <w:bottom w:val="nil"/>
            </w:tcBorders>
          </w:tcPr>
          <w:p w14:paraId="2A98920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3A27FA3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AB7666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8E137E4"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32A0CE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3EACB1A" w14:textId="77777777" w:rsidTr="009F21B9">
        <w:tc>
          <w:tcPr>
            <w:tcW w:w="1915" w:type="dxa"/>
            <w:tcBorders>
              <w:top w:val="nil"/>
            </w:tcBorders>
          </w:tcPr>
          <w:p w14:paraId="79D3BFC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B7145D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390BE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F05C9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0A1E352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17E706D" w14:textId="77777777" w:rsidR="00427D90" w:rsidRPr="00F00FE6" w:rsidRDefault="00C029BA" w:rsidP="001E088B">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AABC01F" w14:textId="77777777" w:rsidR="009703C1"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3.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M. peperita</w:t>
      </w:r>
      <w:r w:rsidR="00754D17" w:rsidRPr="00F00FE6">
        <w:rPr>
          <w:rFonts w:ascii="Arial" w:hAnsi="Arial" w:cs="Arial"/>
          <w:sz w:val="20"/>
          <w:szCs w:val="20"/>
        </w:rPr>
        <w:t xml:space="preserve"> crude leaf</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gambiae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2B07D3B7" w14:textId="77777777" w:rsidTr="009F21B9">
        <w:tc>
          <w:tcPr>
            <w:tcW w:w="1915" w:type="dxa"/>
            <w:tcBorders>
              <w:bottom w:val="nil"/>
            </w:tcBorders>
          </w:tcPr>
          <w:p w14:paraId="79F6136A"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7053C583" w14:textId="77777777" w:rsidR="009703C1" w:rsidRPr="00F00FE6" w:rsidRDefault="009703C1" w:rsidP="00144781">
            <w:pPr>
              <w:spacing w:line="480" w:lineRule="auto"/>
              <w:contextualSpacing/>
              <w:rPr>
                <w:rFonts w:ascii="Arial" w:hAnsi="Arial" w:cs="Arial"/>
                <w:b/>
                <w:sz w:val="20"/>
                <w:szCs w:val="20"/>
              </w:rPr>
            </w:pPr>
          </w:p>
        </w:tc>
        <w:tc>
          <w:tcPr>
            <w:tcW w:w="1915" w:type="dxa"/>
          </w:tcPr>
          <w:p w14:paraId="58CD241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50EF00D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7C001A8F"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3532AF36" w14:textId="77777777" w:rsidTr="009F21B9">
        <w:tc>
          <w:tcPr>
            <w:tcW w:w="1915" w:type="dxa"/>
            <w:tcBorders>
              <w:top w:val="nil"/>
              <w:bottom w:val="single" w:sz="4" w:space="0" w:color="auto"/>
            </w:tcBorders>
          </w:tcPr>
          <w:p w14:paraId="6651DF61"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6DF38C8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33627C9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6452A88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521971E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10D176EF" w14:textId="77777777" w:rsidTr="009F21B9">
        <w:tc>
          <w:tcPr>
            <w:tcW w:w="1915" w:type="dxa"/>
            <w:tcBorders>
              <w:bottom w:val="nil"/>
            </w:tcBorders>
          </w:tcPr>
          <w:p w14:paraId="747888B9"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F2226CE"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72.50 ± 1.73</w:t>
            </w:r>
            <w:r w:rsidR="000A3586" w:rsidRPr="00F00FE6">
              <w:rPr>
                <w:rFonts w:ascii="Arial" w:hAnsi="Arial" w:cs="Arial"/>
                <w:sz w:val="20"/>
                <w:szCs w:val="20"/>
                <w:vertAlign w:val="superscript"/>
              </w:rPr>
              <w:t>a</w:t>
            </w:r>
          </w:p>
        </w:tc>
        <w:tc>
          <w:tcPr>
            <w:tcW w:w="1915" w:type="dxa"/>
            <w:tcBorders>
              <w:bottom w:val="nil"/>
            </w:tcBorders>
          </w:tcPr>
          <w:p w14:paraId="6C378194"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75.48 ± 3.19</w:t>
            </w:r>
            <w:r w:rsidR="000A3586" w:rsidRPr="00F00FE6">
              <w:rPr>
                <w:rFonts w:ascii="Arial" w:hAnsi="Arial" w:cs="Arial"/>
                <w:sz w:val="20"/>
                <w:szCs w:val="20"/>
                <w:vertAlign w:val="superscript"/>
              </w:rPr>
              <w:t>b</w:t>
            </w:r>
          </w:p>
        </w:tc>
        <w:tc>
          <w:tcPr>
            <w:tcW w:w="1915" w:type="dxa"/>
            <w:tcBorders>
              <w:bottom w:val="nil"/>
            </w:tcBorders>
          </w:tcPr>
          <w:p w14:paraId="2872F55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73.30 ± 1.62</w:t>
            </w:r>
            <w:r w:rsidR="000A3586" w:rsidRPr="00F00FE6">
              <w:rPr>
                <w:rFonts w:ascii="Arial" w:hAnsi="Arial" w:cs="Arial"/>
                <w:sz w:val="20"/>
                <w:szCs w:val="20"/>
                <w:vertAlign w:val="superscript"/>
              </w:rPr>
              <w:t>c</w:t>
            </w:r>
          </w:p>
        </w:tc>
        <w:tc>
          <w:tcPr>
            <w:tcW w:w="1916" w:type="dxa"/>
            <w:tcBorders>
              <w:bottom w:val="nil"/>
            </w:tcBorders>
          </w:tcPr>
          <w:p w14:paraId="5D39E34A"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2.77</w:t>
            </w:r>
            <w:r w:rsidR="000A3586" w:rsidRPr="00F00FE6">
              <w:rPr>
                <w:rFonts w:ascii="Arial" w:hAnsi="Arial" w:cs="Arial"/>
                <w:sz w:val="20"/>
                <w:szCs w:val="20"/>
                <w:vertAlign w:val="superscript"/>
              </w:rPr>
              <w:t>d</w:t>
            </w:r>
          </w:p>
        </w:tc>
      </w:tr>
      <w:tr w:rsidR="009703C1" w:rsidRPr="00F00FE6" w14:paraId="5D1DD8AA" w14:textId="77777777" w:rsidTr="009F21B9">
        <w:tc>
          <w:tcPr>
            <w:tcW w:w="1915" w:type="dxa"/>
            <w:tcBorders>
              <w:top w:val="nil"/>
              <w:bottom w:val="nil"/>
            </w:tcBorders>
          </w:tcPr>
          <w:p w14:paraId="4ECC7BA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15AF89EF"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96.15 ± 4.13</w:t>
            </w:r>
            <w:r w:rsidR="000A3586" w:rsidRPr="00F00FE6">
              <w:rPr>
                <w:rFonts w:ascii="Arial" w:hAnsi="Arial" w:cs="Arial"/>
                <w:sz w:val="20"/>
                <w:szCs w:val="20"/>
                <w:vertAlign w:val="superscript"/>
              </w:rPr>
              <w:t>a</w:t>
            </w:r>
          </w:p>
        </w:tc>
        <w:tc>
          <w:tcPr>
            <w:tcW w:w="1915" w:type="dxa"/>
            <w:tcBorders>
              <w:top w:val="nil"/>
              <w:bottom w:val="nil"/>
            </w:tcBorders>
          </w:tcPr>
          <w:p w14:paraId="0A4B636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92.17 ± 2.61</w:t>
            </w:r>
            <w:r w:rsidR="000A3586" w:rsidRPr="00F00FE6">
              <w:rPr>
                <w:rFonts w:ascii="Arial" w:hAnsi="Arial" w:cs="Arial"/>
                <w:sz w:val="20"/>
                <w:szCs w:val="20"/>
                <w:vertAlign w:val="superscript"/>
              </w:rPr>
              <w:t>b</w:t>
            </w:r>
          </w:p>
        </w:tc>
        <w:tc>
          <w:tcPr>
            <w:tcW w:w="1915" w:type="dxa"/>
            <w:tcBorders>
              <w:top w:val="nil"/>
              <w:bottom w:val="nil"/>
            </w:tcBorders>
          </w:tcPr>
          <w:p w14:paraId="093033A5"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90.16 ±</w:t>
            </w:r>
            <w:r w:rsidR="00EE00F2" w:rsidRPr="00F00FE6">
              <w:rPr>
                <w:rFonts w:ascii="Arial" w:hAnsi="Arial" w:cs="Arial"/>
                <w:sz w:val="20"/>
                <w:szCs w:val="20"/>
              </w:rPr>
              <w:t xml:space="preserve"> 4.20</w:t>
            </w:r>
            <w:r w:rsidR="000A3586" w:rsidRPr="00F00FE6">
              <w:rPr>
                <w:rFonts w:ascii="Arial" w:hAnsi="Arial" w:cs="Arial"/>
                <w:sz w:val="20"/>
                <w:szCs w:val="20"/>
                <w:vertAlign w:val="superscript"/>
              </w:rPr>
              <w:t>c</w:t>
            </w:r>
          </w:p>
        </w:tc>
        <w:tc>
          <w:tcPr>
            <w:tcW w:w="1916" w:type="dxa"/>
            <w:tcBorders>
              <w:top w:val="nil"/>
              <w:bottom w:val="nil"/>
            </w:tcBorders>
          </w:tcPr>
          <w:p w14:paraId="1939E549" w14:textId="77777777" w:rsidR="009703C1"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80.56 ± 2.51</w:t>
            </w:r>
            <w:r w:rsidR="000A3586" w:rsidRPr="00F00FE6">
              <w:rPr>
                <w:rFonts w:ascii="Arial" w:hAnsi="Arial" w:cs="Arial"/>
                <w:sz w:val="20"/>
                <w:szCs w:val="20"/>
                <w:vertAlign w:val="superscript"/>
              </w:rPr>
              <w:t>d</w:t>
            </w:r>
          </w:p>
        </w:tc>
      </w:tr>
      <w:tr w:rsidR="002748DC" w:rsidRPr="00F00FE6" w14:paraId="5A86369B" w14:textId="77777777" w:rsidTr="009F21B9">
        <w:tc>
          <w:tcPr>
            <w:tcW w:w="1915" w:type="dxa"/>
            <w:tcBorders>
              <w:top w:val="nil"/>
              <w:bottom w:val="nil"/>
            </w:tcBorders>
          </w:tcPr>
          <w:p w14:paraId="5D0DE5F8" w14:textId="77777777" w:rsidR="002748DC" w:rsidRPr="00F00FE6" w:rsidRDefault="002748DC"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793C50BA" w14:textId="77777777" w:rsidR="002748DC"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19F1F685"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95.75</w:t>
            </w:r>
            <w:r w:rsidR="002748DC" w:rsidRPr="00F00FE6">
              <w:rPr>
                <w:rFonts w:ascii="Arial" w:hAnsi="Arial" w:cs="Arial"/>
                <w:sz w:val="20"/>
                <w:szCs w:val="20"/>
              </w:rPr>
              <w:t xml:space="preserve"> ±</w:t>
            </w:r>
            <w:r w:rsidRPr="00F00FE6">
              <w:rPr>
                <w:rFonts w:ascii="Arial" w:hAnsi="Arial" w:cs="Arial"/>
                <w:sz w:val="20"/>
                <w:szCs w:val="20"/>
              </w:rPr>
              <w:t xml:space="preserve"> 2.12</w:t>
            </w:r>
            <w:r w:rsidR="000A3586" w:rsidRPr="00F00FE6">
              <w:rPr>
                <w:rFonts w:ascii="Arial" w:hAnsi="Arial" w:cs="Arial"/>
                <w:sz w:val="20"/>
                <w:szCs w:val="20"/>
                <w:vertAlign w:val="superscript"/>
              </w:rPr>
              <w:t>b</w:t>
            </w:r>
          </w:p>
        </w:tc>
        <w:tc>
          <w:tcPr>
            <w:tcW w:w="1915" w:type="dxa"/>
            <w:tcBorders>
              <w:top w:val="nil"/>
              <w:bottom w:val="nil"/>
            </w:tcBorders>
          </w:tcPr>
          <w:p w14:paraId="728B0509"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94.60</w:t>
            </w:r>
            <w:r w:rsidR="002748DC" w:rsidRPr="00F00FE6">
              <w:rPr>
                <w:rFonts w:ascii="Arial" w:hAnsi="Arial" w:cs="Arial"/>
                <w:sz w:val="20"/>
                <w:szCs w:val="20"/>
              </w:rPr>
              <w:t xml:space="preserve"> ±</w:t>
            </w:r>
            <w:r w:rsidRPr="00F00FE6">
              <w:rPr>
                <w:rFonts w:ascii="Arial" w:hAnsi="Arial" w:cs="Arial"/>
                <w:sz w:val="20"/>
                <w:szCs w:val="20"/>
              </w:rPr>
              <w:t xml:space="preserve"> 3.43</w:t>
            </w:r>
            <w:r w:rsidR="000A3586" w:rsidRPr="00F00FE6">
              <w:rPr>
                <w:rFonts w:ascii="Arial" w:hAnsi="Arial" w:cs="Arial"/>
                <w:sz w:val="20"/>
                <w:szCs w:val="20"/>
                <w:vertAlign w:val="superscript"/>
              </w:rPr>
              <w:t>b</w:t>
            </w:r>
          </w:p>
        </w:tc>
        <w:tc>
          <w:tcPr>
            <w:tcW w:w="1916" w:type="dxa"/>
            <w:tcBorders>
              <w:top w:val="nil"/>
              <w:bottom w:val="nil"/>
            </w:tcBorders>
          </w:tcPr>
          <w:p w14:paraId="5A4D175D"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90.10</w:t>
            </w:r>
            <w:r w:rsidR="002748DC" w:rsidRPr="00F00FE6">
              <w:rPr>
                <w:rFonts w:ascii="Arial" w:hAnsi="Arial" w:cs="Arial"/>
                <w:sz w:val="20"/>
                <w:szCs w:val="20"/>
              </w:rPr>
              <w:t xml:space="preserve"> ±</w:t>
            </w:r>
            <w:r w:rsidRPr="00F00FE6">
              <w:rPr>
                <w:rFonts w:ascii="Arial" w:hAnsi="Arial" w:cs="Arial"/>
                <w:sz w:val="20"/>
                <w:szCs w:val="20"/>
              </w:rPr>
              <w:t xml:space="preserve"> 2.39</w:t>
            </w:r>
            <w:r w:rsidR="000A3586" w:rsidRPr="00F00FE6">
              <w:rPr>
                <w:rFonts w:ascii="Arial" w:hAnsi="Arial" w:cs="Arial"/>
                <w:sz w:val="20"/>
                <w:szCs w:val="20"/>
                <w:vertAlign w:val="superscript"/>
              </w:rPr>
              <w:t>c</w:t>
            </w:r>
          </w:p>
        </w:tc>
      </w:tr>
      <w:tr w:rsidR="000A3586" w:rsidRPr="00F00FE6" w14:paraId="6B42C0F0" w14:textId="77777777" w:rsidTr="009F21B9">
        <w:tc>
          <w:tcPr>
            <w:tcW w:w="1915" w:type="dxa"/>
            <w:tcBorders>
              <w:top w:val="nil"/>
              <w:bottom w:val="nil"/>
            </w:tcBorders>
          </w:tcPr>
          <w:p w14:paraId="69E9C0C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794B44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ED4236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754D17" w:rsidRPr="00F00FE6">
              <w:rPr>
                <w:rFonts w:ascii="Arial" w:hAnsi="Arial" w:cs="Arial"/>
                <w:sz w:val="20"/>
                <w:szCs w:val="20"/>
                <w:vertAlign w:val="superscript"/>
              </w:rPr>
              <w:t>a</w:t>
            </w:r>
          </w:p>
        </w:tc>
        <w:tc>
          <w:tcPr>
            <w:tcW w:w="1915" w:type="dxa"/>
            <w:tcBorders>
              <w:top w:val="nil"/>
              <w:bottom w:val="nil"/>
            </w:tcBorders>
          </w:tcPr>
          <w:p w14:paraId="1B5E7DE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131016A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C1C6FCE" w14:textId="77777777" w:rsidTr="009F21B9">
        <w:tc>
          <w:tcPr>
            <w:tcW w:w="1915" w:type="dxa"/>
            <w:tcBorders>
              <w:top w:val="nil"/>
              <w:bottom w:val="nil"/>
            </w:tcBorders>
          </w:tcPr>
          <w:p w14:paraId="7AF0AC1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lastRenderedPageBreak/>
              <w:t>300</w:t>
            </w:r>
          </w:p>
        </w:tc>
        <w:tc>
          <w:tcPr>
            <w:tcW w:w="1915" w:type="dxa"/>
            <w:tcBorders>
              <w:top w:val="nil"/>
              <w:bottom w:val="nil"/>
            </w:tcBorders>
          </w:tcPr>
          <w:p w14:paraId="7E063C86"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04CE8F9"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319281E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C8D846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408501A" w14:textId="77777777" w:rsidTr="009F21B9">
        <w:tc>
          <w:tcPr>
            <w:tcW w:w="1915" w:type="dxa"/>
            <w:tcBorders>
              <w:top w:val="nil"/>
            </w:tcBorders>
          </w:tcPr>
          <w:p w14:paraId="29FA014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770F2F7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1C9DF1E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5611F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6AFB4163"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0DF5C6E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28DC03AD" w14:textId="77777777" w:rsidR="009703C1" w:rsidRPr="00F00FE6" w:rsidRDefault="009703C1" w:rsidP="00144781">
      <w:pPr>
        <w:autoSpaceDE w:val="0"/>
        <w:autoSpaceDN w:val="0"/>
        <w:adjustRightInd w:val="0"/>
        <w:spacing w:after="0" w:line="480" w:lineRule="auto"/>
        <w:rPr>
          <w:rFonts w:ascii="Arial" w:hAnsi="Arial" w:cs="Arial"/>
          <w:b/>
          <w:sz w:val="20"/>
          <w:szCs w:val="20"/>
        </w:rPr>
      </w:pPr>
    </w:p>
    <w:p w14:paraId="1B85DE70" w14:textId="77777777" w:rsidR="009703C1"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lastRenderedPageBreak/>
        <w:t xml:space="preserve">Table 4.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A. indica</w:t>
      </w:r>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gambiae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4CD6EA12" w14:textId="77777777" w:rsidTr="00DB375D">
        <w:tc>
          <w:tcPr>
            <w:tcW w:w="1915" w:type="dxa"/>
            <w:tcBorders>
              <w:bottom w:val="nil"/>
            </w:tcBorders>
          </w:tcPr>
          <w:p w14:paraId="79B3395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BAAAEF7"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0E07322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451B650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46FF57C5"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3EEAB03" w14:textId="77777777" w:rsidTr="00DB375D">
        <w:tc>
          <w:tcPr>
            <w:tcW w:w="1915" w:type="dxa"/>
            <w:tcBorders>
              <w:top w:val="nil"/>
              <w:bottom w:val="single" w:sz="4" w:space="0" w:color="auto"/>
            </w:tcBorders>
          </w:tcPr>
          <w:p w14:paraId="6BDE95A5"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551FC45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EBD138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76A20F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4227979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9F376FB" w14:textId="77777777" w:rsidTr="00DB375D">
        <w:tc>
          <w:tcPr>
            <w:tcW w:w="1915" w:type="dxa"/>
            <w:tcBorders>
              <w:top w:val="single" w:sz="4" w:space="0" w:color="auto"/>
              <w:bottom w:val="nil"/>
            </w:tcBorders>
          </w:tcPr>
          <w:p w14:paraId="762345F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23EFCB4"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87.25 ± 4.46</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05714A4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84.78 ± 3.37</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663A505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78.28 ± 2.18</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66280FCF"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76.30 ± 3.67</w:t>
            </w:r>
            <w:r w:rsidR="000A3586" w:rsidRPr="00F00FE6">
              <w:rPr>
                <w:rFonts w:ascii="Arial" w:hAnsi="Arial" w:cs="Arial"/>
                <w:sz w:val="20"/>
                <w:szCs w:val="20"/>
                <w:vertAlign w:val="superscript"/>
              </w:rPr>
              <w:t>d</w:t>
            </w:r>
          </w:p>
        </w:tc>
      </w:tr>
      <w:tr w:rsidR="009703C1" w:rsidRPr="00F00FE6" w14:paraId="1BFED7C7" w14:textId="77777777" w:rsidTr="009F21B9">
        <w:tc>
          <w:tcPr>
            <w:tcW w:w="1915" w:type="dxa"/>
            <w:tcBorders>
              <w:top w:val="nil"/>
              <w:bottom w:val="nil"/>
            </w:tcBorders>
          </w:tcPr>
          <w:p w14:paraId="7C283B8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2E8144D3"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98.60 ± 4.26</w:t>
            </w:r>
            <w:r w:rsidR="000A3586" w:rsidRPr="00F00FE6">
              <w:rPr>
                <w:rFonts w:ascii="Arial" w:hAnsi="Arial" w:cs="Arial"/>
                <w:sz w:val="20"/>
                <w:szCs w:val="20"/>
                <w:vertAlign w:val="superscript"/>
              </w:rPr>
              <w:t>a</w:t>
            </w:r>
          </w:p>
        </w:tc>
        <w:tc>
          <w:tcPr>
            <w:tcW w:w="1915" w:type="dxa"/>
            <w:tcBorders>
              <w:top w:val="nil"/>
              <w:bottom w:val="nil"/>
            </w:tcBorders>
          </w:tcPr>
          <w:p w14:paraId="303A19E9"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94.25 ± 3.23</w:t>
            </w:r>
            <w:r w:rsidR="000A3586" w:rsidRPr="00F00FE6">
              <w:rPr>
                <w:rFonts w:ascii="Arial" w:hAnsi="Arial" w:cs="Arial"/>
                <w:sz w:val="20"/>
                <w:szCs w:val="20"/>
                <w:vertAlign w:val="superscript"/>
              </w:rPr>
              <w:t>b</w:t>
            </w:r>
          </w:p>
        </w:tc>
        <w:tc>
          <w:tcPr>
            <w:tcW w:w="1915" w:type="dxa"/>
            <w:tcBorders>
              <w:top w:val="nil"/>
              <w:bottom w:val="nil"/>
            </w:tcBorders>
          </w:tcPr>
          <w:p w14:paraId="4000CF85"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88.30 ± 2.44</w:t>
            </w:r>
            <w:r w:rsidR="000A3586" w:rsidRPr="00F00FE6">
              <w:rPr>
                <w:rFonts w:ascii="Arial" w:hAnsi="Arial" w:cs="Arial"/>
                <w:sz w:val="20"/>
                <w:szCs w:val="20"/>
                <w:vertAlign w:val="superscript"/>
              </w:rPr>
              <w:t>c</w:t>
            </w:r>
          </w:p>
        </w:tc>
        <w:tc>
          <w:tcPr>
            <w:tcW w:w="1916" w:type="dxa"/>
            <w:tcBorders>
              <w:top w:val="nil"/>
              <w:bottom w:val="nil"/>
            </w:tcBorders>
          </w:tcPr>
          <w:p w14:paraId="7A25ECEA" w14:textId="77777777" w:rsidR="009703C1" w:rsidRPr="00F00FE6" w:rsidRDefault="00427D90" w:rsidP="00144781">
            <w:pPr>
              <w:spacing w:line="480" w:lineRule="auto"/>
              <w:contextualSpacing/>
              <w:rPr>
                <w:rFonts w:ascii="Arial" w:hAnsi="Arial" w:cs="Arial"/>
                <w:b/>
                <w:sz w:val="20"/>
                <w:szCs w:val="20"/>
              </w:rPr>
            </w:pPr>
            <w:r w:rsidRPr="00F00FE6">
              <w:rPr>
                <w:rFonts w:ascii="Arial" w:hAnsi="Arial" w:cs="Arial"/>
                <w:sz w:val="20"/>
                <w:szCs w:val="20"/>
              </w:rPr>
              <w:t>85.15 ± 3.17</w:t>
            </w:r>
            <w:r w:rsidR="000A3586" w:rsidRPr="00F00FE6">
              <w:rPr>
                <w:rFonts w:ascii="Arial" w:hAnsi="Arial" w:cs="Arial"/>
                <w:sz w:val="20"/>
                <w:szCs w:val="20"/>
              </w:rPr>
              <w:t>d</w:t>
            </w:r>
          </w:p>
        </w:tc>
      </w:tr>
      <w:tr w:rsidR="00E12108" w:rsidRPr="00F00FE6" w14:paraId="5DECC85F" w14:textId="77777777" w:rsidTr="009F21B9">
        <w:tc>
          <w:tcPr>
            <w:tcW w:w="1915" w:type="dxa"/>
            <w:tcBorders>
              <w:top w:val="nil"/>
              <w:bottom w:val="nil"/>
            </w:tcBorders>
          </w:tcPr>
          <w:p w14:paraId="1AA8B00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476DCD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6F039A3E"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784130CF"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77FA71C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5EC12E9B" w14:textId="77777777" w:rsidTr="009F21B9">
        <w:tc>
          <w:tcPr>
            <w:tcW w:w="1915" w:type="dxa"/>
            <w:tcBorders>
              <w:top w:val="nil"/>
              <w:bottom w:val="nil"/>
            </w:tcBorders>
          </w:tcPr>
          <w:p w14:paraId="5FCFCAF0"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1A93EA4"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4D4F12C"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4834E56C"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052422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6FB7C1A8" w14:textId="77777777" w:rsidTr="009F21B9">
        <w:tc>
          <w:tcPr>
            <w:tcW w:w="1915" w:type="dxa"/>
            <w:tcBorders>
              <w:top w:val="nil"/>
              <w:bottom w:val="nil"/>
            </w:tcBorders>
          </w:tcPr>
          <w:p w14:paraId="3425D8FC"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020BD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88E3911"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32FE67D"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FAA34C8"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0BBED574" w14:textId="77777777" w:rsidTr="009F21B9">
        <w:tc>
          <w:tcPr>
            <w:tcW w:w="1915" w:type="dxa"/>
            <w:tcBorders>
              <w:top w:val="nil"/>
            </w:tcBorders>
          </w:tcPr>
          <w:p w14:paraId="778D4489"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18B3B60"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71923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01040921"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12DEE333"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330F6B6A" w14:textId="77777777" w:rsidR="002368DD" w:rsidRPr="00F00FE6" w:rsidRDefault="00F522C3" w:rsidP="00772CA8">
      <w:pPr>
        <w:keepNext/>
        <w:keepLines/>
        <w:spacing w:line="480" w:lineRule="auto"/>
        <w:jc w:val="both"/>
        <w:rPr>
          <w:rFonts w:ascii="Arial" w:hAnsi="Arial" w:cs="Arial"/>
          <w:sz w:val="20"/>
          <w:szCs w:val="20"/>
        </w:rPr>
      </w:pPr>
      <w:r w:rsidRPr="00F00FE6">
        <w:rPr>
          <w:rFonts w:ascii="Arial" w:hAnsi="Arial" w:cs="Arial"/>
          <w:sz w:val="20"/>
          <w:szCs w:val="20"/>
        </w:rPr>
        <w:t>Mean within the same row followed by the same letter(s) are not significantly different (P ≤ 0.05) using New Duncan’s Multiple Range Test</w:t>
      </w:r>
    </w:p>
    <w:p w14:paraId="7198A067" w14:textId="77777777" w:rsidR="009703C1" w:rsidRPr="00F00FE6" w:rsidRDefault="002368DD" w:rsidP="00772CA8">
      <w:pPr>
        <w:keepNext/>
        <w:keepLines/>
        <w:spacing w:line="480" w:lineRule="auto"/>
        <w:jc w:val="both"/>
        <w:rPr>
          <w:rFonts w:ascii="Arial" w:hAnsi="Arial" w:cs="Arial"/>
          <w:sz w:val="20"/>
          <w:szCs w:val="20"/>
        </w:rPr>
      </w:pPr>
      <w:r w:rsidRPr="00F00FE6">
        <w:rPr>
          <w:rFonts w:ascii="Arial" w:hAnsi="Arial" w:cs="Arial"/>
          <w:sz w:val="20"/>
          <w:szCs w:val="20"/>
        </w:rPr>
        <w:t xml:space="preserve">Table </w:t>
      </w:r>
      <w:r w:rsidR="00593B00" w:rsidRPr="00F00FE6">
        <w:rPr>
          <w:rFonts w:ascii="Arial" w:hAnsi="Arial" w:cs="Arial"/>
          <w:sz w:val="20"/>
          <w:szCs w:val="20"/>
        </w:rPr>
        <w:t xml:space="preserve">5.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A. paniculata</w:t>
      </w:r>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00593B00" w:rsidRPr="00F00FE6">
        <w:rPr>
          <w:rFonts w:ascii="Arial" w:hAnsi="Arial" w:cs="Arial"/>
          <w:i/>
          <w:iCs/>
          <w:sz w:val="20"/>
          <w:szCs w:val="20"/>
        </w:rPr>
        <w:t>An.</w:t>
      </w:r>
      <w:r w:rsidR="009703C1" w:rsidRPr="00F00FE6">
        <w:rPr>
          <w:rFonts w:ascii="Arial" w:hAnsi="Arial" w:cs="Arial"/>
          <w:i/>
          <w:iCs/>
          <w:sz w:val="20"/>
          <w:szCs w:val="20"/>
        </w:rPr>
        <w:t xml:space="preserve"> gambiae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5A789A0C" w14:textId="77777777" w:rsidTr="00DB375D">
        <w:tc>
          <w:tcPr>
            <w:tcW w:w="1915" w:type="dxa"/>
            <w:tcBorders>
              <w:bottom w:val="nil"/>
            </w:tcBorders>
          </w:tcPr>
          <w:p w14:paraId="074E7E4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94F2668"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1C8161F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2A97EFB6"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1D3EEB0"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94F35E4" w14:textId="77777777" w:rsidTr="00DB375D">
        <w:tc>
          <w:tcPr>
            <w:tcW w:w="1915" w:type="dxa"/>
            <w:tcBorders>
              <w:top w:val="nil"/>
              <w:bottom w:val="single" w:sz="4" w:space="0" w:color="auto"/>
            </w:tcBorders>
          </w:tcPr>
          <w:p w14:paraId="5FBA9C78"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151186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5C6E47A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0DC0E82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C97095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5806C6CE" w14:textId="77777777" w:rsidTr="00DB375D">
        <w:tc>
          <w:tcPr>
            <w:tcW w:w="1915" w:type="dxa"/>
            <w:tcBorders>
              <w:top w:val="single" w:sz="4" w:space="0" w:color="auto"/>
              <w:bottom w:val="nil"/>
            </w:tcBorders>
          </w:tcPr>
          <w:p w14:paraId="3ED31E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433E735"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83.80 ± 3.12</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1639AEF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78.30 ± 2.16</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3DFA74AD"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75.45 ± 2.13</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4C5AF21B" w14:textId="77777777" w:rsidR="009703C1" w:rsidRPr="00F00FE6" w:rsidRDefault="005115CD" w:rsidP="00144781">
            <w:pPr>
              <w:spacing w:line="480" w:lineRule="auto"/>
              <w:contextualSpacing/>
              <w:rPr>
                <w:rFonts w:ascii="Arial" w:hAnsi="Arial" w:cs="Arial"/>
                <w:b/>
                <w:sz w:val="20"/>
                <w:szCs w:val="20"/>
              </w:rPr>
            </w:pPr>
            <w:r w:rsidRPr="00F00FE6">
              <w:rPr>
                <w:rFonts w:ascii="Arial" w:hAnsi="Arial" w:cs="Arial"/>
                <w:sz w:val="20"/>
                <w:szCs w:val="20"/>
              </w:rPr>
              <w:t>72.15 ± 3.33</w:t>
            </w:r>
            <w:r w:rsidR="000A3586" w:rsidRPr="00F00FE6">
              <w:rPr>
                <w:rFonts w:ascii="Arial" w:hAnsi="Arial" w:cs="Arial"/>
                <w:sz w:val="20"/>
                <w:szCs w:val="20"/>
              </w:rPr>
              <w:t>d</w:t>
            </w:r>
          </w:p>
        </w:tc>
      </w:tr>
      <w:tr w:rsidR="009703C1" w:rsidRPr="00F00FE6" w14:paraId="3AE19D3B" w14:textId="77777777" w:rsidTr="009F21B9">
        <w:tc>
          <w:tcPr>
            <w:tcW w:w="1915" w:type="dxa"/>
            <w:tcBorders>
              <w:top w:val="nil"/>
              <w:bottom w:val="nil"/>
            </w:tcBorders>
          </w:tcPr>
          <w:p w14:paraId="1705B43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E0551C"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89.25 ± 2.14</w:t>
            </w:r>
            <w:r w:rsidR="000A3586" w:rsidRPr="00F00FE6">
              <w:rPr>
                <w:rFonts w:ascii="Arial" w:hAnsi="Arial" w:cs="Arial"/>
                <w:sz w:val="20"/>
                <w:szCs w:val="20"/>
                <w:vertAlign w:val="superscript"/>
              </w:rPr>
              <w:t>a</w:t>
            </w:r>
          </w:p>
        </w:tc>
        <w:tc>
          <w:tcPr>
            <w:tcW w:w="1915" w:type="dxa"/>
            <w:tcBorders>
              <w:top w:val="nil"/>
              <w:bottom w:val="nil"/>
            </w:tcBorders>
          </w:tcPr>
          <w:p w14:paraId="492E01E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81.76 ± 2.17</w:t>
            </w:r>
            <w:r w:rsidR="000A3586" w:rsidRPr="00F00FE6">
              <w:rPr>
                <w:rFonts w:ascii="Arial" w:hAnsi="Arial" w:cs="Arial"/>
                <w:sz w:val="20"/>
                <w:szCs w:val="20"/>
                <w:vertAlign w:val="superscript"/>
              </w:rPr>
              <w:t>b</w:t>
            </w:r>
          </w:p>
        </w:tc>
        <w:tc>
          <w:tcPr>
            <w:tcW w:w="1915" w:type="dxa"/>
            <w:tcBorders>
              <w:top w:val="nil"/>
              <w:bottom w:val="nil"/>
            </w:tcBorders>
          </w:tcPr>
          <w:p w14:paraId="050C59AF"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78.50 ± 1.86</w:t>
            </w:r>
            <w:r w:rsidR="000A3586" w:rsidRPr="00F00FE6">
              <w:rPr>
                <w:rFonts w:ascii="Arial" w:hAnsi="Arial" w:cs="Arial"/>
                <w:sz w:val="20"/>
                <w:szCs w:val="20"/>
                <w:vertAlign w:val="superscript"/>
              </w:rPr>
              <w:t>c</w:t>
            </w:r>
          </w:p>
        </w:tc>
        <w:tc>
          <w:tcPr>
            <w:tcW w:w="1916" w:type="dxa"/>
            <w:tcBorders>
              <w:top w:val="nil"/>
              <w:bottom w:val="nil"/>
            </w:tcBorders>
          </w:tcPr>
          <w:p w14:paraId="45D942B9"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78.15 ± 2.11</w:t>
            </w:r>
            <w:r w:rsidR="000A3586" w:rsidRPr="00F00FE6">
              <w:rPr>
                <w:rFonts w:ascii="Arial" w:hAnsi="Arial" w:cs="Arial"/>
                <w:sz w:val="20"/>
                <w:szCs w:val="20"/>
                <w:vertAlign w:val="superscript"/>
              </w:rPr>
              <w:t>d</w:t>
            </w:r>
          </w:p>
        </w:tc>
      </w:tr>
      <w:tr w:rsidR="005115CD" w:rsidRPr="00F00FE6" w14:paraId="627DFFFB" w14:textId="77777777" w:rsidTr="009F21B9">
        <w:tc>
          <w:tcPr>
            <w:tcW w:w="1915" w:type="dxa"/>
            <w:tcBorders>
              <w:top w:val="nil"/>
              <w:bottom w:val="nil"/>
            </w:tcBorders>
          </w:tcPr>
          <w:p w14:paraId="7C59BB18" w14:textId="77777777" w:rsidR="005115CD" w:rsidRPr="00F00FE6" w:rsidRDefault="005115C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196B7FAE"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4C0E08B5"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91.25 ± 3.73</w:t>
            </w:r>
            <w:r w:rsidR="000A3586" w:rsidRPr="00F00FE6">
              <w:rPr>
                <w:rFonts w:ascii="Arial" w:hAnsi="Arial" w:cs="Arial"/>
                <w:sz w:val="20"/>
                <w:szCs w:val="20"/>
                <w:vertAlign w:val="superscript"/>
              </w:rPr>
              <w:t>b</w:t>
            </w:r>
          </w:p>
        </w:tc>
        <w:tc>
          <w:tcPr>
            <w:tcW w:w="1915" w:type="dxa"/>
            <w:tcBorders>
              <w:top w:val="nil"/>
              <w:bottom w:val="nil"/>
            </w:tcBorders>
          </w:tcPr>
          <w:p w14:paraId="5170E111"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87.50 ± 3.38</w:t>
            </w:r>
            <w:r w:rsidR="000A3586" w:rsidRPr="00F00FE6">
              <w:rPr>
                <w:rFonts w:ascii="Arial" w:hAnsi="Arial" w:cs="Arial"/>
                <w:sz w:val="20"/>
                <w:szCs w:val="20"/>
                <w:vertAlign w:val="superscript"/>
              </w:rPr>
              <w:t>c</w:t>
            </w:r>
          </w:p>
        </w:tc>
        <w:tc>
          <w:tcPr>
            <w:tcW w:w="1916" w:type="dxa"/>
            <w:tcBorders>
              <w:top w:val="nil"/>
              <w:bottom w:val="nil"/>
            </w:tcBorders>
          </w:tcPr>
          <w:p w14:paraId="727736CB"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82.48 ± 2.71</w:t>
            </w:r>
            <w:r w:rsidR="000A3586" w:rsidRPr="00F00FE6">
              <w:rPr>
                <w:rFonts w:ascii="Arial" w:hAnsi="Arial" w:cs="Arial"/>
                <w:sz w:val="20"/>
                <w:szCs w:val="20"/>
                <w:vertAlign w:val="superscript"/>
              </w:rPr>
              <w:t>d</w:t>
            </w:r>
          </w:p>
        </w:tc>
      </w:tr>
      <w:tr w:rsidR="000A3586" w:rsidRPr="00F00FE6" w14:paraId="207B2240" w14:textId="77777777" w:rsidTr="009F21B9">
        <w:tc>
          <w:tcPr>
            <w:tcW w:w="1915" w:type="dxa"/>
            <w:tcBorders>
              <w:top w:val="nil"/>
              <w:bottom w:val="nil"/>
            </w:tcBorders>
          </w:tcPr>
          <w:p w14:paraId="16D2324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18E07FF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77996E28"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5423EF6A"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01A48B2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02FB627" w14:textId="77777777" w:rsidTr="009F21B9">
        <w:tc>
          <w:tcPr>
            <w:tcW w:w="1915" w:type="dxa"/>
            <w:tcBorders>
              <w:top w:val="nil"/>
              <w:bottom w:val="nil"/>
            </w:tcBorders>
          </w:tcPr>
          <w:p w14:paraId="2EDDA4E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080B107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B8444D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C51E1DC"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C52666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9D47DE2" w14:textId="77777777" w:rsidTr="009F21B9">
        <w:tc>
          <w:tcPr>
            <w:tcW w:w="1915" w:type="dxa"/>
            <w:tcBorders>
              <w:top w:val="nil"/>
            </w:tcBorders>
          </w:tcPr>
          <w:p w14:paraId="016BDCD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22033849"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09313B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6979D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4A7306B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7EE08D1"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71D4F8DD" w14:textId="77777777" w:rsidR="00593B00" w:rsidRPr="00F00FE6" w:rsidRDefault="00593B00" w:rsidP="00144781">
      <w:pPr>
        <w:autoSpaceDE w:val="0"/>
        <w:autoSpaceDN w:val="0"/>
        <w:adjustRightInd w:val="0"/>
        <w:spacing w:after="0" w:line="480" w:lineRule="auto"/>
        <w:rPr>
          <w:rFonts w:ascii="Arial" w:hAnsi="Arial" w:cs="Arial"/>
          <w:sz w:val="20"/>
          <w:szCs w:val="20"/>
        </w:rPr>
      </w:pPr>
    </w:p>
    <w:p w14:paraId="125C264E" w14:textId="77777777" w:rsidR="00593B00"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0A3586" w:rsidRPr="00F00FE6">
        <w:rPr>
          <w:rFonts w:ascii="Arial" w:hAnsi="Arial" w:cs="Arial"/>
          <w:sz w:val="20"/>
          <w:szCs w:val="20"/>
        </w:rPr>
        <w:t>6</w:t>
      </w:r>
      <w:r w:rsidR="001E088B" w:rsidRPr="00F00FE6">
        <w:rPr>
          <w:rFonts w:ascii="Arial" w:hAnsi="Arial" w:cs="Arial"/>
          <w:sz w:val="20"/>
          <w:szCs w:val="20"/>
        </w:rPr>
        <w:t xml:space="preserve">. Mean % adult </w:t>
      </w:r>
      <w:r w:rsidRPr="00F00FE6">
        <w:rPr>
          <w:rFonts w:ascii="Arial" w:hAnsi="Arial" w:cs="Arial"/>
          <w:sz w:val="20"/>
          <w:szCs w:val="20"/>
        </w:rPr>
        <w:t xml:space="preserve">mortality of </w:t>
      </w:r>
      <w:r w:rsidRPr="00F00FE6">
        <w:rPr>
          <w:rFonts w:ascii="Arial" w:hAnsi="Arial" w:cs="Arial"/>
          <w:i/>
          <w:iCs/>
          <w:sz w:val="20"/>
          <w:szCs w:val="20"/>
        </w:rPr>
        <w:t xml:space="preserve">M. oleifera </w:t>
      </w:r>
      <w:r w:rsidR="002D686A" w:rsidRPr="00F00FE6">
        <w:rPr>
          <w:rFonts w:ascii="Arial" w:hAnsi="Arial" w:cs="Arial"/>
          <w:iCs/>
          <w:sz w:val="20"/>
          <w:szCs w:val="20"/>
        </w:rPr>
        <w:t xml:space="preserve">crude </w:t>
      </w:r>
      <w:r w:rsidR="002D686A" w:rsidRPr="00F00FE6">
        <w:rPr>
          <w:rFonts w:ascii="Arial" w:hAnsi="Arial" w:cs="Arial"/>
          <w:sz w:val="20"/>
          <w:szCs w:val="20"/>
        </w:rPr>
        <w:t xml:space="preserve">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gambiae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4387AC67" w14:textId="77777777" w:rsidTr="00DB375D">
        <w:tc>
          <w:tcPr>
            <w:tcW w:w="1915" w:type="dxa"/>
            <w:tcBorders>
              <w:bottom w:val="nil"/>
            </w:tcBorders>
          </w:tcPr>
          <w:p w14:paraId="7436471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Conc. (ppm)</w:t>
            </w:r>
          </w:p>
        </w:tc>
        <w:tc>
          <w:tcPr>
            <w:tcW w:w="1915" w:type="dxa"/>
            <w:tcBorders>
              <w:bottom w:val="single" w:sz="4" w:space="0" w:color="auto"/>
            </w:tcBorders>
          </w:tcPr>
          <w:p w14:paraId="61522581"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2775B24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69456DF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7996A1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E0A4578" w14:textId="77777777" w:rsidTr="00DB375D">
        <w:tc>
          <w:tcPr>
            <w:tcW w:w="1915" w:type="dxa"/>
            <w:tcBorders>
              <w:top w:val="nil"/>
              <w:bottom w:val="single" w:sz="4" w:space="0" w:color="auto"/>
            </w:tcBorders>
          </w:tcPr>
          <w:p w14:paraId="46EDC029"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9F1CF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CB0072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80E581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6956B27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52318251" w14:textId="77777777" w:rsidTr="00DB375D">
        <w:tc>
          <w:tcPr>
            <w:tcW w:w="1915" w:type="dxa"/>
            <w:tcBorders>
              <w:top w:val="single" w:sz="4" w:space="0" w:color="auto"/>
              <w:bottom w:val="nil"/>
            </w:tcBorders>
          </w:tcPr>
          <w:p w14:paraId="2B17E1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26CB0C" w14:textId="77777777" w:rsidR="00593B00" w:rsidRPr="00F00FE6" w:rsidRDefault="00092E77"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1.33</w:t>
            </w:r>
            <w:r w:rsidR="00533EC6" w:rsidRPr="00F00FE6">
              <w:rPr>
                <w:rFonts w:ascii="Arial" w:hAnsi="Arial" w:cs="Arial"/>
                <w:sz w:val="20"/>
                <w:szCs w:val="20"/>
                <w:vertAlign w:val="superscript"/>
              </w:rPr>
              <w:t>a</w:t>
            </w:r>
          </w:p>
        </w:tc>
        <w:tc>
          <w:tcPr>
            <w:tcW w:w="1915" w:type="dxa"/>
            <w:tcBorders>
              <w:top w:val="single" w:sz="4" w:space="0" w:color="auto"/>
              <w:bottom w:val="nil"/>
            </w:tcBorders>
          </w:tcPr>
          <w:p w14:paraId="414878A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0.87</w:t>
            </w:r>
            <w:r w:rsidR="00533EC6" w:rsidRPr="00F00FE6">
              <w:rPr>
                <w:rFonts w:ascii="Arial" w:hAnsi="Arial" w:cs="Arial"/>
                <w:sz w:val="20"/>
                <w:szCs w:val="20"/>
                <w:vertAlign w:val="superscript"/>
              </w:rPr>
              <w:t>b</w:t>
            </w:r>
          </w:p>
        </w:tc>
        <w:tc>
          <w:tcPr>
            <w:tcW w:w="1915" w:type="dxa"/>
            <w:tcBorders>
              <w:top w:val="single" w:sz="4" w:space="0" w:color="auto"/>
              <w:bottom w:val="nil"/>
            </w:tcBorders>
          </w:tcPr>
          <w:p w14:paraId="144A859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5.20 ± 0.34</w:t>
            </w:r>
            <w:r w:rsidR="00533EC6" w:rsidRPr="00F00FE6">
              <w:rPr>
                <w:rFonts w:ascii="Arial" w:hAnsi="Arial" w:cs="Arial"/>
                <w:sz w:val="20"/>
                <w:szCs w:val="20"/>
                <w:vertAlign w:val="superscript"/>
              </w:rPr>
              <w:t>c</w:t>
            </w:r>
          </w:p>
        </w:tc>
        <w:tc>
          <w:tcPr>
            <w:tcW w:w="1916" w:type="dxa"/>
            <w:tcBorders>
              <w:top w:val="single" w:sz="4" w:space="0" w:color="auto"/>
              <w:bottom w:val="nil"/>
            </w:tcBorders>
          </w:tcPr>
          <w:p w14:paraId="09F3347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4.16 ± 0.21</w:t>
            </w:r>
            <w:r w:rsidR="00533EC6" w:rsidRPr="00F00FE6">
              <w:rPr>
                <w:rFonts w:ascii="Arial" w:hAnsi="Arial" w:cs="Arial"/>
                <w:sz w:val="20"/>
                <w:szCs w:val="20"/>
                <w:vertAlign w:val="superscript"/>
              </w:rPr>
              <w:t>d</w:t>
            </w:r>
          </w:p>
        </w:tc>
      </w:tr>
      <w:tr w:rsidR="00593B00" w:rsidRPr="00F00FE6" w14:paraId="103AB230" w14:textId="77777777" w:rsidTr="009F21B9">
        <w:tc>
          <w:tcPr>
            <w:tcW w:w="1915" w:type="dxa"/>
            <w:tcBorders>
              <w:top w:val="nil"/>
              <w:bottom w:val="nil"/>
            </w:tcBorders>
          </w:tcPr>
          <w:p w14:paraId="50612E4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B390CE5"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34.25</w:t>
            </w:r>
            <w:r w:rsidR="00092E77" w:rsidRPr="00F00FE6">
              <w:rPr>
                <w:rFonts w:ascii="Arial" w:hAnsi="Arial" w:cs="Arial"/>
                <w:sz w:val="20"/>
                <w:szCs w:val="20"/>
              </w:rPr>
              <w:t xml:space="preserve"> ± 1.22</w:t>
            </w:r>
            <w:r w:rsidR="00533EC6" w:rsidRPr="00F00FE6">
              <w:rPr>
                <w:rFonts w:ascii="Arial" w:hAnsi="Arial" w:cs="Arial"/>
                <w:sz w:val="20"/>
                <w:szCs w:val="20"/>
                <w:vertAlign w:val="superscript"/>
              </w:rPr>
              <w:t>a</w:t>
            </w:r>
          </w:p>
        </w:tc>
        <w:tc>
          <w:tcPr>
            <w:tcW w:w="1915" w:type="dxa"/>
            <w:tcBorders>
              <w:top w:val="nil"/>
              <w:bottom w:val="nil"/>
            </w:tcBorders>
          </w:tcPr>
          <w:p w14:paraId="16B08263"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32.16 ± 1.29</w:t>
            </w:r>
            <w:r w:rsidR="00533EC6" w:rsidRPr="00F00FE6">
              <w:rPr>
                <w:rFonts w:ascii="Arial" w:hAnsi="Arial" w:cs="Arial"/>
                <w:sz w:val="20"/>
                <w:szCs w:val="20"/>
                <w:vertAlign w:val="superscript"/>
              </w:rPr>
              <w:t>b</w:t>
            </w:r>
          </w:p>
        </w:tc>
        <w:tc>
          <w:tcPr>
            <w:tcW w:w="1915" w:type="dxa"/>
            <w:tcBorders>
              <w:top w:val="nil"/>
              <w:bottom w:val="nil"/>
            </w:tcBorders>
          </w:tcPr>
          <w:p w14:paraId="0C86D79A"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8.50 ± 0.41</w:t>
            </w:r>
            <w:r w:rsidR="00533EC6" w:rsidRPr="00F00FE6">
              <w:rPr>
                <w:rFonts w:ascii="Arial" w:hAnsi="Arial" w:cs="Arial"/>
                <w:sz w:val="20"/>
                <w:szCs w:val="20"/>
                <w:vertAlign w:val="superscript"/>
              </w:rPr>
              <w:t>c</w:t>
            </w:r>
          </w:p>
        </w:tc>
        <w:tc>
          <w:tcPr>
            <w:tcW w:w="1916" w:type="dxa"/>
            <w:tcBorders>
              <w:top w:val="nil"/>
              <w:bottom w:val="nil"/>
            </w:tcBorders>
          </w:tcPr>
          <w:p w14:paraId="2C09D4EF"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8.22 ± 0.56</w:t>
            </w:r>
            <w:r w:rsidR="00533EC6" w:rsidRPr="00F00FE6">
              <w:rPr>
                <w:rFonts w:ascii="Arial" w:hAnsi="Arial" w:cs="Arial"/>
                <w:sz w:val="20"/>
                <w:szCs w:val="20"/>
                <w:vertAlign w:val="superscript"/>
              </w:rPr>
              <w:t>c</w:t>
            </w:r>
          </w:p>
        </w:tc>
      </w:tr>
      <w:tr w:rsidR="00593B00" w:rsidRPr="00F00FE6" w14:paraId="3E997E1B" w14:textId="77777777" w:rsidTr="009F21B9">
        <w:tc>
          <w:tcPr>
            <w:tcW w:w="1915" w:type="dxa"/>
            <w:tcBorders>
              <w:top w:val="nil"/>
              <w:bottom w:val="nil"/>
            </w:tcBorders>
          </w:tcPr>
          <w:p w14:paraId="36D29B5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9EA336"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52.30 ± 2.16</w:t>
            </w:r>
            <w:r w:rsidR="00533EC6" w:rsidRPr="00F00FE6">
              <w:rPr>
                <w:rFonts w:ascii="Arial" w:hAnsi="Arial" w:cs="Arial"/>
                <w:sz w:val="20"/>
                <w:szCs w:val="20"/>
                <w:vertAlign w:val="superscript"/>
              </w:rPr>
              <w:t>a</w:t>
            </w:r>
          </w:p>
        </w:tc>
        <w:tc>
          <w:tcPr>
            <w:tcW w:w="1915" w:type="dxa"/>
            <w:tcBorders>
              <w:top w:val="nil"/>
              <w:bottom w:val="nil"/>
            </w:tcBorders>
          </w:tcPr>
          <w:p w14:paraId="08E82E74" w14:textId="77777777" w:rsidR="00593B00" w:rsidRPr="00F00FE6" w:rsidRDefault="00092E77" w:rsidP="00144781">
            <w:pPr>
              <w:spacing w:line="480" w:lineRule="auto"/>
              <w:contextualSpacing/>
              <w:rPr>
                <w:rFonts w:ascii="Arial" w:hAnsi="Arial" w:cs="Arial"/>
                <w:b/>
                <w:sz w:val="20"/>
                <w:szCs w:val="20"/>
              </w:rPr>
            </w:pPr>
            <w:r w:rsidRPr="00F00FE6">
              <w:rPr>
                <w:rFonts w:ascii="Arial" w:hAnsi="Arial" w:cs="Arial"/>
                <w:sz w:val="20"/>
                <w:szCs w:val="20"/>
              </w:rPr>
              <w:t>49.15 ± 2.12</w:t>
            </w:r>
            <w:r w:rsidR="00533EC6" w:rsidRPr="00F00FE6">
              <w:rPr>
                <w:rFonts w:ascii="Arial" w:hAnsi="Arial" w:cs="Arial"/>
                <w:sz w:val="20"/>
                <w:szCs w:val="20"/>
                <w:vertAlign w:val="superscript"/>
              </w:rPr>
              <w:t>b</w:t>
            </w:r>
          </w:p>
        </w:tc>
        <w:tc>
          <w:tcPr>
            <w:tcW w:w="1915" w:type="dxa"/>
            <w:tcBorders>
              <w:top w:val="nil"/>
              <w:bottom w:val="nil"/>
            </w:tcBorders>
          </w:tcPr>
          <w:p w14:paraId="4E4AD7D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15.25 ± 0.66</w:t>
            </w:r>
            <w:r w:rsidR="00533EC6" w:rsidRPr="00F00FE6">
              <w:rPr>
                <w:rFonts w:ascii="Arial" w:hAnsi="Arial" w:cs="Arial"/>
                <w:sz w:val="20"/>
                <w:szCs w:val="20"/>
                <w:vertAlign w:val="superscript"/>
              </w:rPr>
              <w:t>c</w:t>
            </w:r>
          </w:p>
        </w:tc>
        <w:tc>
          <w:tcPr>
            <w:tcW w:w="1916" w:type="dxa"/>
            <w:tcBorders>
              <w:top w:val="nil"/>
              <w:bottom w:val="nil"/>
            </w:tcBorders>
          </w:tcPr>
          <w:p w14:paraId="2846C8F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w:t>
            </w:r>
            <w:r w:rsidR="00523310" w:rsidRPr="00F00FE6">
              <w:rPr>
                <w:rFonts w:ascii="Arial" w:hAnsi="Arial" w:cs="Arial"/>
                <w:sz w:val="20"/>
                <w:szCs w:val="20"/>
              </w:rPr>
              <w:t>.50</w:t>
            </w:r>
            <w:r w:rsidRPr="00F00FE6">
              <w:rPr>
                <w:rFonts w:ascii="Arial" w:hAnsi="Arial" w:cs="Arial"/>
                <w:sz w:val="20"/>
                <w:szCs w:val="20"/>
              </w:rPr>
              <w:t xml:space="preserve"> ± 0.27</w:t>
            </w:r>
            <w:r w:rsidR="00533EC6" w:rsidRPr="00F00FE6">
              <w:rPr>
                <w:rFonts w:ascii="Arial" w:hAnsi="Arial" w:cs="Arial"/>
                <w:sz w:val="20"/>
                <w:szCs w:val="20"/>
                <w:vertAlign w:val="superscript"/>
              </w:rPr>
              <w:t>d</w:t>
            </w:r>
          </w:p>
        </w:tc>
      </w:tr>
      <w:tr w:rsidR="00593B00" w:rsidRPr="00F00FE6" w14:paraId="243CDDBB" w14:textId="77777777" w:rsidTr="009F21B9">
        <w:tc>
          <w:tcPr>
            <w:tcW w:w="1915" w:type="dxa"/>
            <w:tcBorders>
              <w:top w:val="nil"/>
              <w:bottom w:val="nil"/>
            </w:tcBorders>
          </w:tcPr>
          <w:p w14:paraId="2187B6B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7A3DD5"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75.50 ± 3.23</w:t>
            </w:r>
            <w:r w:rsidR="00533EC6" w:rsidRPr="00F00FE6">
              <w:rPr>
                <w:rFonts w:ascii="Arial" w:hAnsi="Arial" w:cs="Arial"/>
                <w:sz w:val="20"/>
                <w:szCs w:val="20"/>
                <w:vertAlign w:val="superscript"/>
              </w:rPr>
              <w:t>a</w:t>
            </w:r>
          </w:p>
        </w:tc>
        <w:tc>
          <w:tcPr>
            <w:tcW w:w="1915" w:type="dxa"/>
            <w:tcBorders>
              <w:top w:val="nil"/>
              <w:bottom w:val="nil"/>
            </w:tcBorders>
          </w:tcPr>
          <w:p w14:paraId="62A31807"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68.40 ± 2.71</w:t>
            </w:r>
            <w:r w:rsidR="00533EC6" w:rsidRPr="00F00FE6">
              <w:rPr>
                <w:rFonts w:ascii="Arial" w:hAnsi="Arial" w:cs="Arial"/>
                <w:sz w:val="20"/>
                <w:szCs w:val="20"/>
                <w:vertAlign w:val="superscript"/>
              </w:rPr>
              <w:t>b</w:t>
            </w:r>
          </w:p>
        </w:tc>
        <w:tc>
          <w:tcPr>
            <w:tcW w:w="1915" w:type="dxa"/>
            <w:tcBorders>
              <w:top w:val="nil"/>
              <w:bottom w:val="nil"/>
            </w:tcBorders>
          </w:tcPr>
          <w:p w14:paraId="25DDA3EE"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23.25 ± 0.85</w:t>
            </w:r>
            <w:r w:rsidR="00533EC6" w:rsidRPr="00F00FE6">
              <w:rPr>
                <w:rFonts w:ascii="Arial" w:hAnsi="Arial" w:cs="Arial"/>
                <w:sz w:val="20"/>
                <w:szCs w:val="20"/>
                <w:vertAlign w:val="superscript"/>
              </w:rPr>
              <w:t>c</w:t>
            </w:r>
          </w:p>
        </w:tc>
        <w:tc>
          <w:tcPr>
            <w:tcW w:w="1916" w:type="dxa"/>
            <w:tcBorders>
              <w:top w:val="nil"/>
              <w:bottom w:val="nil"/>
            </w:tcBorders>
          </w:tcPr>
          <w:p w14:paraId="42E69DB4"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19.23 ± 0.72</w:t>
            </w:r>
            <w:r w:rsidR="00533EC6" w:rsidRPr="00F00FE6">
              <w:rPr>
                <w:rFonts w:ascii="Arial" w:hAnsi="Arial" w:cs="Arial"/>
                <w:sz w:val="20"/>
                <w:szCs w:val="20"/>
                <w:vertAlign w:val="superscript"/>
              </w:rPr>
              <w:t>d</w:t>
            </w:r>
          </w:p>
        </w:tc>
      </w:tr>
      <w:tr w:rsidR="00593B00" w:rsidRPr="00F00FE6" w14:paraId="34FA7D19" w14:textId="77777777" w:rsidTr="009F21B9">
        <w:tc>
          <w:tcPr>
            <w:tcW w:w="1915" w:type="dxa"/>
            <w:tcBorders>
              <w:top w:val="nil"/>
              <w:bottom w:val="nil"/>
            </w:tcBorders>
          </w:tcPr>
          <w:p w14:paraId="4E1312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CBA4C03"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w:t>
            </w:r>
            <w:r w:rsidR="00D504FE" w:rsidRPr="00F00FE6">
              <w:rPr>
                <w:rFonts w:ascii="Arial" w:hAnsi="Arial" w:cs="Arial"/>
                <w:sz w:val="20"/>
                <w:szCs w:val="20"/>
              </w:rPr>
              <w:t>.20 ± 3.51</w:t>
            </w:r>
            <w:r w:rsidR="00533EC6" w:rsidRPr="00F00FE6">
              <w:rPr>
                <w:rFonts w:ascii="Arial" w:hAnsi="Arial" w:cs="Arial"/>
                <w:sz w:val="20"/>
                <w:szCs w:val="20"/>
                <w:vertAlign w:val="superscript"/>
              </w:rPr>
              <w:t>a</w:t>
            </w:r>
          </w:p>
        </w:tc>
        <w:tc>
          <w:tcPr>
            <w:tcW w:w="1915" w:type="dxa"/>
            <w:tcBorders>
              <w:top w:val="nil"/>
              <w:bottom w:val="nil"/>
            </w:tcBorders>
          </w:tcPr>
          <w:p w14:paraId="2202E4C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76.35 ± 2.41</w:t>
            </w:r>
            <w:r w:rsidR="00533EC6" w:rsidRPr="00F00FE6">
              <w:rPr>
                <w:rFonts w:ascii="Arial" w:hAnsi="Arial" w:cs="Arial"/>
                <w:sz w:val="20"/>
                <w:szCs w:val="20"/>
                <w:vertAlign w:val="superscript"/>
              </w:rPr>
              <w:t>b</w:t>
            </w:r>
          </w:p>
        </w:tc>
        <w:tc>
          <w:tcPr>
            <w:tcW w:w="1915" w:type="dxa"/>
            <w:tcBorders>
              <w:top w:val="nil"/>
              <w:bottom w:val="nil"/>
            </w:tcBorders>
          </w:tcPr>
          <w:p w14:paraId="6410AB3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30.55 ± 1.12</w:t>
            </w:r>
            <w:r w:rsidR="00533EC6" w:rsidRPr="00F00FE6">
              <w:rPr>
                <w:rFonts w:ascii="Arial" w:hAnsi="Arial" w:cs="Arial"/>
                <w:sz w:val="20"/>
                <w:szCs w:val="20"/>
                <w:vertAlign w:val="superscript"/>
              </w:rPr>
              <w:t>c</w:t>
            </w:r>
          </w:p>
        </w:tc>
        <w:tc>
          <w:tcPr>
            <w:tcW w:w="1916" w:type="dxa"/>
            <w:tcBorders>
              <w:top w:val="nil"/>
              <w:bottom w:val="nil"/>
            </w:tcBorders>
          </w:tcPr>
          <w:p w14:paraId="6E8665C1"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28.30 ± 1.16</w:t>
            </w:r>
            <w:r w:rsidR="00533EC6" w:rsidRPr="00F00FE6">
              <w:rPr>
                <w:rFonts w:ascii="Arial" w:hAnsi="Arial" w:cs="Arial"/>
                <w:sz w:val="20"/>
                <w:szCs w:val="20"/>
                <w:vertAlign w:val="superscript"/>
              </w:rPr>
              <w:t>d</w:t>
            </w:r>
          </w:p>
        </w:tc>
      </w:tr>
      <w:tr w:rsidR="00593B00" w:rsidRPr="00F00FE6" w14:paraId="4ABEB5A6" w14:textId="77777777" w:rsidTr="009F21B9">
        <w:tc>
          <w:tcPr>
            <w:tcW w:w="1915" w:type="dxa"/>
            <w:tcBorders>
              <w:top w:val="nil"/>
            </w:tcBorders>
          </w:tcPr>
          <w:p w14:paraId="089DF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2EEAE15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3D448E3"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1FCE45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6" w:type="dxa"/>
            <w:tcBorders>
              <w:top w:val="nil"/>
            </w:tcBorders>
          </w:tcPr>
          <w:p w14:paraId="5DD18A97"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r>
    </w:tbl>
    <w:p w14:paraId="114B7647"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7053486" w14:textId="77777777" w:rsidR="00F30B83" w:rsidRPr="00F00FE6" w:rsidRDefault="00F30B83" w:rsidP="00144781">
      <w:pPr>
        <w:autoSpaceDE w:val="0"/>
        <w:autoSpaceDN w:val="0"/>
        <w:adjustRightInd w:val="0"/>
        <w:spacing w:after="0" w:line="480" w:lineRule="auto"/>
        <w:rPr>
          <w:rFonts w:ascii="Arial" w:hAnsi="Arial" w:cs="Arial"/>
          <w:sz w:val="20"/>
          <w:szCs w:val="20"/>
        </w:rPr>
      </w:pPr>
    </w:p>
    <w:p w14:paraId="3DBCAB08" w14:textId="77777777" w:rsidR="002368DD" w:rsidRPr="00F00FE6" w:rsidRDefault="002368DD" w:rsidP="00144781">
      <w:pPr>
        <w:autoSpaceDE w:val="0"/>
        <w:autoSpaceDN w:val="0"/>
        <w:adjustRightInd w:val="0"/>
        <w:spacing w:after="0" w:line="480" w:lineRule="auto"/>
        <w:rPr>
          <w:rFonts w:ascii="Arial" w:hAnsi="Arial" w:cs="Arial"/>
          <w:sz w:val="20"/>
          <w:szCs w:val="20"/>
        </w:rPr>
      </w:pPr>
    </w:p>
    <w:p w14:paraId="09FA2E26" w14:textId="77777777" w:rsidR="00593B00"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0A3586" w:rsidRPr="00F00FE6">
        <w:rPr>
          <w:rFonts w:ascii="Arial" w:hAnsi="Arial" w:cs="Arial"/>
          <w:sz w:val="20"/>
          <w:szCs w:val="20"/>
        </w:rPr>
        <w:t>7</w:t>
      </w:r>
      <w:r w:rsidRPr="00F00FE6">
        <w:rPr>
          <w:rFonts w:ascii="Arial" w:hAnsi="Arial" w:cs="Arial"/>
          <w:sz w:val="20"/>
          <w:szCs w:val="20"/>
        </w:rPr>
        <w:t xml:space="preserve">. Mean % adult  mortality of </w:t>
      </w:r>
      <w:r w:rsidR="00DD1CA2" w:rsidRPr="00F00FE6">
        <w:rPr>
          <w:rFonts w:ascii="Arial" w:eastAsia="Times New Roman" w:hAnsi="Arial" w:cs="Arial"/>
          <w:bCs/>
          <w:i/>
          <w:sz w:val="20"/>
          <w:szCs w:val="20"/>
        </w:rPr>
        <w:t>E.</w:t>
      </w:r>
      <w:r w:rsidR="00DD1CA2" w:rsidRPr="00F00FE6">
        <w:rPr>
          <w:rFonts w:ascii="Arial" w:eastAsia="Times New Roman" w:hAnsi="Arial" w:cs="Arial"/>
          <w:bCs/>
          <w:sz w:val="20"/>
          <w:szCs w:val="20"/>
        </w:rPr>
        <w:t xml:space="preserve"> </w:t>
      </w:r>
      <w:r w:rsidR="00DD1CA2" w:rsidRPr="00F00FE6">
        <w:rPr>
          <w:rFonts w:ascii="Arial" w:eastAsia="Times New Roman" w:hAnsi="Arial" w:cs="Arial"/>
          <w:bCs/>
          <w:i/>
          <w:sz w:val="20"/>
          <w:szCs w:val="20"/>
        </w:rPr>
        <w:t>citriodora</w:t>
      </w:r>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gambiae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399F82D8" w14:textId="77777777" w:rsidTr="00DB375D">
        <w:tc>
          <w:tcPr>
            <w:tcW w:w="1915" w:type="dxa"/>
            <w:tcBorders>
              <w:bottom w:val="nil"/>
            </w:tcBorders>
          </w:tcPr>
          <w:p w14:paraId="5DC90BEB"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04DB255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663454D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0A6CA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19B115D6"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980F12C" w14:textId="77777777" w:rsidTr="00DB375D">
        <w:tc>
          <w:tcPr>
            <w:tcW w:w="1915" w:type="dxa"/>
            <w:tcBorders>
              <w:top w:val="nil"/>
              <w:bottom w:val="single" w:sz="4" w:space="0" w:color="auto"/>
            </w:tcBorders>
          </w:tcPr>
          <w:p w14:paraId="376B5E1E"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D0665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964B66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57B78B8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771882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60DE1AB2" w14:textId="77777777" w:rsidTr="00DB375D">
        <w:tc>
          <w:tcPr>
            <w:tcW w:w="1915" w:type="dxa"/>
            <w:tcBorders>
              <w:top w:val="single" w:sz="4" w:space="0" w:color="auto"/>
              <w:bottom w:val="nil"/>
            </w:tcBorders>
          </w:tcPr>
          <w:p w14:paraId="02B0F6E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9FC0408" w14:textId="77777777" w:rsidR="00593B00" w:rsidRPr="00F00FE6" w:rsidRDefault="005B469F" w:rsidP="00144781">
            <w:pPr>
              <w:spacing w:line="480" w:lineRule="auto"/>
              <w:contextualSpacing/>
              <w:rPr>
                <w:rFonts w:ascii="Arial" w:hAnsi="Arial" w:cs="Arial"/>
                <w:sz w:val="20"/>
                <w:szCs w:val="20"/>
                <w:vertAlign w:val="superscript"/>
              </w:rPr>
            </w:pPr>
            <w:r w:rsidRPr="00F00FE6">
              <w:rPr>
                <w:rFonts w:ascii="Arial" w:hAnsi="Arial" w:cs="Arial"/>
                <w:sz w:val="20"/>
                <w:szCs w:val="20"/>
              </w:rPr>
              <w:t>28.30 ± 1.15</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34338F23"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26.10 ± 1.13</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3906EF3B"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8.25 ± 0.36</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A14892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7.31 ± 0.27</w:t>
            </w:r>
            <w:r w:rsidR="00D376AE" w:rsidRPr="00F00FE6">
              <w:rPr>
                <w:rFonts w:ascii="Arial" w:hAnsi="Arial" w:cs="Arial"/>
                <w:sz w:val="20"/>
                <w:szCs w:val="20"/>
                <w:vertAlign w:val="superscript"/>
              </w:rPr>
              <w:t>d</w:t>
            </w:r>
          </w:p>
        </w:tc>
      </w:tr>
      <w:tr w:rsidR="00593B00" w:rsidRPr="00F00FE6" w14:paraId="7A6B8926" w14:textId="77777777" w:rsidTr="009F21B9">
        <w:tc>
          <w:tcPr>
            <w:tcW w:w="1915" w:type="dxa"/>
            <w:tcBorders>
              <w:top w:val="nil"/>
              <w:bottom w:val="nil"/>
            </w:tcBorders>
          </w:tcPr>
          <w:p w14:paraId="43B2F8B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3FCDE26"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40.50 ± 1.64</w:t>
            </w:r>
            <w:r w:rsidR="00D376AE" w:rsidRPr="00F00FE6">
              <w:rPr>
                <w:rFonts w:ascii="Arial" w:hAnsi="Arial" w:cs="Arial"/>
                <w:sz w:val="20"/>
                <w:szCs w:val="20"/>
                <w:vertAlign w:val="superscript"/>
              </w:rPr>
              <w:t>a</w:t>
            </w:r>
          </w:p>
        </w:tc>
        <w:tc>
          <w:tcPr>
            <w:tcW w:w="1915" w:type="dxa"/>
            <w:tcBorders>
              <w:top w:val="nil"/>
              <w:bottom w:val="nil"/>
            </w:tcBorders>
          </w:tcPr>
          <w:p w14:paraId="56E324D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36.78 ± 0.88</w:t>
            </w:r>
            <w:r w:rsidR="00D376AE" w:rsidRPr="00F00FE6">
              <w:rPr>
                <w:rFonts w:ascii="Arial" w:hAnsi="Arial" w:cs="Arial"/>
                <w:sz w:val="20"/>
                <w:szCs w:val="20"/>
                <w:vertAlign w:val="superscript"/>
              </w:rPr>
              <w:t>b</w:t>
            </w:r>
          </w:p>
        </w:tc>
        <w:tc>
          <w:tcPr>
            <w:tcW w:w="1915" w:type="dxa"/>
            <w:tcBorders>
              <w:top w:val="nil"/>
              <w:bottom w:val="nil"/>
            </w:tcBorders>
          </w:tcPr>
          <w:p w14:paraId="6308CEBA" w14:textId="77777777" w:rsidR="00593B00" w:rsidRPr="00F00FE6" w:rsidRDefault="005B469F" w:rsidP="00144781">
            <w:pPr>
              <w:spacing w:line="480" w:lineRule="auto"/>
              <w:contextualSpacing/>
              <w:rPr>
                <w:rFonts w:ascii="Arial" w:hAnsi="Arial" w:cs="Arial"/>
                <w:b/>
                <w:sz w:val="20"/>
                <w:szCs w:val="20"/>
              </w:rPr>
            </w:pPr>
            <w:r w:rsidRPr="00F00FE6">
              <w:rPr>
                <w:rFonts w:ascii="Arial" w:hAnsi="Arial" w:cs="Arial"/>
                <w:sz w:val="20"/>
                <w:szCs w:val="20"/>
              </w:rPr>
              <w:t>16.50 ± 0.41</w:t>
            </w:r>
            <w:r w:rsidR="00D376AE" w:rsidRPr="00F00FE6">
              <w:rPr>
                <w:rFonts w:ascii="Arial" w:hAnsi="Arial" w:cs="Arial"/>
                <w:sz w:val="20"/>
                <w:szCs w:val="20"/>
                <w:vertAlign w:val="superscript"/>
              </w:rPr>
              <w:t>c</w:t>
            </w:r>
          </w:p>
        </w:tc>
        <w:tc>
          <w:tcPr>
            <w:tcW w:w="1916" w:type="dxa"/>
            <w:tcBorders>
              <w:top w:val="nil"/>
              <w:bottom w:val="nil"/>
            </w:tcBorders>
          </w:tcPr>
          <w:p w14:paraId="63EF9D1F"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14.17 ± 0.52</w:t>
            </w:r>
            <w:r w:rsidR="00D376AE" w:rsidRPr="00F00FE6">
              <w:rPr>
                <w:rFonts w:ascii="Arial" w:hAnsi="Arial" w:cs="Arial"/>
                <w:sz w:val="20"/>
                <w:szCs w:val="20"/>
                <w:vertAlign w:val="superscript"/>
              </w:rPr>
              <w:t>d</w:t>
            </w:r>
          </w:p>
        </w:tc>
      </w:tr>
      <w:tr w:rsidR="00593B00" w:rsidRPr="00F00FE6" w14:paraId="0419C8BB" w14:textId="77777777" w:rsidTr="009F21B9">
        <w:tc>
          <w:tcPr>
            <w:tcW w:w="1915" w:type="dxa"/>
            <w:tcBorders>
              <w:top w:val="nil"/>
              <w:bottom w:val="nil"/>
            </w:tcBorders>
          </w:tcPr>
          <w:p w14:paraId="0A795D4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6CFD65C1"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58.30 ± 2.31</w:t>
            </w:r>
            <w:r w:rsidR="00D376AE" w:rsidRPr="00F00FE6">
              <w:rPr>
                <w:rFonts w:ascii="Arial" w:hAnsi="Arial" w:cs="Arial"/>
                <w:sz w:val="20"/>
                <w:szCs w:val="20"/>
                <w:vertAlign w:val="superscript"/>
              </w:rPr>
              <w:t>a</w:t>
            </w:r>
          </w:p>
        </w:tc>
        <w:tc>
          <w:tcPr>
            <w:tcW w:w="1915" w:type="dxa"/>
            <w:tcBorders>
              <w:top w:val="nil"/>
              <w:bottom w:val="nil"/>
            </w:tcBorders>
          </w:tcPr>
          <w:p w14:paraId="503596F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48.50 ± 1.27</w:t>
            </w:r>
            <w:r w:rsidR="00D376AE" w:rsidRPr="00F00FE6">
              <w:rPr>
                <w:rFonts w:ascii="Arial" w:hAnsi="Arial" w:cs="Arial"/>
                <w:sz w:val="20"/>
                <w:szCs w:val="20"/>
                <w:vertAlign w:val="superscript"/>
              </w:rPr>
              <w:t>b</w:t>
            </w:r>
          </w:p>
        </w:tc>
        <w:tc>
          <w:tcPr>
            <w:tcW w:w="1915" w:type="dxa"/>
            <w:tcBorders>
              <w:top w:val="nil"/>
              <w:bottom w:val="nil"/>
            </w:tcBorders>
          </w:tcPr>
          <w:p w14:paraId="32ECA93E"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19.22 ± 1.06</w:t>
            </w:r>
            <w:r w:rsidR="00D376AE" w:rsidRPr="00F00FE6">
              <w:rPr>
                <w:rFonts w:ascii="Arial" w:hAnsi="Arial" w:cs="Arial"/>
                <w:sz w:val="20"/>
                <w:szCs w:val="20"/>
                <w:vertAlign w:val="superscript"/>
              </w:rPr>
              <w:t>c</w:t>
            </w:r>
          </w:p>
        </w:tc>
        <w:tc>
          <w:tcPr>
            <w:tcW w:w="1916" w:type="dxa"/>
            <w:tcBorders>
              <w:top w:val="nil"/>
              <w:bottom w:val="nil"/>
            </w:tcBorders>
          </w:tcPr>
          <w:p w14:paraId="3C25758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 ± 1.13</w:t>
            </w:r>
            <w:r w:rsidR="00D376AE" w:rsidRPr="00F00FE6">
              <w:rPr>
                <w:rFonts w:ascii="Arial" w:hAnsi="Arial" w:cs="Arial"/>
                <w:sz w:val="20"/>
                <w:szCs w:val="20"/>
                <w:vertAlign w:val="superscript"/>
              </w:rPr>
              <w:t>d</w:t>
            </w:r>
          </w:p>
        </w:tc>
      </w:tr>
      <w:tr w:rsidR="00593B00" w:rsidRPr="00F00FE6" w14:paraId="3040DE82" w14:textId="77777777" w:rsidTr="009F21B9">
        <w:tc>
          <w:tcPr>
            <w:tcW w:w="1915" w:type="dxa"/>
            <w:tcBorders>
              <w:top w:val="nil"/>
              <w:bottom w:val="nil"/>
            </w:tcBorders>
          </w:tcPr>
          <w:p w14:paraId="6C3672D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FE18CA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74.25 ± 2.73</w:t>
            </w:r>
            <w:r w:rsidR="00D376AE" w:rsidRPr="00F00FE6">
              <w:rPr>
                <w:rFonts w:ascii="Arial" w:hAnsi="Arial" w:cs="Arial"/>
                <w:sz w:val="20"/>
                <w:szCs w:val="20"/>
                <w:vertAlign w:val="superscript"/>
              </w:rPr>
              <w:t>a</w:t>
            </w:r>
          </w:p>
        </w:tc>
        <w:tc>
          <w:tcPr>
            <w:tcW w:w="1915" w:type="dxa"/>
            <w:tcBorders>
              <w:top w:val="nil"/>
              <w:bottom w:val="nil"/>
            </w:tcBorders>
          </w:tcPr>
          <w:p w14:paraId="0ADEEDE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70.50 ± 3.27</w:t>
            </w:r>
            <w:r w:rsidR="00D376AE" w:rsidRPr="00F00FE6">
              <w:rPr>
                <w:rFonts w:ascii="Arial" w:hAnsi="Arial" w:cs="Arial"/>
                <w:sz w:val="20"/>
                <w:szCs w:val="20"/>
                <w:vertAlign w:val="superscript"/>
              </w:rPr>
              <w:t>b</w:t>
            </w:r>
          </w:p>
        </w:tc>
        <w:tc>
          <w:tcPr>
            <w:tcW w:w="1915" w:type="dxa"/>
            <w:tcBorders>
              <w:top w:val="nil"/>
              <w:bottom w:val="nil"/>
            </w:tcBorders>
          </w:tcPr>
          <w:p w14:paraId="255A09D8"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26.15 ± 1.21</w:t>
            </w:r>
            <w:r w:rsidR="00D376AE" w:rsidRPr="00F00FE6">
              <w:rPr>
                <w:rFonts w:ascii="Arial" w:hAnsi="Arial" w:cs="Arial"/>
                <w:sz w:val="20"/>
                <w:szCs w:val="20"/>
                <w:vertAlign w:val="superscript"/>
              </w:rPr>
              <w:t>c</w:t>
            </w:r>
          </w:p>
        </w:tc>
        <w:tc>
          <w:tcPr>
            <w:tcW w:w="1916" w:type="dxa"/>
            <w:tcBorders>
              <w:top w:val="nil"/>
              <w:bottom w:val="nil"/>
            </w:tcBorders>
          </w:tcPr>
          <w:p w14:paraId="0A386329"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25.20 ± 1.14</w:t>
            </w:r>
            <w:r w:rsidR="00D376AE" w:rsidRPr="00F00FE6">
              <w:rPr>
                <w:rFonts w:ascii="Arial" w:hAnsi="Arial" w:cs="Arial"/>
                <w:sz w:val="20"/>
                <w:szCs w:val="20"/>
                <w:vertAlign w:val="superscript"/>
              </w:rPr>
              <w:t>c</w:t>
            </w:r>
          </w:p>
        </w:tc>
      </w:tr>
      <w:tr w:rsidR="00593B00" w:rsidRPr="00F00FE6" w14:paraId="195F17BA" w14:textId="77777777" w:rsidTr="009F21B9">
        <w:tc>
          <w:tcPr>
            <w:tcW w:w="1915" w:type="dxa"/>
            <w:tcBorders>
              <w:top w:val="nil"/>
              <w:bottom w:val="nil"/>
            </w:tcBorders>
          </w:tcPr>
          <w:p w14:paraId="43A4E70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8410F61"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90.20 ± 4.18</w:t>
            </w:r>
            <w:r w:rsidR="00D376AE" w:rsidRPr="00F00FE6">
              <w:rPr>
                <w:rFonts w:ascii="Arial" w:hAnsi="Arial" w:cs="Arial"/>
                <w:sz w:val="20"/>
                <w:szCs w:val="20"/>
                <w:vertAlign w:val="superscript"/>
              </w:rPr>
              <w:t>a</w:t>
            </w:r>
          </w:p>
        </w:tc>
        <w:tc>
          <w:tcPr>
            <w:tcW w:w="1915" w:type="dxa"/>
            <w:tcBorders>
              <w:top w:val="nil"/>
              <w:bottom w:val="nil"/>
            </w:tcBorders>
          </w:tcPr>
          <w:p w14:paraId="62F7C96A"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87.68 ± 3.12</w:t>
            </w:r>
            <w:r w:rsidR="00D376AE" w:rsidRPr="00F00FE6">
              <w:rPr>
                <w:rFonts w:ascii="Arial" w:hAnsi="Arial" w:cs="Arial"/>
                <w:sz w:val="20"/>
                <w:szCs w:val="20"/>
                <w:vertAlign w:val="superscript"/>
              </w:rPr>
              <w:t>b</w:t>
            </w:r>
          </w:p>
        </w:tc>
        <w:tc>
          <w:tcPr>
            <w:tcW w:w="1915" w:type="dxa"/>
            <w:tcBorders>
              <w:top w:val="nil"/>
              <w:bottom w:val="nil"/>
            </w:tcBorders>
          </w:tcPr>
          <w:p w14:paraId="56F6C4C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29.50 ± 1.25</w:t>
            </w:r>
            <w:r w:rsidR="00D376AE" w:rsidRPr="00F00FE6">
              <w:rPr>
                <w:rFonts w:ascii="Arial" w:hAnsi="Arial" w:cs="Arial"/>
                <w:sz w:val="20"/>
                <w:szCs w:val="20"/>
                <w:vertAlign w:val="superscript"/>
              </w:rPr>
              <w:t>c</w:t>
            </w:r>
          </w:p>
        </w:tc>
        <w:tc>
          <w:tcPr>
            <w:tcW w:w="1916" w:type="dxa"/>
            <w:tcBorders>
              <w:top w:val="nil"/>
              <w:bottom w:val="nil"/>
            </w:tcBorders>
          </w:tcPr>
          <w:p w14:paraId="53E87F0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27.60 ± 0.71</w:t>
            </w:r>
            <w:r w:rsidR="00D376AE" w:rsidRPr="00F00FE6">
              <w:rPr>
                <w:rFonts w:ascii="Arial" w:hAnsi="Arial" w:cs="Arial"/>
                <w:sz w:val="20"/>
                <w:szCs w:val="20"/>
                <w:vertAlign w:val="superscript"/>
              </w:rPr>
              <w:t>d</w:t>
            </w:r>
          </w:p>
        </w:tc>
      </w:tr>
      <w:tr w:rsidR="00593B00" w:rsidRPr="00F00FE6" w14:paraId="354C104D" w14:textId="77777777" w:rsidTr="009F21B9">
        <w:tc>
          <w:tcPr>
            <w:tcW w:w="1915" w:type="dxa"/>
            <w:tcBorders>
              <w:top w:val="nil"/>
            </w:tcBorders>
          </w:tcPr>
          <w:p w14:paraId="701DF3A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819AA55"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1BA8562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23FEA0EA"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7A6FFD0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d</w:t>
            </w:r>
          </w:p>
        </w:tc>
      </w:tr>
    </w:tbl>
    <w:p w14:paraId="421A2A8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0DE1446" w14:textId="77777777" w:rsidR="00A45B77" w:rsidRPr="00F00FE6" w:rsidRDefault="00A45B77" w:rsidP="00144781">
      <w:pPr>
        <w:autoSpaceDE w:val="0"/>
        <w:autoSpaceDN w:val="0"/>
        <w:adjustRightInd w:val="0"/>
        <w:spacing w:after="0" w:line="480" w:lineRule="auto"/>
        <w:rPr>
          <w:rFonts w:ascii="Arial" w:hAnsi="Arial" w:cs="Arial"/>
          <w:b/>
          <w:sz w:val="20"/>
          <w:szCs w:val="20"/>
        </w:rPr>
      </w:pPr>
    </w:p>
    <w:p w14:paraId="62BC80BE" w14:textId="77777777" w:rsidR="00593B00"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0A3586" w:rsidRPr="00F00FE6">
        <w:rPr>
          <w:rFonts w:ascii="Arial" w:hAnsi="Arial" w:cs="Arial"/>
          <w:sz w:val="20"/>
          <w:szCs w:val="20"/>
        </w:rPr>
        <w:t>8</w:t>
      </w:r>
      <w:r w:rsidRPr="00F00FE6">
        <w:rPr>
          <w:rFonts w:ascii="Arial" w:hAnsi="Arial" w:cs="Arial"/>
          <w:sz w:val="20"/>
          <w:szCs w:val="20"/>
        </w:rPr>
        <w:t xml:space="preserve">. Mean % adult  mortality of </w:t>
      </w:r>
      <w:r w:rsidR="00DD1CA2" w:rsidRPr="00F00FE6">
        <w:rPr>
          <w:rFonts w:ascii="Arial" w:eastAsia="Times New Roman" w:hAnsi="Arial" w:cs="Arial"/>
          <w:bCs/>
          <w:i/>
          <w:sz w:val="20"/>
          <w:szCs w:val="20"/>
        </w:rPr>
        <w:t>M. peperita</w:t>
      </w:r>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gambiae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8AE42C2" w14:textId="77777777" w:rsidTr="00DB375D">
        <w:tc>
          <w:tcPr>
            <w:tcW w:w="1915" w:type="dxa"/>
            <w:tcBorders>
              <w:bottom w:val="nil"/>
            </w:tcBorders>
          </w:tcPr>
          <w:p w14:paraId="74A3E5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Conc. (ppm)</w:t>
            </w:r>
          </w:p>
        </w:tc>
        <w:tc>
          <w:tcPr>
            <w:tcW w:w="1915" w:type="dxa"/>
            <w:tcBorders>
              <w:bottom w:val="single" w:sz="4" w:space="0" w:color="auto"/>
            </w:tcBorders>
          </w:tcPr>
          <w:p w14:paraId="4EA9053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3A106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5F934DA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3117CA0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A1E459A" w14:textId="77777777" w:rsidTr="00DB375D">
        <w:tc>
          <w:tcPr>
            <w:tcW w:w="1915" w:type="dxa"/>
            <w:tcBorders>
              <w:top w:val="nil"/>
              <w:bottom w:val="single" w:sz="4" w:space="0" w:color="auto"/>
            </w:tcBorders>
          </w:tcPr>
          <w:p w14:paraId="504412F9" w14:textId="77777777" w:rsidR="00593B00" w:rsidRPr="00F00FE6" w:rsidRDefault="00DB375D" w:rsidP="00DB375D">
            <w:pPr>
              <w:tabs>
                <w:tab w:val="left" w:pos="1680"/>
              </w:tabs>
              <w:spacing w:line="480" w:lineRule="auto"/>
              <w:contextualSpacing/>
              <w:rPr>
                <w:rFonts w:ascii="Arial" w:hAnsi="Arial" w:cs="Arial"/>
                <w:b/>
                <w:sz w:val="20"/>
                <w:szCs w:val="20"/>
              </w:rPr>
            </w:pPr>
            <w:r w:rsidRPr="00F00FE6">
              <w:rPr>
                <w:rFonts w:ascii="Arial" w:hAnsi="Arial" w:cs="Arial"/>
                <w:b/>
                <w:sz w:val="20"/>
                <w:szCs w:val="20"/>
              </w:rPr>
              <w:tab/>
            </w:r>
          </w:p>
        </w:tc>
        <w:tc>
          <w:tcPr>
            <w:tcW w:w="1915" w:type="dxa"/>
            <w:tcBorders>
              <w:top w:val="single" w:sz="4" w:space="0" w:color="auto"/>
              <w:bottom w:val="single" w:sz="4" w:space="0" w:color="auto"/>
            </w:tcBorders>
          </w:tcPr>
          <w:p w14:paraId="5E98B618"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38E962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02425E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75CFA5F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0B83" w:rsidRPr="00F00FE6" w14:paraId="72BFFD22" w14:textId="77777777" w:rsidTr="00DB375D">
        <w:tc>
          <w:tcPr>
            <w:tcW w:w="1915" w:type="dxa"/>
            <w:tcBorders>
              <w:top w:val="single" w:sz="4" w:space="0" w:color="auto"/>
              <w:bottom w:val="nil"/>
            </w:tcBorders>
          </w:tcPr>
          <w:p w14:paraId="3660F532"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0AB473F" w14:textId="77777777" w:rsidR="00F30B83" w:rsidRPr="00F00FE6" w:rsidRDefault="00F30B83" w:rsidP="00144781">
            <w:pPr>
              <w:spacing w:line="480" w:lineRule="auto"/>
              <w:contextualSpacing/>
              <w:rPr>
                <w:rFonts w:ascii="Arial" w:hAnsi="Arial" w:cs="Arial"/>
                <w:sz w:val="20"/>
                <w:szCs w:val="20"/>
                <w:vertAlign w:val="superscript"/>
              </w:rPr>
            </w:pPr>
            <w:r w:rsidRPr="00F00FE6">
              <w:rPr>
                <w:rFonts w:ascii="Arial" w:hAnsi="Arial" w:cs="Arial"/>
                <w:sz w:val="20"/>
                <w:szCs w:val="20"/>
              </w:rPr>
              <w:t>26.50 ± 1.23</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05D90BB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23.71 ± 0.82</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72A22392"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7.15 ± 0.22</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13B809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7.78 ± 0.24</w:t>
            </w:r>
            <w:r w:rsidR="00D376AE" w:rsidRPr="00F00FE6">
              <w:rPr>
                <w:rFonts w:ascii="Arial" w:hAnsi="Arial" w:cs="Arial"/>
                <w:sz w:val="20"/>
                <w:szCs w:val="20"/>
                <w:vertAlign w:val="superscript"/>
              </w:rPr>
              <w:t>c</w:t>
            </w:r>
          </w:p>
        </w:tc>
      </w:tr>
      <w:tr w:rsidR="00F30B83" w:rsidRPr="00F00FE6" w14:paraId="55CBC7AF" w14:textId="77777777" w:rsidTr="009F21B9">
        <w:tc>
          <w:tcPr>
            <w:tcW w:w="1915" w:type="dxa"/>
            <w:tcBorders>
              <w:top w:val="nil"/>
              <w:bottom w:val="nil"/>
            </w:tcBorders>
          </w:tcPr>
          <w:p w14:paraId="4A5F05F9"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A750EC7"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37.95 ± 1.17</w:t>
            </w:r>
            <w:r w:rsidR="00D376AE" w:rsidRPr="00F00FE6">
              <w:rPr>
                <w:rFonts w:ascii="Arial" w:hAnsi="Arial" w:cs="Arial"/>
                <w:sz w:val="20"/>
                <w:szCs w:val="20"/>
                <w:vertAlign w:val="superscript"/>
              </w:rPr>
              <w:t>a</w:t>
            </w:r>
          </w:p>
        </w:tc>
        <w:tc>
          <w:tcPr>
            <w:tcW w:w="1915" w:type="dxa"/>
            <w:tcBorders>
              <w:top w:val="nil"/>
              <w:bottom w:val="nil"/>
            </w:tcBorders>
          </w:tcPr>
          <w:p w14:paraId="37C4C2A8"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33.50 ± 1.12</w:t>
            </w:r>
            <w:r w:rsidR="00D376AE" w:rsidRPr="00F00FE6">
              <w:rPr>
                <w:rFonts w:ascii="Arial" w:hAnsi="Arial" w:cs="Arial"/>
                <w:sz w:val="20"/>
                <w:szCs w:val="20"/>
                <w:vertAlign w:val="superscript"/>
              </w:rPr>
              <w:t>b</w:t>
            </w:r>
          </w:p>
        </w:tc>
        <w:tc>
          <w:tcPr>
            <w:tcW w:w="1915" w:type="dxa"/>
            <w:tcBorders>
              <w:top w:val="nil"/>
              <w:bottom w:val="nil"/>
            </w:tcBorders>
          </w:tcPr>
          <w:p w14:paraId="126C831F"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0.47</w:t>
            </w:r>
            <w:r w:rsidR="00D376AE" w:rsidRPr="00F00FE6">
              <w:rPr>
                <w:rFonts w:ascii="Arial" w:hAnsi="Arial" w:cs="Arial"/>
                <w:sz w:val="20"/>
                <w:szCs w:val="20"/>
                <w:vertAlign w:val="superscript"/>
              </w:rPr>
              <w:t>c</w:t>
            </w:r>
          </w:p>
        </w:tc>
        <w:tc>
          <w:tcPr>
            <w:tcW w:w="1916" w:type="dxa"/>
            <w:tcBorders>
              <w:top w:val="nil"/>
              <w:bottom w:val="nil"/>
            </w:tcBorders>
          </w:tcPr>
          <w:p w14:paraId="67EEF8CD"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12.27 ± 0.44</w:t>
            </w:r>
            <w:r w:rsidR="00D376AE" w:rsidRPr="00F00FE6">
              <w:rPr>
                <w:rFonts w:ascii="Arial" w:hAnsi="Arial" w:cs="Arial"/>
                <w:sz w:val="20"/>
                <w:szCs w:val="20"/>
                <w:vertAlign w:val="superscript"/>
              </w:rPr>
              <w:t>d</w:t>
            </w:r>
          </w:p>
        </w:tc>
      </w:tr>
      <w:tr w:rsidR="00F30B83" w:rsidRPr="00F00FE6" w14:paraId="3A6DE69B" w14:textId="77777777" w:rsidTr="009F21B9">
        <w:tc>
          <w:tcPr>
            <w:tcW w:w="1915" w:type="dxa"/>
            <w:tcBorders>
              <w:top w:val="nil"/>
              <w:bottom w:val="nil"/>
            </w:tcBorders>
          </w:tcPr>
          <w:p w14:paraId="05B85E0B"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CFC7AD4"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55.25 ±</w:t>
            </w:r>
            <w:r w:rsidR="0069400A" w:rsidRPr="00F00FE6">
              <w:rPr>
                <w:rFonts w:ascii="Arial" w:hAnsi="Arial" w:cs="Arial"/>
                <w:sz w:val="20"/>
                <w:szCs w:val="20"/>
              </w:rPr>
              <w:t xml:space="preserve"> 1.83</w:t>
            </w:r>
            <w:r w:rsidR="00D376AE" w:rsidRPr="00F00FE6">
              <w:rPr>
                <w:rFonts w:ascii="Arial" w:hAnsi="Arial" w:cs="Arial"/>
                <w:sz w:val="20"/>
                <w:szCs w:val="20"/>
                <w:vertAlign w:val="superscript"/>
              </w:rPr>
              <w:t>a</w:t>
            </w:r>
          </w:p>
        </w:tc>
        <w:tc>
          <w:tcPr>
            <w:tcW w:w="1915" w:type="dxa"/>
            <w:tcBorders>
              <w:top w:val="nil"/>
              <w:bottom w:val="nil"/>
            </w:tcBorders>
          </w:tcPr>
          <w:p w14:paraId="4D00DEA6"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44.35</w:t>
            </w:r>
            <w:r w:rsidR="00F30B83" w:rsidRPr="00F00FE6">
              <w:rPr>
                <w:rFonts w:ascii="Arial" w:hAnsi="Arial" w:cs="Arial"/>
                <w:sz w:val="20"/>
                <w:szCs w:val="20"/>
              </w:rPr>
              <w:t xml:space="preserve"> ±</w:t>
            </w:r>
            <w:r w:rsidRPr="00F00FE6">
              <w:rPr>
                <w:rFonts w:ascii="Arial" w:hAnsi="Arial" w:cs="Arial"/>
                <w:sz w:val="20"/>
                <w:szCs w:val="20"/>
              </w:rPr>
              <w:t xml:space="preserve"> 1.14</w:t>
            </w:r>
            <w:r w:rsidR="00D376AE" w:rsidRPr="00F00FE6">
              <w:rPr>
                <w:rFonts w:ascii="Arial" w:hAnsi="Arial" w:cs="Arial"/>
                <w:sz w:val="20"/>
                <w:szCs w:val="20"/>
                <w:vertAlign w:val="superscript"/>
              </w:rPr>
              <w:t>b</w:t>
            </w:r>
          </w:p>
        </w:tc>
        <w:tc>
          <w:tcPr>
            <w:tcW w:w="1915" w:type="dxa"/>
            <w:tcBorders>
              <w:top w:val="nil"/>
              <w:bottom w:val="nil"/>
            </w:tcBorders>
          </w:tcPr>
          <w:p w14:paraId="356A52A8"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w:t>
            </w:r>
            <w:r w:rsidR="00F30B83" w:rsidRPr="00F00FE6">
              <w:rPr>
                <w:rFonts w:ascii="Arial" w:hAnsi="Arial" w:cs="Arial"/>
                <w:sz w:val="20"/>
                <w:szCs w:val="20"/>
              </w:rPr>
              <w:t xml:space="preserve"> ±</w:t>
            </w:r>
            <w:r w:rsidRPr="00F00FE6">
              <w:rPr>
                <w:rFonts w:ascii="Arial" w:hAnsi="Arial" w:cs="Arial"/>
                <w:sz w:val="20"/>
                <w:szCs w:val="20"/>
              </w:rPr>
              <w:t xml:space="preserve"> 0.6</w:t>
            </w:r>
            <w:r w:rsidR="00F30B83" w:rsidRPr="00F00FE6">
              <w:rPr>
                <w:rFonts w:ascii="Arial" w:hAnsi="Arial" w:cs="Arial"/>
                <w:sz w:val="20"/>
                <w:szCs w:val="20"/>
              </w:rPr>
              <w:t>6</w:t>
            </w:r>
            <w:r w:rsidR="00D376AE" w:rsidRPr="00F00FE6">
              <w:rPr>
                <w:rFonts w:ascii="Arial" w:hAnsi="Arial" w:cs="Arial"/>
                <w:sz w:val="20"/>
                <w:szCs w:val="20"/>
                <w:vertAlign w:val="superscript"/>
              </w:rPr>
              <w:t>c</w:t>
            </w:r>
          </w:p>
        </w:tc>
        <w:tc>
          <w:tcPr>
            <w:tcW w:w="1916" w:type="dxa"/>
            <w:tcBorders>
              <w:top w:val="nil"/>
              <w:bottom w:val="nil"/>
            </w:tcBorders>
          </w:tcPr>
          <w:p w14:paraId="4AF1D464"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w:t>
            </w:r>
            <w:r w:rsidR="00F30B83" w:rsidRPr="00F00FE6">
              <w:rPr>
                <w:rFonts w:ascii="Arial" w:hAnsi="Arial" w:cs="Arial"/>
                <w:sz w:val="20"/>
                <w:szCs w:val="20"/>
              </w:rPr>
              <w:t>.50 ±</w:t>
            </w:r>
            <w:r w:rsidRPr="00F00FE6">
              <w:rPr>
                <w:rFonts w:ascii="Arial" w:hAnsi="Arial" w:cs="Arial"/>
                <w:sz w:val="20"/>
                <w:szCs w:val="20"/>
              </w:rPr>
              <w:t xml:space="preserve"> 0.51</w:t>
            </w:r>
            <w:r w:rsidR="00D376AE" w:rsidRPr="00F00FE6">
              <w:rPr>
                <w:rFonts w:ascii="Arial" w:hAnsi="Arial" w:cs="Arial"/>
                <w:sz w:val="20"/>
                <w:szCs w:val="20"/>
                <w:vertAlign w:val="superscript"/>
              </w:rPr>
              <w:t>d</w:t>
            </w:r>
          </w:p>
        </w:tc>
      </w:tr>
      <w:tr w:rsidR="0069400A" w:rsidRPr="00F00FE6" w14:paraId="6A28B3DD" w14:textId="77777777" w:rsidTr="009F21B9">
        <w:tc>
          <w:tcPr>
            <w:tcW w:w="1915" w:type="dxa"/>
            <w:tcBorders>
              <w:top w:val="nil"/>
              <w:bottom w:val="nil"/>
            </w:tcBorders>
          </w:tcPr>
          <w:p w14:paraId="25349FD4"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E4417C"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3.23</w:t>
            </w:r>
            <w:r w:rsidR="00D376AE" w:rsidRPr="00F00FE6">
              <w:rPr>
                <w:rFonts w:ascii="Arial" w:hAnsi="Arial" w:cs="Arial"/>
                <w:sz w:val="20"/>
                <w:szCs w:val="20"/>
                <w:vertAlign w:val="superscript"/>
              </w:rPr>
              <w:t>a</w:t>
            </w:r>
          </w:p>
        </w:tc>
        <w:tc>
          <w:tcPr>
            <w:tcW w:w="1915" w:type="dxa"/>
            <w:tcBorders>
              <w:top w:val="nil"/>
              <w:bottom w:val="nil"/>
            </w:tcBorders>
          </w:tcPr>
          <w:p w14:paraId="45B11819"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68.55 ± 2.17</w:t>
            </w:r>
            <w:r w:rsidR="00D376AE" w:rsidRPr="00F00FE6">
              <w:rPr>
                <w:rFonts w:ascii="Arial" w:hAnsi="Arial" w:cs="Arial"/>
                <w:sz w:val="20"/>
                <w:szCs w:val="20"/>
                <w:vertAlign w:val="superscript"/>
              </w:rPr>
              <w:t>b</w:t>
            </w:r>
          </w:p>
        </w:tc>
        <w:tc>
          <w:tcPr>
            <w:tcW w:w="1915" w:type="dxa"/>
            <w:tcBorders>
              <w:top w:val="nil"/>
              <w:bottom w:val="nil"/>
            </w:tcBorders>
          </w:tcPr>
          <w:p w14:paraId="35F660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24.32 ± 0.66</w:t>
            </w:r>
            <w:r w:rsidR="00D376AE" w:rsidRPr="00F00FE6">
              <w:rPr>
                <w:rFonts w:ascii="Arial" w:hAnsi="Arial" w:cs="Arial"/>
                <w:sz w:val="20"/>
                <w:szCs w:val="20"/>
                <w:vertAlign w:val="superscript"/>
              </w:rPr>
              <w:t>c</w:t>
            </w:r>
          </w:p>
        </w:tc>
        <w:tc>
          <w:tcPr>
            <w:tcW w:w="1916" w:type="dxa"/>
            <w:tcBorders>
              <w:top w:val="nil"/>
              <w:bottom w:val="nil"/>
            </w:tcBorders>
          </w:tcPr>
          <w:p w14:paraId="47D5A506"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21.25 ± 0.72</w:t>
            </w:r>
            <w:r w:rsidR="00D376AE" w:rsidRPr="00F00FE6">
              <w:rPr>
                <w:rFonts w:ascii="Arial" w:hAnsi="Arial" w:cs="Arial"/>
                <w:sz w:val="20"/>
                <w:szCs w:val="20"/>
                <w:vertAlign w:val="superscript"/>
              </w:rPr>
              <w:t>d</w:t>
            </w:r>
          </w:p>
        </w:tc>
      </w:tr>
      <w:tr w:rsidR="0069400A" w:rsidRPr="00F00FE6" w14:paraId="524DE79A" w14:textId="77777777" w:rsidTr="009F21B9">
        <w:tc>
          <w:tcPr>
            <w:tcW w:w="1915" w:type="dxa"/>
            <w:tcBorders>
              <w:top w:val="nil"/>
              <w:bottom w:val="nil"/>
            </w:tcBorders>
          </w:tcPr>
          <w:p w14:paraId="36891993"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4A6F2A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86.23 ± 3.15</w:t>
            </w:r>
            <w:r w:rsidR="00D376AE" w:rsidRPr="00F00FE6">
              <w:rPr>
                <w:rFonts w:ascii="Arial" w:hAnsi="Arial" w:cs="Arial"/>
                <w:sz w:val="20"/>
                <w:szCs w:val="20"/>
                <w:vertAlign w:val="superscript"/>
              </w:rPr>
              <w:t>a</w:t>
            </w:r>
          </w:p>
        </w:tc>
        <w:tc>
          <w:tcPr>
            <w:tcW w:w="1915" w:type="dxa"/>
            <w:tcBorders>
              <w:top w:val="nil"/>
              <w:bottom w:val="nil"/>
            </w:tcBorders>
          </w:tcPr>
          <w:p w14:paraId="53B78067"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80.25 ± 3.16</w:t>
            </w:r>
            <w:r w:rsidR="00D376AE" w:rsidRPr="00F00FE6">
              <w:rPr>
                <w:rFonts w:ascii="Arial" w:hAnsi="Arial" w:cs="Arial"/>
                <w:sz w:val="20"/>
                <w:szCs w:val="20"/>
                <w:vertAlign w:val="superscript"/>
              </w:rPr>
              <w:t>b</w:t>
            </w:r>
          </w:p>
        </w:tc>
        <w:tc>
          <w:tcPr>
            <w:tcW w:w="1915" w:type="dxa"/>
            <w:tcBorders>
              <w:top w:val="nil"/>
              <w:bottom w:val="nil"/>
            </w:tcBorders>
          </w:tcPr>
          <w:p w14:paraId="41C5CECD"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26.24 ± 0.66</w:t>
            </w:r>
            <w:r w:rsidR="00D376AE" w:rsidRPr="00F00FE6">
              <w:rPr>
                <w:rFonts w:ascii="Arial" w:hAnsi="Arial" w:cs="Arial"/>
                <w:sz w:val="20"/>
                <w:szCs w:val="20"/>
                <w:vertAlign w:val="superscript"/>
              </w:rPr>
              <w:t>c</w:t>
            </w:r>
          </w:p>
        </w:tc>
        <w:tc>
          <w:tcPr>
            <w:tcW w:w="1916" w:type="dxa"/>
            <w:tcBorders>
              <w:top w:val="nil"/>
              <w:bottom w:val="nil"/>
            </w:tcBorders>
          </w:tcPr>
          <w:p w14:paraId="5C9B7114"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0.92</w:t>
            </w:r>
            <w:r w:rsidR="00D376AE" w:rsidRPr="00F00FE6">
              <w:rPr>
                <w:rFonts w:ascii="Arial" w:hAnsi="Arial" w:cs="Arial"/>
                <w:sz w:val="20"/>
                <w:szCs w:val="20"/>
                <w:vertAlign w:val="superscript"/>
              </w:rPr>
              <w:t>d</w:t>
            </w:r>
          </w:p>
        </w:tc>
      </w:tr>
      <w:tr w:rsidR="0069400A" w:rsidRPr="00F00FE6" w14:paraId="2E0D53D8" w14:textId="77777777" w:rsidTr="009F21B9">
        <w:tc>
          <w:tcPr>
            <w:tcW w:w="1915" w:type="dxa"/>
            <w:tcBorders>
              <w:top w:val="nil"/>
            </w:tcBorders>
          </w:tcPr>
          <w:p w14:paraId="11BAE8E6"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A856CE3" w14:textId="77777777" w:rsidR="0069400A" w:rsidRPr="00F00FE6" w:rsidRDefault="0069400A" w:rsidP="00144781">
            <w:pPr>
              <w:spacing w:line="480" w:lineRule="auto"/>
              <w:rPr>
                <w:rFonts w:ascii="Arial" w:hAnsi="Arial" w:cs="Arial"/>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7BAF162E"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06F2DB20"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2DCD0A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r>
    </w:tbl>
    <w:p w14:paraId="50564EF9"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A208791"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6CFD88BC" w14:textId="77777777" w:rsidR="00593B00" w:rsidRPr="00F00FE6" w:rsidRDefault="00DD1CA2"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0A3586" w:rsidRPr="00F00FE6">
        <w:rPr>
          <w:rFonts w:ascii="Arial" w:hAnsi="Arial" w:cs="Arial"/>
          <w:sz w:val="20"/>
          <w:szCs w:val="20"/>
        </w:rPr>
        <w:t>9</w:t>
      </w:r>
      <w:r w:rsidR="00593B00" w:rsidRPr="00F00FE6">
        <w:rPr>
          <w:rFonts w:ascii="Arial" w:hAnsi="Arial" w:cs="Arial"/>
          <w:sz w:val="20"/>
          <w:szCs w:val="20"/>
        </w:rPr>
        <w:t xml:space="preserve">. Mean % adult mortality of </w:t>
      </w:r>
      <w:r w:rsidRPr="00F00FE6">
        <w:rPr>
          <w:rFonts w:ascii="Arial" w:hAnsi="Arial" w:cs="Arial"/>
          <w:i/>
          <w:iCs/>
          <w:sz w:val="20"/>
          <w:szCs w:val="20"/>
        </w:rPr>
        <w:t>A. indica</w:t>
      </w:r>
      <w:r w:rsidR="00593B00"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00593B00" w:rsidRPr="00F00FE6">
        <w:rPr>
          <w:rFonts w:ascii="Arial" w:hAnsi="Arial" w:cs="Arial"/>
          <w:sz w:val="20"/>
          <w:szCs w:val="20"/>
        </w:rPr>
        <w:t xml:space="preserve">extracts at different rates against </w:t>
      </w:r>
      <w:r w:rsidRPr="00F00FE6">
        <w:rPr>
          <w:rFonts w:ascii="Arial" w:hAnsi="Arial" w:cs="Arial"/>
          <w:i/>
          <w:iCs/>
          <w:sz w:val="20"/>
          <w:szCs w:val="20"/>
        </w:rPr>
        <w:t>An.</w:t>
      </w:r>
      <w:r w:rsidR="00593B00" w:rsidRPr="00F00FE6">
        <w:rPr>
          <w:rFonts w:ascii="Arial" w:hAnsi="Arial" w:cs="Arial"/>
          <w:i/>
          <w:iCs/>
          <w:sz w:val="20"/>
          <w:szCs w:val="20"/>
        </w:rPr>
        <w:t xml:space="preserve"> gambiae </w:t>
      </w:r>
      <w:r w:rsidR="00593B00"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56645BEB" w14:textId="77777777" w:rsidTr="00DB375D">
        <w:tc>
          <w:tcPr>
            <w:tcW w:w="1915" w:type="dxa"/>
            <w:tcBorders>
              <w:bottom w:val="nil"/>
            </w:tcBorders>
          </w:tcPr>
          <w:p w14:paraId="557383F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4B9980E7"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5AF2FB4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369EB91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022EBF0F"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7935B8EA" w14:textId="77777777" w:rsidTr="00DB375D">
        <w:tc>
          <w:tcPr>
            <w:tcW w:w="1915" w:type="dxa"/>
            <w:tcBorders>
              <w:top w:val="nil"/>
              <w:bottom w:val="single" w:sz="4" w:space="0" w:color="auto"/>
            </w:tcBorders>
          </w:tcPr>
          <w:p w14:paraId="63272C6D"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0E02B3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2E699B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3A51A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2FEB840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0736CE" w:rsidRPr="00F00FE6" w14:paraId="6F13468D" w14:textId="77777777" w:rsidTr="00DB375D">
        <w:tc>
          <w:tcPr>
            <w:tcW w:w="1915" w:type="dxa"/>
            <w:tcBorders>
              <w:top w:val="single" w:sz="4" w:space="0" w:color="auto"/>
              <w:bottom w:val="nil"/>
            </w:tcBorders>
          </w:tcPr>
          <w:p w14:paraId="1D03F32E" w14:textId="77777777" w:rsidR="000736CE" w:rsidRPr="00F00FE6" w:rsidRDefault="000736CE"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3B94DD17" w14:textId="77777777" w:rsidR="000736CE" w:rsidRPr="00F00FE6" w:rsidRDefault="000736CE" w:rsidP="00144781">
            <w:pPr>
              <w:spacing w:line="480" w:lineRule="auto"/>
              <w:contextualSpacing/>
              <w:rPr>
                <w:rFonts w:ascii="Arial" w:hAnsi="Arial" w:cs="Arial"/>
                <w:sz w:val="20"/>
                <w:szCs w:val="20"/>
                <w:vertAlign w:val="superscript"/>
              </w:rPr>
            </w:pPr>
            <w:r w:rsidRPr="00F00FE6">
              <w:rPr>
                <w:rFonts w:ascii="Arial" w:hAnsi="Arial" w:cs="Arial"/>
                <w:sz w:val="20"/>
                <w:szCs w:val="20"/>
              </w:rPr>
              <w:t>35.30 ± 1.22</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58F289BB"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1.13</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6B9AA49F"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18.25 ± 0.62</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6AA51DD"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16</w:t>
            </w:r>
            <w:r w:rsidR="00BA6802" w:rsidRPr="00F00FE6">
              <w:rPr>
                <w:rFonts w:ascii="Arial" w:hAnsi="Arial" w:cs="Arial"/>
                <w:sz w:val="20"/>
                <w:szCs w:val="20"/>
              </w:rPr>
              <w:t>.15</w:t>
            </w:r>
            <w:r w:rsidRPr="00F00FE6">
              <w:rPr>
                <w:rFonts w:ascii="Arial" w:hAnsi="Arial" w:cs="Arial"/>
                <w:sz w:val="20"/>
                <w:szCs w:val="20"/>
              </w:rPr>
              <w:t xml:space="preserve"> ±</w:t>
            </w:r>
            <w:r w:rsidR="00BA6802" w:rsidRPr="00F00FE6">
              <w:rPr>
                <w:rFonts w:ascii="Arial" w:hAnsi="Arial" w:cs="Arial"/>
                <w:sz w:val="20"/>
                <w:szCs w:val="20"/>
              </w:rPr>
              <w:t xml:space="preserve"> 0.58</w:t>
            </w:r>
            <w:r w:rsidR="004C0D54" w:rsidRPr="00F00FE6">
              <w:rPr>
                <w:rFonts w:ascii="Arial" w:hAnsi="Arial" w:cs="Arial"/>
                <w:sz w:val="20"/>
                <w:szCs w:val="20"/>
                <w:vertAlign w:val="superscript"/>
              </w:rPr>
              <w:t>d</w:t>
            </w:r>
          </w:p>
        </w:tc>
      </w:tr>
      <w:tr w:rsidR="00BA6802" w:rsidRPr="00F00FE6" w14:paraId="34B15817" w14:textId="77777777" w:rsidTr="009F21B9">
        <w:tc>
          <w:tcPr>
            <w:tcW w:w="1915" w:type="dxa"/>
            <w:tcBorders>
              <w:top w:val="nil"/>
              <w:bottom w:val="nil"/>
            </w:tcBorders>
          </w:tcPr>
          <w:p w14:paraId="51868310"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05ECFC2"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46.46 ± 1.23</w:t>
            </w:r>
            <w:r w:rsidR="004C0D54" w:rsidRPr="00F00FE6">
              <w:rPr>
                <w:rFonts w:ascii="Arial" w:hAnsi="Arial" w:cs="Arial"/>
                <w:sz w:val="20"/>
                <w:szCs w:val="20"/>
                <w:vertAlign w:val="superscript"/>
              </w:rPr>
              <w:t>a</w:t>
            </w:r>
          </w:p>
        </w:tc>
        <w:tc>
          <w:tcPr>
            <w:tcW w:w="1915" w:type="dxa"/>
            <w:tcBorders>
              <w:top w:val="nil"/>
              <w:bottom w:val="nil"/>
            </w:tcBorders>
          </w:tcPr>
          <w:p w14:paraId="4055223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41.20 ± 1.23</w:t>
            </w:r>
            <w:r w:rsidR="004C0D54" w:rsidRPr="00F00FE6">
              <w:rPr>
                <w:rFonts w:ascii="Arial" w:hAnsi="Arial" w:cs="Arial"/>
                <w:sz w:val="20"/>
                <w:szCs w:val="20"/>
                <w:vertAlign w:val="superscript"/>
              </w:rPr>
              <w:t>b</w:t>
            </w:r>
          </w:p>
        </w:tc>
        <w:tc>
          <w:tcPr>
            <w:tcW w:w="1915" w:type="dxa"/>
            <w:tcBorders>
              <w:top w:val="nil"/>
              <w:bottom w:val="nil"/>
            </w:tcBorders>
          </w:tcPr>
          <w:p w14:paraId="1D0F530E"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0.65</w:t>
            </w:r>
            <w:r w:rsidR="004C0D54" w:rsidRPr="00F00FE6">
              <w:rPr>
                <w:rFonts w:ascii="Arial" w:hAnsi="Arial" w:cs="Arial"/>
                <w:sz w:val="20"/>
                <w:szCs w:val="20"/>
                <w:vertAlign w:val="superscript"/>
              </w:rPr>
              <w:t>c</w:t>
            </w:r>
          </w:p>
        </w:tc>
        <w:tc>
          <w:tcPr>
            <w:tcW w:w="1916" w:type="dxa"/>
            <w:tcBorders>
              <w:top w:val="nil"/>
              <w:bottom w:val="nil"/>
            </w:tcBorders>
          </w:tcPr>
          <w:p w14:paraId="6FF2123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20.25 ± 0.78</w:t>
            </w:r>
            <w:r w:rsidR="004C0D54" w:rsidRPr="00F00FE6">
              <w:rPr>
                <w:rFonts w:ascii="Arial" w:hAnsi="Arial" w:cs="Arial"/>
                <w:sz w:val="20"/>
                <w:szCs w:val="20"/>
                <w:vertAlign w:val="superscript"/>
              </w:rPr>
              <w:t>d</w:t>
            </w:r>
          </w:p>
        </w:tc>
      </w:tr>
      <w:tr w:rsidR="00BA6802" w:rsidRPr="00F00FE6" w14:paraId="3F6420C0" w14:textId="77777777" w:rsidTr="009F21B9">
        <w:tc>
          <w:tcPr>
            <w:tcW w:w="1915" w:type="dxa"/>
            <w:tcBorders>
              <w:top w:val="nil"/>
              <w:bottom w:val="nil"/>
            </w:tcBorders>
          </w:tcPr>
          <w:p w14:paraId="128D464C"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0CE8037"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65.15 ± 2.66</w:t>
            </w:r>
            <w:r w:rsidR="004C0D54" w:rsidRPr="00F00FE6">
              <w:rPr>
                <w:rFonts w:ascii="Arial" w:hAnsi="Arial" w:cs="Arial"/>
                <w:sz w:val="20"/>
                <w:szCs w:val="20"/>
                <w:vertAlign w:val="superscript"/>
              </w:rPr>
              <w:t>a</w:t>
            </w:r>
          </w:p>
        </w:tc>
        <w:tc>
          <w:tcPr>
            <w:tcW w:w="1915" w:type="dxa"/>
            <w:tcBorders>
              <w:top w:val="nil"/>
              <w:bottom w:val="nil"/>
            </w:tcBorders>
          </w:tcPr>
          <w:p w14:paraId="1D199713"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61.30 ± 2.41</w:t>
            </w:r>
            <w:r w:rsidR="004C0D54" w:rsidRPr="00F00FE6">
              <w:rPr>
                <w:rFonts w:ascii="Arial" w:hAnsi="Arial" w:cs="Arial"/>
                <w:sz w:val="20"/>
                <w:szCs w:val="20"/>
                <w:vertAlign w:val="superscript"/>
              </w:rPr>
              <w:t>b</w:t>
            </w:r>
          </w:p>
        </w:tc>
        <w:tc>
          <w:tcPr>
            <w:tcW w:w="1915" w:type="dxa"/>
            <w:tcBorders>
              <w:top w:val="nil"/>
              <w:bottom w:val="nil"/>
            </w:tcBorders>
          </w:tcPr>
          <w:p w14:paraId="79C5664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28.50 ± 1.18</w:t>
            </w:r>
            <w:r w:rsidR="004C0D54" w:rsidRPr="00F00FE6">
              <w:rPr>
                <w:rFonts w:ascii="Arial" w:hAnsi="Arial" w:cs="Arial"/>
                <w:sz w:val="20"/>
                <w:szCs w:val="20"/>
                <w:vertAlign w:val="superscript"/>
              </w:rPr>
              <w:t>c</w:t>
            </w:r>
          </w:p>
        </w:tc>
        <w:tc>
          <w:tcPr>
            <w:tcW w:w="1916" w:type="dxa"/>
            <w:tcBorders>
              <w:top w:val="nil"/>
              <w:bottom w:val="nil"/>
            </w:tcBorders>
          </w:tcPr>
          <w:p w14:paraId="24F0A7DA"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0.72</w:t>
            </w:r>
            <w:r w:rsidR="004C0D54" w:rsidRPr="00F00FE6">
              <w:rPr>
                <w:rFonts w:ascii="Arial" w:hAnsi="Arial" w:cs="Arial"/>
                <w:sz w:val="20"/>
                <w:szCs w:val="20"/>
                <w:vertAlign w:val="superscript"/>
              </w:rPr>
              <w:t>d</w:t>
            </w:r>
          </w:p>
        </w:tc>
      </w:tr>
      <w:tr w:rsidR="00BA6802" w:rsidRPr="00F00FE6" w14:paraId="531339D1" w14:textId="77777777" w:rsidTr="009F21B9">
        <w:tc>
          <w:tcPr>
            <w:tcW w:w="1915" w:type="dxa"/>
            <w:tcBorders>
              <w:top w:val="nil"/>
              <w:bottom w:val="nil"/>
            </w:tcBorders>
          </w:tcPr>
          <w:p w14:paraId="7F493552"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368F873F"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sz w:val="20"/>
                <w:szCs w:val="20"/>
              </w:rPr>
              <w:t>88.25 ± 3.13</w:t>
            </w:r>
            <w:r w:rsidR="004C0D54" w:rsidRPr="00F00FE6">
              <w:rPr>
                <w:rFonts w:ascii="Arial" w:hAnsi="Arial" w:cs="Arial"/>
                <w:sz w:val="20"/>
                <w:szCs w:val="20"/>
              </w:rPr>
              <w:t>a</w:t>
            </w:r>
          </w:p>
        </w:tc>
        <w:tc>
          <w:tcPr>
            <w:tcW w:w="1915" w:type="dxa"/>
            <w:tcBorders>
              <w:top w:val="nil"/>
              <w:bottom w:val="nil"/>
            </w:tcBorders>
          </w:tcPr>
          <w:p w14:paraId="3B444A7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82.40 ± 3.33</w:t>
            </w:r>
            <w:r w:rsidR="004C0D54" w:rsidRPr="00F00FE6">
              <w:rPr>
                <w:rFonts w:ascii="Arial" w:hAnsi="Arial" w:cs="Arial"/>
                <w:sz w:val="20"/>
                <w:szCs w:val="20"/>
                <w:vertAlign w:val="superscript"/>
              </w:rPr>
              <w:t>b</w:t>
            </w:r>
          </w:p>
        </w:tc>
        <w:tc>
          <w:tcPr>
            <w:tcW w:w="1915" w:type="dxa"/>
            <w:tcBorders>
              <w:top w:val="nil"/>
              <w:bottom w:val="nil"/>
            </w:tcBorders>
          </w:tcPr>
          <w:p w14:paraId="45EA65A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35.12 ± 1.14</w:t>
            </w:r>
            <w:r w:rsidR="004C0D54" w:rsidRPr="00F00FE6">
              <w:rPr>
                <w:rFonts w:ascii="Arial" w:hAnsi="Arial" w:cs="Arial"/>
                <w:sz w:val="20"/>
                <w:szCs w:val="20"/>
                <w:vertAlign w:val="superscript"/>
              </w:rPr>
              <w:t>c</w:t>
            </w:r>
          </w:p>
        </w:tc>
        <w:tc>
          <w:tcPr>
            <w:tcW w:w="1916" w:type="dxa"/>
            <w:tcBorders>
              <w:top w:val="nil"/>
              <w:bottom w:val="nil"/>
            </w:tcBorders>
          </w:tcPr>
          <w:p w14:paraId="4C4A225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w:t>
            </w:r>
            <w:r w:rsidR="00BA0EF6" w:rsidRPr="00F00FE6">
              <w:rPr>
                <w:rFonts w:ascii="Arial" w:hAnsi="Arial" w:cs="Arial"/>
                <w:sz w:val="20"/>
                <w:szCs w:val="20"/>
              </w:rPr>
              <w:t>.38</w:t>
            </w:r>
            <w:r w:rsidRPr="00F00FE6">
              <w:rPr>
                <w:rFonts w:ascii="Arial" w:hAnsi="Arial" w:cs="Arial"/>
                <w:sz w:val="20"/>
                <w:szCs w:val="20"/>
              </w:rPr>
              <w:t xml:space="preserve"> ± 1.23</w:t>
            </w:r>
            <w:r w:rsidR="004C0D54" w:rsidRPr="00F00FE6">
              <w:rPr>
                <w:rFonts w:ascii="Arial" w:hAnsi="Arial" w:cs="Arial"/>
                <w:sz w:val="20"/>
                <w:szCs w:val="20"/>
                <w:vertAlign w:val="superscript"/>
              </w:rPr>
              <w:t>d</w:t>
            </w:r>
          </w:p>
        </w:tc>
      </w:tr>
      <w:tr w:rsidR="002679C2" w:rsidRPr="00F00FE6" w14:paraId="015D3B3B" w14:textId="77777777" w:rsidTr="009F21B9">
        <w:tc>
          <w:tcPr>
            <w:tcW w:w="1915" w:type="dxa"/>
            <w:tcBorders>
              <w:top w:val="nil"/>
              <w:bottom w:val="nil"/>
            </w:tcBorders>
          </w:tcPr>
          <w:p w14:paraId="239DF034"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7D14B63B"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4C0D54" w:rsidRPr="00F00FE6">
              <w:rPr>
                <w:rFonts w:ascii="Arial" w:hAnsi="Arial" w:cs="Arial"/>
                <w:sz w:val="20"/>
                <w:szCs w:val="20"/>
                <w:vertAlign w:val="superscript"/>
              </w:rPr>
              <w:t>a</w:t>
            </w:r>
          </w:p>
        </w:tc>
        <w:tc>
          <w:tcPr>
            <w:tcW w:w="1915" w:type="dxa"/>
            <w:tcBorders>
              <w:top w:val="nil"/>
              <w:bottom w:val="nil"/>
            </w:tcBorders>
          </w:tcPr>
          <w:p w14:paraId="1E9FF03E"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92.50</w:t>
            </w:r>
            <w:r w:rsidR="002679C2" w:rsidRPr="00F00FE6">
              <w:rPr>
                <w:rFonts w:ascii="Arial" w:hAnsi="Arial" w:cs="Arial"/>
                <w:sz w:val="20"/>
                <w:szCs w:val="20"/>
              </w:rPr>
              <w:t xml:space="preserve"> ±</w:t>
            </w:r>
            <w:r w:rsidRPr="00F00FE6">
              <w:rPr>
                <w:rFonts w:ascii="Arial" w:hAnsi="Arial" w:cs="Arial"/>
                <w:sz w:val="20"/>
                <w:szCs w:val="20"/>
              </w:rPr>
              <w:t xml:space="preserve"> 4.41</w:t>
            </w:r>
            <w:r w:rsidR="004C0D54" w:rsidRPr="00F00FE6">
              <w:rPr>
                <w:rFonts w:ascii="Arial" w:hAnsi="Arial" w:cs="Arial"/>
                <w:sz w:val="20"/>
                <w:szCs w:val="20"/>
                <w:vertAlign w:val="superscript"/>
              </w:rPr>
              <w:t>b</w:t>
            </w:r>
          </w:p>
        </w:tc>
        <w:tc>
          <w:tcPr>
            <w:tcW w:w="1915" w:type="dxa"/>
            <w:tcBorders>
              <w:top w:val="nil"/>
              <w:bottom w:val="nil"/>
            </w:tcBorders>
          </w:tcPr>
          <w:p w14:paraId="78D04945"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38.20</w:t>
            </w:r>
            <w:r w:rsidR="002679C2" w:rsidRPr="00F00FE6">
              <w:rPr>
                <w:rFonts w:ascii="Arial" w:hAnsi="Arial" w:cs="Arial"/>
                <w:sz w:val="20"/>
                <w:szCs w:val="20"/>
              </w:rPr>
              <w:t xml:space="preserve"> ±</w:t>
            </w:r>
            <w:r w:rsidRPr="00F00FE6">
              <w:rPr>
                <w:rFonts w:ascii="Arial" w:hAnsi="Arial" w:cs="Arial"/>
                <w:sz w:val="20"/>
                <w:szCs w:val="20"/>
              </w:rPr>
              <w:t xml:space="preserve"> 1.33</w:t>
            </w:r>
            <w:r w:rsidR="004C0D54" w:rsidRPr="00F00FE6">
              <w:rPr>
                <w:rFonts w:ascii="Arial" w:hAnsi="Arial" w:cs="Arial"/>
                <w:sz w:val="20"/>
                <w:szCs w:val="20"/>
                <w:vertAlign w:val="superscript"/>
              </w:rPr>
              <w:t>c</w:t>
            </w:r>
          </w:p>
        </w:tc>
        <w:tc>
          <w:tcPr>
            <w:tcW w:w="1916" w:type="dxa"/>
            <w:tcBorders>
              <w:top w:val="nil"/>
              <w:bottom w:val="nil"/>
            </w:tcBorders>
          </w:tcPr>
          <w:p w14:paraId="6997D898"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32.15</w:t>
            </w:r>
            <w:r w:rsidR="002679C2" w:rsidRPr="00F00FE6">
              <w:rPr>
                <w:rFonts w:ascii="Arial" w:hAnsi="Arial" w:cs="Arial"/>
                <w:sz w:val="20"/>
                <w:szCs w:val="20"/>
              </w:rPr>
              <w:t xml:space="preserve"> ±</w:t>
            </w:r>
            <w:r w:rsidRPr="00F00FE6">
              <w:rPr>
                <w:rFonts w:ascii="Arial" w:hAnsi="Arial" w:cs="Arial"/>
                <w:sz w:val="20"/>
                <w:szCs w:val="20"/>
              </w:rPr>
              <w:t xml:space="preserve"> 1.13</w:t>
            </w:r>
            <w:r w:rsidR="004C0D54" w:rsidRPr="00F00FE6">
              <w:rPr>
                <w:rFonts w:ascii="Arial" w:hAnsi="Arial" w:cs="Arial"/>
                <w:sz w:val="20"/>
                <w:szCs w:val="20"/>
                <w:vertAlign w:val="superscript"/>
              </w:rPr>
              <w:t>d</w:t>
            </w:r>
          </w:p>
        </w:tc>
      </w:tr>
      <w:tr w:rsidR="002679C2" w:rsidRPr="00F00FE6" w14:paraId="273C8093" w14:textId="77777777" w:rsidTr="009F21B9">
        <w:tc>
          <w:tcPr>
            <w:tcW w:w="1915" w:type="dxa"/>
            <w:tcBorders>
              <w:top w:val="nil"/>
            </w:tcBorders>
          </w:tcPr>
          <w:p w14:paraId="70B5EB25"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E0AEACC"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53DE58F8"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407F92A"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10EE7649"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571D47C4"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957052B"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3A6E09BB" w14:textId="77777777" w:rsidR="00593B00" w:rsidRPr="00F00FE6" w:rsidRDefault="00593B00" w:rsidP="00144781">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Table </w:t>
      </w:r>
      <w:r w:rsidR="000A3586" w:rsidRPr="00F00FE6">
        <w:rPr>
          <w:rFonts w:ascii="Arial" w:hAnsi="Arial" w:cs="Arial"/>
          <w:sz w:val="20"/>
          <w:szCs w:val="20"/>
        </w:rPr>
        <w:t>10</w:t>
      </w:r>
      <w:r w:rsidR="002D686A" w:rsidRPr="00F00FE6">
        <w:rPr>
          <w:rFonts w:ascii="Arial" w:hAnsi="Arial" w:cs="Arial"/>
          <w:sz w:val="20"/>
          <w:szCs w:val="20"/>
        </w:rPr>
        <w:t xml:space="preserve">. Mean % adult </w:t>
      </w:r>
      <w:r w:rsidRPr="00F00FE6">
        <w:rPr>
          <w:rFonts w:ascii="Arial" w:hAnsi="Arial" w:cs="Arial"/>
          <w:sz w:val="20"/>
          <w:szCs w:val="20"/>
        </w:rPr>
        <w:t xml:space="preserve">mortality of </w:t>
      </w:r>
      <w:r w:rsidR="00DD1CA2" w:rsidRPr="00F00FE6">
        <w:rPr>
          <w:rFonts w:ascii="Arial" w:hAnsi="Arial" w:cs="Arial"/>
          <w:i/>
          <w:sz w:val="20"/>
          <w:szCs w:val="20"/>
        </w:rPr>
        <w:t>A. paniculata</w:t>
      </w:r>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gambiae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6BE0927" w14:textId="77777777" w:rsidTr="00DB375D">
        <w:tc>
          <w:tcPr>
            <w:tcW w:w="1915" w:type="dxa"/>
            <w:tcBorders>
              <w:bottom w:val="nil"/>
            </w:tcBorders>
          </w:tcPr>
          <w:p w14:paraId="2A780CD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5A929ADB"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4BA7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25AB2C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6C899FA2"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3B02F81" w14:textId="77777777" w:rsidTr="00DB375D">
        <w:tc>
          <w:tcPr>
            <w:tcW w:w="1915" w:type="dxa"/>
            <w:tcBorders>
              <w:top w:val="nil"/>
              <w:bottom w:val="single" w:sz="4" w:space="0" w:color="auto"/>
            </w:tcBorders>
          </w:tcPr>
          <w:p w14:paraId="7372254F"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D0E498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82877D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3898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DDE495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CF7569" w:rsidRPr="00F00FE6" w14:paraId="22896625" w14:textId="77777777" w:rsidTr="00DB375D">
        <w:tc>
          <w:tcPr>
            <w:tcW w:w="1915" w:type="dxa"/>
            <w:tcBorders>
              <w:top w:val="single" w:sz="4" w:space="0" w:color="auto"/>
              <w:bottom w:val="nil"/>
            </w:tcBorders>
          </w:tcPr>
          <w:p w14:paraId="691B115F"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765B7A" w14:textId="77777777" w:rsidR="00CF7569" w:rsidRPr="00F00FE6" w:rsidRDefault="00CF7569"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1.14</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2DA03BBA"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21.50 ± 0.66</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7720115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7.20 ± 0.27</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445BDA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5.17 ± 0.31</w:t>
            </w:r>
            <w:r w:rsidR="004C0D54" w:rsidRPr="00F00FE6">
              <w:rPr>
                <w:rFonts w:ascii="Arial" w:hAnsi="Arial" w:cs="Arial"/>
                <w:sz w:val="20"/>
                <w:szCs w:val="20"/>
                <w:vertAlign w:val="superscript"/>
              </w:rPr>
              <w:t>d</w:t>
            </w:r>
          </w:p>
        </w:tc>
      </w:tr>
      <w:tr w:rsidR="00CF7569" w:rsidRPr="00F00FE6" w14:paraId="6542CD09" w14:textId="77777777" w:rsidTr="009F21B9">
        <w:tc>
          <w:tcPr>
            <w:tcW w:w="1915" w:type="dxa"/>
            <w:tcBorders>
              <w:top w:val="nil"/>
              <w:bottom w:val="nil"/>
            </w:tcBorders>
          </w:tcPr>
          <w:p w14:paraId="0C204EF2"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E81418D"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1.06</w:t>
            </w:r>
            <w:r w:rsidR="004C0D54" w:rsidRPr="00F00FE6">
              <w:rPr>
                <w:rFonts w:ascii="Arial" w:hAnsi="Arial" w:cs="Arial"/>
                <w:sz w:val="20"/>
                <w:szCs w:val="20"/>
                <w:vertAlign w:val="superscript"/>
              </w:rPr>
              <w:t>a</w:t>
            </w:r>
          </w:p>
        </w:tc>
        <w:tc>
          <w:tcPr>
            <w:tcW w:w="1915" w:type="dxa"/>
            <w:tcBorders>
              <w:top w:val="nil"/>
              <w:bottom w:val="nil"/>
            </w:tcBorders>
          </w:tcPr>
          <w:p w14:paraId="4FBC9B6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29.22 ± 1.14</w:t>
            </w:r>
            <w:r w:rsidR="004C0D54" w:rsidRPr="00F00FE6">
              <w:rPr>
                <w:rFonts w:ascii="Arial" w:hAnsi="Arial" w:cs="Arial"/>
                <w:sz w:val="20"/>
                <w:szCs w:val="20"/>
                <w:vertAlign w:val="superscript"/>
              </w:rPr>
              <w:t>b</w:t>
            </w:r>
          </w:p>
        </w:tc>
        <w:tc>
          <w:tcPr>
            <w:tcW w:w="1915" w:type="dxa"/>
            <w:tcBorders>
              <w:top w:val="nil"/>
              <w:bottom w:val="nil"/>
            </w:tcBorders>
          </w:tcPr>
          <w:p w14:paraId="11A3C9A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9.28 ± 0.36</w:t>
            </w:r>
            <w:r w:rsidR="004C0D54" w:rsidRPr="00F00FE6">
              <w:rPr>
                <w:rFonts w:ascii="Arial" w:hAnsi="Arial" w:cs="Arial"/>
                <w:sz w:val="20"/>
                <w:szCs w:val="20"/>
                <w:vertAlign w:val="superscript"/>
              </w:rPr>
              <w:t>c</w:t>
            </w:r>
          </w:p>
        </w:tc>
        <w:tc>
          <w:tcPr>
            <w:tcW w:w="1916" w:type="dxa"/>
            <w:tcBorders>
              <w:top w:val="nil"/>
              <w:bottom w:val="nil"/>
            </w:tcBorders>
          </w:tcPr>
          <w:p w14:paraId="537C5E8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9.20 ± 0.43</w:t>
            </w:r>
            <w:r w:rsidR="004C0D54" w:rsidRPr="00F00FE6">
              <w:rPr>
                <w:rFonts w:ascii="Arial" w:hAnsi="Arial" w:cs="Arial"/>
                <w:sz w:val="20"/>
                <w:szCs w:val="20"/>
                <w:vertAlign w:val="superscript"/>
              </w:rPr>
              <w:t>c</w:t>
            </w:r>
          </w:p>
        </w:tc>
      </w:tr>
      <w:tr w:rsidR="00CF7569" w:rsidRPr="00F00FE6" w14:paraId="09D105E3" w14:textId="77777777" w:rsidTr="009F21B9">
        <w:tc>
          <w:tcPr>
            <w:tcW w:w="1915" w:type="dxa"/>
            <w:tcBorders>
              <w:top w:val="nil"/>
              <w:bottom w:val="nil"/>
            </w:tcBorders>
          </w:tcPr>
          <w:p w14:paraId="4EC0BF5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37A3E9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48.45 ± 1.34</w:t>
            </w:r>
            <w:r w:rsidR="004C0D54" w:rsidRPr="00F00FE6">
              <w:rPr>
                <w:rFonts w:ascii="Arial" w:hAnsi="Arial" w:cs="Arial"/>
                <w:sz w:val="20"/>
                <w:szCs w:val="20"/>
                <w:vertAlign w:val="superscript"/>
              </w:rPr>
              <w:t>a</w:t>
            </w:r>
          </w:p>
        </w:tc>
        <w:tc>
          <w:tcPr>
            <w:tcW w:w="1915" w:type="dxa"/>
            <w:tcBorders>
              <w:top w:val="nil"/>
              <w:bottom w:val="nil"/>
            </w:tcBorders>
          </w:tcPr>
          <w:p w14:paraId="13C0A8C3"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44.50 ± 1.12</w:t>
            </w:r>
            <w:r w:rsidR="004C0D54" w:rsidRPr="00F00FE6">
              <w:rPr>
                <w:rFonts w:ascii="Arial" w:hAnsi="Arial" w:cs="Arial"/>
                <w:sz w:val="20"/>
                <w:szCs w:val="20"/>
                <w:vertAlign w:val="superscript"/>
              </w:rPr>
              <w:t>b</w:t>
            </w:r>
          </w:p>
        </w:tc>
        <w:tc>
          <w:tcPr>
            <w:tcW w:w="1915" w:type="dxa"/>
            <w:tcBorders>
              <w:top w:val="nil"/>
              <w:bottom w:val="nil"/>
            </w:tcBorders>
          </w:tcPr>
          <w:p w14:paraId="6116FC42"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0.38</w:t>
            </w:r>
            <w:r w:rsidR="004C0D54" w:rsidRPr="00F00FE6">
              <w:rPr>
                <w:rFonts w:ascii="Arial" w:hAnsi="Arial" w:cs="Arial"/>
                <w:sz w:val="20"/>
                <w:szCs w:val="20"/>
                <w:vertAlign w:val="superscript"/>
              </w:rPr>
              <w:t>c</w:t>
            </w:r>
          </w:p>
        </w:tc>
        <w:tc>
          <w:tcPr>
            <w:tcW w:w="1916" w:type="dxa"/>
            <w:tcBorders>
              <w:top w:val="nil"/>
              <w:bottom w:val="nil"/>
            </w:tcBorders>
          </w:tcPr>
          <w:p w14:paraId="49D84B6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13.35 ± 0.23</w:t>
            </w:r>
            <w:r w:rsidR="004C0D54" w:rsidRPr="00F00FE6">
              <w:rPr>
                <w:rFonts w:ascii="Arial" w:hAnsi="Arial" w:cs="Arial"/>
                <w:sz w:val="20"/>
                <w:szCs w:val="20"/>
                <w:vertAlign w:val="superscript"/>
              </w:rPr>
              <w:t>d</w:t>
            </w:r>
          </w:p>
        </w:tc>
      </w:tr>
      <w:tr w:rsidR="00CF7569" w:rsidRPr="00F00FE6" w14:paraId="313EE9F0" w14:textId="77777777" w:rsidTr="009F21B9">
        <w:tc>
          <w:tcPr>
            <w:tcW w:w="1915" w:type="dxa"/>
            <w:tcBorders>
              <w:top w:val="nil"/>
              <w:bottom w:val="nil"/>
            </w:tcBorders>
          </w:tcPr>
          <w:p w14:paraId="32DB7EA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299788F1"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72.46 ± 2.77</w:t>
            </w:r>
            <w:r w:rsidR="004C0D54" w:rsidRPr="00F00FE6">
              <w:rPr>
                <w:rFonts w:ascii="Arial" w:hAnsi="Arial" w:cs="Arial"/>
                <w:sz w:val="20"/>
                <w:szCs w:val="20"/>
                <w:vertAlign w:val="superscript"/>
              </w:rPr>
              <w:t>a</w:t>
            </w:r>
          </w:p>
        </w:tc>
        <w:tc>
          <w:tcPr>
            <w:tcW w:w="1915" w:type="dxa"/>
            <w:tcBorders>
              <w:top w:val="nil"/>
              <w:bottom w:val="nil"/>
            </w:tcBorders>
          </w:tcPr>
          <w:p w14:paraId="356D541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64.30 ± 3.18</w:t>
            </w:r>
            <w:r w:rsidR="004C0D54" w:rsidRPr="00F00FE6">
              <w:rPr>
                <w:rFonts w:ascii="Arial" w:hAnsi="Arial" w:cs="Arial"/>
                <w:sz w:val="20"/>
                <w:szCs w:val="20"/>
                <w:vertAlign w:val="superscript"/>
              </w:rPr>
              <w:t>b</w:t>
            </w:r>
          </w:p>
        </w:tc>
        <w:tc>
          <w:tcPr>
            <w:tcW w:w="1915" w:type="dxa"/>
            <w:tcBorders>
              <w:top w:val="nil"/>
              <w:bottom w:val="nil"/>
            </w:tcBorders>
          </w:tcPr>
          <w:p w14:paraId="3E3F448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21.72 ± 0.76</w:t>
            </w:r>
            <w:r w:rsidR="004C0D54" w:rsidRPr="00F00FE6">
              <w:rPr>
                <w:rFonts w:ascii="Arial" w:hAnsi="Arial" w:cs="Arial"/>
                <w:sz w:val="20"/>
                <w:szCs w:val="20"/>
                <w:vertAlign w:val="superscript"/>
              </w:rPr>
              <w:t>c</w:t>
            </w:r>
          </w:p>
        </w:tc>
        <w:tc>
          <w:tcPr>
            <w:tcW w:w="1916" w:type="dxa"/>
            <w:tcBorders>
              <w:top w:val="nil"/>
              <w:bottom w:val="nil"/>
            </w:tcBorders>
          </w:tcPr>
          <w:p w14:paraId="1C34D0E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20.30 ± 0.54</w:t>
            </w:r>
            <w:r w:rsidR="004C0D54" w:rsidRPr="00F00FE6">
              <w:rPr>
                <w:rFonts w:ascii="Arial" w:hAnsi="Arial" w:cs="Arial"/>
                <w:sz w:val="20"/>
                <w:szCs w:val="20"/>
                <w:vertAlign w:val="superscript"/>
              </w:rPr>
              <w:t>d</w:t>
            </w:r>
          </w:p>
        </w:tc>
      </w:tr>
      <w:tr w:rsidR="00CF7569" w:rsidRPr="00F00FE6" w14:paraId="76CFACB7" w14:textId="77777777" w:rsidTr="009F21B9">
        <w:tc>
          <w:tcPr>
            <w:tcW w:w="1915" w:type="dxa"/>
            <w:tcBorders>
              <w:top w:val="nil"/>
              <w:bottom w:val="nil"/>
            </w:tcBorders>
          </w:tcPr>
          <w:p w14:paraId="55A1629E"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513DB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4.22</w:t>
            </w:r>
            <w:r w:rsidR="004C0D54" w:rsidRPr="00F00FE6">
              <w:rPr>
                <w:rFonts w:ascii="Arial" w:hAnsi="Arial" w:cs="Arial"/>
                <w:sz w:val="20"/>
                <w:szCs w:val="20"/>
                <w:vertAlign w:val="superscript"/>
              </w:rPr>
              <w:t>a</w:t>
            </w:r>
          </w:p>
        </w:tc>
        <w:tc>
          <w:tcPr>
            <w:tcW w:w="1915" w:type="dxa"/>
            <w:tcBorders>
              <w:top w:val="nil"/>
              <w:bottom w:val="nil"/>
            </w:tcBorders>
          </w:tcPr>
          <w:p w14:paraId="66B941B0"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78.25</w:t>
            </w:r>
            <w:r w:rsidR="00CF7569" w:rsidRPr="00F00FE6">
              <w:rPr>
                <w:rFonts w:ascii="Arial" w:hAnsi="Arial" w:cs="Arial"/>
                <w:sz w:val="20"/>
                <w:szCs w:val="20"/>
              </w:rPr>
              <w:t xml:space="preserve"> ±</w:t>
            </w:r>
            <w:r w:rsidRPr="00F00FE6">
              <w:rPr>
                <w:rFonts w:ascii="Arial" w:hAnsi="Arial" w:cs="Arial"/>
                <w:sz w:val="20"/>
                <w:szCs w:val="20"/>
              </w:rPr>
              <w:t xml:space="preserve"> 3.23</w:t>
            </w:r>
            <w:r w:rsidR="004C0D54" w:rsidRPr="00F00FE6">
              <w:rPr>
                <w:rFonts w:ascii="Arial" w:hAnsi="Arial" w:cs="Arial"/>
                <w:sz w:val="20"/>
                <w:szCs w:val="20"/>
                <w:vertAlign w:val="superscript"/>
              </w:rPr>
              <w:t>b</w:t>
            </w:r>
          </w:p>
        </w:tc>
        <w:tc>
          <w:tcPr>
            <w:tcW w:w="1915" w:type="dxa"/>
            <w:tcBorders>
              <w:top w:val="nil"/>
              <w:bottom w:val="nil"/>
            </w:tcBorders>
          </w:tcPr>
          <w:p w14:paraId="6C19DD3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28.48</w:t>
            </w:r>
            <w:r w:rsidR="00CF7569" w:rsidRPr="00F00FE6">
              <w:rPr>
                <w:rFonts w:ascii="Arial" w:hAnsi="Arial" w:cs="Arial"/>
                <w:sz w:val="20"/>
                <w:szCs w:val="20"/>
              </w:rPr>
              <w:t xml:space="preserve"> ±</w:t>
            </w:r>
            <w:r w:rsidRPr="00F00FE6">
              <w:rPr>
                <w:rFonts w:ascii="Arial" w:hAnsi="Arial" w:cs="Arial"/>
                <w:sz w:val="20"/>
                <w:szCs w:val="20"/>
              </w:rPr>
              <w:t xml:space="preserve"> 1.06</w:t>
            </w:r>
            <w:r w:rsidR="004C0D54" w:rsidRPr="00F00FE6">
              <w:rPr>
                <w:rFonts w:ascii="Arial" w:hAnsi="Arial" w:cs="Arial"/>
                <w:sz w:val="20"/>
                <w:szCs w:val="20"/>
                <w:vertAlign w:val="superscript"/>
              </w:rPr>
              <w:t>c</w:t>
            </w:r>
          </w:p>
        </w:tc>
        <w:tc>
          <w:tcPr>
            <w:tcW w:w="1916" w:type="dxa"/>
            <w:tcBorders>
              <w:top w:val="nil"/>
              <w:bottom w:val="nil"/>
            </w:tcBorders>
          </w:tcPr>
          <w:p w14:paraId="374896D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26.50</w:t>
            </w:r>
            <w:r w:rsidR="00CF7569" w:rsidRPr="00F00FE6">
              <w:rPr>
                <w:rFonts w:ascii="Arial" w:hAnsi="Arial" w:cs="Arial"/>
                <w:sz w:val="20"/>
                <w:szCs w:val="20"/>
              </w:rPr>
              <w:t xml:space="preserve"> ±</w:t>
            </w:r>
            <w:r w:rsidRPr="00F00FE6">
              <w:rPr>
                <w:rFonts w:ascii="Arial" w:hAnsi="Arial" w:cs="Arial"/>
                <w:sz w:val="20"/>
                <w:szCs w:val="20"/>
              </w:rPr>
              <w:t xml:space="preserve"> 0.81</w:t>
            </w:r>
            <w:r w:rsidR="004C0D54" w:rsidRPr="00F00FE6">
              <w:rPr>
                <w:rFonts w:ascii="Arial" w:hAnsi="Arial" w:cs="Arial"/>
                <w:sz w:val="20"/>
                <w:szCs w:val="20"/>
                <w:vertAlign w:val="superscript"/>
              </w:rPr>
              <w:t>d</w:t>
            </w:r>
          </w:p>
        </w:tc>
      </w:tr>
      <w:tr w:rsidR="00CF7569" w:rsidRPr="00F00FE6" w14:paraId="3828A0EE" w14:textId="77777777" w:rsidTr="009F21B9">
        <w:tc>
          <w:tcPr>
            <w:tcW w:w="1915" w:type="dxa"/>
            <w:tcBorders>
              <w:top w:val="nil"/>
            </w:tcBorders>
          </w:tcPr>
          <w:p w14:paraId="1821D6E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653F120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3FA428EE"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7C312B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31B2EC8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09B2928C"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4C73E9" w:rsidRPr="00F00FE6">
        <w:rPr>
          <w:rFonts w:ascii="Arial" w:hAnsi="Arial" w:cs="Arial"/>
          <w:sz w:val="20"/>
          <w:szCs w:val="20"/>
        </w:rPr>
        <w:t>.</w:t>
      </w:r>
    </w:p>
    <w:p w14:paraId="22ACAE4C" w14:textId="77777777" w:rsidR="00052F9C" w:rsidRPr="00F00FE6" w:rsidRDefault="00144781" w:rsidP="00144781">
      <w:pPr>
        <w:pStyle w:val="Heading2"/>
        <w:spacing w:line="480" w:lineRule="auto"/>
        <w:rPr>
          <w:rFonts w:ascii="Arial" w:hAnsi="Arial" w:cs="Arial"/>
          <w:color w:val="auto"/>
          <w:sz w:val="22"/>
          <w:szCs w:val="22"/>
        </w:rPr>
      </w:pPr>
      <w:r w:rsidRPr="00F00FE6">
        <w:rPr>
          <w:rFonts w:ascii="Arial" w:hAnsi="Arial" w:cs="Arial"/>
          <w:color w:val="auto"/>
          <w:sz w:val="22"/>
          <w:szCs w:val="22"/>
        </w:rPr>
        <w:t>RESULTS</w:t>
      </w:r>
    </w:p>
    <w:p w14:paraId="55A75E3E" w14:textId="77777777" w:rsidR="00052F9C" w:rsidRPr="00F00FE6" w:rsidRDefault="00052F9C" w:rsidP="00144781">
      <w:pPr>
        <w:pStyle w:val="Heading3"/>
        <w:spacing w:line="480" w:lineRule="auto"/>
        <w:rPr>
          <w:rFonts w:ascii="Arial" w:hAnsi="Arial" w:cs="Arial"/>
          <w:color w:val="auto"/>
        </w:rPr>
      </w:pPr>
      <w:r w:rsidRPr="00F00FE6">
        <w:rPr>
          <w:rFonts w:ascii="Arial" w:hAnsi="Arial" w:cs="Arial"/>
          <w:color w:val="auto"/>
        </w:rPr>
        <w:t xml:space="preserve">Larvicidal Activity of Plant Extracts Against </w:t>
      </w:r>
      <w:r w:rsidRPr="00F00FE6">
        <w:rPr>
          <w:rStyle w:val="Emphasis"/>
          <w:rFonts w:ascii="Arial" w:hAnsi="Arial" w:cs="Arial"/>
          <w:color w:val="auto"/>
        </w:rPr>
        <w:t>Anopheles gambiae</w:t>
      </w:r>
    </w:p>
    <w:p w14:paraId="10D7590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Larval mortality of </w:t>
      </w:r>
      <w:r w:rsidRPr="00F00FE6">
        <w:rPr>
          <w:rStyle w:val="Emphasis"/>
          <w:rFonts w:ascii="Arial" w:hAnsi="Arial" w:cs="Arial"/>
          <w:sz w:val="20"/>
        </w:rPr>
        <w:t>Anopheles gambiae</w:t>
      </w:r>
      <w:r w:rsidRPr="00F00FE6">
        <w:rPr>
          <w:rFonts w:ascii="Arial" w:hAnsi="Arial" w:cs="Arial"/>
          <w:sz w:val="20"/>
        </w:rPr>
        <w:t xml:space="preserve"> following 24-hour exposure to ethanol, methanol, n-hexane, and acetone leaf extracts of </w:t>
      </w:r>
      <w:r w:rsidRPr="00F00FE6">
        <w:rPr>
          <w:rStyle w:val="Emphasis"/>
          <w:rFonts w:ascii="Arial" w:hAnsi="Arial" w:cs="Arial"/>
          <w:sz w:val="20"/>
        </w:rPr>
        <w:t>Moringa oleifera</w:t>
      </w:r>
      <w:r w:rsidRPr="00F00FE6">
        <w:rPr>
          <w:rFonts w:ascii="Arial" w:hAnsi="Arial" w:cs="Arial"/>
          <w:sz w:val="20"/>
        </w:rPr>
        <w:t xml:space="preserve">, </w:t>
      </w:r>
      <w:r w:rsidRPr="00F00FE6">
        <w:rPr>
          <w:rStyle w:val="Emphasis"/>
          <w:rFonts w:ascii="Arial" w:hAnsi="Arial" w:cs="Arial"/>
          <w:sz w:val="20"/>
        </w:rPr>
        <w:t>Eucalyptus citriodora</w:t>
      </w:r>
      <w:r w:rsidRPr="00F00FE6">
        <w:rPr>
          <w:rFonts w:ascii="Arial" w:hAnsi="Arial" w:cs="Arial"/>
          <w:sz w:val="20"/>
        </w:rPr>
        <w:t xml:space="preserve">, </w:t>
      </w:r>
      <w:r w:rsidRPr="00F00FE6">
        <w:rPr>
          <w:rStyle w:val="Emphasis"/>
          <w:rFonts w:ascii="Arial" w:hAnsi="Arial" w:cs="Arial"/>
          <w:sz w:val="20"/>
        </w:rPr>
        <w:t>Mentha piperita</w:t>
      </w:r>
      <w:r w:rsidRPr="00F00FE6">
        <w:rPr>
          <w:rFonts w:ascii="Arial" w:hAnsi="Arial" w:cs="Arial"/>
          <w:sz w:val="20"/>
        </w:rPr>
        <w:t xml:space="preserve">, </w:t>
      </w:r>
      <w:r w:rsidRPr="00F00FE6">
        <w:rPr>
          <w:rStyle w:val="Emphasis"/>
          <w:rFonts w:ascii="Arial" w:hAnsi="Arial" w:cs="Arial"/>
          <w:sz w:val="20"/>
        </w:rPr>
        <w:t>Azadirachta indica</w:t>
      </w:r>
      <w:r w:rsidRPr="00F00FE6">
        <w:rPr>
          <w:rFonts w:ascii="Arial" w:hAnsi="Arial" w:cs="Arial"/>
          <w:sz w:val="20"/>
        </w:rPr>
        <w:t xml:space="preserve">, and </w:t>
      </w:r>
      <w:r w:rsidRPr="00F00FE6">
        <w:rPr>
          <w:rStyle w:val="Emphasis"/>
          <w:rFonts w:ascii="Arial" w:hAnsi="Arial" w:cs="Arial"/>
          <w:sz w:val="20"/>
        </w:rPr>
        <w:t>Andrographis paniculata</w:t>
      </w:r>
      <w:r w:rsidRPr="00F00FE6">
        <w:rPr>
          <w:rFonts w:ascii="Arial" w:hAnsi="Arial" w:cs="Arial"/>
          <w:sz w:val="20"/>
        </w:rPr>
        <w:t xml:space="preserve"> is presented in Tables 1–5. A concentration-dependent increase in larval mortality was observed across all treatments. All plant extracts exhibited significant larvicidal activity against </w:t>
      </w:r>
      <w:r w:rsidRPr="00F00FE6">
        <w:rPr>
          <w:rStyle w:val="Emphasis"/>
          <w:rFonts w:ascii="Arial" w:hAnsi="Arial" w:cs="Arial"/>
          <w:sz w:val="20"/>
        </w:rPr>
        <w:t>An. gambiae</w:t>
      </w:r>
      <w:r w:rsidRPr="00F00FE6">
        <w:rPr>
          <w:rFonts w:ascii="Arial" w:hAnsi="Arial" w:cs="Arial"/>
          <w:sz w:val="20"/>
        </w:rPr>
        <w:t xml:space="preserve"> larvae.</w:t>
      </w:r>
    </w:p>
    <w:p w14:paraId="30800A1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M. oleifera</w:t>
      </w:r>
      <w:r w:rsidRPr="00F00FE6">
        <w:rPr>
          <w:rFonts w:ascii="Arial" w:hAnsi="Arial" w:cs="Arial"/>
          <w:sz w:val="20"/>
        </w:rPr>
        <w:t>, extracts prepared with all solvents caused 100% larval mortality at concentrations ranging from 250 to 300 ppm. The ethanol extract recorded 95% and 100% mortality at 150 and 200 ppm, respectively (Table 1). At 150 ppm, larval mortality ranged from 84.50% to 95.38% across the extracts, while mortality values between 66.25% and 95.38% were recorded at 100 ppm.</w:t>
      </w:r>
    </w:p>
    <w:p w14:paraId="3B10AB7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Similarly, </w:t>
      </w:r>
      <w:r w:rsidRPr="00F00FE6">
        <w:rPr>
          <w:rStyle w:val="Emphasis"/>
          <w:rFonts w:ascii="Arial" w:hAnsi="Arial" w:cs="Arial"/>
          <w:sz w:val="20"/>
        </w:rPr>
        <w:t>E. citriodora</w:t>
      </w:r>
      <w:r w:rsidRPr="00F00FE6">
        <w:rPr>
          <w:rFonts w:ascii="Arial" w:hAnsi="Arial" w:cs="Arial"/>
          <w:sz w:val="20"/>
        </w:rPr>
        <w:t xml:space="preserve"> leaf extracts from all solvents produced 100% larval mortality at concentrations of 250–300 ppm (Table 2). The ethanol extract caused 98.54% and 77.25% mortality at 150 and 200 ppm, respectively. At 150 ppm, mortality ranged from 81.50% to 98.54% across the extracts, while values between 68.15% and 77.25% were observed at 100 ppm.</w:t>
      </w:r>
    </w:p>
    <w:p w14:paraId="098EBF2A"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lastRenderedPageBreak/>
        <w:t xml:space="preserve">In </w:t>
      </w:r>
      <w:r w:rsidRPr="00F00FE6">
        <w:rPr>
          <w:rStyle w:val="Emphasis"/>
          <w:rFonts w:ascii="Arial" w:hAnsi="Arial" w:cs="Arial"/>
          <w:sz w:val="20"/>
        </w:rPr>
        <w:t>M. piperita</w:t>
      </w:r>
      <w:r w:rsidRPr="00F00FE6">
        <w:rPr>
          <w:rFonts w:ascii="Arial" w:hAnsi="Arial" w:cs="Arial"/>
          <w:sz w:val="20"/>
        </w:rPr>
        <w:t>, complete larval mortality (100%) was achieved with all solvent extracts at concentrations of 250–300 ppm. The ethanol extract produced 96.15% and 100% mortality at 150 and 200 ppm, respectively (Table 3). Mortality values at 150 ppm ranged from 80.56% to 96.15%, while at 100 ppm, mortality ranged between 66.25% and 72.50%.</w:t>
      </w:r>
    </w:p>
    <w:p w14:paraId="444853F2"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A. indica</w:t>
      </w:r>
      <w:r w:rsidRPr="00F00FE6">
        <w:rPr>
          <w:rFonts w:ascii="Arial" w:hAnsi="Arial" w:cs="Arial"/>
          <w:sz w:val="20"/>
        </w:rPr>
        <w:t>, all solvent extracts resulted in 100% larval mortality at concentrations between 200 and 300 ppm (Table 4). The ethanol extract caused 87.25% and 98.60% mortality at 100 and 150 ppm, respectively. At 150 ppm, larval mortality ranged from 85.15% to 98.60%, while values between 76.30% and 87.25% were recorded at 100 ppm.</w:t>
      </w:r>
    </w:p>
    <w:p w14:paraId="25C952C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In </w:t>
      </w:r>
      <w:r w:rsidRPr="00F00FE6">
        <w:rPr>
          <w:rStyle w:val="Emphasis"/>
          <w:rFonts w:ascii="Arial" w:hAnsi="Arial" w:cs="Arial"/>
          <w:sz w:val="20"/>
        </w:rPr>
        <w:t>A. paniculata</w:t>
      </w:r>
      <w:r w:rsidRPr="00F00FE6">
        <w:rPr>
          <w:rFonts w:ascii="Arial" w:hAnsi="Arial" w:cs="Arial"/>
          <w:sz w:val="20"/>
        </w:rPr>
        <w:t>, all solvent extracts produced 100% larval mortality at concentrations of 250–300 ppm. The ethanol extract recorded 89.25% and 100% mortality at 150 and 200 ppm, respectively (Table 5). Mortality at 150 ppm ranged from 78.15% to 89.25%, while values between 72.15% and 83.80% were observed at 100 ppm.</w:t>
      </w:r>
    </w:p>
    <w:p w14:paraId="3778F99A"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Adultici</w:t>
      </w:r>
      <w:r w:rsidR="00764723" w:rsidRPr="00F00FE6">
        <w:rPr>
          <w:rFonts w:ascii="Arial" w:hAnsi="Arial" w:cs="Arial"/>
          <w:color w:val="auto"/>
          <w:szCs w:val="24"/>
        </w:rPr>
        <w:t>dal activity of Plant Extracts a</w:t>
      </w:r>
      <w:r w:rsidRPr="00F00FE6">
        <w:rPr>
          <w:rFonts w:ascii="Arial" w:hAnsi="Arial" w:cs="Arial"/>
          <w:color w:val="auto"/>
          <w:szCs w:val="24"/>
        </w:rPr>
        <w:t xml:space="preserve">gainst </w:t>
      </w:r>
      <w:r w:rsidRPr="00F00FE6">
        <w:rPr>
          <w:rStyle w:val="Emphasis"/>
          <w:rFonts w:ascii="Arial" w:hAnsi="Arial" w:cs="Arial"/>
          <w:color w:val="auto"/>
          <w:szCs w:val="24"/>
        </w:rPr>
        <w:t>Anopheles gambiae</w:t>
      </w:r>
    </w:p>
    <w:p w14:paraId="370C5EF7"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Mean percentage mortalities and toxicity effects of adult </w:t>
      </w:r>
      <w:r w:rsidRPr="00F00FE6">
        <w:rPr>
          <w:rStyle w:val="Emphasis"/>
          <w:rFonts w:ascii="Arial" w:hAnsi="Arial" w:cs="Arial"/>
          <w:sz w:val="20"/>
          <w:szCs w:val="20"/>
        </w:rPr>
        <w:t>An. gambiae</w:t>
      </w:r>
      <w:r w:rsidR="00764723" w:rsidRPr="00F00FE6">
        <w:rPr>
          <w:rFonts w:ascii="Arial" w:hAnsi="Arial" w:cs="Arial"/>
          <w:sz w:val="20"/>
          <w:szCs w:val="20"/>
        </w:rPr>
        <w:t xml:space="preserve"> after 24 </w:t>
      </w:r>
      <w:r w:rsidRPr="00F00FE6">
        <w:rPr>
          <w:rFonts w:ascii="Arial" w:hAnsi="Arial" w:cs="Arial"/>
          <w:sz w:val="20"/>
          <w:szCs w:val="20"/>
        </w:rPr>
        <w:t>hour</w:t>
      </w:r>
      <w:r w:rsidR="00764723" w:rsidRPr="00F00FE6">
        <w:rPr>
          <w:rFonts w:ascii="Arial" w:hAnsi="Arial" w:cs="Arial"/>
          <w:sz w:val="20"/>
          <w:szCs w:val="20"/>
        </w:rPr>
        <w:t>s</w:t>
      </w:r>
      <w:r w:rsidRPr="00F00FE6">
        <w:rPr>
          <w:rFonts w:ascii="Arial" w:hAnsi="Arial" w:cs="Arial"/>
          <w:sz w:val="20"/>
          <w:szCs w:val="20"/>
        </w:rPr>
        <w:t xml:space="preserve"> exposure to solvent extracts of the test plants are presented in Tables 6–10. Statistically significant differences (P ≤ 0.05) in adult mortality were observed among treatments and compared with the control. Adult mortality increased with increasing extract concentration and varied according to the extraction solvent. Ethanol and methanol extracts consistently showed higher adulticidal activity, whereas n-hexane and acetone extracts exhibited comparatively lower effects.</w:t>
      </w:r>
    </w:p>
    <w:p w14:paraId="70A3F149"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M. oleifera</w:t>
      </w:r>
      <w:r w:rsidRPr="00F00FE6">
        <w:rPr>
          <w:rFonts w:ascii="Arial" w:hAnsi="Arial" w:cs="Arial"/>
          <w:sz w:val="20"/>
          <w:szCs w:val="20"/>
        </w:rPr>
        <w:t>, ethanol and methanol extracts caused 85.20% and 76.35% adult mortality, respectively, at 300 ppm, while n-hexane and acetone extracts produced lower mortalities of 30.35% and 28.30% at the same concentration (Table 6).</w:t>
      </w:r>
    </w:p>
    <w:p w14:paraId="5C6C6944"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E. citriodora</w:t>
      </w:r>
      <w:r w:rsidRPr="00F00FE6">
        <w:rPr>
          <w:rFonts w:ascii="Arial" w:hAnsi="Arial" w:cs="Arial"/>
          <w:sz w:val="20"/>
          <w:szCs w:val="20"/>
        </w:rPr>
        <w:t xml:space="preserve">, ethanol and methanol extracts resulted in high adult mortality of 90.20% and 87.68%, respectively, at 300 ppm. In contrast, n-hexane and acetone extracts recorded lower mortality rates of </w:t>
      </w:r>
      <w:r w:rsidRPr="00F00FE6">
        <w:rPr>
          <w:rFonts w:ascii="Arial" w:hAnsi="Arial" w:cs="Arial"/>
          <w:sz w:val="20"/>
          <w:szCs w:val="20"/>
        </w:rPr>
        <w:lastRenderedPageBreak/>
        <w:t>29.50% and 27.60% at the same concentration (Table 7). Significant differences (P ≤ 0.05) were observed among the tested concentrations.</w:t>
      </w:r>
    </w:p>
    <w:p w14:paraId="460F3756"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M. piperita</w:t>
      </w:r>
      <w:r w:rsidRPr="00F00FE6">
        <w:rPr>
          <w:rFonts w:ascii="Arial" w:hAnsi="Arial" w:cs="Arial"/>
          <w:sz w:val="20"/>
          <w:szCs w:val="20"/>
        </w:rPr>
        <w:t xml:space="preserve"> caused adult mortalities of 86.23% and 80.25%, respectively, at 300 ppm. Conversely, n-hexane and acetone extracts exhibited low adulticidal activity at all tested concentrations, with mortality values of 26.24% and 25.50% at 300 ppm (Table 8).</w:t>
      </w:r>
    </w:p>
    <w:p w14:paraId="50CAABB8"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A. indica</w:t>
      </w:r>
      <w:r w:rsidRPr="00F00FE6">
        <w:rPr>
          <w:rFonts w:ascii="Arial" w:hAnsi="Arial" w:cs="Arial"/>
          <w:sz w:val="20"/>
          <w:szCs w:val="20"/>
        </w:rPr>
        <w:t>, the ethanol extract produced 100% adult mortality at 300 ppm, while the methanol extract resulted in 92.50% mortality at the same concentration. In contrast, n-hexane and acetone extracts recorded lower mortalities of 38.20% and 32.15%, respectively (Table 9).</w:t>
      </w:r>
    </w:p>
    <w:p w14:paraId="0A2A84A5"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A. paniculata</w:t>
      </w:r>
      <w:r w:rsidRPr="00F00FE6">
        <w:rPr>
          <w:rFonts w:ascii="Arial" w:hAnsi="Arial" w:cs="Arial"/>
          <w:sz w:val="20"/>
          <w:szCs w:val="20"/>
        </w:rPr>
        <w:t>, ethanol and methanol extracts caused adult mortalities of 81.50% and 78.25%, respectively, at 300 ppm. The n-hexane and acetone extracts showed lower adulticidal activity, with mortality values of 28.48% and 26.50% at the same concentration (Table 10).</w:t>
      </w:r>
    </w:p>
    <w:p w14:paraId="1C2F5668" w14:textId="77777777" w:rsidR="009A562E" w:rsidRPr="008853D9" w:rsidRDefault="009A562E" w:rsidP="00144781">
      <w:pPr>
        <w:pStyle w:val="BodyText"/>
        <w:tabs>
          <w:tab w:val="left" w:pos="4770"/>
        </w:tabs>
        <w:spacing w:line="480" w:lineRule="auto"/>
        <w:ind w:right="40"/>
        <w:jc w:val="both"/>
        <w:rPr>
          <w:rFonts w:ascii="Arial" w:hAnsi="Arial" w:cs="Arial"/>
          <w:w w:val="105"/>
          <w:sz w:val="24"/>
          <w:szCs w:val="24"/>
        </w:rPr>
      </w:pPr>
    </w:p>
    <w:p w14:paraId="5F128A8D" w14:textId="77777777" w:rsidR="009A562E" w:rsidRPr="00F00FE6" w:rsidRDefault="009A562E" w:rsidP="00144781">
      <w:pPr>
        <w:pStyle w:val="BodyText"/>
        <w:tabs>
          <w:tab w:val="left" w:pos="4770"/>
        </w:tabs>
        <w:spacing w:line="480" w:lineRule="auto"/>
        <w:ind w:right="40"/>
        <w:jc w:val="both"/>
        <w:rPr>
          <w:rFonts w:ascii="Arial" w:hAnsi="Arial" w:cs="Arial"/>
          <w:b/>
          <w:w w:val="105"/>
          <w:sz w:val="22"/>
          <w:szCs w:val="22"/>
        </w:rPr>
      </w:pPr>
      <w:r w:rsidRPr="00F00FE6">
        <w:rPr>
          <w:rFonts w:ascii="Arial" w:hAnsi="Arial" w:cs="Arial"/>
          <w:b/>
          <w:w w:val="105"/>
          <w:sz w:val="22"/>
          <w:szCs w:val="22"/>
        </w:rPr>
        <w:t>DISCUSSION</w:t>
      </w:r>
    </w:p>
    <w:p w14:paraId="655A3AF5"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Mosquitoes are well-known vectors of several life-threatening diseases, including malaria, dengue fever, Zika virus infection, and chikungunya. Mosquito-borne diseases constitute a major global public health concern, affecting millions of people each year. The persistent prevalence of these diseases has intensified the search for alternative, sustainable, and environmentally safe mosq</w:t>
      </w:r>
      <w:r w:rsidR="00150BCC" w:rsidRPr="00F00FE6">
        <w:rPr>
          <w:rFonts w:ascii="Arial" w:hAnsi="Arial" w:cs="Arial"/>
          <w:sz w:val="20"/>
          <w:szCs w:val="20"/>
        </w:rPr>
        <w:t>uito control strategies</w:t>
      </w:r>
      <w:r w:rsidR="00D21E52">
        <w:rPr>
          <w:rFonts w:ascii="Arial" w:hAnsi="Arial" w:cs="Arial"/>
          <w:sz w:val="20"/>
          <w:szCs w:val="20"/>
        </w:rPr>
        <w:t xml:space="preserve"> (Nwankwo  </w:t>
      </w:r>
      <w:r w:rsidR="00D21E52">
        <w:rPr>
          <w:rFonts w:ascii="Arial" w:hAnsi="Arial" w:cs="Arial"/>
          <w:i/>
          <w:sz w:val="20"/>
          <w:szCs w:val="20"/>
        </w:rPr>
        <w:t xml:space="preserve">et al., </w:t>
      </w:r>
      <w:r w:rsidR="00D21E52">
        <w:rPr>
          <w:rFonts w:ascii="Arial" w:hAnsi="Arial" w:cs="Arial"/>
          <w:sz w:val="20"/>
          <w:szCs w:val="20"/>
        </w:rPr>
        <w:t>2011)</w:t>
      </w:r>
      <w:r w:rsidRPr="00F00FE6">
        <w:rPr>
          <w:rFonts w:ascii="Arial" w:hAnsi="Arial" w:cs="Arial"/>
          <w:sz w:val="20"/>
          <w:szCs w:val="20"/>
        </w:rPr>
        <w:t xml:space="preserve">. Control of </w:t>
      </w:r>
      <w:r w:rsidRPr="00F00FE6">
        <w:rPr>
          <w:rStyle w:val="Emphasis"/>
          <w:rFonts w:ascii="Arial" w:hAnsi="Arial" w:cs="Arial"/>
          <w:sz w:val="20"/>
          <w:szCs w:val="20"/>
        </w:rPr>
        <w:t>Anopheles</w:t>
      </w:r>
      <w:r w:rsidRPr="00F00FE6">
        <w:rPr>
          <w:rFonts w:ascii="Arial" w:hAnsi="Arial" w:cs="Arial"/>
          <w:sz w:val="20"/>
          <w:szCs w:val="20"/>
        </w:rPr>
        <w:t xml:space="preserve"> mosquitoes is particularly critical because they are the principal vectors of malaria, filariasis, and other arthropod-borne diseases in sub-Saharan Africa, in addition to causing s</w:t>
      </w:r>
      <w:r w:rsidR="00150BCC" w:rsidRPr="00F00FE6">
        <w:rPr>
          <w:rFonts w:ascii="Arial" w:hAnsi="Arial" w:cs="Arial"/>
          <w:sz w:val="20"/>
          <w:szCs w:val="20"/>
        </w:rPr>
        <w:t>evere biting nuisance to humans</w:t>
      </w:r>
      <w:r w:rsidR="00D21E52">
        <w:rPr>
          <w:rFonts w:ascii="Arial" w:hAnsi="Arial" w:cs="Arial"/>
          <w:sz w:val="20"/>
          <w:szCs w:val="20"/>
        </w:rPr>
        <w:t xml:space="preserve"> (Nwankwo  </w:t>
      </w:r>
      <w:r w:rsidR="00D21E52">
        <w:rPr>
          <w:rFonts w:ascii="Arial" w:hAnsi="Arial" w:cs="Arial"/>
          <w:i/>
          <w:sz w:val="20"/>
          <w:szCs w:val="20"/>
        </w:rPr>
        <w:t xml:space="preserve">et al., </w:t>
      </w:r>
      <w:r w:rsidR="00D21E52">
        <w:rPr>
          <w:rFonts w:ascii="Arial" w:hAnsi="Arial" w:cs="Arial"/>
          <w:sz w:val="20"/>
          <w:szCs w:val="20"/>
        </w:rPr>
        <w:t>2011).</w:t>
      </w:r>
      <w:r w:rsidR="00150BCC" w:rsidRPr="00F00FE6">
        <w:rPr>
          <w:rFonts w:ascii="Arial" w:hAnsi="Arial" w:cs="Arial"/>
          <w:sz w:val="20"/>
          <w:szCs w:val="20"/>
        </w:rPr>
        <w:t xml:space="preserve"> </w:t>
      </w:r>
      <w:r w:rsidRPr="00F00FE6">
        <w:rPr>
          <w:rFonts w:ascii="Arial" w:hAnsi="Arial" w:cs="Arial"/>
          <w:sz w:val="20"/>
          <w:szCs w:val="20"/>
        </w:rPr>
        <w:t>In recent years, increasing attention has been directed toward the use of botanical pesticides, microbial agents, and insect growth regulators as eco-friendly alternatives to con</w:t>
      </w:r>
      <w:r w:rsidR="00D21E52">
        <w:rPr>
          <w:rFonts w:ascii="Arial" w:hAnsi="Arial" w:cs="Arial"/>
          <w:sz w:val="20"/>
          <w:szCs w:val="20"/>
        </w:rPr>
        <w:t>ventional chemical insecticides (Njom and Eze 2011).</w:t>
      </w:r>
      <w:r w:rsidR="00150BCC" w:rsidRPr="00F00FE6">
        <w:rPr>
          <w:rFonts w:ascii="Arial" w:hAnsi="Arial" w:cs="Arial"/>
          <w:sz w:val="20"/>
          <w:szCs w:val="20"/>
          <w:vertAlign w:val="superscript"/>
        </w:rPr>
        <w:t xml:space="preserve"> </w:t>
      </w:r>
      <w:r w:rsidRPr="00F00FE6">
        <w:rPr>
          <w:rFonts w:ascii="Arial" w:hAnsi="Arial" w:cs="Arial"/>
          <w:sz w:val="20"/>
          <w:szCs w:val="20"/>
        </w:rPr>
        <w:t>Numerous studies have evaluated the efficacy of phytochemicals derived from different plant species for mosquito control, highlighting their potential in integr</w:t>
      </w:r>
      <w:r w:rsidR="00150BCC" w:rsidRPr="00F00FE6">
        <w:rPr>
          <w:rFonts w:ascii="Arial" w:hAnsi="Arial" w:cs="Arial"/>
          <w:sz w:val="20"/>
          <w:szCs w:val="20"/>
        </w:rPr>
        <w:t xml:space="preserve">ated vector management programs </w:t>
      </w:r>
      <w:r w:rsidR="00D21E52">
        <w:rPr>
          <w:rFonts w:ascii="Arial" w:hAnsi="Arial" w:cs="Arial"/>
          <w:sz w:val="20"/>
          <w:szCs w:val="20"/>
        </w:rPr>
        <w:t xml:space="preserve">(Nwankwo </w:t>
      </w:r>
      <w:r w:rsidR="00D21E52">
        <w:rPr>
          <w:rFonts w:ascii="Arial" w:hAnsi="Arial" w:cs="Arial"/>
          <w:i/>
          <w:sz w:val="20"/>
          <w:szCs w:val="20"/>
        </w:rPr>
        <w:t xml:space="preserve">et al., </w:t>
      </w:r>
      <w:r w:rsidR="00D21E52">
        <w:rPr>
          <w:rFonts w:ascii="Arial" w:hAnsi="Arial" w:cs="Arial"/>
          <w:sz w:val="20"/>
          <w:szCs w:val="20"/>
        </w:rPr>
        <w:t>2011; Njom and Eze 2011)</w:t>
      </w:r>
      <w:r w:rsidR="00150BCC" w:rsidRPr="00F00FE6">
        <w:rPr>
          <w:rFonts w:ascii="Arial" w:hAnsi="Arial" w:cs="Arial"/>
          <w:sz w:val="20"/>
          <w:szCs w:val="20"/>
        </w:rPr>
        <w:t xml:space="preserve">. </w:t>
      </w:r>
      <w:r w:rsidRPr="00F00FE6">
        <w:rPr>
          <w:rFonts w:ascii="Arial" w:hAnsi="Arial" w:cs="Arial"/>
          <w:sz w:val="20"/>
          <w:szCs w:val="20"/>
        </w:rPr>
        <w:t xml:space="preserve">Although synthetic insecticides have played a significant role in mosquito </w:t>
      </w:r>
      <w:r w:rsidRPr="00F00FE6">
        <w:rPr>
          <w:rFonts w:ascii="Arial" w:hAnsi="Arial" w:cs="Arial"/>
          <w:sz w:val="20"/>
          <w:szCs w:val="20"/>
        </w:rPr>
        <w:lastRenderedPageBreak/>
        <w:t xml:space="preserve">vector control programs, their continued use has raised serious environmental concerns and contributed to the development of insecticide resistance. These challenges have necessitated the exploration of plant-based bioactive compounds that are effective against mosquito vectors, safe for non-target organisms, and free from residual toxicity. In this study, the larvicidal and adulticidal activities of different solvent extracts of </w:t>
      </w:r>
      <w:r w:rsidRPr="00F00FE6">
        <w:rPr>
          <w:rStyle w:val="Emphasis"/>
          <w:rFonts w:ascii="Arial" w:hAnsi="Arial" w:cs="Arial"/>
          <w:sz w:val="20"/>
          <w:szCs w:val="20"/>
        </w:rPr>
        <w:t>Moringa oleifera</w:t>
      </w:r>
      <w:r w:rsidRPr="00F00FE6">
        <w:rPr>
          <w:rFonts w:ascii="Arial" w:hAnsi="Arial" w:cs="Arial"/>
          <w:sz w:val="20"/>
          <w:szCs w:val="20"/>
        </w:rPr>
        <w:t xml:space="preserve">, </w:t>
      </w:r>
      <w:r w:rsidRPr="00F00FE6">
        <w:rPr>
          <w:rStyle w:val="Emphasis"/>
          <w:rFonts w:ascii="Arial" w:hAnsi="Arial" w:cs="Arial"/>
          <w:sz w:val="20"/>
          <w:szCs w:val="20"/>
        </w:rPr>
        <w:t>Eucalyptus citriodora</w:t>
      </w:r>
      <w:r w:rsidRPr="00F00FE6">
        <w:rPr>
          <w:rFonts w:ascii="Arial" w:hAnsi="Arial" w:cs="Arial"/>
          <w:sz w:val="20"/>
          <w:szCs w:val="20"/>
        </w:rPr>
        <w:t xml:space="preserve">, </w:t>
      </w:r>
      <w:r w:rsidRPr="00F00FE6">
        <w:rPr>
          <w:rStyle w:val="Emphasis"/>
          <w:rFonts w:ascii="Arial" w:hAnsi="Arial" w:cs="Arial"/>
          <w:sz w:val="20"/>
          <w:szCs w:val="20"/>
        </w:rPr>
        <w:t>Mentha piperita</w:t>
      </w:r>
      <w:r w:rsidRPr="00F00FE6">
        <w:rPr>
          <w:rFonts w:ascii="Arial" w:hAnsi="Arial" w:cs="Arial"/>
          <w:sz w:val="20"/>
          <w:szCs w:val="20"/>
        </w:rPr>
        <w:t xml:space="preserve">, </w:t>
      </w:r>
      <w:r w:rsidRPr="00F00FE6">
        <w:rPr>
          <w:rStyle w:val="Emphasis"/>
          <w:rFonts w:ascii="Arial" w:hAnsi="Arial" w:cs="Arial"/>
          <w:sz w:val="20"/>
          <w:szCs w:val="20"/>
        </w:rPr>
        <w:t>Azadirachta indica</w:t>
      </w:r>
      <w:r w:rsidRPr="00F00FE6">
        <w:rPr>
          <w:rFonts w:ascii="Arial" w:hAnsi="Arial" w:cs="Arial"/>
          <w:sz w:val="20"/>
          <w:szCs w:val="20"/>
        </w:rPr>
        <w:t xml:space="preserve">, and </w:t>
      </w:r>
      <w:r w:rsidRPr="00F00FE6">
        <w:rPr>
          <w:rStyle w:val="Emphasis"/>
          <w:rFonts w:ascii="Arial" w:hAnsi="Arial" w:cs="Arial"/>
          <w:sz w:val="20"/>
          <w:szCs w:val="20"/>
        </w:rPr>
        <w:t>Andrographis paniculata</w:t>
      </w:r>
      <w:r w:rsidRPr="00F00FE6">
        <w:rPr>
          <w:rFonts w:ascii="Arial" w:hAnsi="Arial" w:cs="Arial"/>
          <w:sz w:val="20"/>
          <w:szCs w:val="20"/>
        </w:rPr>
        <w:t xml:space="preserve"> were evaluated against </w:t>
      </w:r>
      <w:r w:rsidRPr="00F00FE6">
        <w:rPr>
          <w:rStyle w:val="Emphasis"/>
          <w:rFonts w:ascii="Arial" w:hAnsi="Arial" w:cs="Arial"/>
          <w:sz w:val="20"/>
          <w:szCs w:val="20"/>
        </w:rPr>
        <w:t>Anopheles gambiae</w:t>
      </w:r>
      <w:r w:rsidRPr="00F00FE6">
        <w:rPr>
          <w:rFonts w:ascii="Arial" w:hAnsi="Arial" w:cs="Arial"/>
          <w:sz w:val="20"/>
          <w:szCs w:val="20"/>
        </w:rPr>
        <w:t>, the primary vector of malaria.</w:t>
      </w:r>
    </w:p>
    <w:p w14:paraId="5194ACE2"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findings revealed that ethanol and methanol extracts of the test plants exhibited strong larvicidal and adulticidal activities, achieving 100% mortality at higher concentrations. In contrast, n-hexane and acetone extracts demonstrated relatively low insecticidal efficacy against adult </w:t>
      </w:r>
      <w:r w:rsidRPr="00F00FE6">
        <w:rPr>
          <w:rStyle w:val="Emphasis"/>
          <w:rFonts w:ascii="Arial" w:hAnsi="Arial" w:cs="Arial"/>
          <w:sz w:val="20"/>
          <w:szCs w:val="20"/>
        </w:rPr>
        <w:t>An. gambiae</w:t>
      </w:r>
      <w:r w:rsidRPr="00F00FE6">
        <w:rPr>
          <w:rFonts w:ascii="Arial" w:hAnsi="Arial" w:cs="Arial"/>
          <w:sz w:val="20"/>
          <w:szCs w:val="20"/>
        </w:rPr>
        <w:t>. This pattern suggests that the biologically active compounds responsible for mosquito mortality are predominantly polar in nature and are therefore more efficiently extracted using polar solvents such as ethanol and methanol. This observation is consis</w:t>
      </w:r>
      <w:r w:rsidR="00150BCC" w:rsidRPr="00F00FE6">
        <w:rPr>
          <w:rFonts w:ascii="Arial" w:hAnsi="Arial" w:cs="Arial"/>
          <w:sz w:val="20"/>
          <w:szCs w:val="20"/>
        </w:rPr>
        <w:t>tent with the findings of</w:t>
      </w:r>
      <w:r w:rsidR="00D21E52">
        <w:rPr>
          <w:rFonts w:ascii="Arial" w:hAnsi="Arial" w:cs="Arial"/>
          <w:sz w:val="20"/>
          <w:szCs w:val="20"/>
          <w:vertAlign w:val="superscript"/>
        </w:rPr>
        <w:t xml:space="preserve"> </w:t>
      </w:r>
      <w:r w:rsidR="00D21E52">
        <w:rPr>
          <w:rFonts w:ascii="Arial" w:hAnsi="Arial" w:cs="Arial"/>
          <w:sz w:val="20"/>
          <w:szCs w:val="20"/>
        </w:rPr>
        <w:t xml:space="preserve">(Chore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who reported that solvent polarity significantly influences the insecticidal activity of plant extracts. Variations in insecticidal efficacy observed in this study across different concentrations and solvents further support previous reports that botanical insecticidal activity depends on plant species, mosquito species, geographical location, extraction metho</w:t>
      </w:r>
      <w:r w:rsidR="00150BCC" w:rsidRPr="00F00FE6">
        <w:rPr>
          <w:rFonts w:ascii="Arial" w:hAnsi="Arial" w:cs="Arial"/>
          <w:sz w:val="20"/>
          <w:szCs w:val="20"/>
        </w:rPr>
        <w:t>ds, and solvent polarity</w:t>
      </w:r>
      <w:r w:rsidR="00D21E52">
        <w:rPr>
          <w:rFonts w:ascii="Arial" w:hAnsi="Arial" w:cs="Arial"/>
          <w:sz w:val="20"/>
          <w:szCs w:val="20"/>
        </w:rPr>
        <w:t xml:space="preserve"> (Ghosh </w:t>
      </w:r>
      <w:r w:rsidR="00D21E52">
        <w:rPr>
          <w:rFonts w:ascii="Arial" w:hAnsi="Arial" w:cs="Arial"/>
          <w:i/>
          <w:sz w:val="20"/>
          <w:szCs w:val="20"/>
        </w:rPr>
        <w:t xml:space="preserve">et al., </w:t>
      </w:r>
      <w:r w:rsidR="00D21E52">
        <w:rPr>
          <w:rFonts w:ascii="Arial" w:hAnsi="Arial" w:cs="Arial"/>
          <w:sz w:val="20"/>
          <w:szCs w:val="20"/>
        </w:rPr>
        <w:t>2012)</w:t>
      </w:r>
      <w:r w:rsidRPr="00F00FE6">
        <w:rPr>
          <w:rFonts w:ascii="Arial" w:hAnsi="Arial" w:cs="Arial"/>
          <w:sz w:val="20"/>
          <w:szCs w:val="20"/>
        </w:rPr>
        <w:t>.</w:t>
      </w:r>
    </w:p>
    <w:p w14:paraId="4FB938CF"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high efficacy of ethanol and methanol extracts observed in this study may be attributed to the presence of bioactive secondary metabolites with insecticidal properties. Compounds such as phenols, alkaloids, tannins, flavonoids, and glycosides have been widely reported to contribute to the insecticidal </w:t>
      </w:r>
      <w:r w:rsidR="00150BCC" w:rsidRPr="00F00FE6">
        <w:rPr>
          <w:rFonts w:ascii="Arial" w:hAnsi="Arial" w:cs="Arial"/>
          <w:sz w:val="20"/>
          <w:szCs w:val="20"/>
        </w:rPr>
        <w:t>activity of botanical extracts</w:t>
      </w:r>
      <w:r w:rsidR="00D21E52">
        <w:rPr>
          <w:rFonts w:ascii="Arial" w:hAnsi="Arial" w:cs="Arial"/>
          <w:sz w:val="20"/>
          <w:szCs w:val="20"/>
        </w:rPr>
        <w:t xml:space="preserve"> (</w:t>
      </w:r>
      <w:r w:rsidR="00D21E52" w:rsidRPr="00D21E52">
        <w:rPr>
          <w:rFonts w:ascii="Arial" w:hAnsi="Arial" w:cs="Arial"/>
          <w:w w:val="90"/>
          <w:sz w:val="20"/>
          <w:szCs w:val="20"/>
        </w:rPr>
        <w:t>Endalkachew</w:t>
      </w:r>
      <w:r w:rsidR="00D21E52" w:rsidRPr="00D21E52">
        <w:rPr>
          <w:rFonts w:ascii="Arial" w:hAnsi="Arial" w:cs="Arial"/>
          <w:spacing w:val="-7"/>
          <w:w w:val="90"/>
          <w:sz w:val="20"/>
          <w:szCs w:val="20"/>
        </w:rPr>
        <w:t xml:space="preserve"> and </w:t>
      </w:r>
      <w:r w:rsidR="00D21E52" w:rsidRPr="00D21E52">
        <w:rPr>
          <w:rFonts w:ascii="Arial" w:hAnsi="Arial" w:cs="Arial"/>
          <w:w w:val="90"/>
          <w:sz w:val="20"/>
          <w:szCs w:val="20"/>
        </w:rPr>
        <w:t>Hailu</w:t>
      </w:r>
      <w:r w:rsidR="00D21E52" w:rsidRPr="00D21E52">
        <w:rPr>
          <w:rFonts w:ascii="Arial" w:hAnsi="Arial" w:cs="Arial"/>
          <w:spacing w:val="-11"/>
          <w:w w:val="90"/>
          <w:sz w:val="20"/>
          <w:szCs w:val="20"/>
        </w:rPr>
        <w:t xml:space="preserve"> </w:t>
      </w:r>
      <w:r w:rsidR="00D21E52" w:rsidRPr="00D21E52">
        <w:rPr>
          <w:rFonts w:ascii="Arial" w:hAnsi="Arial" w:cs="Arial"/>
          <w:w w:val="90"/>
          <w:sz w:val="20"/>
          <w:szCs w:val="20"/>
        </w:rPr>
        <w:t xml:space="preserve"> 2014</w:t>
      </w:r>
      <w:r w:rsidR="00D21E52">
        <w:rPr>
          <w:rFonts w:ascii="Arial" w:hAnsi="Arial" w:cs="Arial"/>
          <w:sz w:val="20"/>
          <w:szCs w:val="20"/>
        </w:rPr>
        <w:t xml:space="preserve">; Tamiru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xml:space="preserve">. Plants rich in secondary metabolites are known to exhibit diverse biological activities, including insecticidal </w:t>
      </w:r>
      <w:r w:rsidR="00BB5F89" w:rsidRPr="00F00FE6">
        <w:rPr>
          <w:rFonts w:ascii="Arial" w:hAnsi="Arial" w:cs="Arial"/>
          <w:sz w:val="20"/>
          <w:szCs w:val="20"/>
        </w:rPr>
        <w:t>effects</w:t>
      </w:r>
      <w:r w:rsidR="00D21E52">
        <w:rPr>
          <w:rFonts w:ascii="Arial" w:hAnsi="Arial" w:cs="Arial"/>
          <w:sz w:val="20"/>
          <w:szCs w:val="20"/>
        </w:rPr>
        <w:t xml:space="preserve"> (Gull </w:t>
      </w:r>
      <w:r w:rsidR="00D21E52">
        <w:rPr>
          <w:rFonts w:ascii="Arial" w:hAnsi="Arial" w:cs="Arial"/>
          <w:i/>
          <w:sz w:val="20"/>
          <w:szCs w:val="20"/>
        </w:rPr>
        <w:t xml:space="preserve">et al., </w:t>
      </w:r>
      <w:r w:rsidR="00D21E52">
        <w:rPr>
          <w:rFonts w:ascii="Arial" w:hAnsi="Arial" w:cs="Arial"/>
          <w:sz w:val="20"/>
          <w:szCs w:val="20"/>
        </w:rPr>
        <w:t>2012;</w:t>
      </w:r>
      <w:r w:rsidR="00D21E52" w:rsidRPr="00D21E52">
        <w:rPr>
          <w:rFonts w:ascii="Arial" w:hAnsi="Arial" w:cs="Arial"/>
          <w:sz w:val="20"/>
          <w:szCs w:val="20"/>
        </w:rPr>
        <w:t xml:space="preserve"> </w:t>
      </w:r>
      <w:r w:rsidR="00D21E52" w:rsidRPr="00D21E52">
        <w:rPr>
          <w:rFonts w:ascii="Arial" w:hAnsi="Arial" w:cs="Arial"/>
          <w:color w:val="131413"/>
          <w:sz w:val="20"/>
          <w:szCs w:val="20"/>
        </w:rPr>
        <w:t>El-Moghazy and Abdel-Shafy</w:t>
      </w:r>
      <w:r w:rsidR="00D21E52" w:rsidRPr="00D21E52">
        <w:rPr>
          <w:rFonts w:ascii="Arial" w:hAnsi="Arial" w:cs="Arial"/>
          <w:sz w:val="20"/>
          <w:szCs w:val="20"/>
        </w:rPr>
        <w:t xml:space="preserve"> 2019</w:t>
      </w:r>
      <w:r w:rsidR="00D21E52">
        <w:rPr>
          <w:rFonts w:ascii="Arial" w:hAnsi="Arial" w:cs="Arial"/>
          <w:sz w:val="20"/>
          <w:szCs w:val="20"/>
        </w:rPr>
        <w:t>)</w:t>
      </w:r>
    </w:p>
    <w:p w14:paraId="0FC54DD2"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Neem (</w:t>
      </w:r>
      <w:r w:rsidRPr="00F00FE6">
        <w:rPr>
          <w:rStyle w:val="Emphasis"/>
          <w:rFonts w:ascii="Arial" w:hAnsi="Arial" w:cs="Arial"/>
          <w:sz w:val="20"/>
          <w:szCs w:val="20"/>
        </w:rPr>
        <w:t>Azadirachta indica</w:t>
      </w:r>
      <w:r w:rsidRPr="00F00FE6">
        <w:rPr>
          <w:rFonts w:ascii="Arial" w:hAnsi="Arial" w:cs="Arial"/>
          <w:sz w:val="20"/>
          <w:szCs w:val="20"/>
        </w:rPr>
        <w:t>) has been extensively documented for its effectiveness in mosquito control. The major active compound, azadirachtin, interferes with mosquito feeding behavior, growth, and reproduction. Previous studies have demonstrated the larvicidal and pupicidal activities of neem extracts against various mosquito vectors of m</w:t>
      </w:r>
      <w:r w:rsidR="00BB5F89" w:rsidRPr="00F00FE6">
        <w:rPr>
          <w:rFonts w:ascii="Arial" w:hAnsi="Arial" w:cs="Arial"/>
          <w:sz w:val="20"/>
          <w:szCs w:val="20"/>
        </w:rPr>
        <w:t>alaria and dengue</w:t>
      </w:r>
      <w:r w:rsidR="00D21E52">
        <w:rPr>
          <w:rFonts w:ascii="Arial" w:hAnsi="Arial" w:cs="Arial"/>
          <w:sz w:val="20"/>
          <w:szCs w:val="20"/>
        </w:rPr>
        <w:t xml:space="preserve"> (</w:t>
      </w:r>
      <w:r w:rsidR="00D21E52" w:rsidRPr="00F00FE6">
        <w:rPr>
          <w:rFonts w:ascii="Arial" w:hAnsi="Arial" w:cs="Arial"/>
          <w:color w:val="000000"/>
          <w:sz w:val="20"/>
          <w:szCs w:val="20"/>
        </w:rPr>
        <w:t>Govindarajan</w:t>
      </w:r>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0"/>
          <w:szCs w:val="20"/>
        </w:rPr>
        <w:t xml:space="preserve">. In the present study, </w:t>
      </w:r>
      <w:r w:rsidRPr="00F00FE6">
        <w:rPr>
          <w:rFonts w:ascii="Arial" w:hAnsi="Arial" w:cs="Arial"/>
          <w:sz w:val="20"/>
          <w:szCs w:val="20"/>
        </w:rPr>
        <w:lastRenderedPageBreak/>
        <w:t xml:space="preserve">ethanol extracts of </w:t>
      </w:r>
      <w:r w:rsidRPr="00F00FE6">
        <w:rPr>
          <w:rStyle w:val="Emphasis"/>
          <w:rFonts w:ascii="Arial" w:hAnsi="Arial" w:cs="Arial"/>
          <w:sz w:val="20"/>
          <w:szCs w:val="20"/>
        </w:rPr>
        <w:t>A. indica</w:t>
      </w:r>
      <w:r w:rsidRPr="00F00FE6">
        <w:rPr>
          <w:rFonts w:ascii="Arial" w:hAnsi="Arial" w:cs="Arial"/>
          <w:sz w:val="20"/>
          <w:szCs w:val="20"/>
        </w:rPr>
        <w:t xml:space="preserve"> caused 100% adult mortality at 300 ppm and complete larval mortality at 200 ppm. </w:t>
      </w:r>
      <w:r w:rsidR="00BB5F89" w:rsidRPr="00F00FE6">
        <w:rPr>
          <w:rFonts w:ascii="Arial" w:hAnsi="Arial" w:cs="Arial"/>
          <w:sz w:val="20"/>
          <w:szCs w:val="20"/>
        </w:rPr>
        <w:t xml:space="preserve">Similarly, </w:t>
      </w:r>
      <w:r w:rsidR="00D21E52">
        <w:rPr>
          <w:rFonts w:ascii="Arial" w:hAnsi="Arial" w:cs="Arial"/>
          <w:sz w:val="20"/>
          <w:szCs w:val="20"/>
        </w:rPr>
        <w:t>(</w:t>
      </w:r>
      <w:r w:rsidR="00D21E52" w:rsidRPr="00D21E52">
        <w:rPr>
          <w:rFonts w:ascii="Arial" w:hAnsi="Arial" w:cs="Arial"/>
          <w:sz w:val="20"/>
          <w:szCs w:val="20"/>
        </w:rPr>
        <w:t>Nwankwo</w:t>
      </w:r>
      <w:r w:rsidR="00D21E52">
        <w:rPr>
          <w:rFonts w:ascii="Arial" w:hAnsi="Arial" w:cs="Arial"/>
          <w:sz w:val="20"/>
          <w:szCs w:val="20"/>
          <w:vertAlign w:val="superscript"/>
        </w:rPr>
        <w:t xml:space="preserve"> </w:t>
      </w:r>
      <w:r w:rsidR="00D21E52">
        <w:rPr>
          <w:rFonts w:ascii="Arial" w:hAnsi="Arial" w:cs="Arial"/>
          <w:i/>
          <w:sz w:val="20"/>
          <w:szCs w:val="20"/>
        </w:rPr>
        <w:t>et al.,</w:t>
      </w:r>
      <w:r w:rsidR="00D21E52" w:rsidRPr="00D21E52">
        <w:rPr>
          <w:rFonts w:ascii="Arial" w:hAnsi="Arial" w:cs="Arial"/>
          <w:sz w:val="20"/>
          <w:szCs w:val="20"/>
        </w:rPr>
        <w:t xml:space="preserve"> 2011</w:t>
      </w:r>
      <w:r w:rsidR="00D21E52">
        <w:rPr>
          <w:rFonts w:ascii="Arial" w:hAnsi="Arial" w:cs="Arial"/>
          <w:sz w:val="20"/>
          <w:szCs w:val="20"/>
        </w:rPr>
        <w:t>)</w:t>
      </w:r>
      <w:r w:rsidRPr="00F00FE6">
        <w:rPr>
          <w:rFonts w:ascii="Arial" w:hAnsi="Arial" w:cs="Arial"/>
          <w:sz w:val="20"/>
          <w:szCs w:val="20"/>
        </w:rPr>
        <w:t xml:space="preserve"> reported that neem essential oil exhibited strong repellency against </w:t>
      </w:r>
      <w:r w:rsidRPr="00F00FE6">
        <w:rPr>
          <w:rStyle w:val="Emphasis"/>
          <w:rFonts w:ascii="Arial" w:hAnsi="Arial" w:cs="Arial"/>
          <w:sz w:val="20"/>
          <w:szCs w:val="20"/>
        </w:rPr>
        <w:t>Anopheles</w:t>
      </w:r>
      <w:r w:rsidRPr="00F00FE6">
        <w:rPr>
          <w:rFonts w:ascii="Arial" w:hAnsi="Arial" w:cs="Arial"/>
          <w:sz w:val="20"/>
          <w:szCs w:val="20"/>
        </w:rPr>
        <w:t xml:space="preserve"> mosquitoes. Additionally, neem-based products are considered environmentally safe and biodegradable, with minimal ecological impact compared to s</w:t>
      </w:r>
      <w:r w:rsidR="00BB5F89" w:rsidRPr="00F00FE6">
        <w:rPr>
          <w:rFonts w:ascii="Arial" w:hAnsi="Arial" w:cs="Arial"/>
          <w:sz w:val="20"/>
          <w:szCs w:val="20"/>
        </w:rPr>
        <w:t>ynthetic insecticides</w:t>
      </w:r>
      <w:r w:rsidR="00D21E52">
        <w:rPr>
          <w:rFonts w:ascii="Arial" w:hAnsi="Arial" w:cs="Arial"/>
          <w:sz w:val="20"/>
          <w:szCs w:val="20"/>
        </w:rPr>
        <w:t xml:space="preserve"> (Pramanik </w:t>
      </w:r>
      <w:r w:rsidR="00D21E52">
        <w:rPr>
          <w:rFonts w:ascii="Arial" w:hAnsi="Arial" w:cs="Arial"/>
          <w:i/>
          <w:sz w:val="20"/>
          <w:szCs w:val="20"/>
        </w:rPr>
        <w:t xml:space="preserve">et al., </w:t>
      </w:r>
      <w:r w:rsidR="00D21E52">
        <w:rPr>
          <w:rFonts w:ascii="Arial" w:hAnsi="Arial" w:cs="Arial"/>
          <w:sz w:val="20"/>
          <w:szCs w:val="20"/>
        </w:rPr>
        <w:t>2023)</w:t>
      </w:r>
      <w:r w:rsidRPr="00F00FE6">
        <w:rPr>
          <w:rFonts w:ascii="Arial" w:hAnsi="Arial" w:cs="Arial"/>
          <w:sz w:val="20"/>
          <w:szCs w:val="20"/>
        </w:rPr>
        <w:t>.</w:t>
      </w:r>
    </w:p>
    <w:p w14:paraId="1F4724FE"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M. oleifera</w:t>
      </w:r>
      <w:r w:rsidRPr="00F00FE6">
        <w:rPr>
          <w:rFonts w:ascii="Arial" w:hAnsi="Arial" w:cs="Arial"/>
          <w:sz w:val="20"/>
          <w:szCs w:val="20"/>
        </w:rPr>
        <w:t xml:space="preserve"> also exhibited high larvicidal and adulticidal activities against </w:t>
      </w:r>
      <w:r w:rsidRPr="00F00FE6">
        <w:rPr>
          <w:rStyle w:val="Emphasis"/>
          <w:rFonts w:ascii="Arial" w:hAnsi="Arial" w:cs="Arial"/>
          <w:sz w:val="20"/>
          <w:szCs w:val="20"/>
        </w:rPr>
        <w:t>An. gambiae</w:t>
      </w:r>
      <w:r w:rsidRPr="00F00FE6">
        <w:rPr>
          <w:rFonts w:ascii="Arial" w:hAnsi="Arial" w:cs="Arial"/>
          <w:sz w:val="20"/>
          <w:szCs w:val="20"/>
        </w:rPr>
        <w:t xml:space="preserve">, with mortality increasing in a concentration-dependent manner. These results align with earlier studies reporting that extracts of </w:t>
      </w:r>
      <w:r w:rsidRPr="00F00FE6">
        <w:rPr>
          <w:rStyle w:val="Emphasis"/>
          <w:rFonts w:ascii="Arial" w:hAnsi="Arial" w:cs="Arial"/>
          <w:sz w:val="20"/>
          <w:szCs w:val="20"/>
        </w:rPr>
        <w:t>M. oleifera</w:t>
      </w:r>
      <w:r w:rsidRPr="00F00FE6">
        <w:rPr>
          <w:rFonts w:ascii="Arial" w:hAnsi="Arial" w:cs="Arial"/>
          <w:sz w:val="20"/>
          <w:szCs w:val="20"/>
        </w:rPr>
        <w:t xml:space="preserve"> possess effective larvicidal, pupicidal, and adulticidal properties against various mosquito species acr</w:t>
      </w:r>
      <w:r w:rsidR="00BB5F89" w:rsidRPr="00F00FE6">
        <w:rPr>
          <w:rFonts w:ascii="Arial" w:hAnsi="Arial" w:cs="Arial"/>
          <w:sz w:val="20"/>
          <w:szCs w:val="20"/>
        </w:rPr>
        <w:t xml:space="preserve">oss different life stages </w:t>
      </w:r>
      <w:r w:rsidR="00D21E52">
        <w:rPr>
          <w:rFonts w:ascii="Arial" w:hAnsi="Arial" w:cs="Arial"/>
          <w:sz w:val="20"/>
          <w:szCs w:val="20"/>
        </w:rPr>
        <w:t xml:space="preserve">(Nath </w:t>
      </w:r>
      <w:r w:rsidR="00D21E52">
        <w:rPr>
          <w:rFonts w:ascii="Arial" w:hAnsi="Arial" w:cs="Arial"/>
          <w:i/>
          <w:sz w:val="20"/>
          <w:szCs w:val="20"/>
        </w:rPr>
        <w:t xml:space="preserve"> et al., </w:t>
      </w:r>
      <w:r w:rsidR="00D21E52">
        <w:rPr>
          <w:rFonts w:ascii="Arial" w:hAnsi="Arial" w:cs="Arial"/>
          <w:sz w:val="20"/>
          <w:szCs w:val="20"/>
        </w:rPr>
        <w:t>2006)</w:t>
      </w:r>
      <w:r w:rsidRPr="00F00FE6">
        <w:rPr>
          <w:rFonts w:ascii="Arial" w:hAnsi="Arial" w:cs="Arial"/>
          <w:sz w:val="20"/>
          <w:szCs w:val="20"/>
        </w:rPr>
        <w:t>.</w:t>
      </w:r>
    </w:p>
    <w:p w14:paraId="0762E47E"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Similarly, larvae of </w:t>
      </w:r>
      <w:r w:rsidRPr="00F00FE6">
        <w:rPr>
          <w:rStyle w:val="Emphasis"/>
          <w:rFonts w:ascii="Arial" w:hAnsi="Arial" w:cs="Arial"/>
          <w:sz w:val="20"/>
          <w:szCs w:val="20"/>
        </w:rPr>
        <w:t>An. gambiae</w:t>
      </w:r>
      <w:r w:rsidRPr="00F00FE6">
        <w:rPr>
          <w:rFonts w:ascii="Arial" w:hAnsi="Arial" w:cs="Arial"/>
          <w:sz w:val="20"/>
          <w:szCs w:val="20"/>
        </w:rPr>
        <w:t xml:space="preserve"> were highly susceptible to extracts of </w:t>
      </w:r>
      <w:r w:rsidRPr="00F00FE6">
        <w:rPr>
          <w:rStyle w:val="Emphasis"/>
          <w:rFonts w:ascii="Arial" w:hAnsi="Arial" w:cs="Arial"/>
          <w:sz w:val="20"/>
          <w:szCs w:val="20"/>
        </w:rPr>
        <w:t>E. citriodora</w:t>
      </w:r>
      <w:r w:rsidRPr="00F00FE6">
        <w:rPr>
          <w:rFonts w:ascii="Arial" w:hAnsi="Arial" w:cs="Arial"/>
          <w:sz w:val="20"/>
          <w:szCs w:val="20"/>
        </w:rPr>
        <w:t>, with ethanol and methanol extracts demonstrating superior potency against both larval and adult stages. Complete larval mortality was achieved at higher concentrations, while ethanol extracts produced up to 90.20% adult mortality at 300 ppm within 24 hours. These findings are consistent with</w:t>
      </w:r>
      <w:r w:rsidR="00D21E52">
        <w:rPr>
          <w:rFonts w:ascii="Arial" w:hAnsi="Arial" w:cs="Arial"/>
          <w:sz w:val="20"/>
          <w:szCs w:val="20"/>
        </w:rPr>
        <w:t xml:space="preserve"> the results reported by (Obembe </w:t>
      </w:r>
      <w:r w:rsidR="00D21E52">
        <w:rPr>
          <w:rFonts w:ascii="Arial" w:hAnsi="Arial" w:cs="Arial"/>
          <w:i/>
          <w:sz w:val="20"/>
          <w:szCs w:val="20"/>
        </w:rPr>
        <w:t xml:space="preserve">et al., </w:t>
      </w:r>
      <w:r w:rsidR="00D21E52" w:rsidRPr="00D21E52">
        <w:rPr>
          <w:rFonts w:ascii="Arial" w:hAnsi="Arial" w:cs="Arial"/>
          <w:sz w:val="20"/>
          <w:szCs w:val="20"/>
        </w:rPr>
        <w:t>2024)</w:t>
      </w:r>
      <w:r w:rsidRPr="00F00FE6">
        <w:rPr>
          <w:rFonts w:ascii="Arial" w:hAnsi="Arial" w:cs="Arial"/>
          <w:sz w:val="20"/>
          <w:szCs w:val="20"/>
        </w:rPr>
        <w:t xml:space="preserve">, who observed 100% larval and adult mortality at higher doses of ethanol extracts of </w:t>
      </w:r>
      <w:r w:rsidRPr="00F00FE6">
        <w:rPr>
          <w:rStyle w:val="Emphasis"/>
          <w:rFonts w:ascii="Arial" w:hAnsi="Arial" w:cs="Arial"/>
          <w:sz w:val="20"/>
          <w:szCs w:val="20"/>
        </w:rPr>
        <w:t>E. citriodora</w:t>
      </w:r>
      <w:r w:rsidRPr="00F00FE6">
        <w:rPr>
          <w:rFonts w:ascii="Arial" w:hAnsi="Arial" w:cs="Arial"/>
          <w:sz w:val="20"/>
          <w:szCs w:val="20"/>
        </w:rPr>
        <w:t>.</w:t>
      </w:r>
    </w:p>
    <w:p w14:paraId="77E45C6F" w14:textId="77777777" w:rsidR="00847BE1" w:rsidRPr="00F00FE6" w:rsidRDefault="00847BE1" w:rsidP="001E088B">
      <w:pPr>
        <w:pStyle w:val="NormalWeb"/>
        <w:spacing w:line="480" w:lineRule="auto"/>
        <w:jc w:val="both"/>
        <w:rPr>
          <w:rFonts w:ascii="Arial" w:hAnsi="Arial" w:cs="Arial"/>
          <w:sz w:val="20"/>
          <w:szCs w:val="20"/>
        </w:rPr>
      </w:pPr>
      <w:r w:rsidRPr="00F00FE6">
        <w:rPr>
          <w:rFonts w:ascii="Arial" w:hAnsi="Arial" w:cs="Arial"/>
          <w:sz w:val="20"/>
          <w:szCs w:val="20"/>
        </w:rPr>
        <w:t xml:space="preserve">The larvicidal effectiveness of </w:t>
      </w:r>
      <w:r w:rsidRPr="00F00FE6">
        <w:rPr>
          <w:rStyle w:val="Emphasis"/>
          <w:rFonts w:ascii="Arial" w:hAnsi="Arial" w:cs="Arial"/>
          <w:sz w:val="20"/>
          <w:szCs w:val="20"/>
        </w:rPr>
        <w:t>M. piperita</w:t>
      </w:r>
      <w:r w:rsidRPr="00F00FE6">
        <w:rPr>
          <w:rFonts w:ascii="Arial" w:hAnsi="Arial" w:cs="Arial"/>
          <w:sz w:val="20"/>
          <w:szCs w:val="20"/>
        </w:rPr>
        <w:t xml:space="preserve"> observed in this study corroborates previous fin</w:t>
      </w:r>
      <w:r w:rsidR="00BB5F89" w:rsidRPr="00F00FE6">
        <w:rPr>
          <w:rFonts w:ascii="Arial" w:hAnsi="Arial" w:cs="Arial"/>
          <w:sz w:val="20"/>
          <w:szCs w:val="20"/>
        </w:rPr>
        <w:t xml:space="preserve">dings by </w:t>
      </w:r>
      <w:r w:rsidR="00BB5F89" w:rsidRPr="00F00FE6">
        <w:rPr>
          <w:rFonts w:ascii="Arial" w:hAnsi="Arial" w:cs="Arial"/>
          <w:sz w:val="20"/>
          <w:szCs w:val="20"/>
          <w:vertAlign w:val="superscript"/>
        </w:rPr>
        <w:t>33</w:t>
      </w:r>
      <w:r w:rsidRPr="00F00FE6">
        <w:rPr>
          <w:rFonts w:ascii="Arial" w:hAnsi="Arial" w:cs="Arial"/>
          <w:sz w:val="20"/>
          <w:szCs w:val="20"/>
        </w:rPr>
        <w:t xml:space="preserve">, who reported over 90% larval mortality after 24 hours of exposure. Furthermore, the efficacy of </w:t>
      </w:r>
      <w:r w:rsidRPr="00F00FE6">
        <w:rPr>
          <w:rStyle w:val="Emphasis"/>
          <w:rFonts w:ascii="Arial" w:hAnsi="Arial" w:cs="Arial"/>
          <w:sz w:val="20"/>
          <w:szCs w:val="20"/>
        </w:rPr>
        <w:t>A. paniculata</w:t>
      </w:r>
      <w:r w:rsidRPr="00F00FE6">
        <w:rPr>
          <w:rFonts w:ascii="Arial" w:hAnsi="Arial" w:cs="Arial"/>
          <w:sz w:val="20"/>
          <w:szCs w:val="20"/>
        </w:rPr>
        <w:t xml:space="preserve"> extracts in mosquito control is</w:t>
      </w:r>
      <w:r w:rsidR="00D21E52">
        <w:rPr>
          <w:rFonts w:ascii="Arial" w:hAnsi="Arial" w:cs="Arial"/>
          <w:sz w:val="20"/>
          <w:szCs w:val="20"/>
        </w:rPr>
        <w:t xml:space="preserve"> supported by the work of (Njom and Eze 2011)</w:t>
      </w:r>
      <w:r w:rsidRPr="00F00FE6">
        <w:rPr>
          <w:rFonts w:ascii="Arial" w:hAnsi="Arial" w:cs="Arial"/>
          <w:sz w:val="20"/>
          <w:szCs w:val="20"/>
        </w:rPr>
        <w:t xml:space="preserve">, who demonstrated the larvicidal, pupicidal, and ovicidal potential of </w:t>
      </w:r>
      <w:r w:rsidRPr="00F00FE6">
        <w:rPr>
          <w:rStyle w:val="Emphasis"/>
          <w:rFonts w:ascii="Arial" w:hAnsi="Arial" w:cs="Arial"/>
          <w:sz w:val="20"/>
          <w:szCs w:val="20"/>
        </w:rPr>
        <w:t>A. paniculata</w:t>
      </w:r>
      <w:r w:rsidRPr="00F00FE6">
        <w:rPr>
          <w:rFonts w:ascii="Arial" w:hAnsi="Arial" w:cs="Arial"/>
          <w:sz w:val="20"/>
          <w:szCs w:val="20"/>
        </w:rPr>
        <w:t xml:space="preserve"> fractions against </w:t>
      </w:r>
      <w:r w:rsidRPr="00F00FE6">
        <w:rPr>
          <w:rStyle w:val="Emphasis"/>
          <w:rFonts w:ascii="Arial" w:hAnsi="Arial" w:cs="Arial"/>
          <w:sz w:val="20"/>
          <w:szCs w:val="20"/>
        </w:rPr>
        <w:t>Aedes aegypti</w:t>
      </w:r>
      <w:r w:rsidRPr="00F00FE6">
        <w:rPr>
          <w:rFonts w:ascii="Arial" w:hAnsi="Arial" w:cs="Arial"/>
          <w:sz w:val="20"/>
          <w:szCs w:val="20"/>
        </w:rPr>
        <w:t xml:space="preserve"> and </w:t>
      </w:r>
      <w:r w:rsidRPr="00F00FE6">
        <w:rPr>
          <w:rStyle w:val="Emphasis"/>
          <w:rFonts w:ascii="Arial" w:hAnsi="Arial" w:cs="Arial"/>
          <w:sz w:val="20"/>
          <w:szCs w:val="20"/>
        </w:rPr>
        <w:t>Culex quinquefasciatus</w:t>
      </w:r>
      <w:r w:rsidR="001E088B" w:rsidRPr="00F00FE6">
        <w:rPr>
          <w:rFonts w:ascii="Arial" w:hAnsi="Arial" w:cs="Arial"/>
          <w:sz w:val="20"/>
          <w:szCs w:val="20"/>
        </w:rPr>
        <w:t>.</w:t>
      </w:r>
    </w:p>
    <w:p w14:paraId="0EBB040A" w14:textId="77777777" w:rsidR="00847BE1" w:rsidRPr="00F00FE6" w:rsidRDefault="00144781" w:rsidP="00144781">
      <w:pPr>
        <w:pStyle w:val="Heading2"/>
        <w:spacing w:line="480" w:lineRule="auto"/>
        <w:jc w:val="both"/>
        <w:rPr>
          <w:rFonts w:ascii="Arial" w:hAnsi="Arial" w:cs="Arial"/>
          <w:color w:val="auto"/>
          <w:sz w:val="22"/>
          <w:szCs w:val="22"/>
        </w:rPr>
      </w:pPr>
      <w:r w:rsidRPr="00F00FE6">
        <w:rPr>
          <w:rFonts w:ascii="Arial" w:hAnsi="Arial" w:cs="Arial"/>
          <w:color w:val="auto"/>
          <w:sz w:val="22"/>
          <w:szCs w:val="22"/>
        </w:rPr>
        <w:t>CONCLUSION</w:t>
      </w:r>
    </w:p>
    <w:p w14:paraId="3796B4E5"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results of this study demonstrate that crude ethanol, methanol, n-hexane, and acetone leaf extracts of </w:t>
      </w:r>
      <w:r w:rsidRPr="00F00FE6">
        <w:rPr>
          <w:rStyle w:val="Emphasis"/>
          <w:rFonts w:ascii="Arial" w:hAnsi="Arial" w:cs="Arial"/>
          <w:sz w:val="20"/>
          <w:szCs w:val="20"/>
        </w:rPr>
        <w:t>M. oleifera</w:t>
      </w:r>
      <w:r w:rsidRPr="00F00FE6">
        <w:rPr>
          <w:rFonts w:ascii="Arial" w:hAnsi="Arial" w:cs="Arial"/>
          <w:sz w:val="20"/>
          <w:szCs w:val="20"/>
        </w:rPr>
        <w:t xml:space="preserve">, </w:t>
      </w:r>
      <w:r w:rsidRPr="00F00FE6">
        <w:rPr>
          <w:rStyle w:val="Emphasis"/>
          <w:rFonts w:ascii="Arial" w:hAnsi="Arial" w:cs="Arial"/>
          <w:sz w:val="20"/>
          <w:szCs w:val="20"/>
        </w:rPr>
        <w:t>E. citriodora</w:t>
      </w:r>
      <w:r w:rsidRPr="00F00FE6">
        <w:rPr>
          <w:rFonts w:ascii="Arial" w:hAnsi="Arial" w:cs="Arial"/>
          <w:sz w:val="20"/>
          <w:szCs w:val="20"/>
        </w:rPr>
        <w:t xml:space="preserve">, </w:t>
      </w:r>
      <w:r w:rsidRPr="00F00FE6">
        <w:rPr>
          <w:rStyle w:val="Emphasis"/>
          <w:rFonts w:ascii="Arial" w:hAnsi="Arial" w:cs="Arial"/>
          <w:sz w:val="20"/>
          <w:szCs w:val="20"/>
        </w:rPr>
        <w:t>M. piperita</w:t>
      </w:r>
      <w:r w:rsidRPr="00F00FE6">
        <w:rPr>
          <w:rFonts w:ascii="Arial" w:hAnsi="Arial" w:cs="Arial"/>
          <w:sz w:val="20"/>
          <w:szCs w:val="20"/>
        </w:rPr>
        <w:t xml:space="preserve">, </w:t>
      </w:r>
      <w:r w:rsidRPr="00F00FE6">
        <w:rPr>
          <w:rStyle w:val="Emphasis"/>
          <w:rFonts w:ascii="Arial" w:hAnsi="Arial" w:cs="Arial"/>
          <w:sz w:val="20"/>
          <w:szCs w:val="20"/>
        </w:rPr>
        <w:t>A. indica</w:t>
      </w:r>
      <w:r w:rsidRPr="00F00FE6">
        <w:rPr>
          <w:rFonts w:ascii="Arial" w:hAnsi="Arial" w:cs="Arial"/>
          <w:sz w:val="20"/>
          <w:szCs w:val="20"/>
        </w:rPr>
        <w:t xml:space="preserve">, and </w:t>
      </w:r>
      <w:r w:rsidRPr="00F00FE6">
        <w:rPr>
          <w:rStyle w:val="Emphasis"/>
          <w:rFonts w:ascii="Arial" w:hAnsi="Arial" w:cs="Arial"/>
          <w:sz w:val="20"/>
          <w:szCs w:val="20"/>
        </w:rPr>
        <w:t>A. paniculata</w:t>
      </w:r>
      <w:r w:rsidRPr="00F00FE6">
        <w:rPr>
          <w:rFonts w:ascii="Arial" w:hAnsi="Arial" w:cs="Arial"/>
          <w:sz w:val="20"/>
          <w:szCs w:val="20"/>
        </w:rPr>
        <w:t xml:space="preserve"> possess varying degrees of larvicidal and adulticidal activity against </w:t>
      </w:r>
      <w:r w:rsidRPr="00F00FE6">
        <w:rPr>
          <w:rStyle w:val="Emphasis"/>
          <w:rFonts w:ascii="Arial" w:hAnsi="Arial" w:cs="Arial"/>
          <w:sz w:val="20"/>
          <w:szCs w:val="20"/>
        </w:rPr>
        <w:t>An. gambiae</w:t>
      </w:r>
      <w:r w:rsidRPr="00F00FE6">
        <w:rPr>
          <w:rFonts w:ascii="Arial" w:hAnsi="Arial" w:cs="Arial"/>
          <w:sz w:val="20"/>
          <w:szCs w:val="20"/>
        </w:rPr>
        <w:t xml:space="preserve">. Among the tested extracts, ethanol and methanol leaf </w:t>
      </w:r>
      <w:r w:rsidRPr="00F00FE6">
        <w:rPr>
          <w:rFonts w:ascii="Arial" w:hAnsi="Arial" w:cs="Arial"/>
          <w:sz w:val="20"/>
          <w:szCs w:val="20"/>
        </w:rPr>
        <w:lastRenderedPageBreak/>
        <w:t xml:space="preserve">extracts particularly those of </w:t>
      </w:r>
      <w:r w:rsidRPr="00F00FE6">
        <w:rPr>
          <w:rStyle w:val="Emphasis"/>
          <w:rFonts w:ascii="Arial" w:hAnsi="Arial" w:cs="Arial"/>
          <w:sz w:val="20"/>
          <w:szCs w:val="20"/>
        </w:rPr>
        <w:t>A. indica</w:t>
      </w:r>
      <w:r w:rsidRPr="00F00FE6">
        <w:rPr>
          <w:rFonts w:ascii="Arial" w:hAnsi="Arial" w:cs="Arial"/>
          <w:sz w:val="20"/>
          <w:szCs w:val="20"/>
        </w:rPr>
        <w:t xml:space="preserve"> were the most effective, showing strong potential for development into safe, biodegradable, cost-effective botanical insecticides for mosquito </w:t>
      </w:r>
      <w:r w:rsidRPr="00D21E52">
        <w:rPr>
          <w:rFonts w:ascii="Arial" w:hAnsi="Arial" w:cs="Arial"/>
          <w:sz w:val="20"/>
          <w:szCs w:val="20"/>
        </w:rPr>
        <w:t>vector</w:t>
      </w:r>
      <w:r w:rsidRPr="00F00FE6">
        <w:rPr>
          <w:rFonts w:ascii="Arial" w:hAnsi="Arial" w:cs="Arial"/>
          <w:sz w:val="20"/>
          <w:szCs w:val="20"/>
        </w:rPr>
        <w:t xml:space="preserve"> control.</w:t>
      </w:r>
    </w:p>
    <w:p w14:paraId="2BA6970D" w14:textId="77777777" w:rsidR="00847BE1" w:rsidRPr="00F00FE6" w:rsidRDefault="00847BE1" w:rsidP="00F00FE6">
      <w:pPr>
        <w:pStyle w:val="NormalWeb"/>
        <w:spacing w:line="480" w:lineRule="auto"/>
        <w:jc w:val="both"/>
        <w:rPr>
          <w:rFonts w:ascii="Arial" w:hAnsi="Arial" w:cs="Arial"/>
          <w:sz w:val="20"/>
          <w:szCs w:val="20"/>
        </w:rPr>
      </w:pPr>
      <w:r w:rsidRPr="00F00FE6">
        <w:rPr>
          <w:rFonts w:ascii="Arial" w:hAnsi="Arial" w:cs="Arial"/>
          <w:sz w:val="20"/>
          <w:szCs w:val="20"/>
        </w:rPr>
        <w:t>Further studies should investigate the insecticidal potential of other plant parts, such as stems, roots, and seeds, as well as conduct detailed phytochemical analyses to identify, characterize, and formulate the bioactive compounds responsible for mosquito control. Such efforts will contribute to the development of sustainable and environmentally friendly alternatives to synthetic insecticides for integrated vector management programs</w:t>
      </w:r>
    </w:p>
    <w:p w14:paraId="30FD89BE" w14:textId="77777777" w:rsidR="00772CA8" w:rsidRPr="008853D9" w:rsidRDefault="00772CA8" w:rsidP="00144781">
      <w:pPr>
        <w:pStyle w:val="BodyText"/>
        <w:tabs>
          <w:tab w:val="left" w:pos="4770"/>
        </w:tabs>
        <w:spacing w:line="480" w:lineRule="auto"/>
        <w:ind w:right="40"/>
        <w:jc w:val="both"/>
        <w:rPr>
          <w:rFonts w:ascii="Arial" w:hAnsi="Arial" w:cs="Arial"/>
          <w:b/>
          <w:sz w:val="24"/>
          <w:szCs w:val="24"/>
        </w:rPr>
      </w:pPr>
    </w:p>
    <w:p w14:paraId="099A0476" w14:textId="77777777" w:rsidR="00857230" w:rsidRDefault="00857230" w:rsidP="00144781">
      <w:pPr>
        <w:pStyle w:val="BodyText"/>
        <w:tabs>
          <w:tab w:val="left" w:pos="4770"/>
        </w:tabs>
        <w:spacing w:line="480" w:lineRule="auto"/>
        <w:ind w:right="40"/>
        <w:jc w:val="both"/>
        <w:rPr>
          <w:rFonts w:ascii="Arial" w:hAnsi="Arial" w:cs="Arial"/>
          <w:b/>
          <w:sz w:val="22"/>
          <w:szCs w:val="22"/>
        </w:rPr>
      </w:pPr>
      <w:r w:rsidRPr="00F00FE6">
        <w:rPr>
          <w:rFonts w:ascii="Arial" w:hAnsi="Arial" w:cs="Arial"/>
          <w:b/>
          <w:sz w:val="22"/>
          <w:szCs w:val="22"/>
        </w:rPr>
        <w:t>REFERENCES</w:t>
      </w:r>
    </w:p>
    <w:p w14:paraId="74A9CC73" w14:textId="77777777" w:rsidR="00965F1F" w:rsidRDefault="00965F1F" w:rsidP="00965F1F"/>
    <w:p w14:paraId="311550B6"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Bloland, P. B. </w:t>
      </w:r>
      <w:r>
        <w:rPr>
          <w:rFonts w:ascii="Arial" w:hAnsi="Arial" w:cs="Arial"/>
          <w:sz w:val="20"/>
          <w:szCs w:val="20"/>
        </w:rPr>
        <w:t xml:space="preserve">(2001). </w:t>
      </w:r>
      <w:r w:rsidRPr="00F00FE6">
        <w:rPr>
          <w:rFonts w:ascii="Arial" w:hAnsi="Arial" w:cs="Arial"/>
          <w:sz w:val="20"/>
          <w:szCs w:val="20"/>
        </w:rPr>
        <w:t>Drug resistance in malaria. Geneva: World Health Organization. (</w:t>
      </w:r>
      <w:r>
        <w:rPr>
          <w:rFonts w:ascii="Arial" w:hAnsi="Arial" w:cs="Arial"/>
          <w:sz w:val="20"/>
          <w:szCs w:val="20"/>
        </w:rPr>
        <w:t xml:space="preserve">WHO/CDS/CSR/DRS/4-25. </w:t>
      </w:r>
    </w:p>
    <w:p w14:paraId="19C6368D" w14:textId="77777777" w:rsidR="00965F1F" w:rsidRPr="004C00B0" w:rsidRDefault="00965F1F" w:rsidP="00965F1F">
      <w:pPr>
        <w:tabs>
          <w:tab w:val="left" w:pos="439"/>
          <w:tab w:val="left" w:pos="441"/>
        </w:tabs>
        <w:spacing w:before="1" w:line="480" w:lineRule="auto"/>
        <w:ind w:right="100"/>
        <w:rPr>
          <w:rFonts w:ascii="Arial" w:hAnsi="Arial" w:cs="Arial"/>
          <w:sz w:val="20"/>
          <w:szCs w:val="20"/>
        </w:rPr>
      </w:pPr>
      <w:r w:rsidRPr="00F00FE6">
        <w:rPr>
          <w:rFonts w:ascii="Arial" w:hAnsi="Arial" w:cs="Arial"/>
          <w:w w:val="85"/>
          <w:sz w:val="20"/>
          <w:szCs w:val="20"/>
        </w:rPr>
        <w:t>Chore, J. K., Obonyo, M.,</w:t>
      </w:r>
      <w:r w:rsidRPr="00F00FE6">
        <w:rPr>
          <w:rFonts w:ascii="Arial" w:hAnsi="Arial" w:cs="Arial"/>
          <w:spacing w:val="-2"/>
          <w:w w:val="85"/>
          <w:sz w:val="20"/>
          <w:szCs w:val="20"/>
        </w:rPr>
        <w:t xml:space="preserve"> </w:t>
      </w:r>
      <w:r w:rsidRPr="00F00FE6">
        <w:rPr>
          <w:rFonts w:ascii="Arial" w:hAnsi="Arial" w:cs="Arial"/>
          <w:w w:val="85"/>
          <w:sz w:val="20"/>
          <w:szCs w:val="20"/>
        </w:rPr>
        <w:t xml:space="preserve">Wachira, F .N., Mireji, P. O. </w:t>
      </w:r>
      <w:r>
        <w:rPr>
          <w:rFonts w:ascii="Arial" w:hAnsi="Arial" w:cs="Arial"/>
          <w:w w:val="85"/>
          <w:sz w:val="20"/>
          <w:szCs w:val="20"/>
        </w:rPr>
        <w:t xml:space="preserve">(2014). </w:t>
      </w:r>
      <w:r w:rsidRPr="00F00FE6">
        <w:rPr>
          <w:rFonts w:ascii="Arial" w:hAnsi="Arial" w:cs="Arial"/>
          <w:w w:val="85"/>
          <w:sz w:val="20"/>
          <w:szCs w:val="20"/>
        </w:rPr>
        <w:t>Larvicidal activity of selected</w:t>
      </w:r>
      <w:r w:rsidRPr="00F00FE6">
        <w:rPr>
          <w:rFonts w:ascii="Arial" w:hAnsi="Arial" w:cs="Arial"/>
          <w:sz w:val="20"/>
          <w:szCs w:val="20"/>
        </w:rPr>
        <w:t xml:space="preserve"> </w:t>
      </w:r>
      <w:r w:rsidRPr="00F00FE6">
        <w:rPr>
          <w:rFonts w:ascii="Arial" w:hAnsi="Arial" w:cs="Arial"/>
          <w:i/>
          <w:spacing w:val="-2"/>
          <w:w w:val="90"/>
          <w:sz w:val="20"/>
          <w:szCs w:val="20"/>
        </w:rPr>
        <w:t xml:space="preserve">Aloe </w:t>
      </w:r>
      <w:r w:rsidRPr="00F00FE6">
        <w:rPr>
          <w:rFonts w:ascii="Arial" w:hAnsi="Arial" w:cs="Arial"/>
          <w:spacing w:val="-2"/>
          <w:w w:val="90"/>
          <w:sz w:val="20"/>
          <w:szCs w:val="20"/>
        </w:rPr>
        <w:t xml:space="preserve">species against </w:t>
      </w:r>
      <w:r>
        <w:rPr>
          <w:rFonts w:ascii="Arial" w:hAnsi="Arial" w:cs="Arial"/>
          <w:spacing w:val="-2"/>
          <w:w w:val="90"/>
          <w:sz w:val="20"/>
          <w:szCs w:val="20"/>
        </w:rPr>
        <w:t xml:space="preserve">    </w:t>
      </w:r>
      <w:r w:rsidRPr="00F00FE6">
        <w:rPr>
          <w:rFonts w:ascii="Arial" w:hAnsi="Arial" w:cs="Arial"/>
          <w:i/>
          <w:spacing w:val="-2"/>
          <w:w w:val="90"/>
          <w:sz w:val="20"/>
          <w:szCs w:val="20"/>
        </w:rPr>
        <w:t>Aedes</w:t>
      </w:r>
      <w:r w:rsidRPr="00F00FE6">
        <w:rPr>
          <w:rFonts w:ascii="Arial" w:hAnsi="Arial" w:cs="Arial"/>
          <w:i/>
          <w:spacing w:val="-4"/>
          <w:w w:val="90"/>
          <w:sz w:val="20"/>
          <w:szCs w:val="20"/>
        </w:rPr>
        <w:t xml:space="preserve"> </w:t>
      </w:r>
      <w:r w:rsidRPr="00F00FE6">
        <w:rPr>
          <w:rFonts w:ascii="Arial" w:hAnsi="Arial" w:cs="Arial"/>
          <w:i/>
          <w:spacing w:val="-2"/>
          <w:w w:val="90"/>
          <w:sz w:val="20"/>
          <w:szCs w:val="20"/>
        </w:rPr>
        <w:t xml:space="preserve">aegypti </w:t>
      </w:r>
      <w:r w:rsidRPr="00F00FE6">
        <w:rPr>
          <w:rFonts w:ascii="Arial" w:hAnsi="Arial" w:cs="Arial"/>
          <w:spacing w:val="-2"/>
          <w:w w:val="90"/>
          <w:sz w:val="20"/>
          <w:szCs w:val="20"/>
        </w:rPr>
        <w:t xml:space="preserve">(Diptera: Culiciade). </w:t>
      </w:r>
      <w:r w:rsidRPr="00F00FE6">
        <w:rPr>
          <w:rFonts w:ascii="Arial" w:hAnsi="Arial" w:cs="Arial"/>
          <w:i/>
          <w:spacing w:val="-2"/>
          <w:w w:val="90"/>
          <w:sz w:val="20"/>
          <w:szCs w:val="20"/>
        </w:rPr>
        <w:t>J Insect Sci</w:t>
      </w:r>
      <w:r w:rsidRPr="00F00FE6">
        <w:rPr>
          <w:rFonts w:ascii="Arial" w:hAnsi="Arial" w:cs="Arial"/>
          <w:spacing w:val="-2"/>
          <w:w w:val="90"/>
          <w:sz w:val="20"/>
          <w:szCs w:val="20"/>
        </w:rPr>
        <w:t>.</w:t>
      </w:r>
      <w:bookmarkStart w:id="1" w:name="_bookmark43"/>
      <w:bookmarkEnd w:id="1"/>
      <w:r>
        <w:rPr>
          <w:rFonts w:ascii="Arial" w:hAnsi="Arial" w:cs="Arial"/>
          <w:sz w:val="20"/>
          <w:szCs w:val="20"/>
        </w:rPr>
        <w:t>,</w:t>
      </w:r>
      <w:r w:rsidRPr="00F00FE6">
        <w:rPr>
          <w:rFonts w:ascii="Arial" w:hAnsi="Arial" w:cs="Arial"/>
          <w:spacing w:val="-2"/>
          <w:w w:val="95"/>
          <w:sz w:val="20"/>
          <w:szCs w:val="20"/>
        </w:rPr>
        <w:t>14:202.</w:t>
      </w:r>
    </w:p>
    <w:p w14:paraId="6427904B"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r w:rsidRPr="00F00FE6">
        <w:rPr>
          <w:rFonts w:ascii="Arial" w:hAnsi="Arial" w:cs="Arial"/>
          <w:color w:val="131413"/>
          <w:sz w:val="20"/>
          <w:szCs w:val="20"/>
        </w:rPr>
        <w:t xml:space="preserve">El-Moghazy, F. and Abdel-Shafy, A. E. N. S. </w:t>
      </w:r>
      <w:r>
        <w:rPr>
          <w:rFonts w:ascii="Arial" w:hAnsi="Arial" w:cs="Arial"/>
          <w:color w:val="131413"/>
          <w:sz w:val="20"/>
          <w:szCs w:val="20"/>
        </w:rPr>
        <w:t xml:space="preserve"> (2019).</w:t>
      </w:r>
      <w:r w:rsidRPr="00F00FE6">
        <w:rPr>
          <w:rFonts w:ascii="Arial" w:hAnsi="Arial" w:cs="Arial"/>
          <w:color w:val="131413"/>
          <w:sz w:val="20"/>
          <w:szCs w:val="20"/>
        </w:rPr>
        <w:t xml:space="preserve"> “Larvicidal Potential of Some Essential Oils Against the FilarialVector </w:t>
      </w:r>
      <w:r w:rsidRPr="00F00FE6">
        <w:rPr>
          <w:rFonts w:ascii="Arial" w:hAnsi="Arial" w:cs="Arial"/>
          <w:i/>
          <w:color w:val="131413"/>
          <w:sz w:val="20"/>
          <w:szCs w:val="20"/>
        </w:rPr>
        <w:t>Culex pipiens</w:t>
      </w:r>
      <w:r w:rsidRPr="00F00FE6">
        <w:rPr>
          <w:rFonts w:ascii="Arial" w:hAnsi="Arial" w:cs="Arial"/>
          <w:color w:val="131413"/>
          <w:sz w:val="20"/>
          <w:szCs w:val="20"/>
        </w:rPr>
        <w:t xml:space="preserve"> L. (Diptera:Culicidae),” </w:t>
      </w:r>
      <w:r w:rsidRPr="00F00FE6">
        <w:rPr>
          <w:rFonts w:ascii="Arial" w:hAnsi="Arial" w:cs="Arial"/>
          <w:i/>
          <w:color w:val="131413"/>
          <w:sz w:val="20"/>
          <w:szCs w:val="20"/>
        </w:rPr>
        <w:t>Global Veterinaria</w:t>
      </w:r>
      <w:r>
        <w:rPr>
          <w:rFonts w:ascii="Arial" w:hAnsi="Arial" w:cs="Arial"/>
          <w:color w:val="131413"/>
          <w:sz w:val="20"/>
          <w:szCs w:val="20"/>
        </w:rPr>
        <w:t xml:space="preserve">, </w:t>
      </w:r>
      <w:r w:rsidRPr="00F00FE6">
        <w:rPr>
          <w:rFonts w:ascii="Arial" w:hAnsi="Arial" w:cs="Arial"/>
          <w:color w:val="131413"/>
          <w:sz w:val="20"/>
          <w:szCs w:val="20"/>
        </w:rPr>
        <w:t>21: 100–108.</w:t>
      </w:r>
    </w:p>
    <w:p w14:paraId="5CD77B9D" w14:textId="77777777" w:rsidR="00965F1F" w:rsidRPr="00C0402F" w:rsidRDefault="00965F1F" w:rsidP="00965F1F">
      <w:pPr>
        <w:pStyle w:val="Heading1"/>
        <w:spacing w:line="480" w:lineRule="auto"/>
        <w:ind w:left="0"/>
        <w:rPr>
          <w:rFonts w:ascii="Arial" w:hAnsi="Arial" w:cs="Arial"/>
          <w:b w:val="0"/>
          <w:w w:val="90"/>
        </w:rPr>
      </w:pPr>
      <w:r w:rsidRPr="00F00FE6">
        <w:rPr>
          <w:rFonts w:ascii="Arial" w:hAnsi="Arial" w:cs="Arial"/>
          <w:b w:val="0"/>
          <w:w w:val="90"/>
        </w:rPr>
        <w:t>Endalkachew</w:t>
      </w:r>
      <w:r w:rsidRPr="00F00FE6">
        <w:rPr>
          <w:rFonts w:ascii="Arial" w:hAnsi="Arial" w:cs="Arial"/>
          <w:b w:val="0"/>
          <w:spacing w:val="-7"/>
          <w:w w:val="90"/>
        </w:rPr>
        <w:t xml:space="preserve"> </w:t>
      </w:r>
      <w:r w:rsidRPr="00F00FE6">
        <w:rPr>
          <w:rFonts w:ascii="Arial" w:hAnsi="Arial" w:cs="Arial"/>
          <w:b w:val="0"/>
          <w:w w:val="90"/>
        </w:rPr>
        <w:t>A,</w:t>
      </w:r>
      <w:r w:rsidRPr="00F00FE6">
        <w:rPr>
          <w:rFonts w:ascii="Arial" w:hAnsi="Arial" w:cs="Arial"/>
          <w:b w:val="0"/>
          <w:spacing w:val="-6"/>
          <w:w w:val="90"/>
        </w:rPr>
        <w:t xml:space="preserve"> </w:t>
      </w:r>
      <w:r w:rsidRPr="00F00FE6">
        <w:rPr>
          <w:rFonts w:ascii="Arial" w:hAnsi="Arial" w:cs="Arial"/>
          <w:b w:val="0"/>
          <w:w w:val="90"/>
        </w:rPr>
        <w:t>Hailu</w:t>
      </w:r>
      <w:r w:rsidRPr="00F00FE6">
        <w:rPr>
          <w:rFonts w:ascii="Arial" w:hAnsi="Arial" w:cs="Arial"/>
          <w:b w:val="0"/>
          <w:spacing w:val="-11"/>
          <w:w w:val="90"/>
        </w:rPr>
        <w:t xml:space="preserve"> </w:t>
      </w:r>
      <w:r w:rsidRPr="00F00FE6">
        <w:rPr>
          <w:rFonts w:ascii="Arial" w:hAnsi="Arial" w:cs="Arial"/>
          <w:b w:val="0"/>
          <w:w w:val="90"/>
        </w:rPr>
        <w:t xml:space="preserve">W. </w:t>
      </w:r>
      <w:r>
        <w:rPr>
          <w:rFonts w:ascii="Arial" w:hAnsi="Arial" w:cs="Arial"/>
          <w:b w:val="0"/>
          <w:w w:val="90"/>
        </w:rPr>
        <w:t xml:space="preserve">(2014). </w:t>
      </w:r>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vivo</w:t>
      </w:r>
      <w:r w:rsidRPr="00F00FE6">
        <w:rPr>
          <w:rFonts w:ascii="Arial" w:hAnsi="Arial" w:cs="Arial"/>
          <w:b w:val="0"/>
          <w:spacing w:val="-7"/>
          <w:w w:val="90"/>
        </w:rPr>
        <w:t xml:space="preserve"> </w:t>
      </w:r>
      <w:r w:rsidRPr="00F00FE6">
        <w:rPr>
          <w:rFonts w:ascii="Arial" w:hAnsi="Arial" w:cs="Arial"/>
          <w:b w:val="0"/>
          <w:w w:val="90"/>
        </w:rPr>
        <w:t>antimalarial</w:t>
      </w:r>
      <w:r w:rsidRPr="00F00FE6">
        <w:rPr>
          <w:rFonts w:ascii="Arial" w:hAnsi="Arial" w:cs="Arial"/>
          <w:b w:val="0"/>
          <w:spacing w:val="-6"/>
          <w:w w:val="90"/>
        </w:rPr>
        <w:t xml:space="preserve"> </w:t>
      </w:r>
      <w:r w:rsidRPr="00F00FE6">
        <w:rPr>
          <w:rFonts w:ascii="Arial" w:hAnsi="Arial" w:cs="Arial"/>
          <w:b w:val="0"/>
          <w:w w:val="90"/>
        </w:rPr>
        <w:t>activity</w:t>
      </w:r>
      <w:r w:rsidRPr="00F00FE6">
        <w:rPr>
          <w:rFonts w:ascii="Arial" w:hAnsi="Arial" w:cs="Arial"/>
          <w:b w:val="0"/>
          <w:spacing w:val="-6"/>
          <w:w w:val="90"/>
        </w:rPr>
        <w:t xml:space="preserve"> </w:t>
      </w:r>
      <w:r w:rsidRPr="00F00FE6">
        <w:rPr>
          <w:rFonts w:ascii="Arial" w:hAnsi="Arial" w:cs="Arial"/>
          <w:b w:val="0"/>
          <w:w w:val="90"/>
        </w:rPr>
        <w:t>of</w:t>
      </w:r>
      <w:r w:rsidRPr="00F00FE6">
        <w:rPr>
          <w:rFonts w:ascii="Arial" w:hAnsi="Arial" w:cs="Arial"/>
          <w:b w:val="0"/>
          <w:spacing w:val="-6"/>
          <w:w w:val="90"/>
        </w:rPr>
        <w:t xml:space="preserve"> </w:t>
      </w:r>
      <w:r w:rsidRPr="00F00FE6">
        <w:rPr>
          <w:rFonts w:ascii="Arial" w:hAnsi="Arial" w:cs="Arial"/>
          <w:b w:val="0"/>
          <w:w w:val="90"/>
        </w:rPr>
        <w:t>the</w:t>
      </w:r>
      <w:r w:rsidRPr="00F00FE6">
        <w:rPr>
          <w:rFonts w:ascii="Arial" w:hAnsi="Arial" w:cs="Arial"/>
          <w:b w:val="0"/>
          <w:spacing w:val="-7"/>
          <w:w w:val="90"/>
        </w:rPr>
        <w:t xml:space="preserve"> </w:t>
      </w:r>
      <w:r w:rsidRPr="00F00FE6">
        <w:rPr>
          <w:rFonts w:ascii="Arial" w:hAnsi="Arial" w:cs="Arial"/>
          <w:b w:val="0"/>
          <w:w w:val="90"/>
        </w:rPr>
        <w:t>crude</w:t>
      </w:r>
      <w:r w:rsidRPr="00F00FE6">
        <w:rPr>
          <w:rFonts w:ascii="Arial" w:hAnsi="Arial" w:cs="Arial"/>
          <w:b w:val="0"/>
          <w:spacing w:val="-6"/>
          <w:w w:val="90"/>
        </w:rPr>
        <w:t xml:space="preserve"> </w:t>
      </w:r>
      <w:r w:rsidRPr="00F00FE6">
        <w:rPr>
          <w:rFonts w:ascii="Arial" w:hAnsi="Arial" w:cs="Arial"/>
          <w:b w:val="0"/>
          <w:w w:val="90"/>
        </w:rPr>
        <w:t>extract</w:t>
      </w:r>
      <w:r w:rsidRPr="00F00FE6">
        <w:rPr>
          <w:rFonts w:ascii="Arial" w:hAnsi="Arial" w:cs="Arial"/>
          <w:b w:val="0"/>
        </w:rPr>
        <w:t xml:space="preserve"> </w:t>
      </w:r>
      <w:r w:rsidRPr="00F00FE6">
        <w:rPr>
          <w:rFonts w:ascii="Arial" w:hAnsi="Arial" w:cs="Arial"/>
          <w:b w:val="0"/>
          <w:w w:val="90"/>
        </w:rPr>
        <w:t xml:space="preserve">and solvent fractions of the </w:t>
      </w:r>
      <w:r>
        <w:rPr>
          <w:rFonts w:ascii="Arial" w:hAnsi="Arial" w:cs="Arial"/>
          <w:b w:val="0"/>
          <w:w w:val="90"/>
        </w:rPr>
        <w:t xml:space="preserve">    </w:t>
      </w:r>
      <w:r w:rsidRPr="00F00FE6">
        <w:rPr>
          <w:rFonts w:ascii="Arial" w:hAnsi="Arial" w:cs="Arial"/>
          <w:b w:val="0"/>
          <w:w w:val="90"/>
        </w:rPr>
        <w:t xml:space="preserve">leaves of </w:t>
      </w:r>
      <w:r w:rsidRPr="00F00FE6">
        <w:rPr>
          <w:rFonts w:ascii="Arial" w:hAnsi="Arial" w:cs="Arial"/>
          <w:b w:val="0"/>
          <w:i/>
          <w:w w:val="90"/>
        </w:rPr>
        <w:t>Zehenria</w:t>
      </w:r>
      <w:r w:rsidRPr="00F00FE6">
        <w:rPr>
          <w:rFonts w:ascii="Arial" w:hAnsi="Arial" w:cs="Arial"/>
          <w:b w:val="0"/>
          <w:i/>
          <w:spacing w:val="-4"/>
          <w:w w:val="90"/>
        </w:rPr>
        <w:t xml:space="preserve"> </w:t>
      </w:r>
      <w:r w:rsidRPr="00F00FE6">
        <w:rPr>
          <w:rFonts w:ascii="Arial" w:hAnsi="Arial" w:cs="Arial"/>
          <w:b w:val="0"/>
          <w:i/>
          <w:w w:val="90"/>
        </w:rPr>
        <w:t>scabra</w:t>
      </w:r>
      <w:r w:rsidRPr="00F00FE6">
        <w:rPr>
          <w:rFonts w:ascii="Arial" w:hAnsi="Arial" w:cs="Arial"/>
          <w:b w:val="0"/>
          <w:w w:val="90"/>
        </w:rPr>
        <w:t xml:space="preserve"> (Cucurbitaceae)</w:t>
      </w:r>
      <w:r w:rsidRPr="00F00FE6">
        <w:rPr>
          <w:rFonts w:ascii="Arial" w:hAnsi="Arial" w:cs="Arial"/>
          <w:b w:val="0"/>
        </w:rPr>
        <w:t xml:space="preserve"> </w:t>
      </w:r>
      <w:bookmarkStart w:id="2" w:name="_bookmark45"/>
      <w:bookmarkEnd w:id="2"/>
      <w:r w:rsidRPr="00F00FE6">
        <w:rPr>
          <w:rFonts w:ascii="Arial" w:hAnsi="Arial" w:cs="Arial"/>
          <w:b w:val="0"/>
          <w:w w:val="90"/>
        </w:rPr>
        <w:t>against</w:t>
      </w:r>
      <w:r w:rsidRPr="00F00FE6">
        <w:rPr>
          <w:rFonts w:ascii="Arial" w:hAnsi="Arial" w:cs="Arial"/>
          <w:b w:val="0"/>
          <w:spacing w:val="-7"/>
          <w:w w:val="90"/>
        </w:rPr>
        <w:t xml:space="preserve"> </w:t>
      </w:r>
      <w:r w:rsidRPr="00F00FE6">
        <w:rPr>
          <w:rFonts w:ascii="Arial" w:hAnsi="Arial" w:cs="Arial"/>
          <w:b w:val="0"/>
          <w:w w:val="90"/>
        </w:rPr>
        <w:t>Plasmodium</w:t>
      </w:r>
      <w:r w:rsidRPr="00F00FE6">
        <w:rPr>
          <w:rFonts w:ascii="Arial" w:hAnsi="Arial" w:cs="Arial"/>
          <w:b w:val="0"/>
          <w:spacing w:val="-11"/>
          <w:w w:val="90"/>
        </w:rPr>
        <w:t xml:space="preserve"> </w:t>
      </w:r>
      <w:r w:rsidRPr="00F00FE6">
        <w:rPr>
          <w:rFonts w:ascii="Arial" w:hAnsi="Arial" w:cs="Arial"/>
          <w:b w:val="0"/>
          <w:w w:val="90"/>
        </w:rPr>
        <w:t>berghei</w:t>
      </w:r>
      <w:r w:rsidRPr="00F00FE6">
        <w:rPr>
          <w:rFonts w:ascii="Arial" w:hAnsi="Arial" w:cs="Arial"/>
          <w:b w:val="0"/>
          <w:spacing w:val="-6"/>
          <w:w w:val="90"/>
        </w:rPr>
        <w:t xml:space="preserve"> </w:t>
      </w:r>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mice.</w:t>
      </w:r>
      <w:r w:rsidRPr="00F00FE6">
        <w:rPr>
          <w:rFonts w:ascii="Arial" w:hAnsi="Arial" w:cs="Arial"/>
          <w:b w:val="0"/>
          <w:spacing w:val="-6"/>
          <w:w w:val="90"/>
        </w:rPr>
        <w:t xml:space="preserve"> </w:t>
      </w:r>
      <w:r w:rsidRPr="00F00FE6">
        <w:rPr>
          <w:rFonts w:ascii="Arial" w:hAnsi="Arial" w:cs="Arial"/>
          <w:b w:val="0"/>
          <w:i/>
          <w:w w:val="90"/>
        </w:rPr>
        <w:t>J</w:t>
      </w:r>
      <w:r w:rsidRPr="00F00FE6">
        <w:rPr>
          <w:rFonts w:ascii="Arial" w:hAnsi="Arial" w:cs="Arial"/>
          <w:b w:val="0"/>
          <w:i/>
          <w:spacing w:val="-7"/>
          <w:w w:val="90"/>
        </w:rPr>
        <w:t xml:space="preserve"> </w:t>
      </w:r>
      <w:r w:rsidRPr="00F00FE6">
        <w:rPr>
          <w:rFonts w:ascii="Arial" w:hAnsi="Arial" w:cs="Arial"/>
          <w:b w:val="0"/>
          <w:i/>
          <w:w w:val="90"/>
        </w:rPr>
        <w:t>Med</w:t>
      </w:r>
      <w:r w:rsidRPr="00F00FE6">
        <w:rPr>
          <w:rFonts w:ascii="Arial" w:hAnsi="Arial" w:cs="Arial"/>
          <w:b w:val="0"/>
          <w:i/>
          <w:spacing w:val="-6"/>
          <w:w w:val="90"/>
        </w:rPr>
        <w:t xml:space="preserve"> </w:t>
      </w:r>
      <w:r w:rsidRPr="00F00FE6">
        <w:rPr>
          <w:rFonts w:ascii="Arial" w:hAnsi="Arial" w:cs="Arial"/>
          <w:b w:val="0"/>
          <w:i/>
          <w:w w:val="90"/>
        </w:rPr>
        <w:t>Plant</w:t>
      </w:r>
      <w:r w:rsidRPr="00F00FE6">
        <w:rPr>
          <w:rFonts w:ascii="Arial" w:hAnsi="Arial" w:cs="Arial"/>
          <w:b w:val="0"/>
          <w:i/>
          <w:spacing w:val="-6"/>
          <w:w w:val="90"/>
        </w:rPr>
        <w:t xml:space="preserve"> </w:t>
      </w:r>
      <w:r w:rsidRPr="00F00FE6">
        <w:rPr>
          <w:rFonts w:ascii="Arial" w:hAnsi="Arial" w:cs="Arial"/>
          <w:b w:val="0"/>
          <w:i/>
          <w:w w:val="90"/>
        </w:rPr>
        <w:t>Res</w:t>
      </w:r>
      <w:r w:rsidRPr="00F00FE6">
        <w:rPr>
          <w:rFonts w:ascii="Arial" w:hAnsi="Arial" w:cs="Arial"/>
          <w:b w:val="0"/>
          <w:w w:val="90"/>
        </w:rPr>
        <w:t>.</w:t>
      </w:r>
      <w:r w:rsidRPr="00F00FE6">
        <w:rPr>
          <w:rFonts w:ascii="Arial" w:hAnsi="Arial" w:cs="Arial"/>
          <w:b w:val="0"/>
          <w:spacing w:val="-6"/>
          <w:w w:val="90"/>
        </w:rPr>
        <w:t xml:space="preserve">, </w:t>
      </w:r>
      <w:r w:rsidRPr="00F00FE6">
        <w:rPr>
          <w:rFonts w:ascii="Arial" w:hAnsi="Arial" w:cs="Arial"/>
          <w:b w:val="0"/>
          <w:w w:val="90"/>
        </w:rPr>
        <w:t>8:1230–1236.</w:t>
      </w:r>
    </w:p>
    <w:p w14:paraId="51AE253A"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Eve, W., Suprotik, B., Kara, H.</w:t>
      </w:r>
      <w:r>
        <w:rPr>
          <w:rFonts w:ascii="Arial" w:hAnsi="Arial" w:cs="Arial"/>
          <w:sz w:val="20"/>
          <w:szCs w:val="20"/>
        </w:rPr>
        <w:t xml:space="preserve"> (2005).</w:t>
      </w:r>
      <w:r w:rsidRPr="00F00FE6">
        <w:rPr>
          <w:rFonts w:ascii="Arial" w:hAnsi="Arial" w:cs="Arial"/>
          <w:sz w:val="20"/>
          <w:szCs w:val="20"/>
        </w:rPr>
        <w:t xml:space="preserve">Is malaria a disease of poverty? </w:t>
      </w:r>
      <w:r w:rsidRPr="00F00FE6">
        <w:rPr>
          <w:rFonts w:ascii="Arial" w:hAnsi="Arial" w:cs="Arial"/>
          <w:i/>
          <w:sz w:val="20"/>
          <w:szCs w:val="20"/>
        </w:rPr>
        <w:t>Tropical Medicine and International Health</w:t>
      </w:r>
      <w:r>
        <w:rPr>
          <w:rFonts w:ascii="Arial" w:hAnsi="Arial" w:cs="Arial"/>
          <w:sz w:val="20"/>
          <w:szCs w:val="20"/>
        </w:rPr>
        <w:t xml:space="preserve">, </w:t>
      </w:r>
      <w:r w:rsidRPr="00F00FE6">
        <w:rPr>
          <w:rFonts w:ascii="Arial" w:hAnsi="Arial" w:cs="Arial"/>
          <w:sz w:val="20"/>
          <w:szCs w:val="20"/>
        </w:rPr>
        <w:t>10(10): 1047-1059.</w:t>
      </w:r>
    </w:p>
    <w:p w14:paraId="20D71131" w14:textId="77777777" w:rsidR="00965F1F" w:rsidRPr="004C00B0" w:rsidRDefault="00965F1F" w:rsidP="00965F1F">
      <w:pPr>
        <w:spacing w:line="480" w:lineRule="auto"/>
        <w:rPr>
          <w:rFonts w:ascii="Arial" w:hAnsi="Arial" w:cs="Arial"/>
          <w:iCs/>
          <w:sz w:val="20"/>
          <w:szCs w:val="20"/>
        </w:rPr>
      </w:pPr>
      <w:r w:rsidRPr="00965F1F">
        <w:rPr>
          <w:rStyle w:val="Strong"/>
          <w:rFonts w:ascii="Arial" w:hAnsi="Arial" w:cs="Arial"/>
          <w:b w:val="0"/>
          <w:sz w:val="20"/>
          <w:szCs w:val="20"/>
        </w:rPr>
        <w:t>Ghosh, R., Banerjee, K., &amp; Mitra, A</w:t>
      </w:r>
      <w:r w:rsidRPr="00F00FE6">
        <w:rPr>
          <w:rStyle w:val="Strong"/>
          <w:rFonts w:ascii="Arial" w:hAnsi="Arial" w:cs="Arial"/>
          <w:sz w:val="20"/>
          <w:szCs w:val="20"/>
        </w:rPr>
        <w:t xml:space="preserve">. </w:t>
      </w:r>
      <w:r>
        <w:rPr>
          <w:rStyle w:val="Strong"/>
          <w:rFonts w:ascii="Arial" w:hAnsi="Arial" w:cs="Arial"/>
          <w:b w:val="0"/>
          <w:sz w:val="20"/>
          <w:szCs w:val="20"/>
        </w:rPr>
        <w:t xml:space="preserve"> (2012).</w:t>
      </w:r>
      <w:r w:rsidRPr="00F00FE6">
        <w:rPr>
          <w:rStyle w:val="Emphasis"/>
          <w:rFonts w:ascii="Arial" w:hAnsi="Arial" w:cs="Arial"/>
          <w:sz w:val="20"/>
          <w:szCs w:val="20"/>
        </w:rPr>
        <w:t>Seaweeds in the Lower Gangetic Delta</w:t>
      </w:r>
      <w:r w:rsidRPr="00F00FE6">
        <w:rPr>
          <w:rStyle w:val="Strong"/>
          <w:rFonts w:ascii="Arial" w:hAnsi="Arial" w:cs="Arial"/>
          <w:i/>
          <w:sz w:val="20"/>
          <w:szCs w:val="20"/>
        </w:rPr>
        <w:t>.</w:t>
      </w:r>
      <w:r w:rsidRPr="00F00FE6">
        <w:rPr>
          <w:rFonts w:ascii="Arial" w:hAnsi="Arial" w:cs="Arial"/>
          <w:i/>
          <w:sz w:val="20"/>
          <w:szCs w:val="20"/>
        </w:rPr>
        <w:t xml:space="preserve"> In </w:t>
      </w:r>
      <w:r w:rsidRPr="00F00FE6">
        <w:rPr>
          <w:rStyle w:val="Emphasis"/>
          <w:rFonts w:ascii="Arial" w:hAnsi="Arial" w:cs="Arial"/>
          <w:sz w:val="20"/>
          <w:szCs w:val="20"/>
        </w:rPr>
        <w:t xml:space="preserve">Handbook of Marine Macroalgae: Biotechnology and Applied Phycology, </w:t>
      </w:r>
      <w:r w:rsidRPr="00F00FE6">
        <w:rPr>
          <w:rStyle w:val="Strong"/>
          <w:rFonts w:ascii="Arial" w:hAnsi="Arial" w:cs="Arial"/>
          <w:sz w:val="20"/>
          <w:szCs w:val="20"/>
        </w:rPr>
        <w:t xml:space="preserve"> </w:t>
      </w:r>
      <w:r w:rsidRPr="00F00FE6">
        <w:rPr>
          <w:rFonts w:ascii="Arial" w:hAnsi="Arial" w:cs="Arial"/>
          <w:sz w:val="20"/>
          <w:szCs w:val="20"/>
        </w:rPr>
        <w:t xml:space="preserve">          </w:t>
      </w:r>
    </w:p>
    <w:p w14:paraId="75BB4696" w14:textId="77777777" w:rsidR="00965F1F" w:rsidRDefault="00965F1F" w:rsidP="00965F1F">
      <w:pPr>
        <w:spacing w:line="480" w:lineRule="auto"/>
        <w:rPr>
          <w:rFonts w:ascii="Arial" w:eastAsia="Times New Roman" w:hAnsi="Arial" w:cs="Arial"/>
          <w:sz w:val="20"/>
          <w:szCs w:val="20"/>
        </w:rPr>
      </w:pPr>
      <w:r w:rsidRPr="00F00FE6">
        <w:rPr>
          <w:rFonts w:ascii="Arial" w:eastAsia="Times New Roman" w:hAnsi="Arial" w:cs="Arial"/>
          <w:bCs/>
          <w:sz w:val="20"/>
          <w:szCs w:val="20"/>
        </w:rPr>
        <w:t>Gordon, C. A. and Molyneux, D. H.</w:t>
      </w:r>
      <w:r>
        <w:rPr>
          <w:rFonts w:ascii="Arial" w:eastAsia="Times New Roman" w:hAnsi="Arial" w:cs="Arial"/>
          <w:bCs/>
          <w:sz w:val="20"/>
          <w:szCs w:val="20"/>
        </w:rPr>
        <w:t xml:space="preserve"> (2008).</w:t>
      </w:r>
      <w:r w:rsidRPr="00F00FE6">
        <w:rPr>
          <w:rFonts w:ascii="Arial" w:eastAsia="Times New Roman" w:hAnsi="Arial" w:cs="Arial"/>
          <w:bCs/>
          <w:sz w:val="20"/>
          <w:szCs w:val="20"/>
        </w:rPr>
        <w:t xml:space="preserve"> </w:t>
      </w:r>
      <w:r w:rsidRPr="00F00FE6">
        <w:rPr>
          <w:rFonts w:ascii="Arial" w:eastAsia="Times New Roman" w:hAnsi="Arial" w:cs="Arial"/>
          <w:sz w:val="20"/>
          <w:szCs w:val="20"/>
        </w:rPr>
        <w:t xml:space="preserve">Mosquito vectors and malaria transmission. </w:t>
      </w:r>
      <w:r w:rsidRPr="00F00FE6">
        <w:rPr>
          <w:rFonts w:ascii="Arial" w:eastAsia="Times New Roman" w:hAnsi="Arial" w:cs="Arial"/>
          <w:i/>
          <w:iCs/>
          <w:sz w:val="20"/>
          <w:szCs w:val="20"/>
        </w:rPr>
        <w:t xml:space="preserve">Advances in Parasitology, </w:t>
      </w:r>
      <w:r w:rsidRPr="00F00FE6">
        <w:rPr>
          <w:rFonts w:ascii="Arial" w:eastAsia="Times New Roman" w:hAnsi="Arial" w:cs="Arial"/>
          <w:iCs/>
          <w:sz w:val="20"/>
          <w:szCs w:val="20"/>
        </w:rPr>
        <w:t>68</w:t>
      </w:r>
      <w:r w:rsidRPr="00F00FE6">
        <w:rPr>
          <w:rFonts w:ascii="Arial" w:eastAsia="Times New Roman" w:hAnsi="Arial" w:cs="Arial"/>
          <w:sz w:val="20"/>
          <w:szCs w:val="20"/>
        </w:rPr>
        <w:t>: 1-40</w:t>
      </w:r>
    </w:p>
    <w:p w14:paraId="2C8FD4C4" w14:textId="77777777" w:rsidR="00965F1F" w:rsidRPr="00965F1F" w:rsidRDefault="00965F1F" w:rsidP="00965F1F">
      <w:pPr>
        <w:spacing w:line="480" w:lineRule="auto"/>
        <w:rPr>
          <w:rFonts w:ascii="Arial" w:eastAsia="Times New Roman" w:hAnsi="Arial" w:cs="Arial"/>
          <w:sz w:val="20"/>
          <w:szCs w:val="20"/>
        </w:rPr>
      </w:pPr>
      <w:r w:rsidRPr="00F00FE6">
        <w:rPr>
          <w:rFonts w:ascii="Arial" w:hAnsi="Arial" w:cs="Arial"/>
          <w:color w:val="000000"/>
          <w:sz w:val="20"/>
          <w:szCs w:val="20"/>
        </w:rPr>
        <w:lastRenderedPageBreak/>
        <w:t>Govindarajan, M., Rajeswary, M., Arivoli, S., Tennyson, S., Benelli, G.</w:t>
      </w:r>
      <w:r>
        <w:rPr>
          <w:rFonts w:ascii="Arial" w:hAnsi="Arial" w:cs="Arial"/>
          <w:color w:val="000000"/>
          <w:sz w:val="20"/>
          <w:szCs w:val="20"/>
        </w:rPr>
        <w:t xml:space="preserve"> (2016).</w:t>
      </w:r>
      <w:r w:rsidRPr="00F00FE6">
        <w:rPr>
          <w:rFonts w:ascii="Arial" w:hAnsi="Arial" w:cs="Arial"/>
          <w:color w:val="000000"/>
          <w:sz w:val="20"/>
          <w:szCs w:val="20"/>
        </w:rPr>
        <w:t xml:space="preserve"> Larvicidal and repellent potential of </w:t>
      </w:r>
      <w:r w:rsidRPr="00F00FE6">
        <w:rPr>
          <w:rFonts w:ascii="Arial" w:hAnsi="Arial" w:cs="Arial"/>
          <w:i/>
          <w:color w:val="000000"/>
          <w:sz w:val="20"/>
          <w:szCs w:val="20"/>
        </w:rPr>
        <w:t>Zingiber nimmonii</w:t>
      </w:r>
      <w:r w:rsidRPr="00F00FE6">
        <w:rPr>
          <w:rFonts w:ascii="Arial" w:hAnsi="Arial" w:cs="Arial"/>
          <w:color w:val="000000"/>
          <w:sz w:val="20"/>
          <w:szCs w:val="20"/>
        </w:rPr>
        <w:t xml:space="preserve"> (J. Graham) Dalzell (Zingiberaceae) essential oil: an eco-friendly tool against malaria, dengue, and lymphatic filariasis mosquito vectors? </w:t>
      </w:r>
      <w:r w:rsidRPr="00F00FE6">
        <w:rPr>
          <w:rFonts w:ascii="Arial" w:hAnsi="Arial" w:cs="Arial"/>
          <w:i/>
          <w:color w:val="000000"/>
          <w:sz w:val="20"/>
          <w:szCs w:val="20"/>
        </w:rPr>
        <w:t>Parasitology Res</w:t>
      </w:r>
      <w:r>
        <w:rPr>
          <w:rFonts w:ascii="Arial" w:hAnsi="Arial" w:cs="Arial"/>
          <w:color w:val="000000"/>
          <w:sz w:val="20"/>
          <w:szCs w:val="20"/>
        </w:rPr>
        <w:t xml:space="preserve">., </w:t>
      </w:r>
      <w:r w:rsidRPr="00F00FE6">
        <w:rPr>
          <w:rFonts w:ascii="Arial" w:hAnsi="Arial" w:cs="Arial"/>
          <w:color w:val="000000"/>
          <w:sz w:val="20"/>
          <w:szCs w:val="20"/>
        </w:rPr>
        <w:t xml:space="preserve">115: 1807-816. </w:t>
      </w:r>
    </w:p>
    <w:p w14:paraId="24E228D0"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r w:rsidRPr="00F00FE6">
        <w:rPr>
          <w:rFonts w:ascii="Arial" w:hAnsi="Arial" w:cs="Arial"/>
          <w:color w:val="131413"/>
          <w:sz w:val="20"/>
          <w:szCs w:val="20"/>
        </w:rPr>
        <w:t>Gull, I., Saeed, M., Shaukat, H.,   Aslam S.M., Samra, Z.Q and Athar, A.M.</w:t>
      </w:r>
      <w:r>
        <w:rPr>
          <w:rFonts w:ascii="Arial" w:hAnsi="Arial" w:cs="Arial"/>
          <w:color w:val="131413"/>
          <w:sz w:val="20"/>
          <w:szCs w:val="20"/>
        </w:rPr>
        <w:t xml:space="preserve"> (2012).</w:t>
      </w:r>
      <w:r w:rsidRPr="00F00FE6">
        <w:rPr>
          <w:rFonts w:ascii="Arial" w:hAnsi="Arial" w:cs="Arial"/>
          <w:color w:val="131413"/>
          <w:sz w:val="20"/>
          <w:szCs w:val="20"/>
        </w:rPr>
        <w:t xml:space="preserve"> “Inhibitory Effect of </w:t>
      </w:r>
      <w:r w:rsidRPr="00F00FE6">
        <w:rPr>
          <w:rFonts w:ascii="Arial" w:hAnsi="Arial" w:cs="Arial"/>
          <w:i/>
          <w:color w:val="131413"/>
          <w:sz w:val="20"/>
          <w:szCs w:val="20"/>
        </w:rPr>
        <w:t>Allium sativum</w:t>
      </w:r>
      <w:r w:rsidRPr="00F00FE6">
        <w:rPr>
          <w:rFonts w:ascii="Arial" w:hAnsi="Arial" w:cs="Arial"/>
          <w:color w:val="131413"/>
          <w:sz w:val="20"/>
          <w:szCs w:val="20"/>
        </w:rPr>
        <w:t xml:space="preserve"> and </w:t>
      </w:r>
      <w:r w:rsidRPr="00F00FE6">
        <w:rPr>
          <w:rFonts w:ascii="Arial" w:hAnsi="Arial" w:cs="Arial"/>
          <w:i/>
          <w:color w:val="131413"/>
          <w:sz w:val="20"/>
          <w:szCs w:val="20"/>
        </w:rPr>
        <w:t>Zingiber officinale</w:t>
      </w:r>
      <w:r w:rsidRPr="00F00FE6">
        <w:rPr>
          <w:rFonts w:ascii="Arial" w:hAnsi="Arial" w:cs="Arial"/>
          <w:color w:val="131413"/>
          <w:sz w:val="20"/>
          <w:szCs w:val="20"/>
        </w:rPr>
        <w:t xml:space="preserve"> Extracts on Clinically Important Drug Resistant Pathogenic Bacteria,” </w:t>
      </w:r>
      <w:r w:rsidRPr="00F00FE6">
        <w:rPr>
          <w:rFonts w:ascii="Arial" w:hAnsi="Arial" w:cs="Arial"/>
          <w:i/>
          <w:color w:val="131413"/>
          <w:sz w:val="20"/>
          <w:szCs w:val="20"/>
        </w:rPr>
        <w:t>Annals of Clinical Microbiology and Anti microbials</w:t>
      </w:r>
      <w:r>
        <w:rPr>
          <w:rFonts w:ascii="Arial" w:hAnsi="Arial" w:cs="Arial"/>
          <w:color w:val="131413"/>
          <w:sz w:val="20"/>
          <w:szCs w:val="20"/>
        </w:rPr>
        <w:t>,</w:t>
      </w:r>
      <w:r w:rsidRPr="00F00FE6">
        <w:rPr>
          <w:rFonts w:ascii="Arial" w:hAnsi="Arial" w:cs="Arial"/>
          <w:color w:val="131413"/>
          <w:sz w:val="20"/>
          <w:szCs w:val="20"/>
        </w:rPr>
        <w:t>11: 8, https://doi.org/10.1186/1476-0711-11-8.</w:t>
      </w:r>
    </w:p>
    <w:p w14:paraId="13448397"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Isman, M. B (2006). Botanical insecticides, deterrents, and repellents in modern agriculture and an increasingly regulated world. </w:t>
      </w:r>
      <w:r w:rsidRPr="00F00FE6">
        <w:rPr>
          <w:rFonts w:ascii="Arial" w:hAnsi="Arial" w:cs="Arial"/>
          <w:i/>
          <w:sz w:val="20"/>
          <w:szCs w:val="20"/>
        </w:rPr>
        <w:t>Annu Rev Entomol</w:t>
      </w:r>
      <w:r w:rsidRPr="00F00FE6">
        <w:rPr>
          <w:rFonts w:ascii="Arial" w:hAnsi="Arial" w:cs="Arial"/>
          <w:sz w:val="20"/>
          <w:szCs w:val="20"/>
        </w:rPr>
        <w:t>., 51:45–66.</w:t>
      </w:r>
    </w:p>
    <w:p w14:paraId="4678EB08"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r w:rsidRPr="00F00FE6">
        <w:rPr>
          <w:rFonts w:ascii="Arial" w:hAnsi="Arial" w:cs="Arial"/>
          <w:color w:val="131413"/>
          <w:sz w:val="20"/>
          <w:szCs w:val="20"/>
        </w:rPr>
        <w:t>Khater, H. F., Selim, A. M. and Abouelella, G. A.</w:t>
      </w:r>
      <w:r>
        <w:rPr>
          <w:rFonts w:ascii="Arial" w:hAnsi="Arial" w:cs="Arial"/>
          <w:color w:val="131413"/>
          <w:sz w:val="20"/>
          <w:szCs w:val="20"/>
        </w:rPr>
        <w:t xml:space="preserve"> (2020).</w:t>
      </w:r>
      <w:r w:rsidRPr="00F00FE6">
        <w:rPr>
          <w:rFonts w:ascii="Arial" w:hAnsi="Arial" w:cs="Arial"/>
          <w:color w:val="131413"/>
          <w:sz w:val="20"/>
          <w:szCs w:val="20"/>
        </w:rPr>
        <w:t xml:space="preserve"> “Biological Effects of </w:t>
      </w:r>
      <w:r w:rsidRPr="00F00FE6">
        <w:rPr>
          <w:rFonts w:ascii="Arial" w:hAnsi="Arial" w:cs="Arial"/>
          <w:i/>
          <w:color w:val="131413"/>
          <w:sz w:val="20"/>
          <w:szCs w:val="20"/>
        </w:rPr>
        <w:t>Avicennia marina</w:t>
      </w:r>
      <w:r w:rsidRPr="00F00FE6">
        <w:rPr>
          <w:rFonts w:ascii="Arial" w:hAnsi="Arial" w:cs="Arial"/>
          <w:color w:val="131413"/>
          <w:sz w:val="20"/>
          <w:szCs w:val="20"/>
        </w:rPr>
        <w:t xml:space="preserve"> (Forssk) Vierh. Extracts on Physiological, Biochemical, and Antimicrobial Activities Against Three Challenging Mosquito Vectors and Microbial Pathogens,” </w:t>
      </w:r>
      <w:r w:rsidRPr="00F00FE6">
        <w:rPr>
          <w:rFonts w:ascii="Arial" w:hAnsi="Arial" w:cs="Arial"/>
          <w:i/>
          <w:color w:val="131413"/>
          <w:sz w:val="20"/>
          <w:szCs w:val="20"/>
        </w:rPr>
        <w:t>Environmental Science and Pollution Res.,</w:t>
      </w:r>
      <w:r>
        <w:rPr>
          <w:rFonts w:ascii="Arial" w:hAnsi="Arial" w:cs="Arial"/>
          <w:color w:val="131413"/>
          <w:sz w:val="20"/>
          <w:szCs w:val="20"/>
        </w:rPr>
        <w:t xml:space="preserve"> </w:t>
      </w:r>
      <w:r w:rsidRPr="00F00FE6">
        <w:rPr>
          <w:rFonts w:ascii="Arial" w:hAnsi="Arial" w:cs="Arial"/>
          <w:color w:val="131413"/>
          <w:sz w:val="20"/>
          <w:szCs w:val="20"/>
        </w:rPr>
        <w:t>27(13): 15174–15187, https://doi.org/10.1007/s11356-020-08055-1.</w:t>
      </w:r>
    </w:p>
    <w:p w14:paraId="27DD6E12"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r w:rsidRPr="00F00FE6">
        <w:rPr>
          <w:rFonts w:ascii="Arial" w:eastAsia="Times New Roman" w:hAnsi="Arial" w:cs="Arial"/>
          <w:bCs/>
          <w:sz w:val="20"/>
          <w:szCs w:val="20"/>
        </w:rPr>
        <w:t xml:space="preserve">Koenraadt, C. J. M. and Takken, W. </w:t>
      </w:r>
      <w:r>
        <w:rPr>
          <w:rFonts w:ascii="Arial" w:eastAsia="Times New Roman" w:hAnsi="Arial" w:cs="Arial"/>
          <w:bCs/>
          <w:sz w:val="20"/>
          <w:szCs w:val="20"/>
        </w:rPr>
        <w:t xml:space="preserve">(2013). </w:t>
      </w:r>
      <w:r w:rsidRPr="00F00FE6">
        <w:rPr>
          <w:rFonts w:ascii="Arial" w:eastAsia="Times New Roman" w:hAnsi="Arial" w:cs="Arial"/>
          <w:sz w:val="20"/>
          <w:szCs w:val="20"/>
        </w:rPr>
        <w:t xml:space="preserve">Ecology of </w:t>
      </w:r>
      <w:r w:rsidRPr="00F00FE6">
        <w:rPr>
          <w:rFonts w:ascii="Arial" w:eastAsia="Times New Roman" w:hAnsi="Arial" w:cs="Arial"/>
          <w:i/>
          <w:iCs/>
          <w:sz w:val="20"/>
          <w:szCs w:val="20"/>
        </w:rPr>
        <w:t>Anopheles</w:t>
      </w:r>
      <w:r w:rsidRPr="00F00FE6">
        <w:rPr>
          <w:rFonts w:ascii="Arial" w:eastAsia="Times New Roman" w:hAnsi="Arial" w:cs="Arial"/>
          <w:sz w:val="20"/>
          <w:szCs w:val="20"/>
        </w:rPr>
        <w:t xml:space="preserve"> mosquitoes: Impact on malaria transmission. </w:t>
      </w:r>
      <w:r>
        <w:rPr>
          <w:rFonts w:ascii="Arial" w:eastAsia="Times New Roman" w:hAnsi="Arial" w:cs="Arial"/>
          <w:i/>
          <w:iCs/>
          <w:sz w:val="20"/>
          <w:szCs w:val="20"/>
        </w:rPr>
        <w:t>The Lancet,</w:t>
      </w:r>
      <w:r w:rsidRPr="00F00FE6">
        <w:rPr>
          <w:rFonts w:ascii="Arial" w:eastAsia="Times New Roman" w:hAnsi="Arial" w:cs="Arial"/>
          <w:bCs/>
          <w:sz w:val="20"/>
          <w:szCs w:val="20"/>
        </w:rPr>
        <w:t xml:space="preserve"> </w:t>
      </w:r>
      <w:r w:rsidRPr="00F00FE6">
        <w:rPr>
          <w:rFonts w:ascii="Arial" w:eastAsia="Times New Roman" w:hAnsi="Arial" w:cs="Arial"/>
          <w:i/>
          <w:iCs/>
          <w:sz w:val="20"/>
          <w:szCs w:val="20"/>
        </w:rPr>
        <w:t>14</w:t>
      </w:r>
      <w:r w:rsidRPr="00F00FE6">
        <w:rPr>
          <w:rFonts w:ascii="Arial" w:eastAsia="Times New Roman" w:hAnsi="Arial" w:cs="Arial"/>
          <w:sz w:val="20"/>
          <w:szCs w:val="20"/>
        </w:rPr>
        <w:t>(2): 60-63.</w:t>
      </w:r>
    </w:p>
    <w:p w14:paraId="74D46C0C" w14:textId="77777777" w:rsidR="00965F1F" w:rsidRPr="00F00FE6" w:rsidRDefault="00965F1F" w:rsidP="00965F1F">
      <w:pPr>
        <w:autoSpaceDE w:val="0"/>
        <w:autoSpaceDN w:val="0"/>
        <w:adjustRightInd w:val="0"/>
        <w:spacing w:after="0" w:line="480" w:lineRule="auto"/>
        <w:rPr>
          <w:rFonts w:ascii="Arial" w:hAnsi="Arial" w:cs="Arial"/>
          <w:color w:val="000000"/>
          <w:sz w:val="20"/>
          <w:szCs w:val="20"/>
        </w:rPr>
      </w:pPr>
      <w:r w:rsidRPr="00F00FE6">
        <w:rPr>
          <w:rFonts w:ascii="Arial" w:hAnsi="Arial" w:cs="Arial"/>
          <w:color w:val="000000"/>
          <w:sz w:val="20"/>
          <w:szCs w:val="20"/>
        </w:rPr>
        <w:t>Maia, M. F, Moore, S. J.</w:t>
      </w:r>
      <w:r>
        <w:rPr>
          <w:rFonts w:ascii="Arial" w:hAnsi="Arial" w:cs="Arial"/>
          <w:color w:val="000000"/>
          <w:sz w:val="20"/>
          <w:szCs w:val="20"/>
        </w:rPr>
        <w:t xml:space="preserve"> (2011).</w:t>
      </w:r>
      <w:r w:rsidRPr="00F00FE6">
        <w:rPr>
          <w:rFonts w:ascii="Arial" w:hAnsi="Arial" w:cs="Arial"/>
          <w:color w:val="000000"/>
          <w:sz w:val="20"/>
          <w:szCs w:val="20"/>
        </w:rPr>
        <w:t xml:space="preserve"> Plant-based insect repellents: A review of their efficacy, development and testing. </w:t>
      </w:r>
      <w:r w:rsidRPr="00F00FE6">
        <w:rPr>
          <w:rFonts w:ascii="Arial" w:hAnsi="Arial" w:cs="Arial"/>
          <w:i/>
          <w:color w:val="000000"/>
          <w:sz w:val="20"/>
          <w:szCs w:val="20"/>
        </w:rPr>
        <w:t>Malaria j.,</w:t>
      </w:r>
      <w:r w:rsidRPr="00F00FE6">
        <w:rPr>
          <w:rFonts w:ascii="Arial" w:hAnsi="Arial" w:cs="Arial"/>
          <w:color w:val="000000"/>
          <w:sz w:val="20"/>
          <w:szCs w:val="20"/>
        </w:rPr>
        <w:t xml:space="preserve">10(1): 1-5. </w:t>
      </w:r>
    </w:p>
    <w:p w14:paraId="1441FB74"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Markouk, M., Bekkouche, K., Larhsini, M., Bousaid, M., Lazrek, H., Jana, M. </w:t>
      </w:r>
      <w:r>
        <w:rPr>
          <w:rFonts w:ascii="Arial" w:hAnsi="Arial" w:cs="Arial"/>
          <w:sz w:val="20"/>
          <w:szCs w:val="20"/>
        </w:rPr>
        <w:t xml:space="preserve"> (2000). </w:t>
      </w:r>
      <w:r w:rsidRPr="00F00FE6">
        <w:rPr>
          <w:rFonts w:ascii="Arial" w:hAnsi="Arial" w:cs="Arial"/>
          <w:sz w:val="20"/>
          <w:szCs w:val="20"/>
        </w:rPr>
        <w:t xml:space="preserve">Evaluation of some Moroccan medicinal plant extracts for larvicidal activity. </w:t>
      </w:r>
      <w:r>
        <w:rPr>
          <w:rFonts w:ascii="Arial" w:hAnsi="Arial" w:cs="Arial"/>
          <w:i/>
          <w:sz w:val="20"/>
          <w:szCs w:val="20"/>
        </w:rPr>
        <w:t xml:space="preserve">J. of Ethno Pharmacology, </w:t>
      </w:r>
      <w:r w:rsidRPr="00F00FE6">
        <w:rPr>
          <w:rFonts w:ascii="Arial" w:hAnsi="Arial" w:cs="Arial"/>
          <w:sz w:val="20"/>
          <w:szCs w:val="20"/>
        </w:rPr>
        <w:t>73:293-297.</w:t>
      </w:r>
    </w:p>
    <w:p w14:paraId="4258449E"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r w:rsidRPr="00F00FE6">
        <w:rPr>
          <w:rFonts w:ascii="Arial" w:eastAsia="Times New Roman" w:hAnsi="Arial" w:cs="Arial"/>
          <w:bCs/>
          <w:sz w:val="20"/>
          <w:szCs w:val="20"/>
        </w:rPr>
        <w:t xml:space="preserve">Martins, A. J. and Leal, W. S. </w:t>
      </w:r>
      <w:r>
        <w:rPr>
          <w:rFonts w:ascii="Arial" w:eastAsia="Times New Roman" w:hAnsi="Arial" w:cs="Arial"/>
          <w:bCs/>
          <w:sz w:val="20"/>
          <w:szCs w:val="20"/>
        </w:rPr>
        <w:t xml:space="preserve">(2015). </w:t>
      </w:r>
      <w:r w:rsidRPr="00F00FE6">
        <w:rPr>
          <w:rFonts w:ascii="Arial" w:eastAsia="Times New Roman" w:hAnsi="Arial" w:cs="Arial"/>
          <w:sz w:val="20"/>
          <w:szCs w:val="20"/>
        </w:rPr>
        <w:t xml:space="preserve">Anopheles mosquitoes and malaria transmission: Genetic and ecological considerations. </w:t>
      </w:r>
      <w:r>
        <w:rPr>
          <w:rFonts w:ascii="Arial" w:eastAsia="Times New Roman" w:hAnsi="Arial" w:cs="Arial"/>
          <w:i/>
          <w:iCs/>
          <w:sz w:val="20"/>
          <w:szCs w:val="20"/>
        </w:rPr>
        <w:t xml:space="preserve">Trends in Parasitology, </w:t>
      </w:r>
      <w:r w:rsidRPr="00F00FE6">
        <w:rPr>
          <w:rFonts w:ascii="Arial" w:eastAsia="Times New Roman" w:hAnsi="Arial" w:cs="Arial"/>
          <w:iCs/>
          <w:sz w:val="20"/>
          <w:szCs w:val="20"/>
        </w:rPr>
        <w:t>31</w:t>
      </w:r>
      <w:r w:rsidRPr="00F00FE6">
        <w:rPr>
          <w:rFonts w:ascii="Arial" w:eastAsia="Times New Roman" w:hAnsi="Arial" w:cs="Arial"/>
          <w:sz w:val="20"/>
          <w:szCs w:val="20"/>
        </w:rPr>
        <w:t>(11): 563-571.</w:t>
      </w:r>
    </w:p>
    <w:p w14:paraId="4F4D3312"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Nath, D. R, Bhuyan, M, Goswami </w:t>
      </w:r>
      <w:r>
        <w:rPr>
          <w:rFonts w:ascii="Arial" w:hAnsi="Arial" w:cs="Arial"/>
          <w:sz w:val="20"/>
          <w:szCs w:val="20"/>
        </w:rPr>
        <w:t>(2006).</w:t>
      </w:r>
      <w:r w:rsidRPr="00F00FE6">
        <w:rPr>
          <w:rFonts w:ascii="Arial" w:hAnsi="Arial" w:cs="Arial"/>
          <w:sz w:val="20"/>
          <w:szCs w:val="20"/>
        </w:rPr>
        <w:t xml:space="preserve"> Botanicals as mosquito larvicides. </w:t>
      </w:r>
      <w:r w:rsidRPr="00F00FE6">
        <w:rPr>
          <w:rFonts w:ascii="Arial" w:hAnsi="Arial" w:cs="Arial"/>
          <w:i/>
          <w:sz w:val="20"/>
          <w:szCs w:val="20"/>
        </w:rPr>
        <w:t>Defence</w:t>
      </w:r>
      <w:r w:rsidRPr="00F00FE6">
        <w:rPr>
          <w:rFonts w:ascii="Arial" w:hAnsi="Arial" w:cs="Arial"/>
          <w:sz w:val="20"/>
          <w:szCs w:val="20"/>
        </w:rPr>
        <w:t xml:space="preserve"> </w:t>
      </w:r>
      <w:r w:rsidRPr="00F00FE6">
        <w:rPr>
          <w:rFonts w:ascii="Arial" w:hAnsi="Arial" w:cs="Arial"/>
          <w:i/>
          <w:sz w:val="20"/>
          <w:szCs w:val="20"/>
        </w:rPr>
        <w:t>Sci. J</w:t>
      </w:r>
      <w:r w:rsidRPr="00F00FE6">
        <w:rPr>
          <w:rFonts w:ascii="Arial" w:hAnsi="Arial" w:cs="Arial"/>
          <w:sz w:val="20"/>
          <w:szCs w:val="20"/>
        </w:rPr>
        <w:t xml:space="preserve">., 56(4):507-511. </w:t>
      </w:r>
    </w:p>
    <w:p w14:paraId="5FAD12ED"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r w:rsidRPr="00F00FE6">
        <w:rPr>
          <w:rFonts w:ascii="Arial" w:hAnsi="Arial" w:cs="Arial"/>
          <w:sz w:val="20"/>
          <w:szCs w:val="20"/>
        </w:rPr>
        <w:t xml:space="preserve">Njom, V. S, Eze, C. S (2011). Toxicity and life expectancy effects of </w:t>
      </w:r>
      <w:r w:rsidRPr="00F00FE6">
        <w:rPr>
          <w:rFonts w:ascii="Arial" w:hAnsi="Arial" w:cs="Arial"/>
          <w:i/>
          <w:sz w:val="20"/>
          <w:szCs w:val="20"/>
        </w:rPr>
        <w:t>Moringa oleifera</w:t>
      </w:r>
      <w:r w:rsidRPr="00F00FE6">
        <w:rPr>
          <w:rFonts w:ascii="Arial" w:hAnsi="Arial" w:cs="Arial"/>
          <w:sz w:val="20"/>
          <w:szCs w:val="20"/>
        </w:rPr>
        <w:t xml:space="preserve"> seed extracts on the larvae of </w:t>
      </w:r>
      <w:r w:rsidRPr="00F00FE6">
        <w:rPr>
          <w:rFonts w:ascii="Arial" w:hAnsi="Arial" w:cs="Arial"/>
          <w:i/>
          <w:sz w:val="20"/>
          <w:szCs w:val="20"/>
        </w:rPr>
        <w:t>Anopheles gambiae</w:t>
      </w:r>
      <w:r w:rsidRPr="00F00FE6">
        <w:rPr>
          <w:rFonts w:ascii="Arial" w:hAnsi="Arial" w:cs="Arial"/>
          <w:sz w:val="20"/>
          <w:szCs w:val="20"/>
        </w:rPr>
        <w:t xml:space="preserve">. </w:t>
      </w:r>
      <w:r w:rsidRPr="00F00FE6">
        <w:rPr>
          <w:rFonts w:ascii="Arial" w:hAnsi="Arial" w:cs="Arial"/>
          <w:i/>
          <w:sz w:val="20"/>
          <w:szCs w:val="20"/>
        </w:rPr>
        <w:t>Animal Research International</w:t>
      </w:r>
      <w:r w:rsidRPr="00F00FE6">
        <w:rPr>
          <w:rFonts w:ascii="Arial" w:hAnsi="Arial" w:cs="Arial"/>
          <w:sz w:val="20"/>
          <w:szCs w:val="20"/>
        </w:rPr>
        <w:t>,  2006;  8(2):1388-1391.</w:t>
      </w:r>
    </w:p>
    <w:p w14:paraId="0DBC02B1" w14:textId="77777777" w:rsidR="00965F1F" w:rsidRPr="00F00FE6" w:rsidRDefault="00965F1F" w:rsidP="00965F1F">
      <w:pPr>
        <w:autoSpaceDE w:val="0"/>
        <w:autoSpaceDN w:val="0"/>
        <w:adjustRightInd w:val="0"/>
        <w:spacing w:after="0" w:line="480" w:lineRule="auto"/>
        <w:rPr>
          <w:rFonts w:ascii="Arial" w:hAnsi="Arial" w:cs="Arial"/>
          <w:b/>
          <w:sz w:val="20"/>
          <w:szCs w:val="20"/>
        </w:rPr>
      </w:pPr>
      <w:r w:rsidRPr="00F00FE6">
        <w:rPr>
          <w:rFonts w:ascii="Arial" w:hAnsi="Arial" w:cs="Arial"/>
          <w:sz w:val="20"/>
          <w:szCs w:val="20"/>
        </w:rPr>
        <w:lastRenderedPageBreak/>
        <w:t>Nwankwo, E. N., Okonkwo, N.J., Ozumba, N.A., Okafor, E. G.</w:t>
      </w:r>
      <w:r>
        <w:rPr>
          <w:rFonts w:ascii="Arial" w:hAnsi="Arial" w:cs="Arial"/>
          <w:sz w:val="20"/>
          <w:szCs w:val="20"/>
        </w:rPr>
        <w:t xml:space="preserve"> (2011).</w:t>
      </w:r>
      <w:r w:rsidRPr="00F00FE6">
        <w:rPr>
          <w:rFonts w:ascii="Arial" w:hAnsi="Arial" w:cs="Arial"/>
          <w:sz w:val="20"/>
          <w:szCs w:val="20"/>
        </w:rPr>
        <w:t xml:space="preserve"> Comparative Studies on the Lavicidal action of Novaluron (Mosquiron 100EC) and </w:t>
      </w:r>
      <w:r w:rsidRPr="00F00FE6">
        <w:rPr>
          <w:rFonts w:ascii="Arial" w:hAnsi="Arial" w:cs="Arial"/>
          <w:i/>
          <w:sz w:val="20"/>
          <w:szCs w:val="20"/>
        </w:rPr>
        <w:t>Moringa oleifera</w:t>
      </w:r>
      <w:r w:rsidRPr="00F00FE6">
        <w:rPr>
          <w:rFonts w:ascii="Arial" w:hAnsi="Arial" w:cs="Arial"/>
          <w:sz w:val="20"/>
          <w:szCs w:val="20"/>
        </w:rPr>
        <w:t xml:space="preserve"> (LAM) seed oil against </w:t>
      </w:r>
      <w:r w:rsidRPr="00F00FE6">
        <w:rPr>
          <w:rFonts w:ascii="Arial" w:hAnsi="Arial" w:cs="Arial"/>
          <w:i/>
          <w:sz w:val="20"/>
          <w:szCs w:val="20"/>
        </w:rPr>
        <w:t>Aedes aegypti</w:t>
      </w:r>
      <w:r w:rsidRPr="00F00FE6">
        <w:rPr>
          <w:rFonts w:ascii="Arial" w:hAnsi="Arial" w:cs="Arial"/>
          <w:sz w:val="20"/>
          <w:szCs w:val="20"/>
        </w:rPr>
        <w:t xml:space="preserve"> (Diptera: Culicidae) larvae. </w:t>
      </w:r>
      <w:r w:rsidRPr="00F00FE6">
        <w:rPr>
          <w:rFonts w:ascii="Arial" w:hAnsi="Arial" w:cs="Arial"/>
          <w:i/>
          <w:sz w:val="20"/>
          <w:szCs w:val="20"/>
        </w:rPr>
        <w:t>Afr. Research Rev</w:t>
      </w:r>
      <w:r w:rsidRPr="00F00FE6">
        <w:rPr>
          <w:rFonts w:ascii="Arial" w:hAnsi="Arial" w:cs="Arial"/>
          <w:sz w:val="20"/>
          <w:szCs w:val="20"/>
        </w:rPr>
        <w:t xml:space="preserve">. </w:t>
      </w:r>
      <w:r w:rsidRPr="00F00FE6">
        <w:rPr>
          <w:rFonts w:ascii="Arial" w:hAnsi="Arial" w:cs="Arial"/>
          <w:i/>
          <w:sz w:val="20"/>
          <w:szCs w:val="20"/>
        </w:rPr>
        <w:t>Intl. Multi-disciplinary J., Ethiopia</w:t>
      </w:r>
      <w:r>
        <w:rPr>
          <w:rFonts w:ascii="Arial" w:hAnsi="Arial" w:cs="Arial"/>
          <w:sz w:val="20"/>
          <w:szCs w:val="20"/>
        </w:rPr>
        <w:t xml:space="preserve"> , </w:t>
      </w:r>
      <w:r w:rsidRPr="00F00FE6">
        <w:rPr>
          <w:rFonts w:ascii="Arial" w:hAnsi="Arial" w:cs="Arial"/>
          <w:sz w:val="20"/>
          <w:szCs w:val="20"/>
        </w:rPr>
        <w:t>5:18:424-437.</w:t>
      </w:r>
    </w:p>
    <w:p w14:paraId="00BFE5B2" w14:textId="77777777" w:rsidR="00965F1F" w:rsidRPr="004C00B0" w:rsidRDefault="00965F1F" w:rsidP="00965F1F">
      <w:pPr>
        <w:spacing w:after="0" w:line="480" w:lineRule="auto"/>
        <w:jc w:val="both"/>
        <w:rPr>
          <w:rFonts w:ascii="Arial" w:hAnsi="Arial" w:cs="Arial"/>
          <w:color w:val="111111"/>
          <w:sz w:val="20"/>
          <w:szCs w:val="20"/>
        </w:rPr>
      </w:pPr>
      <w:r w:rsidRPr="00F00FE6">
        <w:rPr>
          <w:rFonts w:ascii="Arial" w:hAnsi="Arial" w:cs="Arial"/>
          <w:color w:val="111111"/>
          <w:sz w:val="20"/>
          <w:szCs w:val="20"/>
        </w:rPr>
        <w:t>Obembe, O.M</w:t>
      </w:r>
      <w:r w:rsidRPr="00F00FE6">
        <w:rPr>
          <w:rFonts w:ascii="Arial" w:hAnsi="Arial" w:cs="Arial"/>
          <w:b/>
          <w:color w:val="111111"/>
          <w:sz w:val="20"/>
          <w:szCs w:val="20"/>
        </w:rPr>
        <w:t xml:space="preserve">., </w:t>
      </w:r>
      <w:r w:rsidRPr="00F00FE6">
        <w:rPr>
          <w:rFonts w:ascii="Arial" w:hAnsi="Arial" w:cs="Arial"/>
          <w:color w:val="111111"/>
          <w:sz w:val="20"/>
          <w:szCs w:val="20"/>
        </w:rPr>
        <w:t xml:space="preserve">Omotoso, O.T., Olorunniyi, O.F. </w:t>
      </w:r>
      <w:r>
        <w:rPr>
          <w:rFonts w:ascii="Arial" w:hAnsi="Arial" w:cs="Arial"/>
          <w:color w:val="111111"/>
          <w:sz w:val="20"/>
          <w:szCs w:val="20"/>
        </w:rPr>
        <w:t xml:space="preserve">(2024). </w:t>
      </w:r>
      <w:r w:rsidRPr="00F00FE6">
        <w:rPr>
          <w:rFonts w:ascii="Arial" w:hAnsi="Arial" w:cs="Arial"/>
          <w:color w:val="111111"/>
          <w:sz w:val="20"/>
          <w:szCs w:val="20"/>
        </w:rPr>
        <w:t xml:space="preserve">Insecticidal Potential of </w:t>
      </w:r>
      <w:r w:rsidRPr="00F00FE6">
        <w:rPr>
          <w:rFonts w:ascii="Arial" w:hAnsi="Arial" w:cs="Arial"/>
          <w:i/>
          <w:color w:val="111111"/>
          <w:sz w:val="20"/>
          <w:szCs w:val="20"/>
        </w:rPr>
        <w:t>Eucalyptus citriodora</w:t>
      </w:r>
      <w:r w:rsidRPr="00F00FE6">
        <w:rPr>
          <w:rFonts w:ascii="Arial" w:hAnsi="Arial" w:cs="Arial"/>
          <w:color w:val="111111"/>
          <w:sz w:val="20"/>
          <w:szCs w:val="20"/>
        </w:rPr>
        <w:t xml:space="preserve"> Hook and </w:t>
      </w:r>
      <w:r w:rsidRPr="00F00FE6">
        <w:rPr>
          <w:rFonts w:ascii="Arial" w:hAnsi="Arial" w:cs="Arial"/>
          <w:i/>
          <w:color w:val="111111"/>
          <w:sz w:val="20"/>
          <w:szCs w:val="20"/>
        </w:rPr>
        <w:t>Hyptis suavolens</w:t>
      </w:r>
      <w:r w:rsidRPr="00F00FE6">
        <w:rPr>
          <w:rFonts w:ascii="Arial" w:hAnsi="Arial" w:cs="Arial"/>
          <w:color w:val="111111"/>
          <w:sz w:val="20"/>
          <w:szCs w:val="20"/>
        </w:rPr>
        <w:t xml:space="preserve"> (L.) Poit Ethanol Leaves Extracts against Malaria Mosquito (</w:t>
      </w:r>
      <w:r w:rsidRPr="00F00FE6">
        <w:rPr>
          <w:rFonts w:ascii="Arial" w:hAnsi="Arial" w:cs="Arial"/>
          <w:i/>
          <w:color w:val="111111"/>
          <w:sz w:val="20"/>
          <w:szCs w:val="20"/>
        </w:rPr>
        <w:t>Anopheles gambiae</w:t>
      </w:r>
      <w:r w:rsidRPr="00F00FE6">
        <w:rPr>
          <w:rFonts w:ascii="Arial" w:hAnsi="Arial" w:cs="Arial"/>
          <w:color w:val="111111"/>
          <w:sz w:val="20"/>
          <w:szCs w:val="20"/>
        </w:rPr>
        <w:t xml:space="preserve"> Giles). </w:t>
      </w:r>
      <w:r w:rsidRPr="00F00FE6">
        <w:rPr>
          <w:rFonts w:ascii="Arial" w:hAnsi="Arial" w:cs="Arial"/>
          <w:i/>
          <w:color w:val="111111"/>
          <w:sz w:val="20"/>
          <w:szCs w:val="20"/>
        </w:rPr>
        <w:t>Asian Journal of Advanced</w:t>
      </w:r>
      <w:r w:rsidRPr="00F00FE6">
        <w:rPr>
          <w:rFonts w:ascii="Arial" w:hAnsi="Arial" w:cs="Arial"/>
          <w:color w:val="111111"/>
          <w:sz w:val="20"/>
          <w:szCs w:val="20"/>
        </w:rPr>
        <w:t xml:space="preserve"> </w:t>
      </w:r>
      <w:r w:rsidRPr="00F00FE6">
        <w:rPr>
          <w:rFonts w:ascii="Arial" w:hAnsi="Arial" w:cs="Arial"/>
          <w:i/>
          <w:color w:val="111111"/>
          <w:sz w:val="20"/>
          <w:szCs w:val="20"/>
        </w:rPr>
        <w:t>Research and Reports</w:t>
      </w:r>
      <w:r>
        <w:rPr>
          <w:rFonts w:ascii="Arial" w:hAnsi="Arial" w:cs="Arial"/>
          <w:color w:val="111111"/>
          <w:sz w:val="20"/>
          <w:szCs w:val="20"/>
        </w:rPr>
        <w:t>,</w:t>
      </w:r>
      <w:r w:rsidRPr="00F00FE6">
        <w:rPr>
          <w:rFonts w:ascii="Arial" w:hAnsi="Arial" w:cs="Arial"/>
          <w:color w:val="111111"/>
          <w:sz w:val="20"/>
          <w:szCs w:val="20"/>
        </w:rPr>
        <w:t>18(5):72-79.</w:t>
      </w:r>
    </w:p>
    <w:p w14:paraId="5CDB8347" w14:textId="77777777" w:rsidR="00965F1F" w:rsidRPr="00F00FE6" w:rsidRDefault="00965F1F" w:rsidP="00965F1F">
      <w:pPr>
        <w:spacing w:line="480" w:lineRule="auto"/>
        <w:rPr>
          <w:rFonts w:ascii="Arial" w:hAnsi="Arial" w:cs="Arial"/>
          <w:sz w:val="20"/>
          <w:szCs w:val="20"/>
        </w:rPr>
      </w:pPr>
      <w:r w:rsidRPr="00F00FE6">
        <w:rPr>
          <w:rFonts w:ascii="Arial" w:hAnsi="Arial" w:cs="Arial"/>
          <w:sz w:val="20"/>
          <w:szCs w:val="20"/>
        </w:rPr>
        <w:t>Obembe, O.M</w:t>
      </w:r>
      <w:r w:rsidRPr="00F00FE6">
        <w:rPr>
          <w:rFonts w:ascii="Arial" w:hAnsi="Arial" w:cs="Arial"/>
          <w:b/>
          <w:sz w:val="20"/>
          <w:szCs w:val="20"/>
        </w:rPr>
        <w:t xml:space="preserve">., </w:t>
      </w:r>
      <w:r w:rsidRPr="00F00FE6">
        <w:rPr>
          <w:rFonts w:ascii="Arial" w:hAnsi="Arial" w:cs="Arial"/>
          <w:sz w:val="20"/>
          <w:szCs w:val="20"/>
        </w:rPr>
        <w:t>Omotoso, O.T., Philip-Attah, M.T.</w:t>
      </w:r>
      <w:r>
        <w:rPr>
          <w:rFonts w:ascii="Arial" w:hAnsi="Arial" w:cs="Arial"/>
          <w:sz w:val="20"/>
          <w:szCs w:val="20"/>
        </w:rPr>
        <w:t xml:space="preserve"> (2025). </w:t>
      </w:r>
      <w:r w:rsidRPr="00F00FE6">
        <w:rPr>
          <w:rFonts w:ascii="Arial" w:hAnsi="Arial" w:cs="Arial"/>
          <w:sz w:val="20"/>
          <w:szCs w:val="20"/>
        </w:rPr>
        <w:t xml:space="preserve"> Phytochemical Composition and Insecticidal Effects of Extract of Some Selected Medicinal Plants against Malaria Mosquito, </w:t>
      </w:r>
      <w:r w:rsidRPr="00F00FE6">
        <w:rPr>
          <w:rFonts w:ascii="Arial" w:hAnsi="Arial" w:cs="Arial"/>
          <w:i/>
          <w:sz w:val="20"/>
          <w:szCs w:val="20"/>
        </w:rPr>
        <w:t>Anopheles Gambiae</w:t>
      </w:r>
      <w:r w:rsidRPr="00F00FE6">
        <w:rPr>
          <w:rFonts w:ascii="Arial" w:hAnsi="Arial" w:cs="Arial"/>
          <w:sz w:val="20"/>
          <w:szCs w:val="20"/>
        </w:rPr>
        <w:t xml:space="preserve">. Giles, </w:t>
      </w:r>
      <w:r w:rsidRPr="00F00FE6">
        <w:rPr>
          <w:rFonts w:ascii="Arial" w:hAnsi="Arial" w:cs="Arial"/>
          <w:i/>
          <w:sz w:val="20"/>
          <w:szCs w:val="20"/>
        </w:rPr>
        <w:t>Intern J. of Res. Pub. and Reviews</w:t>
      </w:r>
      <w:r>
        <w:rPr>
          <w:rFonts w:ascii="Arial" w:hAnsi="Arial" w:cs="Arial"/>
          <w:sz w:val="20"/>
          <w:szCs w:val="20"/>
        </w:rPr>
        <w:t xml:space="preserve">, </w:t>
      </w:r>
      <w:r w:rsidRPr="00F00FE6">
        <w:rPr>
          <w:rFonts w:ascii="Arial" w:hAnsi="Arial" w:cs="Arial"/>
          <w:sz w:val="20"/>
          <w:szCs w:val="20"/>
        </w:rPr>
        <w:t>6(3): 2036-2043</w:t>
      </w:r>
    </w:p>
    <w:p w14:paraId="6C481BAD"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Pavela, R.</w:t>
      </w:r>
      <w:r>
        <w:rPr>
          <w:rFonts w:ascii="Arial" w:hAnsi="Arial" w:cs="Arial"/>
          <w:sz w:val="20"/>
          <w:szCs w:val="20"/>
        </w:rPr>
        <w:t xml:space="preserve"> (2016).</w:t>
      </w:r>
      <w:r w:rsidRPr="00F00FE6">
        <w:rPr>
          <w:rFonts w:ascii="Arial" w:hAnsi="Arial" w:cs="Arial"/>
          <w:sz w:val="20"/>
          <w:szCs w:val="20"/>
        </w:rPr>
        <w:t xml:space="preserve"> History, presence and perspective of using plant extracts as commercial botanical insecticides and farm products for protection against insects – a review. </w:t>
      </w:r>
      <w:r w:rsidRPr="00F00FE6">
        <w:rPr>
          <w:rFonts w:ascii="Arial" w:hAnsi="Arial" w:cs="Arial"/>
          <w:i/>
          <w:sz w:val="20"/>
          <w:szCs w:val="20"/>
        </w:rPr>
        <w:t>Plant Prot Sci</w:t>
      </w:r>
      <w:r>
        <w:rPr>
          <w:rFonts w:ascii="Arial" w:hAnsi="Arial" w:cs="Arial"/>
          <w:sz w:val="20"/>
          <w:szCs w:val="20"/>
        </w:rPr>
        <w:t>.,</w:t>
      </w:r>
      <w:r w:rsidRPr="00F00FE6">
        <w:rPr>
          <w:rFonts w:ascii="Arial" w:hAnsi="Arial" w:cs="Arial"/>
          <w:sz w:val="20"/>
          <w:szCs w:val="20"/>
        </w:rPr>
        <w:t xml:space="preserve"> 52:229–241.</w:t>
      </w:r>
    </w:p>
    <w:p w14:paraId="255A9BD5" w14:textId="77777777" w:rsidR="00965F1F" w:rsidRPr="00F00FE6" w:rsidRDefault="00965F1F" w:rsidP="00965F1F">
      <w:pPr>
        <w:autoSpaceDE w:val="0"/>
        <w:autoSpaceDN w:val="0"/>
        <w:adjustRightInd w:val="0"/>
        <w:spacing w:after="0" w:line="480" w:lineRule="auto"/>
        <w:rPr>
          <w:rFonts w:ascii="Arial" w:hAnsi="Arial" w:cs="Arial"/>
          <w:color w:val="000000"/>
          <w:sz w:val="20"/>
          <w:szCs w:val="20"/>
        </w:rPr>
      </w:pPr>
      <w:r w:rsidRPr="00F00FE6">
        <w:rPr>
          <w:rFonts w:ascii="Arial" w:hAnsi="Arial" w:cs="Arial"/>
          <w:color w:val="000000"/>
          <w:sz w:val="20"/>
          <w:szCs w:val="20"/>
        </w:rPr>
        <w:t xml:space="preserve">Pramanik, P., Tewari, S., Mukherjee, P., Banka, R., Sen, S. </w:t>
      </w:r>
      <w:r>
        <w:rPr>
          <w:rFonts w:ascii="Arial" w:hAnsi="Arial" w:cs="Arial"/>
          <w:color w:val="000000"/>
          <w:sz w:val="20"/>
          <w:szCs w:val="20"/>
        </w:rPr>
        <w:t xml:space="preserve">(2023). </w:t>
      </w:r>
      <w:r w:rsidRPr="00F00FE6">
        <w:rPr>
          <w:rFonts w:ascii="Arial" w:hAnsi="Arial" w:cs="Arial"/>
          <w:color w:val="000000"/>
          <w:sz w:val="20"/>
          <w:szCs w:val="20"/>
        </w:rPr>
        <w:t xml:space="preserve">Indian traditional plants: Medicinal properties and Human health. </w:t>
      </w:r>
      <w:r w:rsidRPr="00F00FE6">
        <w:rPr>
          <w:rFonts w:ascii="Arial" w:hAnsi="Arial" w:cs="Arial"/>
          <w:i/>
          <w:color w:val="000000"/>
          <w:sz w:val="20"/>
          <w:szCs w:val="20"/>
        </w:rPr>
        <w:t>J. of Survey in Fisheries Sci</w:t>
      </w:r>
      <w:r>
        <w:rPr>
          <w:rFonts w:ascii="Arial" w:hAnsi="Arial" w:cs="Arial"/>
          <w:color w:val="000000"/>
          <w:sz w:val="20"/>
          <w:szCs w:val="20"/>
        </w:rPr>
        <w:t xml:space="preserve">., </w:t>
      </w:r>
      <w:r w:rsidRPr="00F00FE6">
        <w:rPr>
          <w:rFonts w:ascii="Arial" w:hAnsi="Arial" w:cs="Arial"/>
          <w:color w:val="000000"/>
          <w:sz w:val="20"/>
          <w:szCs w:val="20"/>
        </w:rPr>
        <w:t xml:space="preserve">10(1):6170-6179. </w:t>
      </w:r>
    </w:p>
    <w:p w14:paraId="20190815"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Shaalan, E. A. S, Canyon, D., Younes, M. W. F., Abdel-Wahab, H., Mansour, A. H.</w:t>
      </w:r>
      <w:r>
        <w:rPr>
          <w:rFonts w:ascii="Arial" w:hAnsi="Arial" w:cs="Arial"/>
          <w:sz w:val="20"/>
          <w:szCs w:val="20"/>
        </w:rPr>
        <w:t xml:space="preserve"> (2005).</w:t>
      </w:r>
      <w:r w:rsidRPr="00F00FE6">
        <w:rPr>
          <w:rFonts w:ascii="Arial" w:hAnsi="Arial" w:cs="Arial"/>
          <w:sz w:val="20"/>
          <w:szCs w:val="20"/>
        </w:rPr>
        <w:t xml:space="preserve"> A review of botanical phytochemicals with mosquitocidal potential. </w:t>
      </w:r>
      <w:r w:rsidRPr="00F00FE6">
        <w:rPr>
          <w:rFonts w:ascii="Arial" w:hAnsi="Arial" w:cs="Arial"/>
          <w:i/>
          <w:sz w:val="20"/>
          <w:szCs w:val="20"/>
        </w:rPr>
        <w:t>Environ Int</w:t>
      </w:r>
      <w:r>
        <w:rPr>
          <w:rFonts w:ascii="Arial" w:hAnsi="Arial" w:cs="Arial"/>
          <w:sz w:val="20"/>
          <w:szCs w:val="20"/>
        </w:rPr>
        <w:t xml:space="preserve">., </w:t>
      </w:r>
      <w:r w:rsidRPr="00F00FE6">
        <w:rPr>
          <w:rFonts w:ascii="Arial" w:hAnsi="Arial" w:cs="Arial"/>
          <w:sz w:val="20"/>
          <w:szCs w:val="20"/>
        </w:rPr>
        <w:t>31:1149–1166.</w:t>
      </w:r>
    </w:p>
    <w:p w14:paraId="7B57CEF7" w14:textId="77777777" w:rsidR="00965F1F" w:rsidRPr="00F00FE6" w:rsidRDefault="00965F1F" w:rsidP="00965F1F">
      <w:pPr>
        <w:autoSpaceDE w:val="0"/>
        <w:autoSpaceDN w:val="0"/>
        <w:adjustRightInd w:val="0"/>
        <w:spacing w:after="0" w:line="480" w:lineRule="auto"/>
        <w:rPr>
          <w:rFonts w:ascii="Arial" w:hAnsi="Arial" w:cs="Arial"/>
          <w:b/>
          <w:sz w:val="20"/>
          <w:szCs w:val="20"/>
        </w:rPr>
      </w:pPr>
      <w:r w:rsidRPr="00F00FE6">
        <w:rPr>
          <w:rFonts w:ascii="Arial" w:hAnsi="Arial" w:cs="Arial"/>
          <w:sz w:val="20"/>
          <w:szCs w:val="20"/>
        </w:rPr>
        <w:t>Singh,  R. K., Dhiman, R. C., Mittal, P. K</w:t>
      </w:r>
      <w:r>
        <w:rPr>
          <w:rFonts w:ascii="Arial" w:hAnsi="Arial" w:cs="Arial"/>
          <w:sz w:val="20"/>
          <w:szCs w:val="20"/>
        </w:rPr>
        <w:t>. (2007).</w:t>
      </w:r>
      <w:r w:rsidRPr="00F00FE6">
        <w:rPr>
          <w:rFonts w:ascii="Arial" w:hAnsi="Arial" w:cs="Arial"/>
          <w:sz w:val="20"/>
          <w:szCs w:val="20"/>
        </w:rPr>
        <w:t xml:space="preserve"> Studies on mosquito larvicidal properties of </w:t>
      </w:r>
      <w:r w:rsidRPr="00F00FE6">
        <w:rPr>
          <w:rFonts w:ascii="Arial" w:hAnsi="Arial" w:cs="Arial"/>
          <w:i/>
          <w:iCs/>
          <w:sz w:val="20"/>
          <w:szCs w:val="20"/>
        </w:rPr>
        <w:t xml:space="preserve">Eucalyptus citriodora </w:t>
      </w:r>
      <w:r w:rsidRPr="00F00FE6">
        <w:rPr>
          <w:rFonts w:ascii="Arial" w:hAnsi="Arial" w:cs="Arial"/>
          <w:sz w:val="20"/>
          <w:szCs w:val="20"/>
        </w:rPr>
        <w:t xml:space="preserve">Hook (family- Myrtaceae). </w:t>
      </w:r>
      <w:r w:rsidRPr="00F00FE6">
        <w:rPr>
          <w:rFonts w:ascii="Arial" w:hAnsi="Arial" w:cs="Arial"/>
          <w:i/>
          <w:sz w:val="20"/>
          <w:szCs w:val="20"/>
        </w:rPr>
        <w:t>J. of Communicable Dis.,</w:t>
      </w:r>
      <w:r>
        <w:rPr>
          <w:rFonts w:ascii="Arial" w:hAnsi="Arial" w:cs="Arial"/>
          <w:sz w:val="20"/>
          <w:szCs w:val="20"/>
        </w:rPr>
        <w:t xml:space="preserve"> </w:t>
      </w:r>
      <w:r w:rsidRPr="00F00FE6">
        <w:rPr>
          <w:rFonts w:ascii="Arial" w:hAnsi="Arial" w:cs="Arial"/>
          <w:sz w:val="20"/>
          <w:szCs w:val="20"/>
        </w:rPr>
        <w:t>39: 233-236.</w:t>
      </w:r>
    </w:p>
    <w:p w14:paraId="72ABC28D"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r w:rsidRPr="00F00FE6">
        <w:rPr>
          <w:rFonts w:ascii="Arial" w:eastAsia="Times New Roman" w:hAnsi="Arial" w:cs="Arial"/>
          <w:bCs/>
          <w:sz w:val="20"/>
          <w:szCs w:val="20"/>
        </w:rPr>
        <w:t xml:space="preserve">Sinka, M. E., Bangs, M. J., Manguin, S., Chareonviriyaphap, T. and Patil, A. P. </w:t>
      </w:r>
      <w:r>
        <w:rPr>
          <w:rFonts w:ascii="Arial" w:eastAsia="Times New Roman" w:hAnsi="Arial" w:cs="Arial"/>
          <w:bCs/>
          <w:sz w:val="20"/>
          <w:szCs w:val="20"/>
        </w:rPr>
        <w:t xml:space="preserve">(2010). </w:t>
      </w:r>
      <w:r w:rsidRPr="00F00FE6">
        <w:rPr>
          <w:rFonts w:ascii="Arial" w:eastAsia="Times New Roman" w:hAnsi="Arial" w:cs="Arial"/>
          <w:sz w:val="20"/>
          <w:szCs w:val="20"/>
        </w:rPr>
        <w:t xml:space="preserve">The geographical distribution of the vectors of </w:t>
      </w:r>
      <w:r w:rsidRPr="00F00FE6">
        <w:rPr>
          <w:rFonts w:ascii="Arial" w:eastAsia="Times New Roman" w:hAnsi="Arial" w:cs="Arial"/>
          <w:i/>
          <w:iCs/>
          <w:sz w:val="20"/>
          <w:szCs w:val="20"/>
        </w:rPr>
        <w:t>Plasmodium falciparum</w:t>
      </w:r>
      <w:r w:rsidRPr="00F00FE6">
        <w:rPr>
          <w:rFonts w:ascii="Arial" w:eastAsia="Times New Roman" w:hAnsi="Arial" w:cs="Arial"/>
          <w:sz w:val="20"/>
          <w:szCs w:val="20"/>
        </w:rPr>
        <w:t xml:space="preserve">, </w:t>
      </w:r>
      <w:r w:rsidRPr="00F00FE6">
        <w:rPr>
          <w:rFonts w:ascii="Arial" w:eastAsia="Times New Roman" w:hAnsi="Arial" w:cs="Arial"/>
          <w:i/>
          <w:iCs/>
          <w:sz w:val="20"/>
          <w:szCs w:val="20"/>
        </w:rPr>
        <w:t>Plasmodium vivax</w:t>
      </w:r>
      <w:r w:rsidRPr="00F00FE6">
        <w:rPr>
          <w:rFonts w:ascii="Arial" w:eastAsia="Times New Roman" w:hAnsi="Arial" w:cs="Arial"/>
          <w:sz w:val="20"/>
          <w:szCs w:val="20"/>
        </w:rPr>
        <w:t xml:space="preserve">, and </w:t>
      </w:r>
      <w:r w:rsidRPr="00F00FE6">
        <w:rPr>
          <w:rFonts w:ascii="Arial" w:eastAsia="Times New Roman" w:hAnsi="Arial" w:cs="Arial"/>
          <w:i/>
          <w:iCs/>
          <w:sz w:val="20"/>
          <w:szCs w:val="20"/>
        </w:rPr>
        <w:t>Plasmodium malariae</w:t>
      </w:r>
      <w:r w:rsidRPr="00F00FE6">
        <w:rPr>
          <w:rFonts w:ascii="Arial" w:eastAsia="Times New Roman" w:hAnsi="Arial" w:cs="Arial"/>
          <w:sz w:val="20"/>
          <w:szCs w:val="20"/>
        </w:rPr>
        <w:t xml:space="preserve"> in Africa, South Asia, and South America. </w:t>
      </w:r>
      <w:r>
        <w:rPr>
          <w:rFonts w:ascii="Arial" w:eastAsia="Times New Roman" w:hAnsi="Arial" w:cs="Arial"/>
          <w:i/>
          <w:iCs/>
          <w:sz w:val="20"/>
          <w:szCs w:val="20"/>
        </w:rPr>
        <w:t>Malaria J.,</w:t>
      </w:r>
      <w:r w:rsidRPr="00F00FE6">
        <w:rPr>
          <w:rFonts w:ascii="Arial" w:eastAsia="Times New Roman" w:hAnsi="Arial" w:cs="Arial"/>
          <w:sz w:val="20"/>
          <w:szCs w:val="20"/>
        </w:rPr>
        <w:t xml:space="preserve"> </w:t>
      </w:r>
      <w:r w:rsidRPr="00F00FE6">
        <w:rPr>
          <w:rFonts w:ascii="Arial" w:eastAsia="Times New Roman" w:hAnsi="Arial" w:cs="Arial"/>
          <w:iCs/>
          <w:sz w:val="20"/>
          <w:szCs w:val="20"/>
        </w:rPr>
        <w:t>9</w:t>
      </w:r>
      <w:r w:rsidRPr="00F00FE6">
        <w:rPr>
          <w:rFonts w:ascii="Arial" w:eastAsia="Times New Roman" w:hAnsi="Arial" w:cs="Arial"/>
          <w:sz w:val="20"/>
          <w:szCs w:val="20"/>
        </w:rPr>
        <w:t>(1): 1-15.</w:t>
      </w:r>
    </w:p>
    <w:p w14:paraId="42539FEC" w14:textId="77777777" w:rsidR="00965F1F" w:rsidRPr="00F00FE6" w:rsidRDefault="00965F1F" w:rsidP="00965F1F">
      <w:pPr>
        <w:pStyle w:val="Heading2"/>
        <w:spacing w:line="480" w:lineRule="auto"/>
        <w:rPr>
          <w:rFonts w:ascii="Arial" w:hAnsi="Arial" w:cs="Arial"/>
          <w:b w:val="0"/>
          <w:color w:val="auto"/>
          <w:sz w:val="20"/>
          <w:szCs w:val="20"/>
        </w:rPr>
      </w:pPr>
      <w:r w:rsidRPr="00F00FE6">
        <w:rPr>
          <w:rFonts w:ascii="Arial" w:hAnsi="Arial" w:cs="Arial"/>
          <w:b w:val="0"/>
          <w:color w:val="000000" w:themeColor="text1"/>
          <w:w w:val="85"/>
          <w:sz w:val="20"/>
          <w:szCs w:val="20"/>
        </w:rPr>
        <w:t>Tamiru</w:t>
      </w:r>
      <w:r w:rsidRPr="00F00FE6">
        <w:rPr>
          <w:rFonts w:ascii="Arial" w:hAnsi="Arial" w:cs="Arial"/>
          <w:b w:val="0"/>
          <w:color w:val="auto"/>
          <w:w w:val="85"/>
          <w:sz w:val="20"/>
          <w:szCs w:val="20"/>
        </w:rPr>
        <w:t>,</w:t>
      </w:r>
      <w:r w:rsidRPr="00F00FE6">
        <w:rPr>
          <w:rFonts w:ascii="Arial" w:hAnsi="Arial" w:cs="Arial"/>
          <w:b w:val="0"/>
          <w:color w:val="auto"/>
          <w:spacing w:val="-1"/>
          <w:w w:val="85"/>
          <w:sz w:val="20"/>
          <w:szCs w:val="20"/>
        </w:rPr>
        <w:t xml:space="preserve"> </w:t>
      </w:r>
      <w:r w:rsidRPr="00F00FE6">
        <w:rPr>
          <w:rFonts w:ascii="Arial" w:hAnsi="Arial" w:cs="Arial"/>
          <w:b w:val="0"/>
          <w:color w:val="auto"/>
          <w:w w:val="85"/>
          <w:sz w:val="20"/>
          <w:szCs w:val="20"/>
        </w:rPr>
        <w:t>W., Ejigu A., Endale, Fikru, A. A.</w:t>
      </w:r>
      <w:r>
        <w:rPr>
          <w:rFonts w:ascii="Arial" w:hAnsi="Arial" w:cs="Arial"/>
          <w:b w:val="0"/>
          <w:color w:val="auto"/>
          <w:w w:val="85"/>
          <w:sz w:val="20"/>
          <w:szCs w:val="20"/>
        </w:rPr>
        <w:t xml:space="preserve"> (2014).</w:t>
      </w:r>
      <w:r w:rsidRPr="00F00FE6">
        <w:rPr>
          <w:rFonts w:ascii="Arial" w:hAnsi="Arial" w:cs="Arial"/>
          <w:b w:val="0"/>
          <w:color w:val="auto"/>
          <w:w w:val="85"/>
          <w:sz w:val="20"/>
          <w:szCs w:val="20"/>
        </w:rPr>
        <w:t xml:space="preserve"> Experimental assessment of antidiar</w:t>
      </w:r>
      <w:r w:rsidRPr="00F00FE6">
        <w:rPr>
          <w:rFonts w:ascii="Arial" w:hAnsi="Arial" w:cs="Arial"/>
          <w:b w:val="0"/>
          <w:color w:val="auto"/>
          <w:w w:val="90"/>
          <w:sz w:val="20"/>
          <w:szCs w:val="20"/>
        </w:rPr>
        <w:t>rheal</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and</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antisecretory</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activity</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80%</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methanolic</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leaf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extract</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r w:rsidRPr="00F00FE6">
        <w:rPr>
          <w:rFonts w:ascii="Arial" w:hAnsi="Arial" w:cs="Arial"/>
          <w:b w:val="0"/>
          <w:i/>
          <w:color w:val="auto"/>
          <w:w w:val="90"/>
          <w:sz w:val="20"/>
          <w:szCs w:val="20"/>
        </w:rPr>
        <w:t>Zehneria</w:t>
      </w:r>
      <w:r w:rsidRPr="00F00FE6">
        <w:rPr>
          <w:rFonts w:ascii="Arial" w:hAnsi="Arial" w:cs="Arial"/>
          <w:b w:val="0"/>
          <w:i/>
          <w:color w:val="auto"/>
          <w:sz w:val="20"/>
          <w:szCs w:val="20"/>
        </w:rPr>
        <w:t xml:space="preserve"> </w:t>
      </w:r>
      <w:bookmarkStart w:id="3" w:name="_bookmark46"/>
      <w:bookmarkEnd w:id="3"/>
      <w:r w:rsidRPr="00F00FE6">
        <w:rPr>
          <w:rFonts w:ascii="Arial" w:hAnsi="Arial" w:cs="Arial"/>
          <w:b w:val="0"/>
          <w:i/>
          <w:color w:val="auto"/>
          <w:w w:val="90"/>
          <w:sz w:val="20"/>
          <w:szCs w:val="20"/>
        </w:rPr>
        <w:t xml:space="preserve">scabra </w:t>
      </w:r>
      <w:r w:rsidRPr="00F00FE6">
        <w:rPr>
          <w:rFonts w:ascii="Arial" w:hAnsi="Arial" w:cs="Arial"/>
          <w:b w:val="0"/>
          <w:color w:val="auto"/>
          <w:w w:val="90"/>
          <w:sz w:val="20"/>
          <w:szCs w:val="20"/>
        </w:rPr>
        <w:t>in mi</w:t>
      </w:r>
      <w:r>
        <w:rPr>
          <w:rFonts w:ascii="Arial" w:hAnsi="Arial" w:cs="Arial"/>
          <w:b w:val="0"/>
          <w:color w:val="auto"/>
          <w:w w:val="90"/>
          <w:sz w:val="20"/>
          <w:szCs w:val="20"/>
        </w:rPr>
        <w:t xml:space="preserve">ce. BMC Complement Altern Med., </w:t>
      </w:r>
      <w:r w:rsidRPr="00F00FE6">
        <w:rPr>
          <w:rFonts w:ascii="Arial" w:hAnsi="Arial" w:cs="Arial"/>
          <w:b w:val="0"/>
          <w:color w:val="auto"/>
          <w:w w:val="90"/>
          <w:sz w:val="20"/>
          <w:szCs w:val="20"/>
        </w:rPr>
        <w:t>14:460.</w:t>
      </w:r>
    </w:p>
    <w:p w14:paraId="1D2AEE96" w14:textId="77777777" w:rsidR="00965F1F" w:rsidRPr="00F00FE6" w:rsidRDefault="00965F1F" w:rsidP="00965F1F">
      <w:pPr>
        <w:pStyle w:val="Default"/>
        <w:spacing w:line="480" w:lineRule="auto"/>
        <w:rPr>
          <w:rFonts w:ascii="Arial" w:hAnsi="Arial" w:cs="Arial"/>
          <w:sz w:val="20"/>
          <w:szCs w:val="20"/>
        </w:rPr>
      </w:pPr>
      <w:r w:rsidRPr="00F00FE6">
        <w:rPr>
          <w:rFonts w:ascii="Arial" w:hAnsi="Arial" w:cs="Arial"/>
          <w:sz w:val="20"/>
          <w:szCs w:val="20"/>
        </w:rPr>
        <w:t xml:space="preserve">Trongtokit., Y., Rongsriyam. Y., Komalamisra, N., Apiwathnasorn, C. </w:t>
      </w:r>
      <w:r>
        <w:rPr>
          <w:rFonts w:ascii="Arial" w:hAnsi="Arial" w:cs="Arial"/>
          <w:sz w:val="20"/>
          <w:szCs w:val="20"/>
        </w:rPr>
        <w:t xml:space="preserve"> (2005). </w:t>
      </w:r>
      <w:r w:rsidRPr="00F00FE6">
        <w:rPr>
          <w:rFonts w:ascii="Arial" w:hAnsi="Arial" w:cs="Arial"/>
          <w:sz w:val="20"/>
          <w:szCs w:val="20"/>
        </w:rPr>
        <w:t xml:space="preserve">Comparative repellency of 38 essential oils against mosquito bites. Phytotherapy Research: </w:t>
      </w:r>
      <w:r w:rsidRPr="00F00FE6">
        <w:rPr>
          <w:rFonts w:ascii="Arial" w:hAnsi="Arial" w:cs="Arial"/>
          <w:i/>
          <w:sz w:val="20"/>
          <w:szCs w:val="20"/>
        </w:rPr>
        <w:t>An Int.l J. Devoted to Pharmacological and Toxicological Evaluation of Nat, Prod. Derivatives,</w:t>
      </w:r>
      <w:r>
        <w:rPr>
          <w:rFonts w:ascii="Arial" w:hAnsi="Arial" w:cs="Arial"/>
          <w:sz w:val="20"/>
          <w:szCs w:val="20"/>
        </w:rPr>
        <w:t xml:space="preserve"> </w:t>
      </w:r>
      <w:r w:rsidRPr="00F00FE6">
        <w:rPr>
          <w:rFonts w:ascii="Arial" w:hAnsi="Arial" w:cs="Arial"/>
          <w:sz w:val="20"/>
          <w:szCs w:val="20"/>
        </w:rPr>
        <w:t>19(4): 303-309.</w:t>
      </w:r>
    </w:p>
    <w:p w14:paraId="130FBFC5"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WHO. </w:t>
      </w:r>
      <w:r>
        <w:rPr>
          <w:rFonts w:ascii="Arial" w:hAnsi="Arial" w:cs="Arial"/>
          <w:sz w:val="20"/>
          <w:szCs w:val="20"/>
        </w:rPr>
        <w:t xml:space="preserve">(2012). </w:t>
      </w:r>
      <w:r w:rsidRPr="00F00FE6">
        <w:rPr>
          <w:rFonts w:ascii="Arial" w:hAnsi="Arial" w:cs="Arial"/>
          <w:sz w:val="20"/>
          <w:szCs w:val="20"/>
        </w:rPr>
        <w:t xml:space="preserve">Global plan for insecticide resistance management in malaria vectors. Geneva, </w:t>
      </w:r>
      <w:r>
        <w:rPr>
          <w:rFonts w:ascii="Arial" w:hAnsi="Arial" w:cs="Arial"/>
          <w:sz w:val="20"/>
          <w:szCs w:val="20"/>
        </w:rPr>
        <w:t>World Health Organization.</w:t>
      </w:r>
    </w:p>
    <w:p w14:paraId="5E3CA2C9"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lastRenderedPageBreak/>
        <w:t>WHO.</w:t>
      </w:r>
      <w:r>
        <w:rPr>
          <w:rFonts w:ascii="Arial" w:hAnsi="Arial" w:cs="Arial"/>
          <w:sz w:val="20"/>
          <w:szCs w:val="20"/>
        </w:rPr>
        <w:t xml:space="preserve"> (2015).</w:t>
      </w:r>
      <w:r w:rsidRPr="00F00FE6">
        <w:rPr>
          <w:rFonts w:ascii="Arial" w:hAnsi="Arial" w:cs="Arial"/>
          <w:sz w:val="20"/>
          <w:szCs w:val="20"/>
        </w:rPr>
        <w:t xml:space="preserve"> Indoor residual spraying: an operational manual for indoor residual spraying (IRS) for malaria transmission,   control and elimination. 2nd Edn. Geneva:</w:t>
      </w:r>
      <w:r>
        <w:rPr>
          <w:rFonts w:ascii="Arial" w:hAnsi="Arial" w:cs="Arial"/>
          <w:sz w:val="20"/>
          <w:szCs w:val="20"/>
        </w:rPr>
        <w:t xml:space="preserve"> World Health Organization</w:t>
      </w:r>
      <w:r w:rsidRPr="00F00FE6">
        <w:rPr>
          <w:rFonts w:ascii="Arial" w:hAnsi="Arial" w:cs="Arial"/>
          <w:sz w:val="20"/>
          <w:szCs w:val="20"/>
        </w:rPr>
        <w:t>.</w:t>
      </w:r>
    </w:p>
    <w:p w14:paraId="573DD807"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 xml:space="preserve">WHO. </w:t>
      </w:r>
      <w:r>
        <w:rPr>
          <w:rFonts w:ascii="Arial" w:hAnsi="Arial" w:cs="Arial"/>
          <w:sz w:val="20"/>
          <w:szCs w:val="20"/>
        </w:rPr>
        <w:t xml:space="preserve">(2021). </w:t>
      </w:r>
      <w:r w:rsidRPr="00F00FE6">
        <w:rPr>
          <w:rFonts w:ascii="Arial" w:hAnsi="Arial" w:cs="Arial"/>
          <w:sz w:val="20"/>
          <w:szCs w:val="20"/>
        </w:rPr>
        <w:t>World malaria report 2021. Geneva, World Health Organization. 2021. https:// www. who. int/ teams/ global- malaria- programme/ repor</w:t>
      </w:r>
      <w:r>
        <w:rPr>
          <w:rFonts w:ascii="Arial" w:hAnsi="Arial" w:cs="Arial"/>
          <w:sz w:val="20"/>
          <w:szCs w:val="20"/>
        </w:rPr>
        <w:t>ts/ world- malaria- report</w:t>
      </w:r>
      <w:r w:rsidRPr="00F00FE6">
        <w:rPr>
          <w:rFonts w:ascii="Arial" w:hAnsi="Arial" w:cs="Arial"/>
          <w:sz w:val="20"/>
          <w:szCs w:val="20"/>
        </w:rPr>
        <w:t>.</w:t>
      </w:r>
    </w:p>
    <w:p w14:paraId="7A956AAB" w14:textId="77777777" w:rsidR="00965F1F" w:rsidRPr="00F00FE6" w:rsidRDefault="00965F1F" w:rsidP="00965F1F">
      <w:pPr>
        <w:autoSpaceDE w:val="0"/>
        <w:autoSpaceDN w:val="0"/>
        <w:adjustRightInd w:val="0"/>
        <w:spacing w:after="0" w:line="480" w:lineRule="auto"/>
        <w:rPr>
          <w:rFonts w:ascii="Arial" w:hAnsi="Arial" w:cs="Arial"/>
          <w:sz w:val="20"/>
          <w:szCs w:val="20"/>
        </w:rPr>
      </w:pPr>
      <w:r w:rsidRPr="00F00FE6">
        <w:rPr>
          <w:rFonts w:ascii="Arial" w:hAnsi="Arial" w:cs="Arial"/>
          <w:sz w:val="20"/>
          <w:szCs w:val="20"/>
        </w:rPr>
        <w:t>WHO. Guidelines for malaria vector control. Geneva: World Health Organization; 2019.</w:t>
      </w:r>
    </w:p>
    <w:sectPr w:rsidR="00965F1F" w:rsidRPr="00F00F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6FCE" w14:textId="77777777" w:rsidR="00082CFF" w:rsidRDefault="00082CFF" w:rsidP="00C029BA">
      <w:pPr>
        <w:spacing w:after="0" w:line="240" w:lineRule="auto"/>
      </w:pPr>
      <w:r>
        <w:separator/>
      </w:r>
    </w:p>
  </w:endnote>
  <w:endnote w:type="continuationSeparator" w:id="0">
    <w:p w14:paraId="7687BCB0" w14:textId="77777777" w:rsidR="00082CFF" w:rsidRDefault="00082CFF" w:rsidP="00C0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66476" w14:textId="77777777" w:rsidR="006E5BE5" w:rsidRDefault="006E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F146" w14:textId="77777777" w:rsidR="006E5BE5" w:rsidRDefault="006E5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6DF2" w14:textId="77777777" w:rsidR="006E5BE5" w:rsidRDefault="006E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BAF0" w14:textId="77777777" w:rsidR="00082CFF" w:rsidRDefault="00082CFF" w:rsidP="00C029BA">
      <w:pPr>
        <w:spacing w:after="0" w:line="240" w:lineRule="auto"/>
      </w:pPr>
      <w:r>
        <w:separator/>
      </w:r>
    </w:p>
  </w:footnote>
  <w:footnote w:type="continuationSeparator" w:id="0">
    <w:p w14:paraId="141639DB" w14:textId="77777777" w:rsidR="00082CFF" w:rsidRDefault="00082CFF" w:rsidP="00C0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C764" w14:textId="2B3BD3DC" w:rsidR="006E5BE5" w:rsidRDefault="006E5BE5">
    <w:pPr>
      <w:pStyle w:val="Header"/>
    </w:pPr>
    <w:r>
      <w:rPr>
        <w:noProof/>
      </w:rPr>
      <w:pict w14:anchorId="344DE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072" w14:textId="4FD1ABF2" w:rsidR="006E5BE5" w:rsidRDefault="006E5BE5">
    <w:pPr>
      <w:pStyle w:val="Header"/>
    </w:pPr>
    <w:r>
      <w:rPr>
        <w:noProof/>
      </w:rPr>
      <w:pict w14:anchorId="1AB5E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825F" w14:textId="013395A8" w:rsidR="006E5BE5" w:rsidRDefault="006E5BE5">
    <w:pPr>
      <w:pStyle w:val="Header"/>
    </w:pPr>
    <w:r>
      <w:rPr>
        <w:noProof/>
      </w:rPr>
      <w:pict w14:anchorId="4E53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3072"/>
    <w:multiLevelType w:val="multilevel"/>
    <w:tmpl w:val="886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52EF8"/>
    <w:multiLevelType w:val="hybridMultilevel"/>
    <w:tmpl w:val="404CFF0E"/>
    <w:lvl w:ilvl="0" w:tplc="85687684">
      <w:start w:val="1"/>
      <w:numFmt w:val="decimal"/>
      <w:lvlText w:val="%1."/>
      <w:lvlJc w:val="left"/>
      <w:pPr>
        <w:ind w:left="441" w:hanging="281"/>
      </w:pPr>
      <w:rPr>
        <w:rFonts w:ascii="Arial MT" w:eastAsia="Arial MT" w:hAnsi="Arial MT" w:cs="Arial MT" w:hint="default"/>
        <w:b w:val="0"/>
        <w:bCs w:val="0"/>
        <w:i w:val="0"/>
        <w:iCs w:val="0"/>
        <w:spacing w:val="0"/>
        <w:w w:val="79"/>
        <w:sz w:val="15"/>
        <w:szCs w:val="15"/>
        <w:lang w:val="en-US" w:eastAsia="en-US" w:bidi="ar-SA"/>
      </w:rPr>
    </w:lvl>
    <w:lvl w:ilvl="1" w:tplc="376CAA3A">
      <w:numFmt w:val="bullet"/>
      <w:lvlText w:val="•"/>
      <w:lvlJc w:val="left"/>
      <w:pPr>
        <w:ind w:left="879" w:hanging="281"/>
      </w:pPr>
      <w:rPr>
        <w:rFonts w:hint="default"/>
        <w:lang w:val="en-US" w:eastAsia="en-US" w:bidi="ar-SA"/>
      </w:rPr>
    </w:lvl>
    <w:lvl w:ilvl="2" w:tplc="E756644A">
      <w:numFmt w:val="bullet"/>
      <w:lvlText w:val="•"/>
      <w:lvlJc w:val="left"/>
      <w:pPr>
        <w:ind w:left="1319" w:hanging="281"/>
      </w:pPr>
      <w:rPr>
        <w:rFonts w:hint="default"/>
        <w:lang w:val="en-US" w:eastAsia="en-US" w:bidi="ar-SA"/>
      </w:rPr>
    </w:lvl>
    <w:lvl w:ilvl="3" w:tplc="E104FDA4">
      <w:numFmt w:val="bullet"/>
      <w:lvlText w:val="•"/>
      <w:lvlJc w:val="left"/>
      <w:pPr>
        <w:ind w:left="1758" w:hanging="281"/>
      </w:pPr>
      <w:rPr>
        <w:rFonts w:hint="default"/>
        <w:lang w:val="en-US" w:eastAsia="en-US" w:bidi="ar-SA"/>
      </w:rPr>
    </w:lvl>
    <w:lvl w:ilvl="4" w:tplc="2A740176">
      <w:numFmt w:val="bullet"/>
      <w:lvlText w:val="•"/>
      <w:lvlJc w:val="left"/>
      <w:pPr>
        <w:ind w:left="2198" w:hanging="281"/>
      </w:pPr>
      <w:rPr>
        <w:rFonts w:hint="default"/>
        <w:lang w:val="en-US" w:eastAsia="en-US" w:bidi="ar-SA"/>
      </w:rPr>
    </w:lvl>
    <w:lvl w:ilvl="5" w:tplc="8E6C6676">
      <w:numFmt w:val="bullet"/>
      <w:lvlText w:val="•"/>
      <w:lvlJc w:val="left"/>
      <w:pPr>
        <w:ind w:left="2637" w:hanging="281"/>
      </w:pPr>
      <w:rPr>
        <w:rFonts w:hint="default"/>
        <w:lang w:val="en-US" w:eastAsia="en-US" w:bidi="ar-SA"/>
      </w:rPr>
    </w:lvl>
    <w:lvl w:ilvl="6" w:tplc="51EE6E10">
      <w:numFmt w:val="bullet"/>
      <w:lvlText w:val="•"/>
      <w:lvlJc w:val="left"/>
      <w:pPr>
        <w:ind w:left="3077" w:hanging="281"/>
      </w:pPr>
      <w:rPr>
        <w:rFonts w:hint="default"/>
        <w:lang w:val="en-US" w:eastAsia="en-US" w:bidi="ar-SA"/>
      </w:rPr>
    </w:lvl>
    <w:lvl w:ilvl="7" w:tplc="C4708FAA">
      <w:numFmt w:val="bullet"/>
      <w:lvlText w:val="•"/>
      <w:lvlJc w:val="left"/>
      <w:pPr>
        <w:ind w:left="3516" w:hanging="281"/>
      </w:pPr>
      <w:rPr>
        <w:rFonts w:hint="default"/>
        <w:lang w:val="en-US" w:eastAsia="en-US" w:bidi="ar-SA"/>
      </w:rPr>
    </w:lvl>
    <w:lvl w:ilvl="8" w:tplc="16D6924A">
      <w:numFmt w:val="bullet"/>
      <w:lvlText w:val="•"/>
      <w:lvlJc w:val="left"/>
      <w:pPr>
        <w:ind w:left="3956" w:hanging="281"/>
      </w:pPr>
      <w:rPr>
        <w:rFonts w:hint="default"/>
        <w:lang w:val="en-US" w:eastAsia="en-US" w:bidi="ar-SA"/>
      </w:rPr>
    </w:lvl>
  </w:abstractNum>
  <w:abstractNum w:abstractNumId="2" w15:restartNumberingAfterBreak="0">
    <w:nsid w:val="6EDF1F6A"/>
    <w:multiLevelType w:val="multilevel"/>
    <w:tmpl w:val="B51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F7C90"/>
    <w:multiLevelType w:val="multilevel"/>
    <w:tmpl w:val="F7E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A567C"/>
    <w:multiLevelType w:val="multilevel"/>
    <w:tmpl w:val="403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D6834"/>
    <w:multiLevelType w:val="multilevel"/>
    <w:tmpl w:val="C2E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46E56"/>
    <w:multiLevelType w:val="multilevel"/>
    <w:tmpl w:val="463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CBF"/>
    <w:rsid w:val="000100A4"/>
    <w:rsid w:val="00010E39"/>
    <w:rsid w:val="0002089D"/>
    <w:rsid w:val="00023D04"/>
    <w:rsid w:val="00024249"/>
    <w:rsid w:val="00035A36"/>
    <w:rsid w:val="000369B7"/>
    <w:rsid w:val="0004442F"/>
    <w:rsid w:val="0004754B"/>
    <w:rsid w:val="00052F9C"/>
    <w:rsid w:val="000564C2"/>
    <w:rsid w:val="000575F8"/>
    <w:rsid w:val="00072F71"/>
    <w:rsid w:val="000736CE"/>
    <w:rsid w:val="000748E0"/>
    <w:rsid w:val="00082CFF"/>
    <w:rsid w:val="00084988"/>
    <w:rsid w:val="00092E77"/>
    <w:rsid w:val="00095119"/>
    <w:rsid w:val="000A3586"/>
    <w:rsid w:val="000A793F"/>
    <w:rsid w:val="000C2393"/>
    <w:rsid w:val="000D0251"/>
    <w:rsid w:val="000E35ED"/>
    <w:rsid w:val="0011438B"/>
    <w:rsid w:val="001226FA"/>
    <w:rsid w:val="00124649"/>
    <w:rsid w:val="001265F0"/>
    <w:rsid w:val="0014232F"/>
    <w:rsid w:val="00142618"/>
    <w:rsid w:val="00144781"/>
    <w:rsid w:val="00145EC7"/>
    <w:rsid w:val="00150BCC"/>
    <w:rsid w:val="00161B98"/>
    <w:rsid w:val="00165E98"/>
    <w:rsid w:val="001705BC"/>
    <w:rsid w:val="001723B0"/>
    <w:rsid w:val="0017259D"/>
    <w:rsid w:val="001736D3"/>
    <w:rsid w:val="00181432"/>
    <w:rsid w:val="001B6198"/>
    <w:rsid w:val="001C7C5D"/>
    <w:rsid w:val="001E088B"/>
    <w:rsid w:val="001E21FD"/>
    <w:rsid w:val="001F094E"/>
    <w:rsid w:val="001F5AE0"/>
    <w:rsid w:val="00205106"/>
    <w:rsid w:val="00211B56"/>
    <w:rsid w:val="0023325A"/>
    <w:rsid w:val="002368DD"/>
    <w:rsid w:val="00257239"/>
    <w:rsid w:val="002679C2"/>
    <w:rsid w:val="002748DC"/>
    <w:rsid w:val="00275384"/>
    <w:rsid w:val="00286FB1"/>
    <w:rsid w:val="00293596"/>
    <w:rsid w:val="0029614B"/>
    <w:rsid w:val="002A3B44"/>
    <w:rsid w:val="002B7199"/>
    <w:rsid w:val="002C7406"/>
    <w:rsid w:val="002D640C"/>
    <w:rsid w:val="002D686A"/>
    <w:rsid w:val="002F54E8"/>
    <w:rsid w:val="00306828"/>
    <w:rsid w:val="00353A27"/>
    <w:rsid w:val="00364303"/>
    <w:rsid w:val="00376FCD"/>
    <w:rsid w:val="0038087B"/>
    <w:rsid w:val="003900C0"/>
    <w:rsid w:val="00395673"/>
    <w:rsid w:val="003C43D5"/>
    <w:rsid w:val="003E0114"/>
    <w:rsid w:val="003E137A"/>
    <w:rsid w:val="003E69F2"/>
    <w:rsid w:val="00404097"/>
    <w:rsid w:val="00407683"/>
    <w:rsid w:val="00410522"/>
    <w:rsid w:val="00410842"/>
    <w:rsid w:val="0042477B"/>
    <w:rsid w:val="00427D8F"/>
    <w:rsid w:val="00427D90"/>
    <w:rsid w:val="00430690"/>
    <w:rsid w:val="00445506"/>
    <w:rsid w:val="00451EFB"/>
    <w:rsid w:val="00460A2E"/>
    <w:rsid w:val="00461F15"/>
    <w:rsid w:val="00465D57"/>
    <w:rsid w:val="004A7CB1"/>
    <w:rsid w:val="004B3742"/>
    <w:rsid w:val="004B5DA9"/>
    <w:rsid w:val="004C0708"/>
    <w:rsid w:val="004C0D54"/>
    <w:rsid w:val="004C59FD"/>
    <w:rsid w:val="004C73E9"/>
    <w:rsid w:val="004D2A1E"/>
    <w:rsid w:val="004D39D4"/>
    <w:rsid w:val="004E130B"/>
    <w:rsid w:val="004E1A5A"/>
    <w:rsid w:val="00504930"/>
    <w:rsid w:val="00506308"/>
    <w:rsid w:val="005115CD"/>
    <w:rsid w:val="00514C4D"/>
    <w:rsid w:val="00523310"/>
    <w:rsid w:val="00524D70"/>
    <w:rsid w:val="00533EC6"/>
    <w:rsid w:val="00555BD0"/>
    <w:rsid w:val="005603CE"/>
    <w:rsid w:val="005632C9"/>
    <w:rsid w:val="005645A6"/>
    <w:rsid w:val="00567B86"/>
    <w:rsid w:val="005729D1"/>
    <w:rsid w:val="00580CA9"/>
    <w:rsid w:val="00593B00"/>
    <w:rsid w:val="005B3178"/>
    <w:rsid w:val="005B469F"/>
    <w:rsid w:val="005C3D17"/>
    <w:rsid w:val="005D3D84"/>
    <w:rsid w:val="005F18EF"/>
    <w:rsid w:val="00612DCD"/>
    <w:rsid w:val="00613BB2"/>
    <w:rsid w:val="00617A0C"/>
    <w:rsid w:val="00620345"/>
    <w:rsid w:val="0063107B"/>
    <w:rsid w:val="006340F3"/>
    <w:rsid w:val="00653791"/>
    <w:rsid w:val="0066535C"/>
    <w:rsid w:val="0066592C"/>
    <w:rsid w:val="00675B5E"/>
    <w:rsid w:val="0069400A"/>
    <w:rsid w:val="006A3430"/>
    <w:rsid w:val="006A36B7"/>
    <w:rsid w:val="006E5BE5"/>
    <w:rsid w:val="006F080E"/>
    <w:rsid w:val="006F2F92"/>
    <w:rsid w:val="00720690"/>
    <w:rsid w:val="00722B72"/>
    <w:rsid w:val="00724EE8"/>
    <w:rsid w:val="00753E0E"/>
    <w:rsid w:val="00754D17"/>
    <w:rsid w:val="00764723"/>
    <w:rsid w:val="00766555"/>
    <w:rsid w:val="007722B9"/>
    <w:rsid w:val="00772CA8"/>
    <w:rsid w:val="0077418A"/>
    <w:rsid w:val="007742D8"/>
    <w:rsid w:val="00776EE9"/>
    <w:rsid w:val="0078146A"/>
    <w:rsid w:val="007847AE"/>
    <w:rsid w:val="007A3B8B"/>
    <w:rsid w:val="007B183A"/>
    <w:rsid w:val="007C649B"/>
    <w:rsid w:val="007D2A75"/>
    <w:rsid w:val="007D6DDF"/>
    <w:rsid w:val="007E14A6"/>
    <w:rsid w:val="007E216F"/>
    <w:rsid w:val="007E3EEB"/>
    <w:rsid w:val="007F47EE"/>
    <w:rsid w:val="007F4B71"/>
    <w:rsid w:val="007F77AE"/>
    <w:rsid w:val="00831C2C"/>
    <w:rsid w:val="008440E2"/>
    <w:rsid w:val="00847BE1"/>
    <w:rsid w:val="00857230"/>
    <w:rsid w:val="00871FDD"/>
    <w:rsid w:val="00876BE4"/>
    <w:rsid w:val="008853D9"/>
    <w:rsid w:val="008906AD"/>
    <w:rsid w:val="008933A6"/>
    <w:rsid w:val="00897FA0"/>
    <w:rsid w:val="008B3339"/>
    <w:rsid w:val="008B5AD0"/>
    <w:rsid w:val="008C44FD"/>
    <w:rsid w:val="008D5984"/>
    <w:rsid w:val="008E361C"/>
    <w:rsid w:val="008E6682"/>
    <w:rsid w:val="008E7CBF"/>
    <w:rsid w:val="008F2DCE"/>
    <w:rsid w:val="008F6A05"/>
    <w:rsid w:val="00907EBB"/>
    <w:rsid w:val="009166B3"/>
    <w:rsid w:val="00944AC5"/>
    <w:rsid w:val="00965F1F"/>
    <w:rsid w:val="009703C1"/>
    <w:rsid w:val="00980EB1"/>
    <w:rsid w:val="00992E60"/>
    <w:rsid w:val="009940A2"/>
    <w:rsid w:val="0099767F"/>
    <w:rsid w:val="009A1792"/>
    <w:rsid w:val="009A562E"/>
    <w:rsid w:val="009A5C25"/>
    <w:rsid w:val="009A639F"/>
    <w:rsid w:val="009A785F"/>
    <w:rsid w:val="009B1949"/>
    <w:rsid w:val="009D1FB3"/>
    <w:rsid w:val="009E6B3E"/>
    <w:rsid w:val="009F21B9"/>
    <w:rsid w:val="009F5C00"/>
    <w:rsid w:val="009F74F9"/>
    <w:rsid w:val="00A01897"/>
    <w:rsid w:val="00A20B70"/>
    <w:rsid w:val="00A369B4"/>
    <w:rsid w:val="00A45B77"/>
    <w:rsid w:val="00A76DF3"/>
    <w:rsid w:val="00A83799"/>
    <w:rsid w:val="00A93688"/>
    <w:rsid w:val="00AA624E"/>
    <w:rsid w:val="00AC055C"/>
    <w:rsid w:val="00AC075F"/>
    <w:rsid w:val="00AC0EBE"/>
    <w:rsid w:val="00AE0D8F"/>
    <w:rsid w:val="00B07290"/>
    <w:rsid w:val="00B20AC9"/>
    <w:rsid w:val="00B27A16"/>
    <w:rsid w:val="00B57F9C"/>
    <w:rsid w:val="00B8249E"/>
    <w:rsid w:val="00BA0EF6"/>
    <w:rsid w:val="00BA1355"/>
    <w:rsid w:val="00BA6802"/>
    <w:rsid w:val="00BB4BCC"/>
    <w:rsid w:val="00BB5F89"/>
    <w:rsid w:val="00BC3E80"/>
    <w:rsid w:val="00BD5887"/>
    <w:rsid w:val="00C029BA"/>
    <w:rsid w:val="00C2350B"/>
    <w:rsid w:val="00C45725"/>
    <w:rsid w:val="00C62197"/>
    <w:rsid w:val="00C70506"/>
    <w:rsid w:val="00C91508"/>
    <w:rsid w:val="00CA3020"/>
    <w:rsid w:val="00CC732A"/>
    <w:rsid w:val="00CE29AE"/>
    <w:rsid w:val="00CE3FC9"/>
    <w:rsid w:val="00CF7569"/>
    <w:rsid w:val="00D011D0"/>
    <w:rsid w:val="00D13795"/>
    <w:rsid w:val="00D20EC1"/>
    <w:rsid w:val="00D21A06"/>
    <w:rsid w:val="00D21E52"/>
    <w:rsid w:val="00D22857"/>
    <w:rsid w:val="00D301B2"/>
    <w:rsid w:val="00D320FF"/>
    <w:rsid w:val="00D376AE"/>
    <w:rsid w:val="00D504FE"/>
    <w:rsid w:val="00D54BCA"/>
    <w:rsid w:val="00D55C64"/>
    <w:rsid w:val="00D62D76"/>
    <w:rsid w:val="00D67CEF"/>
    <w:rsid w:val="00DA149F"/>
    <w:rsid w:val="00DB375D"/>
    <w:rsid w:val="00DD1CA2"/>
    <w:rsid w:val="00DD2753"/>
    <w:rsid w:val="00DE50A6"/>
    <w:rsid w:val="00DE6781"/>
    <w:rsid w:val="00E12108"/>
    <w:rsid w:val="00E25059"/>
    <w:rsid w:val="00E40DFD"/>
    <w:rsid w:val="00E537A0"/>
    <w:rsid w:val="00E56367"/>
    <w:rsid w:val="00E83050"/>
    <w:rsid w:val="00E911AA"/>
    <w:rsid w:val="00EA4EAB"/>
    <w:rsid w:val="00EE00F2"/>
    <w:rsid w:val="00F00FE6"/>
    <w:rsid w:val="00F219CE"/>
    <w:rsid w:val="00F22D4B"/>
    <w:rsid w:val="00F253D4"/>
    <w:rsid w:val="00F30B83"/>
    <w:rsid w:val="00F3167B"/>
    <w:rsid w:val="00F36BBB"/>
    <w:rsid w:val="00F44A9A"/>
    <w:rsid w:val="00F44EE0"/>
    <w:rsid w:val="00F5219E"/>
    <w:rsid w:val="00F522C3"/>
    <w:rsid w:val="00F62290"/>
    <w:rsid w:val="00F717FF"/>
    <w:rsid w:val="00F77740"/>
    <w:rsid w:val="00F83970"/>
    <w:rsid w:val="00FA41E2"/>
    <w:rsid w:val="00FA6170"/>
    <w:rsid w:val="00FC0128"/>
    <w:rsid w:val="00FC0550"/>
    <w:rsid w:val="00FC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35396"/>
  <w15:docId w15:val="{D6E26C73-3FBE-474D-9657-305E8F23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C73E9"/>
    <w:pPr>
      <w:widowControl w:val="0"/>
      <w:autoSpaceDE w:val="0"/>
      <w:autoSpaceDN w:val="0"/>
      <w:spacing w:after="0" w:line="240" w:lineRule="auto"/>
      <w:ind w:left="141"/>
      <w:outlineLvl w:val="0"/>
    </w:pPr>
    <w:rPr>
      <w:rFonts w:ascii="Tahoma" w:eastAsia="Tahoma" w:hAnsi="Tahoma" w:cs="Tahoma"/>
      <w:b/>
      <w:bCs/>
      <w:sz w:val="20"/>
      <w:szCs w:val="20"/>
    </w:rPr>
  </w:style>
  <w:style w:type="paragraph" w:styleId="Heading2">
    <w:name w:val="heading 2"/>
    <w:basedOn w:val="Normal"/>
    <w:next w:val="Normal"/>
    <w:link w:val="Heading2Char"/>
    <w:uiPriority w:val="9"/>
    <w:unhideWhenUsed/>
    <w:qFormat/>
    <w:rsid w:val="0099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F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20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0B70"/>
    <w:rPr>
      <w:i/>
      <w:iCs/>
    </w:rPr>
  </w:style>
  <w:style w:type="character" w:styleId="Strong">
    <w:name w:val="Strong"/>
    <w:basedOn w:val="DefaultParagraphFont"/>
    <w:uiPriority w:val="22"/>
    <w:qFormat/>
    <w:rsid w:val="00A20B70"/>
    <w:rPr>
      <w:b/>
      <w:bCs/>
    </w:rPr>
  </w:style>
  <w:style w:type="character" w:customStyle="1" w:styleId="vkekvd">
    <w:name w:val="vkekvd"/>
    <w:basedOn w:val="DefaultParagraphFont"/>
    <w:rsid w:val="00D21A06"/>
  </w:style>
  <w:style w:type="table" w:styleId="TableGrid">
    <w:name w:val="Table Grid"/>
    <w:basedOn w:val="TableNormal"/>
    <w:uiPriority w:val="59"/>
    <w:rsid w:val="00F3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BA"/>
  </w:style>
  <w:style w:type="paragraph" w:styleId="Footer">
    <w:name w:val="footer"/>
    <w:basedOn w:val="Normal"/>
    <w:link w:val="FooterChar"/>
    <w:uiPriority w:val="99"/>
    <w:unhideWhenUsed/>
    <w:rsid w:val="00C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BA"/>
  </w:style>
  <w:style w:type="character" w:customStyle="1" w:styleId="Heading1Char">
    <w:name w:val="Heading 1 Char"/>
    <w:basedOn w:val="DefaultParagraphFont"/>
    <w:link w:val="Heading1"/>
    <w:uiPriority w:val="1"/>
    <w:rsid w:val="004C73E9"/>
    <w:rPr>
      <w:rFonts w:ascii="Tahoma" w:eastAsia="Tahoma" w:hAnsi="Tahoma" w:cs="Tahoma"/>
      <w:b/>
      <w:bCs/>
      <w:sz w:val="20"/>
      <w:szCs w:val="20"/>
    </w:rPr>
  </w:style>
  <w:style w:type="paragraph" w:styleId="BodyText">
    <w:name w:val="Body Text"/>
    <w:basedOn w:val="Normal"/>
    <w:link w:val="BodyTextChar"/>
    <w:uiPriority w:val="1"/>
    <w:qFormat/>
    <w:rsid w:val="004C73E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C73E9"/>
    <w:rPr>
      <w:rFonts w:ascii="Times New Roman" w:eastAsia="Times New Roman" w:hAnsi="Times New Roman" w:cs="Times New Roman"/>
      <w:sz w:val="19"/>
      <w:szCs w:val="19"/>
    </w:rPr>
  </w:style>
  <w:style w:type="paragraph" w:styleId="ListParagraph">
    <w:name w:val="List Paragraph"/>
    <w:basedOn w:val="Normal"/>
    <w:uiPriority w:val="1"/>
    <w:qFormat/>
    <w:rsid w:val="0029614B"/>
    <w:pPr>
      <w:widowControl w:val="0"/>
      <w:autoSpaceDE w:val="0"/>
      <w:autoSpaceDN w:val="0"/>
      <w:spacing w:before="2" w:after="0" w:line="240" w:lineRule="auto"/>
      <w:ind w:left="441" w:hanging="281"/>
    </w:pPr>
    <w:rPr>
      <w:rFonts w:ascii="Arial MT" w:eastAsia="Arial MT" w:hAnsi="Arial MT" w:cs="Arial MT"/>
    </w:rPr>
  </w:style>
  <w:style w:type="character" w:customStyle="1" w:styleId="title-text">
    <w:name w:val="title-text"/>
    <w:basedOn w:val="DefaultParagraphFont"/>
    <w:rsid w:val="00992E60"/>
  </w:style>
  <w:style w:type="character" w:customStyle="1" w:styleId="react-xocs-alternative-link">
    <w:name w:val="react-xocs-alternative-link"/>
    <w:basedOn w:val="DefaultParagraphFont"/>
    <w:rsid w:val="00992E60"/>
  </w:style>
  <w:style w:type="character" w:customStyle="1" w:styleId="given-name">
    <w:name w:val="given-name"/>
    <w:basedOn w:val="DefaultParagraphFont"/>
    <w:rsid w:val="00992E60"/>
  </w:style>
  <w:style w:type="character" w:customStyle="1" w:styleId="text">
    <w:name w:val="text"/>
    <w:basedOn w:val="DefaultParagraphFont"/>
    <w:rsid w:val="00992E60"/>
  </w:style>
  <w:style w:type="character" w:customStyle="1" w:styleId="anchor-text">
    <w:name w:val="anchor-text"/>
    <w:basedOn w:val="DefaultParagraphFont"/>
    <w:rsid w:val="00992E60"/>
  </w:style>
  <w:style w:type="character" w:customStyle="1" w:styleId="Heading2Char">
    <w:name w:val="Heading 2 Char"/>
    <w:basedOn w:val="DefaultParagraphFont"/>
    <w:link w:val="Heading2"/>
    <w:uiPriority w:val="9"/>
    <w:rsid w:val="00992E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130B"/>
    <w:rPr>
      <w:color w:val="0000FF"/>
      <w:u w:val="single"/>
    </w:rPr>
  </w:style>
  <w:style w:type="paragraph" w:styleId="z-TopofForm">
    <w:name w:val="HTML Top of Form"/>
    <w:basedOn w:val="Normal"/>
    <w:next w:val="Normal"/>
    <w:link w:val="z-TopofFormChar"/>
    <w:hidden/>
    <w:uiPriority w:val="99"/>
    <w:semiHidden/>
    <w:unhideWhenUsed/>
    <w:rsid w:val="000444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442F"/>
    <w:rPr>
      <w:rFonts w:ascii="Arial" w:eastAsia="Times New Roman" w:hAnsi="Arial" w:cs="Arial"/>
      <w:vanish/>
      <w:sz w:val="16"/>
      <w:szCs w:val="16"/>
    </w:rPr>
  </w:style>
  <w:style w:type="paragraph" w:customStyle="1" w:styleId="placeholder">
    <w:name w:val="placeholder"/>
    <w:basedOn w:val="Normal"/>
    <w:rsid w:val="000444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444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442F"/>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052F9C"/>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8F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8924">
      <w:bodyDiv w:val="1"/>
      <w:marLeft w:val="0"/>
      <w:marRight w:val="0"/>
      <w:marTop w:val="0"/>
      <w:marBottom w:val="0"/>
      <w:divBdr>
        <w:top w:val="none" w:sz="0" w:space="0" w:color="auto"/>
        <w:left w:val="none" w:sz="0" w:space="0" w:color="auto"/>
        <w:bottom w:val="none" w:sz="0" w:space="0" w:color="auto"/>
        <w:right w:val="none" w:sz="0" w:space="0" w:color="auto"/>
      </w:divBdr>
    </w:div>
    <w:div w:id="332606695">
      <w:bodyDiv w:val="1"/>
      <w:marLeft w:val="0"/>
      <w:marRight w:val="0"/>
      <w:marTop w:val="0"/>
      <w:marBottom w:val="0"/>
      <w:divBdr>
        <w:top w:val="none" w:sz="0" w:space="0" w:color="auto"/>
        <w:left w:val="none" w:sz="0" w:space="0" w:color="auto"/>
        <w:bottom w:val="none" w:sz="0" w:space="0" w:color="auto"/>
        <w:right w:val="none" w:sz="0" w:space="0" w:color="auto"/>
      </w:divBdr>
    </w:div>
    <w:div w:id="487673135">
      <w:bodyDiv w:val="1"/>
      <w:marLeft w:val="0"/>
      <w:marRight w:val="0"/>
      <w:marTop w:val="0"/>
      <w:marBottom w:val="0"/>
      <w:divBdr>
        <w:top w:val="none" w:sz="0" w:space="0" w:color="auto"/>
        <w:left w:val="none" w:sz="0" w:space="0" w:color="auto"/>
        <w:bottom w:val="none" w:sz="0" w:space="0" w:color="auto"/>
        <w:right w:val="none" w:sz="0" w:space="0" w:color="auto"/>
      </w:divBdr>
      <w:divsChild>
        <w:div w:id="1295678841">
          <w:marLeft w:val="0"/>
          <w:marRight w:val="0"/>
          <w:marTop w:val="0"/>
          <w:marBottom w:val="0"/>
          <w:divBdr>
            <w:top w:val="none" w:sz="0" w:space="0" w:color="auto"/>
            <w:left w:val="none" w:sz="0" w:space="0" w:color="auto"/>
            <w:bottom w:val="none" w:sz="0" w:space="0" w:color="auto"/>
            <w:right w:val="none" w:sz="0" w:space="0" w:color="auto"/>
          </w:divBdr>
          <w:divsChild>
            <w:div w:id="1643386833">
              <w:marLeft w:val="0"/>
              <w:marRight w:val="0"/>
              <w:marTop w:val="0"/>
              <w:marBottom w:val="0"/>
              <w:divBdr>
                <w:top w:val="none" w:sz="0" w:space="0" w:color="auto"/>
                <w:left w:val="none" w:sz="0" w:space="0" w:color="auto"/>
                <w:bottom w:val="none" w:sz="0" w:space="0" w:color="auto"/>
                <w:right w:val="none" w:sz="0" w:space="0" w:color="auto"/>
              </w:divBdr>
              <w:divsChild>
                <w:div w:id="1052534677">
                  <w:marLeft w:val="0"/>
                  <w:marRight w:val="0"/>
                  <w:marTop w:val="0"/>
                  <w:marBottom w:val="0"/>
                  <w:divBdr>
                    <w:top w:val="none" w:sz="0" w:space="0" w:color="auto"/>
                    <w:left w:val="none" w:sz="0" w:space="0" w:color="auto"/>
                    <w:bottom w:val="none" w:sz="0" w:space="0" w:color="auto"/>
                    <w:right w:val="none" w:sz="0" w:space="0" w:color="auto"/>
                  </w:divBdr>
                  <w:divsChild>
                    <w:div w:id="851604683">
                      <w:marLeft w:val="0"/>
                      <w:marRight w:val="0"/>
                      <w:marTop w:val="0"/>
                      <w:marBottom w:val="0"/>
                      <w:divBdr>
                        <w:top w:val="none" w:sz="0" w:space="0" w:color="auto"/>
                        <w:left w:val="none" w:sz="0" w:space="0" w:color="auto"/>
                        <w:bottom w:val="none" w:sz="0" w:space="0" w:color="auto"/>
                        <w:right w:val="none" w:sz="0" w:space="0" w:color="auto"/>
                      </w:divBdr>
                      <w:divsChild>
                        <w:div w:id="735132865">
                          <w:marLeft w:val="0"/>
                          <w:marRight w:val="0"/>
                          <w:marTop w:val="0"/>
                          <w:marBottom w:val="0"/>
                          <w:divBdr>
                            <w:top w:val="none" w:sz="0" w:space="0" w:color="auto"/>
                            <w:left w:val="none" w:sz="0" w:space="0" w:color="auto"/>
                            <w:bottom w:val="none" w:sz="0" w:space="0" w:color="auto"/>
                            <w:right w:val="none" w:sz="0" w:space="0" w:color="auto"/>
                          </w:divBdr>
                          <w:divsChild>
                            <w:div w:id="1675494091">
                              <w:marLeft w:val="0"/>
                              <w:marRight w:val="0"/>
                              <w:marTop w:val="0"/>
                              <w:marBottom w:val="0"/>
                              <w:divBdr>
                                <w:top w:val="none" w:sz="0" w:space="0" w:color="auto"/>
                                <w:left w:val="none" w:sz="0" w:space="0" w:color="auto"/>
                                <w:bottom w:val="none" w:sz="0" w:space="0" w:color="auto"/>
                                <w:right w:val="none" w:sz="0" w:space="0" w:color="auto"/>
                              </w:divBdr>
                              <w:divsChild>
                                <w:div w:id="848374626">
                                  <w:marLeft w:val="0"/>
                                  <w:marRight w:val="0"/>
                                  <w:marTop w:val="0"/>
                                  <w:marBottom w:val="0"/>
                                  <w:divBdr>
                                    <w:top w:val="none" w:sz="0" w:space="0" w:color="auto"/>
                                    <w:left w:val="none" w:sz="0" w:space="0" w:color="auto"/>
                                    <w:bottom w:val="none" w:sz="0" w:space="0" w:color="auto"/>
                                    <w:right w:val="none" w:sz="0" w:space="0" w:color="auto"/>
                                  </w:divBdr>
                                  <w:divsChild>
                                    <w:div w:id="10725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017">
                          <w:marLeft w:val="0"/>
                          <w:marRight w:val="0"/>
                          <w:marTop w:val="0"/>
                          <w:marBottom w:val="0"/>
                          <w:divBdr>
                            <w:top w:val="none" w:sz="0" w:space="0" w:color="auto"/>
                            <w:left w:val="none" w:sz="0" w:space="0" w:color="auto"/>
                            <w:bottom w:val="none" w:sz="0" w:space="0" w:color="auto"/>
                            <w:right w:val="none" w:sz="0" w:space="0" w:color="auto"/>
                          </w:divBdr>
                          <w:divsChild>
                            <w:div w:id="1613324231">
                              <w:marLeft w:val="0"/>
                              <w:marRight w:val="0"/>
                              <w:marTop w:val="0"/>
                              <w:marBottom w:val="0"/>
                              <w:divBdr>
                                <w:top w:val="none" w:sz="0" w:space="0" w:color="auto"/>
                                <w:left w:val="none" w:sz="0" w:space="0" w:color="auto"/>
                                <w:bottom w:val="none" w:sz="0" w:space="0" w:color="auto"/>
                                <w:right w:val="none" w:sz="0" w:space="0" w:color="auto"/>
                              </w:divBdr>
                              <w:divsChild>
                                <w:div w:id="1652904017">
                                  <w:marLeft w:val="0"/>
                                  <w:marRight w:val="0"/>
                                  <w:marTop w:val="0"/>
                                  <w:marBottom w:val="0"/>
                                  <w:divBdr>
                                    <w:top w:val="none" w:sz="0" w:space="0" w:color="auto"/>
                                    <w:left w:val="none" w:sz="0" w:space="0" w:color="auto"/>
                                    <w:bottom w:val="none" w:sz="0" w:space="0" w:color="auto"/>
                                    <w:right w:val="none" w:sz="0" w:space="0" w:color="auto"/>
                                  </w:divBdr>
                                  <w:divsChild>
                                    <w:div w:id="1113863868">
                                      <w:marLeft w:val="0"/>
                                      <w:marRight w:val="0"/>
                                      <w:marTop w:val="0"/>
                                      <w:marBottom w:val="0"/>
                                      <w:divBdr>
                                        <w:top w:val="none" w:sz="0" w:space="0" w:color="auto"/>
                                        <w:left w:val="none" w:sz="0" w:space="0" w:color="auto"/>
                                        <w:bottom w:val="none" w:sz="0" w:space="0" w:color="auto"/>
                                        <w:right w:val="none" w:sz="0" w:space="0" w:color="auto"/>
                                      </w:divBdr>
                                      <w:divsChild>
                                        <w:div w:id="1468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30208">
          <w:marLeft w:val="0"/>
          <w:marRight w:val="0"/>
          <w:marTop w:val="0"/>
          <w:marBottom w:val="0"/>
          <w:divBdr>
            <w:top w:val="none" w:sz="0" w:space="0" w:color="auto"/>
            <w:left w:val="none" w:sz="0" w:space="0" w:color="auto"/>
            <w:bottom w:val="none" w:sz="0" w:space="0" w:color="auto"/>
            <w:right w:val="none" w:sz="0" w:space="0" w:color="auto"/>
          </w:divBdr>
          <w:divsChild>
            <w:div w:id="957636834">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sChild>
                    <w:div w:id="891383969">
                      <w:marLeft w:val="0"/>
                      <w:marRight w:val="0"/>
                      <w:marTop w:val="0"/>
                      <w:marBottom w:val="0"/>
                      <w:divBdr>
                        <w:top w:val="none" w:sz="0" w:space="0" w:color="auto"/>
                        <w:left w:val="none" w:sz="0" w:space="0" w:color="auto"/>
                        <w:bottom w:val="none" w:sz="0" w:space="0" w:color="auto"/>
                        <w:right w:val="none" w:sz="0" w:space="0" w:color="auto"/>
                      </w:divBdr>
                      <w:divsChild>
                        <w:div w:id="365182495">
                          <w:marLeft w:val="0"/>
                          <w:marRight w:val="0"/>
                          <w:marTop w:val="0"/>
                          <w:marBottom w:val="0"/>
                          <w:divBdr>
                            <w:top w:val="none" w:sz="0" w:space="0" w:color="auto"/>
                            <w:left w:val="none" w:sz="0" w:space="0" w:color="auto"/>
                            <w:bottom w:val="none" w:sz="0" w:space="0" w:color="auto"/>
                            <w:right w:val="none" w:sz="0" w:space="0" w:color="auto"/>
                          </w:divBdr>
                          <w:divsChild>
                            <w:div w:id="1344284448">
                              <w:marLeft w:val="0"/>
                              <w:marRight w:val="0"/>
                              <w:marTop w:val="0"/>
                              <w:marBottom w:val="0"/>
                              <w:divBdr>
                                <w:top w:val="none" w:sz="0" w:space="0" w:color="auto"/>
                                <w:left w:val="none" w:sz="0" w:space="0" w:color="auto"/>
                                <w:bottom w:val="none" w:sz="0" w:space="0" w:color="auto"/>
                                <w:right w:val="none" w:sz="0" w:space="0" w:color="auto"/>
                              </w:divBdr>
                              <w:divsChild>
                                <w:div w:id="38016734">
                                  <w:marLeft w:val="0"/>
                                  <w:marRight w:val="0"/>
                                  <w:marTop w:val="0"/>
                                  <w:marBottom w:val="0"/>
                                  <w:divBdr>
                                    <w:top w:val="none" w:sz="0" w:space="0" w:color="auto"/>
                                    <w:left w:val="none" w:sz="0" w:space="0" w:color="auto"/>
                                    <w:bottom w:val="none" w:sz="0" w:space="0" w:color="auto"/>
                                    <w:right w:val="none" w:sz="0" w:space="0" w:color="auto"/>
                                  </w:divBdr>
                                  <w:divsChild>
                                    <w:div w:id="683365158">
                                      <w:marLeft w:val="0"/>
                                      <w:marRight w:val="0"/>
                                      <w:marTop w:val="0"/>
                                      <w:marBottom w:val="0"/>
                                      <w:divBdr>
                                        <w:top w:val="none" w:sz="0" w:space="0" w:color="auto"/>
                                        <w:left w:val="none" w:sz="0" w:space="0" w:color="auto"/>
                                        <w:bottom w:val="none" w:sz="0" w:space="0" w:color="auto"/>
                                        <w:right w:val="none" w:sz="0" w:space="0" w:color="auto"/>
                                      </w:divBdr>
                                      <w:divsChild>
                                        <w:div w:id="1847599221">
                                          <w:marLeft w:val="0"/>
                                          <w:marRight w:val="0"/>
                                          <w:marTop w:val="0"/>
                                          <w:marBottom w:val="0"/>
                                          <w:divBdr>
                                            <w:top w:val="none" w:sz="0" w:space="0" w:color="auto"/>
                                            <w:left w:val="none" w:sz="0" w:space="0" w:color="auto"/>
                                            <w:bottom w:val="none" w:sz="0" w:space="0" w:color="auto"/>
                                            <w:right w:val="none" w:sz="0" w:space="0" w:color="auto"/>
                                          </w:divBdr>
                                          <w:divsChild>
                                            <w:div w:id="936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907802">
      <w:bodyDiv w:val="1"/>
      <w:marLeft w:val="0"/>
      <w:marRight w:val="0"/>
      <w:marTop w:val="0"/>
      <w:marBottom w:val="0"/>
      <w:divBdr>
        <w:top w:val="none" w:sz="0" w:space="0" w:color="auto"/>
        <w:left w:val="none" w:sz="0" w:space="0" w:color="auto"/>
        <w:bottom w:val="none" w:sz="0" w:space="0" w:color="auto"/>
        <w:right w:val="none" w:sz="0" w:space="0" w:color="auto"/>
      </w:divBdr>
    </w:div>
    <w:div w:id="1159344583">
      <w:bodyDiv w:val="1"/>
      <w:marLeft w:val="0"/>
      <w:marRight w:val="0"/>
      <w:marTop w:val="0"/>
      <w:marBottom w:val="0"/>
      <w:divBdr>
        <w:top w:val="none" w:sz="0" w:space="0" w:color="auto"/>
        <w:left w:val="none" w:sz="0" w:space="0" w:color="auto"/>
        <w:bottom w:val="none" w:sz="0" w:space="0" w:color="auto"/>
        <w:right w:val="none" w:sz="0" w:space="0" w:color="auto"/>
      </w:divBdr>
    </w:div>
    <w:div w:id="1438207945">
      <w:bodyDiv w:val="1"/>
      <w:marLeft w:val="0"/>
      <w:marRight w:val="0"/>
      <w:marTop w:val="0"/>
      <w:marBottom w:val="0"/>
      <w:divBdr>
        <w:top w:val="none" w:sz="0" w:space="0" w:color="auto"/>
        <w:left w:val="none" w:sz="0" w:space="0" w:color="auto"/>
        <w:bottom w:val="none" w:sz="0" w:space="0" w:color="auto"/>
        <w:right w:val="none" w:sz="0" w:space="0" w:color="auto"/>
      </w:divBdr>
    </w:div>
    <w:div w:id="1702050336">
      <w:bodyDiv w:val="1"/>
      <w:marLeft w:val="0"/>
      <w:marRight w:val="0"/>
      <w:marTop w:val="0"/>
      <w:marBottom w:val="0"/>
      <w:divBdr>
        <w:top w:val="none" w:sz="0" w:space="0" w:color="auto"/>
        <w:left w:val="none" w:sz="0" w:space="0" w:color="auto"/>
        <w:bottom w:val="none" w:sz="0" w:space="0" w:color="auto"/>
        <w:right w:val="none" w:sz="0" w:space="0" w:color="auto"/>
      </w:divBdr>
    </w:div>
    <w:div w:id="1804225696">
      <w:bodyDiv w:val="1"/>
      <w:marLeft w:val="0"/>
      <w:marRight w:val="0"/>
      <w:marTop w:val="0"/>
      <w:marBottom w:val="0"/>
      <w:divBdr>
        <w:top w:val="none" w:sz="0" w:space="0" w:color="auto"/>
        <w:left w:val="none" w:sz="0" w:space="0" w:color="auto"/>
        <w:bottom w:val="none" w:sz="0" w:space="0" w:color="auto"/>
        <w:right w:val="none" w:sz="0" w:space="0" w:color="auto"/>
      </w:divBdr>
    </w:div>
    <w:div w:id="2004121142">
      <w:bodyDiv w:val="1"/>
      <w:marLeft w:val="0"/>
      <w:marRight w:val="0"/>
      <w:marTop w:val="0"/>
      <w:marBottom w:val="0"/>
      <w:divBdr>
        <w:top w:val="none" w:sz="0" w:space="0" w:color="auto"/>
        <w:left w:val="none" w:sz="0" w:space="0" w:color="auto"/>
        <w:bottom w:val="none" w:sz="0" w:space="0" w:color="auto"/>
        <w:right w:val="none" w:sz="0" w:space="0" w:color="auto"/>
      </w:divBdr>
    </w:div>
    <w:div w:id="20784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SDI PC 1170</cp:lastModifiedBy>
  <cp:revision>15</cp:revision>
  <dcterms:created xsi:type="dcterms:W3CDTF">2026-03-08T18:55:00Z</dcterms:created>
  <dcterms:modified xsi:type="dcterms:W3CDTF">2026-03-10T07:34:00Z</dcterms:modified>
</cp:coreProperties>
</file>