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7252C" w14:textId="25945FE4" w:rsidR="00202769" w:rsidRDefault="00202769" w:rsidP="00202769">
      <w:pPr>
        <w:ind w:left="720"/>
        <w:jc w:val="center"/>
        <w:rPr>
          <w:rFonts w:ascii="Times New Roman" w:hAnsi="Times New Roman" w:cs="Times New Roman"/>
          <w:b/>
          <w:bCs/>
          <w:sz w:val="28"/>
          <w:szCs w:val="24"/>
        </w:rPr>
      </w:pPr>
      <w:r w:rsidRPr="00085D27">
        <w:rPr>
          <w:rFonts w:ascii="Times New Roman" w:hAnsi="Times New Roman" w:cs="Times New Roman"/>
          <w:b/>
          <w:bCs/>
          <w:sz w:val="28"/>
          <w:szCs w:val="24"/>
        </w:rPr>
        <w:t>Synergistic Impacts of Seaweed Extracts and Humic Acid Granules on Soil Physicochemical properties and Crop Productivity: A Review</w:t>
      </w:r>
    </w:p>
    <w:p w14:paraId="5B00AD0F" w14:textId="77777777" w:rsidR="006B2B84" w:rsidRDefault="006B2B84" w:rsidP="00537594">
      <w:pPr>
        <w:jc w:val="both"/>
        <w:rPr>
          <w:rFonts w:ascii="Times New Roman" w:hAnsi="Times New Roman" w:cs="Times New Roman"/>
          <w:b/>
          <w:sz w:val="24"/>
          <w:szCs w:val="24"/>
        </w:rPr>
      </w:pPr>
    </w:p>
    <w:p w14:paraId="339931E9" w14:textId="77777777" w:rsidR="006B2B84" w:rsidRDefault="006B2B84" w:rsidP="00537594">
      <w:pPr>
        <w:jc w:val="both"/>
        <w:rPr>
          <w:rFonts w:ascii="Times New Roman" w:hAnsi="Times New Roman" w:cs="Times New Roman"/>
          <w:b/>
          <w:sz w:val="24"/>
          <w:szCs w:val="24"/>
        </w:rPr>
      </w:pPr>
    </w:p>
    <w:p w14:paraId="3ADE580F" w14:textId="77777777" w:rsidR="006B2B84" w:rsidRDefault="006B2B84" w:rsidP="00537594">
      <w:pPr>
        <w:jc w:val="both"/>
        <w:rPr>
          <w:rFonts w:ascii="Times New Roman" w:hAnsi="Times New Roman" w:cs="Times New Roman"/>
          <w:b/>
          <w:sz w:val="24"/>
          <w:szCs w:val="24"/>
        </w:rPr>
      </w:pPr>
    </w:p>
    <w:p w14:paraId="17BA2380" w14:textId="171C7C6E" w:rsidR="003C6B0B" w:rsidRPr="00FD6561" w:rsidRDefault="003C6B0B" w:rsidP="00537594">
      <w:pPr>
        <w:jc w:val="both"/>
        <w:rPr>
          <w:rFonts w:ascii="Times New Roman" w:hAnsi="Times New Roman" w:cs="Times New Roman"/>
          <w:b/>
          <w:sz w:val="24"/>
          <w:szCs w:val="24"/>
        </w:rPr>
      </w:pPr>
      <w:bookmarkStart w:id="0" w:name="_GoBack"/>
      <w:bookmarkEnd w:id="0"/>
      <w:r w:rsidRPr="00FD6561">
        <w:rPr>
          <w:rFonts w:ascii="Times New Roman" w:hAnsi="Times New Roman" w:cs="Times New Roman"/>
          <w:b/>
          <w:sz w:val="24"/>
          <w:szCs w:val="24"/>
        </w:rPr>
        <w:t>ABSTRACT:</w:t>
      </w:r>
    </w:p>
    <w:p w14:paraId="5DDB6174" w14:textId="33C73C20"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and humic acid granules are increasingly recognized as effective biostimulants that help with sustainable soil management and improve crop productivity. Seaweed extract provides bioactive compounds, including phytohormones, polysaccharides, amino acids, and micronutrients. These compounds promote root development, boost stress tolerance, and stimulate important metabolic processes. Humic acid granules improve soil fertility by enhancing soil structure, increasing cation exchange capacity, retaining nutrients better, and supporting beneficial microbial activity. Together, these amendments create synergistic effects that enhance soil properties, such as organic carbon content, moisture retention, and aggregate stability. Their combined use has been proven to increase nutrient uptake, boost chlorophyll synthesis, improve photosynthesis, and strengthen plants’ resistance to abiotic stresses. These advantages lead to higher crop yields, better produce quality, and more efficient use of inputs. The environmental benefits include reducing reliance on synthetic fertilizers, lowering greenhouse gas emissions, and promoting long-term soil health. Economically, using seaweed and humic acid granules offers better benefit-to-cost ratios and encourages the adoption of regenerative and climate-smart farming practices. This review summarizes current scientific evidence on the mechanisms, interactions, and agronomic benefits of these natural amendments, showcasing their importance in sustainable agriculture.</w:t>
      </w:r>
    </w:p>
    <w:p w14:paraId="6F57B15B" w14:textId="720D550B" w:rsidR="003C6B0B"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Key Words: Seaweed extract, Humic acid granules, Biostimulants, Micronutrients, Cytokinins, Osmoprotectants.</w:t>
      </w:r>
    </w:p>
    <w:p w14:paraId="04848CBF" w14:textId="77777777" w:rsidR="00085D27" w:rsidRPr="00537594" w:rsidRDefault="00085D27" w:rsidP="00537594">
      <w:pPr>
        <w:jc w:val="both"/>
        <w:rPr>
          <w:rFonts w:ascii="Times New Roman" w:hAnsi="Times New Roman" w:cs="Times New Roman"/>
          <w:sz w:val="24"/>
          <w:szCs w:val="24"/>
        </w:rPr>
      </w:pPr>
    </w:p>
    <w:p w14:paraId="123BE613" w14:textId="77777777"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1. INTRODUCTION:</w:t>
      </w:r>
    </w:p>
    <w:p w14:paraId="62DD4738" w14:textId="67241879"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Soil degradation is now one of the most serious challenges in agriculture. </w:t>
      </w:r>
      <w:r w:rsidR="001270D2">
        <w:rPr>
          <w:rFonts w:ascii="Times New Roman" w:hAnsi="Times New Roman" w:cs="Times New Roman"/>
          <w:sz w:val="24"/>
          <w:szCs w:val="24"/>
        </w:rPr>
        <w:t>I</w:t>
      </w:r>
      <w:r w:rsidR="003C6B0B" w:rsidRPr="00537594">
        <w:rPr>
          <w:rFonts w:ascii="Times New Roman" w:hAnsi="Times New Roman" w:cs="Times New Roman"/>
          <w:sz w:val="24"/>
          <w:szCs w:val="24"/>
        </w:rPr>
        <w:t>ntensive farming</w:t>
      </w:r>
      <w:r w:rsidR="001270D2">
        <w:rPr>
          <w:rFonts w:ascii="Times New Roman" w:hAnsi="Times New Roman" w:cs="Times New Roman"/>
          <w:sz w:val="24"/>
          <w:szCs w:val="24"/>
        </w:rPr>
        <w:t xml:space="preserve"> over the years</w:t>
      </w:r>
      <w:r w:rsidR="003C6B0B" w:rsidRPr="00537594">
        <w:rPr>
          <w:rFonts w:ascii="Times New Roman" w:hAnsi="Times New Roman" w:cs="Times New Roman"/>
          <w:sz w:val="24"/>
          <w:szCs w:val="24"/>
        </w:rPr>
        <w:t xml:space="preserve">, overuse of chemical fertilizers, and a steady decline in soil organic matter and biodiversity have left many soils exhausted and less productive. Nearly one-third of the world's agricultural soils are considered degraded, which directly impacts crop yields and the natural functions of ecosystems (Pettit, 2004). As farmers and researchers seek sustainable methods to restore soil health, natural biostimulants, especially seaweed extract and humic acid granules, are gaining attention for improving soil fertility and crop performance. Seaweed-based amendments, often made from brown macroalgae like </w:t>
      </w:r>
      <w:r w:rsidR="003C6B0B" w:rsidRPr="00493381">
        <w:rPr>
          <w:rFonts w:ascii="Times New Roman" w:hAnsi="Times New Roman" w:cs="Times New Roman"/>
          <w:i/>
          <w:iCs/>
          <w:sz w:val="24"/>
          <w:szCs w:val="24"/>
        </w:rPr>
        <w:t>Ascophyllum nodosum</w:t>
      </w:r>
      <w:r w:rsidR="003C6B0B" w:rsidRPr="00537594">
        <w:rPr>
          <w:rFonts w:ascii="Times New Roman" w:hAnsi="Times New Roman" w:cs="Times New Roman"/>
          <w:sz w:val="24"/>
          <w:szCs w:val="24"/>
        </w:rPr>
        <w:t xml:space="preserve">, Sargassum species, </w:t>
      </w:r>
      <w:r w:rsidR="003C6B0B" w:rsidRPr="00493381">
        <w:rPr>
          <w:rFonts w:ascii="Times New Roman" w:hAnsi="Times New Roman" w:cs="Times New Roman"/>
          <w:i/>
          <w:iCs/>
          <w:sz w:val="24"/>
          <w:szCs w:val="24"/>
        </w:rPr>
        <w:t>and Kappaphycus alvarezii</w:t>
      </w:r>
      <w:r w:rsidR="003C6B0B" w:rsidRPr="00537594">
        <w:rPr>
          <w:rFonts w:ascii="Times New Roman" w:hAnsi="Times New Roman" w:cs="Times New Roman"/>
          <w:sz w:val="24"/>
          <w:szCs w:val="24"/>
        </w:rPr>
        <w:t xml:space="preserve">, are known for their rich biostimulant properties. These granules provide many beneficial compounds, including polysaccharides (like alginate and laminarin), natural plant hormones (cytokinins, auxins, gibberellins), amino acids, vitamins, and essential trace elements </w:t>
      </w:r>
      <w:r w:rsidR="003C6B0B" w:rsidRPr="00537594">
        <w:rPr>
          <w:rFonts w:ascii="Times New Roman" w:hAnsi="Times New Roman" w:cs="Times New Roman"/>
          <w:sz w:val="24"/>
          <w:szCs w:val="24"/>
        </w:rPr>
        <w:lastRenderedPageBreak/>
        <w:t xml:space="preserve">(Rathore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 These components help plants develop stronger root systems, withstand environmental stress, and support healthier microbial activity around the root zone (Yildiztekin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0A8506B" w14:textId="5ED2FEA4"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amendments also enhance the plant's natural antioxidant systems. This allows crops to absorb nutrients more effectively and thrive under stress. Humic acid granules, formed through the natural breakdown and humification of organic matter, play a key role in improving sustainable soil health. Humic substances, including humic acid, fulvic acid and humin are crucial for creating healthy soil structure. They enhance nutrient retention, increase cation exchange capacity and improve soil aggregation, water infiltration and aeration (Stevenson, 1994). Their ability to chelate nutrients ensures </w:t>
      </w:r>
      <w:r w:rsidR="000C5C19">
        <w:rPr>
          <w:rFonts w:ascii="Times New Roman" w:hAnsi="Times New Roman" w:cs="Times New Roman"/>
          <w:sz w:val="24"/>
          <w:szCs w:val="24"/>
        </w:rPr>
        <w:t xml:space="preserve">that </w:t>
      </w:r>
      <w:r w:rsidR="003C6B0B" w:rsidRPr="00537594">
        <w:rPr>
          <w:rFonts w:ascii="Times New Roman" w:hAnsi="Times New Roman" w:cs="Times New Roman"/>
          <w:sz w:val="24"/>
          <w:szCs w:val="24"/>
        </w:rPr>
        <w:t xml:space="preserve">essential elements remain available to plants. Moreover, humic acid stimulate soil microbes and have hormone-like effects that encourage root growth and nutrient uptake (Canellas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2015). This makes fertilizers more effective by increasing nutrient mobility and absorption at the root level (Katkat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w:t>
      </w:r>
    </w:p>
    <w:p w14:paraId="4F407284" w14:textId="23266936" w:rsidR="003C6B0B"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Recent studies show that using seaweed extract and humic acid granules together provides more significant benefits than using either alone. This combination boosts soil enzyme activity, increases microbial biomass, improves nutrient mineralization, and supports stronger plant physiological responses (Ciarkowska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2017; Saha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2013). In crops like rice, combined applications have significantly improved plant height, tillering, chlorophyll content, root mass, and overall yield (Sivakamipriya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2022). These biostimulants also lower dependence on synthetic fertilizers, enhance soil carbon levels, and support long-term ecological balance. These are vital goals of regenerative agriculture. With the global shift toward sustainable farming, seaweed extract and humic acid granules provide a practical, eco-friendly, and effective way to improve soil fertility and crop productivity. This review investigates how these two natural amendments work, interact, and can promote stronger, healthier, and more resilient cropping systems in the future.</w:t>
      </w:r>
    </w:p>
    <w:p w14:paraId="359CB4B3" w14:textId="5A856905" w:rsidR="00A730D2" w:rsidRDefault="00A730D2" w:rsidP="000C5C19">
      <w:pPr>
        <w:pStyle w:val="ListParagraph"/>
        <w:numPr>
          <w:ilvl w:val="0"/>
          <w:numId w:val="7"/>
        </w:numPr>
        <w:ind w:left="284" w:hanging="284"/>
        <w:jc w:val="both"/>
        <w:rPr>
          <w:rFonts w:ascii="Times New Roman" w:hAnsi="Times New Roman" w:cs="Times New Roman"/>
          <w:b/>
          <w:bCs/>
          <w:sz w:val="24"/>
          <w:szCs w:val="24"/>
        </w:rPr>
      </w:pPr>
      <w:r>
        <w:rPr>
          <w:rFonts w:ascii="Times New Roman" w:hAnsi="Times New Roman" w:cs="Times New Roman"/>
          <w:b/>
          <w:bCs/>
          <w:sz w:val="24"/>
          <w:szCs w:val="24"/>
        </w:rPr>
        <w:t>COMPOSITION OF SEAWEED EXTRACT AND HUMIC ACID GRANULES</w:t>
      </w:r>
    </w:p>
    <w:p w14:paraId="48D9DC05" w14:textId="1CB734DF" w:rsidR="000C5C19" w:rsidRDefault="000C5C19" w:rsidP="00A730D2">
      <w:pPr>
        <w:pStyle w:val="ListParagraph"/>
        <w:numPr>
          <w:ilvl w:val="1"/>
          <w:numId w:val="7"/>
        </w:numPr>
        <w:ind w:hanging="720"/>
        <w:jc w:val="both"/>
        <w:rPr>
          <w:rFonts w:ascii="Times New Roman" w:hAnsi="Times New Roman" w:cs="Times New Roman"/>
          <w:b/>
          <w:bCs/>
          <w:sz w:val="24"/>
          <w:szCs w:val="24"/>
        </w:rPr>
      </w:pPr>
      <w:r w:rsidRPr="000C5C19">
        <w:rPr>
          <w:rFonts w:ascii="Times New Roman" w:hAnsi="Times New Roman" w:cs="Times New Roman"/>
          <w:b/>
          <w:bCs/>
          <w:sz w:val="24"/>
          <w:szCs w:val="24"/>
        </w:rPr>
        <w:t>COMPOSITION OF SEAWEED EXTRACT</w:t>
      </w:r>
    </w:p>
    <w:p w14:paraId="5F0FCA27" w14:textId="75ADF487" w:rsidR="004F5C3F" w:rsidRPr="004F5C3F" w:rsidRDefault="004F5C3F" w:rsidP="004F5C3F">
      <w:pPr>
        <w:ind w:firstLine="720"/>
        <w:jc w:val="both"/>
        <w:rPr>
          <w:rFonts w:ascii="Times New Roman" w:hAnsi="Times New Roman" w:cs="Times New Roman"/>
          <w:sz w:val="24"/>
          <w:szCs w:val="24"/>
        </w:rPr>
      </w:pPr>
      <w:r w:rsidRPr="004F5C3F">
        <w:rPr>
          <w:rFonts w:ascii="Times New Roman" w:hAnsi="Times New Roman" w:cs="Times New Roman"/>
          <w:sz w:val="24"/>
          <w:szCs w:val="24"/>
        </w:rPr>
        <w:t xml:space="preserve">Seaweed extract is </w:t>
      </w:r>
      <w:r>
        <w:rPr>
          <w:rFonts w:ascii="Times New Roman" w:hAnsi="Times New Roman" w:cs="Times New Roman"/>
          <w:sz w:val="24"/>
          <w:szCs w:val="24"/>
        </w:rPr>
        <w:t xml:space="preserve">derived from marine resources which </w:t>
      </w:r>
      <w:r w:rsidRPr="004F5C3F">
        <w:rPr>
          <w:rFonts w:ascii="Times New Roman" w:hAnsi="Times New Roman" w:cs="Times New Roman"/>
          <w:sz w:val="24"/>
          <w:szCs w:val="24"/>
        </w:rPr>
        <w:t>contai</w:t>
      </w:r>
      <w:r>
        <w:rPr>
          <w:rFonts w:ascii="Times New Roman" w:hAnsi="Times New Roman" w:cs="Times New Roman"/>
          <w:sz w:val="24"/>
          <w:szCs w:val="24"/>
        </w:rPr>
        <w:t xml:space="preserve">ns </w:t>
      </w:r>
      <w:r w:rsidRPr="004F5C3F">
        <w:rPr>
          <w:rFonts w:ascii="Times New Roman" w:hAnsi="Times New Roman" w:cs="Times New Roman"/>
          <w:sz w:val="24"/>
          <w:szCs w:val="24"/>
        </w:rPr>
        <w:t>a complex mixture of macro- and micronutrients, plant growth hormones (auxins, cytokinins, gibberellins), amino acids, and organic compounds like polysaccharides and polyphenols. It generally consists of 50% carbohydrates, 10–47% protein, 1–5% lipids, and 7–38% minerals</w:t>
      </w:r>
      <w:r w:rsidR="0005247F">
        <w:rPr>
          <w:rFonts w:ascii="Times New Roman" w:hAnsi="Times New Roman" w:cs="Times New Roman"/>
          <w:sz w:val="24"/>
          <w:szCs w:val="24"/>
        </w:rPr>
        <w:t xml:space="preserve"> (Salehi </w:t>
      </w:r>
      <w:r w:rsidR="0005247F" w:rsidRPr="0005247F">
        <w:rPr>
          <w:rFonts w:ascii="Times New Roman" w:hAnsi="Times New Roman" w:cs="Times New Roman"/>
          <w:i/>
          <w:iCs/>
          <w:sz w:val="24"/>
          <w:szCs w:val="24"/>
        </w:rPr>
        <w:t>et al</w:t>
      </w:r>
      <w:r w:rsidR="0005247F">
        <w:rPr>
          <w:rFonts w:ascii="Times New Roman" w:hAnsi="Times New Roman" w:cs="Times New Roman"/>
          <w:sz w:val="24"/>
          <w:szCs w:val="24"/>
        </w:rPr>
        <w:t>., 2019).</w:t>
      </w:r>
    </w:p>
    <w:p w14:paraId="7675FEFA" w14:textId="12D2F97D" w:rsidR="003C6B0B" w:rsidRPr="00FD6561" w:rsidRDefault="000C5C19" w:rsidP="00537594">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C6B0B" w:rsidRPr="00FD6561">
        <w:rPr>
          <w:rFonts w:ascii="Times New Roman" w:hAnsi="Times New Roman" w:cs="Times New Roman"/>
          <w:b/>
          <w:sz w:val="24"/>
          <w:szCs w:val="24"/>
        </w:rPr>
        <w:t>1</w:t>
      </w:r>
      <w:r>
        <w:rPr>
          <w:rFonts w:ascii="Times New Roman" w:hAnsi="Times New Roman" w:cs="Times New Roman"/>
          <w:b/>
          <w:sz w:val="24"/>
          <w:szCs w:val="24"/>
        </w:rPr>
        <w:t>.</w:t>
      </w:r>
      <w:r w:rsidR="003C6B0B" w:rsidRPr="00FD6561">
        <w:rPr>
          <w:rFonts w:ascii="Times New Roman" w:hAnsi="Times New Roman" w:cs="Times New Roman"/>
          <w:b/>
          <w:sz w:val="24"/>
          <w:szCs w:val="24"/>
        </w:rPr>
        <w:t xml:space="preserve"> COMPOSITION OF SEAWEED EXTRACT</w:t>
      </w:r>
    </w:p>
    <w:tbl>
      <w:tblPr>
        <w:tblStyle w:val="TableGrid"/>
        <w:tblW w:w="9158" w:type="dxa"/>
        <w:tblLook w:val="04A0" w:firstRow="1" w:lastRow="0" w:firstColumn="1" w:lastColumn="0" w:noHBand="0" w:noVBand="1"/>
      </w:tblPr>
      <w:tblGrid>
        <w:gridCol w:w="715"/>
        <w:gridCol w:w="5351"/>
        <w:gridCol w:w="3092"/>
      </w:tblGrid>
      <w:tr w:rsidR="00085D27" w14:paraId="4B8F0E08" w14:textId="77777777" w:rsidTr="00CA0803">
        <w:trPr>
          <w:trHeight w:val="339"/>
        </w:trPr>
        <w:tc>
          <w:tcPr>
            <w:tcW w:w="715" w:type="dxa"/>
          </w:tcPr>
          <w:p w14:paraId="3FE516DB" w14:textId="77777777" w:rsidR="00085D27" w:rsidRPr="00487E3E" w:rsidRDefault="00085D27" w:rsidP="00CA0803">
            <w:pPr>
              <w:pStyle w:val="NormalWeb"/>
              <w:jc w:val="center"/>
              <w:rPr>
                <w:b/>
                <w:bCs/>
                <w:lang w:val="en-IN"/>
              </w:rPr>
            </w:pPr>
            <w:r>
              <w:rPr>
                <w:b/>
                <w:bCs/>
                <w:lang w:val="en-IN"/>
              </w:rPr>
              <w:t>S.No</w:t>
            </w:r>
          </w:p>
        </w:tc>
        <w:tc>
          <w:tcPr>
            <w:tcW w:w="5351" w:type="dxa"/>
          </w:tcPr>
          <w:p w14:paraId="52AA9E62" w14:textId="77777777" w:rsidR="00085D27" w:rsidRPr="00487E3E" w:rsidRDefault="00085D27" w:rsidP="00FD6561">
            <w:pPr>
              <w:pStyle w:val="NormalWeb"/>
              <w:jc w:val="center"/>
              <w:rPr>
                <w:b/>
                <w:bCs/>
              </w:rPr>
            </w:pPr>
            <w:r w:rsidRPr="00487E3E">
              <w:rPr>
                <w:b/>
                <w:bCs/>
                <w:lang w:val="en-IN"/>
              </w:rPr>
              <w:t>Component</w:t>
            </w:r>
          </w:p>
        </w:tc>
        <w:tc>
          <w:tcPr>
            <w:tcW w:w="3092" w:type="dxa"/>
          </w:tcPr>
          <w:p w14:paraId="768AF2BC" w14:textId="77777777" w:rsidR="00085D27" w:rsidRPr="00487E3E" w:rsidRDefault="00085D27" w:rsidP="00CA0803">
            <w:pPr>
              <w:pStyle w:val="NormalWeb"/>
              <w:jc w:val="center"/>
              <w:rPr>
                <w:b/>
                <w:bCs/>
              </w:rPr>
            </w:pPr>
            <w:r w:rsidRPr="00487E3E">
              <w:rPr>
                <w:b/>
                <w:bCs/>
                <w:lang w:val="en-IN"/>
              </w:rPr>
              <w:t>Typical % (w/w or w/v)</w:t>
            </w:r>
          </w:p>
        </w:tc>
      </w:tr>
      <w:tr w:rsidR="00085D27" w14:paraId="0BCCBCE9" w14:textId="77777777" w:rsidTr="00CA0803">
        <w:trPr>
          <w:trHeight w:val="339"/>
        </w:trPr>
        <w:tc>
          <w:tcPr>
            <w:tcW w:w="715" w:type="dxa"/>
          </w:tcPr>
          <w:p w14:paraId="4A1A2CEF" w14:textId="77777777" w:rsidR="00085D27" w:rsidRDefault="00085D27" w:rsidP="00CA0803">
            <w:pPr>
              <w:pStyle w:val="NormalWeb"/>
              <w:jc w:val="both"/>
            </w:pPr>
            <w:r>
              <w:t>1.</w:t>
            </w:r>
          </w:p>
        </w:tc>
        <w:tc>
          <w:tcPr>
            <w:tcW w:w="5351" w:type="dxa"/>
          </w:tcPr>
          <w:p w14:paraId="693AB978" w14:textId="77777777" w:rsidR="00085D27" w:rsidRDefault="00085D27" w:rsidP="00CA0803">
            <w:pPr>
              <w:pStyle w:val="NormalWeb"/>
              <w:jc w:val="both"/>
            </w:pPr>
            <w:r>
              <w:t>Seaweed extract</w:t>
            </w:r>
          </w:p>
        </w:tc>
        <w:tc>
          <w:tcPr>
            <w:tcW w:w="3092" w:type="dxa"/>
          </w:tcPr>
          <w:p w14:paraId="0CEA18F9" w14:textId="77777777" w:rsidR="00085D27" w:rsidRDefault="00085D27" w:rsidP="00CA0803">
            <w:pPr>
              <w:pStyle w:val="NormalWeb"/>
              <w:jc w:val="both"/>
            </w:pPr>
            <w:r>
              <w:t>12-30%</w:t>
            </w:r>
          </w:p>
        </w:tc>
      </w:tr>
      <w:tr w:rsidR="00085D27" w14:paraId="55A1D59D" w14:textId="77777777" w:rsidTr="00CA0803">
        <w:trPr>
          <w:trHeight w:val="324"/>
        </w:trPr>
        <w:tc>
          <w:tcPr>
            <w:tcW w:w="715" w:type="dxa"/>
          </w:tcPr>
          <w:p w14:paraId="4877EFD1" w14:textId="77777777" w:rsidR="00085D27" w:rsidRDefault="00085D27" w:rsidP="00CA0803">
            <w:pPr>
              <w:pStyle w:val="NormalWeb"/>
              <w:jc w:val="both"/>
            </w:pPr>
            <w:r>
              <w:t>2.</w:t>
            </w:r>
          </w:p>
        </w:tc>
        <w:tc>
          <w:tcPr>
            <w:tcW w:w="5351" w:type="dxa"/>
          </w:tcPr>
          <w:p w14:paraId="3C37EF1B" w14:textId="77777777" w:rsidR="00085D27" w:rsidRDefault="00085D27" w:rsidP="00CA0803">
            <w:pPr>
              <w:pStyle w:val="NormalWeb"/>
              <w:jc w:val="both"/>
            </w:pPr>
            <w:r>
              <w:t>Alginic acid</w:t>
            </w:r>
          </w:p>
        </w:tc>
        <w:tc>
          <w:tcPr>
            <w:tcW w:w="3092" w:type="dxa"/>
          </w:tcPr>
          <w:p w14:paraId="48DCB1E7" w14:textId="77777777" w:rsidR="00085D27" w:rsidRDefault="00085D27" w:rsidP="00CA0803">
            <w:pPr>
              <w:pStyle w:val="NormalWeb"/>
              <w:jc w:val="both"/>
            </w:pPr>
            <w:r>
              <w:t>4-7%</w:t>
            </w:r>
          </w:p>
        </w:tc>
      </w:tr>
      <w:tr w:rsidR="00085D27" w14:paraId="1C2D491C" w14:textId="77777777" w:rsidTr="00CA0803">
        <w:trPr>
          <w:trHeight w:val="339"/>
        </w:trPr>
        <w:tc>
          <w:tcPr>
            <w:tcW w:w="715" w:type="dxa"/>
          </w:tcPr>
          <w:p w14:paraId="3C8CDB0D" w14:textId="77777777" w:rsidR="00085D27" w:rsidRDefault="00085D27" w:rsidP="00CA0803">
            <w:pPr>
              <w:pStyle w:val="NormalWeb"/>
              <w:jc w:val="both"/>
            </w:pPr>
            <w:r>
              <w:t>3.</w:t>
            </w:r>
          </w:p>
        </w:tc>
        <w:tc>
          <w:tcPr>
            <w:tcW w:w="5351" w:type="dxa"/>
          </w:tcPr>
          <w:p w14:paraId="02BC5499" w14:textId="77777777" w:rsidR="00085D27" w:rsidRDefault="00085D27" w:rsidP="00CA0803">
            <w:pPr>
              <w:pStyle w:val="NormalWeb"/>
              <w:jc w:val="both"/>
            </w:pPr>
            <w:r>
              <w:t>Laminarin</w:t>
            </w:r>
          </w:p>
        </w:tc>
        <w:tc>
          <w:tcPr>
            <w:tcW w:w="3092" w:type="dxa"/>
          </w:tcPr>
          <w:p w14:paraId="0E062104" w14:textId="77777777" w:rsidR="00085D27" w:rsidRDefault="00085D27" w:rsidP="00CA0803">
            <w:pPr>
              <w:pStyle w:val="NormalWeb"/>
              <w:jc w:val="both"/>
            </w:pPr>
            <w:r>
              <w:t>0.7-1.5%</w:t>
            </w:r>
          </w:p>
        </w:tc>
      </w:tr>
      <w:tr w:rsidR="00085D27" w14:paraId="0A675932" w14:textId="77777777" w:rsidTr="00CA0803">
        <w:trPr>
          <w:trHeight w:val="339"/>
        </w:trPr>
        <w:tc>
          <w:tcPr>
            <w:tcW w:w="715" w:type="dxa"/>
          </w:tcPr>
          <w:p w14:paraId="105A7990" w14:textId="77777777" w:rsidR="00085D27" w:rsidRDefault="00085D27" w:rsidP="00CA0803">
            <w:pPr>
              <w:pStyle w:val="NormalWeb"/>
              <w:jc w:val="both"/>
            </w:pPr>
            <w:r>
              <w:t>4.</w:t>
            </w:r>
          </w:p>
        </w:tc>
        <w:tc>
          <w:tcPr>
            <w:tcW w:w="5351" w:type="dxa"/>
          </w:tcPr>
          <w:p w14:paraId="79F63A3D" w14:textId="77777777" w:rsidR="00085D27" w:rsidRDefault="00085D27" w:rsidP="00CA0803">
            <w:pPr>
              <w:pStyle w:val="NormalWeb"/>
              <w:jc w:val="both"/>
            </w:pPr>
            <w:r>
              <w:t>Fucoidan</w:t>
            </w:r>
          </w:p>
        </w:tc>
        <w:tc>
          <w:tcPr>
            <w:tcW w:w="3092" w:type="dxa"/>
          </w:tcPr>
          <w:p w14:paraId="76252773" w14:textId="77777777" w:rsidR="00085D27" w:rsidRDefault="00085D27" w:rsidP="00CA0803">
            <w:pPr>
              <w:pStyle w:val="NormalWeb"/>
              <w:jc w:val="both"/>
            </w:pPr>
            <w:r>
              <w:t>0.4-1%</w:t>
            </w:r>
          </w:p>
        </w:tc>
      </w:tr>
      <w:tr w:rsidR="00085D27" w14:paraId="5DBFE2EC" w14:textId="77777777" w:rsidTr="00CA0803">
        <w:trPr>
          <w:trHeight w:val="339"/>
        </w:trPr>
        <w:tc>
          <w:tcPr>
            <w:tcW w:w="715" w:type="dxa"/>
          </w:tcPr>
          <w:p w14:paraId="39D594BA" w14:textId="77777777" w:rsidR="00085D27" w:rsidRDefault="00085D27" w:rsidP="00CA0803">
            <w:pPr>
              <w:pStyle w:val="NormalWeb"/>
              <w:jc w:val="both"/>
            </w:pPr>
            <w:r>
              <w:t>5.</w:t>
            </w:r>
          </w:p>
        </w:tc>
        <w:tc>
          <w:tcPr>
            <w:tcW w:w="5351" w:type="dxa"/>
          </w:tcPr>
          <w:p w14:paraId="51B77AF0" w14:textId="77777777" w:rsidR="00085D27" w:rsidRDefault="00085D27" w:rsidP="00CA0803">
            <w:pPr>
              <w:pStyle w:val="NormalWeb"/>
              <w:jc w:val="both"/>
            </w:pPr>
            <w:r>
              <w:t>Mannitol</w:t>
            </w:r>
          </w:p>
        </w:tc>
        <w:tc>
          <w:tcPr>
            <w:tcW w:w="3092" w:type="dxa"/>
          </w:tcPr>
          <w:p w14:paraId="06F41B17" w14:textId="77777777" w:rsidR="00085D27" w:rsidRDefault="00085D27" w:rsidP="00CA0803">
            <w:pPr>
              <w:pStyle w:val="NormalWeb"/>
              <w:jc w:val="both"/>
            </w:pPr>
            <w:r w:rsidRPr="005E6B9D">
              <w:rPr>
                <w:u w:val="single"/>
              </w:rPr>
              <w:t>&gt;</w:t>
            </w:r>
            <w:r>
              <w:t xml:space="preserve"> 2.5%</w:t>
            </w:r>
          </w:p>
        </w:tc>
      </w:tr>
      <w:tr w:rsidR="00085D27" w14:paraId="3283D267" w14:textId="77777777" w:rsidTr="00CA0803">
        <w:trPr>
          <w:trHeight w:val="339"/>
        </w:trPr>
        <w:tc>
          <w:tcPr>
            <w:tcW w:w="715" w:type="dxa"/>
          </w:tcPr>
          <w:p w14:paraId="25715FF6" w14:textId="77777777" w:rsidR="00085D27" w:rsidRDefault="00085D27" w:rsidP="00CA0803">
            <w:pPr>
              <w:pStyle w:val="NormalWeb"/>
              <w:jc w:val="both"/>
            </w:pPr>
            <w:r>
              <w:t>6.</w:t>
            </w:r>
          </w:p>
        </w:tc>
        <w:tc>
          <w:tcPr>
            <w:tcW w:w="5351" w:type="dxa"/>
          </w:tcPr>
          <w:p w14:paraId="097B2D3F" w14:textId="77777777" w:rsidR="00085D27" w:rsidRDefault="00085D27" w:rsidP="00CA0803">
            <w:pPr>
              <w:pStyle w:val="NormalWeb"/>
              <w:jc w:val="both"/>
            </w:pPr>
            <w:r>
              <w:t>Total organic matter</w:t>
            </w:r>
          </w:p>
        </w:tc>
        <w:tc>
          <w:tcPr>
            <w:tcW w:w="3092" w:type="dxa"/>
          </w:tcPr>
          <w:p w14:paraId="55838B4C" w14:textId="77777777" w:rsidR="00085D27" w:rsidRDefault="00085D27" w:rsidP="00CA0803">
            <w:pPr>
              <w:pStyle w:val="NormalWeb"/>
              <w:jc w:val="both"/>
            </w:pPr>
            <w:r w:rsidRPr="005648F5">
              <w:rPr>
                <w:u w:val="single"/>
              </w:rPr>
              <w:t>&gt;</w:t>
            </w:r>
            <w:r>
              <w:t xml:space="preserve"> 40%</w:t>
            </w:r>
          </w:p>
        </w:tc>
      </w:tr>
      <w:tr w:rsidR="00085D27" w14:paraId="04A9ECB4" w14:textId="77777777" w:rsidTr="00CA0803">
        <w:trPr>
          <w:trHeight w:val="339"/>
        </w:trPr>
        <w:tc>
          <w:tcPr>
            <w:tcW w:w="715" w:type="dxa"/>
          </w:tcPr>
          <w:p w14:paraId="062B9390" w14:textId="77777777" w:rsidR="00085D27" w:rsidRDefault="00085D27" w:rsidP="00CA0803">
            <w:pPr>
              <w:pStyle w:val="NormalWeb"/>
              <w:jc w:val="both"/>
            </w:pPr>
            <w:r>
              <w:lastRenderedPageBreak/>
              <w:t>7.</w:t>
            </w:r>
          </w:p>
        </w:tc>
        <w:tc>
          <w:tcPr>
            <w:tcW w:w="5351" w:type="dxa"/>
          </w:tcPr>
          <w:p w14:paraId="50C89C21" w14:textId="77777777" w:rsidR="00085D27" w:rsidRDefault="00085D27" w:rsidP="00CA0803">
            <w:pPr>
              <w:pStyle w:val="NormalWeb"/>
              <w:jc w:val="both"/>
            </w:pPr>
            <w:r>
              <w:t>Nitrogen</w:t>
            </w:r>
          </w:p>
        </w:tc>
        <w:tc>
          <w:tcPr>
            <w:tcW w:w="3092" w:type="dxa"/>
          </w:tcPr>
          <w:p w14:paraId="3B1A8D42" w14:textId="77777777" w:rsidR="00085D27" w:rsidRDefault="00085D27" w:rsidP="00CA0803">
            <w:pPr>
              <w:pStyle w:val="NormalWeb"/>
              <w:jc w:val="both"/>
            </w:pPr>
            <w:r>
              <w:t>1.5-3%</w:t>
            </w:r>
          </w:p>
        </w:tc>
      </w:tr>
      <w:tr w:rsidR="00085D27" w14:paraId="2D335384" w14:textId="77777777" w:rsidTr="00CA0803">
        <w:trPr>
          <w:trHeight w:val="324"/>
        </w:trPr>
        <w:tc>
          <w:tcPr>
            <w:tcW w:w="715" w:type="dxa"/>
          </w:tcPr>
          <w:p w14:paraId="05EA730F" w14:textId="77777777" w:rsidR="00085D27" w:rsidRDefault="00085D27" w:rsidP="00CA0803">
            <w:pPr>
              <w:pStyle w:val="NormalWeb"/>
              <w:jc w:val="both"/>
            </w:pPr>
            <w:r>
              <w:t>8.</w:t>
            </w:r>
          </w:p>
        </w:tc>
        <w:tc>
          <w:tcPr>
            <w:tcW w:w="5351" w:type="dxa"/>
          </w:tcPr>
          <w:p w14:paraId="0E4CCCBC" w14:textId="77777777" w:rsidR="00085D27" w:rsidRDefault="00085D27" w:rsidP="00CA0803">
            <w:pPr>
              <w:pStyle w:val="NormalWeb"/>
              <w:jc w:val="both"/>
            </w:pPr>
            <w:r>
              <w:t>Potassium</w:t>
            </w:r>
          </w:p>
        </w:tc>
        <w:tc>
          <w:tcPr>
            <w:tcW w:w="3092" w:type="dxa"/>
          </w:tcPr>
          <w:p w14:paraId="33570A4F" w14:textId="77777777" w:rsidR="00085D27" w:rsidRDefault="00085D27" w:rsidP="00CA0803">
            <w:pPr>
              <w:pStyle w:val="NormalWeb"/>
              <w:jc w:val="both"/>
            </w:pPr>
            <w:r>
              <w:t>10-14%</w:t>
            </w:r>
          </w:p>
        </w:tc>
      </w:tr>
      <w:tr w:rsidR="00085D27" w14:paraId="09DB272A" w14:textId="77777777" w:rsidTr="00CA0803">
        <w:trPr>
          <w:trHeight w:val="339"/>
        </w:trPr>
        <w:tc>
          <w:tcPr>
            <w:tcW w:w="715" w:type="dxa"/>
          </w:tcPr>
          <w:p w14:paraId="2517A820" w14:textId="77777777" w:rsidR="00085D27" w:rsidRDefault="00085D27" w:rsidP="00CA0803">
            <w:pPr>
              <w:pStyle w:val="NormalWeb"/>
              <w:jc w:val="both"/>
            </w:pPr>
            <w:r>
              <w:t>9.</w:t>
            </w:r>
          </w:p>
        </w:tc>
        <w:tc>
          <w:tcPr>
            <w:tcW w:w="5351" w:type="dxa"/>
          </w:tcPr>
          <w:p w14:paraId="17999DCF" w14:textId="77777777" w:rsidR="00085D27" w:rsidRDefault="00085D27" w:rsidP="00CA0803">
            <w:pPr>
              <w:pStyle w:val="NormalWeb"/>
              <w:jc w:val="both"/>
            </w:pPr>
            <w:r>
              <w:t xml:space="preserve">Phosphorus </w:t>
            </w:r>
          </w:p>
        </w:tc>
        <w:tc>
          <w:tcPr>
            <w:tcW w:w="3092" w:type="dxa"/>
          </w:tcPr>
          <w:p w14:paraId="7B47BAEE" w14:textId="77777777" w:rsidR="00085D27" w:rsidRDefault="00085D27" w:rsidP="00CA0803">
            <w:pPr>
              <w:pStyle w:val="NormalWeb"/>
              <w:jc w:val="both"/>
            </w:pPr>
            <w:r>
              <w:t>0.5-2%</w:t>
            </w:r>
          </w:p>
        </w:tc>
      </w:tr>
      <w:tr w:rsidR="00085D27" w14:paraId="4DA7C896" w14:textId="77777777" w:rsidTr="00CA0803">
        <w:trPr>
          <w:trHeight w:val="339"/>
        </w:trPr>
        <w:tc>
          <w:tcPr>
            <w:tcW w:w="715" w:type="dxa"/>
          </w:tcPr>
          <w:p w14:paraId="377A1C8C" w14:textId="77777777" w:rsidR="00085D27" w:rsidRDefault="00085D27" w:rsidP="00CA0803">
            <w:pPr>
              <w:pStyle w:val="NormalWeb"/>
              <w:jc w:val="both"/>
            </w:pPr>
            <w:r>
              <w:t>10.</w:t>
            </w:r>
          </w:p>
        </w:tc>
        <w:tc>
          <w:tcPr>
            <w:tcW w:w="5351" w:type="dxa"/>
          </w:tcPr>
          <w:p w14:paraId="62A5F9BA" w14:textId="77777777" w:rsidR="00085D27" w:rsidRDefault="00085D27" w:rsidP="00CA0803">
            <w:pPr>
              <w:pStyle w:val="NormalWeb"/>
              <w:jc w:val="both"/>
            </w:pPr>
            <w:r>
              <w:t xml:space="preserve">Polysaccharides </w:t>
            </w:r>
          </w:p>
        </w:tc>
        <w:tc>
          <w:tcPr>
            <w:tcW w:w="3092" w:type="dxa"/>
          </w:tcPr>
          <w:p w14:paraId="146A50BB" w14:textId="77777777" w:rsidR="00085D27" w:rsidRDefault="00085D27" w:rsidP="00CA0803">
            <w:pPr>
              <w:pStyle w:val="NormalWeb"/>
              <w:jc w:val="both"/>
            </w:pPr>
            <w:r>
              <w:t>10%</w:t>
            </w:r>
          </w:p>
        </w:tc>
      </w:tr>
      <w:tr w:rsidR="00085D27" w14:paraId="790FBB5C" w14:textId="77777777" w:rsidTr="00CA0803">
        <w:trPr>
          <w:trHeight w:val="339"/>
        </w:trPr>
        <w:tc>
          <w:tcPr>
            <w:tcW w:w="715" w:type="dxa"/>
          </w:tcPr>
          <w:p w14:paraId="38C6F43D" w14:textId="77777777" w:rsidR="00085D27" w:rsidRDefault="00085D27" w:rsidP="00CA0803">
            <w:pPr>
              <w:pStyle w:val="NormalWeb"/>
              <w:jc w:val="both"/>
            </w:pPr>
            <w:r>
              <w:t>11.</w:t>
            </w:r>
          </w:p>
        </w:tc>
        <w:tc>
          <w:tcPr>
            <w:tcW w:w="5351" w:type="dxa"/>
          </w:tcPr>
          <w:p w14:paraId="4394A885" w14:textId="77777777" w:rsidR="00085D27" w:rsidRDefault="00085D27" w:rsidP="00CA0803">
            <w:pPr>
              <w:pStyle w:val="NormalWeb"/>
              <w:jc w:val="both"/>
            </w:pPr>
            <w:r>
              <w:t>Amino acid (free+combined)</w:t>
            </w:r>
          </w:p>
        </w:tc>
        <w:tc>
          <w:tcPr>
            <w:tcW w:w="3092" w:type="dxa"/>
          </w:tcPr>
          <w:p w14:paraId="3911C06C" w14:textId="77777777" w:rsidR="00085D27" w:rsidRDefault="00085D27" w:rsidP="00CA0803">
            <w:pPr>
              <w:pStyle w:val="NormalWeb"/>
              <w:jc w:val="both"/>
            </w:pPr>
            <w:r>
              <w:t>4-8%</w:t>
            </w:r>
          </w:p>
        </w:tc>
      </w:tr>
      <w:tr w:rsidR="00085D27" w14:paraId="754D7171" w14:textId="77777777" w:rsidTr="00CA0803">
        <w:trPr>
          <w:trHeight w:val="339"/>
        </w:trPr>
        <w:tc>
          <w:tcPr>
            <w:tcW w:w="715" w:type="dxa"/>
          </w:tcPr>
          <w:p w14:paraId="6B93A73D" w14:textId="77777777" w:rsidR="00085D27" w:rsidRDefault="00085D27" w:rsidP="00CA0803">
            <w:pPr>
              <w:pStyle w:val="NormalWeb"/>
              <w:jc w:val="both"/>
            </w:pPr>
            <w:r>
              <w:t>12.</w:t>
            </w:r>
          </w:p>
        </w:tc>
        <w:tc>
          <w:tcPr>
            <w:tcW w:w="5351" w:type="dxa"/>
          </w:tcPr>
          <w:p w14:paraId="1A83C1E1" w14:textId="77777777" w:rsidR="00085D27" w:rsidRDefault="00085D27" w:rsidP="00CA0803">
            <w:pPr>
              <w:pStyle w:val="NormalWeb"/>
              <w:jc w:val="both"/>
            </w:pPr>
            <w:r>
              <w:t>Natural plant hormones</w:t>
            </w:r>
          </w:p>
        </w:tc>
        <w:tc>
          <w:tcPr>
            <w:tcW w:w="3092" w:type="dxa"/>
          </w:tcPr>
          <w:p w14:paraId="4BB18BCF" w14:textId="77777777" w:rsidR="00085D27" w:rsidRPr="008D5FC9" w:rsidRDefault="00085D27" w:rsidP="00CA0803">
            <w:pPr>
              <w:pStyle w:val="NormalWeb"/>
              <w:jc w:val="both"/>
            </w:pPr>
            <w:r>
              <w:rPr>
                <w:u w:val="single"/>
              </w:rPr>
              <w:t>&gt;</w:t>
            </w:r>
            <w:r>
              <w:t xml:space="preserve"> 800 ppm</w:t>
            </w:r>
          </w:p>
        </w:tc>
      </w:tr>
      <w:tr w:rsidR="00085D27" w14:paraId="5E946952" w14:textId="77777777" w:rsidTr="00CA0803">
        <w:trPr>
          <w:trHeight w:val="339"/>
        </w:trPr>
        <w:tc>
          <w:tcPr>
            <w:tcW w:w="715" w:type="dxa"/>
          </w:tcPr>
          <w:p w14:paraId="3705F5CF" w14:textId="77777777" w:rsidR="00085D27" w:rsidRDefault="00085D27" w:rsidP="00CA0803">
            <w:pPr>
              <w:pStyle w:val="NormalWeb"/>
              <w:jc w:val="both"/>
            </w:pPr>
            <w:r>
              <w:t>13.</w:t>
            </w:r>
          </w:p>
        </w:tc>
        <w:tc>
          <w:tcPr>
            <w:tcW w:w="5351" w:type="dxa"/>
          </w:tcPr>
          <w:p w14:paraId="7AB3E67B" w14:textId="77777777" w:rsidR="00085D27" w:rsidRDefault="00085D27" w:rsidP="00CA0803">
            <w:pPr>
              <w:pStyle w:val="NormalWeb"/>
              <w:jc w:val="both"/>
            </w:pPr>
            <w:r>
              <w:t>Cytokinins + Auxins + Gibberellins</w:t>
            </w:r>
          </w:p>
        </w:tc>
        <w:tc>
          <w:tcPr>
            <w:tcW w:w="3092" w:type="dxa"/>
          </w:tcPr>
          <w:p w14:paraId="629DE62E" w14:textId="77777777" w:rsidR="00085D27" w:rsidRPr="00ED5C8B" w:rsidRDefault="00085D27" w:rsidP="00CA0803">
            <w:pPr>
              <w:pStyle w:val="NormalWeb"/>
              <w:jc w:val="both"/>
            </w:pPr>
            <w:r w:rsidRPr="000117CD">
              <w:rPr>
                <w:u w:val="single"/>
              </w:rPr>
              <w:t>&gt;</w:t>
            </w:r>
            <w:r w:rsidRPr="00ED5C8B">
              <w:t xml:space="preserve"> 800 ppm</w:t>
            </w:r>
          </w:p>
        </w:tc>
      </w:tr>
      <w:tr w:rsidR="00085D27" w14:paraId="03997661" w14:textId="77777777" w:rsidTr="00CA0803">
        <w:trPr>
          <w:trHeight w:val="324"/>
        </w:trPr>
        <w:tc>
          <w:tcPr>
            <w:tcW w:w="715" w:type="dxa"/>
          </w:tcPr>
          <w:p w14:paraId="7E995D3B" w14:textId="77777777" w:rsidR="00085D27" w:rsidRDefault="00085D27" w:rsidP="00CA0803">
            <w:pPr>
              <w:pStyle w:val="NormalWeb"/>
              <w:jc w:val="both"/>
            </w:pPr>
            <w:r>
              <w:t>14.</w:t>
            </w:r>
          </w:p>
        </w:tc>
        <w:tc>
          <w:tcPr>
            <w:tcW w:w="5351" w:type="dxa"/>
          </w:tcPr>
          <w:p w14:paraId="5C9A9698" w14:textId="77777777" w:rsidR="00085D27" w:rsidRDefault="00085D27" w:rsidP="00CA0803">
            <w:pPr>
              <w:pStyle w:val="NormalWeb"/>
              <w:jc w:val="both"/>
            </w:pPr>
            <w:r>
              <w:t xml:space="preserve">Betaines </w:t>
            </w:r>
          </w:p>
        </w:tc>
        <w:tc>
          <w:tcPr>
            <w:tcW w:w="3092" w:type="dxa"/>
          </w:tcPr>
          <w:p w14:paraId="3190304B" w14:textId="77777777" w:rsidR="00085D27" w:rsidRPr="000117CD" w:rsidRDefault="00085D27" w:rsidP="00CA0803">
            <w:pPr>
              <w:pStyle w:val="NormalWeb"/>
              <w:jc w:val="both"/>
            </w:pPr>
            <w:r w:rsidRPr="00094FAB">
              <w:rPr>
                <w:u w:val="single"/>
              </w:rPr>
              <w:t>&gt;</w:t>
            </w:r>
            <w:r>
              <w:t xml:space="preserve"> 400 ppm</w:t>
            </w:r>
          </w:p>
        </w:tc>
      </w:tr>
      <w:tr w:rsidR="00085D27" w14:paraId="0DA9D660" w14:textId="77777777" w:rsidTr="00CA0803">
        <w:trPr>
          <w:trHeight w:val="339"/>
        </w:trPr>
        <w:tc>
          <w:tcPr>
            <w:tcW w:w="715" w:type="dxa"/>
          </w:tcPr>
          <w:p w14:paraId="315F2581" w14:textId="77777777" w:rsidR="00085D27" w:rsidRDefault="00085D27" w:rsidP="00CA0803">
            <w:pPr>
              <w:pStyle w:val="NormalWeb"/>
              <w:jc w:val="both"/>
            </w:pPr>
            <w:r>
              <w:t>15.</w:t>
            </w:r>
          </w:p>
        </w:tc>
        <w:tc>
          <w:tcPr>
            <w:tcW w:w="5351" w:type="dxa"/>
          </w:tcPr>
          <w:p w14:paraId="2A2E9D88" w14:textId="77777777" w:rsidR="00085D27" w:rsidRDefault="00085D27" w:rsidP="00CA0803">
            <w:pPr>
              <w:pStyle w:val="NormalWeb"/>
              <w:jc w:val="both"/>
            </w:pPr>
            <w:r>
              <w:t xml:space="preserve">Polyphenols </w:t>
            </w:r>
          </w:p>
        </w:tc>
        <w:tc>
          <w:tcPr>
            <w:tcW w:w="3092" w:type="dxa"/>
          </w:tcPr>
          <w:p w14:paraId="595E31D0" w14:textId="77777777" w:rsidR="00085D27" w:rsidRPr="00707E4E" w:rsidRDefault="00085D27" w:rsidP="00CA0803">
            <w:pPr>
              <w:pStyle w:val="NormalWeb"/>
              <w:jc w:val="both"/>
            </w:pPr>
            <w:r w:rsidRPr="00707E4E">
              <w:t>0.8-1.5%</w:t>
            </w:r>
          </w:p>
        </w:tc>
      </w:tr>
      <w:tr w:rsidR="00085D27" w14:paraId="234D1C59" w14:textId="77777777" w:rsidTr="00CA0803">
        <w:trPr>
          <w:trHeight w:val="339"/>
        </w:trPr>
        <w:tc>
          <w:tcPr>
            <w:tcW w:w="715" w:type="dxa"/>
          </w:tcPr>
          <w:p w14:paraId="4791E43C" w14:textId="77777777" w:rsidR="00085D27" w:rsidRDefault="00085D27" w:rsidP="00CA0803">
            <w:pPr>
              <w:pStyle w:val="NormalWeb"/>
              <w:jc w:val="both"/>
            </w:pPr>
            <w:r>
              <w:t>16.</w:t>
            </w:r>
          </w:p>
        </w:tc>
        <w:tc>
          <w:tcPr>
            <w:tcW w:w="5351" w:type="dxa"/>
          </w:tcPr>
          <w:p w14:paraId="42EDB6F3" w14:textId="77777777" w:rsidR="00085D27" w:rsidRDefault="00085D27" w:rsidP="00CA0803">
            <w:pPr>
              <w:pStyle w:val="NormalWeb"/>
              <w:jc w:val="both"/>
            </w:pPr>
            <w:r>
              <w:t>Micronutrients (Fe, Cu, Zn, B, Mo, Mn)</w:t>
            </w:r>
          </w:p>
        </w:tc>
        <w:tc>
          <w:tcPr>
            <w:tcW w:w="3092" w:type="dxa"/>
          </w:tcPr>
          <w:p w14:paraId="34906A5C" w14:textId="6430A3F4" w:rsidR="00085D27" w:rsidRDefault="00085D27" w:rsidP="00CA0803">
            <w:pPr>
              <w:pStyle w:val="NormalWeb"/>
              <w:jc w:val="both"/>
            </w:pPr>
            <w:r>
              <w:t xml:space="preserve">Naturally </w:t>
            </w:r>
            <w:r w:rsidR="00FD6561">
              <w:t>occurring</w:t>
            </w:r>
          </w:p>
        </w:tc>
      </w:tr>
      <w:tr w:rsidR="00085D27" w14:paraId="7969927C" w14:textId="77777777" w:rsidTr="00CA0803">
        <w:trPr>
          <w:trHeight w:val="339"/>
        </w:trPr>
        <w:tc>
          <w:tcPr>
            <w:tcW w:w="715" w:type="dxa"/>
          </w:tcPr>
          <w:p w14:paraId="60453C66" w14:textId="77777777" w:rsidR="00085D27" w:rsidRDefault="00085D27" w:rsidP="00CA0803">
            <w:pPr>
              <w:pStyle w:val="NormalWeb"/>
              <w:jc w:val="both"/>
            </w:pPr>
            <w:r>
              <w:t>17.</w:t>
            </w:r>
          </w:p>
        </w:tc>
        <w:tc>
          <w:tcPr>
            <w:tcW w:w="5351" w:type="dxa"/>
          </w:tcPr>
          <w:p w14:paraId="5B2B0C7D" w14:textId="77777777" w:rsidR="00085D27" w:rsidRDefault="00085D27" w:rsidP="00CA0803">
            <w:pPr>
              <w:pStyle w:val="NormalWeb"/>
              <w:jc w:val="both"/>
            </w:pPr>
            <w:r>
              <w:t>Solubility in water</w:t>
            </w:r>
          </w:p>
        </w:tc>
        <w:tc>
          <w:tcPr>
            <w:tcW w:w="3092" w:type="dxa"/>
          </w:tcPr>
          <w:p w14:paraId="1D8B05C8" w14:textId="77777777" w:rsidR="00085D27" w:rsidRDefault="00085D27" w:rsidP="00CA0803">
            <w:pPr>
              <w:pStyle w:val="NormalWeb"/>
              <w:jc w:val="both"/>
            </w:pPr>
            <w:r>
              <w:t>100% miscible</w:t>
            </w:r>
          </w:p>
        </w:tc>
      </w:tr>
    </w:tbl>
    <w:p w14:paraId="3E08D496" w14:textId="77777777" w:rsidR="003C6B0B" w:rsidRDefault="003C6B0B" w:rsidP="00537594">
      <w:pPr>
        <w:jc w:val="both"/>
        <w:rPr>
          <w:rFonts w:ascii="Times New Roman" w:hAnsi="Times New Roman" w:cs="Times New Roman"/>
          <w:sz w:val="24"/>
          <w:szCs w:val="24"/>
        </w:rPr>
      </w:pPr>
    </w:p>
    <w:p w14:paraId="10463A37" w14:textId="5DAC1235"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FD6561">
        <w:rPr>
          <w:rFonts w:ascii="Times New Roman" w:hAnsi="Times New Roman" w:cs="Times New Roman"/>
          <w:b/>
          <w:sz w:val="24"/>
          <w:szCs w:val="24"/>
        </w:rPr>
        <w:t>COMPOSITION OF HUMIC ACID</w:t>
      </w:r>
    </w:p>
    <w:p w14:paraId="0F957455" w14:textId="3037A683" w:rsidR="00A730D2" w:rsidRDefault="00A730D2" w:rsidP="00A730D2">
      <w:pPr>
        <w:jc w:val="both"/>
        <w:rPr>
          <w:rFonts w:ascii="Times New Roman" w:hAnsi="Times New Roman" w:cs="Times New Roman"/>
          <w:bCs/>
          <w:sz w:val="24"/>
          <w:szCs w:val="24"/>
        </w:rPr>
      </w:pPr>
      <w:r w:rsidRPr="00A730D2">
        <w:rPr>
          <w:rFonts w:ascii="Times New Roman" w:hAnsi="Times New Roman" w:cs="Times New Roman"/>
          <w:bCs/>
          <w:sz w:val="24"/>
          <w:szCs w:val="24"/>
        </w:rPr>
        <w:t>Humic acid is a complex, non-uniform mixture of natural organic compounds, not a single substance, primarily composed of carbon, hydrogen, oxygen, nitrogen, and sulphur. It consists of a polycyclic, aromatic core linked by aliphatic chains, containing functional groups like carboxylic (</w:t>
      </w:r>
      <w:r>
        <w:rPr>
          <w:rFonts w:ascii="Times New Roman" w:hAnsi="Times New Roman" w:cs="Times New Roman"/>
          <w:bCs/>
          <w:sz w:val="24"/>
          <w:szCs w:val="24"/>
        </w:rPr>
        <w:t>-COOH),</w:t>
      </w:r>
      <w:r w:rsidRPr="00A730D2">
        <w:rPr>
          <w:rFonts w:ascii="Times New Roman" w:hAnsi="Times New Roman" w:cs="Times New Roman"/>
          <w:bCs/>
          <w:sz w:val="24"/>
          <w:szCs w:val="24"/>
        </w:rPr>
        <w:t xml:space="preserve"> phenolic (</w:t>
      </w:r>
      <w:r>
        <w:rPr>
          <w:rFonts w:ascii="Times New Roman" w:hAnsi="Times New Roman" w:cs="Times New Roman"/>
          <w:bCs/>
          <w:sz w:val="24"/>
          <w:szCs w:val="24"/>
        </w:rPr>
        <w:t xml:space="preserve">-OH), </w:t>
      </w:r>
      <w:r w:rsidRPr="00A730D2">
        <w:rPr>
          <w:rFonts w:ascii="Times New Roman" w:hAnsi="Times New Roman" w:cs="Times New Roman"/>
          <w:bCs/>
          <w:sz w:val="24"/>
          <w:szCs w:val="24"/>
        </w:rPr>
        <w:t>and carbonyl (</w:t>
      </w:r>
      <w:r>
        <w:rPr>
          <w:rFonts w:ascii="Times New Roman" w:hAnsi="Times New Roman" w:cs="Times New Roman"/>
          <w:bCs/>
          <w:sz w:val="24"/>
          <w:szCs w:val="24"/>
        </w:rPr>
        <w:t xml:space="preserve">-C=O) </w:t>
      </w:r>
      <w:r w:rsidRPr="00A730D2">
        <w:rPr>
          <w:rFonts w:ascii="Times New Roman" w:hAnsi="Times New Roman" w:cs="Times New Roman"/>
          <w:bCs/>
          <w:sz w:val="24"/>
          <w:szCs w:val="24"/>
        </w:rPr>
        <w:t>groups</w:t>
      </w:r>
      <w:r w:rsidR="003957AC">
        <w:rPr>
          <w:rFonts w:ascii="Times New Roman" w:hAnsi="Times New Roman" w:cs="Times New Roman"/>
          <w:bCs/>
          <w:sz w:val="24"/>
          <w:szCs w:val="24"/>
        </w:rPr>
        <w:t xml:space="preserve"> (Mahler </w:t>
      </w:r>
      <w:r w:rsidR="003957AC" w:rsidRPr="003957AC">
        <w:rPr>
          <w:rFonts w:ascii="Times New Roman" w:hAnsi="Times New Roman" w:cs="Times New Roman"/>
          <w:bCs/>
          <w:i/>
          <w:iCs/>
          <w:sz w:val="24"/>
          <w:szCs w:val="24"/>
        </w:rPr>
        <w:t>et al</w:t>
      </w:r>
      <w:r w:rsidR="003957AC">
        <w:rPr>
          <w:rFonts w:ascii="Times New Roman" w:hAnsi="Times New Roman" w:cs="Times New Roman"/>
          <w:bCs/>
          <w:sz w:val="24"/>
          <w:szCs w:val="24"/>
        </w:rPr>
        <w:t>., 2021)</w:t>
      </w:r>
      <w:r>
        <w:rPr>
          <w:rFonts w:ascii="Times New Roman" w:hAnsi="Times New Roman" w:cs="Times New Roman"/>
          <w:bCs/>
          <w:sz w:val="24"/>
          <w:szCs w:val="24"/>
        </w:rPr>
        <w:t>.</w:t>
      </w:r>
    </w:p>
    <w:p w14:paraId="377CF48A" w14:textId="77777777"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Table</w:t>
      </w:r>
      <w:r w:rsidRPr="00FD6561">
        <w:rPr>
          <w:rFonts w:ascii="Times New Roman" w:hAnsi="Times New Roman" w:cs="Times New Roman"/>
          <w:b/>
          <w:sz w:val="24"/>
          <w:szCs w:val="24"/>
        </w:rPr>
        <w:t>.</w:t>
      </w:r>
      <w:r>
        <w:rPr>
          <w:rFonts w:ascii="Times New Roman" w:hAnsi="Times New Roman" w:cs="Times New Roman"/>
          <w:b/>
          <w:sz w:val="24"/>
          <w:szCs w:val="24"/>
        </w:rPr>
        <w:t xml:space="preserve"> </w:t>
      </w:r>
      <w:r w:rsidRPr="00FD6561">
        <w:rPr>
          <w:rFonts w:ascii="Times New Roman" w:hAnsi="Times New Roman" w:cs="Times New Roman"/>
          <w:b/>
          <w:sz w:val="24"/>
          <w:szCs w:val="24"/>
        </w:rPr>
        <w:t>2</w:t>
      </w:r>
      <w:r>
        <w:rPr>
          <w:rFonts w:ascii="Times New Roman" w:hAnsi="Times New Roman" w:cs="Times New Roman"/>
          <w:b/>
          <w:sz w:val="24"/>
          <w:szCs w:val="24"/>
        </w:rPr>
        <w:t>.</w:t>
      </w:r>
      <w:r w:rsidRPr="00FD6561">
        <w:rPr>
          <w:rFonts w:ascii="Times New Roman" w:hAnsi="Times New Roman" w:cs="Times New Roman"/>
          <w:b/>
          <w:sz w:val="24"/>
          <w:szCs w:val="24"/>
        </w:rPr>
        <w:t xml:space="preserve"> COMPOSITION OF HUMIC ACID</w:t>
      </w:r>
    </w:p>
    <w:tbl>
      <w:tblPr>
        <w:tblStyle w:val="TableGrid"/>
        <w:tblW w:w="0" w:type="auto"/>
        <w:tblLook w:val="04A0" w:firstRow="1" w:lastRow="0" w:firstColumn="1" w:lastColumn="0" w:noHBand="0" w:noVBand="1"/>
      </w:tblPr>
      <w:tblGrid>
        <w:gridCol w:w="703"/>
        <w:gridCol w:w="5448"/>
        <w:gridCol w:w="3006"/>
      </w:tblGrid>
      <w:tr w:rsidR="00FD6561" w14:paraId="4F774061" w14:textId="77777777" w:rsidTr="00A730D2">
        <w:tc>
          <w:tcPr>
            <w:tcW w:w="703" w:type="dxa"/>
          </w:tcPr>
          <w:p w14:paraId="1DA776E7" w14:textId="38713628" w:rsidR="00FD6561" w:rsidRDefault="00FD6561" w:rsidP="00CA0803">
            <w:pPr>
              <w:pStyle w:val="NormalWeb"/>
              <w:jc w:val="center"/>
              <w:rPr>
                <w:b/>
                <w:bCs/>
              </w:rPr>
            </w:pPr>
            <w:r>
              <w:rPr>
                <w:b/>
                <w:bCs/>
              </w:rPr>
              <w:t>S.</w:t>
            </w:r>
            <w:r w:rsidR="00A730D2">
              <w:rPr>
                <w:b/>
                <w:bCs/>
              </w:rPr>
              <w:t xml:space="preserve"> </w:t>
            </w:r>
            <w:r>
              <w:rPr>
                <w:b/>
                <w:bCs/>
              </w:rPr>
              <w:t>No</w:t>
            </w:r>
          </w:p>
        </w:tc>
        <w:tc>
          <w:tcPr>
            <w:tcW w:w="5448" w:type="dxa"/>
          </w:tcPr>
          <w:p w14:paraId="3C89335E" w14:textId="77777777" w:rsidR="00FD6561" w:rsidRDefault="00FD6561" w:rsidP="00CA0803">
            <w:pPr>
              <w:pStyle w:val="NormalWeb"/>
              <w:jc w:val="center"/>
              <w:rPr>
                <w:b/>
                <w:bCs/>
              </w:rPr>
            </w:pPr>
            <w:r>
              <w:rPr>
                <w:b/>
                <w:bCs/>
              </w:rPr>
              <w:t>Elements</w:t>
            </w:r>
          </w:p>
        </w:tc>
        <w:tc>
          <w:tcPr>
            <w:tcW w:w="3006" w:type="dxa"/>
          </w:tcPr>
          <w:p w14:paraId="76846082" w14:textId="77777777" w:rsidR="00FD6561" w:rsidRDefault="00FD6561" w:rsidP="00CA0803">
            <w:pPr>
              <w:pStyle w:val="NormalWeb"/>
              <w:jc w:val="center"/>
              <w:rPr>
                <w:b/>
                <w:bCs/>
              </w:rPr>
            </w:pPr>
            <w:r>
              <w:rPr>
                <w:b/>
                <w:bCs/>
              </w:rPr>
              <w:t>Approx. Range</w:t>
            </w:r>
          </w:p>
        </w:tc>
      </w:tr>
      <w:tr w:rsidR="00FD6561" w14:paraId="291821B4" w14:textId="77777777" w:rsidTr="00A730D2">
        <w:tc>
          <w:tcPr>
            <w:tcW w:w="703" w:type="dxa"/>
          </w:tcPr>
          <w:p w14:paraId="2CEDAB79" w14:textId="77777777" w:rsidR="00FD6561" w:rsidRPr="00584A34" w:rsidRDefault="00FD6561" w:rsidP="00CA0803">
            <w:pPr>
              <w:pStyle w:val="NormalWeb"/>
              <w:jc w:val="both"/>
            </w:pPr>
            <w:r w:rsidRPr="00584A34">
              <w:t>1.</w:t>
            </w:r>
          </w:p>
        </w:tc>
        <w:tc>
          <w:tcPr>
            <w:tcW w:w="5448" w:type="dxa"/>
          </w:tcPr>
          <w:p w14:paraId="34D7F974" w14:textId="77777777" w:rsidR="00FD6561" w:rsidRPr="00227874" w:rsidRDefault="00FD6561" w:rsidP="00CA0803">
            <w:pPr>
              <w:pStyle w:val="NormalWeb"/>
              <w:jc w:val="both"/>
            </w:pPr>
            <w:r>
              <w:t>Carbon (C)</w:t>
            </w:r>
          </w:p>
        </w:tc>
        <w:tc>
          <w:tcPr>
            <w:tcW w:w="3006" w:type="dxa"/>
          </w:tcPr>
          <w:p w14:paraId="5C89AF54" w14:textId="77777777" w:rsidR="00FD6561" w:rsidRPr="00511972" w:rsidRDefault="00FD6561" w:rsidP="00CA0803">
            <w:pPr>
              <w:pStyle w:val="NormalWeb"/>
              <w:jc w:val="both"/>
            </w:pPr>
            <w:r>
              <w:t>50-60%</w:t>
            </w:r>
          </w:p>
        </w:tc>
      </w:tr>
      <w:tr w:rsidR="00FD6561" w14:paraId="739D616E" w14:textId="77777777" w:rsidTr="00A730D2">
        <w:tc>
          <w:tcPr>
            <w:tcW w:w="703" w:type="dxa"/>
          </w:tcPr>
          <w:p w14:paraId="1DD1B75B" w14:textId="77777777" w:rsidR="00FD6561" w:rsidRPr="00584A34" w:rsidRDefault="00FD6561" w:rsidP="00CA0803">
            <w:pPr>
              <w:pStyle w:val="NormalWeb"/>
              <w:jc w:val="both"/>
            </w:pPr>
            <w:r w:rsidRPr="00584A34">
              <w:t>2.</w:t>
            </w:r>
          </w:p>
        </w:tc>
        <w:tc>
          <w:tcPr>
            <w:tcW w:w="5448" w:type="dxa"/>
          </w:tcPr>
          <w:p w14:paraId="1173E40B" w14:textId="77777777" w:rsidR="00FD6561" w:rsidRPr="00652F54" w:rsidRDefault="00FD6561" w:rsidP="00CA0803">
            <w:pPr>
              <w:pStyle w:val="NormalWeb"/>
              <w:jc w:val="both"/>
            </w:pPr>
            <w:r>
              <w:t>Hydrogen (H)</w:t>
            </w:r>
          </w:p>
        </w:tc>
        <w:tc>
          <w:tcPr>
            <w:tcW w:w="3006" w:type="dxa"/>
          </w:tcPr>
          <w:p w14:paraId="26004680" w14:textId="77777777" w:rsidR="00FD6561" w:rsidRPr="00040403" w:rsidRDefault="00FD6561" w:rsidP="00CA0803">
            <w:pPr>
              <w:pStyle w:val="NormalWeb"/>
              <w:jc w:val="both"/>
            </w:pPr>
            <w:r w:rsidRPr="00040403">
              <w:t>3.5-4.8</w:t>
            </w:r>
            <w:r>
              <w:t>%</w:t>
            </w:r>
          </w:p>
        </w:tc>
      </w:tr>
      <w:tr w:rsidR="00FD6561" w14:paraId="31DD7E8A" w14:textId="77777777" w:rsidTr="00A730D2">
        <w:tc>
          <w:tcPr>
            <w:tcW w:w="703" w:type="dxa"/>
          </w:tcPr>
          <w:p w14:paraId="77AFBD5B" w14:textId="77777777" w:rsidR="00FD6561" w:rsidRPr="00584A34" w:rsidRDefault="00FD6561" w:rsidP="00CA0803">
            <w:pPr>
              <w:pStyle w:val="NormalWeb"/>
              <w:jc w:val="both"/>
            </w:pPr>
            <w:r w:rsidRPr="00584A34">
              <w:t>3.</w:t>
            </w:r>
          </w:p>
        </w:tc>
        <w:tc>
          <w:tcPr>
            <w:tcW w:w="5448" w:type="dxa"/>
          </w:tcPr>
          <w:p w14:paraId="2C004AC4" w14:textId="77777777" w:rsidR="00FD6561" w:rsidRPr="00473279" w:rsidRDefault="00FD6561" w:rsidP="00CA0803">
            <w:pPr>
              <w:pStyle w:val="NormalWeb"/>
              <w:jc w:val="both"/>
            </w:pPr>
            <w:r>
              <w:t>Oxygen (O)</w:t>
            </w:r>
          </w:p>
        </w:tc>
        <w:tc>
          <w:tcPr>
            <w:tcW w:w="3006" w:type="dxa"/>
          </w:tcPr>
          <w:p w14:paraId="2240FAAD" w14:textId="77777777" w:rsidR="00FD6561" w:rsidRPr="00040403" w:rsidRDefault="00FD6561" w:rsidP="00CA0803">
            <w:pPr>
              <w:pStyle w:val="NormalWeb"/>
              <w:jc w:val="both"/>
            </w:pPr>
            <w:r w:rsidRPr="00040403">
              <w:t>31-45</w:t>
            </w:r>
            <w:r>
              <w:t>%</w:t>
            </w:r>
          </w:p>
        </w:tc>
      </w:tr>
      <w:tr w:rsidR="00FD6561" w14:paraId="63672A9B" w14:textId="77777777" w:rsidTr="00A730D2">
        <w:tc>
          <w:tcPr>
            <w:tcW w:w="703" w:type="dxa"/>
          </w:tcPr>
          <w:p w14:paraId="194C36BF" w14:textId="77777777" w:rsidR="00FD6561" w:rsidRPr="00584A34" w:rsidRDefault="00FD6561" w:rsidP="00CA0803">
            <w:pPr>
              <w:pStyle w:val="NormalWeb"/>
              <w:jc w:val="both"/>
            </w:pPr>
            <w:r w:rsidRPr="00584A34">
              <w:t>4.</w:t>
            </w:r>
          </w:p>
        </w:tc>
        <w:tc>
          <w:tcPr>
            <w:tcW w:w="5448" w:type="dxa"/>
          </w:tcPr>
          <w:p w14:paraId="1BDD0339" w14:textId="77777777" w:rsidR="00FD6561" w:rsidRPr="00473279" w:rsidRDefault="00FD6561" w:rsidP="00CA0803">
            <w:pPr>
              <w:pStyle w:val="NormalWeb"/>
              <w:jc w:val="both"/>
            </w:pPr>
            <w:r>
              <w:t>Nitrogen (N)</w:t>
            </w:r>
          </w:p>
        </w:tc>
        <w:tc>
          <w:tcPr>
            <w:tcW w:w="3006" w:type="dxa"/>
          </w:tcPr>
          <w:p w14:paraId="08D16047" w14:textId="77777777" w:rsidR="00FD6561" w:rsidRPr="00040403" w:rsidRDefault="00FD6561" w:rsidP="00CA0803">
            <w:pPr>
              <w:pStyle w:val="NormalWeb"/>
              <w:jc w:val="both"/>
            </w:pPr>
            <w:r>
              <w:t>0.7-5.1%</w:t>
            </w:r>
          </w:p>
        </w:tc>
      </w:tr>
      <w:tr w:rsidR="00FD6561" w14:paraId="71C703AB" w14:textId="77777777" w:rsidTr="00A730D2">
        <w:tc>
          <w:tcPr>
            <w:tcW w:w="703" w:type="dxa"/>
          </w:tcPr>
          <w:p w14:paraId="07DA5999" w14:textId="77777777" w:rsidR="00FD6561" w:rsidRPr="00584A34" w:rsidRDefault="00FD6561" w:rsidP="00CA0803">
            <w:pPr>
              <w:pStyle w:val="NormalWeb"/>
              <w:jc w:val="both"/>
            </w:pPr>
            <w:r w:rsidRPr="00584A34">
              <w:t>5.</w:t>
            </w:r>
          </w:p>
        </w:tc>
        <w:tc>
          <w:tcPr>
            <w:tcW w:w="5448" w:type="dxa"/>
          </w:tcPr>
          <w:p w14:paraId="5EABFB87" w14:textId="77777777" w:rsidR="00FD6561" w:rsidRPr="00473279" w:rsidRDefault="00FD6561" w:rsidP="00CA0803">
            <w:pPr>
              <w:pStyle w:val="NormalWeb"/>
              <w:jc w:val="both"/>
            </w:pPr>
            <w:r>
              <w:t>Sulfur (S)</w:t>
            </w:r>
          </w:p>
        </w:tc>
        <w:tc>
          <w:tcPr>
            <w:tcW w:w="3006" w:type="dxa"/>
          </w:tcPr>
          <w:p w14:paraId="06DD45AF" w14:textId="77777777" w:rsidR="00FD6561" w:rsidRPr="00040403" w:rsidRDefault="00FD6561" w:rsidP="00CA0803">
            <w:pPr>
              <w:pStyle w:val="NormalWeb"/>
              <w:jc w:val="both"/>
            </w:pPr>
            <w:r>
              <w:t>0.1-0.2%</w:t>
            </w:r>
          </w:p>
        </w:tc>
      </w:tr>
      <w:tr w:rsidR="00FD6561" w14:paraId="738954BF" w14:textId="77777777" w:rsidTr="00A730D2">
        <w:tc>
          <w:tcPr>
            <w:tcW w:w="703" w:type="dxa"/>
          </w:tcPr>
          <w:p w14:paraId="7AE4A0B1" w14:textId="77777777" w:rsidR="00FD6561" w:rsidRPr="00584A34" w:rsidRDefault="00FD6561" w:rsidP="00CA0803">
            <w:pPr>
              <w:pStyle w:val="NormalWeb"/>
              <w:jc w:val="both"/>
            </w:pPr>
            <w:r w:rsidRPr="00584A34">
              <w:t>6.</w:t>
            </w:r>
          </w:p>
        </w:tc>
        <w:tc>
          <w:tcPr>
            <w:tcW w:w="5448" w:type="dxa"/>
          </w:tcPr>
          <w:p w14:paraId="2FF5A3F5" w14:textId="77777777" w:rsidR="00FD6561" w:rsidRPr="00473279" w:rsidRDefault="00FD6561" w:rsidP="00CA0803">
            <w:pPr>
              <w:pStyle w:val="NormalWeb"/>
              <w:jc w:val="both"/>
            </w:pPr>
            <w:r>
              <w:t>Phosphorus (P)</w:t>
            </w:r>
          </w:p>
        </w:tc>
        <w:tc>
          <w:tcPr>
            <w:tcW w:w="3006" w:type="dxa"/>
          </w:tcPr>
          <w:p w14:paraId="7D9FB901" w14:textId="77777777" w:rsidR="00FD6561" w:rsidRPr="00040403" w:rsidRDefault="00FD6561" w:rsidP="00CA0803">
            <w:pPr>
              <w:pStyle w:val="NormalWeb"/>
              <w:jc w:val="both"/>
            </w:pPr>
            <w:r>
              <w:t>0.01-0.5%</w:t>
            </w:r>
          </w:p>
        </w:tc>
      </w:tr>
    </w:tbl>
    <w:p w14:paraId="2AC79F16" w14:textId="686EDABE" w:rsidR="003C6B0B" w:rsidRPr="00537594"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 xml:space="preserve"> </w:t>
      </w:r>
    </w:p>
    <w:p w14:paraId="5FA777F8" w14:textId="2D8AC3AC"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 MECHANISM OF ACTION</w:t>
      </w:r>
    </w:p>
    <w:p w14:paraId="36B26047" w14:textId="3F81753A"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2.1 Mechanism of Action of Seaweed Extract</w:t>
      </w:r>
    </w:p>
    <w:p w14:paraId="2FF57ADF" w14:textId="5FD00235"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works as an effective biostimulant in soil–plant systems because it contains many beneficial compounds. These include polysaccharides, plant hormones, amino acids, vitamins, antioxidants, and various essential micronutrients. Together, these substances affect the plant in several ways, helping improve growth processes, increasing stress tolerance, and enriching the soil environment. Through these combined actions, seaweed extract plays a significant role in supporting healthier plants and more productive soils.</w:t>
      </w:r>
    </w:p>
    <w:p w14:paraId="1258DD91" w14:textId="67E679C2"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1. Release of Phytohormones</w:t>
      </w:r>
      <w:r w:rsidR="00085D27" w:rsidRPr="00FD6561">
        <w:rPr>
          <w:rFonts w:ascii="Times New Roman" w:hAnsi="Times New Roman" w:cs="Times New Roman"/>
          <w:b/>
          <w:sz w:val="24"/>
          <w:szCs w:val="24"/>
        </w:rPr>
        <w:t>:</w:t>
      </w:r>
    </w:p>
    <w:p w14:paraId="7638C276" w14:textId="310D1148"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is rich in naturally occurring plant hormones like auxins, cytokinins, gibberellins, and betaines. These compounds strongly influence plant growth and development. They work together to stimulate root initiation and elongation, promote lateral root formation, encourage cell division and differentiation, and improve nutrient movement throughout the plant. Cytokinins, in particular, delay leaf aging and boost chlorophyll levels, leading to healthier foliage. Field studies conducted during the rainy (kharif) season show how foliar sprays of seaweed extract affected soybean (</w:t>
      </w:r>
      <w:r w:rsidR="003C6B0B" w:rsidRPr="0005247F">
        <w:rPr>
          <w:rFonts w:ascii="Times New Roman" w:hAnsi="Times New Roman" w:cs="Times New Roman"/>
          <w:i/>
          <w:iCs/>
          <w:sz w:val="24"/>
          <w:szCs w:val="24"/>
        </w:rPr>
        <w:t>Glycine max</w:t>
      </w:r>
      <w:r w:rsidR="003C6B0B" w:rsidRPr="00537594">
        <w:rPr>
          <w:rFonts w:ascii="Times New Roman" w:hAnsi="Times New Roman" w:cs="Times New Roman"/>
          <w:sz w:val="24"/>
          <w:szCs w:val="24"/>
        </w:rPr>
        <w:t xml:space="preserve">) growth, yield, and nutrient uptake without added chemical fertilizers (Rathore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 Similarly, auxin-like compounds help plants absorb water and nutrients more efficiently. Research examining the effects of seaweed extract (from the brown seaweed </w:t>
      </w:r>
      <w:r w:rsidR="003C6B0B" w:rsidRPr="00493381">
        <w:rPr>
          <w:rFonts w:ascii="Times New Roman" w:hAnsi="Times New Roman" w:cs="Times New Roman"/>
          <w:i/>
          <w:iCs/>
          <w:sz w:val="24"/>
          <w:szCs w:val="24"/>
        </w:rPr>
        <w:t>Ascophyllum nodosum</w:t>
      </w:r>
      <w:r w:rsidR="003C6B0B" w:rsidRPr="00537594">
        <w:rPr>
          <w:rFonts w:ascii="Times New Roman" w:hAnsi="Times New Roman" w:cs="Times New Roman"/>
          <w:sz w:val="24"/>
          <w:szCs w:val="24"/>
        </w:rPr>
        <w:t>) and humic acid on pepper plants (</w:t>
      </w:r>
      <w:r w:rsidR="003C6B0B" w:rsidRPr="0005247F">
        <w:rPr>
          <w:rFonts w:ascii="Times New Roman" w:hAnsi="Times New Roman" w:cs="Times New Roman"/>
          <w:i/>
          <w:iCs/>
          <w:sz w:val="24"/>
          <w:szCs w:val="24"/>
        </w:rPr>
        <w:t>Capsicum annuum</w:t>
      </w:r>
      <w:r w:rsidR="003C6B0B" w:rsidRPr="00537594">
        <w:rPr>
          <w:rFonts w:ascii="Times New Roman" w:hAnsi="Times New Roman" w:cs="Times New Roman"/>
          <w:sz w:val="24"/>
          <w:szCs w:val="24"/>
        </w:rPr>
        <w:t xml:space="preserve"> L.) under salt stress (100 mM NaCl) shows that these compounds support rapid root growth (Yildiztekin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 Together, seaweed extract significantly enhances plant health and overall growth.</w:t>
      </w:r>
    </w:p>
    <w:p w14:paraId="7C359B0F" w14:textId="734C91F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2. Polysaccharides That Improve Soil Structure and Water Retention</w:t>
      </w:r>
    </w:p>
    <w:p w14:paraId="6DDAD917" w14:textId="69F62676"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Brown seaweeds are naturally high in polysaccharides like alginate, laminarin, and fucoidan, which are vital for improving soil physical properties. Alginate, in particular, is valuable because it forms gel-like structures in the soil. These structures help bind soil particles together, improving soil aggregation and increasing water-holding capacity. They also enhance soil porosity, which allows for better air movement and creates favo</w:t>
      </w:r>
      <w:r w:rsidR="00493381">
        <w:rPr>
          <w:rFonts w:ascii="Times New Roman" w:hAnsi="Times New Roman" w:cs="Times New Roman"/>
          <w:sz w:val="24"/>
          <w:szCs w:val="24"/>
        </w:rPr>
        <w:t>u</w:t>
      </w:r>
      <w:r w:rsidR="003C6B0B" w:rsidRPr="00537594">
        <w:rPr>
          <w:rFonts w:ascii="Times New Roman" w:hAnsi="Times New Roman" w:cs="Times New Roman"/>
          <w:sz w:val="24"/>
          <w:szCs w:val="24"/>
        </w:rPr>
        <w:t xml:space="preserve">rable conditions for beneficial microbes. As a result, plants experience improved root aeration and increased resilience during drought conditions. Research using alginate-based formulations derived from brown seaweeds shows their effects on soil physical properties, moisture retention, microbial activity, and plant growth performance, especially under moisture stress (Kumar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8E083D8" w14:textId="368E337C"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3. Micronutrient Supply and Chelation</w:t>
      </w:r>
    </w:p>
    <w:p w14:paraId="30B821BA" w14:textId="2C494A1A"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extract provides a slow-release source of essential micronutrients, including iron (Fe), manganese (Mn), zinc (Zn), copper (Cu), boron (B), and molybdenum (Mo). These nutrients are critical for plant health, supporting essential functions like enzyme activity, chlorophyll formation, and overall metabolism. Seaweed's natural chelating compounds keep these micronutrients in forms that plants can access, even in challenging conditions like alkaline or degraded soils. Studies using foliar sprays of seaweed extract (from </w:t>
      </w:r>
      <w:r w:rsidR="003C6B0B" w:rsidRPr="00364C97">
        <w:rPr>
          <w:rFonts w:ascii="Times New Roman" w:hAnsi="Times New Roman" w:cs="Times New Roman"/>
          <w:i/>
          <w:sz w:val="24"/>
          <w:szCs w:val="24"/>
        </w:rPr>
        <w:t>Kappaphycus alvarezii</w:t>
      </w:r>
      <w:r w:rsidR="003C6B0B" w:rsidRPr="00537594">
        <w:rPr>
          <w:rFonts w:ascii="Times New Roman" w:hAnsi="Times New Roman" w:cs="Times New Roman"/>
          <w:sz w:val="24"/>
          <w:szCs w:val="24"/>
        </w:rPr>
        <w:t xml:space="preserve">) at various concentrations show that they effectively treat the soil while ensuring consistent nutrient availability for healthy growth (Rathore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2009).</w:t>
      </w:r>
    </w:p>
    <w:p w14:paraId="51055194" w14:textId="0859DC0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4. Enhancement of Soil Microbial Activity</w:t>
      </w:r>
    </w:p>
    <w:p w14:paraId="24EC5872" w14:textId="6B516183" w:rsidR="003C6B0B" w:rsidRPr="00537594" w:rsidRDefault="00085D27"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FD6561">
        <w:rPr>
          <w:rFonts w:ascii="Times New Roman" w:hAnsi="Times New Roman" w:cs="Times New Roman"/>
          <w:sz w:val="24"/>
          <w:szCs w:val="24"/>
        </w:rPr>
        <w:t xml:space="preserve"> </w:t>
      </w:r>
      <w:r w:rsidR="00191D91">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Seaweed-derived organic compounds provide an excellent food source for beneficial soil microorganisms. The polysaccharides and phenolic compounds stimulate microbial growth and enhance enzyme activity, which supports soil processes like nitrogen mineralization, phosphorus solubilization, and microbial biomass carbon build-up. Research demonstrates that applying seaweed-based amendments can significantly increase populations of beneficial microbes in the rhizosphere, particularly those involved in nutrient cycling and improving soil health (Yildiztekin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05BD9F89" w14:textId="496641C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3C6B0B" w:rsidRPr="00FD6561">
        <w:rPr>
          <w:rFonts w:ascii="Times New Roman" w:hAnsi="Times New Roman" w:cs="Times New Roman"/>
          <w:b/>
          <w:sz w:val="24"/>
          <w:szCs w:val="24"/>
        </w:rPr>
        <w:t xml:space="preserve">5. Activation of Plant Antioxidant </w:t>
      </w:r>
      <w:r w:rsidR="001A71D3" w:rsidRPr="00FD6561">
        <w:rPr>
          <w:rFonts w:ascii="Times New Roman" w:hAnsi="Times New Roman" w:cs="Times New Roman"/>
          <w:b/>
          <w:sz w:val="24"/>
          <w:szCs w:val="24"/>
        </w:rPr>
        <w:t>Defence</w:t>
      </w:r>
      <w:r w:rsidR="003C6B0B" w:rsidRPr="00FD6561">
        <w:rPr>
          <w:rFonts w:ascii="Times New Roman" w:hAnsi="Times New Roman" w:cs="Times New Roman"/>
          <w:b/>
          <w:sz w:val="24"/>
          <w:szCs w:val="24"/>
        </w:rPr>
        <w:t xml:space="preserve"> Systems</w:t>
      </w:r>
    </w:p>
    <w:p w14:paraId="6BF5E899" w14:textId="59389049" w:rsidR="00926F1A"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contains many natural antioxidant compounds, such as polyphenols, carotenoids, flavonoids, and ascorbic acid. These bioactive molecules str</w:t>
      </w:r>
      <w:r w:rsidR="00364C97">
        <w:rPr>
          <w:rFonts w:ascii="Times New Roman" w:hAnsi="Times New Roman" w:cs="Times New Roman"/>
          <w:sz w:val="24"/>
          <w:szCs w:val="24"/>
        </w:rPr>
        <w:t xml:space="preserve">engthen the plant's </w:t>
      </w:r>
      <w:r w:rsidR="001A71D3">
        <w:rPr>
          <w:rFonts w:ascii="Times New Roman" w:hAnsi="Times New Roman" w:cs="Times New Roman"/>
          <w:sz w:val="24"/>
          <w:szCs w:val="24"/>
        </w:rPr>
        <w:t>defenc</w:t>
      </w:r>
      <w:r w:rsidR="001A71D3" w:rsidRPr="00537594">
        <w:rPr>
          <w:rFonts w:ascii="Times New Roman" w:hAnsi="Times New Roman" w:cs="Times New Roman"/>
          <w:sz w:val="24"/>
          <w:szCs w:val="24"/>
        </w:rPr>
        <w:t>e</w:t>
      </w:r>
      <w:r w:rsidR="003C6B0B" w:rsidRPr="00537594">
        <w:rPr>
          <w:rFonts w:ascii="Times New Roman" w:hAnsi="Times New Roman" w:cs="Times New Roman"/>
          <w:sz w:val="24"/>
          <w:szCs w:val="24"/>
        </w:rPr>
        <w:t xml:space="preserve"> system by activating protective enzymes, including superoxide dismutase (SOD), catalase (CAT), and peroxidase (POD). These enzymes reduce oxidative stress from challenging conditions like salinity, drought, and high temperatures. Thus, plants treated with seaweed extract are better prepared.</w:t>
      </w:r>
    </w:p>
    <w:p w14:paraId="20920F99" w14:textId="3D486C81"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6.</w:t>
      </w:r>
      <w:r w:rsidR="00191D91">
        <w:rPr>
          <w:rFonts w:ascii="Times New Roman" w:hAnsi="Times New Roman" w:cs="Times New Roman"/>
          <w:b/>
          <w:bCs/>
          <w:sz w:val="24"/>
          <w:szCs w:val="24"/>
        </w:rPr>
        <w:t xml:space="preserve"> </w:t>
      </w:r>
      <w:r w:rsidR="00537594" w:rsidRPr="00537594">
        <w:rPr>
          <w:rFonts w:ascii="Times New Roman" w:hAnsi="Times New Roman" w:cs="Times New Roman"/>
          <w:b/>
          <w:bCs/>
          <w:sz w:val="24"/>
          <w:szCs w:val="24"/>
        </w:rPr>
        <w:t xml:space="preserve">Induction of Endogenous Antioxidant </w:t>
      </w:r>
      <w:r w:rsidR="001A71D3" w:rsidRPr="00537594">
        <w:rPr>
          <w:rFonts w:ascii="Times New Roman" w:hAnsi="Times New Roman" w:cs="Times New Roman"/>
          <w:b/>
          <w:bCs/>
          <w:sz w:val="24"/>
          <w:szCs w:val="24"/>
        </w:rPr>
        <w:t>Defence</w:t>
      </w:r>
      <w:r w:rsidR="00537594" w:rsidRPr="00537594">
        <w:rPr>
          <w:rFonts w:ascii="Times New Roman" w:hAnsi="Times New Roman" w:cs="Times New Roman"/>
          <w:b/>
          <w:bCs/>
          <w:sz w:val="24"/>
          <w:szCs w:val="24"/>
        </w:rPr>
        <w:t xml:space="preserve"> Mechanisms</w:t>
      </w:r>
    </w:p>
    <w:p w14:paraId="1E6D267E" w14:textId="34D9CA3B" w:rsidR="00537594" w:rsidRPr="00537594" w:rsidRDefault="00191D91" w:rsidP="00364C97">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The efficacy of seaweed extracts in conferring abiotic stress tolerance is largely attributed to their high concentrations of bioactive constituents, including polyphenols, carotenoids, flavonoids, and ascorbic acid. Rather than acting as simple nutrients, these molecules trigger a cascade within the plant’s internal defense framework, upregulating vital protective enzymes such as superoxi</w:t>
      </w:r>
      <w:r w:rsidR="00364C97">
        <w:rPr>
          <w:rFonts w:ascii="Times New Roman" w:hAnsi="Times New Roman" w:cs="Times New Roman"/>
          <w:sz w:val="24"/>
          <w:szCs w:val="24"/>
        </w:rPr>
        <w:t xml:space="preserve">de dismutase (SOD), catalase </w:t>
      </w:r>
      <w:r w:rsidR="00537594" w:rsidRPr="00537594">
        <w:rPr>
          <w:rFonts w:ascii="Times New Roman" w:hAnsi="Times New Roman" w:cs="Times New Roman"/>
          <w:sz w:val="24"/>
          <w:szCs w:val="24"/>
        </w:rPr>
        <w:t xml:space="preserve">(CAT), and peroxidase (POD). This enzymatic upregulation is critical </w:t>
      </w:r>
      <w:r w:rsidR="00364C97">
        <w:rPr>
          <w:rFonts w:ascii="Times New Roman" w:hAnsi="Times New Roman" w:cs="Times New Roman"/>
          <w:sz w:val="24"/>
          <w:szCs w:val="24"/>
        </w:rPr>
        <w:t>for mitigating oxidative damage-</w:t>
      </w:r>
      <w:r w:rsidR="00537594" w:rsidRPr="00537594">
        <w:rPr>
          <w:rFonts w:ascii="Times New Roman" w:hAnsi="Times New Roman" w:cs="Times New Roman"/>
          <w:sz w:val="24"/>
          <w:szCs w:val="24"/>
        </w:rPr>
        <w:t xml:space="preserve">specifically the accumulation of reactive oxygen species (ROS)—often exacerbated by salinity, drought, and thermal extremes. Consequently, the application of these extracts fosters a physiological "priming" effect, enabling crops to sustain metabolic activity and growth under adverse environmental regimes (Yildiztekin </w:t>
      </w:r>
      <w:r w:rsidR="00537594" w:rsidRPr="00364C97">
        <w:rPr>
          <w:rFonts w:ascii="Times New Roman" w:hAnsi="Times New Roman" w:cs="Times New Roman"/>
          <w:i/>
          <w:sz w:val="24"/>
          <w:szCs w:val="24"/>
        </w:rPr>
        <w:t>et al</w:t>
      </w:r>
      <w:r w:rsidR="00537594" w:rsidRPr="00537594">
        <w:rPr>
          <w:rFonts w:ascii="Times New Roman" w:hAnsi="Times New Roman" w:cs="Times New Roman"/>
          <w:sz w:val="24"/>
          <w:szCs w:val="24"/>
        </w:rPr>
        <w:t>., 2018).</w:t>
      </w:r>
    </w:p>
    <w:p w14:paraId="39770731" w14:textId="24494B15"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7.</w:t>
      </w:r>
      <w:r w:rsidR="00537594" w:rsidRPr="00537594">
        <w:rPr>
          <w:rFonts w:ascii="Times New Roman" w:hAnsi="Times New Roman" w:cs="Times New Roman"/>
          <w:b/>
          <w:bCs/>
          <w:sz w:val="24"/>
          <w:szCs w:val="24"/>
        </w:rPr>
        <w:t>Modulation of Root Architecture and Enhanced Nutrient Acquisition</w:t>
      </w:r>
    </w:p>
    <w:p w14:paraId="265BBD17" w14:textId="1C1E35BE" w:rsidR="00537594"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Beyond surface-level growth, seaweed extracts fundamentally reshape subterranean development by modulating hormonal </w:t>
      </w:r>
      <w:r w:rsidR="00364C97" w:rsidRPr="00537594">
        <w:rPr>
          <w:rFonts w:ascii="Times New Roman" w:hAnsi="Times New Roman" w:cs="Times New Roman"/>
          <w:sz w:val="24"/>
          <w:szCs w:val="24"/>
        </w:rPr>
        <w:t>signalling</w:t>
      </w:r>
      <w:r w:rsidR="00537594" w:rsidRPr="00537594">
        <w:rPr>
          <w:rFonts w:ascii="Times New Roman" w:hAnsi="Times New Roman" w:cs="Times New Roman"/>
          <w:sz w:val="24"/>
          <w:szCs w:val="24"/>
        </w:rPr>
        <w:t xml:space="preserve"> and optimizing soil physical characteristics. These biostimulants elicit distinct morphological shifts</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specifically elongating the primary root, expanding total surface area, and intensifying root hair density</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while simultaneously fostering symbiotic mycorrhizal colonization. Such architectural refinements facilitate a more exhaustive "mining" of the soil profile for macronutrients like nitrogen, phosphorus, and potassium, alongside critical micronutrients, thereby bolstering overall plant vigo</w:t>
      </w:r>
      <w:r w:rsidR="00493381">
        <w:rPr>
          <w:rFonts w:ascii="Times New Roman" w:hAnsi="Times New Roman" w:cs="Times New Roman"/>
          <w:sz w:val="24"/>
          <w:szCs w:val="24"/>
        </w:rPr>
        <w:t>u</w:t>
      </w:r>
      <w:r w:rsidR="00537594" w:rsidRPr="00537594">
        <w:rPr>
          <w:rFonts w:ascii="Times New Roman" w:hAnsi="Times New Roman" w:cs="Times New Roman"/>
          <w:sz w:val="24"/>
          <w:szCs w:val="24"/>
        </w:rPr>
        <w:t xml:space="preserve">r. To quantify these effects, </w:t>
      </w:r>
      <w:r w:rsidR="00364C97">
        <w:rPr>
          <w:rFonts w:ascii="Times New Roman" w:hAnsi="Times New Roman" w:cs="Times New Roman"/>
          <w:sz w:val="24"/>
          <w:szCs w:val="24"/>
        </w:rPr>
        <w:t xml:space="preserve">(Sivakamipriya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37594" w:rsidRPr="00537594">
        <w:rPr>
          <w:rFonts w:ascii="Times New Roman" w:hAnsi="Times New Roman" w:cs="Times New Roman"/>
          <w:sz w:val="24"/>
          <w:szCs w:val="24"/>
        </w:rPr>
        <w:t>2022) employed a randomized block design, evaluating varying concentrations of seaweed extracts through both soil drenching and foliar applications across key phenological stages. Their comparative analysis against untreated controls, conducted under standardized field and greenhouse conditions, highlights the significant role of these extracts in optimizing nutrient flux at the root-soil interface.</w:t>
      </w:r>
    </w:p>
    <w:p w14:paraId="37D8BF34" w14:textId="2AD223B8"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8.</w:t>
      </w:r>
      <w:r w:rsidR="00C75297" w:rsidRPr="00C75297">
        <w:rPr>
          <w:rFonts w:ascii="Times New Roman" w:hAnsi="Times New Roman" w:cs="Times New Roman"/>
          <w:b/>
          <w:bCs/>
          <w:sz w:val="24"/>
          <w:szCs w:val="24"/>
        </w:rPr>
        <w:t>Transcriptional Regulation and Metabolic Reprogramming</w:t>
      </w:r>
    </w:p>
    <w:p w14:paraId="112C0B2E" w14:textId="52A1AF1B" w:rsid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Current molecular evidence suggests that seaweed-derived biostimulants act as potent eliciters, modulating the expression of gene networks fundamental to stress resilience, carbon fixation, and transmembrane transport. Rather than offering a transient boost, these extracts induce systematic upregulation of biosynthetic pathways, which manifests phenotypically as enhanced chlorophyll retention and optimized photosynthetic capacity. This genetic "re-tuning" underpins the plant's ability to maintain homeostatic stability across fluctuating environments. Investigating these molecular drivers, Canellas et al. (2015) utilized a controlled randomized framework to </w:t>
      </w:r>
      <w:r w:rsidR="00C75297" w:rsidRPr="00C75297">
        <w:rPr>
          <w:rFonts w:ascii="Times New Roman" w:hAnsi="Times New Roman" w:cs="Times New Roman"/>
          <w:sz w:val="24"/>
          <w:szCs w:val="24"/>
        </w:rPr>
        <w:lastRenderedPageBreak/>
        <w:t>dissect the interplay between biostimulant application and genomic response. By quantifying variables such as photosynthetic flux and auxin-</w:t>
      </w:r>
      <w:r w:rsidR="0049338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xml:space="preserve"> transcripts against untreated controls, their study elucidated how specific concentrations of humic and seaweed derivatives trigger the metabolic pathways responsible for accelerated nutrient transport and overall biomass accumulation.</w:t>
      </w:r>
    </w:p>
    <w:p w14:paraId="053F3D6B" w14:textId="63C4658D" w:rsidR="00AD6F43" w:rsidRDefault="00AD6F43" w:rsidP="00C75297">
      <w:pPr>
        <w:jc w:val="both"/>
        <w:rPr>
          <w:rFonts w:ascii="Times New Roman" w:hAnsi="Times New Roman" w:cs="Times New Roman"/>
          <w:sz w:val="24"/>
          <w:szCs w:val="24"/>
        </w:rPr>
      </w:pPr>
      <w:r>
        <w:rPr>
          <w:rFonts w:ascii="Times New Roman" w:hAnsi="Times New Roman" w:cs="Times New Roman"/>
          <w:sz w:val="24"/>
          <w:szCs w:val="24"/>
        </w:rPr>
        <w:t xml:space="preserve">Fig 1: </w:t>
      </w:r>
      <w:r w:rsidRPr="00AD6F43">
        <w:rPr>
          <w:rFonts w:ascii="Times New Roman" w:hAnsi="Times New Roman" w:cs="Times New Roman"/>
          <w:sz w:val="24"/>
          <w:szCs w:val="24"/>
        </w:rPr>
        <w:t>Mechanism of Action of Seaweed Extract</w:t>
      </w:r>
    </w:p>
    <w:p w14:paraId="4D439ABB" w14:textId="5A8877CD" w:rsidR="001A71D3" w:rsidRPr="00C75297" w:rsidRDefault="001A71D3" w:rsidP="00C75297">
      <w:pPr>
        <w:jc w:val="both"/>
        <w:rPr>
          <w:rFonts w:ascii="Times New Roman" w:hAnsi="Times New Roman" w:cs="Times New Roman"/>
          <w:sz w:val="24"/>
          <w:szCs w:val="24"/>
        </w:rPr>
      </w:pPr>
      <w:r>
        <w:rPr>
          <w:noProof/>
        </w:rPr>
        <w:drawing>
          <wp:inline distT="0" distB="0" distL="0" distR="0" wp14:anchorId="2C43969E" wp14:editId="3D6AF2D4">
            <wp:extent cx="5943600" cy="3241675"/>
            <wp:effectExtent l="0" t="0" r="0" b="0"/>
            <wp:docPr id="1114110749" name="Picture 7"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 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3023250" w14:textId="66B64D2C"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w:t>
      </w:r>
      <w:r w:rsidRPr="00C75297">
        <w:rPr>
          <w:rFonts w:ascii="Times New Roman" w:hAnsi="Times New Roman" w:cs="Times New Roman"/>
          <w:b/>
          <w:bCs/>
          <w:sz w:val="24"/>
          <w:szCs w:val="24"/>
        </w:rPr>
        <w:t xml:space="preserve"> Mechanistic</w:t>
      </w:r>
      <w:r w:rsidR="00C75297" w:rsidRPr="00C75297">
        <w:rPr>
          <w:rFonts w:ascii="Times New Roman" w:hAnsi="Times New Roman" w:cs="Times New Roman"/>
          <w:b/>
          <w:bCs/>
          <w:sz w:val="24"/>
          <w:szCs w:val="24"/>
        </w:rPr>
        <w:t xml:space="preserve"> Pathways of Granular Humic Substances</w:t>
      </w:r>
    </w:p>
    <w:p w14:paraId="507F02D8" w14:textId="0DBC8B91" w:rsidR="00C75297" w:rsidRP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Humic acid granules function as complex biochemical catalysts, exerting a multi-scalar influence on the soil-plant continuum through integrated physicochemical and physiological pathways. As products of stabilized organic matter humification, these substances do not merely exist in the soil matrix; they actively dictate nutrient flux and metabolic </w:t>
      </w:r>
      <w:r w:rsidR="00FD656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The functional efficacy of humic acid can be understood through a tripartite framework: the structural modification of the soil environment, the chemical optimization of nutrient bioavailability, and the direct induction of plant physiological responses. By bridging the gap between soil mineralogy and cellular activity, humic granules provide a holistic foundation for sustainable productivity, transforming the rhizosphere into a more efficient zone for nutrient exchange.</w:t>
      </w:r>
    </w:p>
    <w:p w14:paraId="5E5E22A8" w14:textId="1D3CFC79"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2.2.1.</w:t>
      </w:r>
      <w:r w:rsidR="00654950">
        <w:rPr>
          <w:rFonts w:ascii="Times New Roman" w:hAnsi="Times New Roman" w:cs="Times New Roman"/>
          <w:b/>
          <w:sz w:val="24"/>
          <w:szCs w:val="24"/>
        </w:rPr>
        <w:t xml:space="preserve"> </w:t>
      </w:r>
      <w:r w:rsidR="00C75297" w:rsidRPr="00C75297">
        <w:rPr>
          <w:rFonts w:ascii="Times New Roman" w:hAnsi="Times New Roman" w:cs="Times New Roman"/>
          <w:b/>
          <w:bCs/>
          <w:sz w:val="24"/>
          <w:szCs w:val="24"/>
        </w:rPr>
        <w:t xml:space="preserve">Stabilization of Soil Physico-Chemical </w:t>
      </w:r>
      <w:r w:rsidR="001A71D3">
        <w:rPr>
          <w:rFonts w:ascii="Times New Roman" w:hAnsi="Times New Roman" w:cs="Times New Roman"/>
          <w:b/>
          <w:bCs/>
          <w:sz w:val="24"/>
          <w:szCs w:val="24"/>
        </w:rPr>
        <w:t>Properties</w:t>
      </w:r>
      <w:r w:rsidR="00C75297" w:rsidRPr="00C75297">
        <w:rPr>
          <w:rFonts w:ascii="Times New Roman" w:hAnsi="Times New Roman" w:cs="Times New Roman"/>
          <w:b/>
          <w:bCs/>
          <w:sz w:val="24"/>
          <w:szCs w:val="24"/>
        </w:rPr>
        <w:t xml:space="preserve"> and Aggregation</w:t>
      </w:r>
    </w:p>
    <w:p w14:paraId="5C647B05" w14:textId="1542E1FD" w:rsidR="00C75297" w:rsidRP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The structur</w:t>
      </w:r>
      <w:r w:rsidR="00C75297" w:rsidRPr="00C75297">
        <w:rPr>
          <w:rFonts w:ascii="Times New Roman" w:hAnsi="Times New Roman" w:cs="Times New Roman"/>
          <w:sz w:val="24"/>
          <w:szCs w:val="24"/>
        </w:rPr>
        <w:t xml:space="preserve">al refinement of soil by humic acids is primarily driven by their high molecular weight and functional group diversity, which facilitate the formation of stable organo-mineral complexes. By acting as a molecular bridge between clay minerals and polyvalent metal ions, humic substances promote the coalescence of primary particles into robust macroaggregates. Empirical support for this mechanism is provided by Stevenson (1994), whose wet-sieving analyses demonstrated a significant increase in aggregate stability following the application of </w:t>
      </w:r>
      <w:r w:rsidR="00C75297" w:rsidRPr="00C75297">
        <w:rPr>
          <w:rFonts w:ascii="Times New Roman" w:hAnsi="Times New Roman" w:cs="Times New Roman"/>
          <w:sz w:val="24"/>
          <w:szCs w:val="24"/>
        </w:rPr>
        <w:lastRenderedPageBreak/>
        <w:t>extracted humic fractions. This architectural stabilization directly translates to reduced bulk density and enhanced porosity, effectively mitigating the constraints of soil compaction. Furthermore, comparative trials have validated that humic amendments substantially optimize water-holding capacity and infiltration rates compared to unamended controls, particularly in degraded or organic-matter-deficient systems (Pettit, 2004). These modifications collectively foster a rhizosphere environment conducive to unimpeded root penetration and efficient gas exchange.</w:t>
      </w:r>
    </w:p>
    <w:p w14:paraId="5ACA1458" w14:textId="47AE65DA"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2.2.2</w:t>
      </w:r>
      <w:r w:rsidR="00FD6561">
        <w:rPr>
          <w:rFonts w:ascii="Times New Roman" w:hAnsi="Times New Roman" w:cs="Times New Roman"/>
          <w:b/>
          <w:bCs/>
          <w:sz w:val="24"/>
          <w:szCs w:val="24"/>
        </w:rPr>
        <w:t>.</w:t>
      </w:r>
      <w:r w:rsidR="001A71D3">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Optimization of Ion Exchange Dynamics and Nutrient Sequestration</w:t>
      </w:r>
    </w:p>
    <w:p w14:paraId="3CAC4043" w14:textId="41E4761C"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The chemical utility of humic acids is fundamentally derived from their dense population of carboxyl and phenolic functional groups, which impart a high intrinsic cation exchange capacity (CEC) to the soil matrix. These negatively charged sites act as electrostatic reservoirs, sequestering essential cations</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including </w:t>
      </w:r>
      <w:r w:rsidR="00C75297">
        <w:rPr>
          <w:rFonts w:ascii="Times New Roman" w:hAnsi="Times New Roman" w:cs="Times New Roman"/>
          <w:sz w:val="24"/>
          <w:szCs w:val="24"/>
        </w:rPr>
        <w:t>K</w:t>
      </w:r>
      <w:r w:rsidR="00C75297" w:rsidRPr="00C75297">
        <w:rPr>
          <w:rFonts w:ascii="Times New Roman" w:hAnsi="Times New Roman" w:cs="Times New Roman"/>
          <w:sz w:val="24"/>
          <w:szCs w:val="24"/>
          <w:vertAlign w:val="superscript"/>
        </w:rPr>
        <w:t>+</w:t>
      </w:r>
      <w:r w:rsidR="00C75297">
        <w:rPr>
          <w:rFonts w:ascii="Times New Roman" w:hAnsi="Times New Roman" w:cs="Times New Roman"/>
          <w:sz w:val="24"/>
          <w:szCs w:val="24"/>
        </w:rPr>
        <w:t>, Ca</w:t>
      </w:r>
      <w:r w:rsidR="00C75297" w:rsidRPr="00C75297">
        <w:rPr>
          <w:rFonts w:ascii="Times New Roman" w:hAnsi="Times New Roman" w:cs="Times New Roman"/>
          <w:sz w:val="24"/>
          <w:szCs w:val="24"/>
          <w:vertAlign w:val="superscript"/>
        </w:rPr>
        <w:t>2</w:t>
      </w:r>
      <w:r w:rsidR="00C75297">
        <w:rPr>
          <w:rFonts w:ascii="Times New Roman" w:hAnsi="Times New Roman" w:cs="Times New Roman"/>
          <w:sz w:val="24"/>
          <w:szCs w:val="24"/>
          <w:vertAlign w:val="superscript"/>
        </w:rPr>
        <w:t>+</w:t>
      </w:r>
      <w:r w:rsidR="00C75297">
        <w:rPr>
          <w:rFonts w:ascii="Times New Roman" w:hAnsi="Times New Roman" w:cs="Times New Roman"/>
          <w:sz w:val="24"/>
          <w:szCs w:val="24"/>
        </w:rPr>
        <w:t>, Mg</w:t>
      </w:r>
      <w:r w:rsidR="00C75297" w:rsidRPr="00C75297">
        <w:rPr>
          <w:rFonts w:ascii="Times New Roman" w:hAnsi="Times New Roman" w:cs="Times New Roman"/>
          <w:sz w:val="24"/>
          <w:szCs w:val="24"/>
          <w:vertAlign w:val="superscript"/>
        </w:rPr>
        <w:t>2+</w:t>
      </w:r>
      <w:r w:rsidR="00C75297" w:rsidRPr="00C75297">
        <w:rPr>
          <w:rFonts w:ascii="Times New Roman" w:hAnsi="Times New Roman" w:cs="Times New Roman"/>
          <w:sz w:val="24"/>
          <w:szCs w:val="24"/>
        </w:rPr>
        <w:t xml:space="preserve">and </w:t>
      </w:r>
      <w:r w:rsidR="00C75297">
        <w:rPr>
          <w:rFonts w:ascii="Times New Roman" w:hAnsi="Times New Roman" w:cs="Times New Roman"/>
          <w:sz w:val="24"/>
          <w:szCs w:val="24"/>
        </w:rPr>
        <w:t>NH</w:t>
      </w:r>
      <w:r w:rsidR="00C75297" w:rsidRPr="00C75297">
        <w:rPr>
          <w:rFonts w:ascii="Times New Roman" w:hAnsi="Times New Roman" w:cs="Times New Roman"/>
          <w:sz w:val="24"/>
          <w:szCs w:val="24"/>
          <w:vertAlign w:val="superscript"/>
        </w:rPr>
        <w:t>4+</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effectively buffering them against leaching losses. This enhanced retention mechanism ensures a sustained nutrient supply in the rhizosphere, thereby maximizing the agronomic efficiency of applied fertilizers. Characterization studies by Chen and Aviad (1990) underscore this relationship, utilizing soil incubation models to demonstrate that the integration of humic fractions significantly elevates exchangeable cation levels compared to unamended controls. By minimizing nutrient runoff and stabilizing ion availability, humic substances facilitate a more synchronized nutrient flux that aligns with the temporal demands of crop development.</w:t>
      </w:r>
    </w:p>
    <w:p w14:paraId="2065028B" w14:textId="72497A9B"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2.2.3</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Micronutrient Chelation and Bioavailability in Challenging Pedological Environments</w:t>
      </w:r>
    </w:p>
    <w:p w14:paraId="03A18D05" w14:textId="351A0719"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A critical facet of humic acid functionality is its role as a natural polydentate ligand, capable of for</w:t>
      </w:r>
      <w:r>
        <w:rPr>
          <w:rFonts w:ascii="Times New Roman" w:hAnsi="Times New Roman" w:cs="Times New Roman"/>
          <w:sz w:val="24"/>
          <w:szCs w:val="24"/>
        </w:rPr>
        <w:t>1</w:t>
      </w:r>
      <w:r w:rsidR="00C75297" w:rsidRPr="00C75297">
        <w:rPr>
          <w:rFonts w:ascii="Times New Roman" w:hAnsi="Times New Roman" w:cs="Times New Roman"/>
          <w:sz w:val="24"/>
          <w:szCs w:val="24"/>
        </w:rPr>
        <w:t>ming stable, soluble complexes with essential micronutrients such as </w:t>
      </w:r>
      <w:r w:rsidR="00BF4EC6">
        <w:rPr>
          <w:rFonts w:ascii="Times New Roman" w:hAnsi="Times New Roman" w:cs="Times New Roman"/>
          <w:sz w:val="24"/>
          <w:szCs w:val="24"/>
        </w:rPr>
        <w:t>Fe, Cu, Zn and Mn</w:t>
      </w:r>
      <w:r w:rsidR="00C75297" w:rsidRPr="00C75297">
        <w:rPr>
          <w:rFonts w:ascii="Times New Roman" w:hAnsi="Times New Roman" w:cs="Times New Roman"/>
          <w:sz w:val="24"/>
          <w:szCs w:val="24"/>
        </w:rPr>
        <w:t xml:space="preserve">. This chelation mechanism is particularly vital in alkaline or calcareous soil regimes, where these elements are prone to precipitation and mineral fixation. By maintaining these metals in a bioavailable form, humic substances effectively bypass the solubility constraints typical of high-pH environments. </w:t>
      </w:r>
      <w:r w:rsidR="00364C97">
        <w:rPr>
          <w:rFonts w:ascii="Times New Roman" w:hAnsi="Times New Roman" w:cs="Times New Roman"/>
          <w:sz w:val="24"/>
          <w:szCs w:val="24"/>
        </w:rPr>
        <w:t xml:space="preserve">(Katkat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C75297" w:rsidRPr="00C75297">
        <w:rPr>
          <w:rFonts w:ascii="Times New Roman" w:hAnsi="Times New Roman" w:cs="Times New Roman"/>
          <w:sz w:val="24"/>
          <w:szCs w:val="24"/>
        </w:rPr>
        <w:t>2009) validated this through soil incubation and pot trials, demonstrating that humic amendments significantly curtail nutrient immobilization. Their analysis of both soil extracts and plant tissues revealed that these organo-metal complexes not only prevent soil-level fixation but also enhance the internal translocation of micronutrients within the plant’s vascular system. Consequently, the application of humic acids serves as a strategic intervention for optimizing nutrient flux in otherwise nutrient-deficient calcareous soils.</w:t>
      </w:r>
    </w:p>
    <w:p w14:paraId="67593DB5" w14:textId="711AEBBF"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2.2.4</w:t>
      </w:r>
      <w:r w:rsidR="00FD6561">
        <w:rPr>
          <w:rFonts w:ascii="Times New Roman" w:hAnsi="Times New Roman" w:cs="Times New Roman"/>
          <w:b/>
          <w:bCs/>
          <w:sz w:val="24"/>
          <w:szCs w:val="24"/>
        </w:rPr>
        <w:t>.</w:t>
      </w:r>
      <w:r w:rsidR="00BF4EC6" w:rsidRPr="00BF4EC6">
        <w:rPr>
          <w:rFonts w:ascii="Times New Roman" w:hAnsi="Times New Roman" w:cs="Times New Roman"/>
          <w:b/>
          <w:bCs/>
          <w:sz w:val="24"/>
          <w:szCs w:val="24"/>
        </w:rPr>
        <w:t>Microbial Proliferation and Enzymatic Catalysis</w:t>
      </w:r>
    </w:p>
    <w:p w14:paraId="65A14582" w14:textId="1A4AE3BB"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Humic substances function as high-affinity carbon substrates that drive the metabolic activity of the soil microbiota. Beyond providing a labile energy source, these substances modulate the kin</w:t>
      </w:r>
      <w:r w:rsidR="00364C97">
        <w:rPr>
          <w:rFonts w:ascii="Times New Roman" w:hAnsi="Times New Roman" w:cs="Times New Roman"/>
          <w:sz w:val="24"/>
          <w:szCs w:val="24"/>
        </w:rPr>
        <w:t>etics of essential soil enzymes-</w:t>
      </w:r>
      <w:r w:rsidR="00BF4EC6" w:rsidRPr="00BF4EC6">
        <w:rPr>
          <w:rFonts w:ascii="Times New Roman" w:hAnsi="Times New Roman" w:cs="Times New Roman"/>
          <w:sz w:val="24"/>
          <w:szCs w:val="24"/>
        </w:rPr>
        <w:t>most notably urease,</w:t>
      </w:r>
      <w:r w:rsidR="00364C97">
        <w:rPr>
          <w:rFonts w:ascii="Times New Roman" w:hAnsi="Times New Roman" w:cs="Times New Roman"/>
          <w:sz w:val="24"/>
          <w:szCs w:val="24"/>
        </w:rPr>
        <w:t xml:space="preserve"> phosphatase, and dehydrogenase-</w:t>
      </w:r>
      <w:r w:rsidR="00BF4EC6" w:rsidRPr="00BF4EC6">
        <w:rPr>
          <w:rFonts w:ascii="Times New Roman" w:hAnsi="Times New Roman" w:cs="Times New Roman"/>
          <w:sz w:val="24"/>
          <w:szCs w:val="24"/>
        </w:rPr>
        <w:t xml:space="preserve">thereby accelerating the mineralization of organic nutrients into plant-available forms. Empirical assessments by Ciarkowska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(2017) confirm this stimulatory effect, noting significant elevations in both microbial biomass and enzymatic flux following humic integration. This biological surge is further supported by the physical amelioration of the soil matrix; by optimizing porosity and moisture retention, humic acids cultivate a stabilized micro-environment conducive </w:t>
      </w:r>
      <w:r w:rsidR="00BF4EC6" w:rsidRPr="00BF4EC6">
        <w:rPr>
          <w:rFonts w:ascii="Times New Roman" w:hAnsi="Times New Roman" w:cs="Times New Roman"/>
          <w:sz w:val="24"/>
          <w:szCs w:val="24"/>
        </w:rPr>
        <w:lastRenderedPageBreak/>
        <w:t xml:space="preserve">to beneficial microbial colonization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2015). Ultimately, the synergy between increased organic carbon availability and improved soil aeration facilitates a self-sustaining cycle of fertility that characterizes healthy, productive rhizospheres.</w:t>
      </w:r>
    </w:p>
    <w:p w14:paraId="1EBAD79A" w14:textId="4F3CD187"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2.2.5</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Phytohormone Mimicry and Membrane Transport Modulation</w:t>
      </w:r>
    </w:p>
    <w:p w14:paraId="212A1D90" w14:textId="6E2542A1"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A compelling aspect of humic substance functionality is their capacity to elicit physiological responses analogous to those triggered by auxins and cytokinins. These substances serve as biochemical signals that drive root architecture modification—specifically stimulating primary root elongation, lateral branching, and the proliferation of root hairs. This morphological "re-tuning" is intrinsically linked to the upregulation of plasma membrane </w:t>
      </w:r>
      <w:r w:rsidR="00C30FC3">
        <w:rPr>
          <w:rFonts w:ascii="Times New Roman" w:hAnsi="Times New Roman" w:cs="Times New Roman"/>
          <w:sz w:val="24"/>
          <w:szCs w:val="24"/>
        </w:rPr>
        <w:t>H</w:t>
      </w:r>
      <w:r w:rsidR="00C30FC3" w:rsidRPr="00C30FC3">
        <w:rPr>
          <w:rFonts w:ascii="Times New Roman" w:hAnsi="Times New Roman" w:cs="Times New Roman"/>
          <w:sz w:val="24"/>
          <w:szCs w:val="24"/>
          <w:vertAlign w:val="superscript"/>
        </w:rPr>
        <w:t>+</w:t>
      </w:r>
      <w:r w:rsidR="00C30FC3">
        <w:rPr>
          <w:rFonts w:ascii="Times New Roman" w:hAnsi="Times New Roman" w:cs="Times New Roman"/>
          <w:sz w:val="24"/>
          <w:szCs w:val="24"/>
        </w:rPr>
        <w:t xml:space="preserve"> ATPase activity.</w:t>
      </w:r>
      <w:r w:rsidR="00BF4EC6" w:rsidRPr="00BF4EC6">
        <w:rPr>
          <w:rFonts w:ascii="Times New Roman" w:hAnsi="Times New Roman" w:cs="Times New Roman"/>
          <w:sz w:val="24"/>
          <w:szCs w:val="24"/>
        </w:rPr>
        <w:t xml:space="preserve"> By intensifying the electrochemical gradient across root cell membranes, humic acids facilitate more efficient ion transport and nutrient acquisition. Controlled hydroponic and growth-chamber studies by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(2015) provide empirical evidence for this mechanism, demonstrating that humic-treated plants exhibit significantly higher membrane transport activity compared to untreated controls. This hormone-like </w:t>
      </w:r>
      <w:r w:rsidR="00C30FC3" w:rsidRPr="00BF4EC6">
        <w:rPr>
          <w:rFonts w:ascii="Times New Roman" w:hAnsi="Times New Roman" w:cs="Times New Roman"/>
          <w:sz w:val="24"/>
          <w:szCs w:val="24"/>
        </w:rPr>
        <w:t>signalling</w:t>
      </w:r>
      <w:r w:rsidR="00BF4EC6" w:rsidRPr="00BF4EC6">
        <w:rPr>
          <w:rFonts w:ascii="Times New Roman" w:hAnsi="Times New Roman" w:cs="Times New Roman"/>
          <w:sz w:val="24"/>
          <w:szCs w:val="24"/>
        </w:rPr>
        <w:t xml:space="preserve"> suggests that humic acids do not merely act as soil conditioners, but as active metabolic primers that optimize the plant's internal resource-capture strategies.</w:t>
      </w:r>
    </w:p>
    <w:p w14:paraId="29D327C4" w14:textId="6B3EFF1C"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2.2.6</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Modulation of Membrane Permeability and Ion Flux</w:t>
      </w:r>
    </w:p>
    <w:p w14:paraId="50E8C0AD" w14:textId="267A14EC" w:rsidR="00BF4EC6"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Beyond structural and chemical soil improvements, humic substances exert a direct physiological impact by enhancing the permeability of plant cellular membranes. This increased fluidity facilitates a more rapid influx of water and essential ions, effectively lowering the energetic barriers to nutrient acquisition. Empirical evidence from Sharif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(2002) supports this, where controlled pot trials involving wheat demonstrated that humic acid integration—when coupled with mineral fertilizers—significantly out-performed standalone fertilization regimes. By employing a randomized experimental framework to track nitrogen (N), phosphorus (P), and potassium (K) concentrations, the study illustrated that humic amendments do not merely supplement the soil but actively optimize the plant's internal absorption efficiency. These findings suggest that the synergy between humic acids and mineral inputs drives a superior yield response by maximizing the metabolic "draw" of nutrients across the root-cell interface.</w:t>
      </w:r>
    </w:p>
    <w:p w14:paraId="08ED9AD4" w14:textId="7FCDD447"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2.2.7</w:t>
      </w:r>
      <w:r w:rsidR="00FD6561">
        <w:rPr>
          <w:rFonts w:ascii="Times New Roman" w:hAnsi="Times New Roman" w:cs="Times New Roman"/>
          <w:b/>
          <w:bCs/>
          <w:sz w:val="24"/>
          <w:szCs w:val="24"/>
        </w:rPr>
        <w:t>.</w:t>
      </w:r>
      <w:r w:rsidR="009C1C92">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Upregulation of Photosynthetic Capacity and Chlorophyll Biosynthesis</w:t>
      </w:r>
    </w:p>
    <w:p w14:paraId="6DE96CA4" w14:textId="34817415" w:rsidR="00565E6F" w:rsidRDefault="00FD6561"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The metabolic influence of humic acids extends into the phyllosphere, where they significantly bolster chlorophyll density, net photosynthetic rates, and assimilation. This physiological enhancement is primarily driven by the optimized acquisition of </w:t>
      </w:r>
      <w:r w:rsidR="00565E6F">
        <w:rPr>
          <w:rFonts w:ascii="Times New Roman" w:hAnsi="Times New Roman" w:cs="Times New Roman"/>
          <w:sz w:val="24"/>
          <w:szCs w:val="24"/>
        </w:rPr>
        <w:t>N</w:t>
      </w:r>
      <w:r w:rsidR="00565E6F" w:rsidRPr="00565E6F">
        <w:rPr>
          <w:rFonts w:ascii="Times New Roman" w:hAnsi="Times New Roman" w:cs="Times New Roman"/>
          <w:sz w:val="24"/>
          <w:szCs w:val="24"/>
        </w:rPr>
        <w:t>, </w:t>
      </w:r>
      <w:r w:rsidR="00565E6F">
        <w:rPr>
          <w:rFonts w:ascii="Times New Roman" w:hAnsi="Times New Roman" w:cs="Times New Roman"/>
          <w:sz w:val="24"/>
          <w:szCs w:val="24"/>
        </w:rPr>
        <w:t xml:space="preserve">Mg </w:t>
      </w:r>
      <w:r w:rsidR="00565E6F" w:rsidRPr="00565E6F">
        <w:rPr>
          <w:rFonts w:ascii="Times New Roman" w:hAnsi="Times New Roman" w:cs="Times New Roman"/>
          <w:sz w:val="24"/>
          <w:szCs w:val="24"/>
        </w:rPr>
        <w:t>and </w:t>
      </w:r>
      <w:r w:rsidR="00565E6F">
        <w:rPr>
          <w:rFonts w:ascii="Times New Roman" w:hAnsi="Times New Roman" w:cs="Times New Roman"/>
          <w:sz w:val="24"/>
          <w:szCs w:val="24"/>
        </w:rPr>
        <w:t>Fe, t</w:t>
      </w:r>
      <w:r w:rsidR="00565E6F" w:rsidRPr="00565E6F">
        <w:rPr>
          <w:rFonts w:ascii="Times New Roman" w:hAnsi="Times New Roman" w:cs="Times New Roman"/>
          <w:sz w:val="24"/>
          <w:szCs w:val="24"/>
        </w:rPr>
        <w:t xml:space="preserve">he fundamental building blocks of the porphyrin ring and electron transport chain. Katkat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substantiated this link through comparative pot trials, demonstrating that humic amendments not only elevate foliar pigment concentrations but also improve the efficiency of the underlying photosynthetic apparatus. Furthermore, a critical feedback loop exists between subterranean and aerial growth; the robust root architecture induced by humic substances ensures a consistent hydraulic and nutrient flux, which is essential for sustaining high gas-exchange rates. Consequently, the integration of humic acids serves as a dual-action mechanism, stabilizing the root-zone while simultaneously "priming" the plant's primary productivity.</w:t>
      </w:r>
    </w:p>
    <w:p w14:paraId="78414641" w14:textId="5B208AB5"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lastRenderedPageBreak/>
        <w:t>2.2.8</w:t>
      </w:r>
      <w:r w:rsidR="00FD6561">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Amelioration of Abiotic Stress via Antioxidant Modulation</w:t>
      </w:r>
    </w:p>
    <w:p w14:paraId="7B3124D8" w14:textId="4D19372B"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Humic substance application has been shown to confer significant resilience against multifaceted environmental stressors, including drought, salinity, and heavy metal toxicity. This systemic tolerance is underpinned by a dual-action mechanism: the physical reinforcement of root architecture and the biochemical upregulation of the plant’s internal </w:t>
      </w:r>
      <w:r w:rsidRPr="00565E6F">
        <w:rPr>
          <w:rFonts w:ascii="Times New Roman" w:hAnsi="Times New Roman" w:cs="Times New Roman"/>
          <w:sz w:val="24"/>
          <w:szCs w:val="24"/>
        </w:rPr>
        <w:t>defence</w:t>
      </w:r>
      <w:r w:rsidR="00565E6F" w:rsidRPr="00565E6F">
        <w:rPr>
          <w:rFonts w:ascii="Times New Roman" w:hAnsi="Times New Roman" w:cs="Times New Roman"/>
          <w:sz w:val="24"/>
          <w:szCs w:val="24"/>
        </w:rPr>
        <w:t xml:space="preserve"> framework. Specifically, humic acids trigger the accumulation of osmoprotectants and stimulate the activity of key antioxidant enzymes, which collectively neutralize the reactive oxygen species (ROS) generated during stress events. Investigating this protective role, </w:t>
      </w:r>
      <w:r w:rsidR="00364C97">
        <w:rPr>
          <w:rFonts w:ascii="Times New Roman" w:hAnsi="Times New Roman" w:cs="Times New Roman"/>
          <w:sz w:val="24"/>
          <w:szCs w:val="24"/>
        </w:rPr>
        <w:t xml:space="preserve">(Yildiztekin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2018) subjected </w:t>
      </w:r>
      <w:r w:rsidR="00565E6F" w:rsidRPr="00565E6F">
        <w:rPr>
          <w:rFonts w:ascii="Times New Roman" w:hAnsi="Times New Roman" w:cs="Times New Roman"/>
          <w:i/>
          <w:iCs/>
          <w:sz w:val="24"/>
          <w:szCs w:val="24"/>
        </w:rPr>
        <w:t>Capsicum annuum</w:t>
      </w:r>
      <w:r w:rsidR="00565E6F" w:rsidRPr="00565E6F">
        <w:rPr>
          <w:rFonts w:ascii="Times New Roman" w:hAnsi="Times New Roman" w:cs="Times New Roman"/>
          <w:sz w:val="24"/>
          <w:szCs w:val="24"/>
        </w:rPr>
        <w:t> (pepper) to severe saline conditions (100 mM NaCl), observing that combined humic and seaweed treatments effectively buffered the plants against salt-induced growth inhibition. By quantifying elevations in superoxide dismutase (SOD), catalase (CAT), and peroxidase (POD) activities, alongside increased proline content, their findings highlight how these biostimulants preserve cellular homeostasis and biomass accumulation under osmotic and ionic strain.</w:t>
      </w:r>
    </w:p>
    <w:p w14:paraId="2B68DDF3" w14:textId="09A390BC" w:rsidR="004B4E0C" w:rsidRDefault="004B4E0C" w:rsidP="00565E6F">
      <w:pPr>
        <w:jc w:val="both"/>
        <w:rPr>
          <w:rFonts w:ascii="Times New Roman" w:hAnsi="Times New Roman" w:cs="Times New Roman"/>
          <w:sz w:val="24"/>
          <w:szCs w:val="24"/>
        </w:rPr>
      </w:pPr>
      <w:r>
        <w:rPr>
          <w:rFonts w:ascii="Times New Roman" w:hAnsi="Times New Roman" w:cs="Times New Roman"/>
          <w:sz w:val="24"/>
          <w:szCs w:val="24"/>
        </w:rPr>
        <w:t xml:space="preserve">Fig 2: </w:t>
      </w:r>
      <w:r w:rsidRPr="004B4E0C">
        <w:rPr>
          <w:rFonts w:ascii="Times New Roman" w:hAnsi="Times New Roman" w:cs="Times New Roman"/>
          <w:sz w:val="24"/>
          <w:szCs w:val="24"/>
        </w:rPr>
        <w:t>Mechanistic Pathways of Granular Humic Substances</w:t>
      </w:r>
    </w:p>
    <w:p w14:paraId="64EB6BCF" w14:textId="78A02E1D" w:rsidR="00A0575F" w:rsidRDefault="00A0575F" w:rsidP="00565E6F">
      <w:pPr>
        <w:jc w:val="both"/>
        <w:rPr>
          <w:rFonts w:ascii="Times New Roman" w:hAnsi="Times New Roman" w:cs="Times New Roman"/>
          <w:sz w:val="24"/>
          <w:szCs w:val="24"/>
        </w:rPr>
      </w:pPr>
      <w:r>
        <w:rPr>
          <w:noProof/>
        </w:rPr>
        <w:drawing>
          <wp:inline distT="0" distB="0" distL="0" distR="0" wp14:anchorId="56E10683" wp14:editId="00FF9F43">
            <wp:extent cx="5943600" cy="3241675"/>
            <wp:effectExtent l="0" t="0" r="0" b="0"/>
            <wp:docPr id="1345961867" name="Picture 8"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 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2B2EB1EA"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 Synergistic Dynamics of Combined Seaweed and Humic Acid Application</w:t>
      </w:r>
    </w:p>
    <w:p w14:paraId="396C1515" w14:textId="25E5BD3A" w:rsidR="00565E6F" w:rsidRP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The co-application of seaweed extracts and granular humic acids triggers a potent physiological and pedological synergy that transcends the efficacy of either amendment in isolation. This integrated approach addresses the soil-plant system holistically, merging hormonal biostimulation with structural soil refinement to foster regenerative agricultural productivity.</w:t>
      </w:r>
    </w:p>
    <w:p w14:paraId="02718D84"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2.3.1 Potentiated Nutrient Flux and Acquisition</w:t>
      </w:r>
    </w:p>
    <w:p w14:paraId="562BBFFC" w14:textId="23572617"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65E6F" w:rsidRPr="00565E6F">
        <w:rPr>
          <w:rFonts w:ascii="Times New Roman" w:hAnsi="Times New Roman" w:cs="Times New Roman"/>
          <w:sz w:val="24"/>
          <w:szCs w:val="24"/>
        </w:rPr>
        <w:t xml:space="preserve">This synergy is primarily driven by the complementary roles these substances play in the rhizosphere. While seaweed extracts exert a "pull" mechanism—stimulating root proliferation and hair density via endogenous phytohormones—humic acids provide the "push" by elevating the soil's cation exchange capacity (CEC) and sequestering micronutrients through chelation (Chen </w:t>
      </w:r>
      <w:r w:rsidR="001A71D3">
        <w:rPr>
          <w:rFonts w:ascii="Times New Roman" w:hAnsi="Times New Roman" w:cs="Times New Roman"/>
          <w:sz w:val="24"/>
          <w:szCs w:val="24"/>
        </w:rPr>
        <w:t>and</w:t>
      </w:r>
      <w:r w:rsidR="00565E6F" w:rsidRPr="00565E6F">
        <w:rPr>
          <w:rFonts w:ascii="Times New Roman" w:hAnsi="Times New Roman" w:cs="Times New Roman"/>
          <w:sz w:val="24"/>
          <w:szCs w:val="24"/>
        </w:rPr>
        <w:t xml:space="preserve"> Aviad, 1990). This dual action significantly lowers the energetic threshold for nutrient uptake. Empirical evidence from both soil incubation and randomized block trials underscores this effect; </w:t>
      </w:r>
      <w:r w:rsidR="00364C97">
        <w:rPr>
          <w:rFonts w:ascii="Times New Roman" w:hAnsi="Times New Roman" w:cs="Times New Roman"/>
          <w:sz w:val="24"/>
          <w:szCs w:val="24"/>
        </w:rPr>
        <w:t xml:space="preserve">(Katkat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2009 and Saha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2013) demonstrated that combined treatments yielded higher tissue concentrations of </w:t>
      </w:r>
      <w:r w:rsidR="00565E6F">
        <w:rPr>
          <w:rFonts w:ascii="Times New Roman" w:hAnsi="Times New Roman" w:cs="Times New Roman"/>
          <w:sz w:val="24"/>
          <w:szCs w:val="24"/>
        </w:rPr>
        <w:t>N, P and K</w:t>
      </w:r>
      <w:r w:rsidR="00565E6F" w:rsidRPr="00565E6F">
        <w:rPr>
          <w:rFonts w:ascii="Times New Roman" w:hAnsi="Times New Roman" w:cs="Times New Roman"/>
          <w:sz w:val="24"/>
          <w:szCs w:val="24"/>
        </w:rPr>
        <w:t xml:space="preserve"> than individual applications. Furthermore, longitudinal field studies by Sivakamipriya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(2022) suggest that the presence of humic substances stabilizes the highly labile bioactive compounds in seaweed, ensuring a more sustained release of growth-promoting signals and preventing the leaching of mineralized nutrients throughout the crop cycle.</w:t>
      </w:r>
    </w:p>
    <w:p w14:paraId="57ED25F2"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2.3.2 Structural Amelioration and Microbial Proliferation</w:t>
      </w:r>
    </w:p>
    <w:p w14:paraId="3FD5A9A7" w14:textId="03CE35D0"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integration of seaweed-derived polysaccharides with humic acid granules initiates a multifaceted restructuring of the soil architecture. While the high-molecular-weight polysaccharides from seaweed act as biological glues to facilitate initial aggregate formation and moisture retention, the humic fractions provide long-term stability by elevating organic carbon stocks and cation exchange capacity (CEC). This structural synergy—validated by the aggregate stability and bulk density analyses of Stevenson (1994) and Pettit (2004)—transforms the soil into a highly porous, moisture-secure matrix. Beyond physical changes, this modified environment serves as a specialized niche for the soil microbiota. Empirical evidence from Ciarkowska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(2017) suggests that the combined presence of these organic amendments significantly boosts microbial biomass and the kinetics of nutrient-cycling enzymes. By fostering a carbon-rich habitat, this dual application accelerates the biological mineralization of nitrogen and the solubilization of recalcitrant phosphorus, effectively engineering a self-sustaining rhizosphere that supports intensive crop demands.</w:t>
      </w:r>
    </w:p>
    <w:p w14:paraId="24B31555" w14:textId="311D8A0F"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2.3.3 Convergent Hormonal Signalling and Rhizosphere Expansion</w:t>
      </w:r>
    </w:p>
    <w:p w14:paraId="411A0879" w14:textId="566C46F9"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most profound synergistic effect of seaweed and humic acid co-application manifests in the fundamental restructuring of the subterranean architecture. While seaweed extracts provide a direct exogenous supply of auxins and cytokinins, humic substances exert a "bio-mimetic" influence, triggering similar endogenous </w:t>
      </w:r>
      <w:r w:rsidR="001A71D3" w:rsidRPr="00565E6F">
        <w:rPr>
          <w:rFonts w:ascii="Times New Roman" w:hAnsi="Times New Roman" w:cs="Times New Roman"/>
          <w:sz w:val="24"/>
          <w:szCs w:val="24"/>
        </w:rPr>
        <w:t>signalling</w:t>
      </w:r>
      <w:r w:rsidR="00565E6F" w:rsidRPr="00565E6F">
        <w:rPr>
          <w:rFonts w:ascii="Times New Roman" w:hAnsi="Times New Roman" w:cs="Times New Roman"/>
          <w:sz w:val="24"/>
          <w:szCs w:val="24"/>
        </w:rPr>
        <w:t xml:space="preserve"> pathways within the plant. This dual-source hormonal stimulation drives a dramatic shift in root morphology, characterized by significantly extended root lengths, a proliferation of root hair density, and a broader total surface area. Comparative trials conducted by Rathore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and Canellas et al. (2015) in both field and growth-chamber settings confirm that this enhanced root-zone not only improves physical water acquisition but also facilitates more robust mycorrhizal associations. By integrating foliar and soil-based delivery methods, these treatments effectively "prime" the plant's nutrient-capture machinery, ensuring that the enhanced soil fertility—provided by the humic granules—is met by a highly efficient, expansive root system capable of maximizing resource uptake.</w:t>
      </w:r>
    </w:p>
    <w:p w14:paraId="718E6662" w14:textId="77777777" w:rsidR="00A0575F" w:rsidRDefault="00A0575F" w:rsidP="00565E6F">
      <w:pPr>
        <w:jc w:val="both"/>
        <w:rPr>
          <w:rFonts w:ascii="Times New Roman" w:hAnsi="Times New Roman" w:cs="Times New Roman"/>
          <w:sz w:val="24"/>
          <w:szCs w:val="24"/>
        </w:rPr>
      </w:pPr>
    </w:p>
    <w:p w14:paraId="755E8D6C" w14:textId="77777777" w:rsidR="00A0575F" w:rsidRDefault="00A0575F" w:rsidP="00565E6F">
      <w:pPr>
        <w:jc w:val="both"/>
        <w:rPr>
          <w:rFonts w:ascii="Times New Roman" w:hAnsi="Times New Roman" w:cs="Times New Roman"/>
          <w:sz w:val="24"/>
          <w:szCs w:val="24"/>
        </w:rPr>
      </w:pPr>
    </w:p>
    <w:p w14:paraId="68F847E9" w14:textId="3DCD8288"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lastRenderedPageBreak/>
        <w:t>2.3.4 Multi-Tiered Defence Against Abiotic Stressors</w:t>
      </w:r>
    </w:p>
    <w:p w14:paraId="17EBB1E1" w14:textId="69643F2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co-application of seaweed extracts and humic substances establishes a robust, dual-layered defence mechanism against drought, thermal extremes, and salinity. This defensive synergy operates across both the soil and cellular levels: while humic acids provide a physical buffer by optimizing soil moisture retention and hydraulic conductivity, the seaweed-derived osmoprotectants and antioxidants offer direct cytoprotection against oxidative damage. Empirical evidence from Yildiztekin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(2018) supports this integrated resilience; their controlled-environment studies on salt-stressed crops revealed that the combined treatment significantly outperformed individual applications in mitigating ion toxicity. By triggering a more vigorous upregulation of key antioxidant enzymes</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specifically superoxide dismutase (SOD), peroxidase (POD), and catalase (CAT)</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this biostimulant pairing effectively neutralizes reactive oxygen species (ROS). Consequently, the simultaneous stabilization of the root-zone moisture and the enhancement of cellular scavenging capacity allow plants to maintain homeostatic stability and biomass production even under severe osmotic and thermal strain.</w:t>
      </w:r>
    </w:p>
    <w:p w14:paraId="0F0EB223"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2.3.5 Cumulative Impact on Agronomic Productivity and Yield Architecture</w:t>
      </w:r>
    </w:p>
    <w:p w14:paraId="41D4917A" w14:textId="3B040ED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convergence of improved nutrient flux, expanded root architecture, and enhanced stress resilience ultimately manifests as a significant uplift in total crop productivity. This integrated biostimulant approach does not merely produce larger plants; it optimizes the </w:t>
      </w:r>
      <w:r w:rsidR="00364C97">
        <w:rPr>
          <w:rFonts w:ascii="Times New Roman" w:hAnsi="Times New Roman" w:cs="Times New Roman"/>
          <w:sz w:val="24"/>
          <w:szCs w:val="24"/>
        </w:rPr>
        <w:t>entire yield-defining framework-</w:t>
      </w:r>
      <w:r w:rsidR="00A8047F" w:rsidRPr="00A8047F">
        <w:rPr>
          <w:rFonts w:ascii="Times New Roman" w:hAnsi="Times New Roman" w:cs="Times New Roman"/>
          <w:sz w:val="24"/>
          <w:szCs w:val="24"/>
        </w:rPr>
        <w:t xml:space="preserve">from early-stage tillering and biomass accumulation to the final grain or fruit filling stages. Systematic evaluations across diverse cropping systems, including cereals like rice and wheat as well as high-value horticultural species, consistently demonstrate this superior growth trajectory (Saha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2013). Empirical data from both field and pot trials (Sivakamipriya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2022) indicate that the combined application of seaweed and humic substances yields significantly higher chlorophyll density and biomass than standalone treatments. By stabilizing the physiological "source-sink" relationship, this synergistic pairing ensures that the metabolic gains achieved through enhanced photosynthesis are effectively partitioned into harvestable yield, providing a scalable strategy for sustainable intensification in modern agriculture.</w:t>
      </w:r>
    </w:p>
    <w:p w14:paraId="49C8D371"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2.3.6 Implications for Pedological Resilience and Carbon Sequestration</w:t>
      </w:r>
    </w:p>
    <w:p w14:paraId="386472D0" w14:textId="1579F1BF"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Beyond immediate seasonal gains, the co-application of seaweed extracts and humic acid granules facilitates a dual-track enrichment of the soil organic matter (SOM) pool. Seaweed-derived residues contribute a high-turnover, labile carbon fraction that fuels immediate microbial metabolism, while humic substances provide the recalcitrant, stable carbon skeleton necessary for long-term sequestration. This synergistic input—corroborated by the foundational incubation studies of Ste</w:t>
      </w:r>
      <w:r w:rsidR="00364C97">
        <w:rPr>
          <w:rFonts w:ascii="Times New Roman" w:hAnsi="Times New Roman" w:cs="Times New Roman"/>
          <w:sz w:val="24"/>
          <w:szCs w:val="24"/>
        </w:rPr>
        <w:t>venson (1994) and Pettit (2004)</w:t>
      </w:r>
      <w:r w:rsidR="00654950">
        <w:rPr>
          <w:rFonts w:ascii="Times New Roman" w:hAnsi="Times New Roman" w:cs="Times New Roman"/>
          <w:sz w:val="24"/>
          <w:szCs w:val="24"/>
        </w:rPr>
        <w:t xml:space="preserve"> </w:t>
      </w:r>
      <w:r w:rsidR="00A8047F" w:rsidRPr="00A8047F">
        <w:rPr>
          <w:rFonts w:ascii="Times New Roman" w:hAnsi="Times New Roman" w:cs="Times New Roman"/>
          <w:sz w:val="24"/>
          <w:szCs w:val="24"/>
        </w:rPr>
        <w:t>effectively elevates total soil organic carbon (SOC) and fortifies the soil’s intrinsic buffering capacity. By stabilizing pH and expanding the cation exchange capacity (CEC), this biostimulant pairing creates a "chemical shock absorber" against environmental fluctuations. Ultimately, this shift toward biologically driven fertility reduces the systemic reliance on synthetic mineral fertilizers, positioning the seaweed-humic acid complex as a cornerstone of climate-smart, regenerative agricultural strategies.</w:t>
      </w:r>
    </w:p>
    <w:p w14:paraId="72749D84" w14:textId="77777777" w:rsidR="00A0575F" w:rsidRDefault="00A0575F" w:rsidP="00A8047F">
      <w:pPr>
        <w:jc w:val="both"/>
        <w:rPr>
          <w:rFonts w:ascii="Times New Roman" w:hAnsi="Times New Roman" w:cs="Times New Roman"/>
          <w:sz w:val="24"/>
          <w:szCs w:val="24"/>
        </w:rPr>
      </w:pPr>
    </w:p>
    <w:p w14:paraId="13CC550F" w14:textId="6430E60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lastRenderedPageBreak/>
        <w:t>3. I</w:t>
      </w:r>
      <w:r w:rsidR="001223A4">
        <w:rPr>
          <w:rFonts w:ascii="Times New Roman" w:hAnsi="Times New Roman" w:cs="Times New Roman"/>
          <w:b/>
          <w:bCs/>
          <w:sz w:val="24"/>
          <w:szCs w:val="24"/>
        </w:rPr>
        <w:t>MPACT ON SOIL PHYSIOCHEMICAL PROPERTIES</w:t>
      </w:r>
      <w:r w:rsidRPr="00A8047F">
        <w:rPr>
          <w:rFonts w:ascii="Times New Roman" w:hAnsi="Times New Roman" w:cs="Times New Roman"/>
          <w:b/>
          <w:bCs/>
          <w:sz w:val="24"/>
          <w:szCs w:val="24"/>
        </w:rPr>
        <w:t xml:space="preserve"> </w:t>
      </w:r>
    </w:p>
    <w:p w14:paraId="20E7E649" w14:textId="700CEB4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integration of seaweed extracts and humic acid granules initiates a profound recalibration of the soil’s physical and chemical environment, fostering a more resilient matrix for crop production.</w:t>
      </w:r>
    </w:p>
    <w:p w14:paraId="7B7A3D15"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3.1 Structural Architecture and Aggregate Dynamics</w:t>
      </w:r>
    </w:p>
    <w:p w14:paraId="1B86422C" w14:textId="33144A70"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formation of a robust soil framework is driven by the synergistic binding capacities of seaweed-derived polysaccharides and humic s</w:t>
      </w:r>
      <w:r w:rsidR="00364C97">
        <w:rPr>
          <w:rFonts w:ascii="Times New Roman" w:hAnsi="Times New Roman" w:cs="Times New Roman"/>
          <w:sz w:val="24"/>
          <w:szCs w:val="24"/>
        </w:rPr>
        <w:t xml:space="preserve">ubstances. Seaweed constituents </w:t>
      </w:r>
      <w:r w:rsidR="00A8047F" w:rsidRPr="00A8047F">
        <w:rPr>
          <w:rFonts w:ascii="Times New Roman" w:hAnsi="Times New Roman" w:cs="Times New Roman"/>
          <w:sz w:val="24"/>
          <w:szCs w:val="24"/>
        </w:rPr>
        <w:t>spec</w:t>
      </w:r>
      <w:r w:rsidR="00364C97">
        <w:rPr>
          <w:rFonts w:ascii="Times New Roman" w:hAnsi="Times New Roman" w:cs="Times New Roman"/>
          <w:sz w:val="24"/>
          <w:szCs w:val="24"/>
        </w:rPr>
        <w:t xml:space="preserve">ifically alginate and laminarin </w:t>
      </w:r>
      <w:r w:rsidR="00A8047F" w:rsidRPr="00A8047F">
        <w:rPr>
          <w:rFonts w:ascii="Times New Roman" w:hAnsi="Times New Roman" w:cs="Times New Roman"/>
          <w:sz w:val="24"/>
          <w:szCs w:val="24"/>
        </w:rPr>
        <w:t>function as transient biological adhesives that facilitate the initial flocculation of soil particles into stable macroaggregates. Empirical assessments by Kumar and Sahoo (2020) demonstrate that these polysaccharides significantly enhance water-holding capacity and porosity relative to unamended controls. Complementing this initial stabilization, humic acids serve as long-term binding agents; through their complexation with mineral surfaces and polyvalent metal ions, they forge durable micro- and macroaggregate structures (Tipping, 2002).</w:t>
      </w:r>
      <w:r w:rsidR="00364C97">
        <w:rPr>
          <w:rFonts w:ascii="Times New Roman" w:hAnsi="Times New Roman" w:cs="Times New Roman"/>
          <w:sz w:val="24"/>
          <w:szCs w:val="24"/>
        </w:rPr>
        <w:t xml:space="preserve"> This dual-action stabilization </w:t>
      </w:r>
      <w:r w:rsidR="00A8047F" w:rsidRPr="00A8047F">
        <w:rPr>
          <w:rFonts w:ascii="Times New Roman" w:hAnsi="Times New Roman" w:cs="Times New Roman"/>
          <w:sz w:val="24"/>
          <w:szCs w:val="24"/>
        </w:rPr>
        <w:t>combining the rapid adhesive properties of seaweed with the persistent mineral-bindi</w:t>
      </w:r>
      <w:r w:rsidR="00364C97">
        <w:rPr>
          <w:rFonts w:ascii="Times New Roman" w:hAnsi="Times New Roman" w:cs="Times New Roman"/>
          <w:sz w:val="24"/>
          <w:szCs w:val="24"/>
        </w:rPr>
        <w:t xml:space="preserve">ng of humic acid </w:t>
      </w:r>
      <w:r w:rsidR="00A8047F" w:rsidRPr="00A8047F">
        <w:rPr>
          <w:rFonts w:ascii="Times New Roman" w:hAnsi="Times New Roman" w:cs="Times New Roman"/>
          <w:sz w:val="24"/>
          <w:szCs w:val="24"/>
        </w:rPr>
        <w:t>effectively mitigates soil compaction and elevates aeration. Consequently, this restructured soil profile exhibits a superior resistance to erosive forces and physical degradation, maintaining a porous environment conducive to unimpeded gas exchange and root expansion.</w:t>
      </w:r>
    </w:p>
    <w:p w14:paraId="5BCBF437"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3.2 Dynamics of Soil Organic Carbon (SOC) and Sequestration</w:t>
      </w:r>
    </w:p>
    <w:p w14:paraId="3A64D106" w14:textId="58557C5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combined application of seaweed and humic acid granules establishes a dual-track enrichment of the soil organic matter (SOM) pool, balancing immediate biological demand with long-term structural stability. Seaweed-derived inputs introduce a highly labile organic fraction that serves as a primary substrate for microbial proliferation. Empirical longitudinal studies by El-Naggar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(2018) underscore this effect, noting significant elevations in microbial biomass carbon and respiration rates, which accelerate the cycling of essential nutrients. Conversely, humic substances supply the recalcitrant carbon fractions necessary for durable sequestration within the soil matrix. By quantifyin</w:t>
      </w: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g both total and stable organic carbon pools, </w:t>
      </w:r>
      <w:r w:rsidR="00364C97">
        <w:rPr>
          <w:rFonts w:ascii="Times New Roman" w:hAnsi="Times New Roman" w:cs="Times New Roman"/>
          <w:sz w:val="24"/>
          <w:szCs w:val="24"/>
        </w:rPr>
        <w:t>(</w:t>
      </w:r>
      <w:r w:rsidR="00A8047F" w:rsidRPr="00A8047F">
        <w:rPr>
          <w:rFonts w:ascii="Times New Roman" w:hAnsi="Times New Roman" w:cs="Times New Roman"/>
          <w:sz w:val="24"/>
          <w:szCs w:val="24"/>
        </w:rPr>
        <w:t xml:space="preserve">Feng </w:t>
      </w:r>
      <w:r w:rsidR="00A8047F"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A8047F" w:rsidRPr="00A8047F">
        <w:rPr>
          <w:rFonts w:ascii="Times New Roman" w:hAnsi="Times New Roman" w:cs="Times New Roman"/>
          <w:sz w:val="24"/>
          <w:szCs w:val="24"/>
        </w:rPr>
        <w:t>2014) demonstrated that humic amendments significantly bolster the persistent carbon fraction compared to unamended controls. This synergy between "fresh" and "stabilized" organic inputs not only elevates the total SOC but also optimizes the soil’s intrinsic fertility and nutrient-holding capacity. Consequently, this integrated approach provides a robust framework for climate-smart agriculture by transforming the soil into a more effective sink for atmospheric carbon.</w:t>
      </w:r>
    </w:p>
    <w:p w14:paraId="1D2A21F9" w14:textId="12EBA94F" w:rsidR="00ED118B" w:rsidRPr="00ED118B" w:rsidRDefault="001223A4" w:rsidP="00ED118B">
      <w:pPr>
        <w:jc w:val="both"/>
        <w:rPr>
          <w:rFonts w:ascii="Times New Roman" w:hAnsi="Times New Roman" w:cs="Times New Roman"/>
          <w:b/>
          <w:bCs/>
          <w:sz w:val="24"/>
          <w:szCs w:val="24"/>
        </w:rPr>
      </w:pPr>
      <w:r>
        <w:rPr>
          <w:rFonts w:ascii="Times New Roman" w:hAnsi="Times New Roman" w:cs="Times New Roman"/>
          <w:b/>
          <w:bCs/>
          <w:sz w:val="24"/>
          <w:szCs w:val="24"/>
        </w:rPr>
        <w:t>3.3.</w:t>
      </w:r>
      <w:r w:rsidR="001A71D3">
        <w:rPr>
          <w:rFonts w:ascii="Times New Roman" w:hAnsi="Times New Roman" w:cs="Times New Roman"/>
          <w:b/>
          <w:bCs/>
          <w:sz w:val="24"/>
          <w:szCs w:val="24"/>
        </w:rPr>
        <w:t xml:space="preserve"> </w:t>
      </w:r>
      <w:r w:rsidR="00ED118B" w:rsidRPr="00ED118B">
        <w:rPr>
          <w:rFonts w:ascii="Times New Roman" w:hAnsi="Times New Roman" w:cs="Times New Roman"/>
          <w:b/>
          <w:bCs/>
          <w:sz w:val="24"/>
          <w:szCs w:val="24"/>
        </w:rPr>
        <w:t>Potentiation of Cation Exchange Capacity (CEC) and Nutrient Retention</w:t>
      </w:r>
    </w:p>
    <w:p w14:paraId="7BDDBD30" w14:textId="5D817054" w:rsidR="00ED118B" w:rsidRDefault="001A71D3" w:rsidP="00ED118B">
      <w:pPr>
        <w:jc w:val="both"/>
        <w:rPr>
          <w:rFonts w:ascii="Times New Roman" w:hAnsi="Times New Roman" w:cs="Times New Roman"/>
          <w:sz w:val="24"/>
          <w:szCs w:val="24"/>
        </w:rPr>
      </w:pPr>
      <w:r>
        <w:rPr>
          <w:rFonts w:ascii="Times New Roman" w:hAnsi="Times New Roman" w:cs="Times New Roman"/>
          <w:sz w:val="24"/>
          <w:szCs w:val="24"/>
        </w:rPr>
        <w:t>T</w:t>
      </w:r>
      <w:r w:rsidR="00ED118B" w:rsidRPr="00ED118B">
        <w:rPr>
          <w:rFonts w:ascii="Times New Roman" w:hAnsi="Times New Roman" w:cs="Times New Roman"/>
          <w:sz w:val="24"/>
          <w:szCs w:val="24"/>
        </w:rPr>
        <w:t>he chemical integration of seaweed extracts and humic substances fundamentally elevates the soil’s ion-retention capacity through the introduction of dense carboxyl and phenolic functional groups. These anionic sites significantly expand the net cation exchange capacity (CEC), creating an electrostatic reservoir that sequester essential macronutrients such as </w:t>
      </w:r>
      <w:r w:rsidR="00ED118B">
        <w:rPr>
          <w:rFonts w:ascii="Times New Roman" w:hAnsi="Times New Roman" w:cs="Times New Roman"/>
          <w:sz w:val="24"/>
          <w:szCs w:val="24"/>
        </w:rPr>
        <w:t>Ca</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Mg</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K</w:t>
      </w:r>
      <w:r w:rsidR="00ED118B" w:rsidRPr="00ED118B">
        <w:rPr>
          <w:rFonts w:ascii="Times New Roman" w:hAnsi="Times New Roman" w:cs="Times New Roman"/>
          <w:sz w:val="24"/>
          <w:szCs w:val="24"/>
          <w:vertAlign w:val="superscript"/>
        </w:rPr>
        <w:t>+</w:t>
      </w:r>
      <w:r w:rsidR="00ED118B">
        <w:rPr>
          <w:rFonts w:ascii="Times New Roman" w:hAnsi="Times New Roman" w:cs="Times New Roman"/>
          <w:sz w:val="24"/>
          <w:szCs w:val="24"/>
        </w:rPr>
        <w:t xml:space="preserve"> and NH</w:t>
      </w:r>
      <w:r w:rsidR="00ED118B" w:rsidRPr="00ED118B">
        <w:rPr>
          <w:rFonts w:ascii="Times New Roman" w:hAnsi="Times New Roman" w:cs="Times New Roman"/>
          <w:sz w:val="24"/>
          <w:szCs w:val="24"/>
          <w:vertAlign w:val="subscript"/>
        </w:rPr>
        <w:t>4</w:t>
      </w:r>
      <w:r w:rsidR="00ED118B" w:rsidRPr="00ED118B">
        <w:rPr>
          <w:rFonts w:ascii="Times New Roman" w:hAnsi="Times New Roman" w:cs="Times New Roman"/>
          <w:sz w:val="24"/>
          <w:szCs w:val="24"/>
          <w:vertAlign w:val="superscript"/>
        </w:rPr>
        <w:t>+</w:t>
      </w:r>
      <w:r w:rsidR="00ED118B" w:rsidRPr="00ED118B">
        <w:rPr>
          <w:rFonts w:ascii="Times New Roman" w:hAnsi="Times New Roman" w:cs="Times New Roman"/>
          <w:sz w:val="24"/>
          <w:szCs w:val="24"/>
        </w:rPr>
        <w:t xml:space="preserve">. Foundational research by Craigie (2011) and Tan (2014) underscores that this chemical enrichment directly mitigates the leaching of mobile nutrients, thereby synchronizing nutrient availability with </w:t>
      </w:r>
      <w:r w:rsidR="00ED118B" w:rsidRPr="00ED118B">
        <w:rPr>
          <w:rFonts w:ascii="Times New Roman" w:hAnsi="Times New Roman" w:cs="Times New Roman"/>
          <w:sz w:val="24"/>
          <w:szCs w:val="24"/>
        </w:rPr>
        <w:lastRenderedPageBreak/>
        <w:t>the temporal uptake demands of the crop. Empirical validation through standard chemical analysis has consistently demonstrated that amended soils maintain a higher concentration of exchangeable cations compared to unamended controls. By stabilizing the nutrient flux within the rhizosphere, this dual-application strategy not only reduces the environmental footprint of agriculture but also maximizes the agronomic efficiency of mineral fertilizers.</w:t>
      </w:r>
    </w:p>
    <w:p w14:paraId="15579241" w14:textId="6AD69C51"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3.4.</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Optimization of Hydrological Dynamics and Moisture Retention</w:t>
      </w:r>
    </w:p>
    <w:p w14:paraId="5B929743" w14:textId="2E58A86B"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synergistic integration of seaweed extracts and humic substances fundamentally alters the soil’s hydraulic properties, creating a more resilient moisture reservoir within the rhizosphere. This hydrological optimization is driven by the high-affinity hydrophilic nature of seaweed-derived alginates, which function as biogenic hydro-absorbants that significantly elevate the soil's matric potential. Empirical longitudinal studies by Kumar and Sahoo (2020) substantiate this effect, noting a marked reduction in evaporation rates and a corresponding increase in plant-available water compared to unamended controls. Complementing this chemical water-binding, humic acids refine the soil’s physical architecture by promoting the development of stable micro- and macro-porosity (Piccolo, 2002). This structural reorganization—validated through comparative water-dynamic assays—not only enhances total water-holding capacity but also improves capillary flow. Consequently, the dual application of these biostimulants serves as a critical buffer against periodic drought stress, ensuring that the soil matrix maintains sufficient hydration to support continuous physiological activity during periods of limited precipitation.</w:t>
      </w:r>
    </w:p>
    <w:p w14:paraId="69730CD4" w14:textId="643F5B2A"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3.5.</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Potentiation of Microbial Ecology and Enzymatic Flux</w:t>
      </w:r>
    </w:p>
    <w:p w14:paraId="7DC00CD6" w14:textId="4637C2F7"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synergistic application of seaweed and humic acid granules significantly enhances the biological vitality of the soil by providing a diverse array of metabolic substrates. Seaweed constituents—specifically laminarin and mannitol—function as high-energy carbon sources that trigger rapid microbial proliferation. Empirical assessments by Craigie (2011) substantiate this biostimulatory effect, noting a marked increase in microbial biomass and overall metabolic activity relative to unamended controls. Complementing this biological surge, humic substances provide the structural and chemical "niche" necessary for stable microbial colonization. This interaction is particularly evident in the upregulation of key extracellular enzymes, including urease, phosphatase, and dehydrogenase, which are critical for the mineralization of organic nutrient pools (El-Naggar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2018). By fostering a robust enzymatic environment, this dual-application strategy accelerates the conversion of recalcitrant nutrients into bioavailable forms, thereby ensuring a sustained nutrient supply within the rhizosphere.</w:t>
      </w:r>
    </w:p>
    <w:p w14:paraId="4BB95631"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3.6 Modulation of Soil pH Stability and Buffering Kinetics</w:t>
      </w:r>
    </w:p>
    <w:p w14:paraId="2236AA8A" w14:textId="14D90EBA"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Beyond biological stimulation, humic acids serve as foundational chemical buffers that moderate the soil’s acid-base equilibrium. Due to their high density of oxygen-containing functional groups, these substances possess a high intrinsic buffering capacity, effectively neutralizing both acidic and alkaline fluctuations within the soil matrix (Tan, 2014). This stabilizing effect is further augmented by the mineral profile of seaweed, which provides essential cations that assist in pH regulation. Long-term incubation studies have validated that soils amended with these biostimulants maintain a more consistent pH profile compared to untreated </w:t>
      </w:r>
      <w:r w:rsidR="00A42434" w:rsidRPr="00A42434">
        <w:rPr>
          <w:rFonts w:ascii="Times New Roman" w:hAnsi="Times New Roman" w:cs="Times New Roman"/>
          <w:sz w:val="24"/>
          <w:szCs w:val="24"/>
        </w:rPr>
        <w:lastRenderedPageBreak/>
        <w:t>controls, preventing the nutrient fixation often associated with extreme pH shifts. Consequently, this enhanced buffering capacity preserves the solubility of essential elements and protects the soil from the chemical degradation typically induced by intensive synthetic fertilization.</w:t>
      </w:r>
    </w:p>
    <w:p w14:paraId="0C26D13A" w14:textId="32BCBC0E"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 M</w:t>
      </w:r>
      <w:r w:rsidR="001223A4">
        <w:rPr>
          <w:rFonts w:ascii="Times New Roman" w:hAnsi="Times New Roman" w:cs="Times New Roman"/>
          <w:b/>
          <w:bCs/>
          <w:sz w:val="24"/>
          <w:szCs w:val="24"/>
        </w:rPr>
        <w:t>ODULATION OF CROP ONTOGENY AND PRODUCTIVITY</w:t>
      </w:r>
      <w:r w:rsidRPr="00A42434">
        <w:rPr>
          <w:rFonts w:ascii="Times New Roman" w:hAnsi="Times New Roman" w:cs="Times New Roman"/>
          <w:b/>
          <w:bCs/>
          <w:sz w:val="24"/>
          <w:szCs w:val="24"/>
        </w:rPr>
        <w:t xml:space="preserve"> </w:t>
      </w:r>
      <w:r w:rsidR="001223A4">
        <w:rPr>
          <w:rFonts w:ascii="Times New Roman" w:hAnsi="Times New Roman" w:cs="Times New Roman"/>
          <w:b/>
          <w:bCs/>
          <w:sz w:val="24"/>
          <w:szCs w:val="24"/>
        </w:rPr>
        <w:t xml:space="preserve"> </w:t>
      </w:r>
    </w:p>
    <w:p w14:paraId="48355C09" w14:textId="63B9AE0F"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strategic integration of seaweed extracts and humic acid granules significantly augments the physiological trajectory of crop species, from initial germination through to reproductive maturity. These biostimulants function as a rich repository of bioactive ligands that recalibrate plant metabolism and optimize the rhizosphere, effectively bridging the gap between genetic potential and agronomic performance.</w:t>
      </w:r>
    </w:p>
    <w:p w14:paraId="4218A76D"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4.1 Enhanced Germination Kinetics and Early Seedling Vigor</w:t>
      </w:r>
    </w:p>
    <w:p w14:paraId="46DBD87D" w14:textId="65576072"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initial phase of crop establishment is profoundly influenced by the hormonal profile of seaweed extracts. By providing an exogenous supply of cytokinins, auxins, and gibberellins, these extracts act as biochemical triggers that accelerate the mobilization of seed reserves and the activation of metabolic enzymes. Empirical evidence from Shukla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(2019) substantiates this, noting that seaweed-treated seeds exhibit superior germination velocity and uniformity compared to untreated controls. Complementing this hormonal stimulus, humic acid granules facilitate early-stage development by modulating membrane permeability and cellular energetics. Through the intensification of nutrient flux across the nascent root-cell interface, humic substances provide the physiological momentum necessary for robust primary root elongation (Aslam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2016). When co-applied, these amendments exert a synergistic "priming" effect; the rapid emergence facilitated by seaweed is met by the structural root-shoot optimization driven by humic acids. This early-stage synchronization ensures a high-vigor start, establishing a resilient physiological foundation that supports the plant's subsequent vegetative and reproductive transitions.</w:t>
      </w:r>
    </w:p>
    <w:p w14:paraId="37826F9A" w14:textId="528E375D" w:rsidR="00E639C1" w:rsidRDefault="00E639C1" w:rsidP="00A42434">
      <w:pPr>
        <w:jc w:val="both"/>
        <w:rPr>
          <w:rFonts w:ascii="Times New Roman" w:hAnsi="Times New Roman" w:cs="Times New Roman"/>
          <w:sz w:val="24"/>
          <w:szCs w:val="24"/>
        </w:rPr>
      </w:pPr>
      <w:r w:rsidRPr="00E639C1">
        <w:rPr>
          <w:rFonts w:ascii="Times New Roman" w:hAnsi="Times New Roman" w:cs="Times New Roman"/>
          <w:sz w:val="24"/>
          <w:szCs w:val="24"/>
        </w:rPr>
        <w:t xml:space="preserve">The combined application of seaweed and humic acid induces extensive root system proliferation and enhances lateral root formation by activating plasma membrane H⁺-ATPases, as evidenced by studies on root </w:t>
      </w:r>
      <w:r w:rsidR="00443734">
        <w:rPr>
          <w:rFonts w:ascii="Times New Roman" w:hAnsi="Times New Roman" w:cs="Times New Roman"/>
          <w:sz w:val="24"/>
          <w:szCs w:val="24"/>
        </w:rPr>
        <w:t>morphology (</w:t>
      </w:r>
      <w:r w:rsidRPr="00E639C1">
        <w:rPr>
          <w:rFonts w:ascii="Times New Roman" w:hAnsi="Times New Roman" w:cs="Times New Roman"/>
          <w:sz w:val="24"/>
          <w:szCs w:val="24"/>
        </w:rPr>
        <w:t xml:space="preserve">Trevisan </w:t>
      </w:r>
      <w:r w:rsidRPr="00443734">
        <w:rPr>
          <w:rFonts w:ascii="Times New Roman" w:hAnsi="Times New Roman" w:cs="Times New Roman"/>
          <w:i/>
          <w:sz w:val="24"/>
          <w:szCs w:val="24"/>
        </w:rPr>
        <w:t>et al</w:t>
      </w:r>
      <w:r w:rsidR="00443734">
        <w:rPr>
          <w:rFonts w:ascii="Times New Roman" w:hAnsi="Times New Roman" w:cs="Times New Roman"/>
          <w:sz w:val="24"/>
          <w:szCs w:val="24"/>
        </w:rPr>
        <w:t>., 2011)</w:t>
      </w:r>
      <w:r w:rsidRPr="00E639C1">
        <w:rPr>
          <w:rFonts w:ascii="Times New Roman" w:hAnsi="Times New Roman" w:cs="Times New Roman"/>
          <w:sz w:val="24"/>
          <w:szCs w:val="24"/>
        </w:rPr>
        <w:t>. This structural expansion, coupled with enhanced nutrient-use efficiency, enables improved uptake of macro- and micronutrients, leading to higher plant biomass</w:t>
      </w:r>
      <w:r w:rsidR="00443734">
        <w:rPr>
          <w:rFonts w:ascii="Times New Roman" w:hAnsi="Times New Roman" w:cs="Times New Roman"/>
          <w:sz w:val="24"/>
          <w:szCs w:val="24"/>
        </w:rPr>
        <w:t xml:space="preserve"> and yield (Calvo </w:t>
      </w:r>
      <w:r w:rsidR="00443734" w:rsidRPr="00443734">
        <w:rPr>
          <w:rFonts w:ascii="Times New Roman" w:hAnsi="Times New Roman" w:cs="Times New Roman"/>
          <w:i/>
          <w:sz w:val="24"/>
          <w:szCs w:val="24"/>
        </w:rPr>
        <w:t>et al</w:t>
      </w:r>
      <w:r w:rsidR="00443734">
        <w:rPr>
          <w:rFonts w:ascii="Times New Roman" w:hAnsi="Times New Roman" w:cs="Times New Roman"/>
          <w:sz w:val="24"/>
          <w:szCs w:val="24"/>
        </w:rPr>
        <w:t>., 2014).</w:t>
      </w:r>
    </w:p>
    <w:p w14:paraId="118D11C2" w14:textId="77777777" w:rsidR="00E639C1" w:rsidRPr="00E639C1" w:rsidRDefault="00E639C1" w:rsidP="00E639C1">
      <w:pPr>
        <w:jc w:val="both"/>
        <w:rPr>
          <w:rFonts w:ascii="Times New Roman" w:hAnsi="Times New Roman" w:cs="Times New Roman"/>
          <w:b/>
          <w:bCs/>
          <w:sz w:val="24"/>
          <w:szCs w:val="24"/>
        </w:rPr>
      </w:pPr>
      <w:r w:rsidRPr="00E639C1">
        <w:rPr>
          <w:rFonts w:ascii="Times New Roman" w:hAnsi="Times New Roman" w:cs="Times New Roman"/>
          <w:b/>
          <w:bCs/>
          <w:sz w:val="24"/>
          <w:szCs w:val="24"/>
        </w:rPr>
        <w:t>4.2 Optimization of Photosynthetic Apparatus and Chlorophyll Biosynthesis</w:t>
      </w:r>
    </w:p>
    <w:p w14:paraId="3790C6B8" w14:textId="2E5985C9" w:rsidR="00E639C1"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E639C1" w:rsidRPr="00E639C1">
        <w:rPr>
          <w:rFonts w:ascii="Times New Roman" w:hAnsi="Times New Roman" w:cs="Times New Roman"/>
          <w:sz w:val="24"/>
          <w:szCs w:val="24"/>
        </w:rPr>
        <w:t>The synergistic application of seaweed and humic substances initiates a metabolic upregulation within the phyllosphere, significantly enhancing the plant’s carbon-fixation capacity. Seaweed extracts, characterized by their high cytokinin content and readily available micronutrients (</w:t>
      </w:r>
      <w:r w:rsidR="00E639C1">
        <w:rPr>
          <w:rFonts w:ascii="Times New Roman" w:hAnsi="Times New Roman" w:cs="Times New Roman"/>
          <w:sz w:val="24"/>
          <w:szCs w:val="24"/>
        </w:rPr>
        <w:t xml:space="preserve">Mg, Fe and Zn) </w:t>
      </w:r>
      <w:r w:rsidR="00E639C1" w:rsidRPr="00E639C1">
        <w:rPr>
          <w:rFonts w:ascii="Times New Roman" w:hAnsi="Times New Roman" w:cs="Times New Roman"/>
          <w:sz w:val="24"/>
          <w:szCs w:val="24"/>
        </w:rPr>
        <w:t xml:space="preserve">serve as primary drivers for the synthesis of the porphyrin ring. Empirical evidence from Khan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(2009) substantiates this, where controlled trials revealed that seaweed-treated crops exhibit superior chlorophyll density and optimized foliar nutrient profiles compared to untreated controls. Complementing this pigment accumulation, humic acids refine the leaf’s physiological efficiency by modulating stomatal conductance and hydraulic status. By ensuring a consistent influx of water and e</w:t>
      </w:r>
      <w:r w:rsidR="00443734">
        <w:rPr>
          <w:rFonts w:ascii="Times New Roman" w:hAnsi="Times New Roman" w:cs="Times New Roman"/>
          <w:sz w:val="24"/>
          <w:szCs w:val="24"/>
        </w:rPr>
        <w:t>ssential ions, humic substances -</w:t>
      </w:r>
      <w:r w:rsidR="00E639C1" w:rsidRPr="00E639C1">
        <w:rPr>
          <w:rFonts w:ascii="Times New Roman" w:hAnsi="Times New Roman" w:cs="Times New Roman"/>
          <w:sz w:val="24"/>
          <w:szCs w:val="24"/>
        </w:rPr>
        <w:t xml:space="preserve">as validated through the greenhouse assays of Aremu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(2015)</w:t>
      </w:r>
      <w:r w:rsidR="003C175D" w:rsidRPr="00E639C1">
        <w:rPr>
          <w:rFonts w:ascii="Times New Roman" w:hAnsi="Times New Roman" w:cs="Times New Roman"/>
          <w:sz w:val="24"/>
          <w:szCs w:val="24"/>
        </w:rPr>
        <w:t xml:space="preserve"> </w:t>
      </w:r>
      <w:r w:rsidR="00E639C1" w:rsidRPr="00E639C1">
        <w:rPr>
          <w:rFonts w:ascii="Times New Roman" w:hAnsi="Times New Roman" w:cs="Times New Roman"/>
          <w:sz w:val="24"/>
          <w:szCs w:val="24"/>
        </w:rPr>
        <w:t>elevate net </w:t>
      </w:r>
      <w:r w:rsidR="003C175D">
        <w:rPr>
          <w:rFonts w:ascii="Times New Roman" w:hAnsi="Times New Roman" w:cs="Times New Roman"/>
          <w:sz w:val="24"/>
          <w:szCs w:val="24"/>
        </w:rPr>
        <w:t>CO</w:t>
      </w:r>
      <w:r w:rsidR="003C175D" w:rsidRPr="003C175D">
        <w:rPr>
          <w:rFonts w:ascii="Times New Roman" w:hAnsi="Times New Roman" w:cs="Times New Roman"/>
          <w:sz w:val="24"/>
          <w:szCs w:val="24"/>
          <w:vertAlign w:val="subscript"/>
        </w:rPr>
        <w:t>2</w:t>
      </w:r>
      <w:r w:rsidR="00E639C1" w:rsidRPr="00E639C1">
        <w:rPr>
          <w:rFonts w:ascii="Times New Roman" w:hAnsi="Times New Roman" w:cs="Times New Roman"/>
          <w:sz w:val="24"/>
          <w:szCs w:val="24"/>
        </w:rPr>
        <w:t> assimilation rates and improve gas-</w:t>
      </w:r>
      <w:r w:rsidR="00E639C1" w:rsidRPr="00E639C1">
        <w:rPr>
          <w:rFonts w:ascii="Times New Roman" w:hAnsi="Times New Roman" w:cs="Times New Roman"/>
          <w:sz w:val="24"/>
          <w:szCs w:val="24"/>
        </w:rPr>
        <w:lastRenderedPageBreak/>
        <w:t>exchange parameters. This dual-action stimulation results in elevated SPAD readings and a marked increase in both chlorophyll </w:t>
      </w:r>
      <w:r w:rsidR="003C175D">
        <w:rPr>
          <w:rFonts w:ascii="Times New Roman" w:hAnsi="Times New Roman" w:cs="Times New Roman"/>
          <w:sz w:val="24"/>
          <w:szCs w:val="24"/>
        </w:rPr>
        <w:t xml:space="preserve">a </w:t>
      </w:r>
      <w:r w:rsidR="00E639C1" w:rsidRPr="00E639C1">
        <w:rPr>
          <w:rFonts w:ascii="Times New Roman" w:hAnsi="Times New Roman" w:cs="Times New Roman"/>
          <w:sz w:val="24"/>
          <w:szCs w:val="24"/>
        </w:rPr>
        <w:t>and </w:t>
      </w:r>
      <w:r w:rsidR="003C175D">
        <w:rPr>
          <w:rFonts w:ascii="Times New Roman" w:hAnsi="Times New Roman" w:cs="Times New Roman"/>
          <w:sz w:val="24"/>
          <w:szCs w:val="24"/>
        </w:rPr>
        <w:t>b</w:t>
      </w:r>
      <w:r w:rsidR="00E639C1" w:rsidRPr="00E639C1">
        <w:rPr>
          <w:rFonts w:ascii="Times New Roman" w:hAnsi="Times New Roman" w:cs="Times New Roman"/>
          <w:sz w:val="24"/>
          <w:szCs w:val="24"/>
        </w:rPr>
        <w:t> fractions. Ultimately, the stabilization of the photosynthetic machinery through these biostimulants ensures that the metabolic "source" can effectively sustain the increasing "sink" demands of developing biomass and reproductive tissues.</w:t>
      </w:r>
    </w:p>
    <w:p w14:paraId="76CAECF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4.3 Potentiation of Abiotic Stress Resilience and Redox Homeostasis</w:t>
      </w:r>
    </w:p>
    <w:p w14:paraId="332B12EE" w14:textId="0C319E2D" w:rsidR="003C175D"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The co-application of seaweed extracts and humic substances established a multi-layered defense system that fortifies the plant against the deleterious effects of drought, thermal extremes, and salinity. Seaweed extracts serve as a primary s</w:t>
      </w:r>
      <w:r w:rsidR="00443734">
        <w:rPr>
          <w:rFonts w:ascii="Times New Roman" w:hAnsi="Times New Roman" w:cs="Times New Roman"/>
          <w:sz w:val="24"/>
          <w:szCs w:val="24"/>
        </w:rPr>
        <w:t xml:space="preserve">ource of exogenous antioxidants </w:t>
      </w:r>
      <w:r w:rsidR="003C175D" w:rsidRPr="003C175D">
        <w:rPr>
          <w:rFonts w:ascii="Times New Roman" w:hAnsi="Times New Roman" w:cs="Times New Roman"/>
          <w:sz w:val="24"/>
          <w:szCs w:val="24"/>
        </w:rPr>
        <w:t>specifically polyphenols and carotenoids—and osmoprotectants such as mannitol and glycine betaines. These constituents facilitate rapid osmotic adjustment, preserving cellular turgor under water-limiting conditions. Empirical evidence from Mukherjee and Patel (2020) substantiates this, as seaweed-treated plants demonstrated significantly higher antioxidant activity and sustained growth under stress compared to unamended controls. Complementing this cellular protection, humic acids stabilize the rhizosphere’s hydraulic status and trigger the upregulation of endogenous defensive enzymes. By intensifying the activity of superoxide dismutase (SOD), catalase (CAT), and peroxidase (POD), this synergistic pairing effectively neutralizes reactive oxygen species (ROS) and minimizes electrolyte leakage. This dual-action mechanism—balancing physical moisture retention with biochemical scavenging—ensures the maintenance of high relative water content and protects the integrity of the photosynthetic apparatus, allowing for consistent biomass production even amidst severe environmental perturbations.</w:t>
      </w:r>
    </w:p>
    <w:p w14:paraId="25F80BD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4.4 Synergistic Modulation of Yield Architecture and Biomass Partitioning</w:t>
      </w:r>
    </w:p>
    <w:p w14:paraId="37EC0313" w14:textId="4C15567B"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culmination of improved nutrient flux, photosynthetic upregulation, and enhanced stress resilience is ultimately reflected in the comprehensive optimization of crop yield architecture. This biostimulant pairing does not merely increase total biomass; it significantly enhances the individual components of productivity—ranging from vegetative parameters like plant height and leaf area index to reproductive metrics such as tiller count, flowering frequency, and fruit set. Empirical field data from Sharma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(2014) highlight that seaweed extracts alone can elevate the harvest index of major staples and horticultural crops (including rice, wheat, and tomato) by 20–35%. Complementing this, humic acids drive the development of "sink" strength, notably increasing grain weight and fruit dimensions through enhanced carbon partitioning (Zhang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2013). This integrated approach—validated across diverse soil-pot and field trials—demonstrates that the seaweed-humic acid complex creates a "physiological synergy." By stabilizing the plant’s metabolic state, these amendments ensure that the gains achieved in nutrient and water acquisition are effectively translated into harvestable yield, providing a sustainable pathway for maximizing agronomic output in both cereal and high-value horticultural systems.</w:t>
      </w:r>
    </w:p>
    <w:p w14:paraId="59727EDF" w14:textId="702628E6" w:rsidR="003C175D" w:rsidRPr="003C175D" w:rsidRDefault="001223A4" w:rsidP="003C175D">
      <w:pPr>
        <w:jc w:val="both"/>
        <w:rPr>
          <w:rFonts w:ascii="Times New Roman" w:hAnsi="Times New Roman" w:cs="Times New Roman"/>
          <w:b/>
          <w:bCs/>
          <w:sz w:val="24"/>
          <w:szCs w:val="24"/>
        </w:rPr>
      </w:pPr>
      <w:r>
        <w:rPr>
          <w:rFonts w:ascii="Times New Roman" w:hAnsi="Times New Roman" w:cs="Times New Roman"/>
          <w:b/>
          <w:bCs/>
          <w:sz w:val="24"/>
          <w:szCs w:val="24"/>
        </w:rPr>
        <w:t>4.</w:t>
      </w:r>
      <w:r w:rsidR="003C175D" w:rsidRPr="003C175D">
        <w:rPr>
          <w:rFonts w:ascii="Times New Roman" w:hAnsi="Times New Roman" w:cs="Times New Roman"/>
          <w:b/>
          <w:bCs/>
          <w:sz w:val="24"/>
          <w:szCs w:val="24"/>
        </w:rPr>
        <w:t>5. Optimization of Post-Harvest Quality and Nutritive Density</w:t>
      </w:r>
    </w:p>
    <w:p w14:paraId="187A2647" w14:textId="69A3779C"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synergistic application of seaweed and humic substances extends beyond biomass accumulation to significantly enhance the organoleptic and nutritional profile of the final produce. This qualitative improvement is driven by the coordinated upregulation of secondary metabolic pathways and the optimized translocation of photoassimilates. Seaweed-derived bioactives </w:t>
      </w:r>
      <w:r w:rsidR="003C175D" w:rsidRPr="003C175D">
        <w:rPr>
          <w:rFonts w:ascii="Times New Roman" w:hAnsi="Times New Roman" w:cs="Times New Roman"/>
          <w:sz w:val="24"/>
          <w:szCs w:val="24"/>
        </w:rPr>
        <w:lastRenderedPageBreak/>
        <w:t xml:space="preserve">function as elicitors that improve fruit firmness and elevate the concentration of soluble solids, vitamins, and antioxidants. Complementing this, humic acids facilitate the systemic transport of minerals and amino acids from vegetative sources to reproductive sinks, directly influencing grain protein content and test weight. Empirical validation from the greenhouse and pot trials of Aremu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(2015) underscores this effect, noting that combined treatments yield superior fruit firmness and nutrient density compared to unamended controls. By stabilizing the plant’s internal nutrient flux and enzymatic activity, this biostimulant pairing ensures that the harvest meets the increasing global demand for high-quality, nutrient-dense agricultural products.</w:t>
      </w:r>
    </w:p>
    <w:p w14:paraId="583A7173" w14:textId="7E437672"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 A</w:t>
      </w:r>
      <w:r w:rsidR="001223A4">
        <w:rPr>
          <w:rFonts w:ascii="Times New Roman" w:hAnsi="Times New Roman" w:cs="Times New Roman"/>
          <w:b/>
          <w:bCs/>
          <w:sz w:val="24"/>
          <w:szCs w:val="24"/>
        </w:rPr>
        <w:t>GRO-ECOLOGICAL AND ECONOMIC IMPLICATIONS</w:t>
      </w:r>
      <w:r w:rsidRPr="003C175D">
        <w:rPr>
          <w:rFonts w:ascii="Times New Roman" w:hAnsi="Times New Roman" w:cs="Times New Roman"/>
          <w:b/>
          <w:bCs/>
          <w:sz w:val="24"/>
          <w:szCs w:val="24"/>
        </w:rPr>
        <w:t xml:space="preserve"> </w:t>
      </w:r>
    </w:p>
    <w:p w14:paraId="551F369F" w14:textId="3F308E16" w:rsidR="003C175D" w:rsidRPr="003C175D" w:rsidRDefault="007A515B"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The integrated application of seaweed extracts and granular humic acids represents a strategic shift toward regenerative agricultural paradigms. By optimizing the soil-plant interface, this biostimulant pairing facilitates a dual-track benefit: enhancing the ecological resilience of the farming system while simultaneously bolstering its economic viability through input rationalization.</w:t>
      </w:r>
    </w:p>
    <w:p w14:paraId="297F568B"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5.1 Optimization of Nutrient Use Efficiency (NUE) and Input Reduction</w:t>
      </w:r>
    </w:p>
    <w:p w14:paraId="1527D1BD" w14:textId="1905D426" w:rsidR="003C175D" w:rsidRDefault="00F03F4A"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A primary environmental advantage of the seaweed-humic acid complex is the significant enhancement of nutrient use efficiency (NUE). Seaweed-derived bioactives trigger the upregulation of root-level nutrient transporters, while humic substances pr</w:t>
      </w:r>
      <w:r w:rsidR="00443734">
        <w:rPr>
          <w:rFonts w:ascii="Times New Roman" w:hAnsi="Times New Roman" w:cs="Times New Roman"/>
          <w:sz w:val="24"/>
          <w:szCs w:val="24"/>
        </w:rPr>
        <w:t xml:space="preserve">ovide the chemical architecture </w:t>
      </w:r>
      <w:r w:rsidR="003C175D" w:rsidRPr="003C175D">
        <w:rPr>
          <w:rFonts w:ascii="Times New Roman" w:hAnsi="Times New Roman" w:cs="Times New Roman"/>
          <w:sz w:val="24"/>
          <w:szCs w:val="24"/>
        </w:rPr>
        <w:t>specifically elevated cation exchange capacity (CEC)—necessary to anchor these nutrients within the rhizosphere (Canellas &amp; Olivares, 2014). This synergistic "capture-and-retention" mechanism effectively minimizes the leaching of nitrogen and phosphorus into groundwater systems. Empirical assessments by du Jardin (2015) substantiate that this improved bioavailability allows for a substantial reduction in the application rates of synthetic mineral fertilizers without compromising harvestable yield. By mitigating nutrient runoff and volatilization, this dual-application strategy aligns with climate-smart objectives, reducing the environmental footprint of intensive agriculture and lowering the total cost of production for the grower.</w:t>
      </w:r>
    </w:p>
    <w:p w14:paraId="1DCF6D5B"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5.2 Structural Restoration and the Mitigation of Soil Degradation</w:t>
      </w:r>
    </w:p>
    <w:p w14:paraId="39A31034" w14:textId="63F48A7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Beyond immediate fertility gains, the co-application of seaweed and humic substances serves as a critical intervention for the restoration of degraded pedological environments. This restorative synergy is driven by the complementary physical properties of the two amendments: seaweed-derived polysaccharides provide the initial "biological glue" for transient macroaggregate formation, while humic fractions establish long-term structural stability through their interaction with the mineral matrix. Empirical evidence from Battacharyya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(2020) underscores this effect, noting significant improvements in soil porosity and aggregate stability compared to unamended controls. By fostering a more porous and structurally resilient architecture, this dual-application strategy effectively mitigates the risks of erosion and compaction, ensuring that the soil remains a viable</w:t>
      </w:r>
      <w:r w:rsidR="00443734">
        <w:rPr>
          <w:rFonts w:ascii="Times New Roman" w:hAnsi="Times New Roman" w:cs="Times New Roman"/>
          <w:sz w:val="24"/>
          <w:szCs w:val="24"/>
        </w:rPr>
        <w:t xml:space="preserve"> medium for intensive </w:t>
      </w:r>
      <w:r w:rsidR="00A0575F">
        <w:rPr>
          <w:rFonts w:ascii="Times New Roman" w:hAnsi="Times New Roman" w:cs="Times New Roman"/>
          <w:sz w:val="24"/>
          <w:szCs w:val="24"/>
        </w:rPr>
        <w:t>agricultu</w:t>
      </w:r>
      <w:r w:rsidR="00A0575F" w:rsidRPr="00BE5102">
        <w:rPr>
          <w:rFonts w:ascii="Times New Roman" w:hAnsi="Times New Roman" w:cs="Times New Roman"/>
          <w:sz w:val="24"/>
          <w:szCs w:val="24"/>
        </w:rPr>
        <w:t>ral</w:t>
      </w:r>
      <w:r w:rsidR="00BE5102" w:rsidRPr="00BE5102">
        <w:rPr>
          <w:rFonts w:ascii="Times New Roman" w:hAnsi="Times New Roman" w:cs="Times New Roman"/>
          <w:sz w:val="24"/>
          <w:szCs w:val="24"/>
        </w:rPr>
        <w:t xml:space="preserve"> production.</w:t>
      </w:r>
    </w:p>
    <w:p w14:paraId="6A6273EB" w14:textId="77777777" w:rsidR="00A0575F" w:rsidRPr="00BE5102" w:rsidRDefault="00A0575F" w:rsidP="00BE5102">
      <w:pPr>
        <w:jc w:val="both"/>
        <w:rPr>
          <w:rFonts w:ascii="Times New Roman" w:hAnsi="Times New Roman" w:cs="Times New Roman"/>
          <w:sz w:val="24"/>
          <w:szCs w:val="24"/>
        </w:rPr>
      </w:pPr>
    </w:p>
    <w:p w14:paraId="3FB1740E"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lastRenderedPageBreak/>
        <w:t>5.3 Synergistic Carbon Sequestration and Climate Mitigation</w:t>
      </w:r>
    </w:p>
    <w:p w14:paraId="15BE1CC6" w14:textId="75A235B4"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these biostimulants offers a sophisticated mechanism for enhancing soil organic carbon (SOC) stocks, balancing the immediate metabolic needs of the soil microbiota with the long-term goal of atmospheric carbon sequestration. Seaweed extracts introduce a highly labile organic fraction that serves as a primary substrate for microbial proliferation and "priming" of the carbon cycle. As observed by Chowdhury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this biological surge promotes the transformation of fresh organic matter into stabilized microbial by-products. Simultaneously, humic acids contribute to the recalcitrant carbon pool, providing stable aromatic structures that persist in the soil for decades. This dual-track carbon enrichment—validated by the sequestration models of Lal (2016)—transforms the soil into a robust carbon sink. By optimizing the balance between carbon mineralization and stabilization, the seaweed-humic acid complex provides a scalable, climate-smart strategy for improving moisture retention, fertility, and global soil health.</w:t>
      </w:r>
    </w:p>
    <w:p w14:paraId="04A52AA4" w14:textId="47A08950" w:rsidR="00BE5102" w:rsidRPr="00BE5102" w:rsidRDefault="00F03F4A" w:rsidP="00BE5102">
      <w:pPr>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BE5102" w:rsidRPr="00BE5102">
        <w:rPr>
          <w:rFonts w:ascii="Times New Roman" w:hAnsi="Times New Roman" w:cs="Times New Roman"/>
          <w:b/>
          <w:bCs/>
          <w:sz w:val="24"/>
          <w:szCs w:val="24"/>
        </w:rPr>
        <w:t>Hydraulic Conductivity and Drought Resilience</w:t>
      </w:r>
    </w:p>
    <w:p w14:paraId="4F619ABC" w14:textId="040825D8"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synergistic integration of seaweed-derived alginates and humic substances fundamentally recalibrates the soil’s hydrological profile. Alginates function as biogenic hydro-absorbants, sign</w:t>
      </w: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ificantly elevating the soil's matric potential and water-holding capacity, while humic acids refine the physical architecture by optimizing porosity and infiltration rates. Empirical evidence from Sharma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(2014) substantiates this, noting a marked increase in plant-available water and a reduction in irrigation frequency compared to unamended controls. This dual-action stabilization—balancing chemical moisture retention with structural pore-space optimization—serves as a critical buffer against periodic drought stress, ensuring the maintenance of high relative water content during periods of limited precipitation.</w:t>
      </w:r>
    </w:p>
    <w:p w14:paraId="6E7A113C"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5.5 Mitigation of Anthropogenic Greenhouse Gas (GHG) Emissions</w:t>
      </w:r>
    </w:p>
    <w:p w14:paraId="02683F45" w14:textId="048480A5"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Beyond soil health, the co-application of these biostimulants offers a scalable strategy for mitigating the carbon footprint of intensive agriculture. By significantly enhancing nitrogen-use efficiency (NUE), this biostimulant complex reduces the volatile losses of nitrous oxide (</w:t>
      </w:r>
      <w:r w:rsidR="0001066C">
        <w:rPr>
          <w:rFonts w:ascii="Times New Roman" w:hAnsi="Times New Roman" w:cs="Times New Roman"/>
          <w:sz w:val="24"/>
          <w:szCs w:val="24"/>
        </w:rPr>
        <w:t>N</w:t>
      </w:r>
      <w:r w:rsidR="0001066C" w:rsidRPr="0001066C">
        <w:rPr>
          <w:rFonts w:ascii="Times New Roman" w:hAnsi="Times New Roman" w:cs="Times New Roman"/>
          <w:sz w:val="24"/>
          <w:szCs w:val="24"/>
          <w:vertAlign w:val="subscript"/>
        </w:rPr>
        <w:t>2</w:t>
      </w:r>
      <w:r w:rsidR="0001066C">
        <w:rPr>
          <w:rFonts w:ascii="Times New Roman" w:hAnsi="Times New Roman" w:cs="Times New Roman"/>
          <w:sz w:val="24"/>
          <w:szCs w:val="24"/>
        </w:rPr>
        <w:t>O</w:t>
      </w:r>
      <w:r w:rsidR="00BE5102" w:rsidRPr="00BE5102">
        <w:rPr>
          <w:rFonts w:ascii="Times New Roman" w:hAnsi="Times New Roman" w:cs="Times New Roman"/>
          <w:sz w:val="24"/>
          <w:szCs w:val="24"/>
        </w:rPr>
        <w:t>) typically associated with synthetic fertilization. Furthermore, the structural improvements in soil aeration driven by humic acids help minimize anaerobic zones, thereby curtailing methane (</w:t>
      </w:r>
      <w:r w:rsidR="0001066C">
        <w:rPr>
          <w:rFonts w:ascii="Times New Roman" w:hAnsi="Times New Roman" w:cs="Times New Roman"/>
          <w:sz w:val="24"/>
          <w:szCs w:val="24"/>
        </w:rPr>
        <w:t>CH</w:t>
      </w:r>
      <w:r w:rsidR="0001066C" w:rsidRPr="0001066C">
        <w:rPr>
          <w:rFonts w:ascii="Times New Roman" w:hAnsi="Times New Roman" w:cs="Times New Roman"/>
          <w:sz w:val="24"/>
          <w:szCs w:val="24"/>
          <w:vertAlign w:val="subscript"/>
        </w:rPr>
        <w:t>4</w:t>
      </w:r>
      <w:r w:rsidR="00BE5102" w:rsidRPr="00BE5102">
        <w:rPr>
          <w:rFonts w:ascii="Times New Roman" w:hAnsi="Times New Roman" w:cs="Times New Roman"/>
          <w:sz w:val="24"/>
          <w:szCs w:val="24"/>
        </w:rPr>
        <w:t xml:space="preserve">) production in poorly drained systems. Field and pot trials conducted by Abdalla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(2016) confirm that this physiological and physical "re-tuning" of the soil matrix allows for a substantial reduction in GHG emissions while simultaneously lowering the indirect carbon costs associated with fertilizer production and transport.</w:t>
      </w:r>
    </w:p>
    <w:p w14:paraId="744FFEC6"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5.6 Agro-Economic Viability and Market Competitiveness</w:t>
      </w:r>
    </w:p>
    <w:p w14:paraId="3BEDE16D" w14:textId="0036BEA8"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culmination of improved nutrient flux, stress resilience, and yield architecture translates directly into enhanced farm profitability. This is not merely a result of increased biomass, but a func</w:t>
      </w:r>
      <w:r w:rsidR="00443734">
        <w:rPr>
          <w:rFonts w:ascii="Times New Roman" w:hAnsi="Times New Roman" w:cs="Times New Roman"/>
          <w:sz w:val="24"/>
          <w:szCs w:val="24"/>
        </w:rPr>
        <w:t>tion of input rationalization</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achieving superior yields while reducing the total expenditure on</w:t>
      </w:r>
      <w:r w:rsidR="00443734">
        <w:rPr>
          <w:rFonts w:ascii="Times New Roman" w:hAnsi="Times New Roman" w:cs="Times New Roman"/>
          <w:sz w:val="24"/>
          <w:szCs w:val="24"/>
        </w:rPr>
        <w:t xml:space="preserve"> synthetic mineral fertilizers.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Comparative field trials by R</w:t>
      </w:r>
      <w:r w:rsidR="00443734">
        <w:rPr>
          <w:rFonts w:ascii="Times New Roman" w:hAnsi="Times New Roman" w:cs="Times New Roman"/>
          <w:sz w:val="24"/>
          <w:szCs w:val="24"/>
        </w:rPr>
        <w:t>ouphael and Colla</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(2020) demonstrate that the seaweed-humic acid pairing significantly outperforms conventional fertilizer-only regimes in terms of net agronomic output. Furthermore, economic analyses by Ertani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(2018) reveal a </w:t>
      </w:r>
      <w:r w:rsidR="00BE5102" w:rsidRPr="00BE5102">
        <w:rPr>
          <w:rFonts w:ascii="Times New Roman" w:hAnsi="Times New Roman" w:cs="Times New Roman"/>
          <w:sz w:val="24"/>
          <w:szCs w:val="24"/>
        </w:rPr>
        <w:lastRenderedPageBreak/>
        <w:t>superior benefit-to-cost ratio, driven by the premium market value commanded by high-quality produce. Enhanced organoleptic traits</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including fruit dimensions, pigmentation, and extended shelf life</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ensure that crops treated with these biostimulants meet the rigorous standards of modern retail markets (Godlewska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providing a clear economic incentive for the adoption of regenerative agricultural practices.</w:t>
      </w:r>
    </w:p>
    <w:p w14:paraId="68016273" w14:textId="410ECFA9"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C</w:t>
      </w:r>
      <w:r w:rsidR="00F03F4A">
        <w:rPr>
          <w:rFonts w:ascii="Times New Roman" w:hAnsi="Times New Roman" w:cs="Times New Roman"/>
          <w:b/>
          <w:bCs/>
          <w:sz w:val="24"/>
          <w:szCs w:val="24"/>
        </w:rPr>
        <w:t xml:space="preserve">ONCLUSION AND FUTURE RESEARCH DIRECTIONS </w:t>
      </w:r>
      <w:r w:rsidRPr="00BE5102">
        <w:rPr>
          <w:rFonts w:ascii="Times New Roman" w:hAnsi="Times New Roman" w:cs="Times New Roman"/>
          <w:b/>
          <w:bCs/>
          <w:sz w:val="24"/>
          <w:szCs w:val="24"/>
        </w:rPr>
        <w:t xml:space="preserve"> </w:t>
      </w:r>
    </w:p>
    <w:p w14:paraId="182AB277" w14:textId="085248C0"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seaweed extracts and humic acid granules represents a transformative frontier in regenerative agriculture, offering a sophisticated, multi-scalar approach to enhancing the soil-plant continuum. This review has demonstrated that the synergy between these biostimulants transcends mere supplemental nutrition; it facilitates a fundamental recalibration of the rhizosphere’s physical, chemical, and biological architecture. By balancing the rapid hormonal </w:t>
      </w:r>
      <w:r w:rsidR="0001066C" w:rsidRPr="00BE5102">
        <w:rPr>
          <w:rFonts w:ascii="Times New Roman" w:hAnsi="Times New Roman" w:cs="Times New Roman"/>
          <w:sz w:val="24"/>
          <w:szCs w:val="24"/>
        </w:rPr>
        <w:t>signalling</w:t>
      </w:r>
      <w:r w:rsidR="00BE5102" w:rsidRPr="00BE5102">
        <w:rPr>
          <w:rFonts w:ascii="Times New Roman" w:hAnsi="Times New Roman" w:cs="Times New Roman"/>
          <w:sz w:val="24"/>
          <w:szCs w:val="24"/>
        </w:rPr>
        <w:t xml:space="preserve"> of seaweed with the structural and ion-exchange stability provided by humic acids, this dual-application strategy establishes a robust foundation for crop productivity. The resulting enhancements in nutrient use efficiency (NUE), photosynthetic capacity, and abiotic stress resilience not only drive superior agronomic yields but also significantly mitigate the environmental burden of intensive synthetic fertilization.</w:t>
      </w:r>
    </w:p>
    <w:p w14:paraId="20D9148C" w14:textId="18985996" w:rsidR="00BE5102" w:rsidRPr="00BE5102" w:rsidRDefault="00F03F4A" w:rsidP="00F03F4A">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Despite these clear advancements, several "knowledge gaps" remain that warrant further investigation to fully harn</w:t>
      </w:r>
      <w:r>
        <w:rPr>
          <w:rFonts w:ascii="Times New Roman" w:hAnsi="Times New Roman" w:cs="Times New Roman"/>
          <w:sz w:val="24"/>
          <w:szCs w:val="24"/>
        </w:rPr>
        <w:t>ess this biostimulant potential.</w:t>
      </w:r>
      <w:r w:rsidR="00BE5102" w:rsidRPr="00F03F4A">
        <w:rPr>
          <w:rFonts w:ascii="Times New Roman" w:hAnsi="Times New Roman" w:cs="Times New Roman"/>
          <w:sz w:val="24"/>
          <w:szCs w:val="24"/>
        </w:rPr>
        <w:t> Future research should prioritize the use of "omics" technologies to elucidate the precise molecular cross-talk between seaweed bioactive ligands and humic-induced gene expression, particularly regarding the regulation of plasma membrane ATPase and nutrient transporter proteins.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While short-term gains are well-documented, longitudinal field studies are required to quantify the multi-year impact of continued co-application on stable soil organic carbon (SOC) fractions and the evolution of the soil microbial "core" microbiome.</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Investigating the interactions between these biostimulants and varying soil textures, pH regimes, and irrigation qualities will be essential for developing site-specific application protocols that maximize the benefit-to-cost ratio for growers.</w:t>
      </w:r>
    </w:p>
    <w:p w14:paraId="56507295" w14:textId="656F5B2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Ultimately, the seaweed-humic acid complex stands as a cornerstone of climate-smart agriculture. By shifting the paradigm from chemical dependency to biological optimization, this integrated framework provides a scalable and economically viable pathway for achieving global food security without compromising the long-term integrity of our soil resources.</w:t>
      </w:r>
    </w:p>
    <w:p w14:paraId="7C082B72" w14:textId="1528AE4E" w:rsidR="00F03F4A" w:rsidRDefault="00F03F4A" w:rsidP="00BE5102">
      <w:pPr>
        <w:jc w:val="both"/>
        <w:rPr>
          <w:rFonts w:ascii="Times New Roman" w:hAnsi="Times New Roman" w:cs="Times New Roman"/>
          <w:b/>
          <w:sz w:val="24"/>
          <w:szCs w:val="24"/>
        </w:rPr>
      </w:pPr>
      <w:r w:rsidRPr="00F03F4A">
        <w:rPr>
          <w:rFonts w:ascii="Times New Roman" w:hAnsi="Times New Roman" w:cs="Times New Roman"/>
          <w:b/>
          <w:sz w:val="24"/>
          <w:szCs w:val="24"/>
        </w:rPr>
        <w:t>REFERENCE</w:t>
      </w:r>
    </w:p>
    <w:p w14:paraId="40B6E38F" w14:textId="14C2200C"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Abdalla, M., Hastings, A., Chadwick, D., Jones, D. L., Evans, C., &amp; Smith, P. (2016). Critical review of the impacts of agriculture on soil organic carbon storage and greenhouse gas emissions. </w:t>
      </w:r>
      <w:r w:rsidRPr="006E6B61">
        <w:rPr>
          <w:rFonts w:ascii="Times New Roman" w:hAnsi="Times New Roman" w:cs="Times New Roman"/>
          <w:i/>
          <w:iCs/>
          <w:sz w:val="24"/>
          <w:szCs w:val="24"/>
        </w:rPr>
        <w:t>Soil Use and Management, 32</w:t>
      </w:r>
      <w:r w:rsidRPr="006E6B61">
        <w:rPr>
          <w:rFonts w:ascii="Times New Roman" w:hAnsi="Times New Roman" w:cs="Times New Roman"/>
          <w:sz w:val="24"/>
          <w:szCs w:val="24"/>
        </w:rPr>
        <w:t>(1), 1–15</w:t>
      </w:r>
    </w:p>
    <w:p w14:paraId="765434F6" w14:textId="7C1206BF"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Aremu, A. O., Stirk, W. A., Kulkarni, M. G., Tarkowská, D., Turečková, V., Gruz, J., &amp; Van Staden, J. (2015). Evidence of phytohormones in commercial seaweed extracts. </w:t>
      </w:r>
      <w:r w:rsidRPr="006E6B61">
        <w:rPr>
          <w:rFonts w:ascii="Times New Roman" w:hAnsi="Times New Roman" w:cs="Times New Roman"/>
          <w:i/>
          <w:iCs/>
          <w:sz w:val="24"/>
          <w:szCs w:val="24"/>
        </w:rPr>
        <w:t>Plant Growth Regulation, 75</w:t>
      </w:r>
      <w:r w:rsidRPr="006E6B61">
        <w:rPr>
          <w:rFonts w:ascii="Times New Roman" w:hAnsi="Times New Roman" w:cs="Times New Roman"/>
          <w:sz w:val="24"/>
          <w:szCs w:val="24"/>
        </w:rPr>
        <w:t>(2), 441–449</w:t>
      </w:r>
    </w:p>
    <w:p w14:paraId="0C701E1D" w14:textId="60894D12"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Aslam, M., Zamir, M. S. I., Anjum, S. A., Khan, I., &amp; Tanveer, M. (2016). Effects of humic acid on seedling growth and yield of maize. </w:t>
      </w:r>
      <w:r w:rsidRPr="006E6B61">
        <w:rPr>
          <w:rFonts w:ascii="Times New Roman" w:hAnsi="Times New Roman" w:cs="Times New Roman"/>
          <w:i/>
          <w:iCs/>
          <w:sz w:val="24"/>
          <w:szCs w:val="24"/>
        </w:rPr>
        <w:t>Journal of Plant Nutrition, 39</w:t>
      </w:r>
      <w:r w:rsidRPr="006E6B61">
        <w:rPr>
          <w:rFonts w:ascii="Times New Roman" w:hAnsi="Times New Roman" w:cs="Times New Roman"/>
          <w:sz w:val="24"/>
          <w:szCs w:val="24"/>
        </w:rPr>
        <w:t>(7), 1–9.</w:t>
      </w:r>
    </w:p>
    <w:p w14:paraId="0E5E9B69" w14:textId="77A67F52" w:rsidR="00351949" w:rsidRPr="00351949" w:rsidRDefault="00351949" w:rsidP="00351949">
      <w:pPr>
        <w:pStyle w:val="ListParagraph"/>
        <w:numPr>
          <w:ilvl w:val="0"/>
          <w:numId w:val="6"/>
        </w:numPr>
        <w:jc w:val="both"/>
        <w:rPr>
          <w:rFonts w:ascii="Times New Roman" w:hAnsi="Times New Roman" w:cs="Times New Roman"/>
          <w:sz w:val="24"/>
          <w:szCs w:val="24"/>
        </w:rPr>
      </w:pPr>
      <w:r w:rsidRPr="00125A8A">
        <w:rPr>
          <w:rFonts w:ascii="Times New Roman" w:eastAsia="Times New Roman" w:hAnsi="Times New Roman" w:cs="Times New Roman"/>
          <w:kern w:val="0"/>
          <w:sz w:val="24"/>
          <w:szCs w:val="24"/>
          <w:lang w:eastAsia="en-IN"/>
          <w14:ligatures w14:val="none"/>
        </w:rPr>
        <w:lastRenderedPageBreak/>
        <w:t>Ashour, M., El-Shanhorey, N., Abou El</w:t>
      </w:r>
      <w:r w:rsidRPr="00125A8A">
        <w:rPr>
          <w:rFonts w:ascii="Cambria Math" w:eastAsia="Times New Roman" w:hAnsi="Cambria Math" w:cs="Cambria Math"/>
          <w:kern w:val="0"/>
          <w:sz w:val="24"/>
          <w:szCs w:val="24"/>
          <w:lang w:eastAsia="en-IN"/>
          <w14:ligatures w14:val="none"/>
        </w:rPr>
        <w:t>‐</w:t>
      </w:r>
      <w:r w:rsidRPr="00125A8A">
        <w:rPr>
          <w:rFonts w:ascii="Times New Roman" w:eastAsia="Times New Roman" w:hAnsi="Times New Roman" w:cs="Times New Roman"/>
          <w:kern w:val="0"/>
          <w:sz w:val="24"/>
          <w:szCs w:val="24"/>
          <w:lang w:eastAsia="en-IN"/>
          <w14:ligatures w14:val="none"/>
        </w:rPr>
        <w:t xml:space="preserve">Ghit, H., El-Saadony, M. T., &amp; Abd El-Hack, M. E. (2022). Commercial seaweed liquid extracts as biostimulants: Impacts on growth, physiology, and productivity of strawberry. </w:t>
      </w:r>
      <w:r w:rsidRPr="00125A8A">
        <w:rPr>
          <w:rFonts w:ascii="Times New Roman" w:eastAsia="Times New Roman" w:hAnsi="Times New Roman" w:cs="Times New Roman"/>
          <w:i/>
          <w:iCs/>
          <w:kern w:val="0"/>
          <w:sz w:val="24"/>
          <w:szCs w:val="24"/>
          <w:lang w:eastAsia="en-IN"/>
          <w14:ligatures w14:val="none"/>
        </w:rPr>
        <w:t>Agronomy</w:t>
      </w:r>
      <w:r w:rsidRPr="00125A8A">
        <w:rPr>
          <w:rFonts w:ascii="Times New Roman" w:eastAsia="Times New Roman" w:hAnsi="Times New Roman" w:cs="Times New Roman"/>
          <w:kern w:val="0"/>
          <w:sz w:val="24"/>
          <w:szCs w:val="24"/>
          <w:lang w:eastAsia="en-IN"/>
          <w14:ligatures w14:val="none"/>
        </w:rPr>
        <w:t>, 12(1), 83</w:t>
      </w:r>
    </w:p>
    <w:p w14:paraId="496F75E8" w14:textId="0CC490D2"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1A32">
        <w:rPr>
          <w:rFonts w:ascii="Times New Roman" w:eastAsia="Times New Roman" w:hAnsi="Times New Roman" w:cs="Times New Roman"/>
          <w:kern w:val="0"/>
          <w:sz w:val="24"/>
          <w:szCs w:val="24"/>
          <w:lang w:eastAsia="en-IN"/>
          <w14:ligatures w14:val="none"/>
        </w:rPr>
        <w:t xml:space="preserve">Bagrecha, S., Melavanki, M. S., Nithinkumar, K., &amp; Halesh, G. K. (2024). Effects of </w:t>
      </w:r>
      <w:r w:rsidRPr="00121A32">
        <w:rPr>
          <w:rFonts w:ascii="Times New Roman" w:eastAsia="Times New Roman" w:hAnsi="Times New Roman" w:cs="Times New Roman"/>
          <w:i/>
          <w:iCs/>
          <w:kern w:val="0"/>
          <w:sz w:val="24"/>
          <w:szCs w:val="24"/>
          <w:lang w:eastAsia="en-IN"/>
          <w14:ligatures w14:val="none"/>
        </w:rPr>
        <w:t>Ascophyllum nodosum</w:t>
      </w:r>
      <w:r w:rsidRPr="00121A32">
        <w:rPr>
          <w:rFonts w:ascii="Times New Roman" w:eastAsia="Times New Roman" w:hAnsi="Times New Roman" w:cs="Times New Roman"/>
          <w:kern w:val="0"/>
          <w:sz w:val="24"/>
          <w:szCs w:val="24"/>
          <w:lang w:eastAsia="en-IN"/>
          <w14:ligatures w14:val="none"/>
        </w:rPr>
        <w:t xml:space="preserve"> extract on growth and yield of rice (</w:t>
      </w:r>
      <w:r w:rsidRPr="00121A32">
        <w:rPr>
          <w:rFonts w:ascii="Times New Roman" w:eastAsia="Times New Roman" w:hAnsi="Times New Roman" w:cs="Times New Roman"/>
          <w:i/>
          <w:iCs/>
          <w:kern w:val="0"/>
          <w:sz w:val="24"/>
          <w:szCs w:val="24"/>
          <w:lang w:eastAsia="en-IN"/>
          <w14:ligatures w14:val="none"/>
        </w:rPr>
        <w:t>Oryza sativa</w:t>
      </w:r>
      <w:r w:rsidRPr="00121A32">
        <w:rPr>
          <w:rFonts w:ascii="Times New Roman" w:eastAsia="Times New Roman" w:hAnsi="Times New Roman" w:cs="Times New Roman"/>
          <w:kern w:val="0"/>
          <w:sz w:val="24"/>
          <w:szCs w:val="24"/>
          <w:lang w:eastAsia="en-IN"/>
          <w14:ligatures w14:val="none"/>
        </w:rPr>
        <w:t xml:space="preserve"> L.). </w:t>
      </w:r>
      <w:r w:rsidRPr="00121A32">
        <w:rPr>
          <w:rFonts w:ascii="Times New Roman" w:eastAsia="Times New Roman" w:hAnsi="Times New Roman" w:cs="Times New Roman"/>
          <w:i/>
          <w:iCs/>
          <w:kern w:val="0"/>
          <w:sz w:val="24"/>
          <w:szCs w:val="24"/>
          <w:lang w:eastAsia="en-IN"/>
          <w14:ligatures w14:val="none"/>
        </w:rPr>
        <w:t>Journal of Agronomy and Crop Science</w:t>
      </w:r>
      <w:r w:rsidRPr="00121A32">
        <w:rPr>
          <w:rFonts w:ascii="Times New Roman" w:eastAsia="Times New Roman" w:hAnsi="Times New Roman" w:cs="Times New Roman"/>
          <w:kern w:val="0"/>
          <w:sz w:val="24"/>
          <w:szCs w:val="24"/>
          <w:lang w:eastAsia="en-IN"/>
          <w14:ligatures w14:val="none"/>
        </w:rPr>
        <w:t xml:space="preserve">, 7(9), 1457–1468. </w:t>
      </w:r>
    </w:p>
    <w:p w14:paraId="6BF48787" w14:textId="473C95C6"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Battacharyya, D., Babgohari, M. Z., Rathor, P., &amp; Prithiviraj, B. (2020). Seaweed extracts as biostimulants in plant science and agriculture. </w:t>
      </w:r>
      <w:r w:rsidRPr="006E6B61">
        <w:rPr>
          <w:rFonts w:ascii="Times New Roman" w:hAnsi="Times New Roman" w:cs="Times New Roman"/>
          <w:i/>
          <w:iCs/>
          <w:sz w:val="24"/>
          <w:szCs w:val="24"/>
        </w:rPr>
        <w:t>Journal of Applied Phycology, 33</w:t>
      </w:r>
      <w:r w:rsidRPr="006E6B61">
        <w:rPr>
          <w:rFonts w:ascii="Times New Roman" w:hAnsi="Times New Roman" w:cs="Times New Roman"/>
          <w:sz w:val="24"/>
          <w:szCs w:val="24"/>
        </w:rPr>
        <w:t>(4), 2651–2670.</w:t>
      </w:r>
    </w:p>
    <w:p w14:paraId="7A4AB4DA" w14:textId="1F090CED" w:rsidR="009D229E" w:rsidRPr="00351949" w:rsidRDefault="009D229E" w:rsidP="00351949">
      <w:pPr>
        <w:pStyle w:val="ListParagraph"/>
        <w:numPr>
          <w:ilvl w:val="0"/>
          <w:numId w:val="6"/>
        </w:numPr>
        <w:jc w:val="both"/>
        <w:rPr>
          <w:rFonts w:ascii="Times New Roman" w:hAnsi="Times New Roman" w:cs="Times New Roman"/>
          <w:sz w:val="24"/>
          <w:szCs w:val="24"/>
        </w:rPr>
      </w:pPr>
      <w:r w:rsidRPr="00125A8A">
        <w:rPr>
          <w:rFonts w:ascii="Times New Roman" w:eastAsia="Times New Roman" w:hAnsi="Times New Roman" w:cs="Times New Roman"/>
          <w:kern w:val="0"/>
          <w:sz w:val="24"/>
          <w:szCs w:val="24"/>
          <w:lang w:eastAsia="en-IN"/>
          <w14:ligatures w14:val="none"/>
        </w:rPr>
        <w:t xml:space="preserve">Bertoldo, G., Tiziani, R., Perin, G., Varanini, Z., &amp; Cesco, S. (2023). Brown seaweed extract modulates auxin- and ABA-related gene expression, root traits, and sugar yield in </w:t>
      </w:r>
      <w:r w:rsidRPr="00125A8A">
        <w:rPr>
          <w:rFonts w:ascii="Times New Roman" w:eastAsia="Times New Roman" w:hAnsi="Times New Roman" w:cs="Times New Roman"/>
          <w:i/>
          <w:iCs/>
          <w:kern w:val="0"/>
          <w:sz w:val="24"/>
          <w:szCs w:val="24"/>
          <w:lang w:eastAsia="en-IN"/>
          <w14:ligatures w14:val="none"/>
        </w:rPr>
        <w:t>Beta vulgaris</w:t>
      </w:r>
      <w:r w:rsidRPr="00125A8A">
        <w:rPr>
          <w:rFonts w:ascii="Times New Roman" w:eastAsia="Times New Roman" w:hAnsi="Times New Roman" w:cs="Times New Roman"/>
          <w:kern w:val="0"/>
          <w:sz w:val="24"/>
          <w:szCs w:val="24"/>
          <w:lang w:eastAsia="en-IN"/>
          <w14:ligatures w14:val="none"/>
        </w:rPr>
        <w:t xml:space="preserve"> L.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14, 1124501</w:t>
      </w:r>
    </w:p>
    <w:p w14:paraId="78C4E080" w14:textId="47140DAA"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Olivares, F. L., Aguiar, N. O., Jones, D. L., Nebbioso, A., Mazzei, P., &amp; Piccolo, A. (2015). Humic and fulvic acids as biostimulants in horticulture. </w:t>
      </w:r>
      <w:r w:rsidRPr="006E6B61">
        <w:rPr>
          <w:rFonts w:ascii="Times New Roman" w:hAnsi="Times New Roman" w:cs="Times New Roman"/>
          <w:i/>
          <w:iCs/>
          <w:sz w:val="24"/>
          <w:szCs w:val="24"/>
        </w:rPr>
        <w:t>Scientia Horticulturae, 196</w:t>
      </w:r>
      <w:r w:rsidRPr="006E6B61">
        <w:rPr>
          <w:rFonts w:ascii="Times New Roman" w:hAnsi="Times New Roman" w:cs="Times New Roman"/>
          <w:sz w:val="24"/>
          <w:szCs w:val="24"/>
        </w:rPr>
        <w:t>, 15–27.</w:t>
      </w:r>
    </w:p>
    <w:p w14:paraId="782EF5F3" w14:textId="77777777"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Calvo, P., Nelson, L., &amp; Kloepper, J. W. (2014). Agricultural uses of plant biostimulants. </w:t>
      </w:r>
      <w:r w:rsidRPr="006E6B61">
        <w:rPr>
          <w:rFonts w:ascii="Times New Roman" w:hAnsi="Times New Roman" w:cs="Times New Roman"/>
          <w:i/>
          <w:iCs/>
          <w:sz w:val="24"/>
          <w:szCs w:val="24"/>
        </w:rPr>
        <w:t>Plant and Soil, 383</w:t>
      </w:r>
      <w:r w:rsidRPr="006E6B61">
        <w:rPr>
          <w:rFonts w:ascii="Times New Roman" w:hAnsi="Times New Roman" w:cs="Times New Roman"/>
          <w:sz w:val="24"/>
          <w:szCs w:val="24"/>
        </w:rPr>
        <w:t>, 3–41.</w:t>
      </w:r>
    </w:p>
    <w:p w14:paraId="675D0FAB" w14:textId="3C9E5B85" w:rsidR="00351949" w:rsidRPr="006E6B61"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&amp; Olivares, F. L. (2014). Physiological responses to humic substances as plant growth promoter. </w:t>
      </w:r>
      <w:r w:rsidRPr="006E6B61">
        <w:rPr>
          <w:rFonts w:ascii="Times New Roman" w:hAnsi="Times New Roman" w:cs="Times New Roman"/>
          <w:i/>
          <w:iCs/>
          <w:sz w:val="24"/>
          <w:szCs w:val="24"/>
        </w:rPr>
        <w:t>Chemical and Biological Technologies in Agriculture, 1</w:t>
      </w:r>
      <w:r w:rsidRPr="006E6B61">
        <w:rPr>
          <w:rFonts w:ascii="Times New Roman" w:hAnsi="Times New Roman" w:cs="Times New Roman"/>
          <w:sz w:val="24"/>
          <w:szCs w:val="24"/>
        </w:rPr>
        <w:t>(3), 1–11.</w:t>
      </w:r>
    </w:p>
    <w:p w14:paraId="3E4547BA" w14:textId="41AC8598"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Chen, Y., &amp; Aviad, T. (1990). Effects of humic substances on plant growth. In P. MacCarthy (Ed.), </w:t>
      </w:r>
      <w:r w:rsidRPr="006E6B61">
        <w:rPr>
          <w:rFonts w:ascii="Times New Roman" w:hAnsi="Times New Roman" w:cs="Times New Roman"/>
          <w:i/>
          <w:iCs/>
          <w:sz w:val="24"/>
          <w:szCs w:val="24"/>
        </w:rPr>
        <w:t>Humic Substances in Soil and Crop Sciences</w:t>
      </w:r>
      <w:r w:rsidRPr="006E6B61">
        <w:rPr>
          <w:rFonts w:ascii="Times New Roman" w:hAnsi="Times New Roman" w:cs="Times New Roman"/>
          <w:sz w:val="24"/>
          <w:szCs w:val="24"/>
        </w:rPr>
        <w:t xml:space="preserve"> (pp. 161–186). American Society of Agronomy.</w:t>
      </w:r>
    </w:p>
    <w:p w14:paraId="128DF9EE" w14:textId="522D250A"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Chowdhury, S., Kader, M. A., Islam, M. S., &amp; Amin, M. (2021). Soil organic carbon dynamics in agricultural systems. </w:t>
      </w:r>
      <w:r w:rsidRPr="006E6B61">
        <w:rPr>
          <w:rFonts w:ascii="Times New Roman" w:hAnsi="Times New Roman" w:cs="Times New Roman"/>
          <w:i/>
          <w:iCs/>
          <w:sz w:val="24"/>
          <w:szCs w:val="24"/>
        </w:rPr>
        <w:t>Environmental Challenges, 4</w:t>
      </w:r>
      <w:r w:rsidRPr="006E6B61">
        <w:rPr>
          <w:rFonts w:ascii="Times New Roman" w:hAnsi="Times New Roman" w:cs="Times New Roman"/>
          <w:sz w:val="24"/>
          <w:szCs w:val="24"/>
        </w:rPr>
        <w:t>, 100136</w:t>
      </w:r>
      <w:r>
        <w:rPr>
          <w:rFonts w:ascii="Times New Roman" w:hAnsi="Times New Roman" w:cs="Times New Roman"/>
          <w:sz w:val="24"/>
          <w:szCs w:val="24"/>
        </w:rPr>
        <w:t>.</w:t>
      </w:r>
    </w:p>
    <w:p w14:paraId="342A3BED" w14:textId="2D8D413E"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Ciarkowska, K., Niemyska-Łukaszuk, J., &amp; Komosa, A. (2017). Soil enzymatic activity and humic substances under various soil treatments. </w:t>
      </w:r>
      <w:r w:rsidRPr="006E6B61">
        <w:rPr>
          <w:rFonts w:ascii="Times New Roman" w:hAnsi="Times New Roman" w:cs="Times New Roman"/>
          <w:i/>
          <w:iCs/>
          <w:sz w:val="24"/>
          <w:szCs w:val="24"/>
        </w:rPr>
        <w:t>Polish Journal of Soil Science, 50</w:t>
      </w:r>
      <w:r w:rsidRPr="006E6B61">
        <w:rPr>
          <w:rFonts w:ascii="Times New Roman" w:hAnsi="Times New Roman" w:cs="Times New Roman"/>
          <w:sz w:val="24"/>
          <w:szCs w:val="24"/>
        </w:rPr>
        <w:t>(1), 1–12.</w:t>
      </w:r>
    </w:p>
    <w:p w14:paraId="00065081" w14:textId="052EB70E"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Ciriello, M., Rouphael, Y., &amp; Colla, G. (2024). Non-microbial biostimulants: Unravelling plant responses to seaweed extracts, humic substances, and protein hydrolysates. </w:t>
      </w:r>
      <w:r w:rsidRPr="00125A8A">
        <w:rPr>
          <w:rFonts w:ascii="Times New Roman" w:eastAsia="Times New Roman" w:hAnsi="Times New Roman" w:cs="Times New Roman"/>
          <w:i/>
          <w:iCs/>
          <w:kern w:val="0"/>
          <w:sz w:val="24"/>
          <w:szCs w:val="24"/>
          <w:lang w:eastAsia="en-IN"/>
          <w14:ligatures w14:val="none"/>
        </w:rPr>
        <w:t>Trends in Plant Science</w:t>
      </w:r>
      <w:r w:rsidRPr="00125A8A">
        <w:rPr>
          <w:rFonts w:ascii="Times New Roman" w:eastAsia="Times New Roman" w:hAnsi="Times New Roman" w:cs="Times New Roman"/>
          <w:kern w:val="0"/>
          <w:sz w:val="24"/>
          <w:szCs w:val="24"/>
          <w:lang w:eastAsia="en-IN"/>
          <w14:ligatures w14:val="none"/>
        </w:rPr>
        <w:t xml:space="preserve">, 29(2), 120–134. </w:t>
      </w:r>
    </w:p>
    <w:p w14:paraId="6C314E14" w14:textId="57FD3586"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Craigie, J. S. (2011). Seaweed extract stimuli in plant science and agriculture. </w:t>
      </w:r>
      <w:r w:rsidRPr="006E6B61">
        <w:rPr>
          <w:rFonts w:ascii="Times New Roman" w:hAnsi="Times New Roman" w:cs="Times New Roman"/>
          <w:i/>
          <w:iCs/>
          <w:sz w:val="24"/>
          <w:szCs w:val="24"/>
        </w:rPr>
        <w:t>Journal of Applied Phycology, 23</w:t>
      </w:r>
      <w:r w:rsidRPr="006E6B61">
        <w:rPr>
          <w:rFonts w:ascii="Times New Roman" w:hAnsi="Times New Roman" w:cs="Times New Roman"/>
          <w:sz w:val="24"/>
          <w:szCs w:val="24"/>
        </w:rPr>
        <w:t xml:space="preserve">(3), 371–393. </w:t>
      </w:r>
      <w:hyperlink r:id="rId9" w:history="1">
        <w:r w:rsidRPr="00E638FA">
          <w:rPr>
            <w:rStyle w:val="Hyperlink"/>
            <w:rFonts w:ascii="Times New Roman" w:hAnsi="Times New Roman" w:cs="Times New Roman"/>
            <w:sz w:val="24"/>
            <w:szCs w:val="24"/>
          </w:rPr>
          <w:t>https://doi.org/10.1007/s10811-010-9560-4</w:t>
        </w:r>
      </w:hyperlink>
    </w:p>
    <w:p w14:paraId="27FB3AAF" w14:textId="3639C902" w:rsidR="00351949" w:rsidRP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Dang, B. T., Nguyen, V. C., &amp; Pham, H. T. (2023). Current applications of seaweed waste for compost and biochar production: Prospects for soil health. </w:t>
      </w:r>
      <w:r w:rsidRPr="00125A8A">
        <w:rPr>
          <w:rFonts w:ascii="Times New Roman" w:eastAsia="Times New Roman" w:hAnsi="Times New Roman" w:cs="Times New Roman"/>
          <w:i/>
          <w:iCs/>
          <w:kern w:val="0"/>
          <w:sz w:val="24"/>
          <w:szCs w:val="24"/>
          <w:lang w:eastAsia="en-IN"/>
          <w14:ligatures w14:val="none"/>
        </w:rPr>
        <w:t>Bioresource Technology Reports</w:t>
      </w:r>
      <w:r w:rsidRPr="00125A8A">
        <w:rPr>
          <w:rFonts w:ascii="Times New Roman" w:eastAsia="Times New Roman" w:hAnsi="Times New Roman" w:cs="Times New Roman"/>
          <w:kern w:val="0"/>
          <w:sz w:val="24"/>
          <w:szCs w:val="24"/>
          <w:lang w:eastAsia="en-IN"/>
          <w14:ligatures w14:val="none"/>
        </w:rPr>
        <w:t xml:space="preserve">, 22, 101429. </w:t>
      </w:r>
    </w:p>
    <w:p w14:paraId="62C5C17E" w14:textId="42616D16"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du Jardin, P. (2015). Plant biostimulants: Definition, concept, main categories, and regulation. </w:t>
      </w:r>
      <w:r w:rsidRPr="006E6B61">
        <w:rPr>
          <w:rFonts w:ascii="Times New Roman" w:hAnsi="Times New Roman" w:cs="Times New Roman"/>
          <w:i/>
          <w:iCs/>
          <w:sz w:val="24"/>
          <w:szCs w:val="24"/>
        </w:rPr>
        <w:t>Scientia Horticulturae, 196</w:t>
      </w:r>
      <w:r w:rsidRPr="006E6B61">
        <w:rPr>
          <w:rFonts w:ascii="Times New Roman" w:hAnsi="Times New Roman" w:cs="Times New Roman"/>
          <w:sz w:val="24"/>
          <w:szCs w:val="24"/>
        </w:rPr>
        <w:t>, 3–14.</w:t>
      </w:r>
    </w:p>
    <w:p w14:paraId="2EA2C7F9" w14:textId="68F5E2FD"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El-Naggar, A. H., Lee, S. S., Rinklebe, J., Farooq, M., Song, H., Sarmah, A. K., &amp; Ok, Y. S. (2018). Biochar application to low-fertility soils: A review of current status and future prospects. </w:t>
      </w:r>
      <w:r w:rsidRPr="006E6B61">
        <w:rPr>
          <w:rFonts w:ascii="Times New Roman" w:hAnsi="Times New Roman" w:cs="Times New Roman"/>
          <w:i/>
          <w:iCs/>
          <w:sz w:val="24"/>
          <w:szCs w:val="24"/>
        </w:rPr>
        <w:t>Science of the Total Environment, 626</w:t>
      </w:r>
      <w:r w:rsidRPr="006E6B61">
        <w:rPr>
          <w:rFonts w:ascii="Times New Roman" w:hAnsi="Times New Roman" w:cs="Times New Roman"/>
          <w:sz w:val="24"/>
          <w:szCs w:val="24"/>
        </w:rPr>
        <w:t>, 142–159. (Used for SOC and enzyme activity)</w:t>
      </w:r>
    </w:p>
    <w:p w14:paraId="0456E4E7" w14:textId="1823B601"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Ertani, A., Francioso, O., Tugnoli, V., Righini, G., &amp; Nardi, S. (2018). Effect of commercial humic acid on plant growth and nutrient uptake. </w:t>
      </w:r>
      <w:r w:rsidRPr="006E6B61">
        <w:rPr>
          <w:rFonts w:ascii="Times New Roman" w:hAnsi="Times New Roman" w:cs="Times New Roman"/>
          <w:i/>
          <w:iCs/>
          <w:sz w:val="24"/>
          <w:szCs w:val="24"/>
        </w:rPr>
        <w:t>Agronomy Journal, 110</w:t>
      </w:r>
      <w:r w:rsidRPr="006E6B61">
        <w:rPr>
          <w:rFonts w:ascii="Times New Roman" w:hAnsi="Times New Roman" w:cs="Times New Roman"/>
          <w:sz w:val="24"/>
          <w:szCs w:val="24"/>
        </w:rPr>
        <w:t>(6), 2211–2220.</w:t>
      </w:r>
    </w:p>
    <w:p w14:paraId="2D0A14C3" w14:textId="3C12F5EB"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lastRenderedPageBreak/>
        <w:t xml:space="preserve">Espinosa-Antón, A. A., Aguilar-Hernández, I., &amp; García-Rodríguez, J. L. (2023). Application of </w:t>
      </w:r>
      <w:r w:rsidRPr="00125A8A">
        <w:rPr>
          <w:rFonts w:ascii="Times New Roman" w:eastAsia="Times New Roman" w:hAnsi="Times New Roman" w:cs="Times New Roman"/>
          <w:i/>
          <w:iCs/>
          <w:kern w:val="0"/>
          <w:sz w:val="24"/>
          <w:szCs w:val="24"/>
          <w:lang w:eastAsia="en-IN"/>
          <w14:ligatures w14:val="none"/>
        </w:rPr>
        <w:t>Ulva ohnoi</w:t>
      </w:r>
      <w:r w:rsidRPr="00125A8A">
        <w:rPr>
          <w:rFonts w:ascii="Times New Roman" w:eastAsia="Times New Roman" w:hAnsi="Times New Roman" w:cs="Times New Roman"/>
          <w:kern w:val="0"/>
          <w:sz w:val="24"/>
          <w:szCs w:val="24"/>
          <w:lang w:eastAsia="en-IN"/>
          <w14:ligatures w14:val="none"/>
        </w:rPr>
        <w:t xml:space="preserve"> powder alters substrate and rhizosphere microbiome, improving nutrient uptake and plant performance. </w:t>
      </w:r>
      <w:r w:rsidRPr="00125A8A">
        <w:rPr>
          <w:rFonts w:ascii="Times New Roman" w:eastAsia="Times New Roman" w:hAnsi="Times New Roman" w:cs="Times New Roman"/>
          <w:i/>
          <w:iCs/>
          <w:kern w:val="0"/>
          <w:sz w:val="24"/>
          <w:szCs w:val="24"/>
          <w:lang w:eastAsia="en-IN"/>
          <w14:ligatures w14:val="none"/>
        </w:rPr>
        <w:t>Scientific Reports</w:t>
      </w:r>
      <w:r w:rsidRPr="00125A8A">
        <w:rPr>
          <w:rFonts w:ascii="Times New Roman" w:eastAsia="Times New Roman" w:hAnsi="Times New Roman" w:cs="Times New Roman"/>
          <w:kern w:val="0"/>
          <w:sz w:val="24"/>
          <w:szCs w:val="24"/>
          <w:lang w:eastAsia="en-IN"/>
          <w14:ligatures w14:val="none"/>
        </w:rPr>
        <w:t xml:space="preserve">, 13, 5218. </w:t>
      </w:r>
    </w:p>
    <w:p w14:paraId="3E7106D2" w14:textId="79CFF166"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Feng, W., Plante, A. F., &amp; Six, J. (2014). Improving estimates of maximal organic carbon stabilization by fine soil particles. </w:t>
      </w:r>
      <w:r w:rsidRPr="006E6B61">
        <w:rPr>
          <w:rFonts w:ascii="Times New Roman" w:hAnsi="Times New Roman" w:cs="Times New Roman"/>
          <w:i/>
          <w:iCs/>
          <w:sz w:val="24"/>
          <w:szCs w:val="24"/>
        </w:rPr>
        <w:t>Biogeochemistry, 119</w:t>
      </w:r>
      <w:r w:rsidRPr="006E6B61">
        <w:rPr>
          <w:rFonts w:ascii="Times New Roman" w:hAnsi="Times New Roman" w:cs="Times New Roman"/>
          <w:sz w:val="24"/>
          <w:szCs w:val="24"/>
        </w:rPr>
        <w:t>, 93–108.</w:t>
      </w:r>
    </w:p>
    <w:p w14:paraId="396CD535" w14:textId="5F382782"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Godlewska, K., Michalak, I., &amp; Pacyga, P. (2021). The influence of seaweed extracts on plant productivity and quality. </w:t>
      </w:r>
      <w:r w:rsidRPr="006E6B61">
        <w:rPr>
          <w:rFonts w:ascii="Times New Roman" w:hAnsi="Times New Roman" w:cs="Times New Roman"/>
          <w:i/>
          <w:iCs/>
          <w:sz w:val="24"/>
          <w:szCs w:val="24"/>
        </w:rPr>
        <w:t>Agronomy, 11</w:t>
      </w:r>
      <w:r w:rsidRPr="006E6B61">
        <w:rPr>
          <w:rFonts w:ascii="Times New Roman" w:hAnsi="Times New Roman" w:cs="Times New Roman"/>
          <w:sz w:val="24"/>
          <w:szCs w:val="24"/>
        </w:rPr>
        <w:t>(7), 1343.</w:t>
      </w:r>
    </w:p>
    <w:p w14:paraId="075E6FA0" w14:textId="6E2AB5AE"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Katkat, A. V., Celik, H., Turan, M. A., &amp; Asik, B. B. (2009). Effects of humic substances on nutrient uptake and yield of wheat. </w:t>
      </w:r>
      <w:r w:rsidRPr="006E6B61">
        <w:rPr>
          <w:rFonts w:ascii="Times New Roman" w:hAnsi="Times New Roman" w:cs="Times New Roman"/>
          <w:i/>
          <w:iCs/>
          <w:sz w:val="24"/>
          <w:szCs w:val="24"/>
        </w:rPr>
        <w:t>Australian Journal of Basic and Applied Sciences, 3</w:t>
      </w:r>
      <w:r w:rsidRPr="006E6B61">
        <w:rPr>
          <w:rFonts w:ascii="Times New Roman" w:hAnsi="Times New Roman" w:cs="Times New Roman"/>
          <w:sz w:val="24"/>
          <w:szCs w:val="24"/>
        </w:rPr>
        <w:t>(2), 1266–1273.</w:t>
      </w:r>
    </w:p>
    <w:p w14:paraId="7788C832" w14:textId="44C58D43"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Khan, W., Rayirath, U. P., Subramanian, S., Jithesh, M. N., R</w:t>
      </w:r>
      <w:r>
        <w:rPr>
          <w:rFonts w:ascii="Times New Roman" w:hAnsi="Times New Roman" w:cs="Times New Roman"/>
          <w:sz w:val="24"/>
          <w:szCs w:val="24"/>
        </w:rPr>
        <w:t xml:space="preserve">ayorath, P., Hodges, D. M., </w:t>
      </w:r>
      <w:r w:rsidRPr="006E6B61">
        <w:rPr>
          <w:rFonts w:ascii="Times New Roman" w:hAnsi="Times New Roman" w:cs="Times New Roman"/>
          <w:sz w:val="24"/>
          <w:szCs w:val="24"/>
        </w:rPr>
        <w:t xml:space="preserve">&amp; Prithiviraj, B. (2009). Seaweed extracts as biostimulants of plant growth and development. </w:t>
      </w:r>
      <w:r w:rsidRPr="006E6B61">
        <w:rPr>
          <w:rFonts w:ascii="Times New Roman" w:hAnsi="Times New Roman" w:cs="Times New Roman"/>
          <w:i/>
          <w:iCs/>
          <w:sz w:val="24"/>
          <w:szCs w:val="24"/>
        </w:rPr>
        <w:t>Journal of Plant Growth Regulation, 28</w:t>
      </w:r>
      <w:r w:rsidRPr="006E6B61">
        <w:rPr>
          <w:rFonts w:ascii="Times New Roman" w:hAnsi="Times New Roman" w:cs="Times New Roman"/>
          <w:sz w:val="24"/>
          <w:szCs w:val="24"/>
        </w:rPr>
        <w:t>(4), 386–399.</w:t>
      </w:r>
    </w:p>
    <w:p w14:paraId="69C91B4E" w14:textId="21764B26"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V., et al. (2018). Integrated nutrient management in agriculture. </w:t>
      </w:r>
      <w:r w:rsidRPr="006E6B61">
        <w:rPr>
          <w:rFonts w:ascii="Times New Roman" w:hAnsi="Times New Roman" w:cs="Times New Roman"/>
          <w:i/>
          <w:iCs/>
          <w:sz w:val="24"/>
          <w:szCs w:val="24"/>
        </w:rPr>
        <w:t>International Journal of Current Microbiology and Applied Sciences, 7</w:t>
      </w:r>
      <w:r w:rsidRPr="006E6B61">
        <w:rPr>
          <w:rFonts w:ascii="Times New Roman" w:hAnsi="Times New Roman" w:cs="Times New Roman"/>
          <w:sz w:val="24"/>
          <w:szCs w:val="24"/>
        </w:rPr>
        <w:t>(4), 209–218.</w:t>
      </w:r>
    </w:p>
    <w:p w14:paraId="522DBD75" w14:textId="0E282052"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Kumar, A., Singh, R., &amp; Mandal, S. (2024). Seaweed-derived hydrogels: Gelling properties and sustainable applications for controlled nutrient release. </w:t>
      </w:r>
      <w:r w:rsidRPr="00125A8A">
        <w:rPr>
          <w:rFonts w:ascii="Times New Roman" w:eastAsia="Times New Roman" w:hAnsi="Times New Roman" w:cs="Times New Roman"/>
          <w:i/>
          <w:iCs/>
          <w:kern w:val="0"/>
          <w:sz w:val="24"/>
          <w:szCs w:val="24"/>
          <w:lang w:eastAsia="en-IN"/>
          <w14:ligatures w14:val="none"/>
        </w:rPr>
        <w:t>ACS Sustainable Chemistry &amp; Engineering</w:t>
      </w:r>
      <w:r w:rsidRPr="00125A8A">
        <w:rPr>
          <w:rFonts w:ascii="Times New Roman" w:eastAsia="Times New Roman" w:hAnsi="Times New Roman" w:cs="Times New Roman"/>
          <w:kern w:val="0"/>
          <w:sz w:val="24"/>
          <w:szCs w:val="24"/>
          <w:lang w:eastAsia="en-IN"/>
          <w14:ligatures w14:val="none"/>
        </w:rPr>
        <w:t xml:space="preserve">, 12(4), 1892–1904. </w:t>
      </w:r>
    </w:p>
    <w:p w14:paraId="346C9D0B" w14:textId="783A44F0"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G., &amp; Sahoo, D. (2020). Seaweed-based biostimulants in agricultural context: Mechanisms and applications. </w:t>
      </w:r>
      <w:r w:rsidRPr="006E6B61">
        <w:rPr>
          <w:rFonts w:ascii="Times New Roman" w:hAnsi="Times New Roman" w:cs="Times New Roman"/>
          <w:i/>
          <w:iCs/>
          <w:sz w:val="24"/>
          <w:szCs w:val="24"/>
        </w:rPr>
        <w:t>Bioresource Technology Reports, 11</w:t>
      </w:r>
      <w:r w:rsidRPr="006E6B61">
        <w:rPr>
          <w:rFonts w:ascii="Times New Roman" w:hAnsi="Times New Roman" w:cs="Times New Roman"/>
          <w:sz w:val="24"/>
          <w:szCs w:val="24"/>
        </w:rPr>
        <w:t>, 100527.</w:t>
      </w:r>
    </w:p>
    <w:p w14:paraId="6E73AB50" w14:textId="7D911A42"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Lal, R. (2016). Soil health and carbon management. </w:t>
      </w:r>
      <w:r w:rsidRPr="006E6B61">
        <w:rPr>
          <w:rFonts w:ascii="Times New Roman" w:hAnsi="Times New Roman" w:cs="Times New Roman"/>
          <w:i/>
          <w:iCs/>
          <w:sz w:val="24"/>
          <w:szCs w:val="24"/>
        </w:rPr>
        <w:t>Food and Energy Security, 5</w:t>
      </w:r>
      <w:r w:rsidRPr="006E6B61">
        <w:rPr>
          <w:rFonts w:ascii="Times New Roman" w:hAnsi="Times New Roman" w:cs="Times New Roman"/>
          <w:sz w:val="24"/>
          <w:szCs w:val="24"/>
        </w:rPr>
        <w:t>(4), 212–222.</w:t>
      </w:r>
    </w:p>
    <w:p w14:paraId="00DF4F3D" w14:textId="77777777" w:rsidR="003957AC" w:rsidRPr="003957AC" w:rsidRDefault="003957AC" w:rsidP="003957AC">
      <w:pPr>
        <w:pStyle w:val="ListParagraph"/>
        <w:numPr>
          <w:ilvl w:val="0"/>
          <w:numId w:val="6"/>
        </w:numPr>
        <w:jc w:val="both"/>
        <w:rPr>
          <w:rFonts w:ascii="Times New Roman" w:hAnsi="Times New Roman" w:cs="Times New Roman"/>
          <w:sz w:val="24"/>
          <w:szCs w:val="24"/>
        </w:rPr>
      </w:pPr>
      <w:r w:rsidRPr="003957AC">
        <w:rPr>
          <w:rFonts w:ascii="Times New Roman" w:hAnsi="Times New Roman" w:cs="Times New Roman"/>
          <w:sz w:val="24"/>
          <w:szCs w:val="24"/>
        </w:rPr>
        <w:t>Mahler, C. F., Svierzoski, N. D. S., &amp; Bernardino, C. A. R. (2021). Chemical characteristics of humic substances in nature. In A. Makan (Ed.), </w:t>
      </w:r>
      <w:r w:rsidRPr="003957AC">
        <w:rPr>
          <w:rFonts w:ascii="Times New Roman" w:hAnsi="Times New Roman" w:cs="Times New Roman"/>
          <w:i/>
          <w:iCs/>
          <w:sz w:val="24"/>
          <w:szCs w:val="24"/>
        </w:rPr>
        <w:t>Humic substance</w:t>
      </w:r>
      <w:r w:rsidRPr="003957AC">
        <w:rPr>
          <w:rFonts w:ascii="Times New Roman" w:hAnsi="Times New Roman" w:cs="Times New Roman"/>
          <w:sz w:val="24"/>
          <w:szCs w:val="24"/>
        </w:rPr>
        <w:t>. IntechOpen. doi.org</w:t>
      </w:r>
    </w:p>
    <w:p w14:paraId="42A9447F" w14:textId="0A0789F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Mukherjee, A., &amp; Patel, J. S. (2020). Seaweed extract: A sustainable plant biostimulant for improving growth, yield, and stress tolerance in crop plants. </w:t>
      </w:r>
      <w:r w:rsidRPr="006E6B61">
        <w:rPr>
          <w:rFonts w:ascii="Times New Roman" w:hAnsi="Times New Roman" w:cs="Times New Roman"/>
          <w:i/>
          <w:iCs/>
          <w:sz w:val="24"/>
          <w:szCs w:val="24"/>
        </w:rPr>
        <w:t>Journal of Applied Phycology, 32</w:t>
      </w:r>
      <w:r w:rsidRPr="006E6B61">
        <w:rPr>
          <w:rFonts w:ascii="Times New Roman" w:hAnsi="Times New Roman" w:cs="Times New Roman"/>
          <w:sz w:val="24"/>
          <w:szCs w:val="24"/>
        </w:rPr>
        <w:t>(3), 1–17.</w:t>
      </w:r>
    </w:p>
    <w:p w14:paraId="4CED0851" w14:textId="71CC11F9"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Pettit, R. E. (2004). Organic matter, humus, humate, humic acid, fulvic acid, and humin. </w:t>
      </w:r>
      <w:r w:rsidRPr="006E6B61">
        <w:rPr>
          <w:rFonts w:ascii="Times New Roman" w:hAnsi="Times New Roman" w:cs="Times New Roman"/>
          <w:i/>
          <w:iCs/>
          <w:sz w:val="24"/>
          <w:szCs w:val="24"/>
        </w:rPr>
        <w:t>Texas A&amp;M University</w:t>
      </w:r>
      <w:r w:rsidRPr="006E6B61">
        <w:rPr>
          <w:rFonts w:ascii="Times New Roman" w:hAnsi="Times New Roman" w:cs="Times New Roman"/>
          <w:sz w:val="24"/>
          <w:szCs w:val="24"/>
        </w:rPr>
        <w:t>, 1–7.</w:t>
      </w:r>
    </w:p>
    <w:p w14:paraId="3CDA703F" w14:textId="5DA19ED7"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Piccolo, A. (2002). The supramolecular structure of humic substances. </w:t>
      </w:r>
      <w:r w:rsidRPr="006E6B61">
        <w:rPr>
          <w:rFonts w:ascii="Times New Roman" w:hAnsi="Times New Roman" w:cs="Times New Roman"/>
          <w:i/>
          <w:iCs/>
          <w:sz w:val="24"/>
          <w:szCs w:val="24"/>
        </w:rPr>
        <w:t>Soil Science, 166</w:t>
      </w:r>
      <w:r w:rsidRPr="006E6B61">
        <w:rPr>
          <w:rFonts w:ascii="Times New Roman" w:hAnsi="Times New Roman" w:cs="Times New Roman"/>
          <w:sz w:val="24"/>
          <w:szCs w:val="24"/>
        </w:rPr>
        <w:t>(11), 810–832.</w:t>
      </w:r>
    </w:p>
    <w:p w14:paraId="3485D4AD" w14:textId="40A10BCF"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Quille, P., O’Connell, S., &amp; O’Connor, B. (2024). Integration of </w:t>
      </w:r>
      <w:r w:rsidRPr="00125A8A">
        <w:rPr>
          <w:rFonts w:ascii="Times New Roman" w:eastAsia="Times New Roman" w:hAnsi="Times New Roman" w:cs="Times New Roman"/>
          <w:i/>
          <w:iCs/>
          <w:kern w:val="0"/>
          <w:sz w:val="24"/>
          <w:szCs w:val="24"/>
          <w:lang w:eastAsia="en-IN"/>
          <w14:ligatures w14:val="none"/>
        </w:rPr>
        <w:t>Ascophyllum nodosum</w:t>
      </w:r>
      <w:r w:rsidRPr="00125A8A">
        <w:rPr>
          <w:rFonts w:ascii="Times New Roman" w:eastAsia="Times New Roman" w:hAnsi="Times New Roman" w:cs="Times New Roman"/>
          <w:kern w:val="0"/>
          <w:sz w:val="24"/>
          <w:szCs w:val="24"/>
          <w:lang w:eastAsia="en-IN"/>
          <w14:ligatures w14:val="none"/>
        </w:rPr>
        <w:t xml:space="preserve"> extracts with nitrogen granules to reduce N requirements in crops. </w:t>
      </w:r>
      <w:r w:rsidRPr="00125A8A">
        <w:rPr>
          <w:rFonts w:ascii="Times New Roman" w:eastAsia="Times New Roman" w:hAnsi="Times New Roman" w:cs="Times New Roman"/>
          <w:i/>
          <w:iCs/>
          <w:kern w:val="0"/>
          <w:sz w:val="24"/>
          <w:szCs w:val="24"/>
          <w:lang w:eastAsia="en-IN"/>
          <w14:ligatures w14:val="none"/>
        </w:rPr>
        <w:t>Journal of Applied Phycology</w:t>
      </w:r>
      <w:r w:rsidRPr="00125A8A">
        <w:rPr>
          <w:rFonts w:ascii="Times New Roman" w:eastAsia="Times New Roman" w:hAnsi="Times New Roman" w:cs="Times New Roman"/>
          <w:kern w:val="0"/>
          <w:sz w:val="24"/>
          <w:szCs w:val="24"/>
          <w:lang w:eastAsia="en-IN"/>
          <w14:ligatures w14:val="none"/>
        </w:rPr>
        <w:t xml:space="preserve">, 36, 155–168. </w:t>
      </w:r>
    </w:p>
    <w:p w14:paraId="3C64F84C" w14:textId="037D116F"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Rathore, S. S., Chaudhary, D. R., Boricha, G. N., Ghosh, A., Bhatt, B. P., Zodape, S. T., &amp; Patolia, J. S. (2009). Effect of seaweed extract on growth and yield of soybean. </w:t>
      </w:r>
      <w:r w:rsidRPr="006E6B61">
        <w:rPr>
          <w:rFonts w:ascii="Times New Roman" w:hAnsi="Times New Roman" w:cs="Times New Roman"/>
          <w:i/>
          <w:iCs/>
          <w:sz w:val="24"/>
          <w:szCs w:val="24"/>
        </w:rPr>
        <w:t>South African Journal of Botany, 75</w:t>
      </w:r>
      <w:r w:rsidRPr="006E6B61">
        <w:rPr>
          <w:rFonts w:ascii="Times New Roman" w:hAnsi="Times New Roman" w:cs="Times New Roman"/>
          <w:sz w:val="24"/>
          <w:szCs w:val="24"/>
        </w:rPr>
        <w:t>(2), 351–355.</w:t>
      </w:r>
    </w:p>
    <w:p w14:paraId="701289EA" w14:textId="6486247D"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Rouphael, Y., &amp; Colla, G. (2020). Biostimulants in agriculture. </w:t>
      </w:r>
      <w:r w:rsidRPr="006E6B61">
        <w:rPr>
          <w:rFonts w:ascii="Times New Roman" w:hAnsi="Times New Roman" w:cs="Times New Roman"/>
          <w:i/>
          <w:iCs/>
          <w:sz w:val="24"/>
          <w:szCs w:val="24"/>
        </w:rPr>
        <w:t>Frontiers in Plant Science, 11</w:t>
      </w:r>
      <w:r w:rsidRPr="006E6B61">
        <w:rPr>
          <w:rFonts w:ascii="Times New Roman" w:hAnsi="Times New Roman" w:cs="Times New Roman"/>
          <w:sz w:val="24"/>
          <w:szCs w:val="24"/>
        </w:rPr>
        <w:t>, 40.</w:t>
      </w:r>
    </w:p>
    <w:p w14:paraId="08965288" w14:textId="7315E476"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Saha, R., Saieed, M. A. U., &amp; Chowdhury, M. A. K. (2013). Growth and yield of rice as influenced by humic acid and poultry manure. </w:t>
      </w:r>
      <w:r w:rsidRPr="006E6B61">
        <w:rPr>
          <w:rFonts w:ascii="Times New Roman" w:hAnsi="Times New Roman" w:cs="Times New Roman"/>
          <w:i/>
          <w:iCs/>
          <w:sz w:val="24"/>
          <w:szCs w:val="24"/>
        </w:rPr>
        <w:t>Universal Journal of Plant Science, 1</w:t>
      </w:r>
      <w:r w:rsidRPr="006E6B61">
        <w:rPr>
          <w:rFonts w:ascii="Times New Roman" w:hAnsi="Times New Roman" w:cs="Times New Roman"/>
          <w:sz w:val="24"/>
          <w:szCs w:val="24"/>
        </w:rPr>
        <w:t>(3), 78–84.</w:t>
      </w:r>
    </w:p>
    <w:p w14:paraId="3C3189E3" w14:textId="474F8B34" w:rsidR="0005247F" w:rsidRDefault="0005247F" w:rsidP="00F03F4A">
      <w:pPr>
        <w:pStyle w:val="ListParagraph"/>
        <w:numPr>
          <w:ilvl w:val="0"/>
          <w:numId w:val="6"/>
        </w:numPr>
        <w:jc w:val="both"/>
        <w:rPr>
          <w:rFonts w:ascii="Times New Roman" w:hAnsi="Times New Roman" w:cs="Times New Roman"/>
          <w:sz w:val="24"/>
          <w:szCs w:val="24"/>
        </w:rPr>
      </w:pPr>
      <w:r w:rsidRPr="0005247F">
        <w:rPr>
          <w:rFonts w:ascii="Times New Roman" w:hAnsi="Times New Roman" w:cs="Times New Roman"/>
          <w:sz w:val="24"/>
          <w:szCs w:val="24"/>
        </w:rPr>
        <w:t xml:space="preserve">Salehi, B., Sharifi-Rad, J., Seca, A.M.L., Pinto, D.C.G.A., Michalak, I., Trincone, A., Mishra, A.P., Nigam, M., Zam, W., Martins, N., 2019. Current trends on seaweeds: looking </w:t>
      </w:r>
      <w:r w:rsidRPr="0005247F">
        <w:rPr>
          <w:rFonts w:ascii="Times New Roman" w:hAnsi="Times New Roman" w:cs="Times New Roman"/>
          <w:sz w:val="24"/>
          <w:szCs w:val="24"/>
        </w:rPr>
        <w:lastRenderedPageBreak/>
        <w:t xml:space="preserve">at chemical composition, phytopharmacology, and cosmetic applications. </w:t>
      </w:r>
      <w:r w:rsidRPr="0005247F">
        <w:rPr>
          <w:rFonts w:ascii="Times New Roman" w:hAnsi="Times New Roman" w:cs="Times New Roman"/>
          <w:i/>
          <w:iCs/>
          <w:sz w:val="24"/>
          <w:szCs w:val="24"/>
        </w:rPr>
        <w:t>Mol. (Basel Switz.)</w:t>
      </w:r>
      <w:r w:rsidRPr="0005247F">
        <w:rPr>
          <w:rFonts w:ascii="Times New Roman" w:hAnsi="Times New Roman" w:cs="Times New Roman"/>
          <w:sz w:val="24"/>
          <w:szCs w:val="24"/>
        </w:rPr>
        <w:t xml:space="preserve"> 24 (22), 4182. https://doi.org/10.3390/molecules24224182.</w:t>
      </w:r>
    </w:p>
    <w:p w14:paraId="249C1C53"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Sharif, M., Khattak, R. A., &amp; Sarir, M. S. (2002). Influence of humic acid on nutrient uptake and growth of wheat. </w:t>
      </w:r>
      <w:r w:rsidRPr="006E6B61">
        <w:rPr>
          <w:rFonts w:ascii="Times New Roman" w:hAnsi="Times New Roman" w:cs="Times New Roman"/>
          <w:i/>
          <w:iCs/>
          <w:sz w:val="24"/>
          <w:szCs w:val="24"/>
        </w:rPr>
        <w:t>Journal of Plant Nutrition, 25</w:t>
      </w:r>
      <w:r w:rsidRPr="006E6B61">
        <w:rPr>
          <w:rFonts w:ascii="Times New Roman" w:hAnsi="Times New Roman" w:cs="Times New Roman"/>
          <w:sz w:val="24"/>
          <w:szCs w:val="24"/>
        </w:rPr>
        <w:t>(8), 1665–1675.</w:t>
      </w:r>
    </w:p>
    <w:p w14:paraId="13F750C1"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Shukla, P. S., Shotton, K., Norman, E., Neily, W., Critchley, A. T., &amp; Prithiviraj, B. (2019). Seaweed-based biostimulants in agriculture: Mechanisms and impacts on crop productivity. </w:t>
      </w:r>
      <w:r w:rsidRPr="006E6B61">
        <w:rPr>
          <w:rFonts w:ascii="Times New Roman" w:hAnsi="Times New Roman" w:cs="Times New Roman"/>
          <w:i/>
          <w:iCs/>
          <w:sz w:val="24"/>
          <w:szCs w:val="24"/>
        </w:rPr>
        <w:t>Frontiers in Plant Science, 10</w:t>
      </w:r>
      <w:r w:rsidRPr="006E6B61">
        <w:rPr>
          <w:rFonts w:ascii="Times New Roman" w:hAnsi="Times New Roman" w:cs="Times New Roman"/>
          <w:sz w:val="24"/>
          <w:szCs w:val="24"/>
        </w:rPr>
        <w:t>, 1407.</w:t>
      </w:r>
    </w:p>
    <w:p w14:paraId="11E1C339"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Rao, J. R., &amp; Martin, T. (2014). Plant biostimulants: A review on the processing of macroalgae and use of extracts for crop management. </w:t>
      </w:r>
      <w:r w:rsidRPr="006E6B61">
        <w:rPr>
          <w:rFonts w:ascii="Times New Roman" w:hAnsi="Times New Roman" w:cs="Times New Roman"/>
          <w:i/>
          <w:iCs/>
          <w:sz w:val="24"/>
          <w:szCs w:val="24"/>
        </w:rPr>
        <w:t>Journal of Applied Phycology, 26</w:t>
      </w:r>
      <w:r w:rsidRPr="006E6B61">
        <w:rPr>
          <w:rFonts w:ascii="Times New Roman" w:hAnsi="Times New Roman" w:cs="Times New Roman"/>
          <w:sz w:val="24"/>
          <w:szCs w:val="24"/>
        </w:rPr>
        <w:t>(2), 465–490.</w:t>
      </w:r>
    </w:p>
    <w:p w14:paraId="29EA8279" w14:textId="479C510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Rao, J. R., &amp; Martin, T. (2014). Plant biostimulants for sustainable crop production. </w:t>
      </w:r>
      <w:r w:rsidRPr="006E6B61">
        <w:rPr>
          <w:rFonts w:ascii="Times New Roman" w:hAnsi="Times New Roman" w:cs="Times New Roman"/>
          <w:i/>
          <w:iCs/>
          <w:sz w:val="24"/>
          <w:szCs w:val="24"/>
        </w:rPr>
        <w:t>Journal of Applied Phycology, 26</w:t>
      </w:r>
      <w:r>
        <w:rPr>
          <w:rFonts w:ascii="Times New Roman" w:hAnsi="Times New Roman" w:cs="Times New Roman"/>
          <w:sz w:val="24"/>
          <w:szCs w:val="24"/>
        </w:rPr>
        <w:t>, 465–490</w:t>
      </w:r>
      <w:r w:rsidRPr="009D229E">
        <w:rPr>
          <w:rFonts w:ascii="Times New Roman" w:eastAsia="Times New Roman" w:hAnsi="Times New Roman" w:cs="Times New Roman"/>
          <w:kern w:val="0"/>
          <w:sz w:val="24"/>
          <w:szCs w:val="24"/>
          <w:lang w:eastAsia="en-IN"/>
          <w14:ligatures w14:val="none"/>
        </w:rPr>
        <w:t xml:space="preserve">. </w:t>
      </w:r>
    </w:p>
    <w:p w14:paraId="09E8D37F" w14:textId="77777777" w:rsidR="00F03F4A" w:rsidRPr="006E6B61"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Sivakamipriya, J., Suresh, S., Manikandan, K., &amp; Ramesh, T. P. (2022). Effect of water-soluble fertilizers, micronutrients, humic acid, and seaweed extract on rice. </w:t>
      </w:r>
      <w:r w:rsidRPr="006E6B61">
        <w:rPr>
          <w:rFonts w:ascii="Times New Roman" w:hAnsi="Times New Roman" w:cs="Times New Roman"/>
          <w:i/>
          <w:iCs/>
          <w:sz w:val="24"/>
          <w:szCs w:val="24"/>
        </w:rPr>
        <w:t>Biological Forum, 14</w:t>
      </w:r>
      <w:r w:rsidRPr="006E6B61">
        <w:rPr>
          <w:rFonts w:ascii="Times New Roman" w:hAnsi="Times New Roman" w:cs="Times New Roman"/>
          <w:sz w:val="24"/>
          <w:szCs w:val="24"/>
        </w:rPr>
        <w:t>(2a), 493–498.</w:t>
      </w:r>
    </w:p>
    <w:p w14:paraId="16F9C3FA" w14:textId="77777777"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1A32">
        <w:rPr>
          <w:rFonts w:ascii="Times New Roman" w:eastAsia="Times New Roman" w:hAnsi="Times New Roman" w:cs="Times New Roman"/>
          <w:kern w:val="0"/>
          <w:sz w:val="24"/>
          <w:szCs w:val="24"/>
          <w:lang w:eastAsia="en-IN"/>
          <w14:ligatures w14:val="none"/>
        </w:rPr>
        <w:t xml:space="preserve">Singh, A., &amp; Verma, R. (2025). Seaweed-derived plant boosters: Revolutionizing soil health and crop resilience. </w:t>
      </w:r>
      <w:r w:rsidRPr="00121A32">
        <w:rPr>
          <w:rFonts w:ascii="Times New Roman" w:eastAsia="Times New Roman" w:hAnsi="Times New Roman" w:cs="Times New Roman"/>
          <w:i/>
          <w:iCs/>
          <w:kern w:val="0"/>
          <w:sz w:val="24"/>
          <w:szCs w:val="24"/>
          <w:lang w:eastAsia="en-IN"/>
          <w14:ligatures w14:val="none"/>
        </w:rPr>
        <w:t>Frontiers in Soil Science</w:t>
      </w:r>
      <w:r w:rsidRPr="00121A32">
        <w:rPr>
          <w:rFonts w:ascii="Times New Roman" w:eastAsia="Times New Roman" w:hAnsi="Times New Roman" w:cs="Times New Roman"/>
          <w:kern w:val="0"/>
          <w:sz w:val="24"/>
          <w:szCs w:val="24"/>
          <w:lang w:eastAsia="en-IN"/>
          <w14:ligatures w14:val="none"/>
        </w:rPr>
        <w:t>, 3, 210045.</w:t>
      </w:r>
    </w:p>
    <w:p w14:paraId="174ED8A0" w14:textId="103055A2"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Stevenson, F. J. (1994). </w:t>
      </w:r>
      <w:r w:rsidRPr="006E6B61">
        <w:rPr>
          <w:rFonts w:ascii="Times New Roman" w:hAnsi="Times New Roman" w:cs="Times New Roman"/>
          <w:i/>
          <w:iCs/>
          <w:sz w:val="24"/>
          <w:szCs w:val="24"/>
        </w:rPr>
        <w:t>Humus Chemistry: Genesis, Composition, Reactions</w:t>
      </w:r>
      <w:r w:rsidRPr="006E6B61">
        <w:rPr>
          <w:rFonts w:ascii="Times New Roman" w:hAnsi="Times New Roman" w:cs="Times New Roman"/>
          <w:sz w:val="24"/>
          <w:szCs w:val="24"/>
        </w:rPr>
        <w:t>. John Wiley &amp; Sons.</w:t>
      </w:r>
      <w:r w:rsidRPr="009D229E">
        <w:rPr>
          <w:rFonts w:ascii="Times New Roman" w:eastAsia="Times New Roman" w:hAnsi="Times New Roman" w:cs="Times New Roman"/>
          <w:kern w:val="0"/>
          <w:sz w:val="24"/>
          <w:szCs w:val="24"/>
          <w:lang w:eastAsia="en-IN"/>
          <w14:ligatures w14:val="none"/>
        </w:rPr>
        <w:t xml:space="preserve"> </w:t>
      </w:r>
    </w:p>
    <w:p w14:paraId="254107C4" w14:textId="276899B8"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Sujeeth, N., Prithiviraj, B., &amp; Norrie, J. (2022). Insights into the molecular mode of action of seaweed biostimulants: A comprehensive review.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xml:space="preserve">, 13, 918209. </w:t>
      </w:r>
    </w:p>
    <w:p w14:paraId="4516C03F" w14:textId="5E8F7D84"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Tan, K. H. (2014). </w:t>
      </w:r>
      <w:r w:rsidRPr="006E6B61">
        <w:rPr>
          <w:rFonts w:ascii="Times New Roman" w:hAnsi="Times New Roman" w:cs="Times New Roman"/>
          <w:i/>
          <w:iCs/>
          <w:sz w:val="24"/>
          <w:szCs w:val="24"/>
        </w:rPr>
        <w:t>Humic Matter in Soil and the Environment: Principles and Controversies</w:t>
      </w:r>
      <w:r w:rsidRPr="006E6B61">
        <w:rPr>
          <w:rFonts w:ascii="Times New Roman" w:hAnsi="Times New Roman" w:cs="Times New Roman"/>
          <w:sz w:val="24"/>
          <w:szCs w:val="24"/>
        </w:rPr>
        <w:t xml:space="preserve"> (2nd ed.). CRC Press.</w:t>
      </w:r>
    </w:p>
    <w:p w14:paraId="41CF1595" w14:textId="3C49B17C"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Thomas, J., Roy, S., &amp; Shekhar, C. (2025). Seaweed granule amendments improve nutrient uptake, microbial activity, and yield in rice: Multi-season field trials. </w:t>
      </w:r>
      <w:r w:rsidRPr="00125A8A">
        <w:rPr>
          <w:rFonts w:ascii="Times New Roman" w:eastAsia="Times New Roman" w:hAnsi="Times New Roman" w:cs="Times New Roman"/>
          <w:i/>
          <w:iCs/>
          <w:kern w:val="0"/>
          <w:sz w:val="24"/>
          <w:szCs w:val="24"/>
          <w:lang w:eastAsia="en-IN"/>
          <w14:ligatures w14:val="none"/>
        </w:rPr>
        <w:t>International Journal of Agricultural Sustainability</w:t>
      </w:r>
      <w:r w:rsidRPr="00125A8A">
        <w:rPr>
          <w:rFonts w:ascii="Times New Roman" w:eastAsia="Times New Roman" w:hAnsi="Times New Roman" w:cs="Times New Roman"/>
          <w:kern w:val="0"/>
          <w:sz w:val="24"/>
          <w:szCs w:val="24"/>
          <w:lang w:eastAsia="en-IN"/>
          <w14:ligatures w14:val="none"/>
        </w:rPr>
        <w:t xml:space="preserve">, 23(1), 55–72. </w:t>
      </w:r>
    </w:p>
    <w:p w14:paraId="14D9F7B2" w14:textId="77777777" w:rsidR="009D229E" w:rsidRPr="00351949"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Tipping, E. (2002). </w:t>
      </w:r>
      <w:r w:rsidRPr="006E6B61">
        <w:rPr>
          <w:rFonts w:ascii="Times New Roman" w:hAnsi="Times New Roman" w:cs="Times New Roman"/>
          <w:i/>
          <w:iCs/>
          <w:sz w:val="24"/>
          <w:szCs w:val="24"/>
        </w:rPr>
        <w:t>Cation Binding by Humic Substances</w:t>
      </w:r>
      <w:r w:rsidRPr="006E6B61">
        <w:rPr>
          <w:rFonts w:ascii="Times New Roman" w:hAnsi="Times New Roman" w:cs="Times New Roman"/>
          <w:sz w:val="24"/>
          <w:szCs w:val="24"/>
        </w:rPr>
        <w:t>. Cambridge University Press.</w:t>
      </w:r>
    </w:p>
    <w:p w14:paraId="72DDE13C" w14:textId="6CDE407B"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Trevisan, S., Francioso, O., Quaggiotti, S., &amp; Nardi, S. (2011). Humic substances biological activity at the plant–soil interface: From environmental aspects to molecular pathways. </w:t>
      </w:r>
      <w:r w:rsidRPr="006E6B61">
        <w:rPr>
          <w:rFonts w:ascii="Times New Roman" w:hAnsi="Times New Roman" w:cs="Times New Roman"/>
          <w:i/>
          <w:iCs/>
          <w:sz w:val="24"/>
          <w:szCs w:val="24"/>
        </w:rPr>
        <w:t>Plant Signaling &amp; Behavior, 5</w:t>
      </w:r>
      <w:r w:rsidRPr="006E6B61">
        <w:rPr>
          <w:rFonts w:ascii="Times New Roman" w:hAnsi="Times New Roman" w:cs="Times New Roman"/>
          <w:sz w:val="24"/>
          <w:szCs w:val="24"/>
        </w:rPr>
        <w:t>(6), 635–643.</w:t>
      </w:r>
    </w:p>
    <w:p w14:paraId="255C8D52" w14:textId="46D2008D"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Yasmeen, A. R., Maharajan, T., Rameshkumar, R., &amp; Kim, Y.-J. (2025). Role of seaweeds in improving soil fertility and crop development: Addressing future food insecurity. </w:t>
      </w:r>
      <w:r w:rsidRPr="00125A8A">
        <w:rPr>
          <w:rFonts w:ascii="Times New Roman" w:eastAsia="Times New Roman" w:hAnsi="Times New Roman" w:cs="Times New Roman"/>
          <w:i/>
          <w:iCs/>
          <w:kern w:val="0"/>
          <w:sz w:val="24"/>
          <w:szCs w:val="24"/>
          <w:lang w:eastAsia="en-IN"/>
          <w14:ligatures w14:val="none"/>
        </w:rPr>
        <w:t>Crops</w:t>
      </w:r>
      <w:r w:rsidRPr="00125A8A">
        <w:rPr>
          <w:rFonts w:ascii="Times New Roman" w:eastAsia="Times New Roman" w:hAnsi="Times New Roman" w:cs="Times New Roman"/>
          <w:kern w:val="0"/>
          <w:sz w:val="24"/>
          <w:szCs w:val="24"/>
          <w:lang w:eastAsia="en-IN"/>
          <w14:ligatures w14:val="none"/>
        </w:rPr>
        <w:t xml:space="preserve">, 5(3), 29. </w:t>
      </w:r>
    </w:p>
    <w:p w14:paraId="70848A73" w14:textId="3112F4EA" w:rsidR="00F03F4A" w:rsidRPr="009D229E" w:rsidRDefault="00F03F4A"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Yildiztekin, M., Tuna, A. L., &amp; Kaya, C. (2018). Physiological responses of pepper plants to seaweed extract and humic substances under salt stress. </w:t>
      </w:r>
      <w:r w:rsidRPr="006E6B61">
        <w:rPr>
          <w:rFonts w:ascii="Times New Roman" w:hAnsi="Times New Roman" w:cs="Times New Roman"/>
          <w:i/>
          <w:iCs/>
          <w:sz w:val="24"/>
          <w:szCs w:val="24"/>
        </w:rPr>
        <w:t>Acta Biologica Hungarica, 69</w:t>
      </w:r>
      <w:r w:rsidR="009D229E">
        <w:rPr>
          <w:rFonts w:ascii="Times New Roman" w:hAnsi="Times New Roman" w:cs="Times New Roman"/>
          <w:sz w:val="24"/>
          <w:szCs w:val="24"/>
        </w:rPr>
        <w:t>(3), 325–335</w:t>
      </w:r>
      <w:r w:rsidRPr="009D229E">
        <w:rPr>
          <w:rFonts w:ascii="Times New Roman" w:hAnsi="Times New Roman" w:cs="Times New Roman"/>
          <w:sz w:val="24"/>
          <w:szCs w:val="24"/>
        </w:rPr>
        <w:t>.</w:t>
      </w:r>
    </w:p>
    <w:p w14:paraId="01A2E1FB" w14:textId="1D86C72E" w:rsidR="00F03F4A" w:rsidRPr="00351949" w:rsidRDefault="00F03F4A"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Zhang, X., Schmidt, R. E., &amp; Ervin, E. H. (2013). Plant growth regulators can enhance rooting of creeping bentgrass. </w:t>
      </w:r>
      <w:r w:rsidRPr="006E6B61">
        <w:rPr>
          <w:rFonts w:ascii="Times New Roman" w:hAnsi="Times New Roman" w:cs="Times New Roman"/>
          <w:i/>
          <w:iCs/>
          <w:sz w:val="24"/>
          <w:szCs w:val="24"/>
        </w:rPr>
        <w:t>HortScience, 48</w:t>
      </w:r>
      <w:r w:rsidRPr="006E6B61">
        <w:rPr>
          <w:rFonts w:ascii="Times New Roman" w:hAnsi="Times New Roman" w:cs="Times New Roman"/>
          <w:sz w:val="24"/>
          <w:szCs w:val="24"/>
        </w:rPr>
        <w:t xml:space="preserve">(7), </w:t>
      </w:r>
      <w:r w:rsidR="00351949">
        <w:rPr>
          <w:rFonts w:ascii="Times New Roman" w:hAnsi="Times New Roman" w:cs="Times New Roman"/>
          <w:sz w:val="24"/>
          <w:szCs w:val="24"/>
        </w:rPr>
        <w:t>1–6</w:t>
      </w:r>
      <w:r w:rsidRPr="00351949">
        <w:rPr>
          <w:rFonts w:ascii="Times New Roman" w:hAnsi="Times New Roman" w:cs="Times New Roman"/>
          <w:sz w:val="24"/>
          <w:szCs w:val="24"/>
        </w:rPr>
        <w:t>.</w:t>
      </w:r>
    </w:p>
    <w:p w14:paraId="54B3AC2B" w14:textId="77777777" w:rsidR="00F03F4A" w:rsidRPr="00F03F4A" w:rsidRDefault="00F03F4A" w:rsidP="00BE5102">
      <w:pPr>
        <w:jc w:val="both"/>
        <w:rPr>
          <w:rFonts w:ascii="Times New Roman" w:hAnsi="Times New Roman" w:cs="Times New Roman"/>
          <w:b/>
          <w:sz w:val="24"/>
          <w:szCs w:val="24"/>
        </w:rPr>
      </w:pPr>
    </w:p>
    <w:p w14:paraId="6784D08E" w14:textId="77777777" w:rsidR="00BE5102" w:rsidRDefault="00BE5102" w:rsidP="00BE5102">
      <w:pPr>
        <w:jc w:val="both"/>
        <w:rPr>
          <w:rFonts w:ascii="Times New Roman" w:hAnsi="Times New Roman" w:cs="Times New Roman"/>
          <w:sz w:val="24"/>
          <w:szCs w:val="24"/>
        </w:rPr>
      </w:pPr>
    </w:p>
    <w:p w14:paraId="1108FD2E" w14:textId="77777777" w:rsidR="00BE5102" w:rsidRDefault="00BE5102" w:rsidP="00BE5102">
      <w:pPr>
        <w:jc w:val="both"/>
        <w:rPr>
          <w:rFonts w:ascii="Times New Roman" w:hAnsi="Times New Roman" w:cs="Times New Roman"/>
          <w:sz w:val="24"/>
          <w:szCs w:val="24"/>
        </w:rPr>
      </w:pPr>
    </w:p>
    <w:p w14:paraId="687CD1DE" w14:textId="77777777" w:rsidR="003C175D" w:rsidRPr="003C175D" w:rsidRDefault="003C175D" w:rsidP="003C175D">
      <w:pPr>
        <w:jc w:val="both"/>
        <w:rPr>
          <w:rFonts w:ascii="Times New Roman" w:hAnsi="Times New Roman" w:cs="Times New Roman"/>
          <w:sz w:val="24"/>
          <w:szCs w:val="24"/>
        </w:rPr>
      </w:pPr>
    </w:p>
    <w:p w14:paraId="743ED3AB" w14:textId="5768A688" w:rsidR="003C175D" w:rsidRPr="003C175D" w:rsidRDefault="003C175D" w:rsidP="003C175D">
      <w:pPr>
        <w:jc w:val="both"/>
        <w:rPr>
          <w:rFonts w:ascii="Times New Roman" w:hAnsi="Times New Roman" w:cs="Times New Roman"/>
          <w:sz w:val="24"/>
          <w:szCs w:val="24"/>
        </w:rPr>
      </w:pPr>
    </w:p>
    <w:p w14:paraId="1070957E" w14:textId="77777777" w:rsidR="003C175D" w:rsidRPr="00A42434" w:rsidRDefault="003C175D" w:rsidP="00A42434">
      <w:pPr>
        <w:jc w:val="both"/>
        <w:rPr>
          <w:rFonts w:ascii="Times New Roman" w:hAnsi="Times New Roman" w:cs="Times New Roman"/>
          <w:sz w:val="24"/>
          <w:szCs w:val="24"/>
        </w:rPr>
      </w:pPr>
    </w:p>
    <w:p w14:paraId="7B0D0FB8" w14:textId="24FEA0B9" w:rsidR="00A42434" w:rsidRPr="00A42434" w:rsidRDefault="00A42434" w:rsidP="00A42434">
      <w:pPr>
        <w:jc w:val="both"/>
        <w:rPr>
          <w:rFonts w:ascii="Times New Roman" w:hAnsi="Times New Roman" w:cs="Times New Roman"/>
          <w:sz w:val="24"/>
          <w:szCs w:val="24"/>
        </w:rPr>
      </w:pPr>
    </w:p>
    <w:p w14:paraId="6531B324" w14:textId="77777777" w:rsidR="00A42434" w:rsidRPr="00A42434" w:rsidRDefault="00A42434" w:rsidP="00A42434">
      <w:pPr>
        <w:jc w:val="both"/>
        <w:rPr>
          <w:rFonts w:ascii="Times New Roman" w:hAnsi="Times New Roman" w:cs="Times New Roman"/>
          <w:sz w:val="24"/>
          <w:szCs w:val="24"/>
        </w:rPr>
      </w:pPr>
    </w:p>
    <w:p w14:paraId="5ECDF4FB" w14:textId="77777777" w:rsidR="00A42434" w:rsidRPr="00ED118B" w:rsidRDefault="00A42434" w:rsidP="00ED118B">
      <w:pPr>
        <w:jc w:val="both"/>
        <w:rPr>
          <w:rFonts w:ascii="Times New Roman" w:hAnsi="Times New Roman" w:cs="Times New Roman"/>
          <w:sz w:val="24"/>
          <w:szCs w:val="24"/>
        </w:rPr>
      </w:pPr>
    </w:p>
    <w:p w14:paraId="04AFCB6F" w14:textId="5835DA25" w:rsidR="00ED118B" w:rsidRPr="00ED118B" w:rsidRDefault="00ED118B" w:rsidP="00ED118B">
      <w:pPr>
        <w:jc w:val="both"/>
        <w:rPr>
          <w:rFonts w:ascii="Times New Roman" w:hAnsi="Times New Roman" w:cs="Times New Roman"/>
          <w:sz w:val="24"/>
          <w:szCs w:val="24"/>
        </w:rPr>
      </w:pPr>
    </w:p>
    <w:p w14:paraId="0A20EFE1" w14:textId="77777777" w:rsidR="00A8047F" w:rsidRPr="00A8047F" w:rsidRDefault="00A8047F" w:rsidP="00A8047F">
      <w:pPr>
        <w:jc w:val="both"/>
        <w:rPr>
          <w:rFonts w:ascii="Times New Roman" w:hAnsi="Times New Roman" w:cs="Times New Roman"/>
          <w:sz w:val="24"/>
          <w:szCs w:val="24"/>
        </w:rPr>
      </w:pPr>
    </w:p>
    <w:p w14:paraId="241FCDF7" w14:textId="77777777" w:rsidR="00A8047F" w:rsidRPr="00A8047F" w:rsidRDefault="00A8047F" w:rsidP="00A8047F">
      <w:pPr>
        <w:jc w:val="both"/>
        <w:rPr>
          <w:rFonts w:ascii="Times New Roman" w:hAnsi="Times New Roman" w:cs="Times New Roman"/>
          <w:sz w:val="24"/>
          <w:szCs w:val="24"/>
        </w:rPr>
      </w:pPr>
    </w:p>
    <w:p w14:paraId="46F5640B" w14:textId="77777777" w:rsidR="00A8047F" w:rsidRPr="00A8047F" w:rsidRDefault="00A8047F" w:rsidP="00A8047F">
      <w:pPr>
        <w:jc w:val="both"/>
        <w:rPr>
          <w:rFonts w:ascii="Times New Roman" w:hAnsi="Times New Roman" w:cs="Times New Roman"/>
          <w:sz w:val="24"/>
          <w:szCs w:val="24"/>
        </w:rPr>
      </w:pPr>
    </w:p>
    <w:p w14:paraId="2319CF3A" w14:textId="77777777" w:rsidR="00A8047F" w:rsidRPr="00A8047F" w:rsidRDefault="00A8047F" w:rsidP="00A8047F">
      <w:pPr>
        <w:jc w:val="both"/>
        <w:rPr>
          <w:rFonts w:ascii="Times New Roman" w:hAnsi="Times New Roman" w:cs="Times New Roman"/>
          <w:sz w:val="24"/>
          <w:szCs w:val="24"/>
        </w:rPr>
      </w:pPr>
    </w:p>
    <w:p w14:paraId="4813BE5C" w14:textId="3F7DCD32" w:rsidR="00A8047F" w:rsidRPr="00A8047F" w:rsidRDefault="00A8047F" w:rsidP="00A8047F">
      <w:pPr>
        <w:jc w:val="both"/>
        <w:rPr>
          <w:rFonts w:ascii="Times New Roman" w:hAnsi="Times New Roman" w:cs="Times New Roman"/>
          <w:sz w:val="24"/>
          <w:szCs w:val="24"/>
        </w:rPr>
      </w:pPr>
    </w:p>
    <w:p w14:paraId="5100A591" w14:textId="77777777" w:rsidR="00A8047F" w:rsidRPr="00565E6F" w:rsidRDefault="00A8047F" w:rsidP="00565E6F">
      <w:pPr>
        <w:jc w:val="both"/>
        <w:rPr>
          <w:rFonts w:ascii="Times New Roman" w:hAnsi="Times New Roman" w:cs="Times New Roman"/>
          <w:sz w:val="24"/>
          <w:szCs w:val="24"/>
        </w:rPr>
      </w:pPr>
    </w:p>
    <w:p w14:paraId="2FECE1A6" w14:textId="77777777" w:rsidR="00565E6F" w:rsidRDefault="00565E6F" w:rsidP="00565E6F">
      <w:pPr>
        <w:jc w:val="both"/>
        <w:rPr>
          <w:rFonts w:ascii="Times New Roman" w:hAnsi="Times New Roman" w:cs="Times New Roman"/>
          <w:sz w:val="24"/>
          <w:szCs w:val="24"/>
        </w:rPr>
      </w:pPr>
    </w:p>
    <w:p w14:paraId="3C7236CE" w14:textId="77777777" w:rsidR="00565E6F" w:rsidRPr="00565E6F" w:rsidRDefault="00565E6F" w:rsidP="00565E6F">
      <w:pPr>
        <w:jc w:val="both"/>
        <w:rPr>
          <w:rFonts w:ascii="Times New Roman" w:hAnsi="Times New Roman" w:cs="Times New Roman"/>
          <w:sz w:val="24"/>
          <w:szCs w:val="24"/>
        </w:rPr>
      </w:pPr>
    </w:p>
    <w:p w14:paraId="7FF9B9BC" w14:textId="77777777" w:rsidR="00565E6F" w:rsidRPr="00565E6F" w:rsidRDefault="00565E6F" w:rsidP="00565E6F">
      <w:pPr>
        <w:jc w:val="both"/>
        <w:rPr>
          <w:rFonts w:ascii="Times New Roman" w:hAnsi="Times New Roman" w:cs="Times New Roman"/>
          <w:sz w:val="24"/>
          <w:szCs w:val="24"/>
        </w:rPr>
      </w:pPr>
    </w:p>
    <w:p w14:paraId="06C54F6F" w14:textId="77777777" w:rsidR="00565E6F" w:rsidRPr="00565E6F" w:rsidRDefault="00565E6F" w:rsidP="00565E6F">
      <w:pPr>
        <w:jc w:val="both"/>
        <w:rPr>
          <w:rFonts w:ascii="Times New Roman" w:hAnsi="Times New Roman" w:cs="Times New Roman"/>
          <w:sz w:val="24"/>
          <w:szCs w:val="24"/>
        </w:rPr>
      </w:pPr>
    </w:p>
    <w:p w14:paraId="44DAF3A5" w14:textId="77777777" w:rsidR="00565E6F" w:rsidRPr="00C75297" w:rsidRDefault="00565E6F" w:rsidP="00C75297">
      <w:pPr>
        <w:jc w:val="both"/>
        <w:rPr>
          <w:rFonts w:ascii="Times New Roman" w:hAnsi="Times New Roman" w:cs="Times New Roman"/>
          <w:sz w:val="24"/>
          <w:szCs w:val="24"/>
        </w:rPr>
      </w:pPr>
    </w:p>
    <w:p w14:paraId="6FFEF59D" w14:textId="77777777" w:rsidR="00C75297" w:rsidRPr="00C75297" w:rsidRDefault="00C75297" w:rsidP="00C75297">
      <w:pPr>
        <w:jc w:val="both"/>
        <w:rPr>
          <w:rFonts w:ascii="Times New Roman" w:hAnsi="Times New Roman" w:cs="Times New Roman"/>
          <w:sz w:val="24"/>
          <w:szCs w:val="24"/>
        </w:rPr>
      </w:pPr>
    </w:p>
    <w:p w14:paraId="104F9ADF" w14:textId="77777777" w:rsidR="00537594" w:rsidRPr="00537594" w:rsidRDefault="00537594" w:rsidP="00537594">
      <w:pPr>
        <w:jc w:val="both"/>
        <w:rPr>
          <w:rFonts w:ascii="Times New Roman" w:hAnsi="Times New Roman" w:cs="Times New Roman"/>
          <w:sz w:val="24"/>
          <w:szCs w:val="24"/>
        </w:rPr>
      </w:pPr>
    </w:p>
    <w:sectPr w:rsidR="00537594" w:rsidRPr="00537594" w:rsidSect="00BB1FE2">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44B77" w14:textId="77777777" w:rsidR="00BC4944" w:rsidRDefault="00BC4944" w:rsidP="000F1FA5">
      <w:pPr>
        <w:spacing w:after="0" w:line="240" w:lineRule="auto"/>
      </w:pPr>
      <w:r>
        <w:separator/>
      </w:r>
    </w:p>
  </w:endnote>
  <w:endnote w:type="continuationSeparator" w:id="0">
    <w:p w14:paraId="2E70AD7B" w14:textId="77777777" w:rsidR="00BC4944" w:rsidRDefault="00BC4944" w:rsidP="000F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9C2E7" w14:textId="77777777" w:rsidR="000F1FA5" w:rsidRDefault="000F1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50DA" w14:textId="77777777" w:rsidR="000F1FA5" w:rsidRDefault="000F1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D6D8" w14:textId="77777777" w:rsidR="000F1FA5" w:rsidRDefault="000F1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77D96" w14:textId="77777777" w:rsidR="00BC4944" w:rsidRDefault="00BC4944" w:rsidP="000F1FA5">
      <w:pPr>
        <w:spacing w:after="0" w:line="240" w:lineRule="auto"/>
      </w:pPr>
      <w:r>
        <w:separator/>
      </w:r>
    </w:p>
  </w:footnote>
  <w:footnote w:type="continuationSeparator" w:id="0">
    <w:p w14:paraId="6ECBB846" w14:textId="77777777" w:rsidR="00BC4944" w:rsidRDefault="00BC4944" w:rsidP="000F1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17C8" w14:textId="504A4CF8" w:rsidR="000F1FA5" w:rsidRDefault="000F1FA5">
    <w:pPr>
      <w:pStyle w:val="Header"/>
    </w:pPr>
    <w:r>
      <w:rPr>
        <w:noProof/>
      </w:rPr>
      <w:pict w14:anchorId="1F4FB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2CA8" w14:textId="45C560C9" w:rsidR="000F1FA5" w:rsidRDefault="000F1FA5">
    <w:pPr>
      <w:pStyle w:val="Header"/>
    </w:pPr>
    <w:r>
      <w:rPr>
        <w:noProof/>
      </w:rPr>
      <w:pict w14:anchorId="6704F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AE57" w14:textId="08805234" w:rsidR="000F1FA5" w:rsidRDefault="000F1FA5">
    <w:pPr>
      <w:pStyle w:val="Header"/>
    </w:pPr>
    <w:r>
      <w:rPr>
        <w:noProof/>
      </w:rPr>
      <w:pict w14:anchorId="244F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738"/>
    <w:multiLevelType w:val="multilevel"/>
    <w:tmpl w:val="E3B404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88001B"/>
    <w:multiLevelType w:val="multilevel"/>
    <w:tmpl w:val="08880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E73412"/>
    <w:multiLevelType w:val="multilevel"/>
    <w:tmpl w:val="C16C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1462A"/>
    <w:multiLevelType w:val="multilevel"/>
    <w:tmpl w:val="00C2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C1F91"/>
    <w:multiLevelType w:val="hybridMultilevel"/>
    <w:tmpl w:val="5C3A9E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01A0F92"/>
    <w:multiLevelType w:val="multilevel"/>
    <w:tmpl w:val="F4F6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585208"/>
    <w:multiLevelType w:val="multilevel"/>
    <w:tmpl w:val="83C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0B"/>
    <w:rsid w:val="0001066C"/>
    <w:rsid w:val="0005247F"/>
    <w:rsid w:val="00075761"/>
    <w:rsid w:val="00085D27"/>
    <w:rsid w:val="000C5C19"/>
    <w:rsid w:val="000F1FA5"/>
    <w:rsid w:val="000F60B0"/>
    <w:rsid w:val="001223A4"/>
    <w:rsid w:val="001270D2"/>
    <w:rsid w:val="00191D91"/>
    <w:rsid w:val="001A71D3"/>
    <w:rsid w:val="00202769"/>
    <w:rsid w:val="00291DF7"/>
    <w:rsid w:val="00351949"/>
    <w:rsid w:val="00364C97"/>
    <w:rsid w:val="003957AC"/>
    <w:rsid w:val="003C175D"/>
    <w:rsid w:val="003C6B0B"/>
    <w:rsid w:val="00443734"/>
    <w:rsid w:val="0045332B"/>
    <w:rsid w:val="00493381"/>
    <w:rsid w:val="004B35A6"/>
    <w:rsid w:val="004B4E0C"/>
    <w:rsid w:val="004D719A"/>
    <w:rsid w:val="004F5C3F"/>
    <w:rsid w:val="00521BB4"/>
    <w:rsid w:val="00537594"/>
    <w:rsid w:val="00565E6F"/>
    <w:rsid w:val="00582F8E"/>
    <w:rsid w:val="00654950"/>
    <w:rsid w:val="006B2B84"/>
    <w:rsid w:val="006D54CA"/>
    <w:rsid w:val="006E2912"/>
    <w:rsid w:val="006F6442"/>
    <w:rsid w:val="007A515B"/>
    <w:rsid w:val="00926F1A"/>
    <w:rsid w:val="009C1C92"/>
    <w:rsid w:val="009D229E"/>
    <w:rsid w:val="00A0575F"/>
    <w:rsid w:val="00A411C8"/>
    <w:rsid w:val="00A42434"/>
    <w:rsid w:val="00A50439"/>
    <w:rsid w:val="00A730D2"/>
    <w:rsid w:val="00A8047F"/>
    <w:rsid w:val="00AD6F43"/>
    <w:rsid w:val="00B73DD9"/>
    <w:rsid w:val="00BB1FE2"/>
    <w:rsid w:val="00BC4944"/>
    <w:rsid w:val="00BD34EC"/>
    <w:rsid w:val="00BE5102"/>
    <w:rsid w:val="00BF4EC6"/>
    <w:rsid w:val="00C30FC3"/>
    <w:rsid w:val="00C75297"/>
    <w:rsid w:val="00E21B8F"/>
    <w:rsid w:val="00E639C1"/>
    <w:rsid w:val="00ED118B"/>
    <w:rsid w:val="00F03F4A"/>
    <w:rsid w:val="00F36505"/>
    <w:rsid w:val="00FD65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3DEE8"/>
  <w15:chartTrackingRefBased/>
  <w15:docId w15:val="{C797393F-9AC4-44DA-B721-E0AE29FD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B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B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B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B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B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B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B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B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B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B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B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B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B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B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B0B"/>
    <w:rPr>
      <w:rFonts w:eastAsiaTheme="majorEastAsia" w:cstheme="majorBidi"/>
      <w:color w:val="272727" w:themeColor="text1" w:themeTint="D8"/>
    </w:rPr>
  </w:style>
  <w:style w:type="paragraph" w:styleId="Title">
    <w:name w:val="Title"/>
    <w:basedOn w:val="Normal"/>
    <w:next w:val="Normal"/>
    <w:link w:val="TitleChar"/>
    <w:uiPriority w:val="10"/>
    <w:qFormat/>
    <w:rsid w:val="003C6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B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B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B0B"/>
    <w:pPr>
      <w:spacing w:before="160"/>
      <w:jc w:val="center"/>
    </w:pPr>
    <w:rPr>
      <w:i/>
      <w:iCs/>
      <w:color w:val="404040" w:themeColor="text1" w:themeTint="BF"/>
    </w:rPr>
  </w:style>
  <w:style w:type="character" w:customStyle="1" w:styleId="QuoteChar">
    <w:name w:val="Quote Char"/>
    <w:basedOn w:val="DefaultParagraphFont"/>
    <w:link w:val="Quote"/>
    <w:uiPriority w:val="29"/>
    <w:rsid w:val="003C6B0B"/>
    <w:rPr>
      <w:i/>
      <w:iCs/>
      <w:color w:val="404040" w:themeColor="text1" w:themeTint="BF"/>
    </w:rPr>
  </w:style>
  <w:style w:type="paragraph" w:styleId="ListParagraph">
    <w:name w:val="List Paragraph"/>
    <w:basedOn w:val="Normal"/>
    <w:uiPriority w:val="34"/>
    <w:qFormat/>
    <w:rsid w:val="003C6B0B"/>
    <w:pPr>
      <w:ind w:left="720"/>
      <w:contextualSpacing/>
    </w:pPr>
  </w:style>
  <w:style w:type="character" w:styleId="IntenseEmphasis">
    <w:name w:val="Intense Emphasis"/>
    <w:basedOn w:val="DefaultParagraphFont"/>
    <w:uiPriority w:val="21"/>
    <w:qFormat/>
    <w:rsid w:val="003C6B0B"/>
    <w:rPr>
      <w:i/>
      <w:iCs/>
      <w:color w:val="2F5496" w:themeColor="accent1" w:themeShade="BF"/>
    </w:rPr>
  </w:style>
  <w:style w:type="paragraph" w:styleId="IntenseQuote">
    <w:name w:val="Intense Quote"/>
    <w:basedOn w:val="Normal"/>
    <w:next w:val="Normal"/>
    <w:link w:val="IntenseQuoteChar"/>
    <w:uiPriority w:val="30"/>
    <w:qFormat/>
    <w:rsid w:val="003C6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B0B"/>
    <w:rPr>
      <w:i/>
      <w:iCs/>
      <w:color w:val="2F5496" w:themeColor="accent1" w:themeShade="BF"/>
    </w:rPr>
  </w:style>
  <w:style w:type="character" w:styleId="IntenseReference">
    <w:name w:val="Intense Reference"/>
    <w:basedOn w:val="DefaultParagraphFont"/>
    <w:uiPriority w:val="32"/>
    <w:qFormat/>
    <w:rsid w:val="003C6B0B"/>
    <w:rPr>
      <w:b/>
      <w:bCs/>
      <w:smallCaps/>
      <w:color w:val="2F5496" w:themeColor="accent1" w:themeShade="BF"/>
      <w:spacing w:val="5"/>
    </w:rPr>
  </w:style>
  <w:style w:type="paragraph" w:styleId="NormalWeb">
    <w:name w:val="Normal (Web)"/>
    <w:uiPriority w:val="99"/>
    <w:unhideWhenUsed/>
    <w:rsid w:val="00085D27"/>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table" w:styleId="TableGrid">
    <w:name w:val="Table Grid"/>
    <w:basedOn w:val="TableNormal"/>
    <w:uiPriority w:val="39"/>
    <w:rsid w:val="00085D27"/>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949"/>
    <w:rPr>
      <w:color w:val="0563C1" w:themeColor="hyperlink"/>
      <w:u w:val="single"/>
    </w:rPr>
  </w:style>
  <w:style w:type="paragraph" w:styleId="BodyText">
    <w:name w:val="Body Text"/>
    <w:basedOn w:val="Normal"/>
    <w:link w:val="BodyTextChar"/>
    <w:semiHidden/>
    <w:unhideWhenUsed/>
    <w:qFormat/>
    <w:rsid w:val="009D229E"/>
    <w:pPr>
      <w:spacing w:before="180" w:after="180" w:line="240" w:lineRule="auto"/>
    </w:pPr>
    <w:rPr>
      <w:rFonts w:ascii="Aptos" w:eastAsia="Aptos" w:hAnsi="Aptos" w:cs="Times New Roman"/>
      <w:kern w:val="0"/>
      <w:sz w:val="24"/>
      <w:szCs w:val="24"/>
      <w:lang w:val="en-US"/>
      <w14:ligatures w14:val="none"/>
    </w:rPr>
  </w:style>
  <w:style w:type="character" w:customStyle="1" w:styleId="BodyTextChar">
    <w:name w:val="Body Text Char"/>
    <w:basedOn w:val="DefaultParagraphFont"/>
    <w:link w:val="BodyText"/>
    <w:semiHidden/>
    <w:rsid w:val="009D229E"/>
    <w:rPr>
      <w:rFonts w:ascii="Aptos" w:eastAsia="Aptos" w:hAnsi="Aptos" w:cs="Times New Roman"/>
      <w:kern w:val="0"/>
      <w:sz w:val="24"/>
      <w:szCs w:val="24"/>
      <w:lang w:val="en-US"/>
      <w14:ligatures w14:val="none"/>
    </w:rPr>
  </w:style>
  <w:style w:type="character" w:styleId="UnresolvedMention">
    <w:name w:val="Unresolved Mention"/>
    <w:basedOn w:val="DefaultParagraphFont"/>
    <w:uiPriority w:val="99"/>
    <w:semiHidden/>
    <w:unhideWhenUsed/>
    <w:rsid w:val="004D719A"/>
    <w:rPr>
      <w:color w:val="605E5C"/>
      <w:shd w:val="clear" w:color="auto" w:fill="E1DFDD"/>
    </w:rPr>
  </w:style>
  <w:style w:type="paragraph" w:styleId="Header">
    <w:name w:val="header"/>
    <w:basedOn w:val="Normal"/>
    <w:link w:val="HeaderChar"/>
    <w:uiPriority w:val="99"/>
    <w:unhideWhenUsed/>
    <w:rsid w:val="000F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FA5"/>
  </w:style>
  <w:style w:type="paragraph" w:styleId="Footer">
    <w:name w:val="footer"/>
    <w:basedOn w:val="Normal"/>
    <w:link w:val="FooterChar"/>
    <w:uiPriority w:val="99"/>
    <w:unhideWhenUsed/>
    <w:rsid w:val="000F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07/s10811-010-9560-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1307</TotalTime>
  <Pages>22</Pages>
  <Words>9770</Words>
  <Characters>55694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NIVANTH P</dc:creator>
  <cp:keywords/>
  <dc:description/>
  <cp:lastModifiedBy>SDI PC 1170</cp:lastModifiedBy>
  <cp:revision>14</cp:revision>
  <dcterms:created xsi:type="dcterms:W3CDTF">2026-03-11T05:16:00Z</dcterms:created>
  <dcterms:modified xsi:type="dcterms:W3CDTF">2026-03-13T10:08:00Z</dcterms:modified>
</cp:coreProperties>
</file>