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CEE43" w14:textId="77777777" w:rsidR="009E1CA3" w:rsidRDefault="009E1CA3" w:rsidP="009E1CA3">
      <w:pPr>
        <w:jc w:val="center"/>
        <w:rPr>
          <w:rFonts w:asciiTheme="minorBidi" w:hAnsiTheme="minorBidi" w:cstheme="minorBidi"/>
          <w:b/>
          <w:bCs/>
          <w:i/>
          <w:iCs/>
          <w:sz w:val="22"/>
          <w:szCs w:val="22"/>
          <w:u w:val="single"/>
        </w:rPr>
      </w:pPr>
      <w:r w:rsidRPr="009E1CA3">
        <w:rPr>
          <w:rFonts w:asciiTheme="minorBidi" w:hAnsiTheme="minorBidi" w:cstheme="minorBidi"/>
          <w:b/>
          <w:bCs/>
          <w:i/>
          <w:iCs/>
          <w:sz w:val="22"/>
          <w:szCs w:val="22"/>
          <w:u w:val="single"/>
        </w:rPr>
        <w:t>Original Research Article</w:t>
      </w:r>
    </w:p>
    <w:p w14:paraId="62F5B2AC" w14:textId="77777777" w:rsidR="009E1CA3" w:rsidRPr="009E1CA3" w:rsidRDefault="009E1CA3" w:rsidP="009E1CA3">
      <w:pPr>
        <w:jc w:val="center"/>
        <w:rPr>
          <w:rFonts w:asciiTheme="minorBidi" w:hAnsiTheme="minorBidi" w:cstheme="minorBidi"/>
          <w:b/>
          <w:bCs/>
          <w:i/>
          <w:iCs/>
          <w:sz w:val="22"/>
          <w:szCs w:val="22"/>
          <w:u w:val="single"/>
        </w:rPr>
      </w:pPr>
    </w:p>
    <w:p w14:paraId="7AD9D7B5" w14:textId="77777777" w:rsidR="0055378D" w:rsidRDefault="00883CD5">
      <w:pPr>
        <w:jc w:val="center"/>
        <w:rPr>
          <w:rFonts w:asciiTheme="minorBidi" w:hAnsiTheme="minorBidi" w:cstheme="minorBidi"/>
          <w:b/>
          <w:sz w:val="22"/>
          <w:szCs w:val="22"/>
        </w:rPr>
      </w:pPr>
      <w:r>
        <w:rPr>
          <w:rFonts w:asciiTheme="minorBidi" w:hAnsiTheme="minorBidi" w:cstheme="minorBidi"/>
          <w:b/>
          <w:sz w:val="22"/>
          <w:szCs w:val="22"/>
        </w:rPr>
        <w:t xml:space="preserve">EFFECT OF SALINITY TOLERANT RHIZOBIAL STRAINS ON GROWTH, NODULATION AND YIELD OF GROUNDNUT IN POT CONDITION </w:t>
      </w:r>
    </w:p>
    <w:p w14:paraId="123523E2" w14:textId="77777777" w:rsidR="0055378D" w:rsidRDefault="0055378D">
      <w:pPr>
        <w:spacing w:after="120" w:line="276" w:lineRule="auto"/>
        <w:jc w:val="center"/>
        <w:rPr>
          <w:rFonts w:asciiTheme="minorBidi" w:hAnsiTheme="minorBidi" w:cstheme="minorBidi"/>
          <w:bCs/>
          <w:sz w:val="22"/>
          <w:szCs w:val="22"/>
        </w:rPr>
      </w:pPr>
    </w:p>
    <w:p w14:paraId="436B3645" w14:textId="3E80D061" w:rsidR="0055378D" w:rsidRDefault="0055378D">
      <w:pPr>
        <w:spacing w:after="120" w:line="276" w:lineRule="auto"/>
        <w:jc w:val="center"/>
        <w:rPr>
          <w:rFonts w:asciiTheme="minorBidi" w:hAnsiTheme="minorBidi" w:cstheme="minorBidi"/>
          <w:b/>
          <w:bCs/>
          <w:sz w:val="22"/>
          <w:szCs w:val="22"/>
        </w:rPr>
      </w:pPr>
    </w:p>
    <w:p w14:paraId="6EC6F446" w14:textId="77777777" w:rsidR="005573A3" w:rsidRDefault="005573A3">
      <w:pPr>
        <w:spacing w:after="120" w:line="276" w:lineRule="auto"/>
        <w:jc w:val="center"/>
        <w:rPr>
          <w:rFonts w:asciiTheme="minorBidi" w:hAnsiTheme="minorBidi" w:cstheme="minorBidi"/>
          <w:b/>
          <w:bCs/>
          <w:sz w:val="22"/>
          <w:szCs w:val="22"/>
        </w:rPr>
      </w:pPr>
    </w:p>
    <w:p w14:paraId="030DCE03" w14:textId="77777777" w:rsidR="0055378D" w:rsidRDefault="00883CD5">
      <w:pPr>
        <w:spacing w:after="120" w:line="276" w:lineRule="auto"/>
        <w:jc w:val="center"/>
        <w:rPr>
          <w:rFonts w:asciiTheme="minorBidi" w:hAnsiTheme="minorBidi" w:cstheme="minorBidi"/>
          <w:b/>
          <w:sz w:val="22"/>
          <w:szCs w:val="22"/>
        </w:rPr>
      </w:pPr>
      <w:r>
        <w:rPr>
          <w:rFonts w:asciiTheme="minorBidi" w:hAnsiTheme="minorBidi" w:cstheme="minorBidi"/>
          <w:b/>
          <w:sz w:val="22"/>
          <w:szCs w:val="22"/>
        </w:rPr>
        <w:t>Abstract</w:t>
      </w:r>
    </w:p>
    <w:p w14:paraId="43A4ED81" w14:textId="77777777" w:rsidR="0055378D" w:rsidRDefault="00883CD5">
      <w:pPr>
        <w:spacing w:line="276" w:lineRule="auto"/>
        <w:jc w:val="both"/>
        <w:rPr>
          <w:rFonts w:asciiTheme="minorBidi" w:hAnsiTheme="minorBidi" w:cstheme="minorBidi"/>
          <w:sz w:val="22"/>
          <w:szCs w:val="22"/>
        </w:rPr>
      </w:pPr>
      <w:r>
        <w:rPr>
          <w:rFonts w:asciiTheme="minorBidi" w:hAnsiTheme="minorBidi" w:cstheme="minorBidi"/>
          <w:sz w:val="22"/>
          <w:szCs w:val="22"/>
        </w:rPr>
        <w:t>Soil salinity is a major abiotic stress that severely limits global crop production, particularly in arid and semi-arid regions. Groundnut (</w:t>
      </w:r>
      <w:r>
        <w:rPr>
          <w:rFonts w:asciiTheme="minorBidi" w:hAnsiTheme="minorBidi" w:cstheme="minorBidi"/>
          <w:i/>
          <w:iCs/>
          <w:sz w:val="22"/>
          <w:szCs w:val="22"/>
        </w:rPr>
        <w:t>Arachis hypogaea</w:t>
      </w:r>
      <w:r>
        <w:rPr>
          <w:rFonts w:asciiTheme="minorBidi" w:hAnsiTheme="minorBidi" w:cstheme="minorBidi"/>
          <w:sz w:val="22"/>
          <w:szCs w:val="22"/>
        </w:rPr>
        <w:t xml:space="preserve"> L.), a vital oilseed and legume crop, is moderately sensitive to salt stress, which negatively impacts its growth, nodulation efficiency, and final yield. This pot experiment was conducted to evaluate the efficacy of salinity-tolerant </w:t>
      </w:r>
      <w:proofErr w:type="spellStart"/>
      <w:r>
        <w:rPr>
          <w:rFonts w:asciiTheme="minorBidi" w:hAnsiTheme="minorBidi" w:cstheme="minorBidi"/>
          <w:sz w:val="22"/>
          <w:szCs w:val="22"/>
        </w:rPr>
        <w:t>rhizobial</w:t>
      </w:r>
      <w:proofErr w:type="spellEnd"/>
      <w:r>
        <w:rPr>
          <w:rFonts w:asciiTheme="minorBidi" w:hAnsiTheme="minorBidi" w:cstheme="minorBidi"/>
          <w:sz w:val="22"/>
          <w:szCs w:val="22"/>
        </w:rPr>
        <w:t xml:space="preserve"> strains as a sustainable strategy to mitigate the detrimental effects of salt stress on groundnut. One groundnut cultivar Binachinabadam-8 were grown in a pot-culture setup under varying levels of induced salinity (2-7 </w:t>
      </w:r>
      <w:proofErr w:type="spellStart"/>
      <w:r>
        <w:rPr>
          <w:rFonts w:asciiTheme="minorBidi" w:hAnsiTheme="minorBidi" w:cstheme="minorBidi"/>
          <w:sz w:val="22"/>
          <w:szCs w:val="22"/>
        </w:rPr>
        <w:t>dS</w:t>
      </w:r>
      <w:proofErr w:type="spellEnd"/>
      <w:r>
        <w:rPr>
          <w:rFonts w:asciiTheme="minorBidi" w:hAnsiTheme="minorBidi" w:cstheme="minorBidi"/>
          <w:sz w:val="22"/>
          <w:szCs w:val="22"/>
        </w:rPr>
        <w:t xml:space="preserve"> saline water), with treatments including </w:t>
      </w:r>
      <w:r>
        <w:rPr>
          <w:rFonts w:asciiTheme="minorBidi" w:hAnsiTheme="minorBidi" w:cstheme="minorBidi"/>
          <w:color w:val="000000"/>
          <w:sz w:val="22"/>
          <w:szCs w:val="22"/>
        </w:rPr>
        <w:t>T</w:t>
      </w:r>
      <w:r>
        <w:rPr>
          <w:rFonts w:asciiTheme="minorBidi" w:hAnsiTheme="minorBidi" w:cstheme="minorBidi"/>
          <w:color w:val="000000"/>
          <w:sz w:val="22"/>
          <w:szCs w:val="22"/>
          <w:vertAlign w:val="subscript"/>
        </w:rPr>
        <w:t>1</w:t>
      </w:r>
      <w:r>
        <w:rPr>
          <w:rFonts w:asciiTheme="minorBidi" w:hAnsiTheme="minorBidi" w:cstheme="minorBidi"/>
          <w:color w:val="000000"/>
          <w:sz w:val="22"/>
          <w:szCs w:val="22"/>
        </w:rPr>
        <w:t>(</w:t>
      </w:r>
      <w:r>
        <w:rPr>
          <w:rFonts w:asciiTheme="minorBidi" w:hAnsiTheme="minorBidi" w:cstheme="minorBidi"/>
          <w:sz w:val="22"/>
          <w:szCs w:val="22"/>
        </w:rPr>
        <w:t xml:space="preserve">uninoculated control), and inoculation with selected superior salt-tolerant </w:t>
      </w:r>
      <w:proofErr w:type="spellStart"/>
      <w:r>
        <w:rPr>
          <w:rFonts w:asciiTheme="minorBidi" w:hAnsiTheme="minorBidi" w:cstheme="minorBidi"/>
          <w:sz w:val="22"/>
          <w:szCs w:val="22"/>
        </w:rPr>
        <w:t>rhizobial</w:t>
      </w:r>
      <w:proofErr w:type="spellEnd"/>
      <w:r>
        <w:rPr>
          <w:rFonts w:asciiTheme="minorBidi" w:hAnsiTheme="minorBidi" w:cstheme="minorBidi"/>
          <w:sz w:val="22"/>
          <w:szCs w:val="22"/>
        </w:rPr>
        <w:t xml:space="preserve"> isolates (T</w:t>
      </w:r>
      <w:r>
        <w:rPr>
          <w:rFonts w:asciiTheme="minorBidi" w:hAnsiTheme="minorBidi" w:cstheme="minorBidi"/>
          <w:sz w:val="22"/>
          <w:szCs w:val="22"/>
          <w:vertAlign w:val="subscript"/>
        </w:rPr>
        <w:t>2</w:t>
      </w:r>
      <w:r>
        <w:rPr>
          <w:rFonts w:asciiTheme="minorBidi" w:hAnsiTheme="minorBidi" w:cstheme="minorBidi"/>
          <w:sz w:val="22"/>
          <w:szCs w:val="22"/>
        </w:rPr>
        <w:t>: STGN-1, T</w:t>
      </w:r>
      <w:r>
        <w:rPr>
          <w:rFonts w:asciiTheme="minorBidi" w:hAnsiTheme="minorBidi" w:cstheme="minorBidi"/>
          <w:sz w:val="22"/>
          <w:szCs w:val="22"/>
          <w:vertAlign w:val="subscript"/>
        </w:rPr>
        <w:t>3</w:t>
      </w:r>
      <w:r>
        <w:rPr>
          <w:rFonts w:asciiTheme="minorBidi" w:hAnsiTheme="minorBidi" w:cstheme="minorBidi"/>
          <w:sz w:val="22"/>
          <w:szCs w:val="22"/>
        </w:rPr>
        <w:t>: STGN-3, T</w:t>
      </w:r>
      <w:r>
        <w:rPr>
          <w:rFonts w:asciiTheme="minorBidi" w:hAnsiTheme="minorBidi" w:cstheme="minorBidi"/>
          <w:sz w:val="22"/>
          <w:szCs w:val="22"/>
          <w:vertAlign w:val="subscript"/>
        </w:rPr>
        <w:t>4</w:t>
      </w:r>
      <w:r>
        <w:rPr>
          <w:rFonts w:asciiTheme="minorBidi" w:hAnsiTheme="minorBidi" w:cstheme="minorBidi"/>
          <w:sz w:val="22"/>
          <w:szCs w:val="22"/>
        </w:rPr>
        <w:t>: STGN-4, T</w:t>
      </w:r>
      <w:r>
        <w:rPr>
          <w:rFonts w:asciiTheme="minorBidi" w:hAnsiTheme="minorBidi" w:cstheme="minorBidi"/>
          <w:sz w:val="22"/>
          <w:szCs w:val="22"/>
          <w:vertAlign w:val="subscript"/>
        </w:rPr>
        <w:t>5</w:t>
      </w:r>
      <w:r>
        <w:rPr>
          <w:rFonts w:asciiTheme="minorBidi" w:hAnsiTheme="minorBidi" w:cstheme="minorBidi"/>
          <w:sz w:val="22"/>
          <w:szCs w:val="22"/>
        </w:rPr>
        <w:t>: STGN-5, T</w:t>
      </w:r>
      <w:r>
        <w:rPr>
          <w:rFonts w:asciiTheme="minorBidi" w:hAnsiTheme="minorBidi" w:cstheme="minorBidi"/>
          <w:sz w:val="22"/>
          <w:szCs w:val="22"/>
          <w:vertAlign w:val="subscript"/>
        </w:rPr>
        <w:t>6</w:t>
      </w:r>
      <w:r>
        <w:rPr>
          <w:rFonts w:asciiTheme="minorBidi" w:hAnsiTheme="minorBidi" w:cstheme="minorBidi"/>
          <w:sz w:val="22"/>
          <w:szCs w:val="22"/>
        </w:rPr>
        <w:t>: STGN-6, T</w:t>
      </w:r>
      <w:r>
        <w:rPr>
          <w:rFonts w:asciiTheme="minorBidi" w:hAnsiTheme="minorBidi" w:cstheme="minorBidi"/>
          <w:sz w:val="22"/>
          <w:szCs w:val="22"/>
          <w:vertAlign w:val="subscript"/>
        </w:rPr>
        <w:t>7</w:t>
      </w:r>
      <w:r>
        <w:rPr>
          <w:rFonts w:asciiTheme="minorBidi" w:hAnsiTheme="minorBidi" w:cstheme="minorBidi"/>
          <w:sz w:val="22"/>
          <w:szCs w:val="22"/>
        </w:rPr>
        <w:t>: STGN-7, T</w:t>
      </w:r>
      <w:r>
        <w:rPr>
          <w:rFonts w:asciiTheme="minorBidi" w:hAnsiTheme="minorBidi" w:cstheme="minorBidi"/>
          <w:sz w:val="22"/>
          <w:szCs w:val="22"/>
          <w:vertAlign w:val="subscript"/>
        </w:rPr>
        <w:t>8</w:t>
      </w:r>
      <w:r>
        <w:rPr>
          <w:rFonts w:asciiTheme="minorBidi" w:hAnsiTheme="minorBidi" w:cstheme="minorBidi"/>
          <w:sz w:val="22"/>
          <w:szCs w:val="22"/>
        </w:rPr>
        <w:t>: STGN-9, T</w:t>
      </w:r>
      <w:r>
        <w:rPr>
          <w:rFonts w:asciiTheme="minorBidi" w:hAnsiTheme="minorBidi" w:cstheme="minorBidi"/>
          <w:sz w:val="22"/>
          <w:szCs w:val="22"/>
          <w:vertAlign w:val="subscript"/>
        </w:rPr>
        <w:t>9</w:t>
      </w:r>
      <w:r>
        <w:rPr>
          <w:rFonts w:asciiTheme="minorBidi" w:hAnsiTheme="minorBidi" w:cstheme="minorBidi"/>
          <w:sz w:val="22"/>
          <w:szCs w:val="22"/>
        </w:rPr>
        <w:t xml:space="preserve">: STGN-10), which demonstrated high tolerance to saline water in preliminary </w:t>
      </w:r>
      <w:r>
        <w:rPr>
          <w:rFonts w:asciiTheme="minorBidi" w:hAnsiTheme="minorBidi" w:cstheme="minorBidi"/>
          <w:i/>
          <w:iCs/>
          <w:sz w:val="22"/>
          <w:szCs w:val="22"/>
        </w:rPr>
        <w:t>in vitro</w:t>
      </w:r>
      <w:r>
        <w:rPr>
          <w:rFonts w:asciiTheme="minorBidi" w:hAnsiTheme="minorBidi" w:cstheme="minorBidi"/>
          <w:sz w:val="22"/>
          <w:szCs w:val="22"/>
        </w:rPr>
        <w:t xml:space="preserve"> screening. The results indicated that increasing salinity levels significantly reduced all measured parameters in the uninoculated and inoculated treatments, including shoot dry weight, root dry weight, nodule number effective nodule, nodule dry weight, and pod yield. However, inoculation with the salinity-tolerant strains STGN-4 was found as the best performer and STGN-9 and STGN-10 better and good STGN-1, STGN-3, STGN-6 performer respectively. Plants inoculated with STGN-4 showed increase in effective nodule (25.00), total nodule (53.00), root length (11.00) cm, number of brunches (5.33) and STGN-10 Pod plant</w:t>
      </w:r>
      <w:r>
        <w:rPr>
          <w:rFonts w:asciiTheme="minorBidi" w:hAnsiTheme="minorBidi" w:cstheme="minorBidi"/>
          <w:sz w:val="22"/>
          <w:szCs w:val="22"/>
          <w:vertAlign w:val="superscript"/>
        </w:rPr>
        <w:t xml:space="preserve">-1 </w:t>
      </w:r>
      <w:r>
        <w:rPr>
          <w:rFonts w:asciiTheme="minorBidi" w:hAnsiTheme="minorBidi" w:cstheme="minorBidi"/>
          <w:sz w:val="22"/>
          <w:szCs w:val="22"/>
        </w:rPr>
        <w:t>(</w:t>
      </w:r>
      <w:r>
        <w:rPr>
          <w:rFonts w:asciiTheme="minorBidi" w:hAnsiTheme="minorBidi" w:cstheme="minorBidi"/>
          <w:color w:val="000000"/>
          <w:sz w:val="22"/>
          <w:szCs w:val="22"/>
        </w:rPr>
        <w:t>18.67)</w:t>
      </w:r>
      <w:r>
        <w:rPr>
          <w:rFonts w:asciiTheme="minorBidi" w:hAnsiTheme="minorBidi" w:cstheme="minorBidi"/>
          <w:sz w:val="22"/>
          <w:szCs w:val="22"/>
        </w:rPr>
        <w:t xml:space="preserve"> and grain yield plant</w:t>
      </w:r>
      <w:r>
        <w:rPr>
          <w:rFonts w:asciiTheme="minorBidi" w:hAnsiTheme="minorBidi" w:cstheme="minorBidi"/>
          <w:sz w:val="22"/>
          <w:szCs w:val="22"/>
          <w:vertAlign w:val="superscript"/>
        </w:rPr>
        <w:t>-1</w:t>
      </w:r>
      <w:r>
        <w:rPr>
          <w:rFonts w:asciiTheme="minorBidi" w:hAnsiTheme="minorBidi" w:cstheme="minorBidi"/>
          <w:sz w:val="22"/>
          <w:szCs w:val="22"/>
        </w:rPr>
        <w:t xml:space="preserve"> (</w:t>
      </w:r>
      <w:r>
        <w:rPr>
          <w:rFonts w:asciiTheme="minorBidi" w:hAnsiTheme="minorBidi" w:cstheme="minorBidi"/>
          <w:color w:val="000000"/>
          <w:sz w:val="22"/>
          <w:szCs w:val="22"/>
        </w:rPr>
        <w:t xml:space="preserve">29.4 </w:t>
      </w:r>
      <w:r>
        <w:rPr>
          <w:rFonts w:asciiTheme="minorBidi" w:hAnsiTheme="minorBidi" w:cstheme="minorBidi"/>
          <w:sz w:val="22"/>
          <w:szCs w:val="22"/>
        </w:rPr>
        <w:t xml:space="preserve">gm) over control. These superior results are attributed to the enhanced biological nitrogen fixation (BNF) capacity and potential plant growth-promoting (PGP) activities of the salt-tolerant strains, which likely supported better root colonization and function under osmotic stress. The findings demonstrated that inoculating groundnut with carefully selected, salinity-tolerant </w:t>
      </w:r>
      <w:proofErr w:type="spellStart"/>
      <w:r>
        <w:rPr>
          <w:rFonts w:asciiTheme="minorBidi" w:hAnsiTheme="minorBidi" w:cstheme="minorBidi"/>
          <w:sz w:val="22"/>
          <w:szCs w:val="22"/>
        </w:rPr>
        <w:t>rhizobial</w:t>
      </w:r>
      <w:proofErr w:type="spellEnd"/>
      <w:r>
        <w:rPr>
          <w:rFonts w:asciiTheme="minorBidi" w:hAnsiTheme="minorBidi" w:cstheme="minorBidi"/>
          <w:sz w:val="22"/>
          <w:szCs w:val="22"/>
        </w:rPr>
        <w:t xml:space="preserve"> strains is a highly effective, eco-friendly, and economical approach to enhancing growth, improving nodulation, and securing economically viable yields of groundnut in saline-affected soils.</w:t>
      </w:r>
    </w:p>
    <w:p w14:paraId="29385259" w14:textId="77777777" w:rsidR="0055378D" w:rsidRDefault="0055378D">
      <w:pPr>
        <w:spacing w:line="276" w:lineRule="auto"/>
        <w:rPr>
          <w:rFonts w:asciiTheme="minorBidi" w:hAnsiTheme="minorBidi" w:cstheme="minorBidi"/>
          <w:b/>
          <w:bCs/>
          <w:sz w:val="22"/>
          <w:szCs w:val="22"/>
        </w:rPr>
      </w:pPr>
    </w:p>
    <w:p w14:paraId="70BBDAB3" w14:textId="77777777" w:rsidR="0055378D" w:rsidRDefault="00883CD5">
      <w:pPr>
        <w:spacing w:line="276" w:lineRule="auto"/>
        <w:jc w:val="both"/>
        <w:rPr>
          <w:rFonts w:asciiTheme="minorBidi" w:hAnsiTheme="minorBidi" w:cstheme="minorBidi"/>
          <w:sz w:val="22"/>
          <w:szCs w:val="22"/>
        </w:rPr>
      </w:pPr>
      <w:r>
        <w:rPr>
          <w:rFonts w:asciiTheme="minorBidi" w:hAnsiTheme="minorBidi" w:cstheme="minorBidi"/>
          <w:b/>
          <w:bCs/>
          <w:sz w:val="22"/>
          <w:szCs w:val="22"/>
        </w:rPr>
        <w:t xml:space="preserve">Keywords: </w:t>
      </w:r>
      <w:r>
        <w:rPr>
          <w:rFonts w:asciiTheme="minorBidi" w:hAnsiTheme="minorBidi" w:cstheme="minorBidi"/>
          <w:sz w:val="22"/>
          <w:szCs w:val="22"/>
        </w:rPr>
        <w:t xml:space="preserve">Salinity stress, Salt Tolerant </w:t>
      </w:r>
      <w:proofErr w:type="spellStart"/>
      <w:r>
        <w:rPr>
          <w:rFonts w:asciiTheme="minorBidi" w:hAnsiTheme="minorBidi" w:cstheme="minorBidi"/>
          <w:sz w:val="22"/>
          <w:szCs w:val="22"/>
        </w:rPr>
        <w:t>Rhizobial</w:t>
      </w:r>
      <w:proofErr w:type="spellEnd"/>
      <w:r>
        <w:rPr>
          <w:rFonts w:asciiTheme="minorBidi" w:hAnsiTheme="minorBidi" w:cstheme="minorBidi"/>
          <w:sz w:val="22"/>
          <w:szCs w:val="22"/>
        </w:rPr>
        <w:t xml:space="preserve"> Strain, Groundnut, Nodulation, Yield.</w:t>
      </w:r>
    </w:p>
    <w:p w14:paraId="71C1F1F8" w14:textId="77777777" w:rsidR="0055378D" w:rsidRDefault="0055378D">
      <w:pPr>
        <w:spacing w:line="276" w:lineRule="auto"/>
        <w:jc w:val="both"/>
        <w:rPr>
          <w:rFonts w:asciiTheme="minorBidi" w:hAnsiTheme="minorBidi" w:cstheme="minorBidi"/>
          <w:sz w:val="22"/>
          <w:szCs w:val="22"/>
        </w:rPr>
      </w:pPr>
    </w:p>
    <w:p w14:paraId="3E61A91D" w14:textId="77777777" w:rsidR="0055378D" w:rsidRDefault="0055378D">
      <w:pPr>
        <w:spacing w:line="276" w:lineRule="auto"/>
        <w:jc w:val="both"/>
        <w:rPr>
          <w:rFonts w:asciiTheme="minorBidi" w:hAnsiTheme="minorBidi" w:cstheme="minorBidi"/>
          <w:sz w:val="18"/>
          <w:szCs w:val="18"/>
        </w:rPr>
      </w:pPr>
    </w:p>
    <w:p w14:paraId="43A19D4B" w14:textId="77777777" w:rsidR="0055378D" w:rsidRDefault="0055378D">
      <w:pPr>
        <w:spacing w:line="276" w:lineRule="auto"/>
        <w:jc w:val="both"/>
        <w:rPr>
          <w:rFonts w:asciiTheme="minorBidi" w:hAnsiTheme="minorBidi" w:cstheme="minorBidi"/>
          <w:sz w:val="22"/>
          <w:szCs w:val="22"/>
        </w:rPr>
      </w:pPr>
    </w:p>
    <w:p w14:paraId="2A1C2555" w14:textId="77777777" w:rsidR="0055378D" w:rsidRDefault="0055378D">
      <w:pPr>
        <w:spacing w:line="276" w:lineRule="auto"/>
        <w:jc w:val="both"/>
        <w:rPr>
          <w:rFonts w:asciiTheme="minorBidi" w:hAnsiTheme="minorBidi" w:cstheme="minorBidi"/>
          <w:sz w:val="22"/>
          <w:szCs w:val="22"/>
        </w:rPr>
      </w:pPr>
    </w:p>
    <w:p w14:paraId="14D0F49D" w14:textId="77777777" w:rsidR="0055378D" w:rsidRDefault="0055378D">
      <w:pPr>
        <w:spacing w:line="276" w:lineRule="auto"/>
        <w:jc w:val="both"/>
        <w:rPr>
          <w:rFonts w:asciiTheme="minorBidi" w:hAnsiTheme="minorBidi" w:cstheme="minorBidi"/>
          <w:sz w:val="22"/>
          <w:szCs w:val="22"/>
        </w:rPr>
      </w:pPr>
    </w:p>
    <w:p w14:paraId="2F44F07F" w14:textId="77777777" w:rsidR="0055378D" w:rsidRDefault="0055378D">
      <w:pPr>
        <w:spacing w:line="276" w:lineRule="auto"/>
        <w:jc w:val="both"/>
        <w:rPr>
          <w:rFonts w:asciiTheme="minorBidi" w:hAnsiTheme="minorBidi" w:cstheme="minorBidi"/>
          <w:sz w:val="22"/>
          <w:szCs w:val="22"/>
        </w:rPr>
      </w:pPr>
    </w:p>
    <w:p w14:paraId="02CAFA3A" w14:textId="77777777" w:rsidR="0055378D" w:rsidRDefault="0055378D">
      <w:pPr>
        <w:spacing w:line="276" w:lineRule="auto"/>
        <w:jc w:val="both"/>
        <w:rPr>
          <w:rFonts w:asciiTheme="minorBidi" w:hAnsiTheme="minorBidi" w:cstheme="minorBidi"/>
          <w:sz w:val="22"/>
          <w:szCs w:val="22"/>
        </w:rPr>
      </w:pPr>
    </w:p>
    <w:p w14:paraId="3FEE3E7D" w14:textId="77777777" w:rsidR="0055378D" w:rsidRDefault="0055378D">
      <w:pPr>
        <w:spacing w:line="276" w:lineRule="auto"/>
        <w:jc w:val="both"/>
        <w:rPr>
          <w:rFonts w:asciiTheme="minorBidi" w:hAnsiTheme="minorBidi" w:cstheme="minorBidi"/>
          <w:sz w:val="22"/>
          <w:szCs w:val="22"/>
        </w:rPr>
      </w:pPr>
    </w:p>
    <w:p w14:paraId="31E01CD4" w14:textId="77777777" w:rsidR="0055378D" w:rsidRDefault="0055378D">
      <w:pPr>
        <w:spacing w:line="276" w:lineRule="auto"/>
        <w:jc w:val="both"/>
        <w:rPr>
          <w:rFonts w:asciiTheme="minorBidi" w:hAnsiTheme="minorBidi" w:cstheme="minorBidi"/>
          <w:sz w:val="22"/>
          <w:szCs w:val="22"/>
        </w:rPr>
      </w:pPr>
    </w:p>
    <w:p w14:paraId="7DBEAC35" w14:textId="77777777" w:rsidR="0055378D" w:rsidRDefault="0055378D">
      <w:pPr>
        <w:spacing w:line="276" w:lineRule="auto"/>
        <w:jc w:val="both"/>
        <w:rPr>
          <w:rFonts w:asciiTheme="minorBidi" w:hAnsiTheme="minorBidi" w:cstheme="minorBidi"/>
          <w:sz w:val="22"/>
          <w:szCs w:val="22"/>
        </w:rPr>
      </w:pPr>
    </w:p>
    <w:p w14:paraId="16E15A21" w14:textId="77777777" w:rsidR="0055378D" w:rsidRDefault="00883CD5">
      <w:pPr>
        <w:spacing w:after="120" w:line="276" w:lineRule="auto"/>
        <w:jc w:val="center"/>
        <w:rPr>
          <w:rFonts w:asciiTheme="minorBidi" w:hAnsiTheme="minorBidi" w:cstheme="minorBidi"/>
          <w:b/>
          <w:bCs/>
          <w:sz w:val="22"/>
          <w:szCs w:val="22"/>
        </w:rPr>
      </w:pPr>
      <w:r>
        <w:rPr>
          <w:rFonts w:asciiTheme="minorBidi" w:hAnsiTheme="minorBidi" w:cstheme="minorBidi"/>
          <w:b/>
          <w:bCs/>
          <w:sz w:val="22"/>
          <w:szCs w:val="22"/>
        </w:rPr>
        <w:lastRenderedPageBreak/>
        <w:t>Introduction</w:t>
      </w:r>
    </w:p>
    <w:p w14:paraId="5E4B549D" w14:textId="77777777" w:rsidR="0055378D" w:rsidRDefault="00883CD5">
      <w:pPr>
        <w:spacing w:line="276" w:lineRule="auto"/>
        <w:jc w:val="both"/>
        <w:rPr>
          <w:rFonts w:asciiTheme="minorBidi" w:hAnsiTheme="minorBidi" w:cstheme="minorBidi"/>
          <w:sz w:val="22"/>
          <w:szCs w:val="22"/>
        </w:rPr>
      </w:pPr>
      <w:r>
        <w:rPr>
          <w:rFonts w:asciiTheme="minorBidi" w:hAnsiTheme="minorBidi" w:cstheme="minorBidi"/>
          <w:sz w:val="22"/>
          <w:szCs w:val="22"/>
        </w:rPr>
        <w:t xml:space="preserve">Groundnut, also known as peanut, is a vital food legume and oilseed crop with global and national significance. Its nutrient-rich seeds provide a valuable source of edible oil and high-quality plant-based protein. As one of the world’s largest producers and consumers of groundnuts, groundnut is a very crucial crop for food and agricultural sectors in Bangladesh. Salinity is an ever-increasing problem throughout the world and imposes major constraints to food production (Hasegawa </w:t>
      </w:r>
      <w:r>
        <w:rPr>
          <w:rFonts w:asciiTheme="minorBidi" w:hAnsiTheme="minorBidi" w:cstheme="minorBidi"/>
          <w:i/>
          <w:iCs/>
          <w:sz w:val="22"/>
          <w:szCs w:val="22"/>
        </w:rPr>
        <w:t>et al.,</w:t>
      </w:r>
      <w:r>
        <w:rPr>
          <w:rFonts w:asciiTheme="minorBidi" w:hAnsiTheme="minorBidi" w:cstheme="minorBidi"/>
          <w:sz w:val="22"/>
          <w:szCs w:val="22"/>
        </w:rPr>
        <w:t xml:space="preserve"> 2000; Tester and Davenport, 2003). Globally, nearly 100 million ha of land is affected by salinity which accounts for 6-7% of the total arable land (Munns and James, 2003). In the coastal belt of Bangladesh, 1.02 million ha of cultivated land is affected by different degrees of soil salinity, 2.0 to &gt; 16 </w:t>
      </w:r>
      <w:proofErr w:type="spellStart"/>
      <w:r>
        <w:rPr>
          <w:rFonts w:asciiTheme="minorBidi" w:hAnsiTheme="minorBidi" w:cstheme="minorBidi"/>
          <w:sz w:val="22"/>
          <w:szCs w:val="22"/>
        </w:rPr>
        <w:t>dS</w:t>
      </w:r>
      <w:proofErr w:type="spellEnd"/>
      <w:r>
        <w:rPr>
          <w:rFonts w:asciiTheme="minorBidi" w:hAnsiTheme="minorBidi" w:cstheme="minorBidi"/>
          <w:sz w:val="22"/>
          <w:szCs w:val="22"/>
        </w:rPr>
        <w:t>/m (Karim and Iqbal, 2001; SRDI, 2003). Groundnut (</w:t>
      </w:r>
      <w:r>
        <w:rPr>
          <w:rFonts w:asciiTheme="minorBidi" w:hAnsiTheme="minorBidi" w:cstheme="minorBidi"/>
          <w:i/>
          <w:iCs/>
          <w:sz w:val="22"/>
          <w:szCs w:val="22"/>
        </w:rPr>
        <w:t>Arachis hypogaea</w:t>
      </w:r>
      <w:r>
        <w:rPr>
          <w:rFonts w:asciiTheme="minorBidi" w:hAnsiTheme="minorBidi" w:cstheme="minorBidi"/>
          <w:sz w:val="22"/>
          <w:szCs w:val="22"/>
        </w:rPr>
        <w:t xml:space="preserve"> L.) is moderately sensitive to salinity stress (Shalhevet </w:t>
      </w:r>
      <w:r>
        <w:rPr>
          <w:rFonts w:asciiTheme="minorBidi" w:hAnsiTheme="minorBidi" w:cstheme="minorBidi"/>
          <w:i/>
          <w:iCs/>
          <w:sz w:val="22"/>
          <w:szCs w:val="22"/>
        </w:rPr>
        <w:t>et al.,</w:t>
      </w:r>
      <w:r>
        <w:rPr>
          <w:rFonts w:asciiTheme="minorBidi" w:hAnsiTheme="minorBidi" w:cstheme="minorBidi"/>
          <w:sz w:val="22"/>
          <w:szCs w:val="22"/>
        </w:rPr>
        <w:t xml:space="preserve"> 1969) can tolerate 3.4 </w:t>
      </w:r>
      <w:proofErr w:type="spellStart"/>
      <w:r>
        <w:rPr>
          <w:rFonts w:asciiTheme="minorBidi" w:hAnsiTheme="minorBidi" w:cstheme="minorBidi"/>
          <w:sz w:val="22"/>
          <w:szCs w:val="22"/>
        </w:rPr>
        <w:t>dS</w:t>
      </w:r>
      <w:proofErr w:type="spellEnd"/>
      <w:r>
        <w:rPr>
          <w:rFonts w:asciiTheme="minorBidi" w:hAnsiTheme="minorBidi" w:cstheme="minorBidi"/>
          <w:sz w:val="22"/>
          <w:szCs w:val="22"/>
        </w:rPr>
        <w:t xml:space="preserve">/m. Yield of groundnut increases below this threshold level while reduces above this level. The widespread cultivation of groundnut underscores its importance as a valuable food and oil source, as well as its role in promoting sustainable farming practices through its symbiotic relationship with nitrogen-fixing bacteria. Notably, groundnut’s ability to thrive with minimal reliance on synthetic nitrogen fertilizers, thanks to its symbiotic association with nitrogen-fixing Rhizobium bacteria, contributes to more environmentally-friendly agricultural practices (Asante </w:t>
      </w:r>
      <w:r>
        <w:rPr>
          <w:rFonts w:asciiTheme="minorBidi" w:hAnsiTheme="minorBidi" w:cstheme="minorBidi"/>
          <w:i/>
          <w:iCs/>
          <w:sz w:val="22"/>
          <w:szCs w:val="22"/>
        </w:rPr>
        <w:t>et al.,</w:t>
      </w:r>
      <w:r>
        <w:rPr>
          <w:rFonts w:asciiTheme="minorBidi" w:hAnsiTheme="minorBidi" w:cstheme="minorBidi"/>
          <w:sz w:val="22"/>
          <w:szCs w:val="22"/>
        </w:rPr>
        <w:t xml:space="preserve"> 2020; Mohammed </w:t>
      </w:r>
      <w:r>
        <w:rPr>
          <w:rFonts w:asciiTheme="minorBidi" w:hAnsiTheme="minorBidi" w:cstheme="minorBidi"/>
          <w:i/>
          <w:iCs/>
          <w:sz w:val="22"/>
          <w:szCs w:val="22"/>
        </w:rPr>
        <w:t>et al.,</w:t>
      </w:r>
      <w:r>
        <w:rPr>
          <w:rFonts w:asciiTheme="minorBidi" w:hAnsiTheme="minorBidi" w:cstheme="minorBidi"/>
          <w:sz w:val="22"/>
          <w:szCs w:val="22"/>
        </w:rPr>
        <w:t xml:space="preserve"> 2018). Inoculation of legumes with biofertilizer (</w:t>
      </w:r>
      <w:r>
        <w:rPr>
          <w:rFonts w:asciiTheme="minorBidi" w:hAnsiTheme="minorBidi" w:cstheme="minorBidi"/>
          <w:i/>
          <w:iCs/>
          <w:sz w:val="22"/>
          <w:szCs w:val="22"/>
        </w:rPr>
        <w:t>Rhizobium</w:t>
      </w:r>
      <w:r>
        <w:rPr>
          <w:rFonts w:asciiTheme="minorBidi" w:hAnsiTheme="minorBidi" w:cstheme="minorBidi"/>
          <w:sz w:val="22"/>
          <w:szCs w:val="22"/>
        </w:rPr>
        <w:t xml:space="preserve"> bacteria) increased the nodule and nitrogen-fixing activity of the plants (Argaw 2017). When inoculated with the proper strain of bacteria, legumes can supply up to 90% of their nitrogen. Comparably, the researcher reported</w:t>
      </w:r>
    </w:p>
    <w:p w14:paraId="0AFA06D2" w14:textId="77777777" w:rsidR="0055378D" w:rsidRDefault="00883CD5">
      <w:pPr>
        <w:spacing w:line="276" w:lineRule="auto"/>
        <w:jc w:val="both"/>
        <w:rPr>
          <w:rFonts w:asciiTheme="minorBidi" w:hAnsiTheme="minorBidi" w:cstheme="minorBidi"/>
          <w:sz w:val="22"/>
          <w:szCs w:val="22"/>
        </w:rPr>
      </w:pPr>
      <w:r>
        <w:rPr>
          <w:rFonts w:asciiTheme="minorBidi" w:hAnsiTheme="minorBidi" w:cstheme="minorBidi"/>
          <w:sz w:val="22"/>
          <w:szCs w:val="22"/>
        </w:rPr>
        <w:t xml:space="preserve">that inoculation with </w:t>
      </w:r>
      <w:r>
        <w:rPr>
          <w:rFonts w:asciiTheme="minorBidi" w:hAnsiTheme="minorBidi" w:cstheme="minorBidi"/>
          <w:i/>
          <w:iCs/>
          <w:sz w:val="22"/>
          <w:szCs w:val="22"/>
        </w:rPr>
        <w:t>Rhizobium</w:t>
      </w:r>
      <w:r>
        <w:rPr>
          <w:rFonts w:asciiTheme="minorBidi" w:hAnsiTheme="minorBidi" w:cstheme="minorBidi"/>
          <w:sz w:val="22"/>
          <w:szCs w:val="22"/>
        </w:rPr>
        <w:t xml:space="preserve"> bacteria brings about significant increases in all the growth and yield parameters than when not inoculated; biochar addition to soil increases soil nutrient concentrations and microbial activity, leading to the development of plant growth (Sajid </w:t>
      </w:r>
      <w:r>
        <w:rPr>
          <w:rFonts w:asciiTheme="minorBidi" w:hAnsiTheme="minorBidi" w:cstheme="minorBidi"/>
          <w:i/>
          <w:iCs/>
          <w:sz w:val="22"/>
          <w:szCs w:val="22"/>
        </w:rPr>
        <w:t>et al.,</w:t>
      </w:r>
      <w:r>
        <w:rPr>
          <w:rFonts w:asciiTheme="minorBidi" w:hAnsiTheme="minorBidi" w:cstheme="minorBidi"/>
          <w:sz w:val="22"/>
          <w:szCs w:val="22"/>
        </w:rPr>
        <w:t xml:space="preserve"> 2011; Asante </w:t>
      </w:r>
      <w:r>
        <w:rPr>
          <w:rFonts w:asciiTheme="minorBidi" w:hAnsiTheme="minorBidi" w:cstheme="minorBidi"/>
          <w:i/>
          <w:iCs/>
          <w:sz w:val="22"/>
          <w:szCs w:val="22"/>
        </w:rPr>
        <w:t>et al.,</w:t>
      </w:r>
      <w:r>
        <w:rPr>
          <w:rFonts w:asciiTheme="minorBidi" w:hAnsiTheme="minorBidi" w:cstheme="minorBidi"/>
          <w:sz w:val="22"/>
          <w:szCs w:val="22"/>
        </w:rPr>
        <w:t xml:space="preserve"> 2020). The symbiotic performance of legumes with rhizobia can be significantly enhanced by biochar-based </w:t>
      </w:r>
      <w:proofErr w:type="spellStart"/>
      <w:r>
        <w:rPr>
          <w:rFonts w:asciiTheme="minorBidi" w:hAnsiTheme="minorBidi" w:cstheme="minorBidi"/>
          <w:sz w:val="22"/>
          <w:szCs w:val="22"/>
        </w:rPr>
        <w:t>rhizobial</w:t>
      </w:r>
      <w:proofErr w:type="spellEnd"/>
      <w:r>
        <w:rPr>
          <w:rFonts w:asciiTheme="minorBidi" w:hAnsiTheme="minorBidi" w:cstheme="minorBidi"/>
          <w:sz w:val="22"/>
          <w:szCs w:val="22"/>
        </w:rPr>
        <w:t xml:space="preserve"> inoculants, reducing N fertilizer demand and thus promoting the sustainability of crop production in any agroecosystems (</w:t>
      </w:r>
      <w:proofErr w:type="spellStart"/>
      <w:r>
        <w:rPr>
          <w:rFonts w:asciiTheme="minorBidi" w:hAnsiTheme="minorBidi" w:cstheme="minorBidi"/>
          <w:sz w:val="22"/>
          <w:szCs w:val="22"/>
        </w:rPr>
        <w:t>Egamberdieva</w:t>
      </w:r>
      <w:proofErr w:type="spellEnd"/>
      <w:r>
        <w:rPr>
          <w:rFonts w:asciiTheme="minorBidi" w:hAnsiTheme="minorBidi" w:cstheme="minorBidi"/>
          <w:sz w:val="22"/>
          <w:szCs w:val="22"/>
        </w:rPr>
        <w:t xml:space="preserve"> </w:t>
      </w:r>
      <w:r>
        <w:rPr>
          <w:rFonts w:asciiTheme="minorBidi" w:hAnsiTheme="minorBidi" w:cstheme="minorBidi"/>
          <w:i/>
          <w:iCs/>
          <w:sz w:val="22"/>
          <w:szCs w:val="22"/>
        </w:rPr>
        <w:t>et al.,</w:t>
      </w:r>
      <w:r>
        <w:rPr>
          <w:rFonts w:asciiTheme="minorBidi" w:hAnsiTheme="minorBidi" w:cstheme="minorBidi"/>
          <w:sz w:val="22"/>
          <w:szCs w:val="22"/>
        </w:rPr>
        <w:t xml:space="preserve"> 2018), including </w:t>
      </w:r>
      <w:proofErr w:type="spellStart"/>
      <w:r>
        <w:rPr>
          <w:rFonts w:asciiTheme="minorBidi" w:hAnsiTheme="minorBidi" w:cstheme="minorBidi"/>
          <w:sz w:val="22"/>
          <w:szCs w:val="22"/>
        </w:rPr>
        <w:t>Charland</w:t>
      </w:r>
      <w:proofErr w:type="spellEnd"/>
      <w:r>
        <w:rPr>
          <w:rFonts w:asciiTheme="minorBidi" w:hAnsiTheme="minorBidi" w:cstheme="minorBidi"/>
          <w:sz w:val="22"/>
          <w:szCs w:val="22"/>
        </w:rPr>
        <w:t xml:space="preserve"> </w:t>
      </w:r>
      <w:proofErr w:type="spellStart"/>
      <w:r>
        <w:rPr>
          <w:rFonts w:asciiTheme="minorBidi" w:hAnsiTheme="minorBidi" w:cstheme="minorBidi"/>
          <w:sz w:val="22"/>
          <w:szCs w:val="22"/>
        </w:rPr>
        <w:t>agro</w:t>
      </w:r>
      <w:proofErr w:type="spellEnd"/>
      <w:r>
        <w:rPr>
          <w:rFonts w:asciiTheme="minorBidi" w:hAnsiTheme="minorBidi" w:cstheme="minorBidi"/>
          <w:sz w:val="22"/>
          <w:szCs w:val="22"/>
        </w:rPr>
        <w:t xml:space="preserve"> -ecosystems. Legumes have symbiotic relationships with rhizobia and are known as the most efficient system for biological nitrogen fixation (Reckling </w:t>
      </w:r>
      <w:r>
        <w:rPr>
          <w:rFonts w:asciiTheme="minorBidi" w:hAnsiTheme="minorBidi" w:cstheme="minorBidi"/>
          <w:i/>
          <w:iCs/>
          <w:sz w:val="22"/>
          <w:szCs w:val="22"/>
        </w:rPr>
        <w:t>et al.,</w:t>
      </w:r>
      <w:r>
        <w:rPr>
          <w:rFonts w:asciiTheme="minorBidi" w:hAnsiTheme="minorBidi" w:cstheme="minorBidi"/>
          <w:sz w:val="22"/>
          <w:szCs w:val="22"/>
        </w:rPr>
        <w:t xml:space="preserve"> 2016). In light of these concerns, there is an increasing focus on the development of more sustainable agricultural practices that can enhance crop yields without compromising the health of the environment and the well-being of the population (Sandhu, 2021). One promising approach is the utilization of beneficial microbes, known as rhizobacteria, to promote plant growth and reduce the reliance on synthetic fertilizers (Mabrouk </w:t>
      </w:r>
      <w:r>
        <w:rPr>
          <w:rFonts w:asciiTheme="minorBidi" w:hAnsiTheme="minorBidi" w:cstheme="minorBidi"/>
          <w:i/>
          <w:iCs/>
          <w:sz w:val="22"/>
          <w:szCs w:val="22"/>
        </w:rPr>
        <w:t xml:space="preserve">et al., </w:t>
      </w:r>
      <w:r>
        <w:rPr>
          <w:rFonts w:asciiTheme="minorBidi" w:hAnsiTheme="minorBidi" w:cstheme="minorBidi"/>
          <w:sz w:val="22"/>
          <w:szCs w:val="22"/>
        </w:rPr>
        <w:t xml:space="preserve">2018, Zambrano-Mendoza </w:t>
      </w:r>
      <w:r>
        <w:rPr>
          <w:rFonts w:asciiTheme="minorBidi" w:hAnsiTheme="minorBidi" w:cstheme="minorBidi"/>
          <w:i/>
          <w:iCs/>
          <w:sz w:val="22"/>
          <w:szCs w:val="22"/>
        </w:rPr>
        <w:t>et al.,</w:t>
      </w:r>
      <w:r>
        <w:rPr>
          <w:rFonts w:asciiTheme="minorBidi" w:hAnsiTheme="minorBidi" w:cstheme="minorBidi"/>
          <w:sz w:val="22"/>
          <w:szCs w:val="22"/>
        </w:rPr>
        <w:t xml:space="preserve"> 2021). Rhizobacteria are a group of bacteria that reside in the plant’s rhizosphere, the region surrounding the root system. These bacteria can form symbiotic relationships with plants, providing them with essential nutrients, such as nitrogen, through processes like nitrogen fixation. Rhizobacteria can also indirectly contribute to plant growth by producing plant growth-promoting substances, solubilizing nutrients, and suppressing plant pathogens (Verma </w:t>
      </w:r>
      <w:r>
        <w:rPr>
          <w:rFonts w:asciiTheme="minorBidi" w:hAnsiTheme="minorBidi" w:cstheme="minorBidi"/>
          <w:i/>
          <w:iCs/>
          <w:sz w:val="22"/>
          <w:szCs w:val="22"/>
        </w:rPr>
        <w:t>et al.,</w:t>
      </w:r>
      <w:r>
        <w:rPr>
          <w:rFonts w:asciiTheme="minorBidi" w:hAnsiTheme="minorBidi" w:cstheme="minorBidi"/>
          <w:sz w:val="22"/>
          <w:szCs w:val="22"/>
        </w:rPr>
        <w:t xml:space="preserve"> 2022, Aloo </w:t>
      </w:r>
      <w:r>
        <w:rPr>
          <w:rFonts w:asciiTheme="minorBidi" w:hAnsiTheme="minorBidi" w:cstheme="minorBidi"/>
          <w:i/>
          <w:iCs/>
          <w:sz w:val="22"/>
          <w:szCs w:val="22"/>
        </w:rPr>
        <w:t>et al.,</w:t>
      </w:r>
      <w:r>
        <w:rPr>
          <w:rFonts w:asciiTheme="minorBidi" w:hAnsiTheme="minorBidi" w:cstheme="minorBidi"/>
          <w:sz w:val="22"/>
          <w:szCs w:val="22"/>
        </w:rPr>
        <w:t xml:space="preserve"> 2019). The use of rhizobacteria as biofertilizers has been found to be an effective and sustainable alternative to synthetic fertilizers. The addition of rhizobacteria can improve plant nutrition and yield, while also enhancing soil fertility and reducing the environmental impact of agricultural practices (Raimi </w:t>
      </w:r>
      <w:r>
        <w:rPr>
          <w:rFonts w:asciiTheme="minorBidi" w:hAnsiTheme="minorBidi" w:cstheme="minorBidi"/>
          <w:i/>
          <w:iCs/>
          <w:sz w:val="22"/>
          <w:szCs w:val="22"/>
        </w:rPr>
        <w:t xml:space="preserve">et </w:t>
      </w:r>
      <w:r>
        <w:rPr>
          <w:rFonts w:asciiTheme="minorBidi" w:hAnsiTheme="minorBidi" w:cstheme="minorBidi"/>
          <w:i/>
          <w:iCs/>
          <w:sz w:val="22"/>
          <w:szCs w:val="22"/>
        </w:rPr>
        <w:lastRenderedPageBreak/>
        <w:t>al.,</w:t>
      </w:r>
      <w:r>
        <w:rPr>
          <w:rFonts w:asciiTheme="minorBidi" w:hAnsiTheme="minorBidi" w:cstheme="minorBidi"/>
          <w:sz w:val="22"/>
          <w:szCs w:val="22"/>
        </w:rPr>
        <w:t xml:space="preserve"> 2017, Aloo </w:t>
      </w:r>
      <w:r>
        <w:rPr>
          <w:rFonts w:asciiTheme="minorBidi" w:hAnsiTheme="minorBidi" w:cstheme="minorBidi"/>
          <w:i/>
          <w:iCs/>
          <w:sz w:val="22"/>
          <w:szCs w:val="22"/>
        </w:rPr>
        <w:t>et al.,</w:t>
      </w:r>
      <w:r>
        <w:rPr>
          <w:rFonts w:asciiTheme="minorBidi" w:hAnsiTheme="minorBidi" w:cstheme="minorBidi"/>
          <w:sz w:val="22"/>
          <w:szCs w:val="22"/>
        </w:rPr>
        <w:t xml:space="preserve"> 2019). The growing demand for sustainable agriculture presents a promising solution in the use of salinity tolerant rhizobacteria-based biofertilizers to mitigate the adverse effects of synthetic fertilizers. The use of rhizobacteria as a biofertilizer for groundnut cultivation has been the subject of extensive research. Studies have demonstrated the beneficial effects of rhizobacteria inoculation on groundnut growth, yield, and nutrient profile (Ka </w:t>
      </w:r>
      <w:r>
        <w:rPr>
          <w:rFonts w:asciiTheme="minorBidi" w:hAnsiTheme="minorBidi" w:cstheme="minorBidi"/>
          <w:i/>
          <w:iCs/>
          <w:sz w:val="22"/>
          <w:szCs w:val="22"/>
        </w:rPr>
        <w:t>et al.,</w:t>
      </w:r>
      <w:r>
        <w:rPr>
          <w:rFonts w:asciiTheme="minorBidi" w:hAnsiTheme="minorBidi" w:cstheme="minorBidi"/>
          <w:sz w:val="22"/>
          <w:szCs w:val="22"/>
        </w:rPr>
        <w:t xml:space="preserve"> 2018, Mondal </w:t>
      </w:r>
      <w:r>
        <w:rPr>
          <w:rFonts w:asciiTheme="minorBidi" w:hAnsiTheme="minorBidi" w:cstheme="minorBidi"/>
          <w:i/>
          <w:iCs/>
          <w:sz w:val="22"/>
          <w:szCs w:val="22"/>
        </w:rPr>
        <w:t>et al.,</w:t>
      </w:r>
      <w:r>
        <w:rPr>
          <w:rFonts w:asciiTheme="minorBidi" w:hAnsiTheme="minorBidi" w:cstheme="minorBidi"/>
          <w:sz w:val="22"/>
          <w:szCs w:val="22"/>
        </w:rPr>
        <w:t xml:space="preserve"> 2018). While the advantages of </w:t>
      </w:r>
      <w:r>
        <w:rPr>
          <w:rFonts w:asciiTheme="minorBidi" w:hAnsiTheme="minorBidi" w:cstheme="minorBidi"/>
          <w:i/>
          <w:iCs/>
          <w:sz w:val="22"/>
          <w:szCs w:val="22"/>
        </w:rPr>
        <w:t>Rhizobium</w:t>
      </w:r>
      <w:r>
        <w:rPr>
          <w:rFonts w:asciiTheme="minorBidi" w:hAnsiTheme="minorBidi" w:cstheme="minorBidi"/>
          <w:sz w:val="22"/>
          <w:szCs w:val="22"/>
        </w:rPr>
        <w:t xml:space="preserve"> bacteria in promoting sustainable agriculture are well-established, there is a lack of scientific understanding regarding newly isolated </w:t>
      </w:r>
      <w:r>
        <w:rPr>
          <w:rFonts w:asciiTheme="minorBidi" w:hAnsiTheme="minorBidi" w:cstheme="minorBidi"/>
          <w:i/>
          <w:iCs/>
          <w:sz w:val="22"/>
          <w:szCs w:val="22"/>
        </w:rPr>
        <w:t>Rhizobium</w:t>
      </w:r>
      <w:r>
        <w:rPr>
          <w:rFonts w:asciiTheme="minorBidi" w:hAnsiTheme="minorBidi" w:cstheme="minorBidi"/>
          <w:sz w:val="22"/>
          <w:szCs w:val="22"/>
        </w:rPr>
        <w:t xml:space="preserve"> strains and their potential application as biofertilizers for groundnut cultivation (Sharma </w:t>
      </w:r>
      <w:r>
        <w:rPr>
          <w:rFonts w:asciiTheme="minorBidi" w:hAnsiTheme="minorBidi" w:cstheme="minorBidi"/>
          <w:i/>
          <w:iCs/>
          <w:sz w:val="22"/>
          <w:szCs w:val="22"/>
        </w:rPr>
        <w:t xml:space="preserve">et al., </w:t>
      </w:r>
      <w:r>
        <w:rPr>
          <w:rFonts w:asciiTheme="minorBidi" w:hAnsiTheme="minorBidi" w:cstheme="minorBidi"/>
          <w:sz w:val="22"/>
          <w:szCs w:val="22"/>
        </w:rPr>
        <w:t xml:space="preserve">2018, </w:t>
      </w:r>
      <w:proofErr w:type="spellStart"/>
      <w:r>
        <w:rPr>
          <w:rFonts w:asciiTheme="minorBidi" w:hAnsiTheme="minorBidi" w:cstheme="minorBidi"/>
          <w:sz w:val="22"/>
          <w:szCs w:val="22"/>
        </w:rPr>
        <w:t>Purwaningsih</w:t>
      </w:r>
      <w:proofErr w:type="spellEnd"/>
      <w:r>
        <w:rPr>
          <w:rFonts w:asciiTheme="minorBidi" w:hAnsiTheme="minorBidi" w:cstheme="minorBidi"/>
          <w:sz w:val="22"/>
          <w:szCs w:val="22"/>
        </w:rPr>
        <w:t xml:space="preserve"> </w:t>
      </w:r>
      <w:r>
        <w:rPr>
          <w:rFonts w:asciiTheme="minorBidi" w:hAnsiTheme="minorBidi" w:cstheme="minorBidi"/>
          <w:i/>
          <w:iCs/>
          <w:sz w:val="22"/>
          <w:szCs w:val="22"/>
        </w:rPr>
        <w:t>et al.</w:t>
      </w:r>
      <w:r>
        <w:rPr>
          <w:rFonts w:asciiTheme="minorBidi" w:hAnsiTheme="minorBidi" w:cstheme="minorBidi"/>
          <w:sz w:val="22"/>
          <w:szCs w:val="22"/>
        </w:rPr>
        <w:t xml:space="preserve">, 2021). Investigating the growth-enhancing and yield-boosting capabilities of novel Rhizobium strains could provide valuable insights for developing effective biofertilizer solutions (Ka </w:t>
      </w:r>
      <w:r>
        <w:rPr>
          <w:rFonts w:asciiTheme="minorBidi" w:hAnsiTheme="minorBidi" w:cstheme="minorBidi"/>
          <w:i/>
          <w:iCs/>
          <w:sz w:val="22"/>
          <w:szCs w:val="22"/>
        </w:rPr>
        <w:t>et al.,</w:t>
      </w:r>
      <w:r>
        <w:rPr>
          <w:rFonts w:asciiTheme="minorBidi" w:hAnsiTheme="minorBidi" w:cstheme="minorBidi"/>
          <w:sz w:val="22"/>
          <w:szCs w:val="22"/>
        </w:rPr>
        <w:t xml:space="preserve"> 2018, Naseer </w:t>
      </w:r>
      <w:r>
        <w:rPr>
          <w:rFonts w:asciiTheme="minorBidi" w:hAnsiTheme="minorBidi" w:cstheme="minorBidi"/>
          <w:i/>
          <w:iCs/>
          <w:sz w:val="22"/>
          <w:szCs w:val="22"/>
        </w:rPr>
        <w:t>et</w:t>
      </w:r>
      <w:r>
        <w:rPr>
          <w:rFonts w:asciiTheme="minorBidi" w:hAnsiTheme="minorBidi" w:cstheme="minorBidi"/>
          <w:sz w:val="22"/>
          <w:szCs w:val="22"/>
        </w:rPr>
        <w:t xml:space="preserve"> </w:t>
      </w:r>
      <w:r>
        <w:rPr>
          <w:rFonts w:asciiTheme="minorBidi" w:hAnsiTheme="minorBidi" w:cstheme="minorBidi"/>
          <w:i/>
          <w:iCs/>
          <w:sz w:val="22"/>
          <w:szCs w:val="22"/>
        </w:rPr>
        <w:t>al.</w:t>
      </w:r>
      <w:r>
        <w:rPr>
          <w:rFonts w:asciiTheme="minorBidi" w:hAnsiTheme="minorBidi" w:cstheme="minorBidi"/>
          <w:sz w:val="22"/>
          <w:szCs w:val="22"/>
        </w:rPr>
        <w:t xml:space="preserve">, 2019) to address the challenges posed by synthetic fertilizers. Isolating and screening fresh rhizobacterial samples is crucial, as the efficacy of different strains can vary depending on local soil and climatic conditions (Oo </w:t>
      </w:r>
      <w:r>
        <w:rPr>
          <w:rFonts w:asciiTheme="minorBidi" w:hAnsiTheme="minorBidi" w:cstheme="minorBidi"/>
          <w:i/>
          <w:iCs/>
          <w:sz w:val="22"/>
          <w:szCs w:val="22"/>
        </w:rPr>
        <w:t>et al.,</w:t>
      </w:r>
      <w:r>
        <w:rPr>
          <w:rFonts w:asciiTheme="minorBidi" w:hAnsiTheme="minorBidi" w:cstheme="minorBidi"/>
          <w:sz w:val="22"/>
          <w:szCs w:val="22"/>
        </w:rPr>
        <w:t xml:space="preserve"> 2020, </w:t>
      </w:r>
      <w:proofErr w:type="spellStart"/>
      <w:r>
        <w:rPr>
          <w:rFonts w:asciiTheme="minorBidi" w:hAnsiTheme="minorBidi" w:cstheme="minorBidi"/>
          <w:sz w:val="22"/>
          <w:szCs w:val="22"/>
        </w:rPr>
        <w:t>Agustiyani</w:t>
      </w:r>
      <w:proofErr w:type="spellEnd"/>
      <w:r>
        <w:rPr>
          <w:rFonts w:asciiTheme="minorBidi" w:hAnsiTheme="minorBidi" w:cstheme="minorBidi"/>
          <w:sz w:val="22"/>
          <w:szCs w:val="22"/>
        </w:rPr>
        <w:t xml:space="preserve"> </w:t>
      </w:r>
      <w:r>
        <w:rPr>
          <w:rFonts w:asciiTheme="minorBidi" w:hAnsiTheme="minorBidi" w:cstheme="minorBidi"/>
          <w:i/>
          <w:iCs/>
          <w:sz w:val="22"/>
          <w:szCs w:val="22"/>
        </w:rPr>
        <w:t>et al.</w:t>
      </w:r>
      <w:r>
        <w:rPr>
          <w:rFonts w:asciiTheme="minorBidi" w:hAnsiTheme="minorBidi" w:cstheme="minorBidi"/>
          <w:sz w:val="22"/>
          <w:szCs w:val="22"/>
        </w:rPr>
        <w:t xml:space="preserve">, 2022). Comprehensive research is needed to characterize the diversity, functional attributes, and field performance of newly isolated </w:t>
      </w:r>
      <w:r>
        <w:rPr>
          <w:rFonts w:asciiTheme="minorBidi" w:hAnsiTheme="minorBidi" w:cstheme="minorBidi"/>
          <w:i/>
          <w:iCs/>
          <w:sz w:val="22"/>
          <w:szCs w:val="22"/>
        </w:rPr>
        <w:t>Rhizobium</w:t>
      </w:r>
      <w:r>
        <w:rPr>
          <w:rFonts w:asciiTheme="minorBidi" w:hAnsiTheme="minorBidi" w:cstheme="minorBidi"/>
          <w:sz w:val="22"/>
          <w:szCs w:val="22"/>
        </w:rPr>
        <w:t xml:space="preserve"> isolates, in order to harness their full potential for enhancing crop productivity and reducing reliance on synthetic fertilizers (</w:t>
      </w:r>
      <w:proofErr w:type="spellStart"/>
      <w:r>
        <w:rPr>
          <w:rFonts w:asciiTheme="minorBidi" w:hAnsiTheme="minorBidi" w:cstheme="minorBidi"/>
          <w:sz w:val="22"/>
          <w:szCs w:val="22"/>
        </w:rPr>
        <w:t>Sijilmassi</w:t>
      </w:r>
      <w:proofErr w:type="spellEnd"/>
      <w:r>
        <w:rPr>
          <w:rFonts w:asciiTheme="minorBidi" w:hAnsiTheme="minorBidi" w:cstheme="minorBidi"/>
          <w:sz w:val="22"/>
          <w:szCs w:val="22"/>
        </w:rPr>
        <w:t xml:space="preserve"> </w:t>
      </w:r>
      <w:r>
        <w:rPr>
          <w:rFonts w:asciiTheme="minorBidi" w:hAnsiTheme="minorBidi" w:cstheme="minorBidi"/>
          <w:i/>
          <w:iCs/>
          <w:sz w:val="22"/>
          <w:szCs w:val="22"/>
        </w:rPr>
        <w:t>et al.,</w:t>
      </w:r>
      <w:r>
        <w:rPr>
          <w:rFonts w:asciiTheme="minorBidi" w:hAnsiTheme="minorBidi" w:cstheme="minorBidi"/>
          <w:sz w:val="22"/>
          <w:szCs w:val="22"/>
        </w:rPr>
        <w:t xml:space="preserve"> 2020, Mabrouk </w:t>
      </w:r>
      <w:r>
        <w:rPr>
          <w:rFonts w:asciiTheme="minorBidi" w:hAnsiTheme="minorBidi" w:cstheme="minorBidi"/>
          <w:i/>
          <w:iCs/>
          <w:sz w:val="22"/>
          <w:szCs w:val="22"/>
        </w:rPr>
        <w:t>et al.,</w:t>
      </w:r>
      <w:r>
        <w:rPr>
          <w:rFonts w:asciiTheme="minorBidi" w:hAnsiTheme="minorBidi" w:cstheme="minorBidi"/>
          <w:sz w:val="22"/>
          <w:szCs w:val="22"/>
        </w:rPr>
        <w:t xml:space="preserve"> 2018). Exploring the metabolic capabilities, nitrogen fixation efficiency, plant growth promoting properties, and environmental adaptability of these </w:t>
      </w:r>
      <w:r>
        <w:rPr>
          <w:rFonts w:asciiTheme="minorBidi" w:hAnsiTheme="minorBidi" w:cstheme="minorBidi"/>
          <w:i/>
          <w:iCs/>
          <w:sz w:val="22"/>
          <w:szCs w:val="22"/>
        </w:rPr>
        <w:t>Rhizobium</w:t>
      </w:r>
      <w:r>
        <w:rPr>
          <w:rFonts w:asciiTheme="minorBidi" w:hAnsiTheme="minorBidi" w:cstheme="minorBidi"/>
          <w:sz w:val="22"/>
          <w:szCs w:val="22"/>
        </w:rPr>
        <w:t xml:space="preserve"> strains can provide valuable insights for developing effective biofertilizer formulations (Ka </w:t>
      </w:r>
      <w:r>
        <w:rPr>
          <w:rFonts w:asciiTheme="minorBidi" w:hAnsiTheme="minorBidi" w:cstheme="minorBidi"/>
          <w:i/>
          <w:iCs/>
          <w:sz w:val="22"/>
          <w:szCs w:val="22"/>
        </w:rPr>
        <w:t>et al.,</w:t>
      </w:r>
      <w:r>
        <w:rPr>
          <w:rFonts w:asciiTheme="minorBidi" w:hAnsiTheme="minorBidi" w:cstheme="minorBidi"/>
          <w:sz w:val="22"/>
          <w:szCs w:val="22"/>
        </w:rPr>
        <w:t xml:space="preserve"> 2018) tailored to specific crop and soil conditions. For saline area of Bangladesh, salinity tolerant </w:t>
      </w:r>
      <w:r>
        <w:rPr>
          <w:rFonts w:asciiTheme="minorBidi" w:hAnsiTheme="minorBidi" w:cstheme="minorBidi"/>
          <w:i/>
          <w:iCs/>
          <w:sz w:val="22"/>
          <w:szCs w:val="22"/>
        </w:rPr>
        <w:t>Rhizobium</w:t>
      </w:r>
      <w:r>
        <w:rPr>
          <w:rFonts w:asciiTheme="minorBidi" w:hAnsiTheme="minorBidi" w:cstheme="minorBidi"/>
          <w:sz w:val="22"/>
          <w:szCs w:val="22"/>
        </w:rPr>
        <w:t xml:space="preserve">-based biofertilizers is a must. Bridging this research gap is crucial for expanding the practical utilization of salinity tolerant </w:t>
      </w:r>
      <w:r>
        <w:rPr>
          <w:rFonts w:asciiTheme="minorBidi" w:hAnsiTheme="minorBidi" w:cstheme="minorBidi"/>
          <w:i/>
          <w:iCs/>
          <w:sz w:val="22"/>
          <w:szCs w:val="22"/>
        </w:rPr>
        <w:t>Rhizobium</w:t>
      </w:r>
      <w:r>
        <w:rPr>
          <w:rFonts w:asciiTheme="minorBidi" w:hAnsiTheme="minorBidi" w:cstheme="minorBidi"/>
          <w:sz w:val="22"/>
          <w:szCs w:val="22"/>
        </w:rPr>
        <w:t xml:space="preserve">-based biofertilizers as a sustainable alternative to chemical inputs in modern agriculture. Keeping these factors in mind, the present study aimed to investigate the isolation and screening of native </w:t>
      </w:r>
      <w:r>
        <w:rPr>
          <w:rFonts w:asciiTheme="minorBidi" w:hAnsiTheme="minorBidi" w:cstheme="minorBidi"/>
          <w:i/>
          <w:iCs/>
          <w:sz w:val="22"/>
          <w:szCs w:val="22"/>
        </w:rPr>
        <w:t>Rhizobium</w:t>
      </w:r>
      <w:r>
        <w:rPr>
          <w:rFonts w:asciiTheme="minorBidi" w:hAnsiTheme="minorBidi" w:cstheme="minorBidi"/>
          <w:sz w:val="22"/>
          <w:szCs w:val="22"/>
        </w:rPr>
        <w:t xml:space="preserve"> strains collected from groundnut plant nodules grown in saline </w:t>
      </w:r>
      <w:proofErr w:type="spellStart"/>
      <w:r>
        <w:rPr>
          <w:rFonts w:asciiTheme="minorBidi" w:hAnsiTheme="minorBidi" w:cstheme="minorBidi"/>
          <w:sz w:val="22"/>
          <w:szCs w:val="22"/>
        </w:rPr>
        <w:t>agro</w:t>
      </w:r>
      <w:proofErr w:type="spellEnd"/>
      <w:r>
        <w:rPr>
          <w:rFonts w:asciiTheme="minorBidi" w:hAnsiTheme="minorBidi" w:cstheme="minorBidi"/>
          <w:sz w:val="22"/>
          <w:szCs w:val="22"/>
        </w:rPr>
        <w:t xml:space="preserve">-climatic regions of southern Bangladesh. After characterizing and identifying these native strains and salinity test were done in laboratory in saline medium, then they were compared through a pot culture experiment with the widely utilized available slow growing </w:t>
      </w:r>
      <w:r>
        <w:rPr>
          <w:rFonts w:asciiTheme="minorBidi" w:hAnsiTheme="minorBidi" w:cstheme="minorBidi"/>
          <w:i/>
          <w:iCs/>
          <w:sz w:val="22"/>
          <w:szCs w:val="22"/>
        </w:rPr>
        <w:t>Rhizobium spp.,</w:t>
      </w:r>
      <w:r>
        <w:rPr>
          <w:rFonts w:asciiTheme="minorBidi" w:hAnsiTheme="minorBidi" w:cstheme="minorBidi"/>
          <w:sz w:val="22"/>
          <w:szCs w:val="22"/>
        </w:rPr>
        <w:t xml:space="preserve"> GN2-(1) and GN2-(4) of BINA for groundnut cultivation.</w:t>
      </w:r>
    </w:p>
    <w:p w14:paraId="34E45C77" w14:textId="77777777" w:rsidR="0055378D" w:rsidRDefault="00883CD5">
      <w:pPr>
        <w:spacing w:line="276" w:lineRule="auto"/>
        <w:jc w:val="both"/>
        <w:rPr>
          <w:rFonts w:asciiTheme="minorBidi" w:hAnsiTheme="minorBidi" w:cstheme="minorBidi"/>
          <w:sz w:val="22"/>
          <w:szCs w:val="22"/>
        </w:rPr>
      </w:pPr>
      <w:r>
        <w:rPr>
          <w:rFonts w:asciiTheme="minorBidi" w:hAnsiTheme="minorBidi" w:cstheme="minorBidi"/>
          <w:sz w:val="22"/>
          <w:szCs w:val="22"/>
        </w:rPr>
        <w:t>The study evaluated the performance of these salinity tolerant rhizobia strains on the growth attributes of groundnut plants, including root and shoot dry weight, nodulation, nodule dry weight, and plant nitrogen uptake in pot within glass house condition.</w:t>
      </w:r>
    </w:p>
    <w:p w14:paraId="37BC0138" w14:textId="77777777" w:rsidR="0055378D" w:rsidRDefault="0055378D">
      <w:pPr>
        <w:spacing w:after="120" w:line="276" w:lineRule="auto"/>
        <w:jc w:val="center"/>
        <w:rPr>
          <w:rFonts w:asciiTheme="minorBidi" w:hAnsiTheme="minorBidi" w:cstheme="minorBidi"/>
          <w:b/>
          <w:sz w:val="22"/>
          <w:szCs w:val="22"/>
        </w:rPr>
      </w:pPr>
    </w:p>
    <w:p w14:paraId="42879FD4" w14:textId="77777777" w:rsidR="0055378D" w:rsidRDefault="00883CD5">
      <w:pPr>
        <w:spacing w:after="120" w:line="276" w:lineRule="auto"/>
        <w:jc w:val="center"/>
        <w:rPr>
          <w:rFonts w:asciiTheme="minorBidi" w:hAnsiTheme="minorBidi" w:cstheme="minorBidi"/>
          <w:b/>
          <w:sz w:val="22"/>
          <w:szCs w:val="22"/>
        </w:rPr>
      </w:pPr>
      <w:r>
        <w:rPr>
          <w:rFonts w:asciiTheme="minorBidi" w:hAnsiTheme="minorBidi" w:cstheme="minorBidi"/>
          <w:b/>
          <w:sz w:val="22"/>
          <w:szCs w:val="22"/>
        </w:rPr>
        <w:t>Materials and Method</w:t>
      </w:r>
    </w:p>
    <w:p w14:paraId="680B63BA" w14:textId="77777777" w:rsidR="0055378D" w:rsidRDefault="00883CD5">
      <w:pPr>
        <w:autoSpaceDE w:val="0"/>
        <w:autoSpaceDN w:val="0"/>
        <w:adjustRightInd w:val="0"/>
        <w:spacing w:line="276" w:lineRule="auto"/>
        <w:jc w:val="both"/>
        <w:rPr>
          <w:rFonts w:asciiTheme="minorBidi" w:hAnsiTheme="minorBidi" w:cstheme="minorBidi"/>
          <w:color w:val="000000"/>
          <w:sz w:val="22"/>
          <w:szCs w:val="22"/>
        </w:rPr>
      </w:pPr>
      <w:r>
        <w:rPr>
          <w:rFonts w:asciiTheme="minorBidi" w:hAnsiTheme="minorBidi" w:cstheme="minorBidi"/>
          <w:sz w:val="22"/>
          <w:szCs w:val="22"/>
        </w:rPr>
        <w:t>A pot experiment was conducted in glass house of Soil Science Division of BINA in the year of 2025 at Rabi-Kharif-1 season with CRD and three replications. Experimental pot filled up with 5 kg sterilized sand and we used Binachinabadam-8 as a crop variety. All isolates were identified as</w:t>
      </w:r>
      <w:r>
        <w:rPr>
          <w:rFonts w:asciiTheme="minorBidi" w:hAnsiTheme="minorBidi" w:cstheme="minorBidi"/>
          <w:i/>
          <w:iCs/>
          <w:sz w:val="22"/>
          <w:szCs w:val="22"/>
        </w:rPr>
        <w:t xml:space="preserve"> </w:t>
      </w:r>
      <w:proofErr w:type="spellStart"/>
      <w:r>
        <w:rPr>
          <w:rFonts w:asciiTheme="minorBidi" w:hAnsiTheme="minorBidi" w:cstheme="minorBidi"/>
          <w:i/>
          <w:iCs/>
          <w:sz w:val="22"/>
          <w:szCs w:val="22"/>
        </w:rPr>
        <w:t>Bradyrhizobium</w:t>
      </w:r>
      <w:proofErr w:type="spellEnd"/>
      <w:r>
        <w:rPr>
          <w:rFonts w:asciiTheme="minorBidi" w:hAnsiTheme="minorBidi" w:cstheme="minorBidi"/>
          <w:i/>
          <w:iCs/>
          <w:sz w:val="22"/>
          <w:szCs w:val="22"/>
        </w:rPr>
        <w:t xml:space="preserve"> sp. </w:t>
      </w:r>
      <w:r>
        <w:rPr>
          <w:rFonts w:asciiTheme="minorBidi" w:hAnsiTheme="minorBidi" w:cstheme="minorBidi"/>
          <w:sz w:val="22"/>
          <w:szCs w:val="22"/>
        </w:rPr>
        <w:t xml:space="preserve">based on their growth and colony morphology. The isolates were round shaped colonies with short rod type bacterial cell and all were gram negative in gram reaction. The isolated strains were found alkali producer and showed no growth on GPA. From 17 isolates, ten (10) </w:t>
      </w:r>
      <w:proofErr w:type="spellStart"/>
      <w:r>
        <w:rPr>
          <w:rFonts w:asciiTheme="minorBidi" w:hAnsiTheme="minorBidi" w:cstheme="minorBidi"/>
          <w:sz w:val="22"/>
          <w:szCs w:val="22"/>
        </w:rPr>
        <w:t>bradyrhizobial</w:t>
      </w:r>
      <w:proofErr w:type="spellEnd"/>
      <w:r>
        <w:rPr>
          <w:rFonts w:asciiTheme="minorBidi" w:hAnsiTheme="minorBidi" w:cstheme="minorBidi"/>
          <w:sz w:val="22"/>
          <w:szCs w:val="22"/>
        </w:rPr>
        <w:t xml:space="preserve"> strains which were isolated from root nodules of Groundnut grown in saline soils of </w:t>
      </w:r>
      <w:proofErr w:type="spellStart"/>
      <w:r>
        <w:rPr>
          <w:rFonts w:asciiTheme="minorBidi" w:hAnsiTheme="minorBidi" w:cstheme="minorBidi"/>
          <w:sz w:val="22"/>
          <w:szCs w:val="22"/>
        </w:rPr>
        <w:t>Satkhira</w:t>
      </w:r>
      <w:proofErr w:type="spellEnd"/>
      <w:r>
        <w:rPr>
          <w:rFonts w:asciiTheme="minorBidi" w:hAnsiTheme="minorBidi" w:cstheme="minorBidi"/>
          <w:sz w:val="22"/>
          <w:szCs w:val="22"/>
        </w:rPr>
        <w:t xml:space="preserve"> and Noakhali. Isolated strains were passed through a series of salinity test where we used saline water which was collected from </w:t>
      </w:r>
      <w:proofErr w:type="spellStart"/>
      <w:r>
        <w:rPr>
          <w:rFonts w:asciiTheme="minorBidi" w:hAnsiTheme="minorBidi" w:cstheme="minorBidi"/>
          <w:sz w:val="22"/>
          <w:szCs w:val="22"/>
        </w:rPr>
        <w:t>Satkhira</w:t>
      </w:r>
      <w:proofErr w:type="spellEnd"/>
      <w:r>
        <w:rPr>
          <w:rFonts w:asciiTheme="minorBidi" w:hAnsiTheme="minorBidi" w:cstheme="minorBidi"/>
          <w:sz w:val="22"/>
          <w:szCs w:val="22"/>
        </w:rPr>
        <w:t xml:space="preserve">. Then eight (8) isolates </w:t>
      </w:r>
      <w:r>
        <w:rPr>
          <w:rFonts w:asciiTheme="minorBidi" w:hAnsiTheme="minorBidi" w:cstheme="minorBidi"/>
          <w:sz w:val="22"/>
          <w:szCs w:val="22"/>
        </w:rPr>
        <w:lastRenderedPageBreak/>
        <w:t>were placed for pod experiment. In that experiment there were nine (9) treatments, among them eight (8) were inoculated (i.e., T</w:t>
      </w:r>
      <w:r>
        <w:rPr>
          <w:rFonts w:asciiTheme="minorBidi" w:hAnsiTheme="minorBidi" w:cstheme="minorBidi"/>
          <w:sz w:val="22"/>
          <w:szCs w:val="22"/>
          <w:vertAlign w:val="subscript"/>
        </w:rPr>
        <w:t>2</w:t>
      </w:r>
      <w:r>
        <w:rPr>
          <w:rFonts w:asciiTheme="minorBidi" w:hAnsiTheme="minorBidi" w:cstheme="minorBidi"/>
          <w:sz w:val="22"/>
          <w:szCs w:val="22"/>
        </w:rPr>
        <w:t>: STGN-1, T</w:t>
      </w:r>
      <w:r>
        <w:rPr>
          <w:rFonts w:asciiTheme="minorBidi" w:hAnsiTheme="minorBidi" w:cstheme="minorBidi"/>
          <w:sz w:val="22"/>
          <w:szCs w:val="22"/>
          <w:vertAlign w:val="subscript"/>
        </w:rPr>
        <w:t>3</w:t>
      </w:r>
      <w:r>
        <w:rPr>
          <w:rFonts w:asciiTheme="minorBidi" w:hAnsiTheme="minorBidi" w:cstheme="minorBidi"/>
          <w:sz w:val="22"/>
          <w:szCs w:val="22"/>
        </w:rPr>
        <w:t>: STGN-3, T</w:t>
      </w:r>
      <w:r>
        <w:rPr>
          <w:rFonts w:asciiTheme="minorBidi" w:hAnsiTheme="minorBidi" w:cstheme="minorBidi"/>
          <w:sz w:val="22"/>
          <w:szCs w:val="22"/>
          <w:vertAlign w:val="subscript"/>
        </w:rPr>
        <w:t>4</w:t>
      </w:r>
      <w:r>
        <w:rPr>
          <w:rFonts w:asciiTheme="minorBidi" w:hAnsiTheme="minorBidi" w:cstheme="minorBidi"/>
          <w:sz w:val="22"/>
          <w:szCs w:val="22"/>
        </w:rPr>
        <w:t>: STGN-4, T</w:t>
      </w:r>
      <w:r>
        <w:rPr>
          <w:rFonts w:asciiTheme="minorBidi" w:hAnsiTheme="minorBidi" w:cstheme="minorBidi"/>
          <w:sz w:val="22"/>
          <w:szCs w:val="22"/>
          <w:vertAlign w:val="subscript"/>
        </w:rPr>
        <w:t>5</w:t>
      </w:r>
      <w:r>
        <w:rPr>
          <w:rFonts w:asciiTheme="minorBidi" w:hAnsiTheme="minorBidi" w:cstheme="minorBidi"/>
          <w:sz w:val="22"/>
          <w:szCs w:val="22"/>
        </w:rPr>
        <w:t>: STGN-5, T</w:t>
      </w:r>
      <w:r>
        <w:rPr>
          <w:rFonts w:asciiTheme="minorBidi" w:hAnsiTheme="minorBidi" w:cstheme="minorBidi"/>
          <w:sz w:val="22"/>
          <w:szCs w:val="22"/>
          <w:vertAlign w:val="subscript"/>
        </w:rPr>
        <w:t>6</w:t>
      </w:r>
      <w:r>
        <w:rPr>
          <w:rFonts w:asciiTheme="minorBidi" w:hAnsiTheme="minorBidi" w:cstheme="minorBidi"/>
          <w:sz w:val="22"/>
          <w:szCs w:val="22"/>
        </w:rPr>
        <w:t>: STGN-6, T</w:t>
      </w:r>
      <w:r>
        <w:rPr>
          <w:rFonts w:asciiTheme="minorBidi" w:hAnsiTheme="minorBidi" w:cstheme="minorBidi"/>
          <w:sz w:val="22"/>
          <w:szCs w:val="22"/>
          <w:vertAlign w:val="subscript"/>
        </w:rPr>
        <w:t>7</w:t>
      </w:r>
      <w:r>
        <w:rPr>
          <w:rFonts w:asciiTheme="minorBidi" w:hAnsiTheme="minorBidi" w:cstheme="minorBidi"/>
          <w:sz w:val="22"/>
          <w:szCs w:val="22"/>
        </w:rPr>
        <w:t>: STGN-7, T</w:t>
      </w:r>
      <w:r>
        <w:rPr>
          <w:rFonts w:asciiTheme="minorBidi" w:hAnsiTheme="minorBidi" w:cstheme="minorBidi"/>
          <w:sz w:val="22"/>
          <w:szCs w:val="22"/>
          <w:vertAlign w:val="subscript"/>
        </w:rPr>
        <w:t>8</w:t>
      </w:r>
      <w:r>
        <w:rPr>
          <w:rFonts w:asciiTheme="minorBidi" w:hAnsiTheme="minorBidi" w:cstheme="minorBidi"/>
          <w:sz w:val="22"/>
          <w:szCs w:val="22"/>
        </w:rPr>
        <w:t>: STGN-9, T</w:t>
      </w:r>
      <w:r>
        <w:rPr>
          <w:rFonts w:asciiTheme="minorBidi" w:hAnsiTheme="minorBidi" w:cstheme="minorBidi"/>
          <w:sz w:val="22"/>
          <w:szCs w:val="22"/>
          <w:vertAlign w:val="subscript"/>
        </w:rPr>
        <w:t>9</w:t>
      </w:r>
      <w:r>
        <w:rPr>
          <w:rFonts w:asciiTheme="minorBidi" w:hAnsiTheme="minorBidi" w:cstheme="minorBidi"/>
          <w:sz w:val="22"/>
          <w:szCs w:val="22"/>
        </w:rPr>
        <w:t>: STGN-10) and</w:t>
      </w:r>
      <w:r>
        <w:rPr>
          <w:rFonts w:asciiTheme="minorBidi" w:hAnsiTheme="minorBidi" w:cstheme="minorBidi"/>
          <w:color w:val="000000"/>
          <w:sz w:val="22"/>
          <w:szCs w:val="22"/>
        </w:rPr>
        <w:t xml:space="preserve"> uninoculated (T</w:t>
      </w:r>
      <w:r>
        <w:rPr>
          <w:rFonts w:asciiTheme="minorBidi" w:hAnsiTheme="minorBidi" w:cstheme="minorBidi"/>
          <w:color w:val="000000"/>
          <w:sz w:val="22"/>
          <w:szCs w:val="22"/>
          <w:vertAlign w:val="subscript"/>
        </w:rPr>
        <w:t>1</w:t>
      </w:r>
      <w:r>
        <w:rPr>
          <w:rFonts w:asciiTheme="minorBidi" w:hAnsiTheme="minorBidi" w:cstheme="minorBidi"/>
          <w:color w:val="000000"/>
          <w:sz w:val="22"/>
          <w:szCs w:val="22"/>
        </w:rPr>
        <w:t>: control)</w:t>
      </w:r>
      <w:r>
        <w:rPr>
          <w:rFonts w:asciiTheme="minorBidi" w:hAnsiTheme="minorBidi" w:cstheme="minorBidi"/>
          <w:sz w:val="22"/>
          <w:szCs w:val="22"/>
        </w:rPr>
        <w:t xml:space="preserve">.   </w:t>
      </w:r>
      <w:r>
        <w:rPr>
          <w:rFonts w:asciiTheme="minorBidi" w:hAnsiTheme="minorBidi" w:cstheme="minorBidi"/>
          <w:color w:val="000000"/>
          <w:sz w:val="22"/>
          <w:szCs w:val="22"/>
        </w:rPr>
        <w:t>Data were collected at 60 DAS, 90 DAS and 120 DAS on effective nodule plant</w:t>
      </w:r>
      <w:r>
        <w:rPr>
          <w:rFonts w:asciiTheme="minorBidi" w:hAnsiTheme="minorBidi" w:cstheme="minorBidi"/>
          <w:color w:val="000000"/>
          <w:sz w:val="22"/>
          <w:szCs w:val="22"/>
          <w:vertAlign w:val="superscript"/>
        </w:rPr>
        <w:t>-1</w:t>
      </w:r>
      <w:r>
        <w:rPr>
          <w:rFonts w:asciiTheme="minorBidi" w:hAnsiTheme="minorBidi" w:cstheme="minorBidi"/>
          <w:color w:val="000000"/>
          <w:sz w:val="22"/>
          <w:szCs w:val="22"/>
        </w:rPr>
        <w:t>, non-effective plant</w:t>
      </w:r>
      <w:r>
        <w:rPr>
          <w:rFonts w:asciiTheme="minorBidi" w:hAnsiTheme="minorBidi" w:cstheme="minorBidi"/>
          <w:color w:val="000000"/>
          <w:sz w:val="22"/>
          <w:szCs w:val="22"/>
          <w:vertAlign w:val="superscript"/>
        </w:rPr>
        <w:t>-1</w:t>
      </w:r>
      <w:r>
        <w:rPr>
          <w:rFonts w:asciiTheme="minorBidi" w:hAnsiTheme="minorBidi" w:cstheme="minorBidi"/>
          <w:color w:val="000000"/>
          <w:sz w:val="22"/>
          <w:szCs w:val="22"/>
        </w:rPr>
        <w:t>, total nodule number plant</w:t>
      </w:r>
      <w:r>
        <w:rPr>
          <w:rFonts w:asciiTheme="minorBidi" w:hAnsiTheme="minorBidi" w:cstheme="minorBidi"/>
          <w:color w:val="000000"/>
          <w:sz w:val="22"/>
          <w:szCs w:val="22"/>
          <w:vertAlign w:val="superscript"/>
        </w:rPr>
        <w:t>-1</w:t>
      </w:r>
      <w:r>
        <w:rPr>
          <w:rFonts w:asciiTheme="minorBidi" w:hAnsiTheme="minorBidi" w:cstheme="minorBidi"/>
          <w:color w:val="000000"/>
          <w:sz w:val="22"/>
          <w:szCs w:val="22"/>
        </w:rPr>
        <w:t xml:space="preserve">, root length </w:t>
      </w:r>
      <w:bookmarkStart w:id="0" w:name="_Hlk210559440"/>
      <w:r>
        <w:rPr>
          <w:rFonts w:asciiTheme="minorBidi" w:hAnsiTheme="minorBidi" w:cstheme="minorBidi"/>
          <w:color w:val="000000"/>
          <w:sz w:val="22"/>
          <w:szCs w:val="22"/>
        </w:rPr>
        <w:t>plant</w:t>
      </w:r>
      <w:r>
        <w:rPr>
          <w:rFonts w:asciiTheme="minorBidi" w:hAnsiTheme="minorBidi" w:cstheme="minorBidi"/>
          <w:color w:val="000000"/>
          <w:sz w:val="22"/>
          <w:szCs w:val="22"/>
          <w:vertAlign w:val="superscript"/>
        </w:rPr>
        <w:t>-1</w:t>
      </w:r>
      <w:r>
        <w:rPr>
          <w:rFonts w:asciiTheme="minorBidi" w:hAnsiTheme="minorBidi" w:cstheme="minorBidi"/>
          <w:color w:val="000000"/>
          <w:sz w:val="22"/>
          <w:szCs w:val="22"/>
        </w:rPr>
        <w:t xml:space="preserve"> </w:t>
      </w:r>
      <w:bookmarkEnd w:id="0"/>
      <w:r>
        <w:rPr>
          <w:rFonts w:asciiTheme="minorBidi" w:hAnsiTheme="minorBidi" w:cstheme="minorBidi"/>
          <w:color w:val="000000"/>
          <w:sz w:val="22"/>
          <w:szCs w:val="22"/>
        </w:rPr>
        <w:t>(cm), shoot length (cm) plant</w:t>
      </w:r>
      <w:r>
        <w:rPr>
          <w:rFonts w:asciiTheme="minorBidi" w:hAnsiTheme="minorBidi" w:cstheme="minorBidi"/>
          <w:color w:val="000000"/>
          <w:sz w:val="22"/>
          <w:szCs w:val="22"/>
          <w:vertAlign w:val="superscript"/>
        </w:rPr>
        <w:t>-1</w:t>
      </w:r>
      <w:r>
        <w:rPr>
          <w:rFonts w:asciiTheme="minorBidi" w:hAnsiTheme="minorBidi" w:cstheme="minorBidi"/>
          <w:color w:val="000000"/>
          <w:sz w:val="22"/>
          <w:szCs w:val="22"/>
        </w:rPr>
        <w:t xml:space="preserve"> number of brunch plant</w:t>
      </w:r>
      <w:r>
        <w:rPr>
          <w:rFonts w:asciiTheme="minorBidi" w:hAnsiTheme="minorBidi" w:cstheme="minorBidi"/>
          <w:color w:val="000000"/>
          <w:sz w:val="22"/>
          <w:szCs w:val="22"/>
          <w:vertAlign w:val="superscript"/>
        </w:rPr>
        <w:t>-1</w:t>
      </w:r>
      <w:r>
        <w:rPr>
          <w:rFonts w:asciiTheme="minorBidi" w:hAnsiTheme="minorBidi" w:cstheme="minorBidi"/>
          <w:color w:val="000000"/>
          <w:sz w:val="22"/>
          <w:szCs w:val="22"/>
        </w:rPr>
        <w:t>,</w:t>
      </w:r>
      <w:r>
        <w:rPr>
          <w:rFonts w:asciiTheme="minorBidi" w:hAnsiTheme="minorBidi" w:cstheme="minorBidi"/>
          <w:sz w:val="22"/>
          <w:szCs w:val="22"/>
        </w:rPr>
        <w:t xml:space="preserve"> </w:t>
      </w:r>
      <w:r>
        <w:rPr>
          <w:rFonts w:asciiTheme="minorBidi" w:hAnsiTheme="minorBidi" w:cstheme="minorBidi"/>
          <w:color w:val="000000"/>
          <w:sz w:val="22"/>
          <w:szCs w:val="22"/>
        </w:rPr>
        <w:t>pod plant</w:t>
      </w:r>
      <w:r>
        <w:rPr>
          <w:rFonts w:asciiTheme="minorBidi" w:hAnsiTheme="minorBidi" w:cstheme="minorBidi"/>
          <w:color w:val="000000"/>
          <w:sz w:val="22"/>
          <w:szCs w:val="22"/>
          <w:vertAlign w:val="superscript"/>
        </w:rPr>
        <w:t>-1</w:t>
      </w:r>
      <w:r>
        <w:rPr>
          <w:rFonts w:asciiTheme="minorBidi" w:hAnsiTheme="minorBidi" w:cstheme="minorBidi"/>
          <w:color w:val="000000"/>
          <w:sz w:val="22"/>
          <w:szCs w:val="22"/>
        </w:rPr>
        <w:t>, yield plant</w:t>
      </w:r>
      <w:r>
        <w:rPr>
          <w:rFonts w:asciiTheme="minorBidi" w:hAnsiTheme="minorBidi" w:cstheme="minorBidi"/>
          <w:color w:val="000000"/>
          <w:sz w:val="22"/>
          <w:szCs w:val="22"/>
          <w:vertAlign w:val="superscript"/>
        </w:rPr>
        <w:t>-1</w:t>
      </w:r>
      <w:r>
        <w:rPr>
          <w:rFonts w:asciiTheme="minorBidi" w:hAnsiTheme="minorBidi" w:cstheme="minorBidi"/>
          <w:color w:val="000000"/>
          <w:sz w:val="22"/>
          <w:szCs w:val="22"/>
        </w:rPr>
        <w:t xml:space="preserve"> (gm). Data were analyzed with RStudio Software version-4.5.1.</w:t>
      </w:r>
    </w:p>
    <w:p w14:paraId="17FDBD00" w14:textId="77777777" w:rsidR="0055378D" w:rsidRDefault="0055378D">
      <w:pPr>
        <w:autoSpaceDE w:val="0"/>
        <w:autoSpaceDN w:val="0"/>
        <w:adjustRightInd w:val="0"/>
        <w:spacing w:after="160" w:line="276" w:lineRule="auto"/>
        <w:jc w:val="center"/>
        <w:rPr>
          <w:rFonts w:asciiTheme="minorBidi" w:hAnsiTheme="minorBidi" w:cstheme="minorBidi"/>
          <w:b/>
          <w:bCs/>
          <w:sz w:val="22"/>
          <w:szCs w:val="22"/>
        </w:rPr>
      </w:pPr>
    </w:p>
    <w:p w14:paraId="7C486816" w14:textId="77777777" w:rsidR="0055378D" w:rsidRDefault="00883CD5">
      <w:pPr>
        <w:autoSpaceDE w:val="0"/>
        <w:autoSpaceDN w:val="0"/>
        <w:adjustRightInd w:val="0"/>
        <w:spacing w:after="160" w:line="276" w:lineRule="auto"/>
        <w:jc w:val="center"/>
        <w:rPr>
          <w:rFonts w:asciiTheme="minorBidi" w:hAnsiTheme="minorBidi" w:cstheme="minorBidi"/>
          <w:b/>
          <w:bCs/>
          <w:sz w:val="22"/>
          <w:szCs w:val="22"/>
        </w:rPr>
      </w:pPr>
      <w:r>
        <w:rPr>
          <w:rFonts w:asciiTheme="minorBidi" w:hAnsiTheme="minorBidi" w:cstheme="minorBidi"/>
          <w:b/>
          <w:bCs/>
          <w:sz w:val="22"/>
          <w:szCs w:val="22"/>
        </w:rPr>
        <w:t>Results and Discussion</w:t>
      </w:r>
    </w:p>
    <w:p w14:paraId="00CE11F3" w14:textId="77777777" w:rsidR="0055378D" w:rsidRDefault="00883CD5">
      <w:pPr>
        <w:spacing w:line="276" w:lineRule="auto"/>
        <w:jc w:val="both"/>
        <w:rPr>
          <w:rFonts w:asciiTheme="minorBidi" w:hAnsiTheme="minorBidi" w:cstheme="minorBidi"/>
          <w:sz w:val="22"/>
          <w:szCs w:val="22"/>
        </w:rPr>
      </w:pPr>
      <w:r>
        <w:rPr>
          <w:rFonts w:asciiTheme="minorBidi" w:hAnsiTheme="minorBidi" w:cstheme="minorBidi"/>
          <w:sz w:val="22"/>
          <w:szCs w:val="22"/>
        </w:rPr>
        <w:t xml:space="preserve">A number of 10 </w:t>
      </w:r>
      <w:proofErr w:type="spellStart"/>
      <w:r>
        <w:rPr>
          <w:rFonts w:asciiTheme="minorBidi" w:hAnsiTheme="minorBidi" w:cstheme="minorBidi"/>
          <w:i/>
          <w:iCs/>
          <w:sz w:val="22"/>
          <w:szCs w:val="22"/>
        </w:rPr>
        <w:t>Bradyrhizobial</w:t>
      </w:r>
      <w:proofErr w:type="spellEnd"/>
      <w:r>
        <w:rPr>
          <w:rFonts w:asciiTheme="minorBidi" w:hAnsiTheme="minorBidi" w:cstheme="minorBidi"/>
          <w:sz w:val="22"/>
          <w:szCs w:val="22"/>
        </w:rPr>
        <w:t xml:space="preserve"> strains were isolated from root nodules of groundnut grown in saline soils of </w:t>
      </w:r>
      <w:proofErr w:type="spellStart"/>
      <w:r>
        <w:rPr>
          <w:rFonts w:asciiTheme="minorBidi" w:hAnsiTheme="minorBidi" w:cstheme="minorBidi"/>
          <w:sz w:val="22"/>
          <w:szCs w:val="22"/>
        </w:rPr>
        <w:t>Satkhira</w:t>
      </w:r>
      <w:proofErr w:type="spellEnd"/>
      <w:r>
        <w:rPr>
          <w:rFonts w:asciiTheme="minorBidi" w:hAnsiTheme="minorBidi" w:cstheme="minorBidi"/>
          <w:sz w:val="22"/>
          <w:szCs w:val="22"/>
        </w:rPr>
        <w:t xml:space="preserve"> and Noakhali. The isolates were round shaped colonies with short rod type bacterial cell and all were gram negative in gram reaction. The isolated strains were found alkali producer and showed no growth on GPA. The strains were found salinity tolerance (Table 1) from 2.5 to 7.0 </w:t>
      </w:r>
      <w:proofErr w:type="spellStart"/>
      <w:r>
        <w:rPr>
          <w:rFonts w:asciiTheme="minorBidi" w:hAnsiTheme="minorBidi" w:cstheme="minorBidi"/>
          <w:sz w:val="22"/>
          <w:szCs w:val="22"/>
        </w:rPr>
        <w:t>dS</w:t>
      </w:r>
      <w:proofErr w:type="spellEnd"/>
      <w:r>
        <w:rPr>
          <w:rFonts w:asciiTheme="minorBidi" w:hAnsiTheme="minorBidi" w:cstheme="minorBidi"/>
          <w:sz w:val="22"/>
          <w:szCs w:val="22"/>
        </w:rPr>
        <w:t xml:space="preserve">. Most of the strains were salinity tolerant at 7 </w:t>
      </w:r>
      <w:proofErr w:type="spellStart"/>
      <w:r>
        <w:rPr>
          <w:rFonts w:asciiTheme="minorBidi" w:hAnsiTheme="minorBidi" w:cstheme="minorBidi"/>
          <w:sz w:val="22"/>
          <w:szCs w:val="22"/>
        </w:rPr>
        <w:t>dS</w:t>
      </w:r>
      <w:proofErr w:type="spellEnd"/>
      <w:r>
        <w:rPr>
          <w:rFonts w:asciiTheme="minorBidi" w:hAnsiTheme="minorBidi" w:cstheme="minorBidi"/>
          <w:sz w:val="22"/>
          <w:szCs w:val="22"/>
        </w:rPr>
        <w:t xml:space="preserve"> except STGN-2, STGN-7, STGN-8 (2.0, 3.5, 3.0). The strains could grow in the temperature of 15</w:t>
      </w:r>
      <w:r>
        <w:rPr>
          <w:rFonts w:asciiTheme="minorBidi" w:hAnsiTheme="minorBidi" w:cstheme="minorBidi"/>
          <w:sz w:val="22"/>
          <w:szCs w:val="22"/>
          <w:vertAlign w:val="superscript"/>
        </w:rPr>
        <w:t>0</w:t>
      </w:r>
      <w:r>
        <w:rPr>
          <w:rFonts w:asciiTheme="minorBidi" w:hAnsiTheme="minorBidi" w:cstheme="minorBidi"/>
          <w:sz w:val="22"/>
          <w:szCs w:val="22"/>
        </w:rPr>
        <w:t>C to 42</w:t>
      </w:r>
      <w:r>
        <w:rPr>
          <w:rFonts w:asciiTheme="minorBidi" w:hAnsiTheme="minorBidi" w:cstheme="minorBidi"/>
          <w:sz w:val="22"/>
          <w:szCs w:val="22"/>
          <w:vertAlign w:val="superscript"/>
        </w:rPr>
        <w:t>0</w:t>
      </w:r>
      <w:r>
        <w:rPr>
          <w:rFonts w:asciiTheme="minorBidi" w:hAnsiTheme="minorBidi" w:cstheme="minorBidi"/>
          <w:sz w:val="22"/>
          <w:szCs w:val="22"/>
        </w:rPr>
        <w:t>C. Some strains (STGN-1, STGN-3, STGN-4, STGN-6, STGN-9, STGN-10) showed a trace amount of Indole acetic acid (IAA) production and all were identified as</w:t>
      </w:r>
      <w:r>
        <w:rPr>
          <w:rFonts w:asciiTheme="minorBidi" w:hAnsiTheme="minorBidi" w:cstheme="minorBidi"/>
          <w:i/>
          <w:iCs/>
          <w:sz w:val="22"/>
          <w:szCs w:val="22"/>
        </w:rPr>
        <w:t xml:space="preserve"> </w:t>
      </w:r>
      <w:proofErr w:type="spellStart"/>
      <w:r>
        <w:rPr>
          <w:rFonts w:asciiTheme="minorBidi" w:hAnsiTheme="minorBidi" w:cstheme="minorBidi"/>
          <w:i/>
          <w:iCs/>
          <w:sz w:val="22"/>
          <w:szCs w:val="22"/>
        </w:rPr>
        <w:t>Bradyrhizobium</w:t>
      </w:r>
      <w:proofErr w:type="spellEnd"/>
      <w:r>
        <w:rPr>
          <w:rFonts w:asciiTheme="minorBidi" w:hAnsiTheme="minorBidi" w:cstheme="minorBidi"/>
          <w:i/>
          <w:iCs/>
          <w:sz w:val="22"/>
          <w:szCs w:val="22"/>
        </w:rPr>
        <w:t xml:space="preserve"> sp. </w:t>
      </w:r>
      <w:r>
        <w:rPr>
          <w:rFonts w:asciiTheme="minorBidi" w:hAnsiTheme="minorBidi" w:cstheme="minorBidi"/>
          <w:sz w:val="22"/>
          <w:szCs w:val="22"/>
        </w:rPr>
        <w:t xml:space="preserve">based on their growth and colony morphology. Among them, 8 isolates were placed for pod experiment.  </w:t>
      </w:r>
    </w:p>
    <w:p w14:paraId="7C9357CA" w14:textId="77777777" w:rsidR="0055378D" w:rsidRDefault="0055378D">
      <w:pPr>
        <w:spacing w:line="276" w:lineRule="auto"/>
        <w:jc w:val="both"/>
        <w:rPr>
          <w:rFonts w:asciiTheme="minorBidi" w:hAnsiTheme="minorBidi" w:cstheme="minorBidi"/>
          <w:sz w:val="22"/>
          <w:szCs w:val="22"/>
        </w:rPr>
      </w:pPr>
    </w:p>
    <w:p w14:paraId="3B9BC949" w14:textId="77777777" w:rsidR="0055378D" w:rsidRDefault="00883CD5">
      <w:pPr>
        <w:ind w:left="900" w:hanging="900"/>
        <w:rPr>
          <w:rFonts w:ascii="Arial" w:hAnsi="Arial" w:cs="Arial"/>
          <w:b/>
          <w:sz w:val="22"/>
          <w:szCs w:val="22"/>
        </w:rPr>
      </w:pPr>
      <w:r>
        <w:rPr>
          <w:rFonts w:asciiTheme="minorBidi" w:hAnsiTheme="minorBidi" w:cstheme="minorBidi"/>
          <w:b/>
          <w:sz w:val="22"/>
          <w:szCs w:val="22"/>
        </w:rPr>
        <w:t>T</w:t>
      </w:r>
      <w:r>
        <w:rPr>
          <w:rFonts w:ascii="Arial" w:hAnsi="Arial" w:cs="Arial"/>
          <w:b/>
          <w:sz w:val="22"/>
          <w:szCs w:val="22"/>
        </w:rPr>
        <w:t>able 1. Biochemical characterization of salinity tolerant rhizobia strains/isolated of groundnut from saline areas</w:t>
      </w:r>
    </w:p>
    <w:p w14:paraId="6285BFEC" w14:textId="77777777" w:rsidR="0055378D" w:rsidRDefault="0055378D">
      <w:pPr>
        <w:ind w:left="900" w:hanging="900"/>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7"/>
        <w:gridCol w:w="1433"/>
        <w:gridCol w:w="1615"/>
        <w:gridCol w:w="1594"/>
        <w:gridCol w:w="1351"/>
        <w:gridCol w:w="1606"/>
      </w:tblGrid>
      <w:tr w:rsidR="0055378D" w14:paraId="6B62E2EE" w14:textId="77777777">
        <w:tc>
          <w:tcPr>
            <w:tcW w:w="438" w:type="pct"/>
            <w:tcBorders>
              <w:top w:val="single" w:sz="4" w:space="0" w:color="auto"/>
              <w:bottom w:val="single" w:sz="4" w:space="0" w:color="auto"/>
              <w:right w:val="single" w:sz="4" w:space="0" w:color="auto"/>
            </w:tcBorders>
          </w:tcPr>
          <w:p w14:paraId="4020A8BC" w14:textId="77777777" w:rsidR="0055378D" w:rsidRDefault="00883CD5">
            <w:pPr>
              <w:jc w:val="center"/>
              <w:rPr>
                <w:rFonts w:ascii="Arial" w:hAnsi="Arial" w:cs="Arial"/>
                <w:bCs/>
                <w:sz w:val="20"/>
                <w:szCs w:val="20"/>
              </w:rPr>
            </w:pPr>
            <w:r>
              <w:rPr>
                <w:rFonts w:ascii="Arial" w:hAnsi="Arial" w:cs="Arial"/>
                <w:bCs/>
                <w:sz w:val="20"/>
                <w:szCs w:val="20"/>
              </w:rPr>
              <w:t>Sl. No.</w:t>
            </w:r>
          </w:p>
        </w:tc>
        <w:tc>
          <w:tcPr>
            <w:tcW w:w="881" w:type="pct"/>
            <w:tcBorders>
              <w:top w:val="single" w:sz="4" w:space="0" w:color="auto"/>
              <w:left w:val="single" w:sz="4" w:space="0" w:color="auto"/>
              <w:bottom w:val="single" w:sz="4" w:space="0" w:color="auto"/>
              <w:right w:val="single" w:sz="4" w:space="0" w:color="auto"/>
            </w:tcBorders>
          </w:tcPr>
          <w:p w14:paraId="3FF612A2" w14:textId="77777777" w:rsidR="0055378D" w:rsidRDefault="00883CD5">
            <w:pPr>
              <w:jc w:val="center"/>
              <w:rPr>
                <w:rFonts w:ascii="Arial" w:hAnsi="Arial" w:cs="Arial"/>
                <w:bCs/>
                <w:sz w:val="20"/>
                <w:szCs w:val="20"/>
              </w:rPr>
            </w:pPr>
            <w:r>
              <w:rPr>
                <w:rFonts w:ascii="Arial" w:hAnsi="Arial" w:cs="Arial"/>
                <w:bCs/>
                <w:sz w:val="20"/>
                <w:szCs w:val="20"/>
              </w:rPr>
              <w:t>Rhizobia isolates</w:t>
            </w:r>
          </w:p>
        </w:tc>
        <w:tc>
          <w:tcPr>
            <w:tcW w:w="991" w:type="pct"/>
            <w:tcBorders>
              <w:top w:val="single" w:sz="4" w:space="0" w:color="auto"/>
              <w:left w:val="single" w:sz="4" w:space="0" w:color="auto"/>
              <w:bottom w:val="single" w:sz="4" w:space="0" w:color="auto"/>
              <w:right w:val="single" w:sz="4" w:space="0" w:color="auto"/>
            </w:tcBorders>
          </w:tcPr>
          <w:p w14:paraId="5E359EA0" w14:textId="77777777" w:rsidR="0055378D" w:rsidRDefault="00883CD5">
            <w:pPr>
              <w:jc w:val="center"/>
              <w:rPr>
                <w:rFonts w:ascii="Arial" w:hAnsi="Arial" w:cs="Arial"/>
                <w:bCs/>
                <w:sz w:val="20"/>
                <w:szCs w:val="20"/>
              </w:rPr>
            </w:pPr>
            <w:r>
              <w:rPr>
                <w:rFonts w:ascii="Arial" w:hAnsi="Arial" w:cs="Arial"/>
                <w:bCs/>
                <w:sz w:val="20"/>
                <w:szCs w:val="20"/>
              </w:rPr>
              <w:t xml:space="preserve">Salinity tolerance </w:t>
            </w:r>
          </w:p>
          <w:p w14:paraId="4A134ECB" w14:textId="77777777" w:rsidR="0055378D" w:rsidRDefault="00883CD5">
            <w:pPr>
              <w:jc w:val="center"/>
              <w:rPr>
                <w:rFonts w:ascii="Arial" w:hAnsi="Arial" w:cs="Arial"/>
                <w:bCs/>
                <w:sz w:val="20"/>
                <w:szCs w:val="20"/>
              </w:rPr>
            </w:pPr>
            <w:proofErr w:type="spellStart"/>
            <w:r>
              <w:rPr>
                <w:rFonts w:ascii="Arial" w:hAnsi="Arial" w:cs="Arial"/>
                <w:bCs/>
                <w:sz w:val="20"/>
                <w:szCs w:val="20"/>
              </w:rPr>
              <w:t>dS</w:t>
            </w:r>
            <w:proofErr w:type="spellEnd"/>
          </w:p>
        </w:tc>
        <w:tc>
          <w:tcPr>
            <w:tcW w:w="978" w:type="pct"/>
            <w:tcBorders>
              <w:top w:val="single" w:sz="4" w:space="0" w:color="auto"/>
              <w:left w:val="single" w:sz="4" w:space="0" w:color="auto"/>
              <w:bottom w:val="single" w:sz="4" w:space="0" w:color="auto"/>
              <w:right w:val="single" w:sz="4" w:space="0" w:color="auto"/>
            </w:tcBorders>
          </w:tcPr>
          <w:p w14:paraId="61C2A673" w14:textId="77777777" w:rsidR="0055378D" w:rsidRDefault="00883CD5">
            <w:pPr>
              <w:jc w:val="center"/>
              <w:rPr>
                <w:rFonts w:ascii="Arial" w:hAnsi="Arial" w:cs="Arial"/>
                <w:bCs/>
                <w:sz w:val="20"/>
                <w:szCs w:val="20"/>
              </w:rPr>
            </w:pPr>
            <w:r>
              <w:rPr>
                <w:rFonts w:ascii="Arial" w:hAnsi="Arial" w:cs="Arial"/>
                <w:bCs/>
                <w:sz w:val="20"/>
                <w:szCs w:val="20"/>
              </w:rPr>
              <w:t>Growth in different Temp. conditions (</w:t>
            </w:r>
            <w:r>
              <w:rPr>
                <w:rFonts w:ascii="Arial" w:hAnsi="Arial" w:cs="Arial"/>
                <w:bCs/>
                <w:sz w:val="20"/>
                <w:szCs w:val="20"/>
                <w:vertAlign w:val="superscript"/>
              </w:rPr>
              <w:t>0</w:t>
            </w:r>
            <w:r>
              <w:rPr>
                <w:rFonts w:ascii="Arial" w:hAnsi="Arial" w:cs="Arial"/>
                <w:bCs/>
                <w:sz w:val="20"/>
                <w:szCs w:val="20"/>
              </w:rPr>
              <w:t>C)</w:t>
            </w:r>
          </w:p>
        </w:tc>
        <w:tc>
          <w:tcPr>
            <w:tcW w:w="832" w:type="pct"/>
            <w:tcBorders>
              <w:top w:val="single" w:sz="4" w:space="0" w:color="auto"/>
              <w:left w:val="single" w:sz="4" w:space="0" w:color="auto"/>
              <w:bottom w:val="single" w:sz="4" w:space="0" w:color="auto"/>
              <w:right w:val="single" w:sz="4" w:space="0" w:color="auto"/>
            </w:tcBorders>
          </w:tcPr>
          <w:p w14:paraId="0378686A" w14:textId="77777777" w:rsidR="0055378D" w:rsidRDefault="00883CD5">
            <w:pPr>
              <w:jc w:val="center"/>
              <w:rPr>
                <w:rFonts w:ascii="Arial" w:hAnsi="Arial" w:cs="Arial"/>
                <w:bCs/>
                <w:sz w:val="20"/>
                <w:szCs w:val="20"/>
              </w:rPr>
            </w:pPr>
            <w:r>
              <w:rPr>
                <w:rFonts w:ascii="Arial" w:hAnsi="Arial" w:cs="Arial"/>
                <w:bCs/>
                <w:sz w:val="20"/>
                <w:szCs w:val="20"/>
              </w:rPr>
              <w:t>IAA production</w:t>
            </w:r>
          </w:p>
        </w:tc>
        <w:tc>
          <w:tcPr>
            <w:tcW w:w="881" w:type="pct"/>
            <w:tcBorders>
              <w:top w:val="single" w:sz="4" w:space="0" w:color="auto"/>
              <w:left w:val="single" w:sz="4" w:space="0" w:color="auto"/>
              <w:bottom w:val="single" w:sz="4" w:space="0" w:color="auto"/>
            </w:tcBorders>
          </w:tcPr>
          <w:p w14:paraId="3D4A6DCB" w14:textId="77777777" w:rsidR="0055378D" w:rsidRDefault="00883CD5">
            <w:pPr>
              <w:jc w:val="center"/>
              <w:rPr>
                <w:rFonts w:ascii="Arial" w:hAnsi="Arial" w:cs="Arial"/>
                <w:bCs/>
                <w:sz w:val="20"/>
                <w:szCs w:val="20"/>
              </w:rPr>
            </w:pPr>
            <w:r>
              <w:rPr>
                <w:rFonts w:ascii="Arial" w:hAnsi="Arial" w:cs="Arial"/>
                <w:bCs/>
                <w:sz w:val="20"/>
                <w:szCs w:val="20"/>
              </w:rPr>
              <w:t xml:space="preserve">Species of </w:t>
            </w:r>
            <w:r>
              <w:rPr>
                <w:rFonts w:ascii="Arial" w:hAnsi="Arial" w:cs="Arial"/>
                <w:bCs/>
                <w:i/>
                <w:iCs/>
                <w:sz w:val="20"/>
                <w:szCs w:val="20"/>
              </w:rPr>
              <w:t>Rhizobium</w:t>
            </w:r>
          </w:p>
        </w:tc>
      </w:tr>
      <w:tr w:rsidR="0055378D" w14:paraId="7E49E73F" w14:textId="77777777">
        <w:tc>
          <w:tcPr>
            <w:tcW w:w="438" w:type="pct"/>
            <w:tcBorders>
              <w:top w:val="single" w:sz="4" w:space="0" w:color="auto"/>
              <w:bottom w:val="nil"/>
              <w:right w:val="single" w:sz="4" w:space="0" w:color="auto"/>
            </w:tcBorders>
          </w:tcPr>
          <w:p w14:paraId="4BA8AAAA" w14:textId="77777777" w:rsidR="0055378D" w:rsidRDefault="00883CD5">
            <w:pPr>
              <w:jc w:val="center"/>
              <w:rPr>
                <w:rFonts w:ascii="Arial" w:hAnsi="Arial" w:cs="Arial"/>
                <w:sz w:val="20"/>
                <w:szCs w:val="20"/>
              </w:rPr>
            </w:pPr>
            <w:r>
              <w:rPr>
                <w:rFonts w:ascii="Arial" w:hAnsi="Arial" w:cs="Arial"/>
                <w:sz w:val="20"/>
                <w:szCs w:val="20"/>
              </w:rPr>
              <w:t>1</w:t>
            </w:r>
          </w:p>
        </w:tc>
        <w:tc>
          <w:tcPr>
            <w:tcW w:w="881" w:type="pct"/>
            <w:tcBorders>
              <w:top w:val="single" w:sz="4" w:space="0" w:color="auto"/>
              <w:left w:val="single" w:sz="4" w:space="0" w:color="auto"/>
            </w:tcBorders>
          </w:tcPr>
          <w:p w14:paraId="20A80C4F" w14:textId="77777777" w:rsidR="0055378D" w:rsidRDefault="00883CD5">
            <w:pPr>
              <w:jc w:val="center"/>
              <w:rPr>
                <w:rFonts w:ascii="Arial" w:hAnsi="Arial" w:cs="Arial"/>
                <w:sz w:val="20"/>
                <w:szCs w:val="20"/>
              </w:rPr>
            </w:pPr>
            <w:r>
              <w:rPr>
                <w:rFonts w:ascii="Arial" w:hAnsi="Arial" w:cs="Arial"/>
                <w:sz w:val="20"/>
                <w:szCs w:val="20"/>
              </w:rPr>
              <w:t>STGN-1</w:t>
            </w:r>
          </w:p>
        </w:tc>
        <w:tc>
          <w:tcPr>
            <w:tcW w:w="991" w:type="pct"/>
            <w:tcBorders>
              <w:top w:val="single" w:sz="4" w:space="0" w:color="auto"/>
            </w:tcBorders>
          </w:tcPr>
          <w:p w14:paraId="69ECF04A"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Borders>
              <w:top w:val="single" w:sz="4" w:space="0" w:color="auto"/>
            </w:tcBorders>
          </w:tcPr>
          <w:p w14:paraId="41CB2C90" w14:textId="77777777" w:rsidR="0055378D" w:rsidRDefault="00883CD5">
            <w:pPr>
              <w:jc w:val="center"/>
              <w:rPr>
                <w:rFonts w:ascii="Arial" w:hAnsi="Arial" w:cs="Arial"/>
                <w:sz w:val="20"/>
                <w:szCs w:val="20"/>
              </w:rPr>
            </w:pPr>
            <w:r>
              <w:rPr>
                <w:rFonts w:ascii="Arial" w:hAnsi="Arial" w:cs="Arial"/>
                <w:sz w:val="20"/>
                <w:szCs w:val="20"/>
              </w:rPr>
              <w:t>36</w:t>
            </w:r>
          </w:p>
        </w:tc>
        <w:tc>
          <w:tcPr>
            <w:tcW w:w="832" w:type="pct"/>
            <w:tcBorders>
              <w:top w:val="single" w:sz="4" w:space="0" w:color="auto"/>
            </w:tcBorders>
          </w:tcPr>
          <w:p w14:paraId="2A795672" w14:textId="77777777" w:rsidR="0055378D" w:rsidRDefault="00883CD5">
            <w:pPr>
              <w:jc w:val="center"/>
              <w:rPr>
                <w:rFonts w:ascii="Arial" w:hAnsi="Arial" w:cs="Arial"/>
                <w:sz w:val="20"/>
                <w:szCs w:val="20"/>
              </w:rPr>
            </w:pPr>
            <w:r>
              <w:rPr>
                <w:rFonts w:ascii="Arial" w:hAnsi="Arial" w:cs="Arial"/>
                <w:sz w:val="20"/>
                <w:szCs w:val="20"/>
              </w:rPr>
              <w:t>trace</w:t>
            </w:r>
          </w:p>
        </w:tc>
        <w:tc>
          <w:tcPr>
            <w:tcW w:w="881" w:type="pct"/>
            <w:tcBorders>
              <w:top w:val="single" w:sz="4" w:space="0" w:color="auto"/>
            </w:tcBorders>
          </w:tcPr>
          <w:p w14:paraId="0BF62DDB"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56935B1C" w14:textId="77777777">
        <w:tc>
          <w:tcPr>
            <w:tcW w:w="438" w:type="pct"/>
            <w:tcBorders>
              <w:top w:val="nil"/>
              <w:bottom w:val="nil"/>
              <w:right w:val="single" w:sz="4" w:space="0" w:color="auto"/>
            </w:tcBorders>
          </w:tcPr>
          <w:p w14:paraId="74396108" w14:textId="77777777" w:rsidR="0055378D" w:rsidRDefault="00883CD5">
            <w:pPr>
              <w:jc w:val="center"/>
              <w:rPr>
                <w:rFonts w:ascii="Arial" w:hAnsi="Arial" w:cs="Arial"/>
                <w:sz w:val="20"/>
                <w:szCs w:val="20"/>
              </w:rPr>
            </w:pPr>
            <w:r>
              <w:rPr>
                <w:rFonts w:ascii="Arial" w:hAnsi="Arial" w:cs="Arial"/>
                <w:sz w:val="20"/>
                <w:szCs w:val="20"/>
              </w:rPr>
              <w:t>2</w:t>
            </w:r>
          </w:p>
        </w:tc>
        <w:tc>
          <w:tcPr>
            <w:tcW w:w="881" w:type="pct"/>
            <w:tcBorders>
              <w:left w:val="single" w:sz="4" w:space="0" w:color="auto"/>
            </w:tcBorders>
          </w:tcPr>
          <w:p w14:paraId="584C6791" w14:textId="77777777" w:rsidR="0055378D" w:rsidRDefault="00883CD5">
            <w:pPr>
              <w:jc w:val="center"/>
              <w:rPr>
                <w:rFonts w:ascii="Arial" w:hAnsi="Arial" w:cs="Arial"/>
                <w:sz w:val="20"/>
                <w:szCs w:val="20"/>
              </w:rPr>
            </w:pPr>
            <w:r>
              <w:rPr>
                <w:rFonts w:ascii="Arial" w:hAnsi="Arial" w:cs="Arial"/>
                <w:sz w:val="20"/>
                <w:szCs w:val="20"/>
              </w:rPr>
              <w:t>STGN-2</w:t>
            </w:r>
          </w:p>
        </w:tc>
        <w:tc>
          <w:tcPr>
            <w:tcW w:w="991" w:type="pct"/>
          </w:tcPr>
          <w:p w14:paraId="062E02AA" w14:textId="77777777" w:rsidR="0055378D" w:rsidRDefault="00883CD5">
            <w:pPr>
              <w:jc w:val="center"/>
              <w:rPr>
                <w:rFonts w:ascii="Arial" w:hAnsi="Arial" w:cs="Arial"/>
                <w:sz w:val="20"/>
                <w:szCs w:val="20"/>
              </w:rPr>
            </w:pPr>
            <w:r>
              <w:rPr>
                <w:rFonts w:ascii="Arial" w:hAnsi="Arial" w:cs="Arial"/>
                <w:sz w:val="20"/>
                <w:szCs w:val="20"/>
              </w:rPr>
              <w:t>2.0</w:t>
            </w:r>
          </w:p>
        </w:tc>
        <w:tc>
          <w:tcPr>
            <w:tcW w:w="978" w:type="pct"/>
          </w:tcPr>
          <w:p w14:paraId="2E28F732" w14:textId="77777777" w:rsidR="0055378D" w:rsidRDefault="00883CD5">
            <w:pPr>
              <w:jc w:val="center"/>
              <w:rPr>
                <w:rFonts w:ascii="Arial" w:hAnsi="Arial" w:cs="Arial"/>
                <w:sz w:val="20"/>
                <w:szCs w:val="20"/>
              </w:rPr>
            </w:pPr>
            <w:r>
              <w:rPr>
                <w:rFonts w:ascii="Arial" w:hAnsi="Arial" w:cs="Arial"/>
                <w:sz w:val="20"/>
                <w:szCs w:val="20"/>
              </w:rPr>
              <w:t>15</w:t>
            </w:r>
          </w:p>
        </w:tc>
        <w:tc>
          <w:tcPr>
            <w:tcW w:w="832" w:type="pct"/>
          </w:tcPr>
          <w:p w14:paraId="749FFEEB" w14:textId="77777777" w:rsidR="0055378D" w:rsidRDefault="00883CD5">
            <w:pPr>
              <w:jc w:val="center"/>
              <w:rPr>
                <w:rFonts w:ascii="Arial" w:hAnsi="Arial" w:cs="Arial"/>
                <w:sz w:val="20"/>
                <w:szCs w:val="20"/>
              </w:rPr>
            </w:pPr>
            <w:r>
              <w:rPr>
                <w:rFonts w:ascii="Arial" w:hAnsi="Arial" w:cs="Arial"/>
                <w:sz w:val="20"/>
                <w:szCs w:val="20"/>
              </w:rPr>
              <w:t>-</w:t>
            </w:r>
          </w:p>
        </w:tc>
        <w:tc>
          <w:tcPr>
            <w:tcW w:w="881" w:type="pct"/>
          </w:tcPr>
          <w:p w14:paraId="390381B2"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090435D8" w14:textId="77777777">
        <w:tc>
          <w:tcPr>
            <w:tcW w:w="438" w:type="pct"/>
            <w:tcBorders>
              <w:top w:val="nil"/>
              <w:bottom w:val="nil"/>
              <w:right w:val="single" w:sz="4" w:space="0" w:color="auto"/>
            </w:tcBorders>
          </w:tcPr>
          <w:p w14:paraId="6E1B2C04" w14:textId="77777777" w:rsidR="0055378D" w:rsidRDefault="00883CD5">
            <w:pPr>
              <w:jc w:val="center"/>
              <w:rPr>
                <w:rFonts w:ascii="Arial" w:hAnsi="Arial" w:cs="Arial"/>
                <w:sz w:val="20"/>
                <w:szCs w:val="20"/>
              </w:rPr>
            </w:pPr>
            <w:r>
              <w:rPr>
                <w:rFonts w:ascii="Arial" w:hAnsi="Arial" w:cs="Arial"/>
                <w:sz w:val="20"/>
                <w:szCs w:val="20"/>
              </w:rPr>
              <w:t>3</w:t>
            </w:r>
          </w:p>
        </w:tc>
        <w:tc>
          <w:tcPr>
            <w:tcW w:w="881" w:type="pct"/>
            <w:tcBorders>
              <w:left w:val="single" w:sz="4" w:space="0" w:color="auto"/>
            </w:tcBorders>
          </w:tcPr>
          <w:p w14:paraId="23749668" w14:textId="77777777" w:rsidR="0055378D" w:rsidRDefault="00883CD5">
            <w:pPr>
              <w:jc w:val="center"/>
              <w:rPr>
                <w:rFonts w:ascii="Arial" w:hAnsi="Arial" w:cs="Arial"/>
                <w:sz w:val="20"/>
                <w:szCs w:val="20"/>
              </w:rPr>
            </w:pPr>
            <w:r>
              <w:rPr>
                <w:rFonts w:ascii="Arial" w:hAnsi="Arial" w:cs="Arial"/>
                <w:sz w:val="20"/>
                <w:szCs w:val="20"/>
              </w:rPr>
              <w:t>STGN-3</w:t>
            </w:r>
          </w:p>
        </w:tc>
        <w:tc>
          <w:tcPr>
            <w:tcW w:w="991" w:type="pct"/>
          </w:tcPr>
          <w:p w14:paraId="4ABADE7C"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Pr>
          <w:p w14:paraId="7DF6188E" w14:textId="77777777" w:rsidR="0055378D" w:rsidRDefault="00883CD5">
            <w:pPr>
              <w:jc w:val="center"/>
              <w:rPr>
                <w:rFonts w:ascii="Arial" w:hAnsi="Arial" w:cs="Arial"/>
                <w:sz w:val="20"/>
                <w:szCs w:val="20"/>
              </w:rPr>
            </w:pPr>
            <w:r>
              <w:rPr>
                <w:rFonts w:ascii="Arial" w:hAnsi="Arial" w:cs="Arial"/>
                <w:sz w:val="20"/>
                <w:szCs w:val="20"/>
              </w:rPr>
              <w:t>32</w:t>
            </w:r>
          </w:p>
        </w:tc>
        <w:tc>
          <w:tcPr>
            <w:tcW w:w="832" w:type="pct"/>
          </w:tcPr>
          <w:p w14:paraId="6518F3CC" w14:textId="77777777" w:rsidR="0055378D" w:rsidRDefault="00883CD5">
            <w:pPr>
              <w:jc w:val="center"/>
              <w:rPr>
                <w:rFonts w:ascii="Arial" w:hAnsi="Arial" w:cs="Arial"/>
                <w:sz w:val="20"/>
                <w:szCs w:val="20"/>
              </w:rPr>
            </w:pPr>
            <w:r>
              <w:rPr>
                <w:rFonts w:ascii="Arial" w:hAnsi="Arial" w:cs="Arial"/>
                <w:sz w:val="20"/>
                <w:szCs w:val="20"/>
              </w:rPr>
              <w:t>trace</w:t>
            </w:r>
          </w:p>
        </w:tc>
        <w:tc>
          <w:tcPr>
            <w:tcW w:w="881" w:type="pct"/>
          </w:tcPr>
          <w:p w14:paraId="094DCED3"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59FA3310" w14:textId="77777777">
        <w:tc>
          <w:tcPr>
            <w:tcW w:w="438" w:type="pct"/>
            <w:tcBorders>
              <w:top w:val="nil"/>
              <w:bottom w:val="nil"/>
              <w:right w:val="single" w:sz="4" w:space="0" w:color="auto"/>
            </w:tcBorders>
          </w:tcPr>
          <w:p w14:paraId="019253FF" w14:textId="77777777" w:rsidR="0055378D" w:rsidRDefault="00883CD5">
            <w:pPr>
              <w:jc w:val="center"/>
              <w:rPr>
                <w:rFonts w:ascii="Arial" w:hAnsi="Arial" w:cs="Arial"/>
                <w:sz w:val="20"/>
                <w:szCs w:val="20"/>
              </w:rPr>
            </w:pPr>
            <w:r>
              <w:rPr>
                <w:rFonts w:ascii="Arial" w:hAnsi="Arial" w:cs="Arial"/>
                <w:sz w:val="20"/>
                <w:szCs w:val="20"/>
              </w:rPr>
              <w:t>4</w:t>
            </w:r>
          </w:p>
        </w:tc>
        <w:tc>
          <w:tcPr>
            <w:tcW w:w="881" w:type="pct"/>
            <w:tcBorders>
              <w:left w:val="single" w:sz="4" w:space="0" w:color="auto"/>
            </w:tcBorders>
          </w:tcPr>
          <w:p w14:paraId="65AD1DC6" w14:textId="77777777" w:rsidR="0055378D" w:rsidRDefault="00883CD5">
            <w:pPr>
              <w:jc w:val="center"/>
              <w:rPr>
                <w:rFonts w:ascii="Arial" w:hAnsi="Arial" w:cs="Arial"/>
                <w:sz w:val="20"/>
                <w:szCs w:val="20"/>
              </w:rPr>
            </w:pPr>
            <w:r>
              <w:rPr>
                <w:rFonts w:ascii="Arial" w:hAnsi="Arial" w:cs="Arial"/>
                <w:sz w:val="20"/>
                <w:szCs w:val="20"/>
              </w:rPr>
              <w:t>STGN-4</w:t>
            </w:r>
          </w:p>
        </w:tc>
        <w:tc>
          <w:tcPr>
            <w:tcW w:w="991" w:type="pct"/>
          </w:tcPr>
          <w:p w14:paraId="3D5C215A"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Pr>
          <w:p w14:paraId="127858A2" w14:textId="77777777" w:rsidR="0055378D" w:rsidRDefault="00883CD5">
            <w:pPr>
              <w:jc w:val="center"/>
              <w:rPr>
                <w:rFonts w:ascii="Arial" w:hAnsi="Arial" w:cs="Arial"/>
                <w:sz w:val="20"/>
                <w:szCs w:val="20"/>
              </w:rPr>
            </w:pPr>
            <w:r>
              <w:rPr>
                <w:rFonts w:ascii="Arial" w:hAnsi="Arial" w:cs="Arial"/>
                <w:sz w:val="20"/>
                <w:szCs w:val="20"/>
              </w:rPr>
              <w:t>42</w:t>
            </w:r>
          </w:p>
        </w:tc>
        <w:tc>
          <w:tcPr>
            <w:tcW w:w="832" w:type="pct"/>
          </w:tcPr>
          <w:p w14:paraId="2DECF7A6" w14:textId="77777777" w:rsidR="0055378D" w:rsidRDefault="00883CD5">
            <w:pPr>
              <w:jc w:val="center"/>
              <w:rPr>
                <w:rFonts w:ascii="Arial" w:hAnsi="Arial" w:cs="Arial"/>
                <w:sz w:val="20"/>
                <w:szCs w:val="20"/>
              </w:rPr>
            </w:pPr>
            <w:r>
              <w:rPr>
                <w:rFonts w:ascii="Arial" w:hAnsi="Arial" w:cs="Arial"/>
                <w:sz w:val="20"/>
                <w:szCs w:val="20"/>
              </w:rPr>
              <w:t>trace</w:t>
            </w:r>
          </w:p>
        </w:tc>
        <w:tc>
          <w:tcPr>
            <w:tcW w:w="881" w:type="pct"/>
          </w:tcPr>
          <w:p w14:paraId="76E56901"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283F2855" w14:textId="77777777">
        <w:tc>
          <w:tcPr>
            <w:tcW w:w="438" w:type="pct"/>
            <w:tcBorders>
              <w:top w:val="nil"/>
              <w:bottom w:val="nil"/>
              <w:right w:val="single" w:sz="4" w:space="0" w:color="auto"/>
            </w:tcBorders>
          </w:tcPr>
          <w:p w14:paraId="6E85D5A2" w14:textId="77777777" w:rsidR="0055378D" w:rsidRDefault="00883CD5">
            <w:pPr>
              <w:jc w:val="center"/>
              <w:rPr>
                <w:rFonts w:ascii="Arial" w:hAnsi="Arial" w:cs="Arial"/>
                <w:sz w:val="20"/>
                <w:szCs w:val="20"/>
              </w:rPr>
            </w:pPr>
            <w:r>
              <w:rPr>
                <w:rFonts w:ascii="Arial" w:hAnsi="Arial" w:cs="Arial"/>
                <w:sz w:val="20"/>
                <w:szCs w:val="20"/>
              </w:rPr>
              <w:t>5</w:t>
            </w:r>
          </w:p>
        </w:tc>
        <w:tc>
          <w:tcPr>
            <w:tcW w:w="881" w:type="pct"/>
            <w:tcBorders>
              <w:left w:val="single" w:sz="4" w:space="0" w:color="auto"/>
            </w:tcBorders>
          </w:tcPr>
          <w:p w14:paraId="1F61AC7A" w14:textId="77777777" w:rsidR="0055378D" w:rsidRDefault="00883CD5">
            <w:pPr>
              <w:jc w:val="center"/>
              <w:rPr>
                <w:rFonts w:ascii="Arial" w:hAnsi="Arial" w:cs="Arial"/>
                <w:sz w:val="20"/>
                <w:szCs w:val="20"/>
              </w:rPr>
            </w:pPr>
            <w:r>
              <w:rPr>
                <w:rFonts w:ascii="Arial" w:hAnsi="Arial" w:cs="Arial"/>
                <w:sz w:val="20"/>
                <w:szCs w:val="20"/>
              </w:rPr>
              <w:t>STGN-5</w:t>
            </w:r>
          </w:p>
        </w:tc>
        <w:tc>
          <w:tcPr>
            <w:tcW w:w="991" w:type="pct"/>
          </w:tcPr>
          <w:p w14:paraId="01228B48"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Pr>
          <w:p w14:paraId="2545FD29" w14:textId="77777777" w:rsidR="0055378D" w:rsidRDefault="00883CD5">
            <w:pPr>
              <w:jc w:val="center"/>
              <w:rPr>
                <w:rFonts w:ascii="Arial" w:hAnsi="Arial" w:cs="Arial"/>
                <w:sz w:val="20"/>
                <w:szCs w:val="20"/>
              </w:rPr>
            </w:pPr>
            <w:r>
              <w:rPr>
                <w:rFonts w:ascii="Arial" w:hAnsi="Arial" w:cs="Arial"/>
                <w:sz w:val="20"/>
                <w:szCs w:val="20"/>
              </w:rPr>
              <w:t>35</w:t>
            </w:r>
          </w:p>
        </w:tc>
        <w:tc>
          <w:tcPr>
            <w:tcW w:w="832" w:type="pct"/>
          </w:tcPr>
          <w:p w14:paraId="090DC39F" w14:textId="77777777" w:rsidR="0055378D" w:rsidRDefault="00883CD5">
            <w:pPr>
              <w:jc w:val="center"/>
              <w:rPr>
                <w:rFonts w:ascii="Arial" w:hAnsi="Arial" w:cs="Arial"/>
                <w:sz w:val="20"/>
                <w:szCs w:val="20"/>
              </w:rPr>
            </w:pPr>
            <w:r>
              <w:rPr>
                <w:rFonts w:ascii="Arial" w:hAnsi="Arial" w:cs="Arial"/>
                <w:sz w:val="20"/>
                <w:szCs w:val="20"/>
              </w:rPr>
              <w:t>-</w:t>
            </w:r>
          </w:p>
        </w:tc>
        <w:tc>
          <w:tcPr>
            <w:tcW w:w="881" w:type="pct"/>
          </w:tcPr>
          <w:p w14:paraId="701672CD"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4BC9308E" w14:textId="77777777">
        <w:tc>
          <w:tcPr>
            <w:tcW w:w="438" w:type="pct"/>
            <w:tcBorders>
              <w:top w:val="nil"/>
              <w:bottom w:val="nil"/>
              <w:right w:val="single" w:sz="4" w:space="0" w:color="auto"/>
            </w:tcBorders>
          </w:tcPr>
          <w:p w14:paraId="19FB1EDF" w14:textId="77777777" w:rsidR="0055378D" w:rsidRDefault="00883CD5">
            <w:pPr>
              <w:jc w:val="center"/>
              <w:rPr>
                <w:rFonts w:ascii="Arial" w:hAnsi="Arial" w:cs="Arial"/>
                <w:sz w:val="20"/>
                <w:szCs w:val="20"/>
              </w:rPr>
            </w:pPr>
            <w:r>
              <w:rPr>
                <w:rFonts w:ascii="Arial" w:hAnsi="Arial" w:cs="Arial"/>
                <w:sz w:val="20"/>
                <w:szCs w:val="20"/>
              </w:rPr>
              <w:t>6</w:t>
            </w:r>
          </w:p>
        </w:tc>
        <w:tc>
          <w:tcPr>
            <w:tcW w:w="881" w:type="pct"/>
            <w:tcBorders>
              <w:left w:val="single" w:sz="4" w:space="0" w:color="auto"/>
            </w:tcBorders>
          </w:tcPr>
          <w:p w14:paraId="51DC0A42" w14:textId="77777777" w:rsidR="0055378D" w:rsidRDefault="00883CD5">
            <w:pPr>
              <w:jc w:val="center"/>
              <w:rPr>
                <w:rFonts w:ascii="Arial" w:hAnsi="Arial" w:cs="Arial"/>
                <w:sz w:val="20"/>
                <w:szCs w:val="20"/>
              </w:rPr>
            </w:pPr>
            <w:r>
              <w:rPr>
                <w:rFonts w:ascii="Arial" w:hAnsi="Arial" w:cs="Arial"/>
                <w:sz w:val="20"/>
                <w:szCs w:val="20"/>
              </w:rPr>
              <w:t>STGN-6</w:t>
            </w:r>
          </w:p>
        </w:tc>
        <w:tc>
          <w:tcPr>
            <w:tcW w:w="991" w:type="pct"/>
          </w:tcPr>
          <w:p w14:paraId="01825721"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Pr>
          <w:p w14:paraId="0055359B" w14:textId="77777777" w:rsidR="0055378D" w:rsidRDefault="00883CD5">
            <w:pPr>
              <w:jc w:val="center"/>
              <w:rPr>
                <w:rFonts w:ascii="Arial" w:hAnsi="Arial" w:cs="Arial"/>
                <w:sz w:val="20"/>
                <w:szCs w:val="20"/>
              </w:rPr>
            </w:pPr>
            <w:r>
              <w:rPr>
                <w:rFonts w:ascii="Arial" w:hAnsi="Arial" w:cs="Arial"/>
                <w:sz w:val="20"/>
                <w:szCs w:val="20"/>
              </w:rPr>
              <w:t>35</w:t>
            </w:r>
          </w:p>
        </w:tc>
        <w:tc>
          <w:tcPr>
            <w:tcW w:w="832" w:type="pct"/>
          </w:tcPr>
          <w:p w14:paraId="5FF619A7" w14:textId="77777777" w:rsidR="0055378D" w:rsidRDefault="00883CD5">
            <w:pPr>
              <w:jc w:val="center"/>
              <w:rPr>
                <w:rFonts w:ascii="Arial" w:hAnsi="Arial" w:cs="Arial"/>
                <w:sz w:val="20"/>
                <w:szCs w:val="20"/>
              </w:rPr>
            </w:pPr>
            <w:r>
              <w:rPr>
                <w:rFonts w:ascii="Arial" w:hAnsi="Arial" w:cs="Arial"/>
                <w:sz w:val="20"/>
                <w:szCs w:val="20"/>
              </w:rPr>
              <w:t>trace</w:t>
            </w:r>
          </w:p>
        </w:tc>
        <w:tc>
          <w:tcPr>
            <w:tcW w:w="881" w:type="pct"/>
          </w:tcPr>
          <w:p w14:paraId="7F4316A8"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2089B9FB" w14:textId="77777777">
        <w:tc>
          <w:tcPr>
            <w:tcW w:w="438" w:type="pct"/>
            <w:tcBorders>
              <w:top w:val="nil"/>
              <w:bottom w:val="nil"/>
              <w:right w:val="single" w:sz="4" w:space="0" w:color="auto"/>
            </w:tcBorders>
          </w:tcPr>
          <w:p w14:paraId="00588571" w14:textId="77777777" w:rsidR="0055378D" w:rsidRDefault="00883CD5">
            <w:pPr>
              <w:jc w:val="center"/>
              <w:rPr>
                <w:rFonts w:ascii="Arial" w:hAnsi="Arial" w:cs="Arial"/>
                <w:sz w:val="20"/>
                <w:szCs w:val="20"/>
              </w:rPr>
            </w:pPr>
            <w:r>
              <w:rPr>
                <w:rFonts w:ascii="Arial" w:hAnsi="Arial" w:cs="Arial"/>
                <w:sz w:val="20"/>
                <w:szCs w:val="20"/>
              </w:rPr>
              <w:t>7</w:t>
            </w:r>
          </w:p>
        </w:tc>
        <w:tc>
          <w:tcPr>
            <w:tcW w:w="881" w:type="pct"/>
            <w:tcBorders>
              <w:left w:val="single" w:sz="4" w:space="0" w:color="auto"/>
            </w:tcBorders>
          </w:tcPr>
          <w:p w14:paraId="5F03E8F6" w14:textId="77777777" w:rsidR="0055378D" w:rsidRDefault="00883CD5">
            <w:pPr>
              <w:jc w:val="center"/>
              <w:rPr>
                <w:rFonts w:ascii="Arial" w:hAnsi="Arial" w:cs="Arial"/>
                <w:sz w:val="20"/>
                <w:szCs w:val="20"/>
              </w:rPr>
            </w:pPr>
            <w:r>
              <w:rPr>
                <w:rFonts w:ascii="Arial" w:hAnsi="Arial" w:cs="Arial"/>
                <w:sz w:val="20"/>
                <w:szCs w:val="20"/>
              </w:rPr>
              <w:t>STGN-7</w:t>
            </w:r>
          </w:p>
        </w:tc>
        <w:tc>
          <w:tcPr>
            <w:tcW w:w="991" w:type="pct"/>
          </w:tcPr>
          <w:p w14:paraId="340D05F4" w14:textId="77777777" w:rsidR="0055378D" w:rsidRDefault="00883CD5">
            <w:pPr>
              <w:jc w:val="center"/>
              <w:rPr>
                <w:rFonts w:ascii="Arial" w:hAnsi="Arial" w:cs="Arial"/>
                <w:sz w:val="20"/>
                <w:szCs w:val="20"/>
              </w:rPr>
            </w:pPr>
            <w:r>
              <w:rPr>
                <w:rFonts w:ascii="Arial" w:hAnsi="Arial" w:cs="Arial"/>
                <w:sz w:val="20"/>
                <w:szCs w:val="20"/>
              </w:rPr>
              <w:t>3.5</w:t>
            </w:r>
          </w:p>
        </w:tc>
        <w:tc>
          <w:tcPr>
            <w:tcW w:w="978" w:type="pct"/>
          </w:tcPr>
          <w:p w14:paraId="72AA28AB" w14:textId="77777777" w:rsidR="0055378D" w:rsidRDefault="00883CD5">
            <w:pPr>
              <w:jc w:val="center"/>
              <w:rPr>
                <w:rFonts w:ascii="Arial" w:hAnsi="Arial" w:cs="Arial"/>
                <w:sz w:val="20"/>
                <w:szCs w:val="20"/>
              </w:rPr>
            </w:pPr>
            <w:r>
              <w:rPr>
                <w:rFonts w:ascii="Arial" w:hAnsi="Arial" w:cs="Arial"/>
                <w:sz w:val="20"/>
                <w:szCs w:val="20"/>
              </w:rPr>
              <w:t>35</w:t>
            </w:r>
          </w:p>
        </w:tc>
        <w:tc>
          <w:tcPr>
            <w:tcW w:w="832" w:type="pct"/>
          </w:tcPr>
          <w:p w14:paraId="04E72FD2" w14:textId="77777777" w:rsidR="0055378D" w:rsidRDefault="00883CD5">
            <w:pPr>
              <w:jc w:val="center"/>
              <w:rPr>
                <w:rFonts w:ascii="Arial" w:hAnsi="Arial" w:cs="Arial"/>
                <w:sz w:val="20"/>
                <w:szCs w:val="20"/>
              </w:rPr>
            </w:pPr>
            <w:r>
              <w:rPr>
                <w:rFonts w:ascii="Arial" w:hAnsi="Arial" w:cs="Arial"/>
                <w:sz w:val="20"/>
                <w:szCs w:val="20"/>
              </w:rPr>
              <w:t>-</w:t>
            </w:r>
          </w:p>
        </w:tc>
        <w:tc>
          <w:tcPr>
            <w:tcW w:w="881" w:type="pct"/>
          </w:tcPr>
          <w:p w14:paraId="34223CF8"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3E87C632" w14:textId="77777777">
        <w:tc>
          <w:tcPr>
            <w:tcW w:w="438" w:type="pct"/>
            <w:tcBorders>
              <w:top w:val="nil"/>
              <w:bottom w:val="nil"/>
              <w:right w:val="single" w:sz="4" w:space="0" w:color="auto"/>
            </w:tcBorders>
          </w:tcPr>
          <w:p w14:paraId="5EB09B63" w14:textId="77777777" w:rsidR="0055378D" w:rsidRDefault="00883CD5">
            <w:pPr>
              <w:jc w:val="center"/>
              <w:rPr>
                <w:rFonts w:ascii="Arial" w:hAnsi="Arial" w:cs="Arial"/>
                <w:sz w:val="20"/>
                <w:szCs w:val="20"/>
              </w:rPr>
            </w:pPr>
            <w:r>
              <w:rPr>
                <w:rFonts w:ascii="Arial" w:hAnsi="Arial" w:cs="Arial"/>
                <w:sz w:val="20"/>
                <w:szCs w:val="20"/>
              </w:rPr>
              <w:t>8</w:t>
            </w:r>
          </w:p>
        </w:tc>
        <w:tc>
          <w:tcPr>
            <w:tcW w:w="881" w:type="pct"/>
            <w:tcBorders>
              <w:left w:val="single" w:sz="4" w:space="0" w:color="auto"/>
            </w:tcBorders>
          </w:tcPr>
          <w:p w14:paraId="38461090" w14:textId="77777777" w:rsidR="0055378D" w:rsidRDefault="00883CD5">
            <w:pPr>
              <w:jc w:val="center"/>
              <w:rPr>
                <w:rFonts w:ascii="Arial" w:hAnsi="Arial" w:cs="Arial"/>
                <w:sz w:val="20"/>
                <w:szCs w:val="20"/>
              </w:rPr>
            </w:pPr>
            <w:r>
              <w:rPr>
                <w:rFonts w:ascii="Arial" w:hAnsi="Arial" w:cs="Arial"/>
                <w:sz w:val="20"/>
                <w:szCs w:val="20"/>
              </w:rPr>
              <w:t>STGN-8</w:t>
            </w:r>
          </w:p>
        </w:tc>
        <w:tc>
          <w:tcPr>
            <w:tcW w:w="991" w:type="pct"/>
          </w:tcPr>
          <w:p w14:paraId="72F637DB" w14:textId="77777777" w:rsidR="0055378D" w:rsidRDefault="00883CD5">
            <w:pPr>
              <w:jc w:val="center"/>
              <w:rPr>
                <w:rFonts w:ascii="Arial" w:hAnsi="Arial" w:cs="Arial"/>
                <w:sz w:val="20"/>
                <w:szCs w:val="20"/>
              </w:rPr>
            </w:pPr>
            <w:r>
              <w:rPr>
                <w:rFonts w:ascii="Arial" w:hAnsi="Arial" w:cs="Arial"/>
                <w:sz w:val="20"/>
                <w:szCs w:val="20"/>
              </w:rPr>
              <w:t>3.0</w:t>
            </w:r>
          </w:p>
        </w:tc>
        <w:tc>
          <w:tcPr>
            <w:tcW w:w="978" w:type="pct"/>
          </w:tcPr>
          <w:p w14:paraId="6AC9BAB3" w14:textId="77777777" w:rsidR="0055378D" w:rsidRDefault="00883CD5">
            <w:pPr>
              <w:jc w:val="center"/>
              <w:rPr>
                <w:rFonts w:ascii="Arial" w:hAnsi="Arial" w:cs="Arial"/>
                <w:sz w:val="20"/>
                <w:szCs w:val="20"/>
              </w:rPr>
            </w:pPr>
            <w:r>
              <w:rPr>
                <w:rFonts w:ascii="Arial" w:hAnsi="Arial" w:cs="Arial"/>
                <w:sz w:val="20"/>
                <w:szCs w:val="20"/>
              </w:rPr>
              <w:t>28</w:t>
            </w:r>
          </w:p>
        </w:tc>
        <w:tc>
          <w:tcPr>
            <w:tcW w:w="832" w:type="pct"/>
          </w:tcPr>
          <w:p w14:paraId="580C65D4" w14:textId="77777777" w:rsidR="0055378D" w:rsidRDefault="00883CD5">
            <w:pPr>
              <w:jc w:val="center"/>
              <w:rPr>
                <w:rFonts w:ascii="Arial" w:hAnsi="Arial" w:cs="Arial"/>
                <w:sz w:val="20"/>
                <w:szCs w:val="20"/>
              </w:rPr>
            </w:pPr>
            <w:r>
              <w:rPr>
                <w:rFonts w:ascii="Arial" w:hAnsi="Arial" w:cs="Arial"/>
                <w:sz w:val="20"/>
                <w:szCs w:val="20"/>
              </w:rPr>
              <w:t>-</w:t>
            </w:r>
          </w:p>
        </w:tc>
        <w:tc>
          <w:tcPr>
            <w:tcW w:w="881" w:type="pct"/>
          </w:tcPr>
          <w:p w14:paraId="6EAB5925"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2BB64322" w14:textId="77777777">
        <w:tc>
          <w:tcPr>
            <w:tcW w:w="438" w:type="pct"/>
            <w:tcBorders>
              <w:top w:val="nil"/>
              <w:bottom w:val="nil"/>
              <w:right w:val="single" w:sz="4" w:space="0" w:color="auto"/>
            </w:tcBorders>
          </w:tcPr>
          <w:p w14:paraId="79CB3969" w14:textId="77777777" w:rsidR="0055378D" w:rsidRDefault="00883CD5">
            <w:pPr>
              <w:jc w:val="center"/>
              <w:rPr>
                <w:rFonts w:ascii="Arial" w:hAnsi="Arial" w:cs="Arial"/>
                <w:sz w:val="20"/>
                <w:szCs w:val="20"/>
              </w:rPr>
            </w:pPr>
            <w:r>
              <w:rPr>
                <w:rFonts w:ascii="Arial" w:hAnsi="Arial" w:cs="Arial"/>
                <w:sz w:val="20"/>
                <w:szCs w:val="20"/>
              </w:rPr>
              <w:t>9</w:t>
            </w:r>
          </w:p>
        </w:tc>
        <w:tc>
          <w:tcPr>
            <w:tcW w:w="881" w:type="pct"/>
            <w:tcBorders>
              <w:left w:val="single" w:sz="4" w:space="0" w:color="auto"/>
            </w:tcBorders>
          </w:tcPr>
          <w:p w14:paraId="04667BC4" w14:textId="77777777" w:rsidR="0055378D" w:rsidRDefault="00883CD5">
            <w:pPr>
              <w:jc w:val="center"/>
              <w:rPr>
                <w:rFonts w:ascii="Arial" w:hAnsi="Arial" w:cs="Arial"/>
                <w:sz w:val="20"/>
                <w:szCs w:val="20"/>
              </w:rPr>
            </w:pPr>
            <w:r>
              <w:rPr>
                <w:rFonts w:ascii="Arial" w:hAnsi="Arial" w:cs="Arial"/>
                <w:sz w:val="20"/>
                <w:szCs w:val="20"/>
              </w:rPr>
              <w:t>STGN-9</w:t>
            </w:r>
          </w:p>
        </w:tc>
        <w:tc>
          <w:tcPr>
            <w:tcW w:w="991" w:type="pct"/>
          </w:tcPr>
          <w:p w14:paraId="6AA6C32D"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Pr>
          <w:p w14:paraId="1A9A7F4D" w14:textId="77777777" w:rsidR="0055378D" w:rsidRDefault="00883CD5">
            <w:pPr>
              <w:jc w:val="center"/>
              <w:rPr>
                <w:rFonts w:ascii="Arial" w:hAnsi="Arial" w:cs="Arial"/>
                <w:sz w:val="20"/>
                <w:szCs w:val="20"/>
              </w:rPr>
            </w:pPr>
            <w:r>
              <w:rPr>
                <w:rFonts w:ascii="Arial" w:hAnsi="Arial" w:cs="Arial"/>
                <w:sz w:val="20"/>
                <w:szCs w:val="20"/>
              </w:rPr>
              <w:t>35</w:t>
            </w:r>
          </w:p>
        </w:tc>
        <w:tc>
          <w:tcPr>
            <w:tcW w:w="832" w:type="pct"/>
          </w:tcPr>
          <w:p w14:paraId="34125A4E" w14:textId="77777777" w:rsidR="0055378D" w:rsidRDefault="00883CD5">
            <w:pPr>
              <w:jc w:val="center"/>
              <w:rPr>
                <w:rFonts w:ascii="Arial" w:hAnsi="Arial" w:cs="Arial"/>
                <w:sz w:val="20"/>
                <w:szCs w:val="20"/>
              </w:rPr>
            </w:pPr>
            <w:r>
              <w:rPr>
                <w:rFonts w:ascii="Arial" w:hAnsi="Arial" w:cs="Arial"/>
                <w:sz w:val="20"/>
                <w:szCs w:val="20"/>
              </w:rPr>
              <w:t>trace</w:t>
            </w:r>
          </w:p>
        </w:tc>
        <w:tc>
          <w:tcPr>
            <w:tcW w:w="881" w:type="pct"/>
          </w:tcPr>
          <w:p w14:paraId="3F1F380E"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1E254CDA" w14:textId="77777777">
        <w:tc>
          <w:tcPr>
            <w:tcW w:w="438" w:type="pct"/>
            <w:tcBorders>
              <w:top w:val="nil"/>
              <w:bottom w:val="single" w:sz="4" w:space="0" w:color="auto"/>
              <w:right w:val="single" w:sz="4" w:space="0" w:color="auto"/>
            </w:tcBorders>
          </w:tcPr>
          <w:p w14:paraId="0A3A4539" w14:textId="77777777" w:rsidR="0055378D" w:rsidRDefault="00883CD5">
            <w:pPr>
              <w:jc w:val="center"/>
              <w:rPr>
                <w:rFonts w:ascii="Arial" w:hAnsi="Arial" w:cs="Arial"/>
                <w:sz w:val="20"/>
                <w:szCs w:val="20"/>
              </w:rPr>
            </w:pPr>
            <w:r>
              <w:rPr>
                <w:rFonts w:ascii="Arial" w:hAnsi="Arial" w:cs="Arial"/>
                <w:sz w:val="20"/>
                <w:szCs w:val="20"/>
              </w:rPr>
              <w:t>10</w:t>
            </w:r>
          </w:p>
        </w:tc>
        <w:tc>
          <w:tcPr>
            <w:tcW w:w="881" w:type="pct"/>
            <w:tcBorders>
              <w:left w:val="single" w:sz="4" w:space="0" w:color="auto"/>
            </w:tcBorders>
          </w:tcPr>
          <w:p w14:paraId="787E5553" w14:textId="77777777" w:rsidR="0055378D" w:rsidRDefault="00883CD5">
            <w:pPr>
              <w:jc w:val="center"/>
              <w:rPr>
                <w:rFonts w:ascii="Arial" w:hAnsi="Arial" w:cs="Arial"/>
                <w:sz w:val="20"/>
                <w:szCs w:val="20"/>
              </w:rPr>
            </w:pPr>
            <w:r>
              <w:rPr>
                <w:rFonts w:ascii="Arial" w:hAnsi="Arial" w:cs="Arial"/>
                <w:sz w:val="20"/>
                <w:szCs w:val="20"/>
              </w:rPr>
              <w:t>STGN-10</w:t>
            </w:r>
          </w:p>
        </w:tc>
        <w:tc>
          <w:tcPr>
            <w:tcW w:w="991" w:type="pct"/>
          </w:tcPr>
          <w:p w14:paraId="219C4525"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Pr>
          <w:p w14:paraId="031556D1" w14:textId="77777777" w:rsidR="0055378D" w:rsidRDefault="00883CD5">
            <w:pPr>
              <w:jc w:val="center"/>
              <w:rPr>
                <w:rFonts w:ascii="Arial" w:hAnsi="Arial" w:cs="Arial"/>
                <w:sz w:val="20"/>
                <w:szCs w:val="20"/>
              </w:rPr>
            </w:pPr>
            <w:r>
              <w:rPr>
                <w:rFonts w:ascii="Arial" w:hAnsi="Arial" w:cs="Arial"/>
                <w:sz w:val="20"/>
                <w:szCs w:val="20"/>
              </w:rPr>
              <w:t>35</w:t>
            </w:r>
          </w:p>
        </w:tc>
        <w:tc>
          <w:tcPr>
            <w:tcW w:w="832" w:type="pct"/>
          </w:tcPr>
          <w:p w14:paraId="64B03025" w14:textId="77777777" w:rsidR="0055378D" w:rsidRDefault="00883CD5">
            <w:pPr>
              <w:jc w:val="center"/>
              <w:rPr>
                <w:rFonts w:ascii="Arial" w:hAnsi="Arial" w:cs="Arial"/>
                <w:sz w:val="20"/>
                <w:szCs w:val="20"/>
              </w:rPr>
            </w:pPr>
            <w:r>
              <w:rPr>
                <w:rFonts w:ascii="Arial" w:hAnsi="Arial" w:cs="Arial"/>
                <w:sz w:val="20"/>
                <w:szCs w:val="20"/>
              </w:rPr>
              <w:t>trace</w:t>
            </w:r>
          </w:p>
        </w:tc>
        <w:tc>
          <w:tcPr>
            <w:tcW w:w="881" w:type="pct"/>
          </w:tcPr>
          <w:p w14:paraId="5633D954"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bl>
    <w:p w14:paraId="1801F8CD" w14:textId="77777777" w:rsidR="0055378D" w:rsidRDefault="0055378D">
      <w:pPr>
        <w:spacing w:line="276" w:lineRule="auto"/>
        <w:jc w:val="both"/>
        <w:rPr>
          <w:rFonts w:ascii="Arial" w:hAnsi="Arial" w:cs="Arial"/>
          <w:sz w:val="22"/>
          <w:szCs w:val="22"/>
        </w:rPr>
      </w:pPr>
    </w:p>
    <w:p w14:paraId="1EB28D64" w14:textId="77777777" w:rsidR="0055378D" w:rsidRDefault="00883CD5">
      <w:pPr>
        <w:spacing w:line="276" w:lineRule="auto"/>
        <w:jc w:val="both"/>
        <w:rPr>
          <w:rFonts w:ascii="Arial" w:hAnsi="Arial" w:cs="Arial"/>
          <w:sz w:val="22"/>
          <w:szCs w:val="22"/>
        </w:rPr>
      </w:pPr>
      <w:r>
        <w:rPr>
          <w:rFonts w:ascii="Arial" w:hAnsi="Arial" w:cs="Arial"/>
          <w:bCs/>
          <w:sz w:val="22"/>
          <w:szCs w:val="22"/>
        </w:rPr>
        <w:t xml:space="preserve">Growth parameters of salinity tolerant </w:t>
      </w:r>
      <w:proofErr w:type="spellStart"/>
      <w:r>
        <w:rPr>
          <w:rFonts w:ascii="Arial" w:hAnsi="Arial" w:cs="Arial"/>
          <w:bCs/>
          <w:i/>
          <w:iCs/>
          <w:sz w:val="22"/>
          <w:szCs w:val="22"/>
        </w:rPr>
        <w:t>rhizobial</w:t>
      </w:r>
      <w:proofErr w:type="spellEnd"/>
      <w:r>
        <w:rPr>
          <w:rFonts w:ascii="Arial" w:hAnsi="Arial" w:cs="Arial"/>
          <w:bCs/>
          <w:sz w:val="22"/>
          <w:szCs w:val="22"/>
        </w:rPr>
        <w:t xml:space="preserve"> strains on groundnut in pot condition </w:t>
      </w:r>
      <w:r>
        <w:rPr>
          <w:rFonts w:ascii="Arial" w:hAnsi="Arial" w:cs="Arial"/>
          <w:color w:val="000000"/>
          <w:sz w:val="22"/>
          <w:szCs w:val="22"/>
        </w:rPr>
        <w:t>Result (Table 2) showed that inoculation of STGN-4 had good effect on effective nodule and total nodule number, number of branches and highest root length as it has IAA production ability at 60 days after sowing (DAS). Strain STGN-3 showed the highest root length at the sampling time at 90 DAS and STGN-1 in case of shoot length DAS. All the uninoculated (T</w:t>
      </w:r>
      <w:r>
        <w:rPr>
          <w:rFonts w:ascii="Arial" w:hAnsi="Arial" w:cs="Arial"/>
          <w:color w:val="000000"/>
          <w:sz w:val="22"/>
          <w:szCs w:val="22"/>
          <w:vertAlign w:val="subscript"/>
        </w:rPr>
        <w:t>1</w:t>
      </w:r>
      <w:r>
        <w:rPr>
          <w:rFonts w:ascii="Arial" w:hAnsi="Arial" w:cs="Arial"/>
          <w:color w:val="000000"/>
          <w:sz w:val="22"/>
          <w:szCs w:val="22"/>
        </w:rPr>
        <w:t>= control) and nitrogen treated treatments showed lower plant height than inoculated treatments</w:t>
      </w:r>
      <w:r>
        <w:rPr>
          <w:rFonts w:ascii="Arial" w:hAnsi="Arial" w:cs="Arial"/>
          <w:sz w:val="22"/>
          <w:szCs w:val="22"/>
        </w:rPr>
        <w:t>. STGN-9 recorded higher nodule number over control and root length showed higher inoculated with STGN-3 at 90 DAS. Inoculant STGN-9 and STGN-10 recorded statistically similar effective nodule number and total nodule at 120 DAS</w:t>
      </w:r>
    </w:p>
    <w:p w14:paraId="42E702A7" w14:textId="77777777" w:rsidR="0055378D" w:rsidRDefault="0055378D">
      <w:pPr>
        <w:spacing w:line="276" w:lineRule="auto"/>
        <w:jc w:val="both"/>
        <w:rPr>
          <w:rFonts w:ascii="Arial" w:hAnsi="Arial" w:cs="Arial"/>
          <w:sz w:val="22"/>
          <w:szCs w:val="22"/>
        </w:rPr>
      </w:pPr>
    </w:p>
    <w:p w14:paraId="335DABE4" w14:textId="77777777" w:rsidR="0055378D" w:rsidRDefault="00883CD5">
      <w:pPr>
        <w:ind w:left="810" w:hanging="810"/>
        <w:rPr>
          <w:rFonts w:ascii="Arial" w:hAnsi="Arial" w:cs="Arial"/>
          <w:b/>
          <w:sz w:val="22"/>
          <w:szCs w:val="22"/>
        </w:rPr>
      </w:pPr>
      <w:r>
        <w:rPr>
          <w:rFonts w:ascii="Arial" w:hAnsi="Arial" w:cs="Arial"/>
          <w:b/>
          <w:sz w:val="22"/>
          <w:szCs w:val="22"/>
        </w:rPr>
        <w:t xml:space="preserve">Table 2. Growth parameters of salinity tolerant </w:t>
      </w:r>
      <w:proofErr w:type="spellStart"/>
      <w:r>
        <w:rPr>
          <w:rFonts w:ascii="Arial" w:hAnsi="Arial" w:cs="Arial"/>
          <w:b/>
          <w:i/>
          <w:iCs/>
          <w:sz w:val="22"/>
          <w:szCs w:val="22"/>
        </w:rPr>
        <w:t>rhizobial</w:t>
      </w:r>
      <w:proofErr w:type="spellEnd"/>
      <w:r>
        <w:rPr>
          <w:rFonts w:ascii="Arial" w:hAnsi="Arial" w:cs="Arial"/>
          <w:b/>
          <w:sz w:val="22"/>
          <w:szCs w:val="22"/>
        </w:rPr>
        <w:t xml:space="preserve"> strains on groundnut in pot condition at 60 DAS and 90 DAS</w:t>
      </w:r>
    </w:p>
    <w:p w14:paraId="2B9820E5" w14:textId="77777777" w:rsidR="0055378D" w:rsidRDefault="0055378D">
      <w:pPr>
        <w:ind w:left="810" w:hanging="810"/>
        <w:rPr>
          <w:rFonts w:ascii="Arial" w:hAnsi="Arial" w:cs="Arial"/>
          <w:b/>
          <w:sz w:val="22"/>
          <w:szCs w:val="22"/>
        </w:rPr>
      </w:pPr>
    </w:p>
    <w:tbl>
      <w:tblPr>
        <w:tblW w:w="572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800"/>
        <w:gridCol w:w="635"/>
        <w:gridCol w:w="640"/>
        <w:gridCol w:w="639"/>
        <w:gridCol w:w="720"/>
        <w:gridCol w:w="642"/>
        <w:gridCol w:w="718"/>
        <w:gridCol w:w="639"/>
        <w:gridCol w:w="637"/>
        <w:gridCol w:w="637"/>
        <w:gridCol w:w="718"/>
        <w:gridCol w:w="882"/>
      </w:tblGrid>
      <w:tr w:rsidR="0055378D" w14:paraId="7BECEE6F" w14:textId="77777777">
        <w:trPr>
          <w:trHeight w:val="170"/>
        </w:trPr>
        <w:tc>
          <w:tcPr>
            <w:tcW w:w="2774" w:type="pct"/>
            <w:gridSpan w:val="7"/>
          </w:tcPr>
          <w:p w14:paraId="0632CD95" w14:textId="77777777" w:rsidR="0055378D" w:rsidRDefault="00883CD5">
            <w:pPr>
              <w:jc w:val="center"/>
              <w:rPr>
                <w:rFonts w:ascii="Arial" w:hAnsi="Arial" w:cs="Arial"/>
                <w:color w:val="000000"/>
                <w:sz w:val="16"/>
                <w:szCs w:val="16"/>
              </w:rPr>
            </w:pPr>
            <w:r>
              <w:rPr>
                <w:rFonts w:ascii="Arial" w:hAnsi="Arial" w:cs="Arial"/>
                <w:color w:val="000000"/>
                <w:sz w:val="16"/>
                <w:szCs w:val="16"/>
              </w:rPr>
              <w:t>60 DAS</w:t>
            </w:r>
          </w:p>
        </w:tc>
        <w:tc>
          <w:tcPr>
            <w:tcW w:w="2226" w:type="pct"/>
            <w:gridSpan w:val="6"/>
          </w:tcPr>
          <w:p w14:paraId="66057F2E" w14:textId="77777777" w:rsidR="0055378D" w:rsidRDefault="00883CD5">
            <w:pPr>
              <w:jc w:val="center"/>
              <w:rPr>
                <w:rFonts w:ascii="Arial" w:hAnsi="Arial" w:cs="Arial"/>
                <w:color w:val="000000"/>
                <w:sz w:val="16"/>
                <w:szCs w:val="16"/>
              </w:rPr>
            </w:pPr>
            <w:r>
              <w:rPr>
                <w:rFonts w:ascii="Arial" w:hAnsi="Arial" w:cs="Arial"/>
                <w:color w:val="000000"/>
                <w:sz w:val="16"/>
                <w:szCs w:val="16"/>
              </w:rPr>
              <w:t>90 DAS</w:t>
            </w:r>
          </w:p>
        </w:tc>
      </w:tr>
      <w:tr w:rsidR="0055378D" w14:paraId="707BBCBF" w14:textId="77777777">
        <w:trPr>
          <w:trHeight w:val="544"/>
        </w:trPr>
        <w:tc>
          <w:tcPr>
            <w:tcW w:w="629" w:type="pct"/>
            <w:tcBorders>
              <w:bottom w:val="single" w:sz="4" w:space="0" w:color="auto"/>
            </w:tcBorders>
          </w:tcPr>
          <w:p w14:paraId="4B8419A6" w14:textId="77777777" w:rsidR="0055378D" w:rsidRDefault="00883CD5">
            <w:pPr>
              <w:rPr>
                <w:rFonts w:ascii="Arial" w:hAnsi="Arial" w:cs="Arial"/>
                <w:color w:val="000000"/>
                <w:sz w:val="16"/>
                <w:szCs w:val="16"/>
              </w:rPr>
            </w:pPr>
            <w:r>
              <w:rPr>
                <w:rFonts w:ascii="Arial" w:hAnsi="Arial" w:cs="Arial"/>
                <w:color w:val="000000"/>
                <w:sz w:val="16"/>
                <w:szCs w:val="16"/>
              </w:rPr>
              <w:t>Treatment</w:t>
            </w:r>
          </w:p>
        </w:tc>
        <w:tc>
          <w:tcPr>
            <w:tcW w:w="421" w:type="pct"/>
            <w:tcBorders>
              <w:bottom w:val="single" w:sz="4" w:space="0" w:color="auto"/>
            </w:tcBorders>
          </w:tcPr>
          <w:p w14:paraId="25D8E2ED" w14:textId="77777777" w:rsidR="0055378D" w:rsidRDefault="00883CD5">
            <w:pPr>
              <w:rPr>
                <w:rFonts w:ascii="Arial" w:hAnsi="Arial" w:cs="Arial"/>
                <w:color w:val="000000"/>
                <w:sz w:val="16"/>
                <w:szCs w:val="16"/>
              </w:rPr>
            </w:pPr>
            <w:r>
              <w:rPr>
                <w:rFonts w:ascii="Arial" w:hAnsi="Arial" w:cs="Arial"/>
                <w:color w:val="000000"/>
                <w:sz w:val="16"/>
                <w:szCs w:val="16"/>
              </w:rPr>
              <w:t>Effective nodule</w:t>
            </w:r>
          </w:p>
        </w:tc>
        <w:tc>
          <w:tcPr>
            <w:tcW w:w="334" w:type="pct"/>
            <w:tcBorders>
              <w:bottom w:val="single" w:sz="4" w:space="0" w:color="auto"/>
            </w:tcBorders>
          </w:tcPr>
          <w:p w14:paraId="0C866DFA" w14:textId="77777777" w:rsidR="0055378D" w:rsidRDefault="00883CD5">
            <w:pPr>
              <w:rPr>
                <w:rFonts w:ascii="Arial" w:hAnsi="Arial" w:cs="Arial"/>
                <w:color w:val="000000"/>
                <w:sz w:val="16"/>
                <w:szCs w:val="16"/>
              </w:rPr>
            </w:pPr>
            <w:r>
              <w:rPr>
                <w:rFonts w:ascii="Arial" w:hAnsi="Arial" w:cs="Arial"/>
                <w:color w:val="000000"/>
                <w:sz w:val="16"/>
                <w:szCs w:val="16"/>
              </w:rPr>
              <w:t>Non effective</w:t>
            </w:r>
          </w:p>
        </w:tc>
        <w:tc>
          <w:tcPr>
            <w:tcW w:w="337" w:type="pct"/>
            <w:tcBorders>
              <w:bottom w:val="single" w:sz="4" w:space="0" w:color="auto"/>
            </w:tcBorders>
          </w:tcPr>
          <w:p w14:paraId="1C35B510" w14:textId="77777777" w:rsidR="0055378D" w:rsidRDefault="00883CD5">
            <w:pPr>
              <w:rPr>
                <w:rFonts w:ascii="Arial" w:hAnsi="Arial" w:cs="Arial"/>
                <w:color w:val="000000"/>
                <w:sz w:val="16"/>
                <w:szCs w:val="16"/>
              </w:rPr>
            </w:pPr>
            <w:r>
              <w:rPr>
                <w:rFonts w:ascii="Arial" w:hAnsi="Arial" w:cs="Arial"/>
                <w:color w:val="000000"/>
                <w:sz w:val="16"/>
                <w:szCs w:val="16"/>
              </w:rPr>
              <w:t>Total nodule</w:t>
            </w:r>
          </w:p>
        </w:tc>
        <w:tc>
          <w:tcPr>
            <w:tcW w:w="336" w:type="pct"/>
            <w:tcBorders>
              <w:bottom w:val="single" w:sz="4" w:space="0" w:color="auto"/>
            </w:tcBorders>
          </w:tcPr>
          <w:p w14:paraId="536FE4DA" w14:textId="77777777" w:rsidR="0055378D" w:rsidRDefault="00883CD5">
            <w:pPr>
              <w:rPr>
                <w:rFonts w:ascii="Arial" w:hAnsi="Arial" w:cs="Arial"/>
                <w:color w:val="000000"/>
                <w:sz w:val="16"/>
                <w:szCs w:val="16"/>
              </w:rPr>
            </w:pPr>
            <w:r>
              <w:rPr>
                <w:rFonts w:ascii="Arial" w:hAnsi="Arial" w:cs="Arial"/>
                <w:color w:val="000000"/>
                <w:sz w:val="16"/>
                <w:szCs w:val="16"/>
              </w:rPr>
              <w:t>Root length (cm)</w:t>
            </w:r>
          </w:p>
        </w:tc>
        <w:tc>
          <w:tcPr>
            <w:tcW w:w="379" w:type="pct"/>
            <w:tcBorders>
              <w:bottom w:val="single" w:sz="4" w:space="0" w:color="auto"/>
            </w:tcBorders>
          </w:tcPr>
          <w:p w14:paraId="06AB6853" w14:textId="77777777" w:rsidR="0055378D" w:rsidRDefault="00883CD5">
            <w:pPr>
              <w:rPr>
                <w:rFonts w:ascii="Arial" w:hAnsi="Arial" w:cs="Arial"/>
                <w:color w:val="000000"/>
                <w:sz w:val="16"/>
                <w:szCs w:val="16"/>
              </w:rPr>
            </w:pPr>
            <w:r>
              <w:rPr>
                <w:rFonts w:ascii="Arial" w:hAnsi="Arial" w:cs="Arial"/>
                <w:color w:val="000000"/>
                <w:sz w:val="16"/>
                <w:szCs w:val="16"/>
              </w:rPr>
              <w:t>Shoot length (cm)</w:t>
            </w:r>
          </w:p>
        </w:tc>
        <w:tc>
          <w:tcPr>
            <w:tcW w:w="337" w:type="pct"/>
            <w:tcBorders>
              <w:bottom w:val="single" w:sz="4" w:space="0" w:color="auto"/>
            </w:tcBorders>
          </w:tcPr>
          <w:p w14:paraId="78CDE58E" w14:textId="77777777" w:rsidR="0055378D" w:rsidRDefault="00883CD5">
            <w:pPr>
              <w:rPr>
                <w:rFonts w:ascii="Arial" w:hAnsi="Arial" w:cs="Arial"/>
                <w:color w:val="000000"/>
                <w:sz w:val="16"/>
                <w:szCs w:val="16"/>
              </w:rPr>
            </w:pPr>
            <w:r>
              <w:rPr>
                <w:rFonts w:ascii="Arial" w:hAnsi="Arial" w:cs="Arial"/>
                <w:color w:val="000000"/>
                <w:sz w:val="16"/>
                <w:szCs w:val="16"/>
              </w:rPr>
              <w:t>No of Brunch</w:t>
            </w:r>
          </w:p>
        </w:tc>
        <w:tc>
          <w:tcPr>
            <w:tcW w:w="378" w:type="pct"/>
            <w:tcBorders>
              <w:bottom w:val="single" w:sz="4" w:space="0" w:color="auto"/>
            </w:tcBorders>
          </w:tcPr>
          <w:p w14:paraId="0DEC7BA4" w14:textId="77777777" w:rsidR="0055378D" w:rsidRDefault="00883CD5">
            <w:pPr>
              <w:rPr>
                <w:rFonts w:ascii="Arial" w:hAnsi="Arial" w:cs="Arial"/>
                <w:color w:val="000000"/>
                <w:sz w:val="16"/>
                <w:szCs w:val="16"/>
              </w:rPr>
            </w:pPr>
            <w:r>
              <w:rPr>
                <w:rFonts w:ascii="Arial" w:hAnsi="Arial" w:cs="Arial"/>
                <w:color w:val="000000"/>
                <w:sz w:val="16"/>
                <w:szCs w:val="16"/>
              </w:rPr>
              <w:t>Effective nodule</w:t>
            </w:r>
          </w:p>
        </w:tc>
        <w:tc>
          <w:tcPr>
            <w:tcW w:w="336" w:type="pct"/>
            <w:tcBorders>
              <w:bottom w:val="single" w:sz="4" w:space="0" w:color="auto"/>
            </w:tcBorders>
          </w:tcPr>
          <w:p w14:paraId="444FEA37" w14:textId="77777777" w:rsidR="0055378D" w:rsidRDefault="00883CD5">
            <w:pPr>
              <w:rPr>
                <w:rFonts w:ascii="Arial" w:hAnsi="Arial" w:cs="Arial"/>
                <w:color w:val="000000"/>
                <w:sz w:val="16"/>
                <w:szCs w:val="16"/>
              </w:rPr>
            </w:pPr>
            <w:r>
              <w:rPr>
                <w:rFonts w:ascii="Arial" w:hAnsi="Arial" w:cs="Arial"/>
                <w:color w:val="000000"/>
                <w:sz w:val="16"/>
                <w:szCs w:val="16"/>
              </w:rPr>
              <w:t>Non effective</w:t>
            </w:r>
          </w:p>
        </w:tc>
        <w:tc>
          <w:tcPr>
            <w:tcW w:w="335" w:type="pct"/>
            <w:tcBorders>
              <w:bottom w:val="single" w:sz="4" w:space="0" w:color="auto"/>
            </w:tcBorders>
          </w:tcPr>
          <w:p w14:paraId="48D91D31" w14:textId="77777777" w:rsidR="0055378D" w:rsidRDefault="00883CD5">
            <w:pPr>
              <w:rPr>
                <w:rFonts w:ascii="Arial" w:hAnsi="Arial" w:cs="Arial"/>
                <w:color w:val="000000"/>
                <w:sz w:val="16"/>
                <w:szCs w:val="16"/>
              </w:rPr>
            </w:pPr>
            <w:r>
              <w:rPr>
                <w:rFonts w:ascii="Arial" w:hAnsi="Arial" w:cs="Arial"/>
                <w:color w:val="000000"/>
                <w:sz w:val="16"/>
                <w:szCs w:val="16"/>
              </w:rPr>
              <w:t>Total nodule</w:t>
            </w:r>
          </w:p>
        </w:tc>
        <w:tc>
          <w:tcPr>
            <w:tcW w:w="335" w:type="pct"/>
            <w:tcBorders>
              <w:bottom w:val="single" w:sz="4" w:space="0" w:color="auto"/>
            </w:tcBorders>
          </w:tcPr>
          <w:p w14:paraId="4C41B924" w14:textId="77777777" w:rsidR="0055378D" w:rsidRDefault="00883CD5">
            <w:pPr>
              <w:rPr>
                <w:rFonts w:ascii="Arial" w:hAnsi="Arial" w:cs="Arial"/>
                <w:color w:val="000000"/>
                <w:sz w:val="16"/>
                <w:szCs w:val="16"/>
              </w:rPr>
            </w:pPr>
            <w:r>
              <w:rPr>
                <w:rFonts w:ascii="Arial" w:hAnsi="Arial" w:cs="Arial"/>
                <w:color w:val="000000"/>
                <w:sz w:val="16"/>
                <w:szCs w:val="16"/>
              </w:rPr>
              <w:t>Root length (cm)</w:t>
            </w:r>
          </w:p>
        </w:tc>
        <w:tc>
          <w:tcPr>
            <w:tcW w:w="378" w:type="pct"/>
            <w:tcBorders>
              <w:bottom w:val="single" w:sz="4" w:space="0" w:color="auto"/>
            </w:tcBorders>
          </w:tcPr>
          <w:p w14:paraId="106879D7" w14:textId="77777777" w:rsidR="0055378D" w:rsidRDefault="00883CD5">
            <w:pPr>
              <w:rPr>
                <w:rFonts w:ascii="Arial" w:hAnsi="Arial" w:cs="Arial"/>
                <w:color w:val="000000"/>
                <w:sz w:val="16"/>
                <w:szCs w:val="16"/>
              </w:rPr>
            </w:pPr>
            <w:r>
              <w:rPr>
                <w:rFonts w:ascii="Arial" w:hAnsi="Arial" w:cs="Arial"/>
                <w:color w:val="000000"/>
                <w:sz w:val="16"/>
                <w:szCs w:val="16"/>
              </w:rPr>
              <w:t>Shoot length (cm)</w:t>
            </w:r>
          </w:p>
        </w:tc>
        <w:tc>
          <w:tcPr>
            <w:tcW w:w="463" w:type="pct"/>
            <w:tcBorders>
              <w:bottom w:val="single" w:sz="4" w:space="0" w:color="auto"/>
            </w:tcBorders>
          </w:tcPr>
          <w:p w14:paraId="1316E5D4" w14:textId="77777777" w:rsidR="0055378D" w:rsidRDefault="00883CD5">
            <w:pPr>
              <w:rPr>
                <w:rFonts w:ascii="Arial" w:hAnsi="Arial" w:cs="Arial"/>
                <w:color w:val="000000"/>
                <w:sz w:val="16"/>
                <w:szCs w:val="16"/>
              </w:rPr>
            </w:pPr>
            <w:r>
              <w:rPr>
                <w:rFonts w:ascii="Arial" w:hAnsi="Arial" w:cs="Arial"/>
                <w:color w:val="000000"/>
                <w:sz w:val="16"/>
                <w:szCs w:val="16"/>
              </w:rPr>
              <w:t>No of Brunch</w:t>
            </w:r>
          </w:p>
        </w:tc>
      </w:tr>
      <w:tr w:rsidR="0055378D" w14:paraId="221DC467"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5604D735"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1</w:t>
            </w:r>
            <w:r>
              <w:rPr>
                <w:rFonts w:ascii="Arial" w:hAnsi="Arial" w:cs="Arial"/>
                <w:color w:val="000000"/>
                <w:sz w:val="16"/>
                <w:szCs w:val="16"/>
              </w:rPr>
              <w:t>: Control</w:t>
            </w:r>
          </w:p>
        </w:tc>
        <w:tc>
          <w:tcPr>
            <w:tcW w:w="421" w:type="pct"/>
            <w:tcBorders>
              <w:top w:val="single" w:sz="4" w:space="0" w:color="auto"/>
              <w:left w:val="single" w:sz="4" w:space="0" w:color="auto"/>
              <w:bottom w:val="nil"/>
              <w:right w:val="nil"/>
            </w:tcBorders>
          </w:tcPr>
          <w:p w14:paraId="12C0F4C8" w14:textId="77777777" w:rsidR="0055378D" w:rsidRDefault="00883CD5">
            <w:pPr>
              <w:jc w:val="center"/>
              <w:rPr>
                <w:rFonts w:ascii="Arial" w:hAnsi="Arial" w:cs="Arial"/>
                <w:color w:val="000000"/>
                <w:sz w:val="16"/>
                <w:szCs w:val="16"/>
              </w:rPr>
            </w:pPr>
            <w:r>
              <w:rPr>
                <w:rFonts w:ascii="Arial" w:hAnsi="Arial" w:cs="Arial"/>
                <w:color w:val="000000"/>
                <w:sz w:val="16"/>
                <w:szCs w:val="16"/>
              </w:rPr>
              <w:t>0.00c</w:t>
            </w:r>
          </w:p>
        </w:tc>
        <w:tc>
          <w:tcPr>
            <w:tcW w:w="334" w:type="pct"/>
            <w:tcBorders>
              <w:top w:val="single" w:sz="4" w:space="0" w:color="auto"/>
              <w:left w:val="nil"/>
              <w:bottom w:val="nil"/>
              <w:right w:val="nil"/>
            </w:tcBorders>
          </w:tcPr>
          <w:p w14:paraId="0F7B5F0C" w14:textId="77777777" w:rsidR="0055378D" w:rsidRDefault="00883CD5">
            <w:pPr>
              <w:jc w:val="center"/>
              <w:rPr>
                <w:rFonts w:ascii="Arial" w:hAnsi="Arial" w:cs="Arial"/>
                <w:color w:val="000000"/>
                <w:sz w:val="16"/>
                <w:szCs w:val="16"/>
              </w:rPr>
            </w:pPr>
            <w:r>
              <w:rPr>
                <w:rFonts w:ascii="Arial" w:hAnsi="Arial" w:cs="Arial"/>
                <w:color w:val="000000"/>
                <w:sz w:val="16"/>
                <w:szCs w:val="16"/>
              </w:rPr>
              <w:t>0.00c</w:t>
            </w:r>
          </w:p>
        </w:tc>
        <w:tc>
          <w:tcPr>
            <w:tcW w:w="337" w:type="pct"/>
            <w:tcBorders>
              <w:top w:val="single" w:sz="4" w:space="0" w:color="auto"/>
              <w:left w:val="nil"/>
              <w:bottom w:val="nil"/>
              <w:right w:val="nil"/>
            </w:tcBorders>
          </w:tcPr>
          <w:p w14:paraId="0AFA004B" w14:textId="77777777" w:rsidR="0055378D" w:rsidRDefault="00883CD5">
            <w:pPr>
              <w:jc w:val="center"/>
              <w:rPr>
                <w:rFonts w:ascii="Arial" w:hAnsi="Arial" w:cs="Arial"/>
                <w:color w:val="000000"/>
                <w:sz w:val="16"/>
                <w:szCs w:val="16"/>
              </w:rPr>
            </w:pPr>
            <w:r>
              <w:rPr>
                <w:rFonts w:ascii="Arial" w:hAnsi="Arial" w:cs="Arial"/>
                <w:color w:val="000000"/>
                <w:sz w:val="16"/>
                <w:szCs w:val="16"/>
              </w:rPr>
              <w:t>0.00c</w:t>
            </w:r>
          </w:p>
        </w:tc>
        <w:tc>
          <w:tcPr>
            <w:tcW w:w="336" w:type="pct"/>
            <w:tcBorders>
              <w:top w:val="single" w:sz="4" w:space="0" w:color="auto"/>
              <w:left w:val="nil"/>
              <w:bottom w:val="nil"/>
              <w:right w:val="nil"/>
            </w:tcBorders>
          </w:tcPr>
          <w:p w14:paraId="33E9E1D0" w14:textId="77777777" w:rsidR="0055378D" w:rsidRDefault="00883CD5">
            <w:pPr>
              <w:jc w:val="center"/>
              <w:rPr>
                <w:rFonts w:ascii="Arial" w:hAnsi="Arial" w:cs="Arial"/>
                <w:color w:val="000000"/>
                <w:sz w:val="16"/>
                <w:szCs w:val="16"/>
              </w:rPr>
            </w:pPr>
            <w:r>
              <w:rPr>
                <w:rFonts w:ascii="Arial" w:hAnsi="Arial" w:cs="Arial"/>
                <w:color w:val="000000"/>
                <w:sz w:val="16"/>
                <w:szCs w:val="16"/>
              </w:rPr>
              <w:t>8.50c</w:t>
            </w:r>
          </w:p>
        </w:tc>
        <w:tc>
          <w:tcPr>
            <w:tcW w:w="379" w:type="pct"/>
            <w:tcBorders>
              <w:top w:val="single" w:sz="4" w:space="0" w:color="auto"/>
              <w:left w:val="nil"/>
              <w:bottom w:val="nil"/>
              <w:right w:val="nil"/>
            </w:tcBorders>
          </w:tcPr>
          <w:p w14:paraId="2E88B49E" w14:textId="77777777" w:rsidR="0055378D" w:rsidRDefault="00883CD5">
            <w:pPr>
              <w:jc w:val="center"/>
              <w:rPr>
                <w:rFonts w:ascii="Arial" w:hAnsi="Arial" w:cs="Arial"/>
                <w:color w:val="000000"/>
                <w:sz w:val="16"/>
                <w:szCs w:val="16"/>
              </w:rPr>
            </w:pPr>
            <w:r>
              <w:rPr>
                <w:rFonts w:ascii="Arial" w:hAnsi="Arial" w:cs="Arial"/>
                <w:color w:val="000000"/>
                <w:sz w:val="16"/>
                <w:szCs w:val="16"/>
              </w:rPr>
              <w:t>20.67a</w:t>
            </w:r>
          </w:p>
        </w:tc>
        <w:tc>
          <w:tcPr>
            <w:tcW w:w="337" w:type="pct"/>
            <w:tcBorders>
              <w:top w:val="single" w:sz="4" w:space="0" w:color="auto"/>
              <w:left w:val="nil"/>
              <w:bottom w:val="nil"/>
              <w:right w:val="nil"/>
            </w:tcBorders>
          </w:tcPr>
          <w:p w14:paraId="4D85D2E3" w14:textId="77777777" w:rsidR="0055378D" w:rsidRDefault="00883CD5">
            <w:pPr>
              <w:jc w:val="center"/>
              <w:rPr>
                <w:rFonts w:ascii="Arial" w:hAnsi="Arial" w:cs="Arial"/>
                <w:color w:val="000000"/>
                <w:sz w:val="16"/>
                <w:szCs w:val="16"/>
              </w:rPr>
            </w:pPr>
            <w:r>
              <w:rPr>
                <w:rFonts w:ascii="Arial" w:hAnsi="Arial" w:cs="Arial"/>
                <w:color w:val="000000"/>
                <w:sz w:val="16"/>
                <w:szCs w:val="16"/>
              </w:rPr>
              <w:t>2.33b</w:t>
            </w:r>
          </w:p>
        </w:tc>
        <w:tc>
          <w:tcPr>
            <w:tcW w:w="378" w:type="pct"/>
            <w:tcBorders>
              <w:top w:val="single" w:sz="4" w:space="0" w:color="auto"/>
              <w:left w:val="nil"/>
              <w:bottom w:val="nil"/>
              <w:right w:val="nil"/>
            </w:tcBorders>
          </w:tcPr>
          <w:p w14:paraId="21F81EDD" w14:textId="77777777" w:rsidR="0055378D" w:rsidRDefault="00883CD5">
            <w:pPr>
              <w:jc w:val="center"/>
              <w:rPr>
                <w:rFonts w:ascii="Arial" w:hAnsi="Arial" w:cs="Arial"/>
                <w:color w:val="000000"/>
                <w:sz w:val="16"/>
                <w:szCs w:val="16"/>
              </w:rPr>
            </w:pPr>
            <w:r>
              <w:rPr>
                <w:rFonts w:ascii="Arial" w:hAnsi="Arial" w:cs="Arial"/>
                <w:color w:val="000000"/>
                <w:sz w:val="16"/>
                <w:szCs w:val="16"/>
              </w:rPr>
              <w:t>0.00b</w:t>
            </w:r>
          </w:p>
        </w:tc>
        <w:tc>
          <w:tcPr>
            <w:tcW w:w="336" w:type="pct"/>
            <w:tcBorders>
              <w:top w:val="single" w:sz="4" w:space="0" w:color="auto"/>
              <w:left w:val="nil"/>
              <w:bottom w:val="nil"/>
              <w:right w:val="nil"/>
            </w:tcBorders>
          </w:tcPr>
          <w:p w14:paraId="46C4DA4E" w14:textId="77777777" w:rsidR="0055378D" w:rsidRDefault="00883CD5">
            <w:pPr>
              <w:jc w:val="center"/>
              <w:rPr>
                <w:rFonts w:ascii="Arial" w:hAnsi="Arial" w:cs="Arial"/>
                <w:color w:val="000000"/>
                <w:sz w:val="16"/>
                <w:szCs w:val="16"/>
              </w:rPr>
            </w:pPr>
            <w:r>
              <w:rPr>
                <w:rFonts w:ascii="Arial" w:hAnsi="Arial" w:cs="Arial"/>
                <w:color w:val="000000"/>
                <w:sz w:val="16"/>
                <w:szCs w:val="16"/>
              </w:rPr>
              <w:t>0.0</w:t>
            </w:r>
          </w:p>
        </w:tc>
        <w:tc>
          <w:tcPr>
            <w:tcW w:w="335" w:type="pct"/>
            <w:tcBorders>
              <w:top w:val="single" w:sz="4" w:space="0" w:color="auto"/>
              <w:left w:val="nil"/>
              <w:bottom w:val="nil"/>
              <w:right w:val="nil"/>
            </w:tcBorders>
          </w:tcPr>
          <w:p w14:paraId="08F7A9E5" w14:textId="77777777" w:rsidR="0055378D" w:rsidRDefault="00883CD5">
            <w:pPr>
              <w:jc w:val="center"/>
              <w:rPr>
                <w:rFonts w:ascii="Arial" w:hAnsi="Arial" w:cs="Arial"/>
                <w:color w:val="000000"/>
                <w:sz w:val="16"/>
                <w:szCs w:val="16"/>
              </w:rPr>
            </w:pPr>
            <w:r>
              <w:rPr>
                <w:rFonts w:ascii="Arial" w:hAnsi="Arial" w:cs="Arial"/>
                <w:color w:val="000000"/>
                <w:sz w:val="16"/>
                <w:szCs w:val="16"/>
              </w:rPr>
              <w:t>0.00b</w:t>
            </w:r>
          </w:p>
        </w:tc>
        <w:tc>
          <w:tcPr>
            <w:tcW w:w="335" w:type="pct"/>
            <w:tcBorders>
              <w:top w:val="single" w:sz="4" w:space="0" w:color="auto"/>
              <w:left w:val="nil"/>
              <w:bottom w:val="nil"/>
              <w:right w:val="nil"/>
            </w:tcBorders>
          </w:tcPr>
          <w:p w14:paraId="203D7B94" w14:textId="77777777" w:rsidR="0055378D" w:rsidRDefault="00883CD5">
            <w:pPr>
              <w:jc w:val="center"/>
              <w:rPr>
                <w:rFonts w:ascii="Arial" w:hAnsi="Arial" w:cs="Arial"/>
                <w:color w:val="000000"/>
                <w:sz w:val="16"/>
                <w:szCs w:val="16"/>
              </w:rPr>
            </w:pPr>
            <w:r>
              <w:rPr>
                <w:rFonts w:ascii="Arial" w:hAnsi="Arial" w:cs="Arial"/>
                <w:color w:val="000000"/>
                <w:sz w:val="16"/>
                <w:szCs w:val="16"/>
              </w:rPr>
              <w:t>11.67a</w:t>
            </w:r>
          </w:p>
        </w:tc>
        <w:tc>
          <w:tcPr>
            <w:tcW w:w="378" w:type="pct"/>
            <w:tcBorders>
              <w:top w:val="single" w:sz="4" w:space="0" w:color="auto"/>
              <w:left w:val="nil"/>
              <w:bottom w:val="nil"/>
              <w:right w:val="nil"/>
            </w:tcBorders>
          </w:tcPr>
          <w:p w14:paraId="71BA97E2" w14:textId="77777777" w:rsidR="0055378D" w:rsidRDefault="00883CD5">
            <w:pPr>
              <w:jc w:val="center"/>
              <w:rPr>
                <w:rFonts w:ascii="Arial" w:hAnsi="Arial" w:cs="Arial"/>
                <w:color w:val="000000"/>
                <w:sz w:val="16"/>
                <w:szCs w:val="16"/>
              </w:rPr>
            </w:pPr>
            <w:r>
              <w:rPr>
                <w:rFonts w:ascii="Arial" w:hAnsi="Arial" w:cs="Arial"/>
                <w:color w:val="000000"/>
                <w:sz w:val="16"/>
                <w:szCs w:val="16"/>
              </w:rPr>
              <w:t>19.67ab</w:t>
            </w:r>
          </w:p>
        </w:tc>
        <w:tc>
          <w:tcPr>
            <w:tcW w:w="463" w:type="pct"/>
            <w:tcBorders>
              <w:top w:val="nil"/>
              <w:left w:val="nil"/>
              <w:bottom w:val="nil"/>
              <w:right w:val="single" w:sz="4" w:space="0" w:color="auto"/>
            </w:tcBorders>
          </w:tcPr>
          <w:p w14:paraId="1E619F02" w14:textId="77777777" w:rsidR="0055378D" w:rsidRDefault="00883CD5">
            <w:pPr>
              <w:rPr>
                <w:rFonts w:ascii="Arial" w:hAnsi="Arial" w:cs="Arial"/>
                <w:color w:val="000000"/>
                <w:sz w:val="16"/>
                <w:szCs w:val="16"/>
              </w:rPr>
            </w:pPr>
            <w:r>
              <w:rPr>
                <w:rFonts w:ascii="Arial" w:hAnsi="Arial" w:cs="Arial"/>
                <w:color w:val="000000"/>
                <w:sz w:val="16"/>
                <w:szCs w:val="16"/>
              </w:rPr>
              <w:t>4.33e</w:t>
            </w:r>
          </w:p>
        </w:tc>
      </w:tr>
      <w:tr w:rsidR="0055378D" w14:paraId="632903CC" w14:textId="77777777">
        <w:trPr>
          <w:trHeight w:val="354"/>
        </w:trPr>
        <w:tc>
          <w:tcPr>
            <w:tcW w:w="629" w:type="pct"/>
            <w:tcBorders>
              <w:top w:val="single" w:sz="4" w:space="0" w:color="auto"/>
              <w:left w:val="single" w:sz="4" w:space="0" w:color="auto"/>
              <w:bottom w:val="single" w:sz="4" w:space="0" w:color="auto"/>
              <w:right w:val="single" w:sz="4" w:space="0" w:color="auto"/>
            </w:tcBorders>
            <w:vAlign w:val="bottom"/>
          </w:tcPr>
          <w:p w14:paraId="6B04717E" w14:textId="77777777" w:rsidR="0055378D" w:rsidRDefault="00883CD5">
            <w:pPr>
              <w:rPr>
                <w:rFonts w:ascii="Arial" w:hAnsi="Arial" w:cs="Arial"/>
                <w:color w:val="000000"/>
                <w:sz w:val="16"/>
                <w:szCs w:val="16"/>
              </w:rPr>
            </w:pPr>
            <w:bookmarkStart w:id="1" w:name="_Hlk210559080"/>
            <w:r>
              <w:rPr>
                <w:rFonts w:ascii="Arial" w:hAnsi="Arial" w:cs="Arial"/>
                <w:color w:val="000000"/>
                <w:sz w:val="16"/>
                <w:szCs w:val="16"/>
              </w:rPr>
              <w:t>T</w:t>
            </w:r>
            <w:r>
              <w:rPr>
                <w:rFonts w:ascii="Arial" w:hAnsi="Arial" w:cs="Arial"/>
                <w:color w:val="000000"/>
                <w:sz w:val="16"/>
                <w:szCs w:val="16"/>
                <w:vertAlign w:val="subscript"/>
              </w:rPr>
              <w:t>2</w:t>
            </w:r>
            <w:r>
              <w:rPr>
                <w:rFonts w:ascii="Arial" w:hAnsi="Arial" w:cs="Arial"/>
                <w:color w:val="000000"/>
                <w:sz w:val="16"/>
                <w:szCs w:val="16"/>
              </w:rPr>
              <w:t>: STGN-1</w:t>
            </w:r>
          </w:p>
        </w:tc>
        <w:tc>
          <w:tcPr>
            <w:tcW w:w="421" w:type="pct"/>
            <w:tcBorders>
              <w:top w:val="nil"/>
              <w:left w:val="single" w:sz="4" w:space="0" w:color="auto"/>
              <w:bottom w:val="nil"/>
              <w:right w:val="nil"/>
            </w:tcBorders>
          </w:tcPr>
          <w:p w14:paraId="2482D2F4" w14:textId="77777777" w:rsidR="0055378D" w:rsidRDefault="00883CD5">
            <w:pPr>
              <w:jc w:val="center"/>
              <w:rPr>
                <w:rFonts w:ascii="Arial" w:hAnsi="Arial" w:cs="Arial"/>
                <w:color w:val="000000"/>
                <w:sz w:val="16"/>
                <w:szCs w:val="16"/>
              </w:rPr>
            </w:pPr>
            <w:r>
              <w:rPr>
                <w:rFonts w:ascii="Arial" w:hAnsi="Arial" w:cs="Arial"/>
                <w:color w:val="000000"/>
                <w:sz w:val="16"/>
                <w:szCs w:val="16"/>
              </w:rPr>
              <w:t>17.33ab</w:t>
            </w:r>
          </w:p>
        </w:tc>
        <w:tc>
          <w:tcPr>
            <w:tcW w:w="334" w:type="pct"/>
            <w:tcBorders>
              <w:top w:val="nil"/>
              <w:left w:val="nil"/>
              <w:bottom w:val="nil"/>
              <w:right w:val="nil"/>
            </w:tcBorders>
          </w:tcPr>
          <w:p w14:paraId="49E3AEEF" w14:textId="77777777" w:rsidR="0055378D" w:rsidRDefault="00883CD5">
            <w:pPr>
              <w:jc w:val="center"/>
              <w:rPr>
                <w:rFonts w:ascii="Arial" w:hAnsi="Arial" w:cs="Arial"/>
                <w:color w:val="000000"/>
                <w:sz w:val="16"/>
                <w:szCs w:val="16"/>
              </w:rPr>
            </w:pPr>
            <w:r>
              <w:rPr>
                <w:rFonts w:ascii="Arial" w:hAnsi="Arial" w:cs="Arial"/>
                <w:color w:val="000000"/>
                <w:sz w:val="16"/>
                <w:szCs w:val="16"/>
              </w:rPr>
              <w:t>27.00ab</w:t>
            </w:r>
          </w:p>
        </w:tc>
        <w:tc>
          <w:tcPr>
            <w:tcW w:w="337" w:type="pct"/>
            <w:tcBorders>
              <w:top w:val="nil"/>
              <w:left w:val="nil"/>
              <w:bottom w:val="nil"/>
              <w:right w:val="nil"/>
            </w:tcBorders>
          </w:tcPr>
          <w:p w14:paraId="3EBAEDED" w14:textId="77777777" w:rsidR="0055378D" w:rsidRDefault="00883CD5">
            <w:pPr>
              <w:jc w:val="center"/>
              <w:rPr>
                <w:rFonts w:ascii="Arial" w:hAnsi="Arial" w:cs="Arial"/>
                <w:color w:val="000000"/>
                <w:sz w:val="16"/>
                <w:szCs w:val="16"/>
              </w:rPr>
            </w:pPr>
            <w:r>
              <w:rPr>
                <w:rFonts w:ascii="Arial" w:hAnsi="Arial" w:cs="Arial"/>
                <w:color w:val="000000"/>
                <w:sz w:val="16"/>
                <w:szCs w:val="16"/>
              </w:rPr>
              <w:t>44.33ab</w:t>
            </w:r>
          </w:p>
        </w:tc>
        <w:tc>
          <w:tcPr>
            <w:tcW w:w="336" w:type="pct"/>
            <w:tcBorders>
              <w:top w:val="nil"/>
              <w:left w:val="nil"/>
              <w:bottom w:val="nil"/>
              <w:right w:val="nil"/>
            </w:tcBorders>
          </w:tcPr>
          <w:p w14:paraId="2446748A" w14:textId="77777777" w:rsidR="0055378D" w:rsidRDefault="00883CD5">
            <w:pPr>
              <w:jc w:val="center"/>
              <w:rPr>
                <w:rFonts w:ascii="Arial" w:hAnsi="Arial" w:cs="Arial"/>
                <w:color w:val="000000"/>
                <w:sz w:val="16"/>
                <w:szCs w:val="16"/>
              </w:rPr>
            </w:pPr>
            <w:r>
              <w:rPr>
                <w:rFonts w:ascii="Arial" w:hAnsi="Arial" w:cs="Arial"/>
                <w:color w:val="000000"/>
                <w:sz w:val="16"/>
                <w:szCs w:val="16"/>
              </w:rPr>
              <w:t>9.83b</w:t>
            </w:r>
          </w:p>
        </w:tc>
        <w:tc>
          <w:tcPr>
            <w:tcW w:w="379" w:type="pct"/>
            <w:tcBorders>
              <w:top w:val="nil"/>
              <w:left w:val="nil"/>
              <w:bottom w:val="nil"/>
              <w:right w:val="nil"/>
            </w:tcBorders>
          </w:tcPr>
          <w:p w14:paraId="3DF1AB00" w14:textId="77777777" w:rsidR="0055378D" w:rsidRDefault="00883CD5">
            <w:pPr>
              <w:jc w:val="center"/>
              <w:rPr>
                <w:rFonts w:ascii="Arial" w:hAnsi="Arial" w:cs="Arial"/>
                <w:color w:val="000000"/>
                <w:sz w:val="16"/>
                <w:szCs w:val="16"/>
              </w:rPr>
            </w:pPr>
            <w:r>
              <w:rPr>
                <w:rFonts w:ascii="Arial" w:hAnsi="Arial" w:cs="Arial"/>
                <w:color w:val="000000"/>
                <w:sz w:val="16"/>
                <w:szCs w:val="16"/>
              </w:rPr>
              <w:t>20.67a</w:t>
            </w:r>
          </w:p>
        </w:tc>
        <w:tc>
          <w:tcPr>
            <w:tcW w:w="337" w:type="pct"/>
            <w:tcBorders>
              <w:top w:val="nil"/>
              <w:left w:val="nil"/>
              <w:bottom w:val="nil"/>
              <w:right w:val="nil"/>
            </w:tcBorders>
          </w:tcPr>
          <w:p w14:paraId="7B39E2CF" w14:textId="77777777" w:rsidR="0055378D" w:rsidRDefault="00883CD5">
            <w:pPr>
              <w:jc w:val="center"/>
              <w:rPr>
                <w:rFonts w:ascii="Arial" w:hAnsi="Arial" w:cs="Arial"/>
                <w:color w:val="000000"/>
                <w:sz w:val="16"/>
                <w:szCs w:val="16"/>
              </w:rPr>
            </w:pPr>
            <w:r>
              <w:rPr>
                <w:rFonts w:ascii="Arial" w:hAnsi="Arial" w:cs="Arial"/>
                <w:color w:val="000000"/>
                <w:sz w:val="16"/>
                <w:szCs w:val="16"/>
              </w:rPr>
              <w:t>4.67a</w:t>
            </w:r>
          </w:p>
        </w:tc>
        <w:tc>
          <w:tcPr>
            <w:tcW w:w="378" w:type="pct"/>
            <w:tcBorders>
              <w:top w:val="nil"/>
              <w:left w:val="nil"/>
              <w:bottom w:val="nil"/>
              <w:right w:val="nil"/>
            </w:tcBorders>
          </w:tcPr>
          <w:p w14:paraId="76BF07CC" w14:textId="77777777" w:rsidR="0055378D" w:rsidRDefault="00883CD5">
            <w:pPr>
              <w:jc w:val="center"/>
              <w:rPr>
                <w:rFonts w:ascii="Arial" w:hAnsi="Arial" w:cs="Arial"/>
                <w:color w:val="000000"/>
                <w:sz w:val="16"/>
                <w:szCs w:val="16"/>
              </w:rPr>
            </w:pPr>
            <w:r>
              <w:rPr>
                <w:rFonts w:ascii="Arial" w:hAnsi="Arial" w:cs="Arial"/>
                <w:color w:val="000000"/>
                <w:sz w:val="16"/>
                <w:szCs w:val="16"/>
              </w:rPr>
              <w:t>34.00a</w:t>
            </w:r>
          </w:p>
        </w:tc>
        <w:tc>
          <w:tcPr>
            <w:tcW w:w="336" w:type="pct"/>
            <w:tcBorders>
              <w:top w:val="nil"/>
              <w:left w:val="nil"/>
              <w:bottom w:val="nil"/>
              <w:right w:val="nil"/>
            </w:tcBorders>
          </w:tcPr>
          <w:p w14:paraId="199B0CD5" w14:textId="77777777" w:rsidR="0055378D" w:rsidRDefault="00883CD5">
            <w:pPr>
              <w:jc w:val="center"/>
              <w:rPr>
                <w:rFonts w:ascii="Arial" w:hAnsi="Arial" w:cs="Arial"/>
                <w:color w:val="000000"/>
                <w:sz w:val="16"/>
                <w:szCs w:val="16"/>
              </w:rPr>
            </w:pPr>
            <w:r>
              <w:rPr>
                <w:rFonts w:ascii="Arial" w:hAnsi="Arial" w:cs="Arial"/>
                <w:color w:val="000000"/>
                <w:sz w:val="16"/>
                <w:szCs w:val="16"/>
              </w:rPr>
              <w:t>20.67a</w:t>
            </w:r>
          </w:p>
        </w:tc>
        <w:tc>
          <w:tcPr>
            <w:tcW w:w="335" w:type="pct"/>
            <w:tcBorders>
              <w:top w:val="nil"/>
              <w:left w:val="nil"/>
              <w:bottom w:val="nil"/>
              <w:right w:val="nil"/>
            </w:tcBorders>
          </w:tcPr>
          <w:p w14:paraId="6C47F442" w14:textId="77777777" w:rsidR="0055378D" w:rsidRDefault="00883CD5">
            <w:pPr>
              <w:jc w:val="center"/>
              <w:rPr>
                <w:rFonts w:ascii="Arial" w:hAnsi="Arial" w:cs="Arial"/>
                <w:color w:val="000000"/>
                <w:sz w:val="16"/>
                <w:szCs w:val="16"/>
              </w:rPr>
            </w:pPr>
            <w:r>
              <w:rPr>
                <w:rFonts w:ascii="Arial" w:hAnsi="Arial" w:cs="Arial"/>
                <w:color w:val="000000"/>
                <w:sz w:val="16"/>
                <w:szCs w:val="16"/>
              </w:rPr>
              <w:t>54.67a</w:t>
            </w:r>
          </w:p>
        </w:tc>
        <w:tc>
          <w:tcPr>
            <w:tcW w:w="335" w:type="pct"/>
            <w:tcBorders>
              <w:top w:val="nil"/>
              <w:left w:val="nil"/>
              <w:bottom w:val="nil"/>
              <w:right w:val="nil"/>
            </w:tcBorders>
          </w:tcPr>
          <w:p w14:paraId="1F72809D" w14:textId="77777777" w:rsidR="0055378D" w:rsidRDefault="00883CD5">
            <w:pPr>
              <w:jc w:val="center"/>
              <w:rPr>
                <w:rFonts w:ascii="Arial" w:hAnsi="Arial" w:cs="Arial"/>
                <w:color w:val="000000"/>
                <w:sz w:val="16"/>
                <w:szCs w:val="16"/>
              </w:rPr>
            </w:pPr>
            <w:r>
              <w:rPr>
                <w:rFonts w:ascii="Arial" w:hAnsi="Arial" w:cs="Arial"/>
                <w:color w:val="000000"/>
                <w:sz w:val="16"/>
                <w:szCs w:val="16"/>
              </w:rPr>
              <w:t>12.67a</w:t>
            </w:r>
          </w:p>
        </w:tc>
        <w:tc>
          <w:tcPr>
            <w:tcW w:w="378" w:type="pct"/>
            <w:tcBorders>
              <w:top w:val="nil"/>
              <w:left w:val="nil"/>
              <w:bottom w:val="nil"/>
              <w:right w:val="nil"/>
            </w:tcBorders>
          </w:tcPr>
          <w:p w14:paraId="06BCCB99" w14:textId="77777777" w:rsidR="0055378D" w:rsidRDefault="00883CD5">
            <w:pPr>
              <w:jc w:val="center"/>
              <w:rPr>
                <w:rFonts w:ascii="Arial" w:hAnsi="Arial" w:cs="Arial"/>
                <w:color w:val="000000"/>
                <w:sz w:val="16"/>
                <w:szCs w:val="16"/>
              </w:rPr>
            </w:pPr>
            <w:r>
              <w:rPr>
                <w:rFonts w:ascii="Arial" w:hAnsi="Arial" w:cs="Arial"/>
                <w:color w:val="000000"/>
                <w:sz w:val="16"/>
                <w:szCs w:val="16"/>
              </w:rPr>
              <w:t>27.67a</w:t>
            </w:r>
          </w:p>
        </w:tc>
        <w:tc>
          <w:tcPr>
            <w:tcW w:w="463" w:type="pct"/>
            <w:tcBorders>
              <w:top w:val="nil"/>
              <w:left w:val="nil"/>
              <w:bottom w:val="nil"/>
              <w:right w:val="single" w:sz="4" w:space="0" w:color="auto"/>
            </w:tcBorders>
          </w:tcPr>
          <w:p w14:paraId="13DB67C7" w14:textId="77777777" w:rsidR="0055378D" w:rsidRDefault="00883CD5">
            <w:pPr>
              <w:rPr>
                <w:rFonts w:ascii="Arial" w:hAnsi="Arial" w:cs="Arial"/>
                <w:color w:val="000000"/>
                <w:sz w:val="16"/>
                <w:szCs w:val="16"/>
              </w:rPr>
            </w:pPr>
            <w:r>
              <w:rPr>
                <w:rFonts w:ascii="Arial" w:hAnsi="Arial" w:cs="Arial"/>
                <w:color w:val="000000"/>
                <w:sz w:val="16"/>
                <w:szCs w:val="16"/>
              </w:rPr>
              <w:t>7.33c</w:t>
            </w:r>
          </w:p>
        </w:tc>
      </w:tr>
      <w:tr w:rsidR="0055378D" w14:paraId="012E5A24" w14:textId="77777777">
        <w:trPr>
          <w:trHeight w:val="354"/>
        </w:trPr>
        <w:tc>
          <w:tcPr>
            <w:tcW w:w="629" w:type="pct"/>
            <w:tcBorders>
              <w:top w:val="single" w:sz="4" w:space="0" w:color="auto"/>
              <w:left w:val="single" w:sz="4" w:space="0" w:color="auto"/>
              <w:bottom w:val="single" w:sz="4" w:space="0" w:color="auto"/>
              <w:right w:val="single" w:sz="4" w:space="0" w:color="auto"/>
            </w:tcBorders>
            <w:vAlign w:val="bottom"/>
          </w:tcPr>
          <w:p w14:paraId="3783A664"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3</w:t>
            </w:r>
            <w:r>
              <w:rPr>
                <w:rFonts w:ascii="Arial" w:hAnsi="Arial" w:cs="Arial"/>
                <w:color w:val="000000"/>
                <w:sz w:val="16"/>
                <w:szCs w:val="16"/>
              </w:rPr>
              <w:t>: STGN-3</w:t>
            </w:r>
          </w:p>
        </w:tc>
        <w:tc>
          <w:tcPr>
            <w:tcW w:w="421" w:type="pct"/>
            <w:tcBorders>
              <w:top w:val="nil"/>
              <w:left w:val="single" w:sz="4" w:space="0" w:color="auto"/>
              <w:bottom w:val="nil"/>
              <w:right w:val="nil"/>
            </w:tcBorders>
          </w:tcPr>
          <w:p w14:paraId="509318C7" w14:textId="77777777" w:rsidR="0055378D" w:rsidRDefault="00883CD5">
            <w:pPr>
              <w:jc w:val="center"/>
              <w:rPr>
                <w:rFonts w:ascii="Arial" w:hAnsi="Arial" w:cs="Arial"/>
                <w:color w:val="000000"/>
                <w:sz w:val="16"/>
                <w:szCs w:val="16"/>
              </w:rPr>
            </w:pPr>
            <w:r>
              <w:rPr>
                <w:rFonts w:ascii="Arial" w:hAnsi="Arial" w:cs="Arial"/>
                <w:color w:val="000000"/>
                <w:sz w:val="16"/>
                <w:szCs w:val="16"/>
              </w:rPr>
              <w:t>18.67ab</w:t>
            </w:r>
          </w:p>
        </w:tc>
        <w:tc>
          <w:tcPr>
            <w:tcW w:w="334" w:type="pct"/>
            <w:tcBorders>
              <w:top w:val="nil"/>
              <w:left w:val="nil"/>
              <w:bottom w:val="nil"/>
              <w:right w:val="nil"/>
            </w:tcBorders>
          </w:tcPr>
          <w:p w14:paraId="362A6AF4" w14:textId="77777777" w:rsidR="0055378D" w:rsidRDefault="00883CD5">
            <w:pPr>
              <w:jc w:val="center"/>
              <w:rPr>
                <w:rFonts w:ascii="Arial" w:hAnsi="Arial" w:cs="Arial"/>
                <w:color w:val="000000"/>
                <w:sz w:val="16"/>
                <w:szCs w:val="16"/>
              </w:rPr>
            </w:pPr>
            <w:r>
              <w:rPr>
                <w:rFonts w:ascii="Arial" w:hAnsi="Arial" w:cs="Arial"/>
                <w:color w:val="000000"/>
                <w:sz w:val="16"/>
                <w:szCs w:val="16"/>
              </w:rPr>
              <w:t>25.67ab</w:t>
            </w:r>
          </w:p>
        </w:tc>
        <w:tc>
          <w:tcPr>
            <w:tcW w:w="337" w:type="pct"/>
            <w:tcBorders>
              <w:top w:val="nil"/>
              <w:left w:val="nil"/>
              <w:bottom w:val="nil"/>
              <w:right w:val="nil"/>
            </w:tcBorders>
          </w:tcPr>
          <w:p w14:paraId="1455D242" w14:textId="77777777" w:rsidR="0055378D" w:rsidRDefault="00883CD5">
            <w:pPr>
              <w:jc w:val="center"/>
              <w:rPr>
                <w:rFonts w:ascii="Arial" w:hAnsi="Arial" w:cs="Arial"/>
                <w:color w:val="000000"/>
                <w:sz w:val="16"/>
                <w:szCs w:val="16"/>
              </w:rPr>
            </w:pPr>
            <w:r>
              <w:rPr>
                <w:rFonts w:ascii="Arial" w:hAnsi="Arial" w:cs="Arial"/>
                <w:color w:val="000000"/>
                <w:sz w:val="16"/>
                <w:szCs w:val="16"/>
              </w:rPr>
              <w:t>44.33ab</w:t>
            </w:r>
          </w:p>
        </w:tc>
        <w:tc>
          <w:tcPr>
            <w:tcW w:w="336" w:type="pct"/>
            <w:tcBorders>
              <w:top w:val="nil"/>
              <w:left w:val="nil"/>
              <w:bottom w:val="nil"/>
              <w:right w:val="nil"/>
            </w:tcBorders>
          </w:tcPr>
          <w:p w14:paraId="3B6FE99F" w14:textId="77777777" w:rsidR="0055378D" w:rsidRDefault="00883CD5">
            <w:pPr>
              <w:jc w:val="center"/>
              <w:rPr>
                <w:rFonts w:ascii="Arial" w:hAnsi="Arial" w:cs="Arial"/>
                <w:color w:val="000000"/>
                <w:sz w:val="16"/>
                <w:szCs w:val="16"/>
              </w:rPr>
            </w:pPr>
            <w:r>
              <w:rPr>
                <w:rFonts w:ascii="Arial" w:hAnsi="Arial" w:cs="Arial"/>
                <w:color w:val="000000"/>
                <w:sz w:val="16"/>
                <w:szCs w:val="16"/>
              </w:rPr>
              <w:t>10.17b</w:t>
            </w:r>
          </w:p>
        </w:tc>
        <w:tc>
          <w:tcPr>
            <w:tcW w:w="379" w:type="pct"/>
            <w:tcBorders>
              <w:top w:val="nil"/>
              <w:left w:val="nil"/>
              <w:bottom w:val="nil"/>
              <w:right w:val="nil"/>
            </w:tcBorders>
          </w:tcPr>
          <w:p w14:paraId="4F6242B7" w14:textId="77777777" w:rsidR="0055378D" w:rsidRDefault="00883CD5">
            <w:pPr>
              <w:jc w:val="center"/>
              <w:rPr>
                <w:rFonts w:ascii="Arial" w:hAnsi="Arial" w:cs="Arial"/>
                <w:color w:val="000000"/>
                <w:sz w:val="16"/>
                <w:szCs w:val="16"/>
              </w:rPr>
            </w:pPr>
            <w:r>
              <w:rPr>
                <w:rFonts w:ascii="Arial" w:hAnsi="Arial" w:cs="Arial"/>
                <w:color w:val="000000"/>
                <w:sz w:val="16"/>
                <w:szCs w:val="16"/>
              </w:rPr>
              <w:t>18.83a</w:t>
            </w:r>
          </w:p>
        </w:tc>
        <w:tc>
          <w:tcPr>
            <w:tcW w:w="337" w:type="pct"/>
            <w:tcBorders>
              <w:top w:val="nil"/>
              <w:left w:val="nil"/>
              <w:bottom w:val="nil"/>
              <w:right w:val="nil"/>
            </w:tcBorders>
          </w:tcPr>
          <w:p w14:paraId="07A64B0A" w14:textId="77777777" w:rsidR="0055378D" w:rsidRDefault="00883CD5">
            <w:pPr>
              <w:jc w:val="center"/>
              <w:rPr>
                <w:rFonts w:ascii="Arial" w:hAnsi="Arial" w:cs="Arial"/>
                <w:color w:val="000000"/>
                <w:sz w:val="16"/>
                <w:szCs w:val="16"/>
              </w:rPr>
            </w:pPr>
            <w:r>
              <w:rPr>
                <w:rFonts w:ascii="Arial" w:hAnsi="Arial" w:cs="Arial"/>
                <w:color w:val="000000"/>
                <w:sz w:val="16"/>
                <w:szCs w:val="16"/>
              </w:rPr>
              <w:t>5.00a</w:t>
            </w:r>
          </w:p>
        </w:tc>
        <w:tc>
          <w:tcPr>
            <w:tcW w:w="378" w:type="pct"/>
            <w:tcBorders>
              <w:top w:val="nil"/>
              <w:left w:val="nil"/>
              <w:bottom w:val="nil"/>
              <w:right w:val="nil"/>
            </w:tcBorders>
          </w:tcPr>
          <w:p w14:paraId="119968F8" w14:textId="77777777" w:rsidR="0055378D" w:rsidRDefault="00883CD5">
            <w:pPr>
              <w:jc w:val="center"/>
              <w:rPr>
                <w:rFonts w:ascii="Arial" w:hAnsi="Arial" w:cs="Arial"/>
                <w:color w:val="000000"/>
                <w:sz w:val="16"/>
                <w:szCs w:val="16"/>
              </w:rPr>
            </w:pPr>
            <w:r>
              <w:rPr>
                <w:rFonts w:ascii="Arial" w:hAnsi="Arial" w:cs="Arial"/>
                <w:color w:val="000000"/>
                <w:sz w:val="16"/>
                <w:szCs w:val="16"/>
              </w:rPr>
              <w:t>23.67ab</w:t>
            </w:r>
          </w:p>
        </w:tc>
        <w:tc>
          <w:tcPr>
            <w:tcW w:w="336" w:type="pct"/>
            <w:tcBorders>
              <w:top w:val="nil"/>
              <w:left w:val="nil"/>
              <w:bottom w:val="nil"/>
              <w:right w:val="nil"/>
            </w:tcBorders>
          </w:tcPr>
          <w:p w14:paraId="455CBD9F" w14:textId="77777777" w:rsidR="0055378D" w:rsidRDefault="00883CD5">
            <w:pPr>
              <w:jc w:val="center"/>
              <w:rPr>
                <w:rFonts w:ascii="Arial" w:hAnsi="Arial" w:cs="Arial"/>
                <w:color w:val="000000"/>
                <w:sz w:val="16"/>
                <w:szCs w:val="16"/>
              </w:rPr>
            </w:pPr>
            <w:r>
              <w:rPr>
                <w:rFonts w:ascii="Arial" w:hAnsi="Arial" w:cs="Arial"/>
                <w:color w:val="000000"/>
                <w:sz w:val="16"/>
                <w:szCs w:val="16"/>
              </w:rPr>
              <w:t>14.00ab</w:t>
            </w:r>
          </w:p>
        </w:tc>
        <w:tc>
          <w:tcPr>
            <w:tcW w:w="335" w:type="pct"/>
            <w:tcBorders>
              <w:top w:val="nil"/>
              <w:left w:val="nil"/>
              <w:bottom w:val="nil"/>
              <w:right w:val="nil"/>
            </w:tcBorders>
          </w:tcPr>
          <w:p w14:paraId="11E35A33" w14:textId="77777777" w:rsidR="0055378D" w:rsidRDefault="00883CD5">
            <w:pPr>
              <w:jc w:val="center"/>
              <w:rPr>
                <w:rFonts w:ascii="Arial" w:hAnsi="Arial" w:cs="Arial"/>
                <w:color w:val="000000"/>
                <w:sz w:val="16"/>
                <w:szCs w:val="16"/>
              </w:rPr>
            </w:pPr>
            <w:r>
              <w:rPr>
                <w:rFonts w:ascii="Arial" w:hAnsi="Arial" w:cs="Arial"/>
                <w:color w:val="000000"/>
                <w:sz w:val="16"/>
                <w:szCs w:val="16"/>
              </w:rPr>
              <w:t>37.67ab</w:t>
            </w:r>
          </w:p>
        </w:tc>
        <w:tc>
          <w:tcPr>
            <w:tcW w:w="335" w:type="pct"/>
            <w:tcBorders>
              <w:top w:val="nil"/>
              <w:left w:val="nil"/>
              <w:bottom w:val="nil"/>
              <w:right w:val="nil"/>
            </w:tcBorders>
          </w:tcPr>
          <w:p w14:paraId="5A081D69" w14:textId="77777777" w:rsidR="0055378D" w:rsidRDefault="00883CD5">
            <w:pPr>
              <w:jc w:val="center"/>
              <w:rPr>
                <w:rFonts w:ascii="Arial" w:hAnsi="Arial" w:cs="Arial"/>
                <w:color w:val="000000"/>
                <w:sz w:val="16"/>
                <w:szCs w:val="16"/>
              </w:rPr>
            </w:pPr>
            <w:r>
              <w:rPr>
                <w:rFonts w:ascii="Arial" w:hAnsi="Arial" w:cs="Arial"/>
                <w:color w:val="000000"/>
                <w:sz w:val="16"/>
                <w:szCs w:val="16"/>
              </w:rPr>
              <w:t>13.00a</w:t>
            </w:r>
          </w:p>
        </w:tc>
        <w:tc>
          <w:tcPr>
            <w:tcW w:w="378" w:type="pct"/>
            <w:tcBorders>
              <w:top w:val="nil"/>
              <w:left w:val="nil"/>
              <w:bottom w:val="nil"/>
              <w:right w:val="nil"/>
            </w:tcBorders>
          </w:tcPr>
          <w:p w14:paraId="045D188B" w14:textId="77777777" w:rsidR="0055378D" w:rsidRDefault="00883CD5">
            <w:pPr>
              <w:jc w:val="center"/>
              <w:rPr>
                <w:rFonts w:ascii="Arial" w:hAnsi="Arial" w:cs="Arial"/>
                <w:color w:val="000000"/>
                <w:sz w:val="16"/>
                <w:szCs w:val="16"/>
              </w:rPr>
            </w:pPr>
            <w:r>
              <w:rPr>
                <w:rFonts w:ascii="Arial" w:hAnsi="Arial" w:cs="Arial"/>
                <w:color w:val="000000"/>
                <w:sz w:val="16"/>
                <w:szCs w:val="16"/>
              </w:rPr>
              <w:t>23.67ab</w:t>
            </w:r>
          </w:p>
        </w:tc>
        <w:tc>
          <w:tcPr>
            <w:tcW w:w="463" w:type="pct"/>
            <w:tcBorders>
              <w:top w:val="nil"/>
              <w:left w:val="nil"/>
              <w:bottom w:val="nil"/>
              <w:right w:val="single" w:sz="4" w:space="0" w:color="auto"/>
            </w:tcBorders>
          </w:tcPr>
          <w:p w14:paraId="02834658" w14:textId="77777777" w:rsidR="0055378D" w:rsidRDefault="00883CD5">
            <w:pPr>
              <w:rPr>
                <w:rFonts w:ascii="Arial" w:hAnsi="Arial" w:cs="Arial"/>
                <w:color w:val="000000"/>
                <w:sz w:val="16"/>
                <w:szCs w:val="16"/>
              </w:rPr>
            </w:pPr>
            <w:r>
              <w:rPr>
                <w:rFonts w:ascii="Arial" w:hAnsi="Arial" w:cs="Arial"/>
                <w:color w:val="000000"/>
                <w:sz w:val="16"/>
                <w:szCs w:val="16"/>
              </w:rPr>
              <w:t>8.00bc</w:t>
            </w:r>
          </w:p>
        </w:tc>
      </w:tr>
      <w:tr w:rsidR="0055378D" w14:paraId="6EC1228A"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6A44C516" w14:textId="77777777" w:rsidR="0055378D" w:rsidRDefault="00883CD5">
            <w:pPr>
              <w:rPr>
                <w:rFonts w:ascii="Arial" w:hAnsi="Arial" w:cs="Arial"/>
                <w:color w:val="000000"/>
                <w:sz w:val="16"/>
                <w:szCs w:val="16"/>
              </w:rPr>
            </w:pPr>
            <w:bookmarkStart w:id="2" w:name="_Hlk210562661"/>
            <w:r>
              <w:rPr>
                <w:rFonts w:ascii="Arial" w:hAnsi="Arial" w:cs="Arial"/>
                <w:color w:val="000000"/>
                <w:sz w:val="16"/>
                <w:szCs w:val="16"/>
              </w:rPr>
              <w:t>T</w:t>
            </w:r>
            <w:r>
              <w:rPr>
                <w:rFonts w:ascii="Arial" w:hAnsi="Arial" w:cs="Arial"/>
                <w:color w:val="000000"/>
                <w:sz w:val="16"/>
                <w:szCs w:val="16"/>
                <w:vertAlign w:val="subscript"/>
              </w:rPr>
              <w:t>4</w:t>
            </w:r>
            <w:r>
              <w:rPr>
                <w:rFonts w:ascii="Arial" w:hAnsi="Arial" w:cs="Arial"/>
                <w:color w:val="000000"/>
                <w:sz w:val="16"/>
                <w:szCs w:val="16"/>
              </w:rPr>
              <w:t>; STGN-4</w:t>
            </w:r>
          </w:p>
        </w:tc>
        <w:tc>
          <w:tcPr>
            <w:tcW w:w="421" w:type="pct"/>
            <w:tcBorders>
              <w:top w:val="nil"/>
              <w:left w:val="single" w:sz="4" w:space="0" w:color="auto"/>
              <w:bottom w:val="nil"/>
              <w:right w:val="nil"/>
            </w:tcBorders>
          </w:tcPr>
          <w:p w14:paraId="6B49BBB2" w14:textId="77777777" w:rsidR="0055378D" w:rsidRDefault="00883CD5">
            <w:pPr>
              <w:jc w:val="center"/>
              <w:rPr>
                <w:rFonts w:ascii="Arial" w:hAnsi="Arial" w:cs="Arial"/>
                <w:color w:val="000000"/>
                <w:sz w:val="16"/>
                <w:szCs w:val="16"/>
              </w:rPr>
            </w:pPr>
            <w:r>
              <w:rPr>
                <w:rFonts w:ascii="Arial" w:hAnsi="Arial" w:cs="Arial"/>
                <w:color w:val="000000"/>
                <w:sz w:val="16"/>
                <w:szCs w:val="16"/>
              </w:rPr>
              <w:t>25.00a</w:t>
            </w:r>
          </w:p>
        </w:tc>
        <w:tc>
          <w:tcPr>
            <w:tcW w:w="334" w:type="pct"/>
            <w:tcBorders>
              <w:top w:val="nil"/>
              <w:left w:val="nil"/>
              <w:bottom w:val="nil"/>
              <w:right w:val="nil"/>
            </w:tcBorders>
          </w:tcPr>
          <w:p w14:paraId="06B2792E" w14:textId="77777777" w:rsidR="0055378D" w:rsidRDefault="00883CD5">
            <w:pPr>
              <w:jc w:val="center"/>
              <w:rPr>
                <w:rFonts w:ascii="Arial" w:hAnsi="Arial" w:cs="Arial"/>
                <w:color w:val="000000"/>
                <w:sz w:val="16"/>
                <w:szCs w:val="16"/>
              </w:rPr>
            </w:pPr>
            <w:r>
              <w:rPr>
                <w:rFonts w:ascii="Arial" w:hAnsi="Arial" w:cs="Arial"/>
                <w:color w:val="000000"/>
                <w:sz w:val="16"/>
                <w:szCs w:val="16"/>
              </w:rPr>
              <w:t>28.00ab</w:t>
            </w:r>
          </w:p>
        </w:tc>
        <w:tc>
          <w:tcPr>
            <w:tcW w:w="337" w:type="pct"/>
            <w:tcBorders>
              <w:top w:val="nil"/>
              <w:left w:val="nil"/>
              <w:bottom w:val="nil"/>
              <w:right w:val="nil"/>
            </w:tcBorders>
          </w:tcPr>
          <w:p w14:paraId="07DF8134" w14:textId="77777777" w:rsidR="0055378D" w:rsidRDefault="00883CD5">
            <w:pPr>
              <w:jc w:val="center"/>
              <w:rPr>
                <w:rFonts w:ascii="Arial" w:hAnsi="Arial" w:cs="Arial"/>
                <w:color w:val="000000"/>
                <w:sz w:val="16"/>
                <w:szCs w:val="16"/>
              </w:rPr>
            </w:pPr>
            <w:r>
              <w:rPr>
                <w:rFonts w:ascii="Arial" w:hAnsi="Arial" w:cs="Arial"/>
                <w:color w:val="000000"/>
                <w:sz w:val="16"/>
                <w:szCs w:val="16"/>
              </w:rPr>
              <w:t>53.00a</w:t>
            </w:r>
          </w:p>
        </w:tc>
        <w:tc>
          <w:tcPr>
            <w:tcW w:w="336" w:type="pct"/>
            <w:tcBorders>
              <w:top w:val="nil"/>
              <w:left w:val="nil"/>
              <w:bottom w:val="nil"/>
              <w:right w:val="nil"/>
            </w:tcBorders>
          </w:tcPr>
          <w:p w14:paraId="246C50CE" w14:textId="77777777" w:rsidR="0055378D" w:rsidRDefault="00883CD5">
            <w:pPr>
              <w:jc w:val="center"/>
              <w:rPr>
                <w:rFonts w:ascii="Arial" w:hAnsi="Arial" w:cs="Arial"/>
                <w:color w:val="000000"/>
                <w:sz w:val="16"/>
                <w:szCs w:val="16"/>
              </w:rPr>
            </w:pPr>
            <w:r>
              <w:rPr>
                <w:rFonts w:ascii="Arial" w:hAnsi="Arial" w:cs="Arial"/>
                <w:color w:val="000000"/>
                <w:sz w:val="16"/>
                <w:szCs w:val="16"/>
              </w:rPr>
              <w:t>11.00a</w:t>
            </w:r>
          </w:p>
        </w:tc>
        <w:tc>
          <w:tcPr>
            <w:tcW w:w="379" w:type="pct"/>
            <w:tcBorders>
              <w:top w:val="nil"/>
              <w:left w:val="nil"/>
              <w:bottom w:val="nil"/>
              <w:right w:val="nil"/>
            </w:tcBorders>
          </w:tcPr>
          <w:p w14:paraId="6A64A90E" w14:textId="77777777" w:rsidR="0055378D" w:rsidRDefault="00883CD5">
            <w:pPr>
              <w:jc w:val="center"/>
              <w:rPr>
                <w:rFonts w:ascii="Arial" w:hAnsi="Arial" w:cs="Arial"/>
                <w:color w:val="000000"/>
                <w:sz w:val="16"/>
                <w:szCs w:val="16"/>
              </w:rPr>
            </w:pPr>
            <w:r>
              <w:rPr>
                <w:rFonts w:ascii="Arial" w:hAnsi="Arial" w:cs="Arial"/>
                <w:color w:val="000000"/>
                <w:sz w:val="16"/>
                <w:szCs w:val="16"/>
              </w:rPr>
              <w:t>18.83a</w:t>
            </w:r>
          </w:p>
        </w:tc>
        <w:tc>
          <w:tcPr>
            <w:tcW w:w="337" w:type="pct"/>
            <w:tcBorders>
              <w:top w:val="nil"/>
              <w:left w:val="nil"/>
              <w:bottom w:val="nil"/>
              <w:right w:val="nil"/>
            </w:tcBorders>
          </w:tcPr>
          <w:p w14:paraId="32B65D19" w14:textId="77777777" w:rsidR="0055378D" w:rsidRDefault="00883CD5">
            <w:pPr>
              <w:jc w:val="center"/>
              <w:rPr>
                <w:rFonts w:ascii="Arial" w:hAnsi="Arial" w:cs="Arial"/>
                <w:color w:val="000000"/>
                <w:sz w:val="16"/>
                <w:szCs w:val="16"/>
              </w:rPr>
            </w:pPr>
            <w:r>
              <w:rPr>
                <w:rFonts w:ascii="Arial" w:hAnsi="Arial" w:cs="Arial"/>
                <w:color w:val="000000"/>
                <w:sz w:val="16"/>
                <w:szCs w:val="16"/>
              </w:rPr>
              <w:t>5.33a</w:t>
            </w:r>
          </w:p>
        </w:tc>
        <w:tc>
          <w:tcPr>
            <w:tcW w:w="378" w:type="pct"/>
            <w:tcBorders>
              <w:top w:val="nil"/>
              <w:left w:val="nil"/>
              <w:bottom w:val="nil"/>
              <w:right w:val="nil"/>
            </w:tcBorders>
          </w:tcPr>
          <w:p w14:paraId="191E47D9" w14:textId="77777777" w:rsidR="0055378D" w:rsidRDefault="00883CD5">
            <w:pPr>
              <w:jc w:val="center"/>
              <w:rPr>
                <w:rFonts w:ascii="Arial" w:hAnsi="Arial" w:cs="Arial"/>
                <w:color w:val="000000"/>
                <w:sz w:val="16"/>
                <w:szCs w:val="16"/>
              </w:rPr>
            </w:pPr>
            <w:r>
              <w:rPr>
                <w:rFonts w:ascii="Arial" w:hAnsi="Arial" w:cs="Arial"/>
                <w:color w:val="000000"/>
                <w:sz w:val="16"/>
                <w:szCs w:val="16"/>
              </w:rPr>
              <w:t>12.00ab</w:t>
            </w:r>
          </w:p>
        </w:tc>
        <w:tc>
          <w:tcPr>
            <w:tcW w:w="336" w:type="pct"/>
            <w:tcBorders>
              <w:top w:val="nil"/>
              <w:left w:val="nil"/>
              <w:bottom w:val="nil"/>
              <w:right w:val="nil"/>
            </w:tcBorders>
          </w:tcPr>
          <w:p w14:paraId="39B7196A" w14:textId="77777777" w:rsidR="0055378D" w:rsidRDefault="00883CD5">
            <w:pPr>
              <w:jc w:val="center"/>
              <w:rPr>
                <w:rFonts w:ascii="Arial" w:hAnsi="Arial" w:cs="Arial"/>
                <w:color w:val="000000"/>
                <w:sz w:val="16"/>
                <w:szCs w:val="16"/>
              </w:rPr>
            </w:pPr>
            <w:r>
              <w:rPr>
                <w:rFonts w:ascii="Arial" w:hAnsi="Arial" w:cs="Arial"/>
                <w:color w:val="000000"/>
                <w:sz w:val="16"/>
                <w:szCs w:val="16"/>
              </w:rPr>
              <w:t>7.67ab</w:t>
            </w:r>
          </w:p>
        </w:tc>
        <w:tc>
          <w:tcPr>
            <w:tcW w:w="335" w:type="pct"/>
            <w:tcBorders>
              <w:top w:val="nil"/>
              <w:left w:val="nil"/>
              <w:bottom w:val="nil"/>
              <w:right w:val="nil"/>
            </w:tcBorders>
          </w:tcPr>
          <w:p w14:paraId="4056B938" w14:textId="77777777" w:rsidR="0055378D" w:rsidRDefault="00883CD5">
            <w:pPr>
              <w:jc w:val="center"/>
              <w:rPr>
                <w:rFonts w:ascii="Arial" w:hAnsi="Arial" w:cs="Arial"/>
                <w:color w:val="000000"/>
                <w:sz w:val="16"/>
                <w:szCs w:val="16"/>
              </w:rPr>
            </w:pPr>
            <w:r>
              <w:rPr>
                <w:rFonts w:ascii="Arial" w:hAnsi="Arial" w:cs="Arial"/>
                <w:color w:val="000000"/>
                <w:sz w:val="16"/>
                <w:szCs w:val="16"/>
              </w:rPr>
              <w:t>19.67ab</w:t>
            </w:r>
          </w:p>
        </w:tc>
        <w:tc>
          <w:tcPr>
            <w:tcW w:w="335" w:type="pct"/>
            <w:tcBorders>
              <w:top w:val="nil"/>
              <w:left w:val="nil"/>
              <w:bottom w:val="nil"/>
              <w:right w:val="nil"/>
            </w:tcBorders>
          </w:tcPr>
          <w:p w14:paraId="5A0C7EA5" w14:textId="77777777" w:rsidR="0055378D" w:rsidRDefault="00883CD5">
            <w:pPr>
              <w:jc w:val="center"/>
              <w:rPr>
                <w:rFonts w:ascii="Arial" w:hAnsi="Arial" w:cs="Arial"/>
                <w:color w:val="000000"/>
                <w:sz w:val="16"/>
                <w:szCs w:val="16"/>
              </w:rPr>
            </w:pPr>
            <w:r>
              <w:rPr>
                <w:rFonts w:ascii="Arial" w:hAnsi="Arial" w:cs="Arial"/>
                <w:color w:val="000000"/>
                <w:sz w:val="16"/>
                <w:szCs w:val="16"/>
              </w:rPr>
              <w:t>12.67a</w:t>
            </w:r>
          </w:p>
        </w:tc>
        <w:tc>
          <w:tcPr>
            <w:tcW w:w="378" w:type="pct"/>
            <w:tcBorders>
              <w:top w:val="nil"/>
              <w:left w:val="nil"/>
              <w:bottom w:val="nil"/>
              <w:right w:val="nil"/>
            </w:tcBorders>
          </w:tcPr>
          <w:p w14:paraId="2C636FF6" w14:textId="77777777" w:rsidR="0055378D" w:rsidRDefault="00883CD5">
            <w:pPr>
              <w:jc w:val="center"/>
              <w:rPr>
                <w:rFonts w:ascii="Arial" w:hAnsi="Arial" w:cs="Arial"/>
                <w:color w:val="000000"/>
                <w:sz w:val="16"/>
                <w:szCs w:val="16"/>
              </w:rPr>
            </w:pPr>
            <w:r>
              <w:rPr>
                <w:rFonts w:ascii="Arial" w:hAnsi="Arial" w:cs="Arial"/>
                <w:color w:val="000000"/>
                <w:sz w:val="16"/>
                <w:szCs w:val="16"/>
              </w:rPr>
              <w:t>22.67ab</w:t>
            </w:r>
          </w:p>
        </w:tc>
        <w:tc>
          <w:tcPr>
            <w:tcW w:w="463" w:type="pct"/>
            <w:tcBorders>
              <w:top w:val="nil"/>
              <w:left w:val="nil"/>
              <w:bottom w:val="nil"/>
              <w:right w:val="single" w:sz="4" w:space="0" w:color="auto"/>
            </w:tcBorders>
          </w:tcPr>
          <w:p w14:paraId="7DCAF90B" w14:textId="77777777" w:rsidR="0055378D" w:rsidRDefault="00883CD5">
            <w:pPr>
              <w:rPr>
                <w:rFonts w:ascii="Arial" w:hAnsi="Arial" w:cs="Arial"/>
                <w:color w:val="000000"/>
                <w:sz w:val="16"/>
                <w:szCs w:val="16"/>
              </w:rPr>
            </w:pPr>
            <w:r>
              <w:rPr>
                <w:rFonts w:ascii="Arial" w:hAnsi="Arial" w:cs="Arial"/>
                <w:color w:val="000000"/>
                <w:sz w:val="16"/>
                <w:szCs w:val="16"/>
              </w:rPr>
              <w:t>8.67ab</w:t>
            </w:r>
          </w:p>
        </w:tc>
      </w:tr>
      <w:bookmarkEnd w:id="2"/>
      <w:tr w:rsidR="0055378D" w14:paraId="3B551084" w14:textId="77777777">
        <w:trPr>
          <w:trHeight w:val="354"/>
        </w:trPr>
        <w:tc>
          <w:tcPr>
            <w:tcW w:w="629" w:type="pct"/>
            <w:tcBorders>
              <w:top w:val="single" w:sz="4" w:space="0" w:color="auto"/>
              <w:left w:val="single" w:sz="4" w:space="0" w:color="auto"/>
              <w:bottom w:val="single" w:sz="4" w:space="0" w:color="auto"/>
              <w:right w:val="single" w:sz="4" w:space="0" w:color="auto"/>
            </w:tcBorders>
            <w:vAlign w:val="bottom"/>
          </w:tcPr>
          <w:p w14:paraId="0256F89B"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5</w:t>
            </w:r>
            <w:r>
              <w:rPr>
                <w:rFonts w:ascii="Arial" w:hAnsi="Arial" w:cs="Arial"/>
                <w:color w:val="000000"/>
                <w:sz w:val="16"/>
                <w:szCs w:val="16"/>
              </w:rPr>
              <w:t>: STGN-5</w:t>
            </w:r>
          </w:p>
        </w:tc>
        <w:tc>
          <w:tcPr>
            <w:tcW w:w="421" w:type="pct"/>
            <w:tcBorders>
              <w:top w:val="nil"/>
              <w:left w:val="single" w:sz="4" w:space="0" w:color="auto"/>
              <w:bottom w:val="nil"/>
              <w:right w:val="nil"/>
            </w:tcBorders>
          </w:tcPr>
          <w:p w14:paraId="5D8BF825" w14:textId="77777777" w:rsidR="0055378D" w:rsidRDefault="00883CD5">
            <w:pPr>
              <w:jc w:val="center"/>
              <w:rPr>
                <w:rFonts w:ascii="Arial" w:hAnsi="Arial" w:cs="Arial"/>
                <w:color w:val="000000"/>
                <w:sz w:val="16"/>
                <w:szCs w:val="16"/>
              </w:rPr>
            </w:pPr>
            <w:r>
              <w:rPr>
                <w:rFonts w:ascii="Arial" w:hAnsi="Arial" w:cs="Arial"/>
                <w:color w:val="000000"/>
                <w:sz w:val="16"/>
                <w:szCs w:val="16"/>
              </w:rPr>
              <w:t>13.67b</w:t>
            </w:r>
          </w:p>
        </w:tc>
        <w:tc>
          <w:tcPr>
            <w:tcW w:w="334" w:type="pct"/>
            <w:tcBorders>
              <w:top w:val="nil"/>
              <w:left w:val="nil"/>
              <w:bottom w:val="nil"/>
              <w:right w:val="nil"/>
            </w:tcBorders>
          </w:tcPr>
          <w:p w14:paraId="5DBB993B" w14:textId="77777777" w:rsidR="0055378D" w:rsidRDefault="00883CD5">
            <w:pPr>
              <w:jc w:val="center"/>
              <w:rPr>
                <w:rFonts w:ascii="Arial" w:hAnsi="Arial" w:cs="Arial"/>
                <w:color w:val="000000"/>
                <w:sz w:val="16"/>
                <w:szCs w:val="16"/>
              </w:rPr>
            </w:pPr>
            <w:r>
              <w:rPr>
                <w:rFonts w:ascii="Arial" w:hAnsi="Arial" w:cs="Arial"/>
                <w:color w:val="000000"/>
                <w:sz w:val="16"/>
                <w:szCs w:val="16"/>
              </w:rPr>
              <w:t>21.00b</w:t>
            </w:r>
          </w:p>
        </w:tc>
        <w:tc>
          <w:tcPr>
            <w:tcW w:w="337" w:type="pct"/>
            <w:tcBorders>
              <w:top w:val="nil"/>
              <w:left w:val="nil"/>
              <w:bottom w:val="nil"/>
              <w:right w:val="nil"/>
            </w:tcBorders>
          </w:tcPr>
          <w:p w14:paraId="00F24B99" w14:textId="77777777" w:rsidR="0055378D" w:rsidRDefault="00883CD5">
            <w:pPr>
              <w:jc w:val="center"/>
              <w:rPr>
                <w:rFonts w:ascii="Arial" w:hAnsi="Arial" w:cs="Arial"/>
                <w:color w:val="000000"/>
                <w:sz w:val="16"/>
                <w:szCs w:val="16"/>
              </w:rPr>
            </w:pPr>
            <w:r>
              <w:rPr>
                <w:rFonts w:ascii="Arial" w:hAnsi="Arial" w:cs="Arial"/>
                <w:color w:val="000000"/>
                <w:sz w:val="16"/>
                <w:szCs w:val="16"/>
              </w:rPr>
              <w:t>34.67b</w:t>
            </w:r>
          </w:p>
        </w:tc>
        <w:tc>
          <w:tcPr>
            <w:tcW w:w="336" w:type="pct"/>
            <w:tcBorders>
              <w:top w:val="nil"/>
              <w:left w:val="nil"/>
              <w:bottom w:val="nil"/>
              <w:right w:val="nil"/>
            </w:tcBorders>
          </w:tcPr>
          <w:p w14:paraId="6A4AD3EB" w14:textId="77777777" w:rsidR="0055378D" w:rsidRDefault="00883CD5">
            <w:pPr>
              <w:jc w:val="center"/>
              <w:rPr>
                <w:rFonts w:ascii="Arial" w:hAnsi="Arial" w:cs="Arial"/>
                <w:color w:val="000000"/>
                <w:sz w:val="16"/>
                <w:szCs w:val="16"/>
              </w:rPr>
            </w:pPr>
            <w:r>
              <w:rPr>
                <w:rFonts w:ascii="Arial" w:hAnsi="Arial" w:cs="Arial"/>
                <w:color w:val="000000"/>
                <w:sz w:val="16"/>
                <w:szCs w:val="16"/>
              </w:rPr>
              <w:t>8.33c</w:t>
            </w:r>
          </w:p>
        </w:tc>
        <w:tc>
          <w:tcPr>
            <w:tcW w:w="379" w:type="pct"/>
            <w:tcBorders>
              <w:top w:val="nil"/>
              <w:left w:val="nil"/>
              <w:bottom w:val="nil"/>
              <w:right w:val="nil"/>
            </w:tcBorders>
          </w:tcPr>
          <w:p w14:paraId="53B0C612" w14:textId="77777777" w:rsidR="0055378D" w:rsidRDefault="00883CD5">
            <w:pPr>
              <w:jc w:val="center"/>
              <w:rPr>
                <w:rFonts w:ascii="Arial" w:hAnsi="Arial" w:cs="Arial"/>
                <w:color w:val="000000"/>
                <w:sz w:val="16"/>
                <w:szCs w:val="16"/>
              </w:rPr>
            </w:pPr>
            <w:r>
              <w:rPr>
                <w:rFonts w:ascii="Arial" w:hAnsi="Arial" w:cs="Arial"/>
                <w:color w:val="000000"/>
                <w:sz w:val="16"/>
                <w:szCs w:val="16"/>
              </w:rPr>
              <w:t>10.67c</w:t>
            </w:r>
          </w:p>
        </w:tc>
        <w:tc>
          <w:tcPr>
            <w:tcW w:w="337" w:type="pct"/>
            <w:tcBorders>
              <w:top w:val="nil"/>
              <w:left w:val="nil"/>
              <w:bottom w:val="nil"/>
              <w:right w:val="nil"/>
            </w:tcBorders>
          </w:tcPr>
          <w:p w14:paraId="3FAB94D4" w14:textId="77777777" w:rsidR="0055378D" w:rsidRDefault="00883CD5">
            <w:pPr>
              <w:jc w:val="center"/>
              <w:rPr>
                <w:rFonts w:ascii="Arial" w:hAnsi="Arial" w:cs="Arial"/>
                <w:color w:val="000000"/>
                <w:sz w:val="16"/>
                <w:szCs w:val="16"/>
              </w:rPr>
            </w:pPr>
            <w:r>
              <w:rPr>
                <w:rFonts w:ascii="Arial" w:hAnsi="Arial" w:cs="Arial"/>
                <w:color w:val="000000"/>
                <w:sz w:val="16"/>
                <w:szCs w:val="16"/>
              </w:rPr>
              <w:t>2.67b</w:t>
            </w:r>
          </w:p>
        </w:tc>
        <w:tc>
          <w:tcPr>
            <w:tcW w:w="378" w:type="pct"/>
            <w:tcBorders>
              <w:top w:val="nil"/>
              <w:left w:val="nil"/>
              <w:bottom w:val="nil"/>
              <w:right w:val="nil"/>
            </w:tcBorders>
          </w:tcPr>
          <w:p w14:paraId="34795F42" w14:textId="77777777" w:rsidR="0055378D" w:rsidRDefault="00883CD5">
            <w:pPr>
              <w:jc w:val="center"/>
              <w:rPr>
                <w:rFonts w:ascii="Arial" w:hAnsi="Arial" w:cs="Arial"/>
                <w:color w:val="000000"/>
                <w:sz w:val="16"/>
                <w:szCs w:val="16"/>
              </w:rPr>
            </w:pPr>
            <w:r>
              <w:rPr>
                <w:rFonts w:ascii="Arial" w:hAnsi="Arial" w:cs="Arial"/>
                <w:color w:val="000000"/>
                <w:sz w:val="16"/>
                <w:szCs w:val="16"/>
              </w:rPr>
              <w:t>21.67ab</w:t>
            </w:r>
          </w:p>
        </w:tc>
        <w:tc>
          <w:tcPr>
            <w:tcW w:w="336" w:type="pct"/>
            <w:tcBorders>
              <w:top w:val="nil"/>
              <w:left w:val="nil"/>
              <w:bottom w:val="nil"/>
              <w:right w:val="nil"/>
            </w:tcBorders>
          </w:tcPr>
          <w:p w14:paraId="2F484370" w14:textId="77777777" w:rsidR="0055378D" w:rsidRDefault="00883CD5">
            <w:pPr>
              <w:jc w:val="center"/>
              <w:rPr>
                <w:rFonts w:ascii="Arial" w:hAnsi="Arial" w:cs="Arial"/>
                <w:color w:val="000000"/>
                <w:sz w:val="16"/>
                <w:szCs w:val="16"/>
              </w:rPr>
            </w:pPr>
            <w:r>
              <w:rPr>
                <w:rFonts w:ascii="Arial" w:hAnsi="Arial" w:cs="Arial"/>
                <w:color w:val="000000"/>
                <w:sz w:val="16"/>
                <w:szCs w:val="16"/>
              </w:rPr>
              <w:t>10.00ab</w:t>
            </w:r>
          </w:p>
        </w:tc>
        <w:tc>
          <w:tcPr>
            <w:tcW w:w="335" w:type="pct"/>
            <w:tcBorders>
              <w:top w:val="nil"/>
              <w:left w:val="nil"/>
              <w:bottom w:val="nil"/>
              <w:right w:val="nil"/>
            </w:tcBorders>
          </w:tcPr>
          <w:p w14:paraId="024FFF13" w14:textId="77777777" w:rsidR="0055378D" w:rsidRDefault="00883CD5">
            <w:pPr>
              <w:jc w:val="center"/>
              <w:rPr>
                <w:rFonts w:ascii="Arial" w:hAnsi="Arial" w:cs="Arial"/>
                <w:color w:val="000000"/>
                <w:sz w:val="16"/>
                <w:szCs w:val="16"/>
              </w:rPr>
            </w:pPr>
            <w:r>
              <w:rPr>
                <w:rFonts w:ascii="Arial" w:hAnsi="Arial" w:cs="Arial"/>
                <w:color w:val="000000"/>
                <w:sz w:val="16"/>
                <w:szCs w:val="16"/>
              </w:rPr>
              <w:t>31.67ab</w:t>
            </w:r>
          </w:p>
        </w:tc>
        <w:tc>
          <w:tcPr>
            <w:tcW w:w="335" w:type="pct"/>
            <w:tcBorders>
              <w:top w:val="nil"/>
              <w:left w:val="nil"/>
              <w:bottom w:val="nil"/>
              <w:right w:val="nil"/>
            </w:tcBorders>
          </w:tcPr>
          <w:p w14:paraId="51F93825" w14:textId="77777777" w:rsidR="0055378D" w:rsidRDefault="00883CD5">
            <w:pPr>
              <w:jc w:val="center"/>
              <w:rPr>
                <w:rFonts w:ascii="Arial" w:hAnsi="Arial" w:cs="Arial"/>
                <w:color w:val="000000"/>
                <w:sz w:val="16"/>
                <w:szCs w:val="16"/>
              </w:rPr>
            </w:pPr>
            <w:r>
              <w:rPr>
                <w:rFonts w:ascii="Arial" w:hAnsi="Arial" w:cs="Arial"/>
                <w:color w:val="000000"/>
                <w:sz w:val="16"/>
                <w:szCs w:val="16"/>
              </w:rPr>
              <w:t>11.33a</w:t>
            </w:r>
          </w:p>
        </w:tc>
        <w:tc>
          <w:tcPr>
            <w:tcW w:w="378" w:type="pct"/>
            <w:tcBorders>
              <w:top w:val="nil"/>
              <w:left w:val="nil"/>
              <w:bottom w:val="nil"/>
              <w:right w:val="nil"/>
            </w:tcBorders>
          </w:tcPr>
          <w:p w14:paraId="60EBBEC8" w14:textId="77777777" w:rsidR="0055378D" w:rsidRDefault="00883CD5">
            <w:pPr>
              <w:jc w:val="center"/>
              <w:rPr>
                <w:rFonts w:ascii="Arial" w:hAnsi="Arial" w:cs="Arial"/>
                <w:color w:val="000000"/>
                <w:sz w:val="16"/>
                <w:szCs w:val="16"/>
              </w:rPr>
            </w:pPr>
            <w:r>
              <w:rPr>
                <w:rFonts w:ascii="Arial" w:hAnsi="Arial" w:cs="Arial"/>
                <w:color w:val="000000"/>
                <w:sz w:val="16"/>
                <w:szCs w:val="16"/>
              </w:rPr>
              <w:t>17.67b</w:t>
            </w:r>
          </w:p>
        </w:tc>
        <w:tc>
          <w:tcPr>
            <w:tcW w:w="463" w:type="pct"/>
            <w:tcBorders>
              <w:top w:val="nil"/>
              <w:left w:val="nil"/>
              <w:bottom w:val="nil"/>
              <w:right w:val="single" w:sz="4" w:space="0" w:color="auto"/>
            </w:tcBorders>
          </w:tcPr>
          <w:p w14:paraId="4F02D93E" w14:textId="77777777" w:rsidR="0055378D" w:rsidRDefault="00883CD5">
            <w:pPr>
              <w:rPr>
                <w:rFonts w:ascii="Arial" w:hAnsi="Arial" w:cs="Arial"/>
                <w:color w:val="000000"/>
                <w:sz w:val="16"/>
                <w:szCs w:val="16"/>
              </w:rPr>
            </w:pPr>
            <w:r>
              <w:rPr>
                <w:rFonts w:ascii="Arial" w:hAnsi="Arial" w:cs="Arial"/>
                <w:color w:val="000000"/>
                <w:sz w:val="16"/>
                <w:szCs w:val="16"/>
              </w:rPr>
              <w:t>6.00d</w:t>
            </w:r>
          </w:p>
        </w:tc>
      </w:tr>
      <w:tr w:rsidR="0055378D" w14:paraId="44708877"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49676E7F"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6</w:t>
            </w:r>
            <w:r>
              <w:rPr>
                <w:rFonts w:ascii="Arial" w:hAnsi="Arial" w:cs="Arial"/>
                <w:color w:val="000000"/>
                <w:sz w:val="16"/>
                <w:szCs w:val="16"/>
              </w:rPr>
              <w:t>: STGN-6</w:t>
            </w:r>
          </w:p>
        </w:tc>
        <w:tc>
          <w:tcPr>
            <w:tcW w:w="421" w:type="pct"/>
            <w:tcBorders>
              <w:top w:val="nil"/>
              <w:left w:val="single" w:sz="4" w:space="0" w:color="auto"/>
              <w:bottom w:val="nil"/>
              <w:right w:val="nil"/>
            </w:tcBorders>
          </w:tcPr>
          <w:p w14:paraId="2006D01C" w14:textId="77777777" w:rsidR="0055378D" w:rsidRDefault="00883CD5">
            <w:pPr>
              <w:jc w:val="center"/>
              <w:rPr>
                <w:rFonts w:ascii="Arial" w:hAnsi="Arial" w:cs="Arial"/>
                <w:color w:val="000000"/>
                <w:sz w:val="16"/>
                <w:szCs w:val="16"/>
              </w:rPr>
            </w:pPr>
            <w:r>
              <w:rPr>
                <w:rFonts w:ascii="Arial" w:hAnsi="Arial" w:cs="Arial"/>
                <w:color w:val="000000"/>
                <w:sz w:val="16"/>
                <w:szCs w:val="16"/>
              </w:rPr>
              <w:t>12.00b</w:t>
            </w:r>
          </w:p>
        </w:tc>
        <w:tc>
          <w:tcPr>
            <w:tcW w:w="334" w:type="pct"/>
            <w:tcBorders>
              <w:top w:val="nil"/>
              <w:left w:val="nil"/>
              <w:bottom w:val="nil"/>
              <w:right w:val="nil"/>
            </w:tcBorders>
          </w:tcPr>
          <w:p w14:paraId="406A9112" w14:textId="77777777" w:rsidR="0055378D" w:rsidRDefault="00883CD5">
            <w:pPr>
              <w:jc w:val="center"/>
              <w:rPr>
                <w:rFonts w:ascii="Arial" w:hAnsi="Arial" w:cs="Arial"/>
                <w:color w:val="000000"/>
                <w:sz w:val="16"/>
                <w:szCs w:val="16"/>
              </w:rPr>
            </w:pPr>
            <w:r>
              <w:rPr>
                <w:rFonts w:ascii="Arial" w:hAnsi="Arial" w:cs="Arial"/>
                <w:color w:val="000000"/>
                <w:sz w:val="16"/>
                <w:szCs w:val="16"/>
              </w:rPr>
              <w:t>22.00b</w:t>
            </w:r>
          </w:p>
        </w:tc>
        <w:tc>
          <w:tcPr>
            <w:tcW w:w="337" w:type="pct"/>
            <w:tcBorders>
              <w:top w:val="nil"/>
              <w:left w:val="nil"/>
              <w:bottom w:val="nil"/>
              <w:right w:val="nil"/>
            </w:tcBorders>
          </w:tcPr>
          <w:p w14:paraId="534C43A4" w14:textId="77777777" w:rsidR="0055378D" w:rsidRDefault="00883CD5">
            <w:pPr>
              <w:jc w:val="center"/>
              <w:rPr>
                <w:rFonts w:ascii="Arial" w:hAnsi="Arial" w:cs="Arial"/>
                <w:color w:val="000000"/>
                <w:sz w:val="16"/>
                <w:szCs w:val="16"/>
              </w:rPr>
            </w:pPr>
            <w:r>
              <w:rPr>
                <w:rFonts w:ascii="Arial" w:hAnsi="Arial" w:cs="Arial"/>
                <w:color w:val="000000"/>
                <w:sz w:val="16"/>
                <w:szCs w:val="16"/>
              </w:rPr>
              <w:t>34.00b</w:t>
            </w:r>
          </w:p>
        </w:tc>
        <w:tc>
          <w:tcPr>
            <w:tcW w:w="336" w:type="pct"/>
            <w:tcBorders>
              <w:top w:val="nil"/>
              <w:left w:val="nil"/>
              <w:bottom w:val="nil"/>
              <w:right w:val="nil"/>
            </w:tcBorders>
          </w:tcPr>
          <w:p w14:paraId="2FCBDE32" w14:textId="77777777" w:rsidR="0055378D" w:rsidRDefault="00883CD5">
            <w:pPr>
              <w:jc w:val="center"/>
              <w:rPr>
                <w:rFonts w:ascii="Arial" w:hAnsi="Arial" w:cs="Arial"/>
                <w:color w:val="000000"/>
                <w:sz w:val="16"/>
                <w:szCs w:val="16"/>
              </w:rPr>
            </w:pPr>
            <w:r>
              <w:rPr>
                <w:rFonts w:ascii="Arial" w:hAnsi="Arial" w:cs="Arial"/>
                <w:color w:val="000000"/>
                <w:sz w:val="16"/>
                <w:szCs w:val="16"/>
              </w:rPr>
              <w:t>9.67b</w:t>
            </w:r>
          </w:p>
        </w:tc>
        <w:tc>
          <w:tcPr>
            <w:tcW w:w="379" w:type="pct"/>
            <w:tcBorders>
              <w:top w:val="nil"/>
              <w:left w:val="nil"/>
              <w:bottom w:val="nil"/>
              <w:right w:val="nil"/>
            </w:tcBorders>
          </w:tcPr>
          <w:p w14:paraId="3B17E20E" w14:textId="77777777" w:rsidR="0055378D" w:rsidRDefault="00883CD5">
            <w:pPr>
              <w:jc w:val="center"/>
              <w:rPr>
                <w:rFonts w:ascii="Arial" w:hAnsi="Arial" w:cs="Arial"/>
                <w:color w:val="000000"/>
                <w:sz w:val="16"/>
                <w:szCs w:val="16"/>
              </w:rPr>
            </w:pPr>
            <w:r>
              <w:rPr>
                <w:rFonts w:ascii="Arial" w:hAnsi="Arial" w:cs="Arial"/>
                <w:color w:val="000000"/>
                <w:sz w:val="16"/>
                <w:szCs w:val="16"/>
              </w:rPr>
              <w:t>20.50a</w:t>
            </w:r>
          </w:p>
        </w:tc>
        <w:tc>
          <w:tcPr>
            <w:tcW w:w="337" w:type="pct"/>
            <w:tcBorders>
              <w:top w:val="nil"/>
              <w:left w:val="nil"/>
              <w:bottom w:val="nil"/>
              <w:right w:val="nil"/>
            </w:tcBorders>
          </w:tcPr>
          <w:p w14:paraId="1E480E47" w14:textId="77777777" w:rsidR="0055378D" w:rsidRDefault="00883CD5">
            <w:pPr>
              <w:jc w:val="center"/>
              <w:rPr>
                <w:rFonts w:ascii="Arial" w:hAnsi="Arial" w:cs="Arial"/>
                <w:color w:val="000000"/>
                <w:sz w:val="16"/>
                <w:szCs w:val="16"/>
              </w:rPr>
            </w:pPr>
            <w:r>
              <w:rPr>
                <w:rFonts w:ascii="Arial" w:hAnsi="Arial" w:cs="Arial"/>
                <w:color w:val="000000"/>
                <w:sz w:val="16"/>
                <w:szCs w:val="16"/>
              </w:rPr>
              <w:t>3.00b</w:t>
            </w:r>
          </w:p>
        </w:tc>
        <w:tc>
          <w:tcPr>
            <w:tcW w:w="378" w:type="pct"/>
            <w:tcBorders>
              <w:top w:val="nil"/>
              <w:left w:val="nil"/>
              <w:bottom w:val="nil"/>
              <w:right w:val="nil"/>
            </w:tcBorders>
          </w:tcPr>
          <w:p w14:paraId="4D586F71" w14:textId="77777777" w:rsidR="0055378D" w:rsidRDefault="00883CD5">
            <w:pPr>
              <w:jc w:val="center"/>
              <w:rPr>
                <w:rFonts w:ascii="Arial" w:hAnsi="Arial" w:cs="Arial"/>
                <w:color w:val="000000"/>
                <w:sz w:val="16"/>
                <w:szCs w:val="16"/>
              </w:rPr>
            </w:pPr>
            <w:r>
              <w:rPr>
                <w:rFonts w:ascii="Arial" w:hAnsi="Arial" w:cs="Arial"/>
                <w:color w:val="000000"/>
                <w:sz w:val="16"/>
                <w:szCs w:val="16"/>
              </w:rPr>
              <w:t>30.00ab</w:t>
            </w:r>
          </w:p>
        </w:tc>
        <w:tc>
          <w:tcPr>
            <w:tcW w:w="336" w:type="pct"/>
            <w:tcBorders>
              <w:top w:val="nil"/>
              <w:left w:val="nil"/>
              <w:bottom w:val="nil"/>
              <w:right w:val="nil"/>
            </w:tcBorders>
          </w:tcPr>
          <w:p w14:paraId="54B81DFD" w14:textId="77777777" w:rsidR="0055378D" w:rsidRDefault="00883CD5">
            <w:pPr>
              <w:jc w:val="center"/>
              <w:rPr>
                <w:rFonts w:ascii="Arial" w:hAnsi="Arial" w:cs="Arial"/>
                <w:color w:val="000000"/>
                <w:sz w:val="16"/>
                <w:szCs w:val="16"/>
              </w:rPr>
            </w:pPr>
            <w:r>
              <w:rPr>
                <w:rFonts w:ascii="Arial" w:hAnsi="Arial" w:cs="Arial"/>
                <w:color w:val="000000"/>
                <w:sz w:val="16"/>
                <w:szCs w:val="16"/>
              </w:rPr>
              <w:t>14.00ab</w:t>
            </w:r>
          </w:p>
        </w:tc>
        <w:tc>
          <w:tcPr>
            <w:tcW w:w="335" w:type="pct"/>
            <w:tcBorders>
              <w:top w:val="nil"/>
              <w:left w:val="nil"/>
              <w:bottom w:val="nil"/>
              <w:right w:val="nil"/>
            </w:tcBorders>
          </w:tcPr>
          <w:p w14:paraId="366347E1" w14:textId="77777777" w:rsidR="0055378D" w:rsidRDefault="00883CD5">
            <w:pPr>
              <w:jc w:val="center"/>
              <w:rPr>
                <w:rFonts w:ascii="Arial" w:hAnsi="Arial" w:cs="Arial"/>
                <w:color w:val="000000"/>
                <w:sz w:val="16"/>
                <w:szCs w:val="16"/>
              </w:rPr>
            </w:pPr>
            <w:r>
              <w:rPr>
                <w:rFonts w:ascii="Arial" w:hAnsi="Arial" w:cs="Arial"/>
                <w:color w:val="000000"/>
                <w:sz w:val="16"/>
                <w:szCs w:val="16"/>
              </w:rPr>
              <w:t>44.00a</w:t>
            </w:r>
          </w:p>
        </w:tc>
        <w:tc>
          <w:tcPr>
            <w:tcW w:w="335" w:type="pct"/>
            <w:tcBorders>
              <w:top w:val="nil"/>
              <w:left w:val="nil"/>
              <w:bottom w:val="nil"/>
              <w:right w:val="nil"/>
            </w:tcBorders>
          </w:tcPr>
          <w:p w14:paraId="19C95BD5" w14:textId="77777777" w:rsidR="0055378D" w:rsidRDefault="00883CD5">
            <w:pPr>
              <w:jc w:val="center"/>
              <w:rPr>
                <w:rFonts w:ascii="Arial" w:hAnsi="Arial" w:cs="Arial"/>
                <w:color w:val="000000"/>
                <w:sz w:val="16"/>
                <w:szCs w:val="16"/>
              </w:rPr>
            </w:pPr>
            <w:r>
              <w:rPr>
                <w:rFonts w:ascii="Arial" w:hAnsi="Arial" w:cs="Arial"/>
                <w:color w:val="000000"/>
                <w:sz w:val="16"/>
                <w:szCs w:val="16"/>
              </w:rPr>
              <w:t>12.67a</w:t>
            </w:r>
          </w:p>
        </w:tc>
        <w:tc>
          <w:tcPr>
            <w:tcW w:w="378" w:type="pct"/>
            <w:tcBorders>
              <w:top w:val="nil"/>
              <w:left w:val="nil"/>
              <w:bottom w:val="nil"/>
              <w:right w:val="nil"/>
            </w:tcBorders>
          </w:tcPr>
          <w:p w14:paraId="5CD4ACBB" w14:textId="77777777" w:rsidR="0055378D" w:rsidRDefault="00883CD5">
            <w:pPr>
              <w:jc w:val="center"/>
              <w:rPr>
                <w:rFonts w:ascii="Arial" w:hAnsi="Arial" w:cs="Arial"/>
                <w:color w:val="000000"/>
                <w:sz w:val="16"/>
                <w:szCs w:val="16"/>
              </w:rPr>
            </w:pPr>
            <w:r>
              <w:rPr>
                <w:rFonts w:ascii="Arial" w:hAnsi="Arial" w:cs="Arial"/>
                <w:color w:val="000000"/>
                <w:sz w:val="16"/>
                <w:szCs w:val="16"/>
              </w:rPr>
              <w:t>22.00ab</w:t>
            </w:r>
          </w:p>
        </w:tc>
        <w:tc>
          <w:tcPr>
            <w:tcW w:w="463" w:type="pct"/>
            <w:tcBorders>
              <w:top w:val="nil"/>
              <w:left w:val="nil"/>
              <w:bottom w:val="nil"/>
              <w:right w:val="single" w:sz="4" w:space="0" w:color="auto"/>
            </w:tcBorders>
          </w:tcPr>
          <w:p w14:paraId="65F35E2B" w14:textId="77777777" w:rsidR="0055378D" w:rsidRDefault="00883CD5">
            <w:pPr>
              <w:rPr>
                <w:rFonts w:ascii="Arial" w:hAnsi="Arial" w:cs="Arial"/>
                <w:color w:val="000000"/>
                <w:sz w:val="16"/>
                <w:szCs w:val="16"/>
              </w:rPr>
            </w:pPr>
            <w:r>
              <w:rPr>
                <w:rFonts w:ascii="Arial" w:hAnsi="Arial" w:cs="Arial"/>
                <w:color w:val="000000"/>
                <w:sz w:val="16"/>
                <w:szCs w:val="16"/>
              </w:rPr>
              <w:t>5.33de</w:t>
            </w:r>
          </w:p>
        </w:tc>
      </w:tr>
      <w:tr w:rsidR="0055378D" w14:paraId="3A6F78D1"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2C3005D6"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7</w:t>
            </w:r>
            <w:r>
              <w:rPr>
                <w:rFonts w:ascii="Arial" w:hAnsi="Arial" w:cs="Arial"/>
                <w:color w:val="000000"/>
                <w:sz w:val="16"/>
                <w:szCs w:val="16"/>
              </w:rPr>
              <w:t>: STGN-7</w:t>
            </w:r>
          </w:p>
        </w:tc>
        <w:tc>
          <w:tcPr>
            <w:tcW w:w="421" w:type="pct"/>
            <w:tcBorders>
              <w:top w:val="nil"/>
              <w:left w:val="single" w:sz="4" w:space="0" w:color="auto"/>
              <w:bottom w:val="nil"/>
              <w:right w:val="nil"/>
            </w:tcBorders>
          </w:tcPr>
          <w:p w14:paraId="495CBCF5" w14:textId="77777777" w:rsidR="0055378D" w:rsidRDefault="00883CD5">
            <w:pPr>
              <w:jc w:val="center"/>
              <w:rPr>
                <w:rFonts w:ascii="Arial" w:hAnsi="Arial" w:cs="Arial"/>
                <w:color w:val="000000"/>
                <w:sz w:val="16"/>
                <w:szCs w:val="16"/>
              </w:rPr>
            </w:pPr>
            <w:r>
              <w:rPr>
                <w:rFonts w:ascii="Arial" w:hAnsi="Arial" w:cs="Arial"/>
                <w:color w:val="000000"/>
                <w:sz w:val="16"/>
                <w:szCs w:val="16"/>
              </w:rPr>
              <w:t>20.00ab</w:t>
            </w:r>
          </w:p>
        </w:tc>
        <w:tc>
          <w:tcPr>
            <w:tcW w:w="334" w:type="pct"/>
            <w:tcBorders>
              <w:top w:val="nil"/>
              <w:left w:val="nil"/>
              <w:bottom w:val="nil"/>
              <w:right w:val="nil"/>
            </w:tcBorders>
          </w:tcPr>
          <w:p w14:paraId="05C9D128" w14:textId="77777777" w:rsidR="0055378D" w:rsidRDefault="00883CD5">
            <w:pPr>
              <w:jc w:val="center"/>
              <w:rPr>
                <w:rFonts w:ascii="Arial" w:hAnsi="Arial" w:cs="Arial"/>
                <w:color w:val="000000"/>
                <w:sz w:val="16"/>
                <w:szCs w:val="16"/>
              </w:rPr>
            </w:pPr>
            <w:r>
              <w:rPr>
                <w:rFonts w:ascii="Arial" w:hAnsi="Arial" w:cs="Arial"/>
                <w:color w:val="000000"/>
                <w:sz w:val="16"/>
                <w:szCs w:val="16"/>
              </w:rPr>
              <w:t>21.33b</w:t>
            </w:r>
          </w:p>
        </w:tc>
        <w:tc>
          <w:tcPr>
            <w:tcW w:w="337" w:type="pct"/>
            <w:tcBorders>
              <w:top w:val="nil"/>
              <w:left w:val="nil"/>
              <w:bottom w:val="nil"/>
              <w:right w:val="nil"/>
            </w:tcBorders>
          </w:tcPr>
          <w:p w14:paraId="2A69B051" w14:textId="77777777" w:rsidR="0055378D" w:rsidRDefault="00883CD5">
            <w:pPr>
              <w:jc w:val="center"/>
              <w:rPr>
                <w:rFonts w:ascii="Arial" w:hAnsi="Arial" w:cs="Arial"/>
                <w:color w:val="000000"/>
                <w:sz w:val="16"/>
                <w:szCs w:val="16"/>
              </w:rPr>
            </w:pPr>
            <w:r>
              <w:rPr>
                <w:rFonts w:ascii="Arial" w:hAnsi="Arial" w:cs="Arial"/>
                <w:color w:val="000000"/>
                <w:sz w:val="16"/>
                <w:szCs w:val="16"/>
              </w:rPr>
              <w:t>35.67b</w:t>
            </w:r>
          </w:p>
        </w:tc>
        <w:tc>
          <w:tcPr>
            <w:tcW w:w="336" w:type="pct"/>
            <w:tcBorders>
              <w:top w:val="nil"/>
              <w:left w:val="nil"/>
              <w:bottom w:val="nil"/>
              <w:right w:val="nil"/>
            </w:tcBorders>
          </w:tcPr>
          <w:p w14:paraId="339DE386" w14:textId="77777777" w:rsidR="0055378D" w:rsidRDefault="00883CD5">
            <w:pPr>
              <w:jc w:val="center"/>
              <w:rPr>
                <w:rFonts w:ascii="Arial" w:hAnsi="Arial" w:cs="Arial"/>
                <w:color w:val="000000"/>
                <w:sz w:val="16"/>
                <w:szCs w:val="16"/>
              </w:rPr>
            </w:pPr>
            <w:r>
              <w:rPr>
                <w:rFonts w:ascii="Arial" w:hAnsi="Arial" w:cs="Arial"/>
                <w:color w:val="000000"/>
                <w:sz w:val="16"/>
                <w:szCs w:val="16"/>
              </w:rPr>
              <w:t>8.50c</w:t>
            </w:r>
          </w:p>
        </w:tc>
        <w:tc>
          <w:tcPr>
            <w:tcW w:w="379" w:type="pct"/>
            <w:tcBorders>
              <w:top w:val="nil"/>
              <w:left w:val="nil"/>
              <w:bottom w:val="nil"/>
              <w:right w:val="nil"/>
            </w:tcBorders>
          </w:tcPr>
          <w:p w14:paraId="4B2E6C30" w14:textId="77777777" w:rsidR="0055378D" w:rsidRDefault="00883CD5">
            <w:pPr>
              <w:jc w:val="center"/>
              <w:rPr>
                <w:rFonts w:ascii="Arial" w:hAnsi="Arial" w:cs="Arial"/>
                <w:color w:val="000000"/>
                <w:sz w:val="16"/>
                <w:szCs w:val="16"/>
              </w:rPr>
            </w:pPr>
            <w:r>
              <w:rPr>
                <w:rFonts w:ascii="Arial" w:hAnsi="Arial" w:cs="Arial"/>
                <w:color w:val="000000"/>
                <w:sz w:val="16"/>
                <w:szCs w:val="16"/>
              </w:rPr>
              <w:t>15.5b</w:t>
            </w:r>
          </w:p>
        </w:tc>
        <w:tc>
          <w:tcPr>
            <w:tcW w:w="337" w:type="pct"/>
            <w:tcBorders>
              <w:top w:val="nil"/>
              <w:left w:val="nil"/>
              <w:bottom w:val="nil"/>
              <w:right w:val="nil"/>
            </w:tcBorders>
          </w:tcPr>
          <w:p w14:paraId="4EF9457A" w14:textId="77777777" w:rsidR="0055378D" w:rsidRDefault="00883CD5">
            <w:pPr>
              <w:jc w:val="center"/>
              <w:rPr>
                <w:rFonts w:ascii="Arial" w:hAnsi="Arial" w:cs="Arial"/>
                <w:color w:val="000000"/>
                <w:sz w:val="16"/>
                <w:szCs w:val="16"/>
              </w:rPr>
            </w:pPr>
            <w:r>
              <w:rPr>
                <w:rFonts w:ascii="Arial" w:hAnsi="Arial" w:cs="Arial"/>
                <w:color w:val="000000"/>
                <w:sz w:val="16"/>
                <w:szCs w:val="16"/>
              </w:rPr>
              <w:t>3.00b</w:t>
            </w:r>
          </w:p>
        </w:tc>
        <w:tc>
          <w:tcPr>
            <w:tcW w:w="378" w:type="pct"/>
            <w:tcBorders>
              <w:top w:val="nil"/>
              <w:left w:val="nil"/>
              <w:bottom w:val="nil"/>
              <w:right w:val="nil"/>
            </w:tcBorders>
          </w:tcPr>
          <w:p w14:paraId="4BEB4391" w14:textId="77777777" w:rsidR="0055378D" w:rsidRDefault="00883CD5">
            <w:pPr>
              <w:jc w:val="center"/>
              <w:rPr>
                <w:rFonts w:ascii="Arial" w:hAnsi="Arial" w:cs="Arial"/>
                <w:color w:val="000000"/>
                <w:sz w:val="16"/>
                <w:szCs w:val="16"/>
              </w:rPr>
            </w:pPr>
            <w:r>
              <w:rPr>
                <w:rFonts w:ascii="Arial" w:hAnsi="Arial" w:cs="Arial"/>
                <w:color w:val="000000"/>
                <w:sz w:val="16"/>
                <w:szCs w:val="16"/>
              </w:rPr>
              <w:t>29.67ab</w:t>
            </w:r>
          </w:p>
        </w:tc>
        <w:tc>
          <w:tcPr>
            <w:tcW w:w="336" w:type="pct"/>
            <w:tcBorders>
              <w:top w:val="nil"/>
              <w:left w:val="nil"/>
              <w:bottom w:val="nil"/>
              <w:right w:val="nil"/>
            </w:tcBorders>
          </w:tcPr>
          <w:p w14:paraId="1B8C013F" w14:textId="77777777" w:rsidR="0055378D" w:rsidRDefault="00883CD5">
            <w:pPr>
              <w:jc w:val="center"/>
              <w:rPr>
                <w:rFonts w:ascii="Arial" w:hAnsi="Arial" w:cs="Arial"/>
                <w:color w:val="000000"/>
                <w:sz w:val="16"/>
                <w:szCs w:val="16"/>
              </w:rPr>
            </w:pPr>
            <w:r>
              <w:rPr>
                <w:rFonts w:ascii="Arial" w:hAnsi="Arial" w:cs="Arial"/>
                <w:color w:val="000000"/>
                <w:sz w:val="16"/>
                <w:szCs w:val="16"/>
              </w:rPr>
              <w:t>11.33ab</w:t>
            </w:r>
          </w:p>
        </w:tc>
        <w:tc>
          <w:tcPr>
            <w:tcW w:w="335" w:type="pct"/>
            <w:tcBorders>
              <w:top w:val="nil"/>
              <w:left w:val="nil"/>
              <w:bottom w:val="nil"/>
              <w:right w:val="nil"/>
            </w:tcBorders>
          </w:tcPr>
          <w:p w14:paraId="6518931E" w14:textId="77777777" w:rsidR="0055378D" w:rsidRDefault="00883CD5">
            <w:pPr>
              <w:jc w:val="center"/>
              <w:rPr>
                <w:rFonts w:ascii="Arial" w:hAnsi="Arial" w:cs="Arial"/>
                <w:color w:val="000000"/>
                <w:sz w:val="16"/>
                <w:szCs w:val="16"/>
              </w:rPr>
            </w:pPr>
            <w:r>
              <w:rPr>
                <w:rFonts w:ascii="Arial" w:hAnsi="Arial" w:cs="Arial"/>
                <w:color w:val="000000"/>
                <w:sz w:val="16"/>
                <w:szCs w:val="16"/>
              </w:rPr>
              <w:t>41.00ab</w:t>
            </w:r>
          </w:p>
        </w:tc>
        <w:tc>
          <w:tcPr>
            <w:tcW w:w="335" w:type="pct"/>
            <w:tcBorders>
              <w:top w:val="nil"/>
              <w:left w:val="nil"/>
              <w:bottom w:val="nil"/>
              <w:right w:val="nil"/>
            </w:tcBorders>
          </w:tcPr>
          <w:p w14:paraId="7AD0DFCE" w14:textId="77777777" w:rsidR="0055378D" w:rsidRDefault="00883CD5">
            <w:pPr>
              <w:jc w:val="center"/>
              <w:rPr>
                <w:rFonts w:ascii="Arial" w:hAnsi="Arial" w:cs="Arial"/>
                <w:color w:val="000000"/>
                <w:sz w:val="16"/>
                <w:szCs w:val="16"/>
              </w:rPr>
            </w:pPr>
            <w:r>
              <w:rPr>
                <w:rFonts w:ascii="Arial" w:hAnsi="Arial" w:cs="Arial"/>
                <w:color w:val="000000"/>
                <w:sz w:val="16"/>
                <w:szCs w:val="16"/>
              </w:rPr>
              <w:t>11.33a</w:t>
            </w:r>
          </w:p>
        </w:tc>
        <w:tc>
          <w:tcPr>
            <w:tcW w:w="378" w:type="pct"/>
            <w:tcBorders>
              <w:top w:val="nil"/>
              <w:left w:val="nil"/>
              <w:bottom w:val="nil"/>
              <w:right w:val="nil"/>
            </w:tcBorders>
          </w:tcPr>
          <w:p w14:paraId="3A26CFFB" w14:textId="77777777" w:rsidR="0055378D" w:rsidRDefault="00883CD5">
            <w:pPr>
              <w:jc w:val="center"/>
              <w:rPr>
                <w:rFonts w:ascii="Arial" w:hAnsi="Arial" w:cs="Arial"/>
                <w:color w:val="000000"/>
                <w:sz w:val="16"/>
                <w:szCs w:val="16"/>
              </w:rPr>
            </w:pPr>
            <w:r>
              <w:rPr>
                <w:rFonts w:ascii="Arial" w:hAnsi="Arial" w:cs="Arial"/>
                <w:color w:val="000000"/>
                <w:sz w:val="16"/>
                <w:szCs w:val="16"/>
              </w:rPr>
              <w:t>21.33ab</w:t>
            </w:r>
          </w:p>
        </w:tc>
        <w:tc>
          <w:tcPr>
            <w:tcW w:w="463" w:type="pct"/>
            <w:tcBorders>
              <w:top w:val="nil"/>
              <w:left w:val="nil"/>
              <w:bottom w:val="nil"/>
              <w:right w:val="single" w:sz="4" w:space="0" w:color="auto"/>
            </w:tcBorders>
          </w:tcPr>
          <w:p w14:paraId="7E05AA9E" w14:textId="77777777" w:rsidR="0055378D" w:rsidRDefault="00883CD5">
            <w:pPr>
              <w:rPr>
                <w:rFonts w:ascii="Arial" w:hAnsi="Arial" w:cs="Arial"/>
                <w:color w:val="000000"/>
                <w:sz w:val="16"/>
                <w:szCs w:val="16"/>
              </w:rPr>
            </w:pPr>
            <w:r>
              <w:rPr>
                <w:rFonts w:ascii="Arial" w:hAnsi="Arial" w:cs="Arial"/>
                <w:color w:val="000000"/>
                <w:sz w:val="16"/>
                <w:szCs w:val="16"/>
              </w:rPr>
              <w:t>6.00d</w:t>
            </w:r>
          </w:p>
        </w:tc>
      </w:tr>
      <w:tr w:rsidR="0055378D" w14:paraId="7E3218AA"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617AC8DC"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8</w:t>
            </w:r>
            <w:r>
              <w:rPr>
                <w:rFonts w:ascii="Arial" w:hAnsi="Arial" w:cs="Arial"/>
                <w:color w:val="000000"/>
                <w:sz w:val="16"/>
                <w:szCs w:val="16"/>
              </w:rPr>
              <w:t>: STGN-9</w:t>
            </w:r>
          </w:p>
        </w:tc>
        <w:tc>
          <w:tcPr>
            <w:tcW w:w="421" w:type="pct"/>
            <w:tcBorders>
              <w:top w:val="nil"/>
              <w:left w:val="single" w:sz="4" w:space="0" w:color="auto"/>
              <w:bottom w:val="nil"/>
              <w:right w:val="nil"/>
            </w:tcBorders>
          </w:tcPr>
          <w:p w14:paraId="3E787F15" w14:textId="77777777" w:rsidR="0055378D" w:rsidRDefault="00883CD5">
            <w:pPr>
              <w:jc w:val="center"/>
              <w:rPr>
                <w:rFonts w:ascii="Arial" w:hAnsi="Arial" w:cs="Arial"/>
                <w:color w:val="000000"/>
                <w:sz w:val="16"/>
                <w:szCs w:val="16"/>
              </w:rPr>
            </w:pPr>
            <w:r>
              <w:rPr>
                <w:rFonts w:ascii="Arial" w:hAnsi="Arial" w:cs="Arial"/>
                <w:color w:val="000000"/>
                <w:sz w:val="16"/>
                <w:szCs w:val="16"/>
              </w:rPr>
              <w:t>14.33b</w:t>
            </w:r>
          </w:p>
        </w:tc>
        <w:tc>
          <w:tcPr>
            <w:tcW w:w="334" w:type="pct"/>
            <w:tcBorders>
              <w:top w:val="nil"/>
              <w:left w:val="nil"/>
              <w:bottom w:val="nil"/>
              <w:right w:val="nil"/>
            </w:tcBorders>
          </w:tcPr>
          <w:p w14:paraId="2FB01655" w14:textId="77777777" w:rsidR="0055378D" w:rsidRDefault="00883CD5">
            <w:pPr>
              <w:jc w:val="center"/>
              <w:rPr>
                <w:rFonts w:ascii="Arial" w:hAnsi="Arial" w:cs="Arial"/>
                <w:color w:val="000000"/>
                <w:sz w:val="16"/>
                <w:szCs w:val="16"/>
              </w:rPr>
            </w:pPr>
            <w:r>
              <w:rPr>
                <w:rFonts w:ascii="Arial" w:hAnsi="Arial" w:cs="Arial"/>
                <w:color w:val="000000"/>
                <w:sz w:val="16"/>
                <w:szCs w:val="16"/>
              </w:rPr>
              <w:t>27.00ab</w:t>
            </w:r>
          </w:p>
        </w:tc>
        <w:tc>
          <w:tcPr>
            <w:tcW w:w="337" w:type="pct"/>
            <w:tcBorders>
              <w:top w:val="nil"/>
              <w:left w:val="nil"/>
              <w:bottom w:val="nil"/>
              <w:right w:val="nil"/>
            </w:tcBorders>
          </w:tcPr>
          <w:p w14:paraId="11557C38" w14:textId="77777777" w:rsidR="0055378D" w:rsidRDefault="00883CD5">
            <w:pPr>
              <w:jc w:val="center"/>
              <w:rPr>
                <w:rFonts w:ascii="Arial" w:hAnsi="Arial" w:cs="Arial"/>
                <w:color w:val="000000"/>
                <w:sz w:val="16"/>
                <w:szCs w:val="16"/>
              </w:rPr>
            </w:pPr>
            <w:r>
              <w:rPr>
                <w:rFonts w:ascii="Arial" w:hAnsi="Arial" w:cs="Arial"/>
                <w:color w:val="000000"/>
                <w:sz w:val="16"/>
                <w:szCs w:val="16"/>
              </w:rPr>
              <w:t>47.00ab</w:t>
            </w:r>
          </w:p>
        </w:tc>
        <w:tc>
          <w:tcPr>
            <w:tcW w:w="336" w:type="pct"/>
            <w:tcBorders>
              <w:top w:val="nil"/>
              <w:left w:val="nil"/>
              <w:bottom w:val="nil"/>
              <w:right w:val="nil"/>
            </w:tcBorders>
          </w:tcPr>
          <w:p w14:paraId="178B32CF" w14:textId="77777777" w:rsidR="0055378D" w:rsidRDefault="00883CD5">
            <w:pPr>
              <w:jc w:val="center"/>
              <w:rPr>
                <w:rFonts w:ascii="Arial" w:hAnsi="Arial" w:cs="Arial"/>
                <w:color w:val="000000"/>
                <w:sz w:val="16"/>
                <w:szCs w:val="16"/>
              </w:rPr>
            </w:pPr>
            <w:r>
              <w:rPr>
                <w:rFonts w:ascii="Arial" w:hAnsi="Arial" w:cs="Arial"/>
                <w:color w:val="000000"/>
                <w:sz w:val="16"/>
                <w:szCs w:val="16"/>
              </w:rPr>
              <w:t>10.33ab</w:t>
            </w:r>
          </w:p>
        </w:tc>
        <w:tc>
          <w:tcPr>
            <w:tcW w:w="379" w:type="pct"/>
            <w:tcBorders>
              <w:top w:val="nil"/>
              <w:left w:val="nil"/>
              <w:bottom w:val="nil"/>
              <w:right w:val="nil"/>
            </w:tcBorders>
          </w:tcPr>
          <w:p w14:paraId="5228E718" w14:textId="77777777" w:rsidR="0055378D" w:rsidRDefault="00883CD5">
            <w:pPr>
              <w:jc w:val="center"/>
              <w:rPr>
                <w:rFonts w:ascii="Arial" w:hAnsi="Arial" w:cs="Arial"/>
                <w:color w:val="000000"/>
                <w:sz w:val="16"/>
                <w:szCs w:val="16"/>
              </w:rPr>
            </w:pPr>
            <w:r>
              <w:rPr>
                <w:rFonts w:ascii="Arial" w:hAnsi="Arial" w:cs="Arial"/>
                <w:color w:val="000000"/>
                <w:sz w:val="16"/>
                <w:szCs w:val="16"/>
              </w:rPr>
              <w:t>16.1b</w:t>
            </w:r>
          </w:p>
        </w:tc>
        <w:tc>
          <w:tcPr>
            <w:tcW w:w="337" w:type="pct"/>
            <w:tcBorders>
              <w:top w:val="nil"/>
              <w:left w:val="nil"/>
              <w:bottom w:val="nil"/>
              <w:right w:val="nil"/>
            </w:tcBorders>
          </w:tcPr>
          <w:p w14:paraId="063670E5" w14:textId="77777777" w:rsidR="0055378D" w:rsidRDefault="00883CD5">
            <w:pPr>
              <w:jc w:val="center"/>
              <w:rPr>
                <w:rFonts w:ascii="Arial" w:hAnsi="Arial" w:cs="Arial"/>
                <w:color w:val="000000"/>
                <w:sz w:val="16"/>
                <w:szCs w:val="16"/>
              </w:rPr>
            </w:pPr>
            <w:r>
              <w:rPr>
                <w:rFonts w:ascii="Arial" w:hAnsi="Arial" w:cs="Arial"/>
                <w:color w:val="000000"/>
                <w:sz w:val="16"/>
                <w:szCs w:val="16"/>
              </w:rPr>
              <w:t>4.67a</w:t>
            </w:r>
          </w:p>
        </w:tc>
        <w:tc>
          <w:tcPr>
            <w:tcW w:w="378" w:type="pct"/>
            <w:tcBorders>
              <w:top w:val="nil"/>
              <w:left w:val="nil"/>
              <w:bottom w:val="nil"/>
              <w:right w:val="nil"/>
            </w:tcBorders>
          </w:tcPr>
          <w:p w14:paraId="7195A741" w14:textId="77777777" w:rsidR="0055378D" w:rsidRDefault="00883CD5">
            <w:pPr>
              <w:jc w:val="center"/>
              <w:rPr>
                <w:rFonts w:ascii="Arial" w:hAnsi="Arial" w:cs="Arial"/>
                <w:color w:val="000000"/>
                <w:sz w:val="16"/>
                <w:szCs w:val="16"/>
              </w:rPr>
            </w:pPr>
            <w:r>
              <w:rPr>
                <w:rFonts w:ascii="Arial" w:hAnsi="Arial" w:cs="Arial"/>
                <w:color w:val="000000"/>
                <w:sz w:val="16"/>
                <w:szCs w:val="16"/>
              </w:rPr>
              <w:t>42.67a</w:t>
            </w:r>
          </w:p>
        </w:tc>
        <w:tc>
          <w:tcPr>
            <w:tcW w:w="336" w:type="pct"/>
            <w:tcBorders>
              <w:top w:val="nil"/>
              <w:left w:val="nil"/>
              <w:bottom w:val="nil"/>
              <w:right w:val="nil"/>
            </w:tcBorders>
          </w:tcPr>
          <w:p w14:paraId="153E4CF2" w14:textId="77777777" w:rsidR="0055378D" w:rsidRDefault="00883CD5">
            <w:pPr>
              <w:jc w:val="center"/>
              <w:rPr>
                <w:rFonts w:ascii="Arial" w:hAnsi="Arial" w:cs="Arial"/>
                <w:color w:val="000000"/>
                <w:sz w:val="16"/>
                <w:szCs w:val="16"/>
              </w:rPr>
            </w:pPr>
            <w:r>
              <w:rPr>
                <w:rFonts w:ascii="Arial" w:hAnsi="Arial" w:cs="Arial"/>
                <w:color w:val="000000"/>
                <w:sz w:val="16"/>
                <w:szCs w:val="16"/>
              </w:rPr>
              <w:t>16.33a</w:t>
            </w:r>
          </w:p>
        </w:tc>
        <w:tc>
          <w:tcPr>
            <w:tcW w:w="335" w:type="pct"/>
            <w:tcBorders>
              <w:top w:val="nil"/>
              <w:left w:val="nil"/>
              <w:bottom w:val="nil"/>
              <w:right w:val="nil"/>
            </w:tcBorders>
          </w:tcPr>
          <w:p w14:paraId="121A9BC9" w14:textId="77777777" w:rsidR="0055378D" w:rsidRDefault="00883CD5">
            <w:pPr>
              <w:jc w:val="center"/>
              <w:rPr>
                <w:rFonts w:ascii="Arial" w:hAnsi="Arial" w:cs="Arial"/>
                <w:color w:val="000000"/>
                <w:sz w:val="16"/>
                <w:szCs w:val="16"/>
              </w:rPr>
            </w:pPr>
            <w:r>
              <w:rPr>
                <w:rFonts w:ascii="Arial" w:hAnsi="Arial" w:cs="Arial"/>
                <w:color w:val="000000"/>
                <w:sz w:val="16"/>
                <w:szCs w:val="16"/>
              </w:rPr>
              <w:t>59.00a</w:t>
            </w:r>
          </w:p>
        </w:tc>
        <w:tc>
          <w:tcPr>
            <w:tcW w:w="335" w:type="pct"/>
            <w:tcBorders>
              <w:top w:val="nil"/>
              <w:left w:val="nil"/>
              <w:bottom w:val="nil"/>
              <w:right w:val="nil"/>
            </w:tcBorders>
          </w:tcPr>
          <w:p w14:paraId="21D72685" w14:textId="77777777" w:rsidR="0055378D" w:rsidRDefault="00883CD5">
            <w:pPr>
              <w:jc w:val="center"/>
              <w:rPr>
                <w:rFonts w:ascii="Arial" w:hAnsi="Arial" w:cs="Arial"/>
                <w:color w:val="000000"/>
                <w:sz w:val="16"/>
                <w:szCs w:val="16"/>
              </w:rPr>
            </w:pPr>
            <w:r>
              <w:rPr>
                <w:rFonts w:ascii="Arial" w:hAnsi="Arial" w:cs="Arial"/>
                <w:color w:val="000000"/>
                <w:sz w:val="16"/>
                <w:szCs w:val="16"/>
              </w:rPr>
              <w:t>13.00a</w:t>
            </w:r>
          </w:p>
        </w:tc>
        <w:tc>
          <w:tcPr>
            <w:tcW w:w="378" w:type="pct"/>
            <w:tcBorders>
              <w:top w:val="nil"/>
              <w:left w:val="nil"/>
              <w:bottom w:val="nil"/>
              <w:right w:val="nil"/>
            </w:tcBorders>
          </w:tcPr>
          <w:p w14:paraId="55ED6E25" w14:textId="77777777" w:rsidR="0055378D" w:rsidRDefault="00883CD5">
            <w:pPr>
              <w:jc w:val="center"/>
              <w:rPr>
                <w:rFonts w:ascii="Arial" w:hAnsi="Arial" w:cs="Arial"/>
                <w:color w:val="000000"/>
                <w:sz w:val="16"/>
                <w:szCs w:val="16"/>
              </w:rPr>
            </w:pPr>
            <w:r>
              <w:rPr>
                <w:rFonts w:ascii="Arial" w:hAnsi="Arial" w:cs="Arial"/>
                <w:color w:val="000000"/>
                <w:sz w:val="16"/>
                <w:szCs w:val="16"/>
              </w:rPr>
              <w:t>21.67ab</w:t>
            </w:r>
          </w:p>
        </w:tc>
        <w:tc>
          <w:tcPr>
            <w:tcW w:w="463" w:type="pct"/>
            <w:tcBorders>
              <w:top w:val="nil"/>
              <w:left w:val="nil"/>
              <w:bottom w:val="nil"/>
              <w:right w:val="single" w:sz="4" w:space="0" w:color="auto"/>
            </w:tcBorders>
          </w:tcPr>
          <w:p w14:paraId="10A75344" w14:textId="77777777" w:rsidR="0055378D" w:rsidRDefault="00883CD5">
            <w:pPr>
              <w:rPr>
                <w:rFonts w:ascii="Arial" w:hAnsi="Arial" w:cs="Arial"/>
                <w:color w:val="000000"/>
                <w:sz w:val="16"/>
                <w:szCs w:val="16"/>
              </w:rPr>
            </w:pPr>
            <w:r>
              <w:rPr>
                <w:rFonts w:ascii="Arial" w:hAnsi="Arial" w:cs="Arial"/>
                <w:color w:val="000000"/>
                <w:sz w:val="16"/>
                <w:szCs w:val="16"/>
              </w:rPr>
              <w:t>9.00ab</w:t>
            </w:r>
          </w:p>
        </w:tc>
      </w:tr>
      <w:tr w:rsidR="0055378D" w14:paraId="15CACABB"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62E91E1A"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9</w:t>
            </w:r>
            <w:r>
              <w:rPr>
                <w:rFonts w:ascii="Arial" w:hAnsi="Arial" w:cs="Arial"/>
                <w:color w:val="000000"/>
                <w:sz w:val="16"/>
                <w:szCs w:val="16"/>
              </w:rPr>
              <w:t>: STGN-10</w:t>
            </w:r>
          </w:p>
        </w:tc>
        <w:tc>
          <w:tcPr>
            <w:tcW w:w="421" w:type="pct"/>
            <w:tcBorders>
              <w:top w:val="nil"/>
              <w:left w:val="single" w:sz="4" w:space="0" w:color="auto"/>
              <w:bottom w:val="nil"/>
              <w:right w:val="nil"/>
            </w:tcBorders>
          </w:tcPr>
          <w:p w14:paraId="2434BE76" w14:textId="77777777" w:rsidR="0055378D" w:rsidRDefault="00883CD5">
            <w:pPr>
              <w:jc w:val="center"/>
              <w:rPr>
                <w:rFonts w:ascii="Arial" w:hAnsi="Arial" w:cs="Arial"/>
                <w:color w:val="000000"/>
                <w:sz w:val="16"/>
                <w:szCs w:val="16"/>
              </w:rPr>
            </w:pPr>
            <w:r>
              <w:rPr>
                <w:rFonts w:ascii="Arial" w:hAnsi="Arial" w:cs="Arial"/>
                <w:color w:val="000000"/>
                <w:sz w:val="16"/>
                <w:szCs w:val="16"/>
              </w:rPr>
              <w:t>17.00ab</w:t>
            </w:r>
          </w:p>
        </w:tc>
        <w:tc>
          <w:tcPr>
            <w:tcW w:w="334" w:type="pct"/>
            <w:tcBorders>
              <w:top w:val="nil"/>
              <w:left w:val="nil"/>
              <w:bottom w:val="nil"/>
              <w:right w:val="nil"/>
            </w:tcBorders>
          </w:tcPr>
          <w:p w14:paraId="167B87BE" w14:textId="77777777" w:rsidR="0055378D" w:rsidRDefault="00883CD5">
            <w:pPr>
              <w:jc w:val="center"/>
              <w:rPr>
                <w:rFonts w:ascii="Arial" w:hAnsi="Arial" w:cs="Arial"/>
                <w:color w:val="000000"/>
                <w:sz w:val="16"/>
                <w:szCs w:val="16"/>
              </w:rPr>
            </w:pPr>
            <w:r>
              <w:rPr>
                <w:rFonts w:ascii="Arial" w:hAnsi="Arial" w:cs="Arial"/>
                <w:color w:val="000000"/>
                <w:sz w:val="16"/>
                <w:szCs w:val="16"/>
              </w:rPr>
              <w:t>30.67a</w:t>
            </w:r>
          </w:p>
        </w:tc>
        <w:tc>
          <w:tcPr>
            <w:tcW w:w="337" w:type="pct"/>
            <w:tcBorders>
              <w:top w:val="nil"/>
              <w:left w:val="nil"/>
              <w:bottom w:val="nil"/>
              <w:right w:val="nil"/>
            </w:tcBorders>
          </w:tcPr>
          <w:p w14:paraId="1C133375" w14:textId="77777777" w:rsidR="0055378D" w:rsidRDefault="00883CD5">
            <w:pPr>
              <w:jc w:val="center"/>
              <w:rPr>
                <w:rFonts w:ascii="Arial" w:hAnsi="Arial" w:cs="Arial"/>
                <w:color w:val="000000"/>
                <w:sz w:val="16"/>
                <w:szCs w:val="16"/>
              </w:rPr>
            </w:pPr>
            <w:r>
              <w:rPr>
                <w:rFonts w:ascii="Arial" w:hAnsi="Arial" w:cs="Arial"/>
                <w:color w:val="000000"/>
                <w:sz w:val="16"/>
                <w:szCs w:val="16"/>
              </w:rPr>
              <w:t>47.67ab</w:t>
            </w:r>
          </w:p>
        </w:tc>
        <w:tc>
          <w:tcPr>
            <w:tcW w:w="336" w:type="pct"/>
            <w:tcBorders>
              <w:top w:val="nil"/>
              <w:left w:val="nil"/>
              <w:bottom w:val="nil"/>
              <w:right w:val="nil"/>
            </w:tcBorders>
          </w:tcPr>
          <w:p w14:paraId="27A9C228" w14:textId="77777777" w:rsidR="0055378D" w:rsidRDefault="00883CD5">
            <w:pPr>
              <w:jc w:val="center"/>
              <w:rPr>
                <w:rFonts w:ascii="Arial" w:hAnsi="Arial" w:cs="Arial"/>
                <w:color w:val="000000"/>
                <w:sz w:val="16"/>
                <w:szCs w:val="16"/>
              </w:rPr>
            </w:pPr>
            <w:r>
              <w:rPr>
                <w:rFonts w:ascii="Arial" w:hAnsi="Arial" w:cs="Arial"/>
                <w:color w:val="000000"/>
                <w:sz w:val="16"/>
                <w:szCs w:val="16"/>
              </w:rPr>
              <w:t>10.33ab</w:t>
            </w:r>
          </w:p>
        </w:tc>
        <w:tc>
          <w:tcPr>
            <w:tcW w:w="379" w:type="pct"/>
            <w:tcBorders>
              <w:top w:val="nil"/>
              <w:left w:val="nil"/>
              <w:bottom w:val="nil"/>
              <w:right w:val="nil"/>
            </w:tcBorders>
          </w:tcPr>
          <w:p w14:paraId="368A4A47" w14:textId="77777777" w:rsidR="0055378D" w:rsidRDefault="00883CD5">
            <w:pPr>
              <w:jc w:val="center"/>
              <w:rPr>
                <w:rFonts w:ascii="Arial" w:hAnsi="Arial" w:cs="Arial"/>
                <w:color w:val="000000"/>
                <w:sz w:val="16"/>
                <w:szCs w:val="16"/>
              </w:rPr>
            </w:pPr>
            <w:r>
              <w:rPr>
                <w:rFonts w:ascii="Arial" w:hAnsi="Arial" w:cs="Arial"/>
                <w:color w:val="000000"/>
                <w:sz w:val="16"/>
                <w:szCs w:val="16"/>
              </w:rPr>
              <w:t>19.00a</w:t>
            </w:r>
          </w:p>
        </w:tc>
        <w:tc>
          <w:tcPr>
            <w:tcW w:w="337" w:type="pct"/>
            <w:tcBorders>
              <w:top w:val="nil"/>
              <w:left w:val="nil"/>
              <w:bottom w:val="nil"/>
              <w:right w:val="nil"/>
            </w:tcBorders>
          </w:tcPr>
          <w:p w14:paraId="72506626" w14:textId="77777777" w:rsidR="0055378D" w:rsidRDefault="00883CD5">
            <w:pPr>
              <w:jc w:val="center"/>
              <w:rPr>
                <w:rFonts w:ascii="Arial" w:hAnsi="Arial" w:cs="Arial"/>
                <w:color w:val="000000"/>
                <w:sz w:val="16"/>
                <w:szCs w:val="16"/>
              </w:rPr>
            </w:pPr>
            <w:r>
              <w:rPr>
                <w:rFonts w:ascii="Arial" w:hAnsi="Arial" w:cs="Arial"/>
                <w:color w:val="000000"/>
                <w:sz w:val="16"/>
                <w:szCs w:val="16"/>
              </w:rPr>
              <w:t>5.00a</w:t>
            </w:r>
          </w:p>
        </w:tc>
        <w:tc>
          <w:tcPr>
            <w:tcW w:w="378" w:type="pct"/>
            <w:tcBorders>
              <w:top w:val="nil"/>
              <w:left w:val="nil"/>
              <w:bottom w:val="nil"/>
              <w:right w:val="nil"/>
            </w:tcBorders>
          </w:tcPr>
          <w:p w14:paraId="116BB046" w14:textId="77777777" w:rsidR="0055378D" w:rsidRDefault="00883CD5">
            <w:pPr>
              <w:jc w:val="center"/>
              <w:rPr>
                <w:rFonts w:ascii="Arial" w:hAnsi="Arial" w:cs="Arial"/>
                <w:color w:val="000000"/>
                <w:sz w:val="16"/>
                <w:szCs w:val="16"/>
              </w:rPr>
            </w:pPr>
            <w:r>
              <w:rPr>
                <w:rFonts w:ascii="Arial" w:hAnsi="Arial" w:cs="Arial"/>
                <w:color w:val="000000"/>
                <w:sz w:val="16"/>
                <w:szCs w:val="16"/>
              </w:rPr>
              <w:t>38.00a</w:t>
            </w:r>
          </w:p>
        </w:tc>
        <w:tc>
          <w:tcPr>
            <w:tcW w:w="336" w:type="pct"/>
            <w:tcBorders>
              <w:top w:val="nil"/>
              <w:left w:val="nil"/>
              <w:bottom w:val="nil"/>
              <w:right w:val="nil"/>
            </w:tcBorders>
          </w:tcPr>
          <w:p w14:paraId="6B5639A1" w14:textId="77777777" w:rsidR="0055378D" w:rsidRDefault="00883CD5">
            <w:pPr>
              <w:jc w:val="center"/>
              <w:rPr>
                <w:rFonts w:ascii="Arial" w:hAnsi="Arial" w:cs="Arial"/>
                <w:color w:val="000000"/>
                <w:sz w:val="16"/>
                <w:szCs w:val="16"/>
              </w:rPr>
            </w:pPr>
            <w:r>
              <w:rPr>
                <w:rFonts w:ascii="Arial" w:hAnsi="Arial" w:cs="Arial"/>
                <w:color w:val="000000"/>
                <w:sz w:val="16"/>
                <w:szCs w:val="16"/>
              </w:rPr>
              <w:t>20.33a</w:t>
            </w:r>
          </w:p>
        </w:tc>
        <w:tc>
          <w:tcPr>
            <w:tcW w:w="335" w:type="pct"/>
            <w:tcBorders>
              <w:top w:val="nil"/>
              <w:left w:val="nil"/>
              <w:bottom w:val="nil"/>
              <w:right w:val="nil"/>
            </w:tcBorders>
          </w:tcPr>
          <w:p w14:paraId="65EDCB46" w14:textId="77777777" w:rsidR="0055378D" w:rsidRDefault="00883CD5">
            <w:pPr>
              <w:jc w:val="center"/>
              <w:rPr>
                <w:rFonts w:ascii="Arial" w:hAnsi="Arial" w:cs="Arial"/>
                <w:color w:val="000000"/>
                <w:sz w:val="16"/>
                <w:szCs w:val="16"/>
              </w:rPr>
            </w:pPr>
            <w:r>
              <w:rPr>
                <w:rFonts w:ascii="Arial" w:hAnsi="Arial" w:cs="Arial"/>
                <w:color w:val="000000"/>
                <w:sz w:val="16"/>
                <w:szCs w:val="16"/>
              </w:rPr>
              <w:t>58.33a</w:t>
            </w:r>
          </w:p>
        </w:tc>
        <w:tc>
          <w:tcPr>
            <w:tcW w:w="335" w:type="pct"/>
            <w:tcBorders>
              <w:top w:val="nil"/>
              <w:left w:val="nil"/>
              <w:bottom w:val="nil"/>
              <w:right w:val="nil"/>
            </w:tcBorders>
          </w:tcPr>
          <w:p w14:paraId="6E9C2AF2" w14:textId="77777777" w:rsidR="0055378D" w:rsidRDefault="00883CD5">
            <w:pPr>
              <w:jc w:val="center"/>
              <w:rPr>
                <w:rFonts w:ascii="Arial" w:hAnsi="Arial" w:cs="Arial"/>
                <w:color w:val="000000"/>
                <w:sz w:val="16"/>
                <w:szCs w:val="16"/>
              </w:rPr>
            </w:pPr>
            <w:r>
              <w:rPr>
                <w:rFonts w:ascii="Arial" w:hAnsi="Arial" w:cs="Arial"/>
                <w:color w:val="000000"/>
                <w:sz w:val="16"/>
                <w:szCs w:val="16"/>
              </w:rPr>
              <w:t>10.67a</w:t>
            </w:r>
          </w:p>
        </w:tc>
        <w:tc>
          <w:tcPr>
            <w:tcW w:w="378" w:type="pct"/>
            <w:tcBorders>
              <w:top w:val="nil"/>
              <w:left w:val="nil"/>
              <w:bottom w:val="nil"/>
              <w:right w:val="nil"/>
            </w:tcBorders>
          </w:tcPr>
          <w:p w14:paraId="7828830B" w14:textId="77777777" w:rsidR="0055378D" w:rsidRDefault="00883CD5">
            <w:pPr>
              <w:jc w:val="center"/>
              <w:rPr>
                <w:rFonts w:ascii="Arial" w:hAnsi="Arial" w:cs="Arial"/>
                <w:color w:val="000000"/>
                <w:sz w:val="16"/>
                <w:szCs w:val="16"/>
              </w:rPr>
            </w:pPr>
            <w:r>
              <w:rPr>
                <w:rFonts w:ascii="Arial" w:hAnsi="Arial" w:cs="Arial"/>
                <w:color w:val="000000"/>
                <w:sz w:val="16"/>
                <w:szCs w:val="16"/>
              </w:rPr>
              <w:t>19.67ab</w:t>
            </w:r>
          </w:p>
        </w:tc>
        <w:tc>
          <w:tcPr>
            <w:tcW w:w="463" w:type="pct"/>
            <w:tcBorders>
              <w:top w:val="nil"/>
              <w:left w:val="nil"/>
              <w:bottom w:val="nil"/>
              <w:right w:val="single" w:sz="4" w:space="0" w:color="auto"/>
            </w:tcBorders>
          </w:tcPr>
          <w:p w14:paraId="45382406" w14:textId="77777777" w:rsidR="0055378D" w:rsidRDefault="00883CD5">
            <w:pPr>
              <w:rPr>
                <w:rFonts w:ascii="Arial" w:hAnsi="Arial" w:cs="Arial"/>
                <w:color w:val="000000"/>
                <w:sz w:val="16"/>
                <w:szCs w:val="16"/>
              </w:rPr>
            </w:pPr>
            <w:r>
              <w:rPr>
                <w:rFonts w:ascii="Arial" w:hAnsi="Arial" w:cs="Arial"/>
                <w:color w:val="000000"/>
                <w:sz w:val="16"/>
                <w:szCs w:val="16"/>
              </w:rPr>
              <w:t>9.33a</w:t>
            </w:r>
          </w:p>
        </w:tc>
      </w:tr>
      <w:bookmarkEnd w:id="1"/>
      <w:tr w:rsidR="0055378D" w14:paraId="34980577"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1FD02587" w14:textId="77777777" w:rsidR="0055378D" w:rsidRDefault="00883CD5">
            <w:pPr>
              <w:rPr>
                <w:rFonts w:ascii="Arial" w:hAnsi="Arial" w:cs="Arial"/>
                <w:color w:val="000000"/>
                <w:sz w:val="16"/>
                <w:szCs w:val="16"/>
              </w:rPr>
            </w:pPr>
            <w:r>
              <w:rPr>
                <w:rFonts w:ascii="Arial" w:hAnsi="Arial" w:cs="Arial"/>
                <w:color w:val="000000"/>
                <w:sz w:val="16"/>
                <w:szCs w:val="16"/>
              </w:rPr>
              <w:t>Significant level</w:t>
            </w:r>
          </w:p>
        </w:tc>
        <w:tc>
          <w:tcPr>
            <w:tcW w:w="421" w:type="pct"/>
            <w:tcBorders>
              <w:top w:val="nil"/>
              <w:left w:val="single" w:sz="4" w:space="0" w:color="auto"/>
              <w:bottom w:val="single" w:sz="4" w:space="0" w:color="auto"/>
              <w:right w:val="nil"/>
            </w:tcBorders>
          </w:tcPr>
          <w:p w14:paraId="0F3C6B5C" w14:textId="77777777" w:rsidR="0055378D" w:rsidRDefault="00883CD5">
            <w:pPr>
              <w:jc w:val="center"/>
              <w:rPr>
                <w:rFonts w:ascii="Arial" w:hAnsi="Arial" w:cs="Arial"/>
                <w:color w:val="000000"/>
                <w:sz w:val="16"/>
                <w:szCs w:val="16"/>
              </w:rPr>
            </w:pPr>
            <w:r>
              <w:rPr>
                <w:rFonts w:ascii="Arial" w:hAnsi="Arial" w:cs="Arial"/>
                <w:color w:val="000000"/>
                <w:sz w:val="16"/>
                <w:szCs w:val="16"/>
              </w:rPr>
              <w:t>**</w:t>
            </w:r>
          </w:p>
        </w:tc>
        <w:tc>
          <w:tcPr>
            <w:tcW w:w="334" w:type="pct"/>
            <w:tcBorders>
              <w:top w:val="nil"/>
              <w:left w:val="nil"/>
              <w:bottom w:val="single" w:sz="4" w:space="0" w:color="auto"/>
              <w:right w:val="nil"/>
            </w:tcBorders>
          </w:tcPr>
          <w:p w14:paraId="1BEF6E8F" w14:textId="77777777" w:rsidR="0055378D" w:rsidRDefault="00883CD5">
            <w:pPr>
              <w:jc w:val="center"/>
              <w:rPr>
                <w:rFonts w:ascii="Arial" w:hAnsi="Arial" w:cs="Arial"/>
                <w:color w:val="000000"/>
                <w:sz w:val="16"/>
                <w:szCs w:val="16"/>
              </w:rPr>
            </w:pPr>
            <w:r>
              <w:rPr>
                <w:rFonts w:ascii="Arial" w:hAnsi="Arial" w:cs="Arial"/>
                <w:color w:val="000000"/>
                <w:sz w:val="16"/>
                <w:szCs w:val="16"/>
              </w:rPr>
              <w:t>**</w:t>
            </w:r>
          </w:p>
        </w:tc>
        <w:tc>
          <w:tcPr>
            <w:tcW w:w="337" w:type="pct"/>
            <w:tcBorders>
              <w:top w:val="nil"/>
              <w:left w:val="nil"/>
              <w:bottom w:val="single" w:sz="4" w:space="0" w:color="auto"/>
              <w:right w:val="nil"/>
            </w:tcBorders>
          </w:tcPr>
          <w:p w14:paraId="4B711806" w14:textId="77777777" w:rsidR="0055378D" w:rsidRDefault="00883CD5">
            <w:pPr>
              <w:jc w:val="center"/>
              <w:rPr>
                <w:rFonts w:ascii="Arial" w:hAnsi="Arial" w:cs="Arial"/>
                <w:color w:val="000000"/>
                <w:sz w:val="16"/>
                <w:szCs w:val="16"/>
              </w:rPr>
            </w:pPr>
            <w:r>
              <w:rPr>
                <w:rFonts w:ascii="Arial" w:hAnsi="Arial" w:cs="Arial"/>
                <w:color w:val="000000"/>
                <w:sz w:val="16"/>
                <w:szCs w:val="16"/>
              </w:rPr>
              <w:t>***</w:t>
            </w:r>
          </w:p>
        </w:tc>
        <w:tc>
          <w:tcPr>
            <w:tcW w:w="336" w:type="pct"/>
            <w:tcBorders>
              <w:top w:val="nil"/>
              <w:left w:val="nil"/>
              <w:bottom w:val="single" w:sz="4" w:space="0" w:color="auto"/>
              <w:right w:val="nil"/>
            </w:tcBorders>
          </w:tcPr>
          <w:p w14:paraId="4CB3813C" w14:textId="77777777" w:rsidR="0055378D" w:rsidRDefault="00883CD5">
            <w:pPr>
              <w:jc w:val="center"/>
              <w:rPr>
                <w:rFonts w:ascii="Arial" w:hAnsi="Arial" w:cs="Arial"/>
                <w:color w:val="000000"/>
                <w:sz w:val="16"/>
                <w:szCs w:val="16"/>
              </w:rPr>
            </w:pPr>
            <w:r>
              <w:rPr>
                <w:rFonts w:ascii="Arial" w:hAnsi="Arial" w:cs="Arial"/>
                <w:color w:val="000000"/>
                <w:sz w:val="16"/>
                <w:szCs w:val="16"/>
              </w:rPr>
              <w:t>***</w:t>
            </w:r>
          </w:p>
        </w:tc>
        <w:tc>
          <w:tcPr>
            <w:tcW w:w="379" w:type="pct"/>
            <w:tcBorders>
              <w:top w:val="nil"/>
              <w:left w:val="nil"/>
              <w:bottom w:val="single" w:sz="4" w:space="0" w:color="auto"/>
              <w:right w:val="nil"/>
            </w:tcBorders>
          </w:tcPr>
          <w:p w14:paraId="1D71B995" w14:textId="77777777" w:rsidR="0055378D" w:rsidRDefault="00883CD5">
            <w:pPr>
              <w:jc w:val="center"/>
              <w:rPr>
                <w:rFonts w:ascii="Arial" w:hAnsi="Arial" w:cs="Arial"/>
                <w:color w:val="000000"/>
                <w:sz w:val="16"/>
                <w:szCs w:val="16"/>
              </w:rPr>
            </w:pPr>
            <w:r>
              <w:rPr>
                <w:rFonts w:ascii="Arial" w:hAnsi="Arial" w:cs="Arial"/>
                <w:color w:val="000000"/>
                <w:sz w:val="16"/>
                <w:szCs w:val="16"/>
              </w:rPr>
              <w:t>***</w:t>
            </w:r>
          </w:p>
        </w:tc>
        <w:tc>
          <w:tcPr>
            <w:tcW w:w="337" w:type="pct"/>
            <w:tcBorders>
              <w:top w:val="nil"/>
              <w:left w:val="nil"/>
              <w:bottom w:val="single" w:sz="4" w:space="0" w:color="auto"/>
              <w:right w:val="nil"/>
            </w:tcBorders>
          </w:tcPr>
          <w:p w14:paraId="2EE95A5A" w14:textId="77777777" w:rsidR="0055378D" w:rsidRDefault="00883CD5">
            <w:pPr>
              <w:jc w:val="center"/>
              <w:rPr>
                <w:rFonts w:ascii="Arial" w:hAnsi="Arial" w:cs="Arial"/>
                <w:color w:val="000000"/>
                <w:sz w:val="16"/>
                <w:szCs w:val="16"/>
              </w:rPr>
            </w:pPr>
            <w:r>
              <w:rPr>
                <w:rFonts w:ascii="Arial" w:hAnsi="Arial" w:cs="Arial"/>
                <w:color w:val="000000"/>
                <w:sz w:val="16"/>
                <w:szCs w:val="16"/>
              </w:rPr>
              <w:t>***</w:t>
            </w:r>
          </w:p>
        </w:tc>
        <w:tc>
          <w:tcPr>
            <w:tcW w:w="378" w:type="pct"/>
            <w:tcBorders>
              <w:top w:val="nil"/>
              <w:left w:val="nil"/>
              <w:bottom w:val="single" w:sz="4" w:space="0" w:color="auto"/>
              <w:right w:val="nil"/>
            </w:tcBorders>
          </w:tcPr>
          <w:p w14:paraId="493C04A3" w14:textId="77777777" w:rsidR="0055378D" w:rsidRDefault="00883CD5">
            <w:pPr>
              <w:jc w:val="center"/>
              <w:rPr>
                <w:rFonts w:ascii="Arial" w:hAnsi="Arial" w:cs="Arial"/>
                <w:color w:val="000000"/>
                <w:sz w:val="16"/>
                <w:szCs w:val="16"/>
              </w:rPr>
            </w:pPr>
            <w:r>
              <w:rPr>
                <w:rFonts w:ascii="Arial" w:hAnsi="Arial" w:cs="Arial"/>
                <w:color w:val="000000"/>
                <w:sz w:val="16"/>
                <w:szCs w:val="16"/>
              </w:rPr>
              <w:t>NS</w:t>
            </w:r>
          </w:p>
        </w:tc>
        <w:tc>
          <w:tcPr>
            <w:tcW w:w="336" w:type="pct"/>
            <w:tcBorders>
              <w:top w:val="nil"/>
              <w:left w:val="nil"/>
              <w:bottom w:val="single" w:sz="4" w:space="0" w:color="auto"/>
              <w:right w:val="nil"/>
            </w:tcBorders>
          </w:tcPr>
          <w:p w14:paraId="1E8AC82B" w14:textId="77777777" w:rsidR="0055378D" w:rsidRDefault="00883CD5">
            <w:pPr>
              <w:jc w:val="center"/>
              <w:rPr>
                <w:rFonts w:ascii="Arial" w:hAnsi="Arial" w:cs="Arial"/>
                <w:color w:val="000000"/>
                <w:sz w:val="16"/>
                <w:szCs w:val="16"/>
              </w:rPr>
            </w:pPr>
            <w:r>
              <w:rPr>
                <w:rFonts w:ascii="Arial" w:hAnsi="Arial" w:cs="Arial"/>
                <w:color w:val="000000"/>
                <w:sz w:val="16"/>
                <w:szCs w:val="16"/>
              </w:rPr>
              <w:t>NS</w:t>
            </w:r>
          </w:p>
        </w:tc>
        <w:tc>
          <w:tcPr>
            <w:tcW w:w="335" w:type="pct"/>
            <w:tcBorders>
              <w:top w:val="nil"/>
              <w:left w:val="nil"/>
              <w:bottom w:val="single" w:sz="4" w:space="0" w:color="auto"/>
              <w:right w:val="nil"/>
            </w:tcBorders>
          </w:tcPr>
          <w:p w14:paraId="4D2DE320" w14:textId="77777777" w:rsidR="0055378D" w:rsidRDefault="00883CD5">
            <w:pPr>
              <w:jc w:val="center"/>
              <w:rPr>
                <w:rFonts w:ascii="Arial" w:hAnsi="Arial" w:cs="Arial"/>
                <w:color w:val="000000"/>
                <w:sz w:val="16"/>
                <w:szCs w:val="16"/>
              </w:rPr>
            </w:pPr>
            <w:r>
              <w:rPr>
                <w:rFonts w:ascii="Arial" w:hAnsi="Arial" w:cs="Arial"/>
                <w:color w:val="000000"/>
                <w:sz w:val="16"/>
                <w:szCs w:val="16"/>
              </w:rPr>
              <w:t>NS</w:t>
            </w:r>
          </w:p>
        </w:tc>
        <w:tc>
          <w:tcPr>
            <w:tcW w:w="335" w:type="pct"/>
            <w:tcBorders>
              <w:top w:val="nil"/>
              <w:left w:val="nil"/>
              <w:bottom w:val="single" w:sz="4" w:space="0" w:color="auto"/>
              <w:right w:val="nil"/>
            </w:tcBorders>
          </w:tcPr>
          <w:p w14:paraId="746F23BB" w14:textId="77777777" w:rsidR="0055378D" w:rsidRDefault="00883CD5">
            <w:pPr>
              <w:jc w:val="center"/>
              <w:rPr>
                <w:rFonts w:ascii="Arial" w:hAnsi="Arial" w:cs="Arial"/>
                <w:color w:val="000000"/>
                <w:sz w:val="16"/>
                <w:szCs w:val="16"/>
              </w:rPr>
            </w:pPr>
            <w:r>
              <w:rPr>
                <w:rFonts w:ascii="Arial" w:hAnsi="Arial" w:cs="Arial"/>
                <w:color w:val="000000"/>
                <w:sz w:val="16"/>
                <w:szCs w:val="16"/>
              </w:rPr>
              <w:t>NS</w:t>
            </w:r>
          </w:p>
        </w:tc>
        <w:tc>
          <w:tcPr>
            <w:tcW w:w="378" w:type="pct"/>
            <w:tcBorders>
              <w:top w:val="nil"/>
              <w:left w:val="nil"/>
              <w:bottom w:val="single" w:sz="4" w:space="0" w:color="auto"/>
              <w:right w:val="nil"/>
            </w:tcBorders>
          </w:tcPr>
          <w:p w14:paraId="66BAA65B" w14:textId="77777777" w:rsidR="0055378D" w:rsidRDefault="00883CD5">
            <w:pPr>
              <w:jc w:val="center"/>
              <w:rPr>
                <w:rFonts w:ascii="Arial" w:hAnsi="Arial" w:cs="Arial"/>
                <w:color w:val="000000"/>
                <w:sz w:val="16"/>
                <w:szCs w:val="16"/>
              </w:rPr>
            </w:pPr>
            <w:r>
              <w:rPr>
                <w:rFonts w:ascii="Arial" w:hAnsi="Arial" w:cs="Arial"/>
                <w:color w:val="000000"/>
                <w:sz w:val="16"/>
                <w:szCs w:val="16"/>
              </w:rPr>
              <w:t>NS</w:t>
            </w:r>
          </w:p>
        </w:tc>
        <w:tc>
          <w:tcPr>
            <w:tcW w:w="463" w:type="pct"/>
            <w:tcBorders>
              <w:top w:val="nil"/>
              <w:left w:val="nil"/>
              <w:bottom w:val="single" w:sz="4" w:space="0" w:color="auto"/>
              <w:right w:val="single" w:sz="4" w:space="0" w:color="auto"/>
            </w:tcBorders>
          </w:tcPr>
          <w:p w14:paraId="218CE0C7" w14:textId="77777777" w:rsidR="0055378D" w:rsidRDefault="00883CD5">
            <w:pPr>
              <w:rPr>
                <w:rFonts w:ascii="Arial" w:hAnsi="Arial" w:cs="Arial"/>
                <w:color w:val="000000"/>
                <w:sz w:val="16"/>
                <w:szCs w:val="16"/>
              </w:rPr>
            </w:pPr>
            <w:r>
              <w:rPr>
                <w:rFonts w:ascii="Arial" w:hAnsi="Arial" w:cs="Arial"/>
                <w:color w:val="000000"/>
                <w:sz w:val="16"/>
                <w:szCs w:val="16"/>
              </w:rPr>
              <w:t>***</w:t>
            </w:r>
          </w:p>
        </w:tc>
      </w:tr>
      <w:tr w:rsidR="0055378D" w14:paraId="4DFFD4E4"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47167189" w14:textId="77777777" w:rsidR="0055378D" w:rsidRDefault="00883CD5">
            <w:pPr>
              <w:rPr>
                <w:rFonts w:ascii="Arial" w:hAnsi="Arial" w:cs="Arial"/>
                <w:color w:val="000000"/>
                <w:sz w:val="16"/>
                <w:szCs w:val="16"/>
              </w:rPr>
            </w:pPr>
            <w:r>
              <w:rPr>
                <w:rFonts w:ascii="Arial" w:hAnsi="Arial" w:cs="Arial"/>
                <w:color w:val="000000"/>
                <w:sz w:val="16"/>
                <w:szCs w:val="16"/>
              </w:rPr>
              <w:t>CV</w:t>
            </w:r>
          </w:p>
        </w:tc>
        <w:tc>
          <w:tcPr>
            <w:tcW w:w="421" w:type="pct"/>
            <w:tcBorders>
              <w:top w:val="single" w:sz="4" w:space="0" w:color="auto"/>
              <w:left w:val="single" w:sz="4" w:space="0" w:color="auto"/>
              <w:bottom w:val="single" w:sz="4" w:space="0" w:color="auto"/>
              <w:right w:val="nil"/>
            </w:tcBorders>
          </w:tcPr>
          <w:p w14:paraId="430E5D4D" w14:textId="77777777" w:rsidR="0055378D" w:rsidRDefault="00883CD5">
            <w:pPr>
              <w:jc w:val="center"/>
              <w:rPr>
                <w:rFonts w:ascii="Arial" w:hAnsi="Arial" w:cs="Arial"/>
                <w:color w:val="000000"/>
                <w:sz w:val="16"/>
                <w:szCs w:val="16"/>
              </w:rPr>
            </w:pPr>
            <w:r>
              <w:rPr>
                <w:rFonts w:ascii="Arial" w:hAnsi="Arial" w:cs="Arial"/>
                <w:color w:val="000000"/>
                <w:sz w:val="16"/>
                <w:szCs w:val="16"/>
              </w:rPr>
              <w:t>33.59</w:t>
            </w:r>
          </w:p>
        </w:tc>
        <w:tc>
          <w:tcPr>
            <w:tcW w:w="334" w:type="pct"/>
            <w:tcBorders>
              <w:top w:val="single" w:sz="4" w:space="0" w:color="auto"/>
              <w:left w:val="nil"/>
              <w:bottom w:val="single" w:sz="4" w:space="0" w:color="auto"/>
              <w:right w:val="nil"/>
            </w:tcBorders>
          </w:tcPr>
          <w:p w14:paraId="191E2638" w14:textId="77777777" w:rsidR="0055378D" w:rsidRDefault="00883CD5">
            <w:pPr>
              <w:jc w:val="center"/>
              <w:rPr>
                <w:rFonts w:ascii="Arial" w:hAnsi="Arial" w:cs="Arial"/>
                <w:color w:val="000000"/>
                <w:sz w:val="16"/>
                <w:szCs w:val="16"/>
              </w:rPr>
            </w:pPr>
            <w:r>
              <w:rPr>
                <w:rFonts w:ascii="Arial" w:hAnsi="Arial" w:cs="Arial"/>
                <w:color w:val="000000"/>
                <w:sz w:val="16"/>
                <w:szCs w:val="16"/>
              </w:rPr>
              <w:t>22.20</w:t>
            </w:r>
          </w:p>
        </w:tc>
        <w:tc>
          <w:tcPr>
            <w:tcW w:w="337" w:type="pct"/>
            <w:tcBorders>
              <w:top w:val="single" w:sz="4" w:space="0" w:color="auto"/>
              <w:left w:val="nil"/>
              <w:bottom w:val="single" w:sz="4" w:space="0" w:color="auto"/>
              <w:right w:val="nil"/>
            </w:tcBorders>
          </w:tcPr>
          <w:p w14:paraId="34AD049E" w14:textId="77777777" w:rsidR="0055378D" w:rsidRDefault="00883CD5">
            <w:pPr>
              <w:jc w:val="center"/>
              <w:rPr>
                <w:rFonts w:ascii="Arial" w:hAnsi="Arial" w:cs="Arial"/>
                <w:color w:val="000000"/>
                <w:sz w:val="16"/>
                <w:szCs w:val="16"/>
              </w:rPr>
            </w:pPr>
            <w:r>
              <w:rPr>
                <w:rFonts w:ascii="Arial" w:hAnsi="Arial" w:cs="Arial"/>
                <w:color w:val="000000"/>
                <w:sz w:val="16"/>
                <w:szCs w:val="16"/>
              </w:rPr>
              <w:t>23.41</w:t>
            </w:r>
          </w:p>
        </w:tc>
        <w:tc>
          <w:tcPr>
            <w:tcW w:w="336" w:type="pct"/>
            <w:tcBorders>
              <w:top w:val="single" w:sz="4" w:space="0" w:color="auto"/>
              <w:left w:val="nil"/>
              <w:bottom w:val="single" w:sz="4" w:space="0" w:color="auto"/>
              <w:right w:val="nil"/>
            </w:tcBorders>
          </w:tcPr>
          <w:p w14:paraId="6C96E5CE" w14:textId="77777777" w:rsidR="0055378D" w:rsidRDefault="00883CD5">
            <w:pPr>
              <w:jc w:val="center"/>
              <w:rPr>
                <w:rFonts w:ascii="Arial" w:hAnsi="Arial" w:cs="Arial"/>
                <w:color w:val="000000"/>
                <w:sz w:val="16"/>
                <w:szCs w:val="16"/>
              </w:rPr>
            </w:pPr>
            <w:r>
              <w:rPr>
                <w:rFonts w:ascii="Arial" w:hAnsi="Arial" w:cs="Arial"/>
                <w:color w:val="000000"/>
                <w:sz w:val="16"/>
                <w:szCs w:val="16"/>
              </w:rPr>
              <w:t>4.31</w:t>
            </w:r>
          </w:p>
        </w:tc>
        <w:tc>
          <w:tcPr>
            <w:tcW w:w="379" w:type="pct"/>
            <w:tcBorders>
              <w:top w:val="single" w:sz="4" w:space="0" w:color="auto"/>
              <w:left w:val="nil"/>
              <w:bottom w:val="single" w:sz="4" w:space="0" w:color="auto"/>
              <w:right w:val="nil"/>
            </w:tcBorders>
          </w:tcPr>
          <w:p w14:paraId="73FB09D1" w14:textId="77777777" w:rsidR="0055378D" w:rsidRDefault="00883CD5">
            <w:pPr>
              <w:jc w:val="center"/>
              <w:rPr>
                <w:rFonts w:ascii="Arial" w:hAnsi="Arial" w:cs="Arial"/>
                <w:color w:val="000000"/>
                <w:sz w:val="16"/>
                <w:szCs w:val="16"/>
              </w:rPr>
            </w:pPr>
            <w:r>
              <w:rPr>
                <w:rFonts w:ascii="Arial" w:hAnsi="Arial" w:cs="Arial"/>
                <w:color w:val="000000"/>
                <w:sz w:val="16"/>
                <w:szCs w:val="16"/>
              </w:rPr>
              <w:t>6.01</w:t>
            </w:r>
          </w:p>
        </w:tc>
        <w:tc>
          <w:tcPr>
            <w:tcW w:w="337" w:type="pct"/>
            <w:tcBorders>
              <w:top w:val="single" w:sz="4" w:space="0" w:color="auto"/>
              <w:left w:val="nil"/>
              <w:bottom w:val="single" w:sz="4" w:space="0" w:color="auto"/>
              <w:right w:val="nil"/>
            </w:tcBorders>
          </w:tcPr>
          <w:p w14:paraId="00B48C0B" w14:textId="77777777" w:rsidR="0055378D" w:rsidRDefault="00883CD5">
            <w:pPr>
              <w:jc w:val="center"/>
              <w:rPr>
                <w:rFonts w:ascii="Arial" w:hAnsi="Arial" w:cs="Arial"/>
                <w:color w:val="000000"/>
                <w:sz w:val="16"/>
                <w:szCs w:val="16"/>
              </w:rPr>
            </w:pPr>
            <w:r>
              <w:rPr>
                <w:rFonts w:ascii="Arial" w:hAnsi="Arial" w:cs="Arial"/>
                <w:color w:val="000000"/>
                <w:sz w:val="16"/>
                <w:szCs w:val="16"/>
              </w:rPr>
              <w:t>10.58</w:t>
            </w:r>
          </w:p>
        </w:tc>
        <w:tc>
          <w:tcPr>
            <w:tcW w:w="378" w:type="pct"/>
            <w:tcBorders>
              <w:top w:val="single" w:sz="4" w:space="0" w:color="auto"/>
              <w:left w:val="nil"/>
              <w:bottom w:val="single" w:sz="4" w:space="0" w:color="auto"/>
              <w:right w:val="nil"/>
            </w:tcBorders>
          </w:tcPr>
          <w:p w14:paraId="296D31E1" w14:textId="77777777" w:rsidR="0055378D" w:rsidRDefault="00883CD5">
            <w:pPr>
              <w:jc w:val="center"/>
              <w:rPr>
                <w:rFonts w:ascii="Arial" w:hAnsi="Arial" w:cs="Arial"/>
                <w:color w:val="000000"/>
                <w:sz w:val="16"/>
                <w:szCs w:val="16"/>
              </w:rPr>
            </w:pPr>
            <w:r>
              <w:rPr>
                <w:rFonts w:ascii="Arial" w:hAnsi="Arial" w:cs="Arial"/>
                <w:color w:val="000000"/>
                <w:sz w:val="16"/>
                <w:szCs w:val="16"/>
              </w:rPr>
              <w:t>70.36</w:t>
            </w:r>
          </w:p>
        </w:tc>
        <w:tc>
          <w:tcPr>
            <w:tcW w:w="336" w:type="pct"/>
            <w:tcBorders>
              <w:top w:val="single" w:sz="4" w:space="0" w:color="auto"/>
              <w:left w:val="nil"/>
              <w:bottom w:val="single" w:sz="4" w:space="0" w:color="auto"/>
              <w:right w:val="nil"/>
            </w:tcBorders>
          </w:tcPr>
          <w:p w14:paraId="5D1F3AD6" w14:textId="77777777" w:rsidR="0055378D" w:rsidRDefault="00883CD5">
            <w:pPr>
              <w:jc w:val="center"/>
              <w:rPr>
                <w:rFonts w:ascii="Arial" w:hAnsi="Arial" w:cs="Arial"/>
                <w:color w:val="000000"/>
                <w:sz w:val="16"/>
                <w:szCs w:val="16"/>
              </w:rPr>
            </w:pPr>
            <w:r>
              <w:rPr>
                <w:rFonts w:ascii="Arial" w:hAnsi="Arial" w:cs="Arial"/>
                <w:color w:val="000000"/>
                <w:sz w:val="16"/>
                <w:szCs w:val="16"/>
              </w:rPr>
              <w:t>63.80</w:t>
            </w:r>
          </w:p>
        </w:tc>
        <w:tc>
          <w:tcPr>
            <w:tcW w:w="335" w:type="pct"/>
            <w:tcBorders>
              <w:top w:val="single" w:sz="4" w:space="0" w:color="auto"/>
              <w:left w:val="nil"/>
              <w:bottom w:val="single" w:sz="4" w:space="0" w:color="auto"/>
              <w:right w:val="nil"/>
            </w:tcBorders>
          </w:tcPr>
          <w:p w14:paraId="12210EA1" w14:textId="77777777" w:rsidR="0055378D" w:rsidRDefault="00883CD5">
            <w:pPr>
              <w:jc w:val="center"/>
              <w:rPr>
                <w:rFonts w:ascii="Arial" w:hAnsi="Arial" w:cs="Arial"/>
                <w:color w:val="000000"/>
                <w:sz w:val="16"/>
                <w:szCs w:val="16"/>
              </w:rPr>
            </w:pPr>
            <w:r>
              <w:rPr>
                <w:rFonts w:ascii="Arial" w:hAnsi="Arial" w:cs="Arial"/>
                <w:color w:val="000000"/>
                <w:sz w:val="16"/>
                <w:szCs w:val="16"/>
              </w:rPr>
              <w:t>64.65</w:t>
            </w:r>
          </w:p>
        </w:tc>
        <w:tc>
          <w:tcPr>
            <w:tcW w:w="335" w:type="pct"/>
            <w:tcBorders>
              <w:top w:val="single" w:sz="4" w:space="0" w:color="auto"/>
              <w:left w:val="nil"/>
              <w:bottom w:val="single" w:sz="4" w:space="0" w:color="auto"/>
              <w:right w:val="nil"/>
            </w:tcBorders>
          </w:tcPr>
          <w:p w14:paraId="193B016B" w14:textId="77777777" w:rsidR="0055378D" w:rsidRDefault="00883CD5">
            <w:pPr>
              <w:jc w:val="center"/>
              <w:rPr>
                <w:rFonts w:ascii="Arial" w:hAnsi="Arial" w:cs="Arial"/>
                <w:color w:val="000000"/>
                <w:sz w:val="16"/>
                <w:szCs w:val="16"/>
              </w:rPr>
            </w:pPr>
            <w:r>
              <w:rPr>
                <w:rFonts w:ascii="Arial" w:hAnsi="Arial" w:cs="Arial"/>
                <w:color w:val="000000"/>
                <w:sz w:val="16"/>
                <w:szCs w:val="16"/>
              </w:rPr>
              <w:t>16.40</w:t>
            </w:r>
          </w:p>
        </w:tc>
        <w:tc>
          <w:tcPr>
            <w:tcW w:w="378" w:type="pct"/>
            <w:tcBorders>
              <w:top w:val="single" w:sz="4" w:space="0" w:color="auto"/>
              <w:left w:val="nil"/>
              <w:bottom w:val="single" w:sz="4" w:space="0" w:color="auto"/>
              <w:right w:val="nil"/>
            </w:tcBorders>
          </w:tcPr>
          <w:p w14:paraId="07B231ED" w14:textId="77777777" w:rsidR="0055378D" w:rsidRDefault="00883CD5">
            <w:pPr>
              <w:jc w:val="center"/>
              <w:rPr>
                <w:rFonts w:ascii="Arial" w:hAnsi="Arial" w:cs="Arial"/>
                <w:color w:val="000000"/>
                <w:sz w:val="16"/>
                <w:szCs w:val="16"/>
              </w:rPr>
            </w:pPr>
            <w:r>
              <w:rPr>
                <w:rFonts w:ascii="Arial" w:hAnsi="Arial" w:cs="Arial"/>
                <w:color w:val="000000"/>
                <w:sz w:val="16"/>
                <w:szCs w:val="16"/>
              </w:rPr>
              <w:t>21.35</w:t>
            </w:r>
          </w:p>
        </w:tc>
        <w:tc>
          <w:tcPr>
            <w:tcW w:w="463" w:type="pct"/>
            <w:tcBorders>
              <w:top w:val="single" w:sz="4" w:space="0" w:color="auto"/>
              <w:left w:val="nil"/>
              <w:bottom w:val="single" w:sz="4" w:space="0" w:color="auto"/>
              <w:right w:val="single" w:sz="4" w:space="0" w:color="auto"/>
            </w:tcBorders>
          </w:tcPr>
          <w:p w14:paraId="5A321295" w14:textId="77777777" w:rsidR="0055378D" w:rsidRDefault="00883CD5">
            <w:pPr>
              <w:jc w:val="center"/>
              <w:rPr>
                <w:rFonts w:ascii="Arial" w:hAnsi="Arial" w:cs="Arial"/>
                <w:color w:val="000000"/>
                <w:sz w:val="16"/>
                <w:szCs w:val="16"/>
              </w:rPr>
            </w:pPr>
            <w:r>
              <w:rPr>
                <w:rFonts w:ascii="Arial" w:hAnsi="Arial" w:cs="Arial"/>
                <w:color w:val="000000"/>
                <w:sz w:val="16"/>
                <w:szCs w:val="16"/>
              </w:rPr>
              <w:t>10.35</w:t>
            </w:r>
          </w:p>
        </w:tc>
      </w:tr>
    </w:tbl>
    <w:p w14:paraId="6A9704D8" w14:textId="77777777" w:rsidR="0055378D" w:rsidRDefault="0055378D">
      <w:pPr>
        <w:spacing w:line="276" w:lineRule="auto"/>
        <w:rPr>
          <w:rFonts w:ascii="Arial" w:hAnsi="Arial" w:cs="Arial"/>
          <w:sz w:val="22"/>
          <w:szCs w:val="22"/>
        </w:rPr>
      </w:pPr>
    </w:p>
    <w:p w14:paraId="3EA1C064" w14:textId="77777777" w:rsidR="0055378D" w:rsidRDefault="0055378D">
      <w:pPr>
        <w:spacing w:line="276" w:lineRule="auto"/>
        <w:rPr>
          <w:rFonts w:ascii="Arial" w:hAnsi="Arial" w:cs="Arial"/>
          <w:sz w:val="22"/>
          <w:szCs w:val="22"/>
        </w:rPr>
      </w:pPr>
    </w:p>
    <w:p w14:paraId="5E5E81B6" w14:textId="77777777" w:rsidR="0055378D" w:rsidRDefault="00883CD5">
      <w:pPr>
        <w:spacing w:line="276" w:lineRule="auto"/>
        <w:rPr>
          <w:rFonts w:asciiTheme="minorBidi" w:hAnsiTheme="minorBidi" w:cstheme="minorBidi"/>
          <w:sz w:val="22"/>
          <w:szCs w:val="22"/>
        </w:rPr>
      </w:pPr>
      <w:r>
        <w:rPr>
          <w:rFonts w:asciiTheme="minorBidi" w:hAnsiTheme="minorBidi" w:cstheme="minorBidi"/>
          <w:noProof/>
          <w:sz w:val="22"/>
          <w:szCs w:val="22"/>
        </w:rPr>
        <w:drawing>
          <wp:inline distT="0" distB="0" distL="0" distR="0" wp14:anchorId="628F1E43" wp14:editId="2788DBB7">
            <wp:extent cx="5901055" cy="4443730"/>
            <wp:effectExtent l="0" t="0" r="444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01055" cy="4443730"/>
                    </a:xfrm>
                    <a:prstGeom prst="rect">
                      <a:avLst/>
                    </a:prstGeom>
                    <a:noFill/>
                    <a:ln>
                      <a:noFill/>
                    </a:ln>
                  </pic:spPr>
                </pic:pic>
              </a:graphicData>
            </a:graphic>
          </wp:inline>
        </w:drawing>
      </w:r>
    </w:p>
    <w:tbl>
      <w:tblPr>
        <w:tblW w:w="0" w:type="auto"/>
        <w:tblLook w:val="04A0" w:firstRow="1" w:lastRow="0" w:firstColumn="1" w:lastColumn="0" w:noHBand="0" w:noVBand="1"/>
      </w:tblPr>
      <w:tblGrid>
        <w:gridCol w:w="8306"/>
      </w:tblGrid>
      <w:tr w:rsidR="0055378D" w14:paraId="0AF4477D" w14:textId="77777777">
        <w:trPr>
          <w:trHeight w:val="232"/>
        </w:trPr>
        <w:tc>
          <w:tcPr>
            <w:tcW w:w="9576" w:type="dxa"/>
          </w:tcPr>
          <w:p w14:paraId="6AA30499" w14:textId="77777777" w:rsidR="0055378D" w:rsidRDefault="00883CD5">
            <w:pPr>
              <w:spacing w:before="120" w:after="240" w:line="276" w:lineRule="auto"/>
              <w:jc w:val="center"/>
              <w:rPr>
                <w:rFonts w:asciiTheme="minorBidi" w:hAnsiTheme="minorBidi" w:cstheme="minorBidi"/>
                <w:b/>
                <w:sz w:val="20"/>
                <w:szCs w:val="20"/>
              </w:rPr>
            </w:pPr>
            <w:r>
              <w:rPr>
                <w:rFonts w:asciiTheme="minorBidi" w:hAnsiTheme="minorBidi" w:cstheme="minorBidi"/>
                <w:b/>
                <w:bCs/>
                <w:sz w:val="20"/>
                <w:szCs w:val="20"/>
              </w:rPr>
              <w:t>Figure-1:</w:t>
            </w:r>
            <w:r>
              <w:rPr>
                <w:rFonts w:asciiTheme="minorBidi" w:hAnsiTheme="minorBidi" w:cstheme="minorBidi"/>
                <w:b/>
                <w:sz w:val="20"/>
                <w:szCs w:val="20"/>
              </w:rPr>
              <w:t xml:space="preserve"> Regression between Total nodule with Number of Branches at 60 DAS</w:t>
            </w:r>
          </w:p>
        </w:tc>
      </w:tr>
      <w:tr w:rsidR="0055378D" w14:paraId="7861355A" w14:textId="77777777">
        <w:trPr>
          <w:trHeight w:val="1220"/>
        </w:trPr>
        <w:tc>
          <w:tcPr>
            <w:tcW w:w="9576" w:type="dxa"/>
          </w:tcPr>
          <w:p w14:paraId="58673B15" w14:textId="77777777" w:rsidR="0055378D" w:rsidRDefault="0055378D">
            <w:pPr>
              <w:spacing w:line="276" w:lineRule="auto"/>
              <w:jc w:val="both"/>
              <w:rPr>
                <w:rFonts w:asciiTheme="minorBidi" w:hAnsiTheme="minorBidi" w:cstheme="minorBidi"/>
                <w:sz w:val="22"/>
                <w:szCs w:val="22"/>
              </w:rPr>
            </w:pPr>
          </w:p>
          <w:p w14:paraId="0B528912" w14:textId="77777777" w:rsidR="0055378D" w:rsidRDefault="00883CD5">
            <w:pPr>
              <w:spacing w:line="276" w:lineRule="auto"/>
              <w:jc w:val="both"/>
              <w:rPr>
                <w:rFonts w:asciiTheme="minorBidi" w:hAnsiTheme="minorBidi" w:cstheme="minorBidi"/>
                <w:sz w:val="22"/>
                <w:szCs w:val="22"/>
              </w:rPr>
            </w:pPr>
            <w:r>
              <w:rPr>
                <w:rFonts w:asciiTheme="minorBidi" w:hAnsiTheme="minorBidi" w:cstheme="minorBidi"/>
                <w:sz w:val="22"/>
                <w:szCs w:val="22"/>
              </w:rPr>
              <w:t xml:space="preserve">Figure 1 showed that </w:t>
            </w:r>
            <w:proofErr w:type="spellStart"/>
            <w:r>
              <w:rPr>
                <w:rFonts w:asciiTheme="minorBidi" w:hAnsiTheme="minorBidi" w:cstheme="minorBidi"/>
                <w:sz w:val="22"/>
                <w:szCs w:val="22"/>
              </w:rPr>
              <w:t>thre</w:t>
            </w:r>
            <w:proofErr w:type="spellEnd"/>
            <w:r>
              <w:rPr>
                <w:rFonts w:asciiTheme="minorBidi" w:hAnsiTheme="minorBidi" w:cstheme="minorBidi"/>
                <w:sz w:val="22"/>
                <w:szCs w:val="22"/>
              </w:rPr>
              <w:t xml:space="preserve"> was strong relation R</w:t>
            </w:r>
            <w:r>
              <w:rPr>
                <w:rFonts w:asciiTheme="minorBidi" w:hAnsiTheme="minorBidi" w:cstheme="minorBidi"/>
                <w:sz w:val="22"/>
                <w:szCs w:val="22"/>
                <w:vertAlign w:val="superscript"/>
              </w:rPr>
              <w:t>2</w:t>
            </w:r>
            <w:r>
              <w:rPr>
                <w:rFonts w:asciiTheme="minorBidi" w:hAnsiTheme="minorBidi" w:cstheme="minorBidi"/>
                <w:sz w:val="22"/>
                <w:szCs w:val="22"/>
              </w:rPr>
              <w:t>=0.91 in T</w:t>
            </w:r>
            <w:r>
              <w:rPr>
                <w:rFonts w:asciiTheme="minorBidi" w:hAnsiTheme="minorBidi" w:cstheme="minorBidi"/>
                <w:sz w:val="22"/>
                <w:szCs w:val="22"/>
                <w:vertAlign w:val="subscript"/>
              </w:rPr>
              <w:t>2</w:t>
            </w:r>
            <w:r>
              <w:rPr>
                <w:rFonts w:asciiTheme="minorBidi" w:hAnsiTheme="minorBidi" w:cstheme="minorBidi"/>
                <w:sz w:val="22"/>
                <w:szCs w:val="22"/>
              </w:rPr>
              <w:t xml:space="preserve"> treatment </w:t>
            </w:r>
            <w:proofErr w:type="gramStart"/>
            <w:r>
              <w:rPr>
                <w:rFonts w:asciiTheme="minorBidi" w:hAnsiTheme="minorBidi" w:cstheme="minorBidi"/>
                <w:sz w:val="22"/>
                <w:szCs w:val="22"/>
              </w:rPr>
              <w:t>( inoculated</w:t>
            </w:r>
            <w:proofErr w:type="gramEnd"/>
            <w:r>
              <w:rPr>
                <w:rFonts w:asciiTheme="minorBidi" w:hAnsiTheme="minorBidi" w:cstheme="minorBidi"/>
                <w:sz w:val="22"/>
                <w:szCs w:val="22"/>
              </w:rPr>
              <w:t xml:space="preserve"> with STGN-1 strain) in respect of total nodule number and number of branches. In figure 2, there were strongest positive correlation between root length and number of branches, effective nodule with </w:t>
            </w:r>
            <w:proofErr w:type="spellStart"/>
            <w:r>
              <w:rPr>
                <w:rFonts w:asciiTheme="minorBidi" w:hAnsiTheme="minorBidi" w:cstheme="minorBidi"/>
                <w:sz w:val="22"/>
                <w:szCs w:val="22"/>
              </w:rPr>
              <w:t>non effective</w:t>
            </w:r>
            <w:proofErr w:type="spellEnd"/>
            <w:r>
              <w:rPr>
                <w:rFonts w:asciiTheme="minorBidi" w:hAnsiTheme="minorBidi" w:cstheme="minorBidi"/>
                <w:sz w:val="22"/>
                <w:szCs w:val="22"/>
              </w:rPr>
              <w:t xml:space="preserve"> nodule also stronger positive correlation between effective nodule and number of branch and total nodule and effective nodule. In some cases, there was negative correlation </w:t>
            </w:r>
            <w:proofErr w:type="spellStart"/>
            <w:r>
              <w:rPr>
                <w:rFonts w:asciiTheme="minorBidi" w:hAnsiTheme="minorBidi" w:cstheme="minorBidi"/>
                <w:sz w:val="22"/>
                <w:szCs w:val="22"/>
              </w:rPr>
              <w:t>aslo</w:t>
            </w:r>
            <w:proofErr w:type="spellEnd"/>
            <w:r>
              <w:rPr>
                <w:rFonts w:asciiTheme="minorBidi" w:hAnsiTheme="minorBidi" w:cstheme="minorBidi"/>
                <w:sz w:val="22"/>
                <w:szCs w:val="22"/>
              </w:rPr>
              <w:t xml:space="preserve"> existed.  Where, * indicates level of significance </w:t>
            </w:r>
            <w:proofErr w:type="spellStart"/>
            <w:r>
              <w:rPr>
                <w:rFonts w:asciiTheme="minorBidi" w:hAnsiTheme="minorBidi" w:cstheme="minorBidi"/>
                <w:sz w:val="22"/>
                <w:szCs w:val="22"/>
              </w:rPr>
              <w:t>inrespect</w:t>
            </w:r>
            <w:proofErr w:type="spellEnd"/>
            <w:r>
              <w:rPr>
                <w:rFonts w:asciiTheme="minorBidi" w:hAnsiTheme="minorBidi" w:cstheme="minorBidi"/>
                <w:sz w:val="22"/>
                <w:szCs w:val="22"/>
              </w:rPr>
              <w:t xml:space="preserve"> with p value. </w:t>
            </w:r>
          </w:p>
        </w:tc>
      </w:tr>
      <w:tr w:rsidR="0055378D" w14:paraId="552B21E2" w14:textId="77777777">
        <w:trPr>
          <w:trHeight w:val="7200"/>
        </w:trPr>
        <w:tc>
          <w:tcPr>
            <w:tcW w:w="9576" w:type="dxa"/>
          </w:tcPr>
          <w:p w14:paraId="4448B847" w14:textId="77777777" w:rsidR="0055378D" w:rsidRDefault="00883CD5">
            <w:pPr>
              <w:spacing w:line="276" w:lineRule="auto"/>
              <w:rPr>
                <w:rFonts w:asciiTheme="minorBidi" w:hAnsiTheme="minorBidi" w:cstheme="minorBidi"/>
                <w:sz w:val="22"/>
                <w:szCs w:val="22"/>
              </w:rPr>
            </w:pPr>
            <w:r>
              <w:rPr>
                <w:rFonts w:asciiTheme="minorBidi" w:hAnsiTheme="minorBidi" w:cstheme="minorBidi"/>
                <w:noProof/>
                <w:sz w:val="22"/>
                <w:szCs w:val="22"/>
              </w:rPr>
              <w:drawing>
                <wp:inline distT="0" distB="0" distL="0" distR="0" wp14:anchorId="4861BA1F" wp14:editId="682E0B67">
                  <wp:extent cx="5779135" cy="4358640"/>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79135" cy="4358640"/>
                          </a:xfrm>
                          <a:prstGeom prst="rect">
                            <a:avLst/>
                          </a:prstGeom>
                          <a:noFill/>
                          <a:ln>
                            <a:noFill/>
                          </a:ln>
                        </pic:spPr>
                      </pic:pic>
                    </a:graphicData>
                  </a:graphic>
                </wp:inline>
              </w:drawing>
            </w:r>
          </w:p>
          <w:p w14:paraId="34D25BED" w14:textId="77777777" w:rsidR="0055378D" w:rsidRDefault="0055378D">
            <w:pPr>
              <w:spacing w:line="276" w:lineRule="auto"/>
              <w:jc w:val="center"/>
              <w:rPr>
                <w:rFonts w:asciiTheme="minorBidi" w:hAnsiTheme="minorBidi" w:cstheme="minorBidi"/>
                <w:b/>
                <w:bCs/>
                <w:sz w:val="22"/>
                <w:szCs w:val="22"/>
              </w:rPr>
            </w:pPr>
          </w:p>
          <w:p w14:paraId="051D6EAA" w14:textId="77777777" w:rsidR="0055378D" w:rsidRDefault="00883CD5">
            <w:pPr>
              <w:spacing w:line="276" w:lineRule="auto"/>
              <w:jc w:val="center"/>
              <w:rPr>
                <w:rFonts w:asciiTheme="minorBidi" w:hAnsiTheme="minorBidi" w:cstheme="minorBidi"/>
                <w:b/>
                <w:sz w:val="22"/>
                <w:szCs w:val="22"/>
              </w:rPr>
            </w:pPr>
            <w:r>
              <w:rPr>
                <w:rFonts w:asciiTheme="minorBidi" w:hAnsiTheme="minorBidi" w:cstheme="minorBidi"/>
                <w:b/>
                <w:bCs/>
                <w:sz w:val="22"/>
                <w:szCs w:val="22"/>
              </w:rPr>
              <w:t>Figure-2:</w:t>
            </w:r>
            <w:r>
              <w:rPr>
                <w:rFonts w:asciiTheme="minorBidi" w:hAnsiTheme="minorBidi" w:cstheme="minorBidi"/>
                <w:b/>
                <w:sz w:val="22"/>
                <w:szCs w:val="22"/>
              </w:rPr>
              <w:t xml:space="preserve"> Correlation with different parameters at 60 DAS</w:t>
            </w:r>
          </w:p>
        </w:tc>
      </w:tr>
    </w:tbl>
    <w:p w14:paraId="72BFC8CB" w14:textId="77777777" w:rsidR="0055378D" w:rsidRDefault="0055378D">
      <w:pPr>
        <w:spacing w:line="276" w:lineRule="auto"/>
        <w:rPr>
          <w:rFonts w:asciiTheme="minorBidi" w:hAnsiTheme="minorBidi" w:cstheme="minorBidi"/>
          <w:b/>
          <w:sz w:val="22"/>
          <w:szCs w:val="22"/>
        </w:rPr>
      </w:pPr>
    </w:p>
    <w:p w14:paraId="428710F4" w14:textId="77777777" w:rsidR="0055378D" w:rsidRDefault="00883CD5">
      <w:pPr>
        <w:spacing w:line="276" w:lineRule="auto"/>
        <w:jc w:val="both"/>
        <w:rPr>
          <w:rFonts w:ascii="Arial" w:hAnsi="Arial" w:cs="Arial"/>
          <w:bCs/>
          <w:sz w:val="22"/>
          <w:szCs w:val="22"/>
        </w:rPr>
      </w:pPr>
      <w:r>
        <w:rPr>
          <w:rFonts w:ascii="Arial" w:hAnsi="Arial" w:cs="Arial"/>
          <w:bCs/>
          <w:sz w:val="22"/>
          <w:szCs w:val="22"/>
        </w:rPr>
        <w:t xml:space="preserve">From this above correlation matrix, which is a table showed the correlation coefficients between several variables. In that case, the variables appear to be related to plant growth or biological characteristics based on nodule. The matrix showed the correlation between the following variables effective nodule, non-effective nodules, fresh weight plant-1, root length, plant-1, number of brunches plant-1, shoot length plant-1, total nodule plant-1, nodule fresh weight plant-1. The matrix is a triangular heatmap, where the color intensity and numerical value in each cell represent the Pearson's correlation coefficient (r) between the two intersecting variables. The legend indicates the strength and direction of the correlation. The asterisks (∗) denote the statistical significance (p-value) of the correlation. Where (ns) denoted not significant (p≥0.05); ∗ denoted significant (p&lt;0.05); ∗∗ denoted highly significant (p&lt;0.01) and ∗∗∗ denoted very highly significant (p&lt;0.001). The analysis revealed several very strong positive relationships, many of which are highly significant between effective nodule </w:t>
      </w:r>
      <w:r>
        <w:rPr>
          <w:rFonts w:ascii="Arial" w:hAnsi="Arial" w:cs="Arial"/>
          <w:bCs/>
          <w:sz w:val="22"/>
          <w:szCs w:val="22"/>
        </w:rPr>
        <w:lastRenderedPageBreak/>
        <w:t xml:space="preserve">and non-effective very strong positive correlation (r=0.91, p&lt;0.001). This is an interesting finding, suggesting that conditions favoring the formation of effective nodules also strongly favor the formation of non-effective nodules. Effective nodule and total nodule have a very strong positive correlation (r=0.86, p&lt;0.01). This is expected, as effective nodules are a component of the total nodule count. Non-effective and root length have strong positive correlation (r=0.76, p&lt;0.05). Number of brunches with effective nodule/Non effective/root length shows strong, highly significant positive correlations with all three like, Root length (r=0.92, p&lt;0.01), non-effective (r=0.83, p&lt;0.01), effective nodule (r=0.72, p&lt;0.05).  Suggested that root length and number of brunches are very closely linked and that factors increasing nodulation and root growth also strongly increase branching. Here also moderate positive correlation among fresh weight plant-1 and effective nodule/Non-effective: These show moderate positive correlations (r=0.49 and r=0.48, respectively). However, neither correlation is statistically significant (ns). Root length and fresh weight plant-1 also a moderate positive and significant correlation (r=0.68, p&lt;0.05), indicating longer roots are associated with heavier plants. There was in nodule fresh weight plant-1 and fresh weight plant-1 has a strong, significant negative correlation (r=−0.50, p&lt;0.05). This was a surprising finding. It suggests that a higher proportion or amount of fresh weight dedicated to nodules is associated with a lower overall plant fresh weight. This could imply a trade-off or a limiting resource. Shoot length has mostly weak and non-significant correlations with the other traits. The strongest correlation it has is a weak negative one with effective nodule (r=−0.20, ns), and a weak positive one with number of brunches (r=0.28, ns). This suggests that shoot growth (length) is relatively independent of the nodulation and root growth factors we measured. </w:t>
      </w:r>
    </w:p>
    <w:p w14:paraId="52A22832" w14:textId="77777777" w:rsidR="0055378D" w:rsidRDefault="0055378D">
      <w:pPr>
        <w:spacing w:line="276" w:lineRule="auto"/>
        <w:jc w:val="both"/>
        <w:rPr>
          <w:rFonts w:ascii="Arial" w:hAnsi="Arial" w:cs="Arial"/>
          <w:bCs/>
          <w:sz w:val="22"/>
          <w:szCs w:val="22"/>
        </w:rPr>
      </w:pPr>
    </w:p>
    <w:p w14:paraId="31ECF1EA" w14:textId="77777777" w:rsidR="0055378D" w:rsidRDefault="00883CD5">
      <w:pPr>
        <w:ind w:left="900" w:hanging="900"/>
        <w:rPr>
          <w:rFonts w:asciiTheme="minorBidi" w:hAnsiTheme="minorBidi" w:cstheme="minorBidi"/>
          <w:b/>
          <w:sz w:val="22"/>
          <w:szCs w:val="22"/>
        </w:rPr>
      </w:pPr>
      <w:r>
        <w:rPr>
          <w:rFonts w:asciiTheme="minorBidi" w:hAnsiTheme="minorBidi" w:cstheme="minorBidi"/>
          <w:b/>
          <w:sz w:val="22"/>
          <w:szCs w:val="22"/>
        </w:rPr>
        <w:t>Table 3.</w:t>
      </w:r>
      <w:r>
        <w:rPr>
          <w:rFonts w:asciiTheme="minorBidi" w:hAnsiTheme="minorBidi" w:cstheme="minorBidi"/>
          <w:bCs/>
          <w:sz w:val="22"/>
          <w:szCs w:val="22"/>
        </w:rPr>
        <w:t xml:space="preserve"> </w:t>
      </w:r>
      <w:r>
        <w:rPr>
          <w:rFonts w:asciiTheme="minorBidi" w:hAnsiTheme="minorBidi" w:cstheme="minorBidi"/>
          <w:b/>
          <w:sz w:val="22"/>
          <w:szCs w:val="22"/>
        </w:rPr>
        <w:t xml:space="preserve">Growth parameters of salinity tolerant </w:t>
      </w:r>
      <w:proofErr w:type="spellStart"/>
      <w:r>
        <w:rPr>
          <w:rFonts w:asciiTheme="minorBidi" w:hAnsiTheme="minorBidi" w:cstheme="minorBidi"/>
          <w:b/>
          <w:i/>
          <w:iCs/>
          <w:sz w:val="22"/>
          <w:szCs w:val="22"/>
        </w:rPr>
        <w:t>rhizobial</w:t>
      </w:r>
      <w:proofErr w:type="spellEnd"/>
      <w:r>
        <w:rPr>
          <w:rFonts w:asciiTheme="minorBidi" w:hAnsiTheme="minorBidi" w:cstheme="minorBidi"/>
          <w:b/>
          <w:sz w:val="22"/>
          <w:szCs w:val="22"/>
        </w:rPr>
        <w:t xml:space="preserve"> strains on groundnut in pot condition at 90 DAS and 120 DAS</w:t>
      </w:r>
    </w:p>
    <w:tbl>
      <w:tblPr>
        <w:tblW w:w="5537"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808"/>
        <w:gridCol w:w="808"/>
        <w:gridCol w:w="735"/>
        <w:gridCol w:w="660"/>
        <w:gridCol w:w="728"/>
        <w:gridCol w:w="665"/>
        <w:gridCol w:w="807"/>
        <w:gridCol w:w="807"/>
        <w:gridCol w:w="661"/>
        <w:gridCol w:w="660"/>
        <w:gridCol w:w="803"/>
      </w:tblGrid>
      <w:tr w:rsidR="0055378D" w14:paraId="1FE04415" w14:textId="77777777">
        <w:trPr>
          <w:trHeight w:val="358"/>
        </w:trPr>
        <w:tc>
          <w:tcPr>
            <w:tcW w:w="2965" w:type="pct"/>
            <w:gridSpan w:val="7"/>
          </w:tcPr>
          <w:p w14:paraId="6A095920"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90 DAS</w:t>
            </w:r>
          </w:p>
        </w:tc>
        <w:tc>
          <w:tcPr>
            <w:tcW w:w="2035" w:type="pct"/>
            <w:gridSpan w:val="5"/>
          </w:tcPr>
          <w:p w14:paraId="03AD0688"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120 DAS</w:t>
            </w:r>
          </w:p>
        </w:tc>
      </w:tr>
      <w:tr w:rsidR="0055378D" w14:paraId="5F844572" w14:textId="77777777">
        <w:trPr>
          <w:trHeight w:val="550"/>
        </w:trPr>
        <w:tc>
          <w:tcPr>
            <w:tcW w:w="569" w:type="pct"/>
            <w:tcBorders>
              <w:bottom w:val="single" w:sz="4" w:space="0" w:color="auto"/>
            </w:tcBorders>
          </w:tcPr>
          <w:p w14:paraId="79A0A7B3" w14:textId="77777777" w:rsidR="0055378D" w:rsidRDefault="00883CD5">
            <w:pPr>
              <w:spacing w:line="276" w:lineRule="auto"/>
              <w:rPr>
                <w:rFonts w:asciiTheme="minorBidi" w:hAnsiTheme="minorBidi" w:cstheme="minorBidi"/>
                <w:sz w:val="16"/>
                <w:szCs w:val="16"/>
              </w:rPr>
            </w:pPr>
            <w:bookmarkStart w:id="3" w:name="_Hlk210563072"/>
            <w:r>
              <w:rPr>
                <w:rFonts w:asciiTheme="minorBidi" w:hAnsiTheme="minorBidi" w:cstheme="minorBidi"/>
                <w:sz w:val="16"/>
                <w:szCs w:val="16"/>
              </w:rPr>
              <w:t>Treatment</w:t>
            </w:r>
          </w:p>
        </w:tc>
        <w:tc>
          <w:tcPr>
            <w:tcW w:w="440" w:type="pct"/>
            <w:tcBorders>
              <w:bottom w:val="single" w:sz="4" w:space="0" w:color="auto"/>
            </w:tcBorders>
          </w:tcPr>
          <w:p w14:paraId="234E889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Effective nodule</w:t>
            </w:r>
          </w:p>
        </w:tc>
        <w:tc>
          <w:tcPr>
            <w:tcW w:w="440" w:type="pct"/>
            <w:tcBorders>
              <w:bottom w:val="single" w:sz="4" w:space="0" w:color="auto"/>
            </w:tcBorders>
          </w:tcPr>
          <w:p w14:paraId="16DA1D5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Non effective</w:t>
            </w:r>
          </w:p>
        </w:tc>
        <w:tc>
          <w:tcPr>
            <w:tcW w:w="400" w:type="pct"/>
            <w:tcBorders>
              <w:bottom w:val="single" w:sz="4" w:space="0" w:color="auto"/>
            </w:tcBorders>
          </w:tcPr>
          <w:p w14:paraId="48A42CF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Total nodule</w:t>
            </w:r>
          </w:p>
        </w:tc>
        <w:tc>
          <w:tcPr>
            <w:tcW w:w="359" w:type="pct"/>
            <w:tcBorders>
              <w:bottom w:val="single" w:sz="4" w:space="0" w:color="auto"/>
            </w:tcBorders>
          </w:tcPr>
          <w:p w14:paraId="5D5E70A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Root length (cm)</w:t>
            </w:r>
          </w:p>
        </w:tc>
        <w:tc>
          <w:tcPr>
            <w:tcW w:w="396" w:type="pct"/>
            <w:tcBorders>
              <w:bottom w:val="single" w:sz="4" w:space="0" w:color="auto"/>
            </w:tcBorders>
          </w:tcPr>
          <w:p w14:paraId="0B1382F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Shoot length (cm)</w:t>
            </w:r>
          </w:p>
        </w:tc>
        <w:tc>
          <w:tcPr>
            <w:tcW w:w="362" w:type="pct"/>
            <w:tcBorders>
              <w:bottom w:val="single" w:sz="4" w:space="0" w:color="auto"/>
            </w:tcBorders>
          </w:tcPr>
          <w:p w14:paraId="06950E1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No of Brunch</w:t>
            </w:r>
          </w:p>
        </w:tc>
        <w:tc>
          <w:tcPr>
            <w:tcW w:w="439" w:type="pct"/>
            <w:tcBorders>
              <w:bottom w:val="single" w:sz="4" w:space="0" w:color="auto"/>
            </w:tcBorders>
          </w:tcPr>
          <w:p w14:paraId="1F4A243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Effective nodule</w:t>
            </w:r>
          </w:p>
        </w:tc>
        <w:tc>
          <w:tcPr>
            <w:tcW w:w="439" w:type="pct"/>
            <w:tcBorders>
              <w:bottom w:val="single" w:sz="4" w:space="0" w:color="auto"/>
            </w:tcBorders>
          </w:tcPr>
          <w:p w14:paraId="7A5CB4C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Non effective</w:t>
            </w:r>
          </w:p>
        </w:tc>
        <w:tc>
          <w:tcPr>
            <w:tcW w:w="360" w:type="pct"/>
            <w:tcBorders>
              <w:bottom w:val="single" w:sz="4" w:space="0" w:color="auto"/>
            </w:tcBorders>
          </w:tcPr>
          <w:p w14:paraId="51907C8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Total nodule</w:t>
            </w:r>
          </w:p>
        </w:tc>
        <w:tc>
          <w:tcPr>
            <w:tcW w:w="359" w:type="pct"/>
            <w:tcBorders>
              <w:bottom w:val="single" w:sz="4" w:space="0" w:color="auto"/>
            </w:tcBorders>
          </w:tcPr>
          <w:p w14:paraId="2F071F0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Pod plant</w:t>
            </w:r>
            <w:r>
              <w:rPr>
                <w:rFonts w:asciiTheme="minorBidi" w:hAnsiTheme="minorBidi" w:cstheme="minorBidi"/>
                <w:sz w:val="16"/>
                <w:szCs w:val="16"/>
                <w:vertAlign w:val="superscript"/>
              </w:rPr>
              <w:t>-1</w:t>
            </w:r>
          </w:p>
        </w:tc>
        <w:tc>
          <w:tcPr>
            <w:tcW w:w="438" w:type="pct"/>
            <w:tcBorders>
              <w:bottom w:val="single" w:sz="4" w:space="0" w:color="auto"/>
            </w:tcBorders>
          </w:tcPr>
          <w:p w14:paraId="3F3E991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Yield plant</w:t>
            </w:r>
            <w:r>
              <w:rPr>
                <w:rFonts w:asciiTheme="minorBidi" w:hAnsiTheme="minorBidi" w:cstheme="minorBidi"/>
                <w:sz w:val="16"/>
                <w:szCs w:val="16"/>
                <w:vertAlign w:val="superscript"/>
              </w:rPr>
              <w:t>-1</w:t>
            </w:r>
            <w:r>
              <w:rPr>
                <w:rFonts w:asciiTheme="minorBidi" w:hAnsiTheme="minorBidi" w:cstheme="minorBidi"/>
                <w:sz w:val="16"/>
                <w:szCs w:val="16"/>
              </w:rPr>
              <w:t xml:space="preserve"> (gm)</w:t>
            </w:r>
          </w:p>
        </w:tc>
      </w:tr>
      <w:bookmarkEnd w:id="3"/>
      <w:tr w:rsidR="0055378D" w14:paraId="4C2C07F4" w14:textId="77777777">
        <w:trPr>
          <w:trHeight w:val="339"/>
        </w:trPr>
        <w:tc>
          <w:tcPr>
            <w:tcW w:w="569" w:type="pct"/>
            <w:tcBorders>
              <w:top w:val="single" w:sz="4" w:space="0" w:color="auto"/>
              <w:left w:val="single" w:sz="4" w:space="0" w:color="auto"/>
              <w:bottom w:val="nil"/>
              <w:right w:val="single" w:sz="4" w:space="0" w:color="auto"/>
            </w:tcBorders>
            <w:vAlign w:val="bottom"/>
          </w:tcPr>
          <w:p w14:paraId="70691FC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1</w:t>
            </w:r>
            <w:r>
              <w:rPr>
                <w:rFonts w:asciiTheme="minorBidi" w:hAnsiTheme="minorBidi" w:cstheme="minorBidi"/>
                <w:sz w:val="16"/>
                <w:szCs w:val="16"/>
              </w:rPr>
              <w:t>; Control</w:t>
            </w:r>
          </w:p>
        </w:tc>
        <w:tc>
          <w:tcPr>
            <w:tcW w:w="440" w:type="pct"/>
            <w:tcBorders>
              <w:top w:val="single" w:sz="4" w:space="0" w:color="auto"/>
              <w:left w:val="single" w:sz="4" w:space="0" w:color="auto"/>
              <w:bottom w:val="nil"/>
              <w:right w:val="nil"/>
            </w:tcBorders>
          </w:tcPr>
          <w:p w14:paraId="0BF5B8D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0.00b</w:t>
            </w:r>
          </w:p>
        </w:tc>
        <w:tc>
          <w:tcPr>
            <w:tcW w:w="440" w:type="pct"/>
            <w:tcBorders>
              <w:top w:val="single" w:sz="4" w:space="0" w:color="auto"/>
              <w:left w:val="nil"/>
              <w:bottom w:val="nil"/>
              <w:right w:val="nil"/>
            </w:tcBorders>
          </w:tcPr>
          <w:p w14:paraId="6CC0E0F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0.0</w:t>
            </w:r>
          </w:p>
        </w:tc>
        <w:tc>
          <w:tcPr>
            <w:tcW w:w="400" w:type="pct"/>
            <w:tcBorders>
              <w:top w:val="single" w:sz="4" w:space="0" w:color="auto"/>
              <w:left w:val="nil"/>
              <w:bottom w:val="nil"/>
              <w:right w:val="nil"/>
            </w:tcBorders>
          </w:tcPr>
          <w:p w14:paraId="3E82CA1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0.00b</w:t>
            </w:r>
          </w:p>
        </w:tc>
        <w:tc>
          <w:tcPr>
            <w:tcW w:w="359" w:type="pct"/>
            <w:tcBorders>
              <w:top w:val="single" w:sz="4" w:space="0" w:color="auto"/>
              <w:left w:val="nil"/>
              <w:bottom w:val="nil"/>
              <w:right w:val="nil"/>
            </w:tcBorders>
          </w:tcPr>
          <w:p w14:paraId="3A90432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11.67a</w:t>
            </w:r>
          </w:p>
        </w:tc>
        <w:tc>
          <w:tcPr>
            <w:tcW w:w="396" w:type="pct"/>
            <w:tcBorders>
              <w:top w:val="single" w:sz="4" w:space="0" w:color="auto"/>
              <w:left w:val="nil"/>
              <w:bottom w:val="nil"/>
              <w:right w:val="nil"/>
            </w:tcBorders>
          </w:tcPr>
          <w:p w14:paraId="4B6D04B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19.67ab</w:t>
            </w:r>
          </w:p>
        </w:tc>
        <w:tc>
          <w:tcPr>
            <w:tcW w:w="362" w:type="pct"/>
            <w:tcBorders>
              <w:top w:val="single" w:sz="4" w:space="0" w:color="auto"/>
              <w:left w:val="nil"/>
              <w:bottom w:val="nil"/>
              <w:right w:val="nil"/>
            </w:tcBorders>
          </w:tcPr>
          <w:p w14:paraId="305B8AC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4.33e</w:t>
            </w:r>
          </w:p>
        </w:tc>
        <w:tc>
          <w:tcPr>
            <w:tcW w:w="439" w:type="pct"/>
            <w:tcBorders>
              <w:top w:val="single" w:sz="4" w:space="0" w:color="auto"/>
              <w:left w:val="nil"/>
              <w:bottom w:val="nil"/>
              <w:right w:val="nil"/>
            </w:tcBorders>
          </w:tcPr>
          <w:p w14:paraId="42E785A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0.00c</w:t>
            </w:r>
          </w:p>
        </w:tc>
        <w:tc>
          <w:tcPr>
            <w:tcW w:w="439" w:type="pct"/>
            <w:tcBorders>
              <w:top w:val="single" w:sz="4" w:space="0" w:color="auto"/>
              <w:left w:val="nil"/>
              <w:bottom w:val="nil"/>
              <w:right w:val="nil"/>
            </w:tcBorders>
          </w:tcPr>
          <w:p w14:paraId="47001D1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0.00c</w:t>
            </w:r>
          </w:p>
        </w:tc>
        <w:tc>
          <w:tcPr>
            <w:tcW w:w="360" w:type="pct"/>
            <w:tcBorders>
              <w:top w:val="single" w:sz="4" w:space="0" w:color="auto"/>
              <w:left w:val="nil"/>
              <w:bottom w:val="nil"/>
              <w:right w:val="nil"/>
            </w:tcBorders>
          </w:tcPr>
          <w:p w14:paraId="6A68834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0.00b</w:t>
            </w:r>
          </w:p>
        </w:tc>
        <w:tc>
          <w:tcPr>
            <w:tcW w:w="359" w:type="pct"/>
            <w:tcBorders>
              <w:top w:val="single" w:sz="4" w:space="0" w:color="auto"/>
              <w:left w:val="nil"/>
              <w:bottom w:val="nil"/>
              <w:right w:val="nil"/>
            </w:tcBorders>
          </w:tcPr>
          <w:p w14:paraId="4681DE3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10.67b</w:t>
            </w:r>
          </w:p>
        </w:tc>
        <w:tc>
          <w:tcPr>
            <w:tcW w:w="438" w:type="pct"/>
            <w:tcBorders>
              <w:top w:val="single" w:sz="4" w:space="0" w:color="auto"/>
              <w:left w:val="nil"/>
              <w:bottom w:val="nil"/>
              <w:right w:val="single" w:sz="4" w:space="0" w:color="auto"/>
            </w:tcBorders>
          </w:tcPr>
          <w:p w14:paraId="7F35C0A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16.85b</w:t>
            </w:r>
          </w:p>
        </w:tc>
      </w:tr>
      <w:tr w:rsidR="0055378D" w14:paraId="32BBC6E7" w14:textId="77777777">
        <w:trPr>
          <w:trHeight w:val="358"/>
        </w:trPr>
        <w:tc>
          <w:tcPr>
            <w:tcW w:w="569" w:type="pct"/>
            <w:tcBorders>
              <w:top w:val="nil"/>
              <w:left w:val="single" w:sz="4" w:space="0" w:color="auto"/>
              <w:bottom w:val="nil"/>
              <w:right w:val="single" w:sz="4" w:space="0" w:color="auto"/>
            </w:tcBorders>
            <w:vAlign w:val="bottom"/>
          </w:tcPr>
          <w:p w14:paraId="5039F44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2</w:t>
            </w:r>
            <w:r>
              <w:rPr>
                <w:rFonts w:asciiTheme="minorBidi" w:hAnsiTheme="minorBidi" w:cstheme="minorBidi"/>
                <w:sz w:val="16"/>
                <w:szCs w:val="16"/>
              </w:rPr>
              <w:t>: STGN-1</w:t>
            </w:r>
          </w:p>
        </w:tc>
        <w:tc>
          <w:tcPr>
            <w:tcW w:w="440" w:type="pct"/>
            <w:tcBorders>
              <w:top w:val="nil"/>
              <w:left w:val="single" w:sz="4" w:space="0" w:color="auto"/>
              <w:bottom w:val="nil"/>
              <w:right w:val="nil"/>
            </w:tcBorders>
          </w:tcPr>
          <w:p w14:paraId="5A5D436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34.00a</w:t>
            </w:r>
          </w:p>
        </w:tc>
        <w:tc>
          <w:tcPr>
            <w:tcW w:w="440" w:type="pct"/>
            <w:tcBorders>
              <w:top w:val="nil"/>
              <w:left w:val="nil"/>
              <w:bottom w:val="nil"/>
              <w:right w:val="nil"/>
            </w:tcBorders>
          </w:tcPr>
          <w:p w14:paraId="46F07B3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20.67a</w:t>
            </w:r>
          </w:p>
        </w:tc>
        <w:tc>
          <w:tcPr>
            <w:tcW w:w="400" w:type="pct"/>
            <w:tcBorders>
              <w:top w:val="nil"/>
              <w:left w:val="nil"/>
              <w:bottom w:val="nil"/>
              <w:right w:val="nil"/>
            </w:tcBorders>
          </w:tcPr>
          <w:p w14:paraId="12B31BC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54.67a</w:t>
            </w:r>
          </w:p>
        </w:tc>
        <w:tc>
          <w:tcPr>
            <w:tcW w:w="359" w:type="pct"/>
            <w:tcBorders>
              <w:top w:val="nil"/>
              <w:left w:val="nil"/>
              <w:bottom w:val="nil"/>
              <w:right w:val="nil"/>
            </w:tcBorders>
          </w:tcPr>
          <w:p w14:paraId="7C3CBF3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12.67a</w:t>
            </w:r>
          </w:p>
        </w:tc>
        <w:tc>
          <w:tcPr>
            <w:tcW w:w="396" w:type="pct"/>
            <w:tcBorders>
              <w:top w:val="nil"/>
              <w:left w:val="nil"/>
              <w:bottom w:val="nil"/>
              <w:right w:val="nil"/>
            </w:tcBorders>
          </w:tcPr>
          <w:p w14:paraId="41805D5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27.67a</w:t>
            </w:r>
          </w:p>
        </w:tc>
        <w:tc>
          <w:tcPr>
            <w:tcW w:w="362" w:type="pct"/>
            <w:tcBorders>
              <w:top w:val="nil"/>
              <w:left w:val="nil"/>
              <w:bottom w:val="nil"/>
              <w:right w:val="nil"/>
            </w:tcBorders>
          </w:tcPr>
          <w:p w14:paraId="748AEEE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7.33c</w:t>
            </w:r>
          </w:p>
        </w:tc>
        <w:tc>
          <w:tcPr>
            <w:tcW w:w="439" w:type="pct"/>
            <w:tcBorders>
              <w:top w:val="nil"/>
              <w:left w:val="nil"/>
              <w:bottom w:val="nil"/>
              <w:right w:val="nil"/>
            </w:tcBorders>
          </w:tcPr>
          <w:p w14:paraId="10FD367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14.33ab</w:t>
            </w:r>
          </w:p>
        </w:tc>
        <w:tc>
          <w:tcPr>
            <w:tcW w:w="439" w:type="pct"/>
            <w:tcBorders>
              <w:top w:val="nil"/>
              <w:left w:val="nil"/>
              <w:bottom w:val="nil"/>
              <w:right w:val="nil"/>
            </w:tcBorders>
          </w:tcPr>
          <w:p w14:paraId="5D1F65F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9.67a</w:t>
            </w:r>
          </w:p>
        </w:tc>
        <w:tc>
          <w:tcPr>
            <w:tcW w:w="360" w:type="pct"/>
            <w:tcBorders>
              <w:top w:val="nil"/>
              <w:left w:val="nil"/>
              <w:bottom w:val="nil"/>
              <w:right w:val="nil"/>
            </w:tcBorders>
          </w:tcPr>
          <w:p w14:paraId="1896D24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24.00a</w:t>
            </w:r>
          </w:p>
        </w:tc>
        <w:tc>
          <w:tcPr>
            <w:tcW w:w="359" w:type="pct"/>
            <w:tcBorders>
              <w:top w:val="nil"/>
              <w:left w:val="nil"/>
              <w:bottom w:val="nil"/>
              <w:right w:val="nil"/>
            </w:tcBorders>
          </w:tcPr>
          <w:p w14:paraId="6D0DADB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12.33ab</w:t>
            </w:r>
          </w:p>
        </w:tc>
        <w:tc>
          <w:tcPr>
            <w:tcW w:w="438" w:type="pct"/>
            <w:tcBorders>
              <w:top w:val="nil"/>
              <w:left w:val="nil"/>
              <w:bottom w:val="nil"/>
              <w:right w:val="single" w:sz="4" w:space="0" w:color="auto"/>
            </w:tcBorders>
          </w:tcPr>
          <w:p w14:paraId="40CDD04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19.51ab</w:t>
            </w:r>
          </w:p>
        </w:tc>
      </w:tr>
      <w:tr w:rsidR="0055378D" w14:paraId="160F4DC8" w14:textId="77777777">
        <w:trPr>
          <w:trHeight w:val="358"/>
        </w:trPr>
        <w:tc>
          <w:tcPr>
            <w:tcW w:w="569" w:type="pct"/>
            <w:tcBorders>
              <w:top w:val="nil"/>
              <w:left w:val="single" w:sz="4" w:space="0" w:color="auto"/>
              <w:bottom w:val="nil"/>
              <w:right w:val="single" w:sz="4" w:space="0" w:color="auto"/>
            </w:tcBorders>
            <w:vAlign w:val="bottom"/>
          </w:tcPr>
          <w:p w14:paraId="68CA4B9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3</w:t>
            </w:r>
            <w:r>
              <w:rPr>
                <w:rFonts w:asciiTheme="minorBidi" w:hAnsiTheme="minorBidi" w:cstheme="minorBidi"/>
                <w:sz w:val="16"/>
                <w:szCs w:val="16"/>
              </w:rPr>
              <w:t>: STGN-3</w:t>
            </w:r>
          </w:p>
        </w:tc>
        <w:tc>
          <w:tcPr>
            <w:tcW w:w="440" w:type="pct"/>
            <w:tcBorders>
              <w:top w:val="nil"/>
              <w:left w:val="single" w:sz="4" w:space="0" w:color="auto"/>
              <w:bottom w:val="nil"/>
              <w:right w:val="nil"/>
            </w:tcBorders>
          </w:tcPr>
          <w:p w14:paraId="33C3624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23.67ab</w:t>
            </w:r>
          </w:p>
        </w:tc>
        <w:tc>
          <w:tcPr>
            <w:tcW w:w="440" w:type="pct"/>
            <w:tcBorders>
              <w:top w:val="nil"/>
              <w:left w:val="nil"/>
              <w:bottom w:val="nil"/>
              <w:right w:val="nil"/>
            </w:tcBorders>
          </w:tcPr>
          <w:p w14:paraId="699E505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14.00ab</w:t>
            </w:r>
          </w:p>
        </w:tc>
        <w:tc>
          <w:tcPr>
            <w:tcW w:w="400" w:type="pct"/>
            <w:tcBorders>
              <w:top w:val="nil"/>
              <w:left w:val="nil"/>
              <w:bottom w:val="nil"/>
              <w:right w:val="nil"/>
            </w:tcBorders>
          </w:tcPr>
          <w:p w14:paraId="797D719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37.67ab</w:t>
            </w:r>
          </w:p>
        </w:tc>
        <w:tc>
          <w:tcPr>
            <w:tcW w:w="359" w:type="pct"/>
            <w:tcBorders>
              <w:top w:val="nil"/>
              <w:left w:val="nil"/>
              <w:bottom w:val="nil"/>
              <w:right w:val="nil"/>
            </w:tcBorders>
          </w:tcPr>
          <w:p w14:paraId="5C7CD44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13.00a</w:t>
            </w:r>
          </w:p>
        </w:tc>
        <w:tc>
          <w:tcPr>
            <w:tcW w:w="396" w:type="pct"/>
            <w:tcBorders>
              <w:top w:val="nil"/>
              <w:left w:val="nil"/>
              <w:bottom w:val="nil"/>
              <w:right w:val="nil"/>
            </w:tcBorders>
          </w:tcPr>
          <w:p w14:paraId="3BE96B6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23.67ab</w:t>
            </w:r>
          </w:p>
        </w:tc>
        <w:tc>
          <w:tcPr>
            <w:tcW w:w="362" w:type="pct"/>
            <w:tcBorders>
              <w:top w:val="nil"/>
              <w:left w:val="nil"/>
              <w:bottom w:val="nil"/>
              <w:right w:val="nil"/>
            </w:tcBorders>
          </w:tcPr>
          <w:p w14:paraId="04CA620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8.00bc</w:t>
            </w:r>
          </w:p>
        </w:tc>
        <w:tc>
          <w:tcPr>
            <w:tcW w:w="439" w:type="pct"/>
            <w:tcBorders>
              <w:top w:val="nil"/>
              <w:left w:val="nil"/>
              <w:bottom w:val="nil"/>
              <w:right w:val="nil"/>
            </w:tcBorders>
          </w:tcPr>
          <w:p w14:paraId="631F79F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10.00abc</w:t>
            </w:r>
          </w:p>
        </w:tc>
        <w:tc>
          <w:tcPr>
            <w:tcW w:w="439" w:type="pct"/>
            <w:tcBorders>
              <w:top w:val="nil"/>
              <w:left w:val="nil"/>
              <w:bottom w:val="nil"/>
              <w:right w:val="nil"/>
            </w:tcBorders>
          </w:tcPr>
          <w:p w14:paraId="4995CC6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4.33abc</w:t>
            </w:r>
          </w:p>
        </w:tc>
        <w:tc>
          <w:tcPr>
            <w:tcW w:w="360" w:type="pct"/>
            <w:tcBorders>
              <w:top w:val="nil"/>
              <w:left w:val="nil"/>
              <w:bottom w:val="nil"/>
              <w:right w:val="nil"/>
            </w:tcBorders>
          </w:tcPr>
          <w:p w14:paraId="12CF213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14.33ab</w:t>
            </w:r>
          </w:p>
        </w:tc>
        <w:tc>
          <w:tcPr>
            <w:tcW w:w="359" w:type="pct"/>
            <w:tcBorders>
              <w:top w:val="nil"/>
              <w:left w:val="nil"/>
              <w:bottom w:val="nil"/>
              <w:right w:val="nil"/>
            </w:tcBorders>
          </w:tcPr>
          <w:p w14:paraId="2F3A5C1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15.33ab</w:t>
            </w:r>
          </w:p>
        </w:tc>
        <w:tc>
          <w:tcPr>
            <w:tcW w:w="438" w:type="pct"/>
            <w:tcBorders>
              <w:top w:val="nil"/>
              <w:left w:val="nil"/>
              <w:bottom w:val="nil"/>
              <w:right w:val="single" w:sz="4" w:space="0" w:color="auto"/>
            </w:tcBorders>
          </w:tcPr>
          <w:p w14:paraId="6CEB32F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24.34ab</w:t>
            </w:r>
          </w:p>
        </w:tc>
      </w:tr>
      <w:tr w:rsidR="0055378D" w14:paraId="395BE5EA" w14:textId="77777777">
        <w:trPr>
          <w:trHeight w:val="339"/>
        </w:trPr>
        <w:tc>
          <w:tcPr>
            <w:tcW w:w="569" w:type="pct"/>
            <w:tcBorders>
              <w:top w:val="nil"/>
              <w:left w:val="single" w:sz="4" w:space="0" w:color="auto"/>
              <w:bottom w:val="nil"/>
              <w:right w:val="single" w:sz="4" w:space="0" w:color="auto"/>
            </w:tcBorders>
            <w:vAlign w:val="bottom"/>
          </w:tcPr>
          <w:p w14:paraId="6427A48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4</w:t>
            </w:r>
            <w:r>
              <w:rPr>
                <w:rFonts w:asciiTheme="minorBidi" w:hAnsiTheme="minorBidi" w:cstheme="minorBidi"/>
                <w:sz w:val="16"/>
                <w:szCs w:val="16"/>
              </w:rPr>
              <w:t>: STGN-4</w:t>
            </w:r>
          </w:p>
        </w:tc>
        <w:tc>
          <w:tcPr>
            <w:tcW w:w="440" w:type="pct"/>
            <w:tcBorders>
              <w:top w:val="nil"/>
              <w:left w:val="single" w:sz="4" w:space="0" w:color="auto"/>
              <w:bottom w:val="nil"/>
              <w:right w:val="nil"/>
            </w:tcBorders>
          </w:tcPr>
          <w:p w14:paraId="5FDFDC0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12.00ab</w:t>
            </w:r>
          </w:p>
        </w:tc>
        <w:tc>
          <w:tcPr>
            <w:tcW w:w="440" w:type="pct"/>
            <w:tcBorders>
              <w:top w:val="nil"/>
              <w:left w:val="nil"/>
              <w:bottom w:val="nil"/>
              <w:right w:val="nil"/>
            </w:tcBorders>
          </w:tcPr>
          <w:p w14:paraId="2A09FF7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7.67ab</w:t>
            </w:r>
          </w:p>
        </w:tc>
        <w:tc>
          <w:tcPr>
            <w:tcW w:w="400" w:type="pct"/>
            <w:tcBorders>
              <w:top w:val="nil"/>
              <w:left w:val="nil"/>
              <w:bottom w:val="nil"/>
              <w:right w:val="nil"/>
            </w:tcBorders>
          </w:tcPr>
          <w:p w14:paraId="5C9983A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19.67ab</w:t>
            </w:r>
          </w:p>
        </w:tc>
        <w:tc>
          <w:tcPr>
            <w:tcW w:w="359" w:type="pct"/>
            <w:tcBorders>
              <w:top w:val="nil"/>
              <w:left w:val="nil"/>
              <w:bottom w:val="nil"/>
              <w:right w:val="nil"/>
            </w:tcBorders>
          </w:tcPr>
          <w:p w14:paraId="085C128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12.67a</w:t>
            </w:r>
          </w:p>
        </w:tc>
        <w:tc>
          <w:tcPr>
            <w:tcW w:w="396" w:type="pct"/>
            <w:tcBorders>
              <w:top w:val="nil"/>
              <w:left w:val="nil"/>
              <w:bottom w:val="nil"/>
              <w:right w:val="nil"/>
            </w:tcBorders>
          </w:tcPr>
          <w:p w14:paraId="4F3EB63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22.67ab</w:t>
            </w:r>
          </w:p>
        </w:tc>
        <w:tc>
          <w:tcPr>
            <w:tcW w:w="362" w:type="pct"/>
            <w:tcBorders>
              <w:top w:val="nil"/>
              <w:left w:val="nil"/>
              <w:bottom w:val="nil"/>
              <w:right w:val="nil"/>
            </w:tcBorders>
          </w:tcPr>
          <w:p w14:paraId="33E1C75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8.67ab</w:t>
            </w:r>
          </w:p>
        </w:tc>
        <w:tc>
          <w:tcPr>
            <w:tcW w:w="439" w:type="pct"/>
            <w:tcBorders>
              <w:top w:val="nil"/>
              <w:left w:val="nil"/>
              <w:bottom w:val="nil"/>
              <w:right w:val="nil"/>
            </w:tcBorders>
          </w:tcPr>
          <w:p w14:paraId="77A8CFC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5.00bc</w:t>
            </w:r>
          </w:p>
        </w:tc>
        <w:tc>
          <w:tcPr>
            <w:tcW w:w="439" w:type="pct"/>
            <w:tcBorders>
              <w:top w:val="nil"/>
              <w:left w:val="nil"/>
              <w:bottom w:val="nil"/>
              <w:right w:val="nil"/>
            </w:tcBorders>
          </w:tcPr>
          <w:p w14:paraId="2239206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4.00abc</w:t>
            </w:r>
          </w:p>
        </w:tc>
        <w:tc>
          <w:tcPr>
            <w:tcW w:w="360" w:type="pct"/>
            <w:tcBorders>
              <w:top w:val="nil"/>
              <w:left w:val="nil"/>
              <w:bottom w:val="nil"/>
              <w:right w:val="nil"/>
            </w:tcBorders>
          </w:tcPr>
          <w:p w14:paraId="049DC28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9.00ab</w:t>
            </w:r>
          </w:p>
        </w:tc>
        <w:tc>
          <w:tcPr>
            <w:tcW w:w="359" w:type="pct"/>
            <w:tcBorders>
              <w:top w:val="nil"/>
              <w:left w:val="nil"/>
              <w:bottom w:val="nil"/>
              <w:right w:val="nil"/>
            </w:tcBorders>
          </w:tcPr>
          <w:p w14:paraId="333D639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15.00ab</w:t>
            </w:r>
          </w:p>
        </w:tc>
        <w:tc>
          <w:tcPr>
            <w:tcW w:w="438" w:type="pct"/>
            <w:tcBorders>
              <w:top w:val="nil"/>
              <w:left w:val="nil"/>
              <w:bottom w:val="nil"/>
              <w:right w:val="single" w:sz="4" w:space="0" w:color="auto"/>
            </w:tcBorders>
          </w:tcPr>
          <w:p w14:paraId="5522F69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23.62ab</w:t>
            </w:r>
          </w:p>
        </w:tc>
      </w:tr>
      <w:tr w:rsidR="0055378D" w14:paraId="521933DF" w14:textId="77777777">
        <w:trPr>
          <w:trHeight w:val="358"/>
        </w:trPr>
        <w:tc>
          <w:tcPr>
            <w:tcW w:w="569" w:type="pct"/>
            <w:tcBorders>
              <w:top w:val="nil"/>
              <w:left w:val="single" w:sz="4" w:space="0" w:color="auto"/>
              <w:bottom w:val="nil"/>
              <w:right w:val="single" w:sz="4" w:space="0" w:color="auto"/>
            </w:tcBorders>
            <w:vAlign w:val="bottom"/>
          </w:tcPr>
          <w:p w14:paraId="159005A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5</w:t>
            </w:r>
            <w:r>
              <w:rPr>
                <w:rFonts w:asciiTheme="minorBidi" w:hAnsiTheme="minorBidi" w:cstheme="minorBidi"/>
                <w:sz w:val="16"/>
                <w:szCs w:val="16"/>
              </w:rPr>
              <w:t>: STGN-5</w:t>
            </w:r>
          </w:p>
        </w:tc>
        <w:tc>
          <w:tcPr>
            <w:tcW w:w="440" w:type="pct"/>
            <w:tcBorders>
              <w:top w:val="nil"/>
              <w:left w:val="single" w:sz="4" w:space="0" w:color="auto"/>
              <w:bottom w:val="nil"/>
              <w:right w:val="nil"/>
            </w:tcBorders>
          </w:tcPr>
          <w:p w14:paraId="51364BC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21.67ab</w:t>
            </w:r>
          </w:p>
        </w:tc>
        <w:tc>
          <w:tcPr>
            <w:tcW w:w="440" w:type="pct"/>
            <w:tcBorders>
              <w:top w:val="nil"/>
              <w:left w:val="nil"/>
              <w:bottom w:val="nil"/>
              <w:right w:val="nil"/>
            </w:tcBorders>
          </w:tcPr>
          <w:p w14:paraId="2B062F9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10.00ab</w:t>
            </w:r>
          </w:p>
        </w:tc>
        <w:tc>
          <w:tcPr>
            <w:tcW w:w="400" w:type="pct"/>
            <w:tcBorders>
              <w:top w:val="nil"/>
              <w:left w:val="nil"/>
              <w:bottom w:val="nil"/>
              <w:right w:val="nil"/>
            </w:tcBorders>
          </w:tcPr>
          <w:p w14:paraId="275D92D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31.67ab</w:t>
            </w:r>
          </w:p>
        </w:tc>
        <w:tc>
          <w:tcPr>
            <w:tcW w:w="359" w:type="pct"/>
            <w:tcBorders>
              <w:top w:val="nil"/>
              <w:left w:val="nil"/>
              <w:bottom w:val="nil"/>
              <w:right w:val="nil"/>
            </w:tcBorders>
          </w:tcPr>
          <w:p w14:paraId="4BD654A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11.33a</w:t>
            </w:r>
          </w:p>
        </w:tc>
        <w:tc>
          <w:tcPr>
            <w:tcW w:w="396" w:type="pct"/>
            <w:tcBorders>
              <w:top w:val="nil"/>
              <w:left w:val="nil"/>
              <w:bottom w:val="nil"/>
              <w:right w:val="nil"/>
            </w:tcBorders>
          </w:tcPr>
          <w:p w14:paraId="7879BC9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17.67b</w:t>
            </w:r>
          </w:p>
        </w:tc>
        <w:tc>
          <w:tcPr>
            <w:tcW w:w="362" w:type="pct"/>
            <w:tcBorders>
              <w:top w:val="nil"/>
              <w:left w:val="nil"/>
              <w:bottom w:val="nil"/>
              <w:right w:val="nil"/>
            </w:tcBorders>
          </w:tcPr>
          <w:p w14:paraId="7144E2B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6.00d</w:t>
            </w:r>
          </w:p>
        </w:tc>
        <w:tc>
          <w:tcPr>
            <w:tcW w:w="439" w:type="pct"/>
            <w:tcBorders>
              <w:top w:val="nil"/>
              <w:left w:val="nil"/>
              <w:bottom w:val="nil"/>
              <w:right w:val="nil"/>
            </w:tcBorders>
          </w:tcPr>
          <w:p w14:paraId="7ABA7C0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9.00abc</w:t>
            </w:r>
          </w:p>
        </w:tc>
        <w:tc>
          <w:tcPr>
            <w:tcW w:w="439" w:type="pct"/>
            <w:tcBorders>
              <w:top w:val="nil"/>
              <w:left w:val="nil"/>
              <w:bottom w:val="nil"/>
              <w:right w:val="nil"/>
            </w:tcBorders>
          </w:tcPr>
          <w:p w14:paraId="5F358BA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4.67abc</w:t>
            </w:r>
          </w:p>
        </w:tc>
        <w:tc>
          <w:tcPr>
            <w:tcW w:w="360" w:type="pct"/>
            <w:tcBorders>
              <w:top w:val="nil"/>
              <w:left w:val="nil"/>
              <w:bottom w:val="nil"/>
              <w:right w:val="nil"/>
            </w:tcBorders>
          </w:tcPr>
          <w:p w14:paraId="243CA2C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13.67ab</w:t>
            </w:r>
          </w:p>
        </w:tc>
        <w:tc>
          <w:tcPr>
            <w:tcW w:w="359" w:type="pct"/>
            <w:tcBorders>
              <w:top w:val="nil"/>
              <w:left w:val="nil"/>
              <w:bottom w:val="nil"/>
              <w:right w:val="nil"/>
            </w:tcBorders>
          </w:tcPr>
          <w:p w14:paraId="453C61F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12.00ab</w:t>
            </w:r>
          </w:p>
        </w:tc>
        <w:tc>
          <w:tcPr>
            <w:tcW w:w="438" w:type="pct"/>
            <w:tcBorders>
              <w:top w:val="nil"/>
              <w:left w:val="nil"/>
              <w:bottom w:val="nil"/>
              <w:right w:val="single" w:sz="4" w:space="0" w:color="auto"/>
            </w:tcBorders>
          </w:tcPr>
          <w:p w14:paraId="3887F04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19.01ab</w:t>
            </w:r>
          </w:p>
        </w:tc>
      </w:tr>
      <w:tr w:rsidR="0055378D" w14:paraId="71C042A4" w14:textId="77777777">
        <w:trPr>
          <w:trHeight w:val="339"/>
        </w:trPr>
        <w:tc>
          <w:tcPr>
            <w:tcW w:w="569" w:type="pct"/>
            <w:tcBorders>
              <w:top w:val="nil"/>
              <w:left w:val="single" w:sz="4" w:space="0" w:color="auto"/>
              <w:bottom w:val="nil"/>
              <w:right w:val="single" w:sz="4" w:space="0" w:color="auto"/>
            </w:tcBorders>
            <w:vAlign w:val="bottom"/>
          </w:tcPr>
          <w:p w14:paraId="2BE7E3A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6</w:t>
            </w:r>
            <w:r>
              <w:rPr>
                <w:rFonts w:asciiTheme="minorBidi" w:hAnsiTheme="minorBidi" w:cstheme="minorBidi"/>
                <w:sz w:val="16"/>
                <w:szCs w:val="16"/>
              </w:rPr>
              <w:t>: STGN-6</w:t>
            </w:r>
          </w:p>
        </w:tc>
        <w:tc>
          <w:tcPr>
            <w:tcW w:w="440" w:type="pct"/>
            <w:tcBorders>
              <w:top w:val="nil"/>
              <w:left w:val="single" w:sz="4" w:space="0" w:color="auto"/>
              <w:bottom w:val="nil"/>
              <w:right w:val="nil"/>
            </w:tcBorders>
          </w:tcPr>
          <w:p w14:paraId="7A1652B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30.00ab</w:t>
            </w:r>
          </w:p>
        </w:tc>
        <w:tc>
          <w:tcPr>
            <w:tcW w:w="440" w:type="pct"/>
            <w:tcBorders>
              <w:top w:val="nil"/>
              <w:left w:val="nil"/>
              <w:bottom w:val="nil"/>
              <w:right w:val="nil"/>
            </w:tcBorders>
          </w:tcPr>
          <w:p w14:paraId="4571164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14.00ab</w:t>
            </w:r>
          </w:p>
        </w:tc>
        <w:tc>
          <w:tcPr>
            <w:tcW w:w="400" w:type="pct"/>
            <w:tcBorders>
              <w:top w:val="nil"/>
              <w:left w:val="nil"/>
              <w:bottom w:val="nil"/>
              <w:right w:val="nil"/>
            </w:tcBorders>
          </w:tcPr>
          <w:p w14:paraId="1E70276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44.00a</w:t>
            </w:r>
          </w:p>
        </w:tc>
        <w:tc>
          <w:tcPr>
            <w:tcW w:w="359" w:type="pct"/>
            <w:tcBorders>
              <w:top w:val="nil"/>
              <w:left w:val="nil"/>
              <w:bottom w:val="nil"/>
              <w:right w:val="nil"/>
            </w:tcBorders>
          </w:tcPr>
          <w:p w14:paraId="4FA4D8E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12.67a</w:t>
            </w:r>
          </w:p>
        </w:tc>
        <w:tc>
          <w:tcPr>
            <w:tcW w:w="396" w:type="pct"/>
            <w:tcBorders>
              <w:top w:val="nil"/>
              <w:left w:val="nil"/>
              <w:bottom w:val="nil"/>
              <w:right w:val="nil"/>
            </w:tcBorders>
          </w:tcPr>
          <w:p w14:paraId="02214BF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22.00ab</w:t>
            </w:r>
          </w:p>
        </w:tc>
        <w:tc>
          <w:tcPr>
            <w:tcW w:w="362" w:type="pct"/>
            <w:tcBorders>
              <w:top w:val="nil"/>
              <w:left w:val="nil"/>
              <w:bottom w:val="nil"/>
              <w:right w:val="nil"/>
            </w:tcBorders>
          </w:tcPr>
          <w:p w14:paraId="526C11D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5.33de</w:t>
            </w:r>
          </w:p>
        </w:tc>
        <w:tc>
          <w:tcPr>
            <w:tcW w:w="439" w:type="pct"/>
            <w:tcBorders>
              <w:top w:val="nil"/>
              <w:left w:val="nil"/>
              <w:bottom w:val="nil"/>
              <w:right w:val="nil"/>
            </w:tcBorders>
          </w:tcPr>
          <w:p w14:paraId="16F5D13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12.67abc</w:t>
            </w:r>
          </w:p>
        </w:tc>
        <w:tc>
          <w:tcPr>
            <w:tcW w:w="439" w:type="pct"/>
            <w:tcBorders>
              <w:top w:val="nil"/>
              <w:left w:val="nil"/>
              <w:bottom w:val="nil"/>
              <w:right w:val="nil"/>
            </w:tcBorders>
          </w:tcPr>
          <w:p w14:paraId="6F67B62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6.33ab</w:t>
            </w:r>
          </w:p>
        </w:tc>
        <w:tc>
          <w:tcPr>
            <w:tcW w:w="360" w:type="pct"/>
            <w:tcBorders>
              <w:top w:val="nil"/>
              <w:left w:val="nil"/>
              <w:bottom w:val="nil"/>
              <w:right w:val="nil"/>
            </w:tcBorders>
          </w:tcPr>
          <w:p w14:paraId="78C385C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19.00a</w:t>
            </w:r>
          </w:p>
        </w:tc>
        <w:tc>
          <w:tcPr>
            <w:tcW w:w="359" w:type="pct"/>
            <w:tcBorders>
              <w:top w:val="nil"/>
              <w:left w:val="nil"/>
              <w:bottom w:val="nil"/>
              <w:right w:val="nil"/>
            </w:tcBorders>
          </w:tcPr>
          <w:p w14:paraId="7FEF0E8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16.67ab</w:t>
            </w:r>
          </w:p>
        </w:tc>
        <w:tc>
          <w:tcPr>
            <w:tcW w:w="438" w:type="pct"/>
            <w:tcBorders>
              <w:top w:val="nil"/>
              <w:left w:val="nil"/>
              <w:bottom w:val="nil"/>
              <w:right w:val="single" w:sz="4" w:space="0" w:color="auto"/>
            </w:tcBorders>
          </w:tcPr>
          <w:p w14:paraId="110E6EE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26.24ab</w:t>
            </w:r>
          </w:p>
        </w:tc>
      </w:tr>
      <w:tr w:rsidR="0055378D" w14:paraId="42447936" w14:textId="77777777">
        <w:trPr>
          <w:trHeight w:val="339"/>
        </w:trPr>
        <w:tc>
          <w:tcPr>
            <w:tcW w:w="569" w:type="pct"/>
            <w:tcBorders>
              <w:top w:val="nil"/>
              <w:left w:val="single" w:sz="4" w:space="0" w:color="auto"/>
              <w:bottom w:val="nil"/>
              <w:right w:val="single" w:sz="4" w:space="0" w:color="auto"/>
            </w:tcBorders>
            <w:vAlign w:val="bottom"/>
          </w:tcPr>
          <w:p w14:paraId="77C9816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7</w:t>
            </w:r>
            <w:r>
              <w:rPr>
                <w:rFonts w:asciiTheme="minorBidi" w:hAnsiTheme="minorBidi" w:cstheme="minorBidi"/>
                <w:sz w:val="16"/>
                <w:szCs w:val="16"/>
              </w:rPr>
              <w:t>: STGN-7</w:t>
            </w:r>
          </w:p>
        </w:tc>
        <w:tc>
          <w:tcPr>
            <w:tcW w:w="440" w:type="pct"/>
            <w:tcBorders>
              <w:top w:val="nil"/>
              <w:left w:val="single" w:sz="4" w:space="0" w:color="auto"/>
              <w:bottom w:val="nil"/>
              <w:right w:val="nil"/>
            </w:tcBorders>
          </w:tcPr>
          <w:p w14:paraId="0876B8D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29.67ab</w:t>
            </w:r>
          </w:p>
        </w:tc>
        <w:tc>
          <w:tcPr>
            <w:tcW w:w="440" w:type="pct"/>
            <w:tcBorders>
              <w:top w:val="nil"/>
              <w:left w:val="nil"/>
              <w:bottom w:val="nil"/>
              <w:right w:val="nil"/>
            </w:tcBorders>
          </w:tcPr>
          <w:p w14:paraId="4D9D06C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11.33ab</w:t>
            </w:r>
          </w:p>
        </w:tc>
        <w:tc>
          <w:tcPr>
            <w:tcW w:w="400" w:type="pct"/>
            <w:tcBorders>
              <w:top w:val="nil"/>
              <w:left w:val="nil"/>
              <w:bottom w:val="nil"/>
              <w:right w:val="nil"/>
            </w:tcBorders>
          </w:tcPr>
          <w:p w14:paraId="1C1942B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41.00ab</w:t>
            </w:r>
          </w:p>
        </w:tc>
        <w:tc>
          <w:tcPr>
            <w:tcW w:w="359" w:type="pct"/>
            <w:tcBorders>
              <w:top w:val="nil"/>
              <w:left w:val="nil"/>
              <w:bottom w:val="nil"/>
              <w:right w:val="nil"/>
            </w:tcBorders>
          </w:tcPr>
          <w:p w14:paraId="1020C16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11.33a</w:t>
            </w:r>
          </w:p>
        </w:tc>
        <w:tc>
          <w:tcPr>
            <w:tcW w:w="396" w:type="pct"/>
            <w:tcBorders>
              <w:top w:val="nil"/>
              <w:left w:val="nil"/>
              <w:bottom w:val="nil"/>
              <w:right w:val="nil"/>
            </w:tcBorders>
          </w:tcPr>
          <w:p w14:paraId="53A7F68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21.33ab</w:t>
            </w:r>
          </w:p>
        </w:tc>
        <w:tc>
          <w:tcPr>
            <w:tcW w:w="362" w:type="pct"/>
            <w:tcBorders>
              <w:top w:val="nil"/>
              <w:left w:val="nil"/>
              <w:bottom w:val="nil"/>
              <w:right w:val="nil"/>
            </w:tcBorders>
          </w:tcPr>
          <w:p w14:paraId="6DA9E47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6.00d</w:t>
            </w:r>
          </w:p>
        </w:tc>
        <w:tc>
          <w:tcPr>
            <w:tcW w:w="439" w:type="pct"/>
            <w:tcBorders>
              <w:top w:val="nil"/>
              <w:left w:val="nil"/>
              <w:bottom w:val="nil"/>
              <w:right w:val="nil"/>
            </w:tcBorders>
          </w:tcPr>
          <w:p w14:paraId="29AED5B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13.33ab</w:t>
            </w:r>
          </w:p>
        </w:tc>
        <w:tc>
          <w:tcPr>
            <w:tcW w:w="439" w:type="pct"/>
            <w:tcBorders>
              <w:top w:val="nil"/>
              <w:left w:val="nil"/>
              <w:bottom w:val="nil"/>
              <w:right w:val="nil"/>
            </w:tcBorders>
          </w:tcPr>
          <w:p w14:paraId="3349ACB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6.33ab</w:t>
            </w:r>
          </w:p>
        </w:tc>
        <w:tc>
          <w:tcPr>
            <w:tcW w:w="360" w:type="pct"/>
            <w:tcBorders>
              <w:top w:val="nil"/>
              <w:left w:val="nil"/>
              <w:bottom w:val="nil"/>
              <w:right w:val="nil"/>
            </w:tcBorders>
          </w:tcPr>
          <w:p w14:paraId="2C73BD2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19.67a</w:t>
            </w:r>
          </w:p>
        </w:tc>
        <w:tc>
          <w:tcPr>
            <w:tcW w:w="359" w:type="pct"/>
            <w:tcBorders>
              <w:top w:val="nil"/>
              <w:left w:val="nil"/>
              <w:bottom w:val="nil"/>
              <w:right w:val="nil"/>
            </w:tcBorders>
          </w:tcPr>
          <w:p w14:paraId="6F2C3E6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14.00ab</w:t>
            </w:r>
          </w:p>
        </w:tc>
        <w:tc>
          <w:tcPr>
            <w:tcW w:w="438" w:type="pct"/>
            <w:tcBorders>
              <w:top w:val="nil"/>
              <w:left w:val="nil"/>
              <w:bottom w:val="nil"/>
              <w:right w:val="single" w:sz="4" w:space="0" w:color="auto"/>
            </w:tcBorders>
          </w:tcPr>
          <w:p w14:paraId="0F621EC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22.14ab</w:t>
            </w:r>
          </w:p>
        </w:tc>
      </w:tr>
      <w:tr w:rsidR="0055378D" w14:paraId="07222879" w14:textId="77777777">
        <w:trPr>
          <w:trHeight w:val="339"/>
        </w:trPr>
        <w:tc>
          <w:tcPr>
            <w:tcW w:w="569" w:type="pct"/>
            <w:tcBorders>
              <w:top w:val="nil"/>
              <w:left w:val="single" w:sz="4" w:space="0" w:color="auto"/>
              <w:bottom w:val="nil"/>
              <w:right w:val="single" w:sz="4" w:space="0" w:color="auto"/>
            </w:tcBorders>
            <w:vAlign w:val="bottom"/>
          </w:tcPr>
          <w:p w14:paraId="57EAE52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8</w:t>
            </w:r>
            <w:r>
              <w:rPr>
                <w:rFonts w:asciiTheme="minorBidi" w:hAnsiTheme="minorBidi" w:cstheme="minorBidi"/>
                <w:sz w:val="16"/>
                <w:szCs w:val="16"/>
              </w:rPr>
              <w:t>: STGN-9</w:t>
            </w:r>
          </w:p>
        </w:tc>
        <w:tc>
          <w:tcPr>
            <w:tcW w:w="440" w:type="pct"/>
            <w:tcBorders>
              <w:top w:val="nil"/>
              <w:left w:val="single" w:sz="4" w:space="0" w:color="auto"/>
              <w:bottom w:val="nil"/>
              <w:right w:val="nil"/>
            </w:tcBorders>
          </w:tcPr>
          <w:p w14:paraId="69670A5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42.67a</w:t>
            </w:r>
          </w:p>
        </w:tc>
        <w:tc>
          <w:tcPr>
            <w:tcW w:w="440" w:type="pct"/>
            <w:tcBorders>
              <w:top w:val="nil"/>
              <w:left w:val="nil"/>
              <w:bottom w:val="nil"/>
              <w:right w:val="nil"/>
            </w:tcBorders>
          </w:tcPr>
          <w:p w14:paraId="3105D79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16.33a</w:t>
            </w:r>
          </w:p>
        </w:tc>
        <w:tc>
          <w:tcPr>
            <w:tcW w:w="400" w:type="pct"/>
            <w:tcBorders>
              <w:top w:val="nil"/>
              <w:left w:val="nil"/>
              <w:bottom w:val="nil"/>
              <w:right w:val="nil"/>
            </w:tcBorders>
          </w:tcPr>
          <w:p w14:paraId="482CD07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59.00a</w:t>
            </w:r>
          </w:p>
        </w:tc>
        <w:tc>
          <w:tcPr>
            <w:tcW w:w="359" w:type="pct"/>
            <w:tcBorders>
              <w:top w:val="nil"/>
              <w:left w:val="nil"/>
              <w:bottom w:val="nil"/>
              <w:right w:val="nil"/>
            </w:tcBorders>
          </w:tcPr>
          <w:p w14:paraId="7A4539F1"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13.00a</w:t>
            </w:r>
          </w:p>
        </w:tc>
        <w:tc>
          <w:tcPr>
            <w:tcW w:w="396" w:type="pct"/>
            <w:tcBorders>
              <w:top w:val="nil"/>
              <w:left w:val="nil"/>
              <w:bottom w:val="nil"/>
              <w:right w:val="nil"/>
            </w:tcBorders>
          </w:tcPr>
          <w:p w14:paraId="4CCCC9E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21.67ab</w:t>
            </w:r>
          </w:p>
        </w:tc>
        <w:tc>
          <w:tcPr>
            <w:tcW w:w="362" w:type="pct"/>
            <w:tcBorders>
              <w:top w:val="nil"/>
              <w:left w:val="nil"/>
              <w:bottom w:val="nil"/>
              <w:right w:val="nil"/>
            </w:tcBorders>
          </w:tcPr>
          <w:p w14:paraId="676AD71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9.00ab</w:t>
            </w:r>
          </w:p>
        </w:tc>
        <w:tc>
          <w:tcPr>
            <w:tcW w:w="439" w:type="pct"/>
            <w:tcBorders>
              <w:top w:val="nil"/>
              <w:left w:val="nil"/>
              <w:bottom w:val="nil"/>
              <w:right w:val="nil"/>
            </w:tcBorders>
          </w:tcPr>
          <w:p w14:paraId="08CB942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19.67a</w:t>
            </w:r>
          </w:p>
        </w:tc>
        <w:tc>
          <w:tcPr>
            <w:tcW w:w="439" w:type="pct"/>
            <w:tcBorders>
              <w:top w:val="nil"/>
              <w:left w:val="nil"/>
              <w:bottom w:val="nil"/>
              <w:right w:val="nil"/>
            </w:tcBorders>
          </w:tcPr>
          <w:p w14:paraId="0500935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6.33ab</w:t>
            </w:r>
          </w:p>
        </w:tc>
        <w:tc>
          <w:tcPr>
            <w:tcW w:w="360" w:type="pct"/>
            <w:tcBorders>
              <w:top w:val="nil"/>
              <w:left w:val="nil"/>
              <w:bottom w:val="nil"/>
              <w:right w:val="nil"/>
            </w:tcBorders>
          </w:tcPr>
          <w:p w14:paraId="02210FE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26.00a</w:t>
            </w:r>
          </w:p>
        </w:tc>
        <w:tc>
          <w:tcPr>
            <w:tcW w:w="359" w:type="pct"/>
            <w:tcBorders>
              <w:top w:val="nil"/>
              <w:left w:val="nil"/>
              <w:bottom w:val="nil"/>
              <w:right w:val="nil"/>
            </w:tcBorders>
          </w:tcPr>
          <w:p w14:paraId="496CCE1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13.33ab</w:t>
            </w:r>
          </w:p>
        </w:tc>
        <w:tc>
          <w:tcPr>
            <w:tcW w:w="438" w:type="pct"/>
            <w:tcBorders>
              <w:top w:val="nil"/>
              <w:left w:val="nil"/>
              <w:bottom w:val="nil"/>
              <w:right w:val="single" w:sz="4" w:space="0" w:color="auto"/>
            </w:tcBorders>
          </w:tcPr>
          <w:p w14:paraId="6E2B1DC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21.11ab</w:t>
            </w:r>
          </w:p>
        </w:tc>
      </w:tr>
      <w:tr w:rsidR="0055378D" w14:paraId="689232C3" w14:textId="77777777">
        <w:trPr>
          <w:trHeight w:val="339"/>
        </w:trPr>
        <w:tc>
          <w:tcPr>
            <w:tcW w:w="569" w:type="pct"/>
            <w:tcBorders>
              <w:top w:val="nil"/>
              <w:left w:val="single" w:sz="4" w:space="0" w:color="auto"/>
              <w:bottom w:val="single" w:sz="4" w:space="0" w:color="auto"/>
              <w:right w:val="single" w:sz="4" w:space="0" w:color="auto"/>
            </w:tcBorders>
            <w:vAlign w:val="bottom"/>
          </w:tcPr>
          <w:p w14:paraId="4477610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9</w:t>
            </w:r>
            <w:r>
              <w:rPr>
                <w:rFonts w:asciiTheme="minorBidi" w:hAnsiTheme="minorBidi" w:cstheme="minorBidi"/>
                <w:sz w:val="16"/>
                <w:szCs w:val="16"/>
              </w:rPr>
              <w:t>: STGN-10</w:t>
            </w:r>
          </w:p>
        </w:tc>
        <w:tc>
          <w:tcPr>
            <w:tcW w:w="440" w:type="pct"/>
            <w:tcBorders>
              <w:top w:val="nil"/>
              <w:left w:val="single" w:sz="4" w:space="0" w:color="auto"/>
              <w:bottom w:val="single" w:sz="4" w:space="0" w:color="auto"/>
              <w:right w:val="nil"/>
            </w:tcBorders>
          </w:tcPr>
          <w:p w14:paraId="32D236C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38.00a</w:t>
            </w:r>
          </w:p>
        </w:tc>
        <w:tc>
          <w:tcPr>
            <w:tcW w:w="440" w:type="pct"/>
            <w:tcBorders>
              <w:top w:val="nil"/>
              <w:left w:val="nil"/>
              <w:bottom w:val="single" w:sz="4" w:space="0" w:color="auto"/>
              <w:right w:val="nil"/>
            </w:tcBorders>
          </w:tcPr>
          <w:p w14:paraId="458CB6C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20.33a</w:t>
            </w:r>
          </w:p>
        </w:tc>
        <w:tc>
          <w:tcPr>
            <w:tcW w:w="400" w:type="pct"/>
            <w:tcBorders>
              <w:top w:val="nil"/>
              <w:left w:val="nil"/>
              <w:bottom w:val="single" w:sz="4" w:space="0" w:color="auto"/>
              <w:right w:val="nil"/>
            </w:tcBorders>
          </w:tcPr>
          <w:p w14:paraId="424CD08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58.33a</w:t>
            </w:r>
          </w:p>
        </w:tc>
        <w:tc>
          <w:tcPr>
            <w:tcW w:w="359" w:type="pct"/>
            <w:tcBorders>
              <w:top w:val="nil"/>
              <w:left w:val="nil"/>
              <w:bottom w:val="single" w:sz="4" w:space="0" w:color="auto"/>
              <w:right w:val="nil"/>
            </w:tcBorders>
          </w:tcPr>
          <w:p w14:paraId="17E7A10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10.67a</w:t>
            </w:r>
          </w:p>
        </w:tc>
        <w:tc>
          <w:tcPr>
            <w:tcW w:w="396" w:type="pct"/>
            <w:tcBorders>
              <w:top w:val="nil"/>
              <w:left w:val="nil"/>
              <w:bottom w:val="single" w:sz="4" w:space="0" w:color="auto"/>
              <w:right w:val="nil"/>
            </w:tcBorders>
          </w:tcPr>
          <w:p w14:paraId="2C19844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19.67ab</w:t>
            </w:r>
          </w:p>
        </w:tc>
        <w:tc>
          <w:tcPr>
            <w:tcW w:w="362" w:type="pct"/>
            <w:tcBorders>
              <w:top w:val="nil"/>
              <w:left w:val="nil"/>
              <w:bottom w:val="single" w:sz="4" w:space="0" w:color="auto"/>
              <w:right w:val="nil"/>
            </w:tcBorders>
          </w:tcPr>
          <w:p w14:paraId="69F45F7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9.33a</w:t>
            </w:r>
          </w:p>
        </w:tc>
        <w:tc>
          <w:tcPr>
            <w:tcW w:w="439" w:type="pct"/>
            <w:tcBorders>
              <w:top w:val="nil"/>
              <w:left w:val="nil"/>
              <w:bottom w:val="single" w:sz="4" w:space="0" w:color="auto"/>
              <w:right w:val="nil"/>
            </w:tcBorders>
          </w:tcPr>
          <w:p w14:paraId="5F0084D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16.67ab</w:t>
            </w:r>
          </w:p>
        </w:tc>
        <w:tc>
          <w:tcPr>
            <w:tcW w:w="439" w:type="pct"/>
            <w:tcBorders>
              <w:top w:val="nil"/>
              <w:left w:val="nil"/>
              <w:bottom w:val="single" w:sz="4" w:space="0" w:color="auto"/>
              <w:right w:val="nil"/>
            </w:tcBorders>
          </w:tcPr>
          <w:p w14:paraId="31F4458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7.67ab</w:t>
            </w:r>
          </w:p>
        </w:tc>
        <w:tc>
          <w:tcPr>
            <w:tcW w:w="360" w:type="pct"/>
            <w:tcBorders>
              <w:top w:val="nil"/>
              <w:left w:val="nil"/>
              <w:bottom w:val="single" w:sz="4" w:space="0" w:color="auto"/>
              <w:right w:val="nil"/>
            </w:tcBorders>
          </w:tcPr>
          <w:p w14:paraId="031C32B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24.33a</w:t>
            </w:r>
          </w:p>
        </w:tc>
        <w:tc>
          <w:tcPr>
            <w:tcW w:w="359" w:type="pct"/>
            <w:tcBorders>
              <w:top w:val="nil"/>
              <w:left w:val="nil"/>
              <w:bottom w:val="single" w:sz="4" w:space="0" w:color="auto"/>
              <w:right w:val="nil"/>
            </w:tcBorders>
          </w:tcPr>
          <w:p w14:paraId="6BD1AAA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18.67a</w:t>
            </w:r>
          </w:p>
        </w:tc>
        <w:tc>
          <w:tcPr>
            <w:tcW w:w="438" w:type="pct"/>
            <w:tcBorders>
              <w:top w:val="nil"/>
              <w:left w:val="nil"/>
              <w:bottom w:val="single" w:sz="4" w:space="0" w:color="auto"/>
              <w:right w:val="single" w:sz="4" w:space="0" w:color="auto"/>
            </w:tcBorders>
          </w:tcPr>
          <w:p w14:paraId="658CE09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29.43a</w:t>
            </w:r>
          </w:p>
        </w:tc>
      </w:tr>
      <w:tr w:rsidR="0055378D" w14:paraId="36B1986F" w14:textId="77777777">
        <w:trPr>
          <w:trHeight w:val="339"/>
        </w:trPr>
        <w:tc>
          <w:tcPr>
            <w:tcW w:w="569" w:type="pct"/>
            <w:tcBorders>
              <w:top w:val="single" w:sz="4" w:space="0" w:color="auto"/>
              <w:left w:val="single" w:sz="4" w:space="0" w:color="auto"/>
              <w:bottom w:val="single" w:sz="4" w:space="0" w:color="auto"/>
              <w:right w:val="single" w:sz="4" w:space="0" w:color="auto"/>
            </w:tcBorders>
            <w:vAlign w:val="bottom"/>
          </w:tcPr>
          <w:p w14:paraId="4BB25E79" w14:textId="77777777" w:rsidR="0055378D" w:rsidRDefault="00883CD5">
            <w:pPr>
              <w:spacing w:line="276" w:lineRule="auto"/>
              <w:rPr>
                <w:rFonts w:asciiTheme="minorBidi" w:hAnsiTheme="minorBidi" w:cstheme="minorBidi"/>
                <w:sz w:val="16"/>
                <w:szCs w:val="16"/>
                <w:vertAlign w:val="subscript"/>
              </w:rPr>
            </w:pPr>
            <w:r>
              <w:rPr>
                <w:rFonts w:asciiTheme="minorBidi" w:hAnsiTheme="minorBidi" w:cstheme="minorBidi"/>
                <w:sz w:val="16"/>
                <w:szCs w:val="16"/>
              </w:rPr>
              <w:t>Significant level</w:t>
            </w:r>
          </w:p>
        </w:tc>
        <w:tc>
          <w:tcPr>
            <w:tcW w:w="440" w:type="pct"/>
            <w:tcBorders>
              <w:top w:val="single" w:sz="4" w:space="0" w:color="auto"/>
              <w:left w:val="single" w:sz="4" w:space="0" w:color="auto"/>
              <w:bottom w:val="single" w:sz="4" w:space="0" w:color="auto"/>
              <w:right w:val="nil"/>
            </w:tcBorders>
          </w:tcPr>
          <w:p w14:paraId="14DF168F"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440" w:type="pct"/>
            <w:tcBorders>
              <w:top w:val="single" w:sz="4" w:space="0" w:color="auto"/>
              <w:left w:val="nil"/>
              <w:bottom w:val="single" w:sz="4" w:space="0" w:color="auto"/>
              <w:right w:val="nil"/>
            </w:tcBorders>
          </w:tcPr>
          <w:p w14:paraId="4D71342E"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400" w:type="pct"/>
            <w:tcBorders>
              <w:top w:val="single" w:sz="4" w:space="0" w:color="auto"/>
              <w:left w:val="nil"/>
              <w:bottom w:val="single" w:sz="4" w:space="0" w:color="auto"/>
              <w:right w:val="nil"/>
            </w:tcBorders>
          </w:tcPr>
          <w:p w14:paraId="0AEBA673"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359" w:type="pct"/>
            <w:tcBorders>
              <w:top w:val="single" w:sz="4" w:space="0" w:color="auto"/>
              <w:left w:val="nil"/>
              <w:bottom w:val="single" w:sz="4" w:space="0" w:color="auto"/>
              <w:right w:val="nil"/>
            </w:tcBorders>
          </w:tcPr>
          <w:p w14:paraId="0D5D462C"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396" w:type="pct"/>
            <w:tcBorders>
              <w:top w:val="single" w:sz="4" w:space="0" w:color="auto"/>
              <w:left w:val="nil"/>
              <w:bottom w:val="single" w:sz="4" w:space="0" w:color="auto"/>
              <w:right w:val="nil"/>
            </w:tcBorders>
          </w:tcPr>
          <w:p w14:paraId="4E59C8E5"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362" w:type="pct"/>
            <w:tcBorders>
              <w:top w:val="single" w:sz="4" w:space="0" w:color="auto"/>
              <w:left w:val="nil"/>
              <w:bottom w:val="single" w:sz="4" w:space="0" w:color="auto"/>
              <w:right w:val="nil"/>
            </w:tcBorders>
          </w:tcPr>
          <w:p w14:paraId="657CDAE5"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w:t>
            </w:r>
          </w:p>
        </w:tc>
        <w:tc>
          <w:tcPr>
            <w:tcW w:w="439" w:type="pct"/>
            <w:tcBorders>
              <w:top w:val="single" w:sz="4" w:space="0" w:color="auto"/>
              <w:left w:val="nil"/>
              <w:bottom w:val="single" w:sz="4" w:space="0" w:color="auto"/>
              <w:right w:val="nil"/>
            </w:tcBorders>
          </w:tcPr>
          <w:p w14:paraId="01E67E01"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439" w:type="pct"/>
            <w:tcBorders>
              <w:top w:val="single" w:sz="4" w:space="0" w:color="auto"/>
              <w:left w:val="nil"/>
              <w:bottom w:val="single" w:sz="4" w:space="0" w:color="auto"/>
              <w:right w:val="nil"/>
            </w:tcBorders>
          </w:tcPr>
          <w:p w14:paraId="027C94AE"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360" w:type="pct"/>
            <w:tcBorders>
              <w:top w:val="single" w:sz="4" w:space="0" w:color="auto"/>
              <w:left w:val="nil"/>
              <w:bottom w:val="single" w:sz="4" w:space="0" w:color="auto"/>
              <w:right w:val="nil"/>
            </w:tcBorders>
          </w:tcPr>
          <w:p w14:paraId="0060800E"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359" w:type="pct"/>
            <w:tcBorders>
              <w:top w:val="single" w:sz="4" w:space="0" w:color="auto"/>
              <w:left w:val="nil"/>
              <w:bottom w:val="single" w:sz="4" w:space="0" w:color="auto"/>
              <w:right w:val="nil"/>
            </w:tcBorders>
          </w:tcPr>
          <w:p w14:paraId="111D3CFA"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438" w:type="pct"/>
            <w:tcBorders>
              <w:top w:val="single" w:sz="4" w:space="0" w:color="auto"/>
              <w:left w:val="nil"/>
              <w:bottom w:val="single" w:sz="4" w:space="0" w:color="auto"/>
              <w:right w:val="single" w:sz="4" w:space="0" w:color="auto"/>
            </w:tcBorders>
          </w:tcPr>
          <w:p w14:paraId="29B8EEE5"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r>
      <w:tr w:rsidR="0055378D" w14:paraId="12EECB64" w14:textId="77777777">
        <w:trPr>
          <w:trHeight w:val="339"/>
        </w:trPr>
        <w:tc>
          <w:tcPr>
            <w:tcW w:w="569" w:type="pct"/>
            <w:tcBorders>
              <w:top w:val="single" w:sz="4" w:space="0" w:color="auto"/>
              <w:left w:val="single" w:sz="4" w:space="0" w:color="auto"/>
              <w:bottom w:val="single" w:sz="4" w:space="0" w:color="auto"/>
              <w:right w:val="single" w:sz="4" w:space="0" w:color="auto"/>
            </w:tcBorders>
            <w:vAlign w:val="bottom"/>
          </w:tcPr>
          <w:p w14:paraId="5631A86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CV</w:t>
            </w:r>
          </w:p>
        </w:tc>
        <w:tc>
          <w:tcPr>
            <w:tcW w:w="440" w:type="pct"/>
            <w:tcBorders>
              <w:top w:val="single" w:sz="4" w:space="0" w:color="auto"/>
              <w:left w:val="single" w:sz="4" w:space="0" w:color="auto"/>
              <w:bottom w:val="single" w:sz="4" w:space="0" w:color="auto"/>
              <w:right w:val="nil"/>
            </w:tcBorders>
          </w:tcPr>
          <w:p w14:paraId="4A16353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70.36</w:t>
            </w:r>
          </w:p>
        </w:tc>
        <w:tc>
          <w:tcPr>
            <w:tcW w:w="440" w:type="pct"/>
            <w:tcBorders>
              <w:top w:val="single" w:sz="4" w:space="0" w:color="auto"/>
              <w:left w:val="nil"/>
              <w:bottom w:val="single" w:sz="4" w:space="0" w:color="auto"/>
              <w:right w:val="nil"/>
            </w:tcBorders>
          </w:tcPr>
          <w:p w14:paraId="5105130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63.80</w:t>
            </w:r>
          </w:p>
        </w:tc>
        <w:tc>
          <w:tcPr>
            <w:tcW w:w="400" w:type="pct"/>
            <w:tcBorders>
              <w:top w:val="single" w:sz="4" w:space="0" w:color="auto"/>
              <w:left w:val="nil"/>
              <w:bottom w:val="single" w:sz="4" w:space="0" w:color="auto"/>
              <w:right w:val="nil"/>
            </w:tcBorders>
          </w:tcPr>
          <w:p w14:paraId="4AB7609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64.65</w:t>
            </w:r>
          </w:p>
        </w:tc>
        <w:tc>
          <w:tcPr>
            <w:tcW w:w="359" w:type="pct"/>
            <w:tcBorders>
              <w:top w:val="single" w:sz="4" w:space="0" w:color="auto"/>
              <w:left w:val="nil"/>
              <w:bottom w:val="single" w:sz="4" w:space="0" w:color="auto"/>
              <w:right w:val="nil"/>
            </w:tcBorders>
          </w:tcPr>
          <w:p w14:paraId="7801360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16.40</w:t>
            </w:r>
          </w:p>
        </w:tc>
        <w:tc>
          <w:tcPr>
            <w:tcW w:w="396" w:type="pct"/>
            <w:tcBorders>
              <w:top w:val="single" w:sz="4" w:space="0" w:color="auto"/>
              <w:left w:val="nil"/>
              <w:bottom w:val="single" w:sz="4" w:space="0" w:color="auto"/>
              <w:right w:val="nil"/>
            </w:tcBorders>
          </w:tcPr>
          <w:p w14:paraId="61838F9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21.35</w:t>
            </w:r>
          </w:p>
        </w:tc>
        <w:tc>
          <w:tcPr>
            <w:tcW w:w="362" w:type="pct"/>
            <w:tcBorders>
              <w:top w:val="single" w:sz="4" w:space="0" w:color="auto"/>
              <w:left w:val="nil"/>
              <w:bottom w:val="single" w:sz="4" w:space="0" w:color="auto"/>
              <w:right w:val="nil"/>
            </w:tcBorders>
          </w:tcPr>
          <w:p w14:paraId="0F27E82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10.35</w:t>
            </w:r>
          </w:p>
        </w:tc>
        <w:tc>
          <w:tcPr>
            <w:tcW w:w="439" w:type="pct"/>
            <w:tcBorders>
              <w:top w:val="single" w:sz="4" w:space="0" w:color="auto"/>
              <w:left w:val="nil"/>
              <w:bottom w:val="single" w:sz="4" w:space="0" w:color="auto"/>
              <w:right w:val="nil"/>
            </w:tcBorders>
          </w:tcPr>
          <w:p w14:paraId="0902BDC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59.72</w:t>
            </w:r>
          </w:p>
        </w:tc>
        <w:tc>
          <w:tcPr>
            <w:tcW w:w="439" w:type="pct"/>
            <w:tcBorders>
              <w:top w:val="single" w:sz="4" w:space="0" w:color="auto"/>
              <w:left w:val="nil"/>
              <w:bottom w:val="single" w:sz="4" w:space="0" w:color="auto"/>
              <w:right w:val="nil"/>
            </w:tcBorders>
          </w:tcPr>
          <w:p w14:paraId="4937FE7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66.12</w:t>
            </w:r>
          </w:p>
        </w:tc>
        <w:tc>
          <w:tcPr>
            <w:tcW w:w="360" w:type="pct"/>
            <w:tcBorders>
              <w:top w:val="single" w:sz="4" w:space="0" w:color="auto"/>
              <w:left w:val="nil"/>
              <w:bottom w:val="single" w:sz="4" w:space="0" w:color="auto"/>
              <w:right w:val="nil"/>
            </w:tcBorders>
          </w:tcPr>
          <w:p w14:paraId="042A26C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60.83</w:t>
            </w:r>
          </w:p>
        </w:tc>
        <w:tc>
          <w:tcPr>
            <w:tcW w:w="359" w:type="pct"/>
            <w:tcBorders>
              <w:top w:val="single" w:sz="4" w:space="0" w:color="auto"/>
              <w:left w:val="nil"/>
              <w:bottom w:val="single" w:sz="4" w:space="0" w:color="auto"/>
              <w:right w:val="nil"/>
            </w:tcBorders>
          </w:tcPr>
          <w:p w14:paraId="601D4F7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31.12</w:t>
            </w:r>
          </w:p>
        </w:tc>
        <w:tc>
          <w:tcPr>
            <w:tcW w:w="438" w:type="pct"/>
            <w:tcBorders>
              <w:top w:val="single" w:sz="4" w:space="0" w:color="auto"/>
              <w:left w:val="nil"/>
              <w:bottom w:val="single" w:sz="4" w:space="0" w:color="auto"/>
              <w:right w:val="single" w:sz="4" w:space="0" w:color="auto"/>
            </w:tcBorders>
          </w:tcPr>
          <w:p w14:paraId="5F7E7F8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31.17</w:t>
            </w:r>
          </w:p>
        </w:tc>
      </w:tr>
    </w:tbl>
    <w:p w14:paraId="6DFD6609" w14:textId="77777777" w:rsidR="0055378D" w:rsidRDefault="0055378D">
      <w:pPr>
        <w:spacing w:line="276" w:lineRule="auto"/>
        <w:rPr>
          <w:rFonts w:asciiTheme="minorBidi" w:hAnsiTheme="minorBidi" w:cstheme="minorBidi"/>
          <w:sz w:val="22"/>
          <w:szCs w:val="22"/>
        </w:rPr>
      </w:pPr>
    </w:p>
    <w:p w14:paraId="2D4055A4" w14:textId="77777777" w:rsidR="0055378D" w:rsidRDefault="00883CD5">
      <w:pPr>
        <w:autoSpaceDE w:val="0"/>
        <w:autoSpaceDN w:val="0"/>
        <w:adjustRightInd w:val="0"/>
        <w:spacing w:line="276" w:lineRule="auto"/>
        <w:jc w:val="both"/>
        <w:rPr>
          <w:rFonts w:asciiTheme="minorBidi" w:hAnsiTheme="minorBidi" w:cstheme="minorBidi"/>
          <w:sz w:val="22"/>
          <w:szCs w:val="22"/>
        </w:rPr>
      </w:pPr>
      <w:r>
        <w:rPr>
          <w:rFonts w:asciiTheme="minorBidi" w:hAnsiTheme="minorBidi" w:cstheme="minorBidi"/>
          <w:sz w:val="22"/>
          <w:szCs w:val="22"/>
        </w:rPr>
        <w:lastRenderedPageBreak/>
        <w:t xml:space="preserve">There was pod per plant and yield of pod per plant statistically similar among all the inoculated treatment compare to uninoculated control treatment. This experiment was conducted in pod condition with 5 kg sterilized soil and watering was done with saline water which was collected from </w:t>
      </w:r>
      <w:proofErr w:type="spellStart"/>
      <w:r>
        <w:rPr>
          <w:rFonts w:asciiTheme="minorBidi" w:hAnsiTheme="minorBidi" w:cstheme="minorBidi"/>
          <w:sz w:val="22"/>
          <w:szCs w:val="22"/>
        </w:rPr>
        <w:t>Satkhira</w:t>
      </w:r>
      <w:proofErr w:type="spellEnd"/>
      <w:r>
        <w:rPr>
          <w:rFonts w:asciiTheme="minorBidi" w:hAnsiTheme="minorBidi" w:cstheme="minorBidi"/>
          <w:sz w:val="22"/>
          <w:szCs w:val="22"/>
        </w:rPr>
        <w:t>.</w:t>
      </w:r>
    </w:p>
    <w:p w14:paraId="18223D7C" w14:textId="77777777" w:rsidR="0055378D" w:rsidRDefault="0055378D">
      <w:pPr>
        <w:autoSpaceDE w:val="0"/>
        <w:autoSpaceDN w:val="0"/>
        <w:adjustRightInd w:val="0"/>
        <w:spacing w:line="276" w:lineRule="auto"/>
        <w:jc w:val="both"/>
        <w:rPr>
          <w:rFonts w:asciiTheme="minorBidi" w:hAnsiTheme="minorBidi" w:cstheme="minorBidi"/>
          <w:sz w:val="22"/>
          <w:szCs w:val="22"/>
        </w:rPr>
      </w:pPr>
    </w:p>
    <w:p w14:paraId="749D8DC5" w14:textId="77777777" w:rsidR="0055378D" w:rsidRDefault="00883CD5">
      <w:pPr>
        <w:spacing w:line="276" w:lineRule="auto"/>
        <w:jc w:val="center"/>
        <w:rPr>
          <w:rFonts w:asciiTheme="minorBidi" w:hAnsiTheme="minorBidi" w:cstheme="minorBidi"/>
          <w:b/>
          <w:bCs/>
          <w:sz w:val="22"/>
          <w:szCs w:val="22"/>
        </w:rPr>
      </w:pPr>
      <w:r>
        <w:rPr>
          <w:rFonts w:asciiTheme="minorBidi" w:hAnsiTheme="minorBidi" w:cstheme="minorBidi"/>
          <w:b/>
          <w:bCs/>
          <w:sz w:val="22"/>
          <w:szCs w:val="22"/>
        </w:rPr>
        <w:t>Conclusion</w:t>
      </w:r>
    </w:p>
    <w:p w14:paraId="5B54A298" w14:textId="77777777" w:rsidR="0055378D" w:rsidRDefault="00883CD5">
      <w:pPr>
        <w:spacing w:line="276" w:lineRule="auto"/>
        <w:jc w:val="both"/>
        <w:rPr>
          <w:rFonts w:asciiTheme="minorBidi" w:hAnsiTheme="minorBidi" w:cstheme="minorBidi"/>
          <w:sz w:val="22"/>
          <w:szCs w:val="22"/>
        </w:rPr>
      </w:pPr>
      <w:r>
        <w:rPr>
          <w:rFonts w:asciiTheme="minorBidi" w:hAnsiTheme="minorBidi" w:cstheme="minorBidi"/>
          <w:sz w:val="22"/>
          <w:szCs w:val="22"/>
        </w:rPr>
        <w:t>From overall growth, nodulation and effective nodule strain STGN-4 was found as the best performer and STGN-9 and STGN-10 better and good performer respectively. Inoculant STGN-1, STGN-3, STGN-6, also perform well and the correlation matrix clearly showed a strong interconnectedness among nodulation variables (Effective, Non-effective, Total nodule) and key plant architectural traits (Root length, No of Brunches). The most striking relationships are the highly significant, very strong positive links between root length and number of brunches (r=0.92) and between effective nodule and non-effective (r=0.91). This suggests these traits are highly co-regulated. So, these 6 strains may be further evaluated in field condition in saline areas.</w:t>
      </w:r>
    </w:p>
    <w:p w14:paraId="58EE8DF0" w14:textId="77777777" w:rsidR="0055378D" w:rsidRDefault="0055378D"/>
    <w:p w14:paraId="52C81F88" w14:textId="77777777" w:rsidR="0055378D" w:rsidRDefault="0055378D"/>
    <w:p w14:paraId="626E7B19" w14:textId="77777777" w:rsidR="0055378D" w:rsidRDefault="00883CD5">
      <w:pPr>
        <w:pStyle w:val="ReferHead"/>
        <w:spacing w:after="0"/>
        <w:jc w:val="both"/>
        <w:rPr>
          <w:rFonts w:ascii="Arial" w:hAnsi="Arial" w:cs="Arial"/>
          <w:bCs/>
          <w:szCs w:val="22"/>
        </w:rPr>
      </w:pPr>
      <w:r>
        <w:rPr>
          <w:rFonts w:ascii="Arial" w:hAnsi="Arial" w:cs="Arial"/>
          <w:bCs/>
          <w:szCs w:val="22"/>
        </w:rPr>
        <w:t>Competing interests</w:t>
      </w:r>
    </w:p>
    <w:p w14:paraId="43754DFE" w14:textId="77777777" w:rsidR="0055378D" w:rsidRDefault="0055378D">
      <w:pPr>
        <w:pStyle w:val="ReferHead"/>
        <w:spacing w:after="0"/>
        <w:jc w:val="both"/>
        <w:rPr>
          <w:rFonts w:ascii="Arial" w:hAnsi="Arial" w:cs="Arial"/>
          <w:szCs w:val="22"/>
        </w:rPr>
      </w:pPr>
    </w:p>
    <w:p w14:paraId="063DCFEF" w14:textId="77777777" w:rsidR="0055378D" w:rsidRDefault="00883CD5">
      <w:pPr>
        <w:pStyle w:val="ReferHead"/>
        <w:spacing w:after="0"/>
        <w:jc w:val="both"/>
        <w:rPr>
          <w:rFonts w:ascii="Arial" w:hAnsi="Arial" w:cs="Arial"/>
          <w:b w:val="0"/>
          <w:caps w:val="0"/>
          <w:szCs w:val="22"/>
        </w:rPr>
      </w:pPr>
      <w:r>
        <w:rPr>
          <w:rFonts w:ascii="Arial" w:hAnsi="Arial" w:cs="Arial"/>
          <w:b w:val="0"/>
          <w:caps w:val="0"/>
          <w:szCs w:val="22"/>
        </w:rPr>
        <w:t>Authors have declared that no competing interests exist.</w:t>
      </w:r>
    </w:p>
    <w:p w14:paraId="0C5EC251" w14:textId="77777777" w:rsidR="0055378D" w:rsidRDefault="0055378D">
      <w:pPr>
        <w:pStyle w:val="ReferHead"/>
        <w:spacing w:after="0"/>
        <w:jc w:val="both"/>
        <w:rPr>
          <w:rFonts w:ascii="Arial" w:hAnsi="Arial" w:cs="Arial"/>
          <w:b w:val="0"/>
          <w:caps w:val="0"/>
          <w:szCs w:val="22"/>
        </w:rPr>
      </w:pPr>
    </w:p>
    <w:p w14:paraId="0EC5475D" w14:textId="77777777" w:rsidR="0055378D" w:rsidRDefault="0055378D">
      <w:pPr>
        <w:spacing w:line="276" w:lineRule="auto"/>
        <w:jc w:val="both"/>
        <w:rPr>
          <w:rFonts w:asciiTheme="minorBidi" w:hAnsiTheme="minorBidi" w:cstheme="minorBidi"/>
          <w:b/>
          <w:bCs/>
          <w:sz w:val="22"/>
          <w:szCs w:val="22"/>
        </w:rPr>
      </w:pPr>
      <w:bookmarkStart w:id="4" w:name="_GoBack"/>
      <w:bookmarkEnd w:id="4"/>
    </w:p>
    <w:p w14:paraId="414F83B1" w14:textId="77777777" w:rsidR="0055378D" w:rsidRDefault="0055378D">
      <w:pPr>
        <w:spacing w:line="276" w:lineRule="auto"/>
        <w:jc w:val="center"/>
        <w:rPr>
          <w:rFonts w:ascii="Arial" w:hAnsi="Arial" w:cs="Arial"/>
          <w:b/>
          <w:bCs/>
          <w:sz w:val="22"/>
          <w:szCs w:val="22"/>
        </w:rPr>
      </w:pPr>
    </w:p>
    <w:p w14:paraId="227BED07" w14:textId="77777777" w:rsidR="0055378D" w:rsidRDefault="00883CD5">
      <w:pPr>
        <w:spacing w:line="276" w:lineRule="auto"/>
        <w:jc w:val="center"/>
        <w:rPr>
          <w:rFonts w:ascii="Arial" w:hAnsi="Arial" w:cs="Arial"/>
          <w:b/>
          <w:bCs/>
          <w:sz w:val="22"/>
          <w:szCs w:val="22"/>
        </w:rPr>
      </w:pPr>
      <w:r>
        <w:rPr>
          <w:rFonts w:ascii="Arial" w:hAnsi="Arial" w:cs="Arial"/>
          <w:b/>
          <w:bCs/>
          <w:sz w:val="22"/>
          <w:szCs w:val="22"/>
        </w:rPr>
        <w:t>References</w:t>
      </w:r>
    </w:p>
    <w:p w14:paraId="6D738243"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Aloo, B. N., </w:t>
      </w:r>
      <w:proofErr w:type="spellStart"/>
      <w:r w:rsidRPr="00883CD5">
        <w:rPr>
          <w:rFonts w:ascii="Arial" w:hAnsi="Arial" w:cs="Arial"/>
          <w:sz w:val="22"/>
          <w:szCs w:val="22"/>
        </w:rPr>
        <w:t>Makumba</w:t>
      </w:r>
      <w:proofErr w:type="spellEnd"/>
      <w:r w:rsidRPr="00883CD5">
        <w:rPr>
          <w:rFonts w:ascii="Arial" w:hAnsi="Arial" w:cs="Arial"/>
          <w:sz w:val="22"/>
          <w:szCs w:val="22"/>
        </w:rPr>
        <w:t xml:space="preserve">, B. A., &amp; </w:t>
      </w:r>
      <w:proofErr w:type="spellStart"/>
      <w:r w:rsidRPr="00883CD5">
        <w:rPr>
          <w:rFonts w:ascii="Arial" w:hAnsi="Arial" w:cs="Arial"/>
          <w:sz w:val="22"/>
          <w:szCs w:val="22"/>
        </w:rPr>
        <w:t>Mbega</w:t>
      </w:r>
      <w:proofErr w:type="spellEnd"/>
      <w:r w:rsidRPr="00883CD5">
        <w:rPr>
          <w:rFonts w:ascii="Arial" w:hAnsi="Arial" w:cs="Arial"/>
          <w:sz w:val="22"/>
          <w:szCs w:val="22"/>
        </w:rPr>
        <w:t xml:space="preserve">, E. R. (2019). The potential of Bacilli rhizobacteria for sustainable crop production and environmental sustainability. Microbiological Research, 219, 26–39. </w:t>
      </w:r>
      <w:hyperlink r:id="rId8" w:history="1">
        <w:r w:rsidRPr="009A3DC6">
          <w:rPr>
            <w:rStyle w:val="Hyperlink"/>
            <w:rFonts w:ascii="Arial" w:hAnsi="Arial" w:cs="Arial"/>
            <w:sz w:val="22"/>
            <w:szCs w:val="22"/>
          </w:rPr>
          <w:t>https://doi.org/10.1016/j.micres.2018.10.011</w:t>
        </w:r>
      </w:hyperlink>
      <w:r>
        <w:rPr>
          <w:rFonts w:ascii="Arial" w:hAnsi="Arial" w:cs="Arial"/>
          <w:sz w:val="22"/>
          <w:szCs w:val="22"/>
        </w:rPr>
        <w:t xml:space="preserve"> </w:t>
      </w:r>
    </w:p>
    <w:p w14:paraId="644EBFEB" w14:textId="77777777" w:rsidR="00883CD5" w:rsidRDefault="00883CD5">
      <w:pPr>
        <w:spacing w:line="276" w:lineRule="auto"/>
        <w:ind w:left="720" w:hanging="720"/>
        <w:jc w:val="both"/>
        <w:rPr>
          <w:rFonts w:ascii="Arial" w:hAnsi="Arial" w:cs="Arial"/>
          <w:sz w:val="22"/>
          <w:szCs w:val="22"/>
        </w:rPr>
      </w:pPr>
      <w:proofErr w:type="spellStart"/>
      <w:r w:rsidRPr="00883CD5">
        <w:rPr>
          <w:rFonts w:ascii="Arial" w:hAnsi="Arial" w:cs="Arial"/>
          <w:sz w:val="22"/>
          <w:szCs w:val="22"/>
        </w:rPr>
        <w:t>Argaw</w:t>
      </w:r>
      <w:proofErr w:type="spellEnd"/>
      <w:r w:rsidRPr="00883CD5">
        <w:rPr>
          <w:rFonts w:ascii="Arial" w:hAnsi="Arial" w:cs="Arial"/>
          <w:sz w:val="22"/>
          <w:szCs w:val="22"/>
        </w:rPr>
        <w:t xml:space="preserve">, A. (2017). Development of </w:t>
      </w:r>
      <w:proofErr w:type="gramStart"/>
      <w:r w:rsidRPr="00883CD5">
        <w:rPr>
          <w:rFonts w:ascii="Arial" w:hAnsi="Arial" w:cs="Arial"/>
          <w:sz w:val="22"/>
          <w:szCs w:val="22"/>
        </w:rPr>
        <w:t>environmental</w:t>
      </w:r>
      <w:proofErr w:type="gramEnd"/>
      <w:r w:rsidRPr="00883CD5">
        <w:rPr>
          <w:rFonts w:ascii="Arial" w:hAnsi="Arial" w:cs="Arial"/>
          <w:sz w:val="22"/>
          <w:szCs w:val="22"/>
        </w:rPr>
        <w:t xml:space="preserve"> friendly </w:t>
      </w:r>
      <w:proofErr w:type="spellStart"/>
      <w:r w:rsidRPr="00883CD5">
        <w:rPr>
          <w:rFonts w:ascii="Arial" w:hAnsi="Arial" w:cs="Arial"/>
          <w:sz w:val="22"/>
          <w:szCs w:val="22"/>
        </w:rPr>
        <w:t>bioinoculate</w:t>
      </w:r>
      <w:proofErr w:type="spellEnd"/>
      <w:r w:rsidRPr="00883CD5">
        <w:rPr>
          <w:rFonts w:ascii="Arial" w:hAnsi="Arial" w:cs="Arial"/>
          <w:sz w:val="22"/>
          <w:szCs w:val="22"/>
        </w:rPr>
        <w:t xml:space="preserve"> for peanut (</w:t>
      </w:r>
      <w:proofErr w:type="spellStart"/>
      <w:r w:rsidRPr="00883CD5">
        <w:rPr>
          <w:rFonts w:ascii="Arial" w:hAnsi="Arial" w:cs="Arial"/>
          <w:sz w:val="22"/>
          <w:szCs w:val="22"/>
        </w:rPr>
        <w:t>Arachis</w:t>
      </w:r>
      <w:proofErr w:type="spellEnd"/>
      <w:r w:rsidRPr="00883CD5">
        <w:rPr>
          <w:rFonts w:ascii="Arial" w:hAnsi="Arial" w:cs="Arial"/>
          <w:sz w:val="22"/>
          <w:szCs w:val="22"/>
        </w:rPr>
        <w:t xml:space="preserve"> hypogea L.) production in Eastern Ethiopia. *Environmental Systems Research*, *6*(1), 1–12. </w:t>
      </w:r>
      <w:hyperlink r:id="rId9" w:history="1">
        <w:r w:rsidRPr="009A3DC6">
          <w:rPr>
            <w:rStyle w:val="Hyperlink"/>
            <w:rFonts w:ascii="Arial" w:hAnsi="Arial" w:cs="Arial"/>
            <w:sz w:val="22"/>
            <w:szCs w:val="22"/>
          </w:rPr>
          <w:t>https://doi.org/10.1186/s40068-017-0100-y</w:t>
        </w:r>
      </w:hyperlink>
      <w:r>
        <w:rPr>
          <w:rFonts w:ascii="Arial" w:hAnsi="Arial" w:cs="Arial"/>
          <w:sz w:val="22"/>
          <w:szCs w:val="22"/>
        </w:rPr>
        <w:t xml:space="preserve"> </w:t>
      </w:r>
    </w:p>
    <w:p w14:paraId="4049FB02"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Asante, M., </w:t>
      </w:r>
      <w:proofErr w:type="spellStart"/>
      <w:r w:rsidRPr="00883CD5">
        <w:rPr>
          <w:rFonts w:ascii="Arial" w:hAnsi="Arial" w:cs="Arial"/>
          <w:sz w:val="22"/>
          <w:szCs w:val="22"/>
        </w:rPr>
        <w:t>Ahiabor</w:t>
      </w:r>
      <w:proofErr w:type="spellEnd"/>
      <w:r w:rsidRPr="00883CD5">
        <w:rPr>
          <w:rFonts w:ascii="Arial" w:hAnsi="Arial" w:cs="Arial"/>
          <w:sz w:val="22"/>
          <w:szCs w:val="22"/>
        </w:rPr>
        <w:t xml:space="preserve">, B. D. K., &amp; </w:t>
      </w:r>
      <w:proofErr w:type="spellStart"/>
      <w:r w:rsidRPr="00883CD5">
        <w:rPr>
          <w:rFonts w:ascii="Arial" w:hAnsi="Arial" w:cs="Arial"/>
          <w:sz w:val="22"/>
          <w:szCs w:val="22"/>
        </w:rPr>
        <w:t>Atakora</w:t>
      </w:r>
      <w:proofErr w:type="spellEnd"/>
      <w:r w:rsidRPr="00883CD5">
        <w:rPr>
          <w:rFonts w:ascii="Arial" w:hAnsi="Arial" w:cs="Arial"/>
          <w:sz w:val="22"/>
          <w:szCs w:val="22"/>
        </w:rPr>
        <w:t>, W. K. (2020). Growth, nodulation, and yield responses of groundnut (</w:t>
      </w:r>
      <w:proofErr w:type="spellStart"/>
      <w:r w:rsidRPr="00883CD5">
        <w:rPr>
          <w:rFonts w:ascii="Arial" w:hAnsi="Arial" w:cs="Arial"/>
          <w:sz w:val="22"/>
          <w:szCs w:val="22"/>
        </w:rPr>
        <w:t>Arachis</w:t>
      </w:r>
      <w:proofErr w:type="spellEnd"/>
      <w:r w:rsidRPr="00883CD5">
        <w:rPr>
          <w:rFonts w:ascii="Arial" w:hAnsi="Arial" w:cs="Arial"/>
          <w:sz w:val="22"/>
          <w:szCs w:val="22"/>
        </w:rPr>
        <w:t xml:space="preserve"> </w:t>
      </w:r>
      <w:proofErr w:type="spellStart"/>
      <w:r w:rsidRPr="00883CD5">
        <w:rPr>
          <w:rFonts w:ascii="Arial" w:hAnsi="Arial" w:cs="Arial"/>
          <w:sz w:val="22"/>
          <w:szCs w:val="22"/>
        </w:rPr>
        <w:t>hypogaea</w:t>
      </w:r>
      <w:proofErr w:type="spellEnd"/>
      <w:r w:rsidRPr="00883CD5">
        <w:rPr>
          <w:rFonts w:ascii="Arial" w:hAnsi="Arial" w:cs="Arial"/>
          <w:sz w:val="22"/>
          <w:szCs w:val="22"/>
        </w:rPr>
        <w:t xml:space="preserve"> L.) as influenced by combined application of rhizobium inoculant and phosphorus in the Guinea Savanna zone of Ghana. International Journal of Agronomy, 2020, 8691757. </w:t>
      </w:r>
      <w:hyperlink r:id="rId10" w:history="1">
        <w:r w:rsidRPr="009A3DC6">
          <w:rPr>
            <w:rStyle w:val="Hyperlink"/>
            <w:rFonts w:ascii="Arial" w:hAnsi="Arial" w:cs="Arial"/>
            <w:sz w:val="22"/>
            <w:szCs w:val="22"/>
          </w:rPr>
          <w:t>https://doi.org/10.1155/2020/8691757</w:t>
        </w:r>
      </w:hyperlink>
      <w:r>
        <w:rPr>
          <w:rFonts w:ascii="Arial" w:hAnsi="Arial" w:cs="Arial"/>
          <w:sz w:val="22"/>
          <w:szCs w:val="22"/>
        </w:rPr>
        <w:t xml:space="preserve"> </w:t>
      </w:r>
    </w:p>
    <w:p w14:paraId="44D10DE4" w14:textId="77777777" w:rsidR="00883CD5" w:rsidRDefault="00883CD5">
      <w:pPr>
        <w:spacing w:line="276" w:lineRule="auto"/>
        <w:ind w:left="720" w:hanging="720"/>
        <w:jc w:val="both"/>
        <w:rPr>
          <w:rFonts w:ascii="Arial" w:hAnsi="Arial" w:cs="Arial"/>
          <w:sz w:val="22"/>
          <w:szCs w:val="22"/>
        </w:rPr>
      </w:pPr>
      <w:proofErr w:type="spellStart"/>
      <w:r w:rsidRPr="00883CD5">
        <w:rPr>
          <w:rFonts w:ascii="Arial" w:hAnsi="Arial" w:cs="Arial"/>
          <w:sz w:val="22"/>
          <w:szCs w:val="22"/>
        </w:rPr>
        <w:t>Egamberdieva</w:t>
      </w:r>
      <w:proofErr w:type="spellEnd"/>
      <w:r w:rsidRPr="00883CD5">
        <w:rPr>
          <w:rFonts w:ascii="Arial" w:hAnsi="Arial" w:cs="Arial"/>
          <w:sz w:val="22"/>
          <w:szCs w:val="22"/>
        </w:rPr>
        <w:t xml:space="preserve">, D., Hua, M., </w:t>
      </w:r>
      <w:proofErr w:type="spellStart"/>
      <w:r w:rsidRPr="00883CD5">
        <w:rPr>
          <w:rFonts w:ascii="Arial" w:hAnsi="Arial" w:cs="Arial"/>
          <w:sz w:val="22"/>
          <w:szCs w:val="22"/>
        </w:rPr>
        <w:t>Reckling</w:t>
      </w:r>
      <w:proofErr w:type="spellEnd"/>
      <w:r w:rsidRPr="00883CD5">
        <w:rPr>
          <w:rFonts w:ascii="Arial" w:hAnsi="Arial" w:cs="Arial"/>
          <w:sz w:val="22"/>
          <w:szCs w:val="22"/>
        </w:rPr>
        <w:t xml:space="preserve">, M., Wirth, S., &amp; </w:t>
      </w:r>
      <w:proofErr w:type="spellStart"/>
      <w:r w:rsidRPr="00883CD5">
        <w:rPr>
          <w:rFonts w:ascii="Arial" w:hAnsi="Arial" w:cs="Arial"/>
          <w:sz w:val="22"/>
          <w:szCs w:val="22"/>
        </w:rPr>
        <w:t>Bellingrath</w:t>
      </w:r>
      <w:proofErr w:type="spellEnd"/>
      <w:r w:rsidRPr="00883CD5">
        <w:rPr>
          <w:rFonts w:ascii="Arial" w:hAnsi="Arial" w:cs="Arial"/>
          <w:sz w:val="22"/>
          <w:szCs w:val="22"/>
        </w:rPr>
        <w:t xml:space="preserve">-Kimura, S. D. (2018). Potential effects of biochar-based microbial inoculants in agriculture. Environmental Sustainability, 1(1), 19–24. </w:t>
      </w:r>
      <w:hyperlink r:id="rId11" w:history="1">
        <w:r w:rsidRPr="009A3DC6">
          <w:rPr>
            <w:rStyle w:val="Hyperlink"/>
            <w:rFonts w:ascii="Arial" w:hAnsi="Arial" w:cs="Arial"/>
            <w:sz w:val="22"/>
            <w:szCs w:val="22"/>
          </w:rPr>
          <w:t>https://doi.org/10.1007/s42398-018-0010-6</w:t>
        </w:r>
      </w:hyperlink>
      <w:r>
        <w:rPr>
          <w:rFonts w:ascii="Arial" w:hAnsi="Arial" w:cs="Arial"/>
          <w:sz w:val="22"/>
          <w:szCs w:val="22"/>
        </w:rPr>
        <w:t xml:space="preserve"> </w:t>
      </w:r>
    </w:p>
    <w:p w14:paraId="53462A29"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Hasegawa, P. M., </w:t>
      </w:r>
      <w:proofErr w:type="spellStart"/>
      <w:r w:rsidRPr="00883CD5">
        <w:rPr>
          <w:rFonts w:ascii="Arial" w:hAnsi="Arial" w:cs="Arial"/>
          <w:sz w:val="22"/>
          <w:szCs w:val="22"/>
        </w:rPr>
        <w:t>Bressan</w:t>
      </w:r>
      <w:proofErr w:type="spellEnd"/>
      <w:r w:rsidRPr="00883CD5">
        <w:rPr>
          <w:rFonts w:ascii="Arial" w:hAnsi="Arial" w:cs="Arial"/>
          <w:sz w:val="22"/>
          <w:szCs w:val="22"/>
        </w:rPr>
        <w:t xml:space="preserve">, R. A., Zhu, J. K., &amp; </w:t>
      </w:r>
      <w:proofErr w:type="spellStart"/>
      <w:r w:rsidRPr="00883CD5">
        <w:rPr>
          <w:rFonts w:ascii="Arial" w:hAnsi="Arial" w:cs="Arial"/>
          <w:sz w:val="22"/>
          <w:szCs w:val="22"/>
        </w:rPr>
        <w:t>Bohnert</w:t>
      </w:r>
      <w:proofErr w:type="spellEnd"/>
      <w:r w:rsidRPr="00883CD5">
        <w:rPr>
          <w:rFonts w:ascii="Arial" w:hAnsi="Arial" w:cs="Arial"/>
          <w:sz w:val="22"/>
          <w:szCs w:val="22"/>
        </w:rPr>
        <w:t xml:space="preserve">, H. J. (2000). Plant cellular and molecular responses to high salinity. Annual Review of Plant Physiology and Plant Molecular Biology, 51, 463-499. </w:t>
      </w:r>
      <w:hyperlink r:id="rId12" w:history="1">
        <w:r w:rsidRPr="009A3DC6">
          <w:rPr>
            <w:rStyle w:val="Hyperlink"/>
            <w:rFonts w:ascii="Arial" w:hAnsi="Arial" w:cs="Arial"/>
            <w:sz w:val="22"/>
            <w:szCs w:val="22"/>
          </w:rPr>
          <w:t>https://doi.org/10.1146/annurev.arplant.51.1.463</w:t>
        </w:r>
      </w:hyperlink>
      <w:r>
        <w:rPr>
          <w:rFonts w:ascii="Arial" w:hAnsi="Arial" w:cs="Arial"/>
          <w:sz w:val="22"/>
          <w:szCs w:val="22"/>
        </w:rPr>
        <w:t xml:space="preserve"> </w:t>
      </w:r>
    </w:p>
    <w:p w14:paraId="52D7079C"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Monika, Shashikala, &amp; </w:t>
      </w:r>
      <w:proofErr w:type="spellStart"/>
      <w:r w:rsidRPr="00883CD5">
        <w:rPr>
          <w:rFonts w:ascii="Arial" w:hAnsi="Arial" w:cs="Arial"/>
          <w:sz w:val="22"/>
          <w:szCs w:val="22"/>
        </w:rPr>
        <w:t>Wati</w:t>
      </w:r>
      <w:proofErr w:type="spellEnd"/>
      <w:r w:rsidRPr="00883CD5">
        <w:rPr>
          <w:rFonts w:ascii="Arial" w:hAnsi="Arial" w:cs="Arial"/>
          <w:sz w:val="22"/>
          <w:szCs w:val="22"/>
        </w:rPr>
        <w:t xml:space="preserve">, L. (2018). Biofertilizers: Potential Candidate for Sustainable Agriculture. *International Journal of Current Microbiology and </w:t>
      </w:r>
      <w:r w:rsidRPr="00883CD5">
        <w:rPr>
          <w:rFonts w:ascii="Arial" w:hAnsi="Arial" w:cs="Arial"/>
          <w:sz w:val="22"/>
          <w:szCs w:val="22"/>
        </w:rPr>
        <w:lastRenderedPageBreak/>
        <w:t xml:space="preserve">Applied Sciences*, *7*(3), 2839–2851. </w:t>
      </w:r>
      <w:hyperlink r:id="rId13" w:history="1">
        <w:r w:rsidRPr="009A3DC6">
          <w:rPr>
            <w:rStyle w:val="Hyperlink"/>
            <w:rFonts w:ascii="Arial" w:hAnsi="Arial" w:cs="Arial"/>
            <w:sz w:val="22"/>
            <w:szCs w:val="22"/>
          </w:rPr>
          <w:t>https://doi.org/10.20546/ijcmas.2018.703.327</w:t>
        </w:r>
      </w:hyperlink>
      <w:r>
        <w:rPr>
          <w:rFonts w:ascii="Arial" w:hAnsi="Arial" w:cs="Arial"/>
          <w:sz w:val="22"/>
          <w:szCs w:val="22"/>
        </w:rPr>
        <w:t xml:space="preserve"> </w:t>
      </w:r>
    </w:p>
    <w:p w14:paraId="31D8EAB2" w14:textId="14CB35AE" w:rsidR="0055378D" w:rsidRDefault="00883CD5">
      <w:pPr>
        <w:spacing w:line="276" w:lineRule="auto"/>
        <w:ind w:left="720" w:hanging="720"/>
        <w:jc w:val="both"/>
        <w:rPr>
          <w:rFonts w:ascii="Arial" w:hAnsi="Arial" w:cs="Arial"/>
          <w:sz w:val="22"/>
          <w:szCs w:val="22"/>
        </w:rPr>
      </w:pPr>
      <w:r>
        <w:rPr>
          <w:rFonts w:ascii="Arial" w:hAnsi="Arial" w:cs="Arial"/>
          <w:sz w:val="22"/>
          <w:szCs w:val="22"/>
        </w:rPr>
        <w:t>Karim, Z. and Iqbal A. 2001. Impact of land degradation in Bangladesh: Changing Scenario in Agricultural Land Use, Bangladesh Agricultural Research Council, pp. 46-47.</w:t>
      </w:r>
    </w:p>
    <w:p w14:paraId="40B297F4"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Mabrouk, Y., </w:t>
      </w:r>
      <w:proofErr w:type="spellStart"/>
      <w:r w:rsidRPr="00883CD5">
        <w:rPr>
          <w:rFonts w:ascii="Arial" w:hAnsi="Arial" w:cs="Arial"/>
          <w:sz w:val="22"/>
          <w:szCs w:val="22"/>
        </w:rPr>
        <w:t>Hemissi</w:t>
      </w:r>
      <w:proofErr w:type="spellEnd"/>
      <w:r w:rsidRPr="00883CD5">
        <w:rPr>
          <w:rFonts w:ascii="Arial" w:hAnsi="Arial" w:cs="Arial"/>
          <w:sz w:val="22"/>
          <w:szCs w:val="22"/>
        </w:rPr>
        <w:t xml:space="preserve">, I., Salem, I. B., </w:t>
      </w:r>
      <w:proofErr w:type="spellStart"/>
      <w:r w:rsidRPr="00883CD5">
        <w:rPr>
          <w:rFonts w:ascii="Arial" w:hAnsi="Arial" w:cs="Arial"/>
          <w:sz w:val="22"/>
          <w:szCs w:val="22"/>
        </w:rPr>
        <w:t>Mejri</w:t>
      </w:r>
      <w:proofErr w:type="spellEnd"/>
      <w:r w:rsidRPr="00883CD5">
        <w:rPr>
          <w:rFonts w:ascii="Arial" w:hAnsi="Arial" w:cs="Arial"/>
          <w:sz w:val="22"/>
          <w:szCs w:val="22"/>
        </w:rPr>
        <w:t xml:space="preserve">, S., </w:t>
      </w:r>
      <w:proofErr w:type="spellStart"/>
      <w:r w:rsidRPr="00883CD5">
        <w:rPr>
          <w:rFonts w:ascii="Arial" w:hAnsi="Arial" w:cs="Arial"/>
          <w:sz w:val="22"/>
          <w:szCs w:val="22"/>
        </w:rPr>
        <w:t>Saidi</w:t>
      </w:r>
      <w:proofErr w:type="spellEnd"/>
      <w:r w:rsidRPr="00883CD5">
        <w:rPr>
          <w:rFonts w:ascii="Arial" w:hAnsi="Arial" w:cs="Arial"/>
          <w:sz w:val="22"/>
          <w:szCs w:val="22"/>
        </w:rPr>
        <w:t xml:space="preserve">, M., &amp; </w:t>
      </w:r>
      <w:proofErr w:type="spellStart"/>
      <w:r w:rsidRPr="00883CD5">
        <w:rPr>
          <w:rFonts w:ascii="Arial" w:hAnsi="Arial" w:cs="Arial"/>
          <w:sz w:val="22"/>
          <w:szCs w:val="22"/>
        </w:rPr>
        <w:t>Belhadj</w:t>
      </w:r>
      <w:proofErr w:type="spellEnd"/>
      <w:r w:rsidRPr="00883CD5">
        <w:rPr>
          <w:rFonts w:ascii="Arial" w:hAnsi="Arial" w:cs="Arial"/>
          <w:sz w:val="22"/>
          <w:szCs w:val="22"/>
        </w:rPr>
        <w:t xml:space="preserve">, O. (2018). Potential of Rhizobia in Improving Nitrogen Fixation and Yields of Legumes. In Symbiosis. </w:t>
      </w:r>
      <w:hyperlink r:id="rId14" w:history="1">
        <w:r w:rsidRPr="009A3DC6">
          <w:rPr>
            <w:rStyle w:val="Hyperlink"/>
            <w:rFonts w:ascii="Arial" w:hAnsi="Arial" w:cs="Arial"/>
            <w:sz w:val="22"/>
            <w:szCs w:val="22"/>
          </w:rPr>
          <w:t>https://doi.org/10.5772/intechopen.73495</w:t>
        </w:r>
      </w:hyperlink>
      <w:r>
        <w:rPr>
          <w:rFonts w:ascii="Arial" w:hAnsi="Arial" w:cs="Arial"/>
          <w:sz w:val="22"/>
          <w:szCs w:val="22"/>
        </w:rPr>
        <w:t xml:space="preserve"> </w:t>
      </w:r>
    </w:p>
    <w:p w14:paraId="5D47443A"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Mohammed, M., Jaiswal, S. K., </w:t>
      </w:r>
      <w:proofErr w:type="spellStart"/>
      <w:r w:rsidRPr="00883CD5">
        <w:rPr>
          <w:rFonts w:ascii="Arial" w:hAnsi="Arial" w:cs="Arial"/>
          <w:sz w:val="22"/>
          <w:szCs w:val="22"/>
        </w:rPr>
        <w:t>Sowley</w:t>
      </w:r>
      <w:proofErr w:type="spellEnd"/>
      <w:r w:rsidRPr="00883CD5">
        <w:rPr>
          <w:rFonts w:ascii="Arial" w:hAnsi="Arial" w:cs="Arial"/>
          <w:sz w:val="22"/>
          <w:szCs w:val="22"/>
        </w:rPr>
        <w:t xml:space="preserve">, E. N. K., </w:t>
      </w:r>
      <w:proofErr w:type="spellStart"/>
      <w:r w:rsidRPr="00883CD5">
        <w:rPr>
          <w:rFonts w:ascii="Arial" w:hAnsi="Arial" w:cs="Arial"/>
          <w:sz w:val="22"/>
          <w:szCs w:val="22"/>
        </w:rPr>
        <w:t>Ahiabor</w:t>
      </w:r>
      <w:proofErr w:type="spellEnd"/>
      <w:r w:rsidRPr="00883CD5">
        <w:rPr>
          <w:rFonts w:ascii="Arial" w:hAnsi="Arial" w:cs="Arial"/>
          <w:sz w:val="22"/>
          <w:szCs w:val="22"/>
        </w:rPr>
        <w:t xml:space="preserve">, B. D. K., &amp; </w:t>
      </w:r>
      <w:proofErr w:type="spellStart"/>
      <w:r w:rsidRPr="00883CD5">
        <w:rPr>
          <w:rFonts w:ascii="Arial" w:hAnsi="Arial" w:cs="Arial"/>
          <w:sz w:val="22"/>
          <w:szCs w:val="22"/>
        </w:rPr>
        <w:t>Dakora</w:t>
      </w:r>
      <w:proofErr w:type="spellEnd"/>
      <w:r w:rsidRPr="00883CD5">
        <w:rPr>
          <w:rFonts w:ascii="Arial" w:hAnsi="Arial" w:cs="Arial"/>
          <w:sz w:val="22"/>
          <w:szCs w:val="22"/>
        </w:rPr>
        <w:t xml:space="preserve">, F. D. (2018). Symbiotic N2 Fixation and Grain Yield of Endangered </w:t>
      </w:r>
      <w:proofErr w:type="spellStart"/>
      <w:r w:rsidRPr="00883CD5">
        <w:rPr>
          <w:rFonts w:ascii="Arial" w:hAnsi="Arial" w:cs="Arial"/>
          <w:sz w:val="22"/>
          <w:szCs w:val="22"/>
        </w:rPr>
        <w:t>Kersting's</w:t>
      </w:r>
      <w:proofErr w:type="spellEnd"/>
      <w:r w:rsidRPr="00883CD5">
        <w:rPr>
          <w:rFonts w:ascii="Arial" w:hAnsi="Arial" w:cs="Arial"/>
          <w:sz w:val="22"/>
          <w:szCs w:val="22"/>
        </w:rPr>
        <w:t xml:space="preserve"> Groundnut Landraces in Response to Soil and Plant Associated </w:t>
      </w:r>
      <w:proofErr w:type="spellStart"/>
      <w:r w:rsidRPr="00883CD5">
        <w:rPr>
          <w:rFonts w:ascii="Arial" w:hAnsi="Arial" w:cs="Arial"/>
          <w:sz w:val="22"/>
          <w:szCs w:val="22"/>
        </w:rPr>
        <w:t>Bradyrhizobium</w:t>
      </w:r>
      <w:proofErr w:type="spellEnd"/>
      <w:r w:rsidRPr="00883CD5">
        <w:rPr>
          <w:rFonts w:ascii="Arial" w:hAnsi="Arial" w:cs="Arial"/>
          <w:sz w:val="22"/>
          <w:szCs w:val="22"/>
        </w:rPr>
        <w:t xml:space="preserve"> Inoculation to Promote Ecological Resource-Use Efficiency. Frontiers in Microbiology, 9, 2105. </w:t>
      </w:r>
      <w:hyperlink r:id="rId15" w:history="1">
        <w:r w:rsidRPr="009A3DC6">
          <w:rPr>
            <w:rStyle w:val="Hyperlink"/>
            <w:rFonts w:ascii="Arial" w:hAnsi="Arial" w:cs="Arial"/>
            <w:sz w:val="22"/>
            <w:szCs w:val="22"/>
          </w:rPr>
          <w:t>https://doi.org/10.3389/fmicb.2018.02105</w:t>
        </w:r>
      </w:hyperlink>
      <w:r>
        <w:rPr>
          <w:rFonts w:ascii="Arial" w:hAnsi="Arial" w:cs="Arial"/>
          <w:sz w:val="22"/>
          <w:szCs w:val="22"/>
        </w:rPr>
        <w:t xml:space="preserve"> </w:t>
      </w:r>
    </w:p>
    <w:p w14:paraId="1FBCAAF0"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Mondal, M., </w:t>
      </w:r>
      <w:proofErr w:type="spellStart"/>
      <w:r w:rsidRPr="00883CD5">
        <w:rPr>
          <w:rFonts w:ascii="Arial" w:hAnsi="Arial" w:cs="Arial"/>
          <w:sz w:val="22"/>
          <w:szCs w:val="22"/>
        </w:rPr>
        <w:t>Gunri</w:t>
      </w:r>
      <w:proofErr w:type="spellEnd"/>
      <w:r w:rsidRPr="00883CD5">
        <w:rPr>
          <w:rFonts w:ascii="Arial" w:hAnsi="Arial" w:cs="Arial"/>
          <w:sz w:val="22"/>
          <w:szCs w:val="22"/>
        </w:rPr>
        <w:t>, S. K., Sengupta, A., &amp; Kundu, R. (2018). Productivity Enhancement of Rabi Groundnut (</w:t>
      </w:r>
      <w:proofErr w:type="spellStart"/>
      <w:r w:rsidRPr="00883CD5">
        <w:rPr>
          <w:rFonts w:ascii="Arial" w:hAnsi="Arial" w:cs="Arial"/>
          <w:sz w:val="22"/>
          <w:szCs w:val="22"/>
        </w:rPr>
        <w:t>Arachis</w:t>
      </w:r>
      <w:proofErr w:type="spellEnd"/>
      <w:r w:rsidRPr="00883CD5">
        <w:rPr>
          <w:rFonts w:ascii="Arial" w:hAnsi="Arial" w:cs="Arial"/>
          <w:sz w:val="22"/>
          <w:szCs w:val="22"/>
        </w:rPr>
        <w:t xml:space="preserve"> </w:t>
      </w:r>
      <w:proofErr w:type="spellStart"/>
      <w:r w:rsidRPr="00883CD5">
        <w:rPr>
          <w:rFonts w:ascii="Arial" w:hAnsi="Arial" w:cs="Arial"/>
          <w:sz w:val="22"/>
          <w:szCs w:val="22"/>
        </w:rPr>
        <w:t>hypogaea</w:t>
      </w:r>
      <w:proofErr w:type="spellEnd"/>
      <w:r w:rsidRPr="00883CD5">
        <w:rPr>
          <w:rFonts w:ascii="Arial" w:hAnsi="Arial" w:cs="Arial"/>
          <w:sz w:val="22"/>
          <w:szCs w:val="22"/>
        </w:rPr>
        <w:t xml:space="preserve"> L.) under Polythene Mulching and Rhizobium Inoculation under New Alluvial Zone of West Bengal. International Journal of Current Microbiology and Applied Sciences, 7(9), 2308–2313. </w:t>
      </w:r>
      <w:hyperlink r:id="rId16" w:history="1">
        <w:r w:rsidRPr="009A3DC6">
          <w:rPr>
            <w:rStyle w:val="Hyperlink"/>
            <w:rFonts w:ascii="Arial" w:hAnsi="Arial" w:cs="Arial"/>
            <w:sz w:val="22"/>
            <w:szCs w:val="22"/>
          </w:rPr>
          <w:t>https://doi.org/10.20546/ijcmas.2018.709.286</w:t>
        </w:r>
      </w:hyperlink>
      <w:r>
        <w:rPr>
          <w:rFonts w:ascii="Arial" w:hAnsi="Arial" w:cs="Arial"/>
          <w:sz w:val="22"/>
          <w:szCs w:val="22"/>
        </w:rPr>
        <w:t xml:space="preserve"> </w:t>
      </w:r>
    </w:p>
    <w:p w14:paraId="7B65D838" w14:textId="326675A9" w:rsidR="0055378D" w:rsidRDefault="00883CD5">
      <w:pPr>
        <w:spacing w:line="276" w:lineRule="auto"/>
        <w:ind w:left="720" w:hanging="720"/>
        <w:jc w:val="both"/>
        <w:rPr>
          <w:rFonts w:ascii="Arial" w:hAnsi="Arial" w:cs="Arial"/>
          <w:sz w:val="22"/>
          <w:szCs w:val="22"/>
        </w:rPr>
      </w:pPr>
      <w:r>
        <w:rPr>
          <w:rFonts w:ascii="Arial" w:hAnsi="Arial" w:cs="Arial"/>
          <w:sz w:val="22"/>
          <w:szCs w:val="22"/>
        </w:rPr>
        <w:t>Munns, R. and James R.A. (2003). Screening methods for salinity tolerance: a case study with tetraploid wheat. Plant and Soil 253:201-218.</w:t>
      </w:r>
    </w:p>
    <w:p w14:paraId="743DDAD0"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Naseer, I., Ahmad, M., Nadeem, S. M., Ahmad, I., </w:t>
      </w:r>
      <w:proofErr w:type="spellStart"/>
      <w:r w:rsidRPr="00883CD5">
        <w:rPr>
          <w:rFonts w:ascii="Arial" w:hAnsi="Arial" w:cs="Arial"/>
          <w:sz w:val="22"/>
          <w:szCs w:val="22"/>
        </w:rPr>
        <w:t>Najm</w:t>
      </w:r>
      <w:proofErr w:type="spellEnd"/>
      <w:r w:rsidRPr="00883CD5">
        <w:rPr>
          <w:rFonts w:ascii="Arial" w:hAnsi="Arial" w:cs="Arial"/>
          <w:sz w:val="22"/>
          <w:szCs w:val="22"/>
        </w:rPr>
        <w:t>-Ul-</w:t>
      </w:r>
      <w:proofErr w:type="spellStart"/>
      <w:r w:rsidRPr="00883CD5">
        <w:rPr>
          <w:rFonts w:ascii="Arial" w:hAnsi="Arial" w:cs="Arial"/>
          <w:sz w:val="22"/>
          <w:szCs w:val="22"/>
        </w:rPr>
        <w:t>Seher</w:t>
      </w:r>
      <w:proofErr w:type="spellEnd"/>
      <w:r w:rsidRPr="00883CD5">
        <w:rPr>
          <w:rFonts w:ascii="Arial" w:hAnsi="Arial" w:cs="Arial"/>
          <w:sz w:val="22"/>
          <w:szCs w:val="22"/>
        </w:rPr>
        <w:t xml:space="preserve">, &amp; </w:t>
      </w:r>
      <w:proofErr w:type="spellStart"/>
      <w:r w:rsidRPr="00883CD5">
        <w:rPr>
          <w:rFonts w:ascii="Arial" w:hAnsi="Arial" w:cs="Arial"/>
          <w:sz w:val="22"/>
          <w:szCs w:val="22"/>
        </w:rPr>
        <w:t>Zahir</w:t>
      </w:r>
      <w:proofErr w:type="spellEnd"/>
      <w:r w:rsidRPr="00883CD5">
        <w:rPr>
          <w:rFonts w:ascii="Arial" w:hAnsi="Arial" w:cs="Arial"/>
          <w:sz w:val="22"/>
          <w:szCs w:val="22"/>
        </w:rPr>
        <w:t xml:space="preserve">, Z. A. (2019). </w:t>
      </w:r>
      <w:proofErr w:type="spellStart"/>
      <w:r w:rsidRPr="00883CD5">
        <w:rPr>
          <w:rFonts w:ascii="Arial" w:hAnsi="Arial" w:cs="Arial"/>
          <w:sz w:val="22"/>
          <w:szCs w:val="22"/>
        </w:rPr>
        <w:t>Rhizobial</w:t>
      </w:r>
      <w:proofErr w:type="spellEnd"/>
      <w:r w:rsidRPr="00883CD5">
        <w:rPr>
          <w:rFonts w:ascii="Arial" w:hAnsi="Arial" w:cs="Arial"/>
          <w:sz w:val="22"/>
          <w:szCs w:val="22"/>
        </w:rPr>
        <w:t xml:space="preserve"> inoculants for sustainable agriculture: Prospects and applications. In Biofertilizers for Sustainable Agriculture and Environment (pp. 245–283). Springer Nature. </w:t>
      </w:r>
      <w:hyperlink r:id="rId17" w:history="1">
        <w:r w:rsidRPr="009A3DC6">
          <w:rPr>
            <w:rStyle w:val="Hyperlink"/>
            <w:rFonts w:ascii="Arial" w:hAnsi="Arial" w:cs="Arial"/>
            <w:sz w:val="22"/>
            <w:szCs w:val="22"/>
          </w:rPr>
          <w:t>https://doi.org/10.1007/978-3-030-18933-4_11</w:t>
        </w:r>
      </w:hyperlink>
      <w:r>
        <w:rPr>
          <w:rFonts w:ascii="Arial" w:hAnsi="Arial" w:cs="Arial"/>
          <w:sz w:val="22"/>
          <w:szCs w:val="22"/>
        </w:rPr>
        <w:t xml:space="preserve"> </w:t>
      </w:r>
    </w:p>
    <w:p w14:paraId="2C913CF8" w14:textId="58030106" w:rsidR="00883CD5" w:rsidRDefault="00883CD5">
      <w:pPr>
        <w:spacing w:line="276" w:lineRule="auto"/>
        <w:ind w:left="720" w:hanging="720"/>
        <w:jc w:val="both"/>
        <w:rPr>
          <w:rFonts w:ascii="Arial" w:hAnsi="Arial" w:cs="Arial"/>
          <w:sz w:val="22"/>
          <w:szCs w:val="22"/>
        </w:rPr>
      </w:pPr>
      <w:proofErr w:type="spellStart"/>
      <w:r w:rsidRPr="00883CD5">
        <w:rPr>
          <w:rFonts w:ascii="Arial" w:hAnsi="Arial" w:cs="Arial"/>
          <w:sz w:val="22"/>
          <w:szCs w:val="22"/>
        </w:rPr>
        <w:t>Oo</w:t>
      </w:r>
      <w:proofErr w:type="spellEnd"/>
      <w:r w:rsidRPr="00883CD5">
        <w:rPr>
          <w:rFonts w:ascii="Arial" w:hAnsi="Arial" w:cs="Arial"/>
          <w:sz w:val="22"/>
          <w:szCs w:val="22"/>
        </w:rPr>
        <w:t xml:space="preserve">, K., Win, T., </w:t>
      </w:r>
      <w:proofErr w:type="spellStart"/>
      <w:r w:rsidRPr="00883CD5">
        <w:rPr>
          <w:rFonts w:ascii="Arial" w:hAnsi="Arial" w:cs="Arial"/>
          <w:sz w:val="22"/>
          <w:szCs w:val="22"/>
        </w:rPr>
        <w:t>Khai</w:t>
      </w:r>
      <w:proofErr w:type="spellEnd"/>
      <w:r w:rsidRPr="00883CD5">
        <w:rPr>
          <w:rFonts w:ascii="Arial" w:hAnsi="Arial" w:cs="Arial"/>
          <w:sz w:val="22"/>
          <w:szCs w:val="22"/>
        </w:rPr>
        <w:t xml:space="preserve">, A., &amp; Fu, P. (2020). Isolation, screening and molecular characterization of multifunctional plant growth promoting Rhizobacteria for a sustainable agriculture. American Journal of Plant Sciences. </w:t>
      </w:r>
      <w:hyperlink r:id="rId18" w:history="1">
        <w:r w:rsidRPr="009A3DC6">
          <w:rPr>
            <w:rStyle w:val="Hyperlink"/>
            <w:rFonts w:ascii="Arial" w:hAnsi="Arial" w:cs="Arial"/>
            <w:sz w:val="22"/>
            <w:szCs w:val="22"/>
          </w:rPr>
          <w:t>https://doi.org/10.4236/ajps.2020.116055</w:t>
        </w:r>
      </w:hyperlink>
    </w:p>
    <w:p w14:paraId="31B0993C" w14:textId="77777777" w:rsidR="00883CD5" w:rsidRDefault="00883CD5">
      <w:pPr>
        <w:spacing w:line="276" w:lineRule="auto"/>
        <w:ind w:left="720" w:hanging="720"/>
        <w:jc w:val="both"/>
        <w:rPr>
          <w:rFonts w:ascii="Arial" w:hAnsi="Arial" w:cs="Arial"/>
          <w:sz w:val="22"/>
          <w:szCs w:val="22"/>
        </w:rPr>
      </w:pPr>
      <w:proofErr w:type="spellStart"/>
      <w:r w:rsidRPr="00883CD5">
        <w:rPr>
          <w:rFonts w:ascii="Arial" w:hAnsi="Arial" w:cs="Arial"/>
          <w:sz w:val="22"/>
          <w:szCs w:val="22"/>
        </w:rPr>
        <w:t>Purwaningsih</w:t>
      </w:r>
      <w:proofErr w:type="spellEnd"/>
      <w:r w:rsidRPr="00883CD5">
        <w:rPr>
          <w:rFonts w:ascii="Arial" w:hAnsi="Arial" w:cs="Arial"/>
          <w:sz w:val="22"/>
          <w:szCs w:val="22"/>
        </w:rPr>
        <w:t xml:space="preserve">, S., </w:t>
      </w:r>
      <w:proofErr w:type="spellStart"/>
      <w:r w:rsidRPr="00883CD5">
        <w:rPr>
          <w:rFonts w:ascii="Arial" w:hAnsi="Arial" w:cs="Arial"/>
          <w:sz w:val="22"/>
          <w:szCs w:val="22"/>
        </w:rPr>
        <w:t>Agustiyani</w:t>
      </w:r>
      <w:proofErr w:type="spellEnd"/>
      <w:r w:rsidRPr="00883CD5">
        <w:rPr>
          <w:rFonts w:ascii="Arial" w:hAnsi="Arial" w:cs="Arial"/>
          <w:sz w:val="22"/>
          <w:szCs w:val="22"/>
        </w:rPr>
        <w:t xml:space="preserve">, D., &amp; Antonius, S. (2021). Diversity, activity, and effectiveness of Rhizobium bacteria as plant growth promoting rhizobacteria (PGPR) isolated from </w:t>
      </w:r>
      <w:proofErr w:type="spellStart"/>
      <w:r w:rsidRPr="00883CD5">
        <w:rPr>
          <w:rFonts w:ascii="Arial" w:hAnsi="Arial" w:cs="Arial"/>
          <w:sz w:val="22"/>
          <w:szCs w:val="22"/>
        </w:rPr>
        <w:t>Dieng</w:t>
      </w:r>
      <w:proofErr w:type="spellEnd"/>
      <w:r w:rsidRPr="00883CD5">
        <w:rPr>
          <w:rFonts w:ascii="Arial" w:hAnsi="Arial" w:cs="Arial"/>
          <w:sz w:val="22"/>
          <w:szCs w:val="22"/>
        </w:rPr>
        <w:t xml:space="preserve">, central Java. Iranian Journal of Microbiology, 13(1), 130-136. </w:t>
      </w:r>
      <w:hyperlink r:id="rId19" w:history="1">
        <w:r w:rsidRPr="009A3DC6">
          <w:rPr>
            <w:rStyle w:val="Hyperlink"/>
            <w:rFonts w:ascii="Arial" w:hAnsi="Arial" w:cs="Arial"/>
            <w:sz w:val="22"/>
            <w:szCs w:val="22"/>
          </w:rPr>
          <w:t>https://doi.org/10.18502/ijm.v13i1.5504</w:t>
        </w:r>
      </w:hyperlink>
      <w:r>
        <w:rPr>
          <w:rFonts w:ascii="Arial" w:hAnsi="Arial" w:cs="Arial"/>
          <w:sz w:val="22"/>
          <w:szCs w:val="22"/>
        </w:rPr>
        <w:t xml:space="preserve"> </w:t>
      </w:r>
    </w:p>
    <w:p w14:paraId="128AF770"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Raimi, A., Adeleke, R., </w:t>
      </w:r>
      <w:proofErr w:type="spellStart"/>
      <w:r w:rsidRPr="00883CD5">
        <w:rPr>
          <w:rFonts w:ascii="Arial" w:hAnsi="Arial" w:cs="Arial"/>
          <w:sz w:val="22"/>
          <w:szCs w:val="22"/>
        </w:rPr>
        <w:t>Roopnarain</w:t>
      </w:r>
      <w:proofErr w:type="spellEnd"/>
      <w:r w:rsidRPr="00883CD5">
        <w:rPr>
          <w:rFonts w:ascii="Arial" w:hAnsi="Arial" w:cs="Arial"/>
          <w:sz w:val="22"/>
          <w:szCs w:val="22"/>
        </w:rPr>
        <w:t xml:space="preserve">, A., &amp; Moral, M. T. (2017). Soil fertility challenges and </w:t>
      </w:r>
      <w:proofErr w:type="spellStart"/>
      <w:r w:rsidRPr="00883CD5">
        <w:rPr>
          <w:rFonts w:ascii="Arial" w:hAnsi="Arial" w:cs="Arial"/>
          <w:sz w:val="22"/>
          <w:szCs w:val="22"/>
        </w:rPr>
        <w:t>Biofertiliser</w:t>
      </w:r>
      <w:proofErr w:type="spellEnd"/>
      <w:r w:rsidRPr="00883CD5">
        <w:rPr>
          <w:rFonts w:ascii="Arial" w:hAnsi="Arial" w:cs="Arial"/>
          <w:sz w:val="22"/>
          <w:szCs w:val="22"/>
        </w:rPr>
        <w:t xml:space="preserve"> as a viable alternative for increasing smallholder farmer crop productivity in sub-Saharan Africa. Cogent Food &amp; Agriculture, 3(1), 1400933. </w:t>
      </w:r>
      <w:hyperlink r:id="rId20" w:history="1">
        <w:r w:rsidRPr="009A3DC6">
          <w:rPr>
            <w:rStyle w:val="Hyperlink"/>
            <w:rFonts w:ascii="Arial" w:hAnsi="Arial" w:cs="Arial"/>
            <w:sz w:val="22"/>
            <w:szCs w:val="22"/>
          </w:rPr>
          <w:t>https://doi.org/10.1080/23311932.2017.1400933</w:t>
        </w:r>
      </w:hyperlink>
      <w:r>
        <w:rPr>
          <w:rFonts w:ascii="Arial" w:hAnsi="Arial" w:cs="Arial"/>
          <w:sz w:val="22"/>
          <w:szCs w:val="22"/>
        </w:rPr>
        <w:t xml:space="preserve"> </w:t>
      </w:r>
    </w:p>
    <w:p w14:paraId="7C878BB9" w14:textId="77777777" w:rsidR="00883CD5" w:rsidRDefault="00883CD5">
      <w:pPr>
        <w:spacing w:line="276" w:lineRule="auto"/>
        <w:ind w:left="720" w:hanging="720"/>
        <w:jc w:val="both"/>
        <w:rPr>
          <w:rFonts w:ascii="Arial" w:hAnsi="Arial" w:cs="Arial"/>
          <w:sz w:val="22"/>
          <w:szCs w:val="22"/>
        </w:rPr>
      </w:pPr>
      <w:proofErr w:type="spellStart"/>
      <w:r w:rsidRPr="00883CD5">
        <w:rPr>
          <w:rFonts w:ascii="Arial" w:hAnsi="Arial" w:cs="Arial"/>
          <w:sz w:val="22"/>
          <w:szCs w:val="22"/>
        </w:rPr>
        <w:t>Reckling</w:t>
      </w:r>
      <w:proofErr w:type="spellEnd"/>
      <w:r w:rsidRPr="00883CD5">
        <w:rPr>
          <w:rFonts w:ascii="Arial" w:hAnsi="Arial" w:cs="Arial"/>
          <w:sz w:val="22"/>
          <w:szCs w:val="22"/>
        </w:rPr>
        <w:t xml:space="preserve">, M., </w:t>
      </w:r>
      <w:proofErr w:type="spellStart"/>
      <w:r w:rsidRPr="00883CD5">
        <w:rPr>
          <w:rFonts w:ascii="Arial" w:hAnsi="Arial" w:cs="Arial"/>
          <w:sz w:val="22"/>
          <w:szCs w:val="22"/>
        </w:rPr>
        <w:t>Bergkvist</w:t>
      </w:r>
      <w:proofErr w:type="spellEnd"/>
      <w:r w:rsidRPr="00883CD5">
        <w:rPr>
          <w:rFonts w:ascii="Arial" w:hAnsi="Arial" w:cs="Arial"/>
          <w:sz w:val="22"/>
          <w:szCs w:val="22"/>
        </w:rPr>
        <w:t xml:space="preserve">, G., Watson, C. A., Stoddard, F. L., Zander, P. M., Walker, R. L., </w:t>
      </w:r>
      <w:proofErr w:type="spellStart"/>
      <w:r w:rsidRPr="00883CD5">
        <w:rPr>
          <w:rFonts w:ascii="Arial" w:hAnsi="Arial" w:cs="Arial"/>
          <w:sz w:val="22"/>
          <w:szCs w:val="22"/>
        </w:rPr>
        <w:t>Pristeri</w:t>
      </w:r>
      <w:proofErr w:type="spellEnd"/>
      <w:r w:rsidRPr="00883CD5">
        <w:rPr>
          <w:rFonts w:ascii="Arial" w:hAnsi="Arial" w:cs="Arial"/>
          <w:sz w:val="22"/>
          <w:szCs w:val="22"/>
        </w:rPr>
        <w:t xml:space="preserve">, A., </w:t>
      </w:r>
      <w:proofErr w:type="spellStart"/>
      <w:r w:rsidRPr="00883CD5">
        <w:rPr>
          <w:rFonts w:ascii="Arial" w:hAnsi="Arial" w:cs="Arial"/>
          <w:sz w:val="22"/>
          <w:szCs w:val="22"/>
        </w:rPr>
        <w:t>Toncea</w:t>
      </w:r>
      <w:proofErr w:type="spellEnd"/>
      <w:r w:rsidRPr="00883CD5">
        <w:rPr>
          <w:rFonts w:ascii="Arial" w:hAnsi="Arial" w:cs="Arial"/>
          <w:sz w:val="22"/>
          <w:szCs w:val="22"/>
        </w:rPr>
        <w:t xml:space="preserve">, I., &amp; Bachinger, J. (2016). Trade-Offs between Economic and Environmental Impacts of Introducing Legumes into Cropping Systems. Frontiers in Plant Science, 7, 669. </w:t>
      </w:r>
      <w:hyperlink r:id="rId21" w:history="1">
        <w:r w:rsidRPr="009A3DC6">
          <w:rPr>
            <w:rStyle w:val="Hyperlink"/>
            <w:rFonts w:ascii="Arial" w:hAnsi="Arial" w:cs="Arial"/>
            <w:sz w:val="22"/>
            <w:szCs w:val="22"/>
          </w:rPr>
          <w:t>https://doi.org/10.3389/fpls.2016.00669</w:t>
        </w:r>
      </w:hyperlink>
      <w:r>
        <w:rPr>
          <w:rFonts w:ascii="Arial" w:hAnsi="Arial" w:cs="Arial"/>
          <w:sz w:val="22"/>
          <w:szCs w:val="22"/>
        </w:rPr>
        <w:t xml:space="preserve"> </w:t>
      </w:r>
    </w:p>
    <w:p w14:paraId="1FD8A6EB"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Sajid, M., </w:t>
      </w:r>
      <w:proofErr w:type="spellStart"/>
      <w:r w:rsidRPr="00883CD5">
        <w:rPr>
          <w:rFonts w:ascii="Arial" w:hAnsi="Arial" w:cs="Arial"/>
          <w:sz w:val="22"/>
          <w:szCs w:val="22"/>
        </w:rPr>
        <w:t>Rab</w:t>
      </w:r>
      <w:proofErr w:type="spellEnd"/>
      <w:r w:rsidRPr="00883CD5">
        <w:rPr>
          <w:rFonts w:ascii="Arial" w:hAnsi="Arial" w:cs="Arial"/>
          <w:sz w:val="22"/>
          <w:szCs w:val="22"/>
        </w:rPr>
        <w:t>, A., Wahid, F., Shah, S. N. M., Jan, I., Khan, M. A., Hussain, S. A., Khan, M. A., &amp; Iqbal, Z. (2011). Influence of Rhizobium Inoculation on Growth and Yield of Groundnut Cultivars. *</w:t>
      </w:r>
      <w:proofErr w:type="spellStart"/>
      <w:r w:rsidRPr="00883CD5">
        <w:rPr>
          <w:rFonts w:ascii="Arial" w:hAnsi="Arial" w:cs="Arial"/>
          <w:sz w:val="22"/>
          <w:szCs w:val="22"/>
        </w:rPr>
        <w:t>Sarhad</w:t>
      </w:r>
      <w:proofErr w:type="spellEnd"/>
      <w:r w:rsidRPr="00883CD5">
        <w:rPr>
          <w:rFonts w:ascii="Arial" w:hAnsi="Arial" w:cs="Arial"/>
          <w:sz w:val="22"/>
          <w:szCs w:val="22"/>
        </w:rPr>
        <w:t xml:space="preserve"> Journal of Agriculture*, *27*(4), 573–576.</w:t>
      </w:r>
      <w:r>
        <w:rPr>
          <w:rFonts w:ascii="Arial" w:hAnsi="Arial" w:cs="Arial"/>
          <w:sz w:val="22"/>
          <w:szCs w:val="22"/>
        </w:rPr>
        <w:t xml:space="preserve"> </w:t>
      </w:r>
    </w:p>
    <w:p w14:paraId="29823D36"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Sandhu, H. (2021). Bottom-Up Transformation of Agriculture and Food Systems. Sustainability. </w:t>
      </w:r>
      <w:hyperlink r:id="rId22" w:history="1">
        <w:r w:rsidRPr="009A3DC6">
          <w:rPr>
            <w:rStyle w:val="Hyperlink"/>
            <w:rFonts w:ascii="Arial" w:hAnsi="Arial" w:cs="Arial"/>
            <w:sz w:val="22"/>
            <w:szCs w:val="22"/>
          </w:rPr>
          <w:t>https://doi.org/10.3390/su13042171</w:t>
        </w:r>
      </w:hyperlink>
      <w:r>
        <w:rPr>
          <w:rFonts w:ascii="Arial" w:hAnsi="Arial" w:cs="Arial"/>
          <w:sz w:val="22"/>
          <w:szCs w:val="22"/>
        </w:rPr>
        <w:t xml:space="preserve"> </w:t>
      </w:r>
    </w:p>
    <w:p w14:paraId="74E58308" w14:textId="6072A71F" w:rsidR="0055378D" w:rsidRDefault="00883CD5">
      <w:pPr>
        <w:spacing w:line="276" w:lineRule="auto"/>
        <w:ind w:left="720" w:hanging="720"/>
        <w:jc w:val="both"/>
        <w:rPr>
          <w:rFonts w:ascii="Arial" w:hAnsi="Arial" w:cs="Arial"/>
          <w:sz w:val="22"/>
          <w:szCs w:val="22"/>
        </w:rPr>
      </w:pPr>
      <w:r>
        <w:rPr>
          <w:rFonts w:ascii="Arial" w:hAnsi="Arial" w:cs="Arial"/>
          <w:sz w:val="22"/>
          <w:szCs w:val="22"/>
        </w:rPr>
        <w:lastRenderedPageBreak/>
        <w:t xml:space="preserve">Shalhevet, J., Reiniger P., and </w:t>
      </w:r>
      <w:proofErr w:type="spellStart"/>
      <w:r>
        <w:rPr>
          <w:rFonts w:ascii="Arial" w:hAnsi="Arial" w:cs="Arial"/>
          <w:sz w:val="22"/>
          <w:szCs w:val="22"/>
        </w:rPr>
        <w:t>Shimsi</w:t>
      </w:r>
      <w:proofErr w:type="spellEnd"/>
      <w:r>
        <w:rPr>
          <w:rFonts w:ascii="Arial" w:hAnsi="Arial" w:cs="Arial"/>
          <w:sz w:val="22"/>
          <w:szCs w:val="22"/>
        </w:rPr>
        <w:t xml:space="preserve"> D. (1969). Peanut response to uniform and non-uniform soil salinity. Agronomy Journal, 61:384-387.</w:t>
      </w:r>
    </w:p>
    <w:p w14:paraId="3B8C56A3"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Sharma, R., Dahiya, A., &amp; Sindhu, S. S. (2018). Harnessing proficient Rhizobacteria to minimize the use of agrochemicals. International Journal of Current Microbiology and Applied Sciences, 7(10), 3186–3197. </w:t>
      </w:r>
      <w:hyperlink r:id="rId23" w:history="1">
        <w:r w:rsidRPr="009A3DC6">
          <w:rPr>
            <w:rStyle w:val="Hyperlink"/>
            <w:rFonts w:ascii="Arial" w:hAnsi="Arial" w:cs="Arial"/>
            <w:sz w:val="22"/>
            <w:szCs w:val="22"/>
          </w:rPr>
          <w:t>https://doi.org/10.20546/ijcmas.2018.710.369</w:t>
        </w:r>
      </w:hyperlink>
      <w:r>
        <w:rPr>
          <w:rFonts w:ascii="Arial" w:hAnsi="Arial" w:cs="Arial"/>
          <w:sz w:val="22"/>
          <w:szCs w:val="22"/>
        </w:rPr>
        <w:t xml:space="preserve"> </w:t>
      </w:r>
    </w:p>
    <w:p w14:paraId="61C000F2" w14:textId="77777777" w:rsidR="00883CD5" w:rsidRDefault="00883CD5">
      <w:pPr>
        <w:spacing w:line="276" w:lineRule="auto"/>
        <w:ind w:left="720" w:hanging="720"/>
        <w:jc w:val="both"/>
        <w:rPr>
          <w:rFonts w:ascii="Arial" w:hAnsi="Arial" w:cs="Arial"/>
          <w:sz w:val="22"/>
          <w:szCs w:val="22"/>
        </w:rPr>
      </w:pPr>
      <w:proofErr w:type="spellStart"/>
      <w:r w:rsidRPr="00883CD5">
        <w:rPr>
          <w:rFonts w:ascii="Arial" w:hAnsi="Arial" w:cs="Arial"/>
          <w:sz w:val="22"/>
          <w:szCs w:val="22"/>
        </w:rPr>
        <w:t>Sijilmassi</w:t>
      </w:r>
      <w:proofErr w:type="spellEnd"/>
      <w:r w:rsidRPr="00883CD5">
        <w:rPr>
          <w:rFonts w:ascii="Arial" w:hAnsi="Arial" w:cs="Arial"/>
          <w:sz w:val="22"/>
          <w:szCs w:val="22"/>
        </w:rPr>
        <w:t xml:space="preserve">, B., </w:t>
      </w:r>
      <w:proofErr w:type="spellStart"/>
      <w:r w:rsidRPr="00883CD5">
        <w:rPr>
          <w:rFonts w:ascii="Arial" w:hAnsi="Arial" w:cs="Arial"/>
          <w:sz w:val="22"/>
          <w:szCs w:val="22"/>
        </w:rPr>
        <w:t>Filali-Maltouf</w:t>
      </w:r>
      <w:proofErr w:type="spellEnd"/>
      <w:r w:rsidRPr="00883CD5">
        <w:rPr>
          <w:rFonts w:ascii="Arial" w:hAnsi="Arial" w:cs="Arial"/>
          <w:sz w:val="22"/>
          <w:szCs w:val="22"/>
        </w:rPr>
        <w:t xml:space="preserve">, A., </w:t>
      </w:r>
      <w:proofErr w:type="spellStart"/>
      <w:r w:rsidRPr="00883CD5">
        <w:rPr>
          <w:rFonts w:ascii="Arial" w:hAnsi="Arial" w:cs="Arial"/>
          <w:sz w:val="22"/>
          <w:szCs w:val="22"/>
        </w:rPr>
        <w:t>Fahde</w:t>
      </w:r>
      <w:proofErr w:type="spellEnd"/>
      <w:r w:rsidRPr="00883CD5">
        <w:rPr>
          <w:rFonts w:ascii="Arial" w:hAnsi="Arial" w:cs="Arial"/>
          <w:sz w:val="22"/>
          <w:szCs w:val="22"/>
        </w:rPr>
        <w:t xml:space="preserve">, S., </w:t>
      </w:r>
      <w:proofErr w:type="spellStart"/>
      <w:r w:rsidRPr="00883CD5">
        <w:rPr>
          <w:rFonts w:ascii="Arial" w:hAnsi="Arial" w:cs="Arial"/>
          <w:sz w:val="22"/>
          <w:szCs w:val="22"/>
        </w:rPr>
        <w:t>Ennahli</w:t>
      </w:r>
      <w:proofErr w:type="spellEnd"/>
      <w:r w:rsidRPr="00883CD5">
        <w:rPr>
          <w:rFonts w:ascii="Arial" w:hAnsi="Arial" w:cs="Arial"/>
          <w:sz w:val="22"/>
          <w:szCs w:val="22"/>
        </w:rPr>
        <w:t xml:space="preserve">, Y., </w:t>
      </w:r>
      <w:proofErr w:type="spellStart"/>
      <w:r w:rsidRPr="00883CD5">
        <w:rPr>
          <w:rFonts w:ascii="Arial" w:hAnsi="Arial" w:cs="Arial"/>
          <w:sz w:val="22"/>
          <w:szCs w:val="22"/>
        </w:rPr>
        <w:t>Boughribil</w:t>
      </w:r>
      <w:proofErr w:type="spellEnd"/>
      <w:r w:rsidRPr="00883CD5">
        <w:rPr>
          <w:rFonts w:ascii="Arial" w:hAnsi="Arial" w:cs="Arial"/>
          <w:sz w:val="22"/>
          <w:szCs w:val="22"/>
        </w:rPr>
        <w:t xml:space="preserve">, S., Kumar, S., &amp; </w:t>
      </w:r>
      <w:proofErr w:type="spellStart"/>
      <w:r w:rsidRPr="00883CD5">
        <w:rPr>
          <w:rFonts w:ascii="Arial" w:hAnsi="Arial" w:cs="Arial"/>
          <w:sz w:val="22"/>
          <w:szCs w:val="22"/>
        </w:rPr>
        <w:t>Amri</w:t>
      </w:r>
      <w:proofErr w:type="spellEnd"/>
      <w:r w:rsidRPr="00883CD5">
        <w:rPr>
          <w:rFonts w:ascii="Arial" w:hAnsi="Arial" w:cs="Arial"/>
          <w:sz w:val="22"/>
          <w:szCs w:val="22"/>
        </w:rPr>
        <w:t xml:space="preserve">, A. (2020). In-Vitro Plant Growth Promotion of Rhizobium Strains Isolated from Lentil Root Nodules under Abiotic Stresses. Agronomy, 10(7), 1006. </w:t>
      </w:r>
      <w:hyperlink r:id="rId24" w:history="1">
        <w:r w:rsidRPr="009A3DC6">
          <w:rPr>
            <w:rStyle w:val="Hyperlink"/>
            <w:rFonts w:ascii="Arial" w:hAnsi="Arial" w:cs="Arial"/>
            <w:sz w:val="22"/>
            <w:szCs w:val="22"/>
          </w:rPr>
          <w:t>https://doi.org/10.3390/agronomy10071006</w:t>
        </w:r>
      </w:hyperlink>
      <w:r>
        <w:rPr>
          <w:rFonts w:ascii="Arial" w:hAnsi="Arial" w:cs="Arial"/>
          <w:sz w:val="22"/>
          <w:szCs w:val="22"/>
        </w:rPr>
        <w:t xml:space="preserve"> </w:t>
      </w:r>
    </w:p>
    <w:p w14:paraId="692C2774" w14:textId="1A419A0F" w:rsidR="0055378D" w:rsidRDefault="00883CD5">
      <w:pPr>
        <w:spacing w:line="276" w:lineRule="auto"/>
        <w:ind w:left="720" w:hanging="720"/>
        <w:jc w:val="both"/>
        <w:rPr>
          <w:rFonts w:ascii="Arial" w:hAnsi="Arial" w:cs="Arial"/>
          <w:sz w:val="22"/>
          <w:szCs w:val="22"/>
        </w:rPr>
      </w:pPr>
      <w:r>
        <w:rPr>
          <w:rFonts w:ascii="Arial" w:hAnsi="Arial" w:cs="Arial"/>
          <w:sz w:val="22"/>
          <w:szCs w:val="22"/>
        </w:rPr>
        <w:t>SRDI. (2003). Soil salinity in Bangladesh 2000. Soil Resource Development Institute, Ministry of Agriculture, Dhaka-1215. pp. 90-91.</w:t>
      </w:r>
    </w:p>
    <w:p w14:paraId="4C850B9D"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Tester, M., &amp; Davenport, R. (2003). Na+ tolerance and Na+ transport in higher plants. Annals of Botany, 91(5), 503-527. </w:t>
      </w:r>
      <w:hyperlink r:id="rId25" w:history="1">
        <w:r w:rsidRPr="009A3DC6">
          <w:rPr>
            <w:rStyle w:val="Hyperlink"/>
            <w:rFonts w:ascii="Arial" w:hAnsi="Arial" w:cs="Arial"/>
            <w:sz w:val="22"/>
            <w:szCs w:val="22"/>
          </w:rPr>
          <w:t>https://doi.org/10.1093/aob/mcg058</w:t>
        </w:r>
      </w:hyperlink>
      <w:r>
        <w:rPr>
          <w:rFonts w:ascii="Arial" w:hAnsi="Arial" w:cs="Arial"/>
          <w:sz w:val="22"/>
          <w:szCs w:val="22"/>
        </w:rPr>
        <w:t xml:space="preserve"> </w:t>
      </w:r>
    </w:p>
    <w:p w14:paraId="021C10FA"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Verma, K. K., Song, X., Li, D., Singh, M., Wu, J., Singh, R. K., Sharma, A., Zhang, B., &amp; Li, Y. (2022). Silicon and soil microorganisms improve </w:t>
      </w:r>
      <w:proofErr w:type="spellStart"/>
      <w:r w:rsidRPr="00883CD5">
        <w:rPr>
          <w:rFonts w:ascii="Arial" w:hAnsi="Arial" w:cs="Arial"/>
          <w:sz w:val="22"/>
          <w:szCs w:val="22"/>
        </w:rPr>
        <w:t>rhizospheric</w:t>
      </w:r>
      <w:proofErr w:type="spellEnd"/>
      <w:r w:rsidRPr="00883CD5">
        <w:rPr>
          <w:rFonts w:ascii="Arial" w:hAnsi="Arial" w:cs="Arial"/>
          <w:sz w:val="22"/>
          <w:szCs w:val="22"/>
        </w:rPr>
        <w:t xml:space="preserve"> soil health with bacterial community, plant growth, performance and yield. Plant Signaling &amp; Behavior, 17(1), 2104004. </w:t>
      </w:r>
      <w:hyperlink r:id="rId26" w:history="1">
        <w:r w:rsidRPr="009A3DC6">
          <w:rPr>
            <w:rStyle w:val="Hyperlink"/>
            <w:rFonts w:ascii="Arial" w:hAnsi="Arial" w:cs="Arial"/>
            <w:sz w:val="22"/>
            <w:szCs w:val="22"/>
          </w:rPr>
          <w:t>https://doi.org/10.1080/15592324.2022.2104004</w:t>
        </w:r>
      </w:hyperlink>
      <w:r>
        <w:rPr>
          <w:rFonts w:ascii="Arial" w:hAnsi="Arial" w:cs="Arial"/>
          <w:sz w:val="22"/>
          <w:szCs w:val="22"/>
        </w:rPr>
        <w:t xml:space="preserve"> </w:t>
      </w:r>
    </w:p>
    <w:p w14:paraId="28DA878E" w14:textId="4236CBA7" w:rsidR="0055378D" w:rsidRDefault="00883CD5">
      <w:pPr>
        <w:rPr>
          <w:rFonts w:ascii="Arial" w:hAnsi="Arial" w:cs="Arial"/>
          <w:sz w:val="22"/>
          <w:szCs w:val="22"/>
        </w:rPr>
      </w:pPr>
      <w:r w:rsidRPr="00883CD5">
        <w:rPr>
          <w:rFonts w:ascii="Arial" w:hAnsi="Arial" w:cs="Arial"/>
          <w:sz w:val="22"/>
          <w:szCs w:val="22"/>
        </w:rPr>
        <w:t xml:space="preserve">Zambrano-Mendoza, J. L., </w:t>
      </w:r>
      <w:proofErr w:type="spellStart"/>
      <w:r w:rsidRPr="00883CD5">
        <w:rPr>
          <w:rFonts w:ascii="Arial" w:hAnsi="Arial" w:cs="Arial"/>
          <w:sz w:val="22"/>
          <w:szCs w:val="22"/>
        </w:rPr>
        <w:t>Caiza</w:t>
      </w:r>
      <w:proofErr w:type="spellEnd"/>
      <w:r w:rsidRPr="00883CD5">
        <w:rPr>
          <w:rFonts w:ascii="Arial" w:hAnsi="Arial" w:cs="Arial"/>
          <w:sz w:val="22"/>
          <w:szCs w:val="22"/>
        </w:rPr>
        <w:t xml:space="preserve">, C. A. S., </w:t>
      </w:r>
      <w:proofErr w:type="spellStart"/>
      <w:r w:rsidRPr="00883CD5">
        <w:rPr>
          <w:rFonts w:ascii="Arial" w:hAnsi="Arial" w:cs="Arial"/>
          <w:sz w:val="22"/>
          <w:szCs w:val="22"/>
        </w:rPr>
        <w:t>Campaña</w:t>
      </w:r>
      <w:proofErr w:type="spellEnd"/>
      <w:r w:rsidRPr="00883CD5">
        <w:rPr>
          <w:rFonts w:ascii="Arial" w:hAnsi="Arial" w:cs="Arial"/>
          <w:sz w:val="22"/>
          <w:szCs w:val="22"/>
        </w:rPr>
        <w:t xml:space="preserve">-Cruz, D. F., &amp; </w:t>
      </w:r>
      <w:proofErr w:type="spellStart"/>
      <w:r w:rsidRPr="00883CD5">
        <w:rPr>
          <w:rFonts w:ascii="Arial" w:hAnsi="Arial" w:cs="Arial"/>
          <w:sz w:val="22"/>
          <w:szCs w:val="22"/>
        </w:rPr>
        <w:t>Yánez</w:t>
      </w:r>
      <w:proofErr w:type="spellEnd"/>
      <w:r w:rsidRPr="00883CD5">
        <w:rPr>
          <w:rFonts w:ascii="Arial" w:hAnsi="Arial" w:cs="Arial"/>
          <w:sz w:val="22"/>
          <w:szCs w:val="22"/>
        </w:rPr>
        <w:t xml:space="preserve">-Guzmán, C. F. (2021). Use of biofertilizers in agricultural production. </w:t>
      </w:r>
      <w:proofErr w:type="spellStart"/>
      <w:r w:rsidRPr="00883CD5">
        <w:rPr>
          <w:rFonts w:ascii="Arial" w:hAnsi="Arial" w:cs="Arial"/>
          <w:sz w:val="22"/>
          <w:szCs w:val="22"/>
        </w:rPr>
        <w:t>IntechOpen</w:t>
      </w:r>
      <w:proofErr w:type="spellEnd"/>
      <w:r w:rsidRPr="00883CD5">
        <w:rPr>
          <w:rFonts w:ascii="Arial" w:hAnsi="Arial" w:cs="Arial"/>
          <w:sz w:val="22"/>
          <w:szCs w:val="22"/>
        </w:rPr>
        <w:t xml:space="preserve">. </w:t>
      </w:r>
      <w:hyperlink r:id="rId27" w:history="1">
        <w:r w:rsidRPr="009A3DC6">
          <w:rPr>
            <w:rStyle w:val="Hyperlink"/>
            <w:rFonts w:ascii="Arial" w:hAnsi="Arial" w:cs="Arial"/>
            <w:sz w:val="22"/>
            <w:szCs w:val="22"/>
          </w:rPr>
          <w:t>https://doi.org/10.5772/intechopen.98264</w:t>
        </w:r>
      </w:hyperlink>
      <w:r>
        <w:rPr>
          <w:rFonts w:ascii="Arial" w:hAnsi="Arial" w:cs="Arial"/>
          <w:sz w:val="22"/>
          <w:szCs w:val="22"/>
        </w:rPr>
        <w:t xml:space="preserve"> </w:t>
      </w:r>
    </w:p>
    <w:p w14:paraId="4B2F941E" w14:textId="77777777" w:rsidR="00883CD5" w:rsidRDefault="00883CD5">
      <w:pPr>
        <w:rPr>
          <w:rFonts w:ascii="Arial" w:hAnsi="Arial" w:cs="Arial"/>
          <w:sz w:val="22"/>
          <w:szCs w:val="22"/>
        </w:rPr>
      </w:pPr>
    </w:p>
    <w:sectPr w:rsidR="00883CD5">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11A73" w14:textId="77777777" w:rsidR="005506E6" w:rsidRDefault="005506E6" w:rsidP="005573A3">
      <w:r>
        <w:separator/>
      </w:r>
    </w:p>
  </w:endnote>
  <w:endnote w:type="continuationSeparator" w:id="0">
    <w:p w14:paraId="6654EE8A" w14:textId="77777777" w:rsidR="005506E6" w:rsidRDefault="005506E6" w:rsidP="0055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4A3D6" w14:textId="77777777" w:rsidR="005573A3" w:rsidRDefault="0055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7ED2" w14:textId="77777777" w:rsidR="005573A3" w:rsidRDefault="00557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A0A18" w14:textId="77777777" w:rsidR="005573A3" w:rsidRDefault="00557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99EDE" w14:textId="77777777" w:rsidR="005506E6" w:rsidRDefault="005506E6" w:rsidP="005573A3">
      <w:r>
        <w:separator/>
      </w:r>
    </w:p>
  </w:footnote>
  <w:footnote w:type="continuationSeparator" w:id="0">
    <w:p w14:paraId="405D40D3" w14:textId="77777777" w:rsidR="005506E6" w:rsidRDefault="005506E6" w:rsidP="0055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4789" w14:textId="772C4F38" w:rsidR="005573A3" w:rsidRDefault="005573A3">
    <w:pPr>
      <w:pStyle w:val="Header"/>
    </w:pPr>
    <w:r>
      <w:rPr>
        <w:noProof/>
      </w:rPr>
      <w:pict w14:anchorId="3F3BE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041688"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31A2" w14:textId="2A1321AB" w:rsidR="005573A3" w:rsidRDefault="005573A3">
    <w:pPr>
      <w:pStyle w:val="Header"/>
    </w:pPr>
    <w:r>
      <w:rPr>
        <w:noProof/>
      </w:rPr>
      <w:pict w14:anchorId="30398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041689"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3438" w14:textId="3336D50A" w:rsidR="005573A3" w:rsidRDefault="005573A3">
    <w:pPr>
      <w:pStyle w:val="Header"/>
    </w:pPr>
    <w:r>
      <w:rPr>
        <w:noProof/>
      </w:rPr>
      <w:pict w14:anchorId="0EAD8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041687"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08"/>
    <w:rsid w:val="00010866"/>
    <w:rsid w:val="000A47A1"/>
    <w:rsid w:val="001650DF"/>
    <w:rsid w:val="00223DDC"/>
    <w:rsid w:val="00273FE7"/>
    <w:rsid w:val="00311FBA"/>
    <w:rsid w:val="005506E6"/>
    <w:rsid w:val="0055378D"/>
    <w:rsid w:val="005573A3"/>
    <w:rsid w:val="006033DE"/>
    <w:rsid w:val="006A10E4"/>
    <w:rsid w:val="006F3608"/>
    <w:rsid w:val="00741BB8"/>
    <w:rsid w:val="008332A7"/>
    <w:rsid w:val="00883CD5"/>
    <w:rsid w:val="00884E80"/>
    <w:rsid w:val="009E1CA3"/>
    <w:rsid w:val="00A83820"/>
    <w:rsid w:val="00AF37E6"/>
    <w:rsid w:val="00BB3A24"/>
    <w:rsid w:val="00D26CF0"/>
    <w:rsid w:val="00E664B0"/>
    <w:rsid w:val="00EB1355"/>
    <w:rsid w:val="00ED06EC"/>
    <w:rsid w:val="00ED7BB8"/>
    <w:rsid w:val="00FF072D"/>
    <w:rsid w:val="20AD56E2"/>
    <w:rsid w:val="43C321D0"/>
    <w:rsid w:val="6C17187B"/>
    <w:rsid w:val="716812E5"/>
    <w:rsid w:val="799952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51CAE1"/>
  <w15:docId w15:val="{D685A732-934F-4C61-B712-30723CE5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customStyle="1" w:styleId="Body">
    <w:name w:val="Body"/>
    <w:basedOn w:val="Normal"/>
    <w:pPr>
      <w:spacing w:after="240"/>
      <w:jc w:val="both"/>
    </w:pPr>
    <w:rPr>
      <w:rFonts w:ascii="Helvetica" w:hAnsi="Helvetica"/>
      <w:sz w:val="20"/>
      <w:szCs w:val="20"/>
    </w:rPr>
  </w:style>
  <w:style w:type="paragraph" w:customStyle="1" w:styleId="AcknHead">
    <w:name w:val="Ackn Head"/>
    <w:basedOn w:val="Normal"/>
    <w:pPr>
      <w:keepNext/>
      <w:spacing w:after="240"/>
    </w:pPr>
    <w:rPr>
      <w:rFonts w:ascii="Helvetica" w:hAnsi="Helvetica"/>
      <w:b/>
      <w:caps/>
      <w:sz w:val="22"/>
      <w:szCs w:val="20"/>
    </w:rPr>
  </w:style>
  <w:style w:type="paragraph" w:customStyle="1" w:styleId="ReferHead">
    <w:name w:val="Refer Head"/>
    <w:basedOn w:val="Normal"/>
    <w:qFormat/>
    <w:pPr>
      <w:keepNext/>
      <w:spacing w:after="240"/>
    </w:pPr>
    <w:rPr>
      <w:rFonts w:ascii="Helvetica" w:hAnsi="Helvetica"/>
      <w:b/>
      <w:caps/>
      <w:sz w:val="22"/>
      <w:szCs w:val="20"/>
    </w:rPr>
  </w:style>
  <w:style w:type="table" w:styleId="TableGrid">
    <w:name w:val="Table Grid"/>
    <w:basedOn w:val="TableNormal"/>
    <w:uiPriority w:val="39"/>
    <w:qFormat/>
    <w:rsid w:val="0074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3CD5"/>
    <w:rPr>
      <w:color w:val="605E5C"/>
      <w:shd w:val="clear" w:color="auto" w:fill="E1DFDD"/>
    </w:rPr>
  </w:style>
  <w:style w:type="paragraph" w:styleId="Header">
    <w:name w:val="header"/>
    <w:basedOn w:val="Normal"/>
    <w:link w:val="HeaderChar"/>
    <w:rsid w:val="005573A3"/>
    <w:pPr>
      <w:tabs>
        <w:tab w:val="center" w:pos="4680"/>
        <w:tab w:val="right" w:pos="9360"/>
      </w:tabs>
    </w:pPr>
  </w:style>
  <w:style w:type="character" w:customStyle="1" w:styleId="HeaderChar">
    <w:name w:val="Header Char"/>
    <w:basedOn w:val="DefaultParagraphFont"/>
    <w:link w:val="Header"/>
    <w:rsid w:val="005573A3"/>
    <w:rPr>
      <w:rFonts w:eastAsia="Times New Roman"/>
      <w:sz w:val="24"/>
      <w:szCs w:val="24"/>
      <w:lang w:val="en-US" w:eastAsia="en-US"/>
    </w:rPr>
  </w:style>
  <w:style w:type="paragraph" w:styleId="Footer">
    <w:name w:val="footer"/>
    <w:basedOn w:val="Normal"/>
    <w:link w:val="FooterChar"/>
    <w:rsid w:val="005573A3"/>
    <w:pPr>
      <w:tabs>
        <w:tab w:val="center" w:pos="4680"/>
        <w:tab w:val="right" w:pos="9360"/>
      </w:tabs>
    </w:pPr>
  </w:style>
  <w:style w:type="character" w:customStyle="1" w:styleId="FooterChar">
    <w:name w:val="Footer Char"/>
    <w:basedOn w:val="DefaultParagraphFont"/>
    <w:link w:val="Footer"/>
    <w:rsid w:val="005573A3"/>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20546/ijcmas.2018.703.327" TargetMode="External"/><Relationship Id="rId18" Type="http://schemas.openxmlformats.org/officeDocument/2006/relationships/hyperlink" Target="https://doi.org/10.4236/ajps.2020.116055" TargetMode="External"/><Relationship Id="rId26" Type="http://schemas.openxmlformats.org/officeDocument/2006/relationships/hyperlink" Target="https://doi.org/10.1080/15592324.2022.2104004" TargetMode="External"/><Relationship Id="rId3" Type="http://schemas.openxmlformats.org/officeDocument/2006/relationships/webSettings" Target="webSettings.xml"/><Relationship Id="rId21" Type="http://schemas.openxmlformats.org/officeDocument/2006/relationships/hyperlink" Target="https://doi.org/10.3389/fpls.2016.00669"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doi.org/10.1146/annurev.arplant.51.1.463" TargetMode="External"/><Relationship Id="rId17" Type="http://schemas.openxmlformats.org/officeDocument/2006/relationships/hyperlink" Target="https://doi.org/10.1007/978-3-030-18933-4_11" TargetMode="External"/><Relationship Id="rId25" Type="http://schemas.openxmlformats.org/officeDocument/2006/relationships/hyperlink" Target="https://doi.org/10.1093/aob/mcg058"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20546/ijcmas.2018.709.286" TargetMode="External"/><Relationship Id="rId20" Type="http://schemas.openxmlformats.org/officeDocument/2006/relationships/hyperlink" Target="https://doi.org/10.1080/23311932.2017.1400933"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07/s42398-018-0010-6" TargetMode="External"/><Relationship Id="rId24" Type="http://schemas.openxmlformats.org/officeDocument/2006/relationships/hyperlink" Target="https://doi.org/10.3390/agronomy10071006"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3389/fmicb.2018.02105" TargetMode="External"/><Relationship Id="rId23" Type="http://schemas.openxmlformats.org/officeDocument/2006/relationships/hyperlink" Target="https://doi.org/10.20546/ijcmas.2018.710.369" TargetMode="External"/><Relationship Id="rId28" Type="http://schemas.openxmlformats.org/officeDocument/2006/relationships/header" Target="header1.xml"/><Relationship Id="rId10" Type="http://schemas.openxmlformats.org/officeDocument/2006/relationships/hyperlink" Target="https://doi.org/10.1155/2020/8691757" TargetMode="External"/><Relationship Id="rId19" Type="http://schemas.openxmlformats.org/officeDocument/2006/relationships/hyperlink" Target="https://doi.org/10.18502/ijm.v13i1.5504"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186/s40068-017-0100-y" TargetMode="External"/><Relationship Id="rId14" Type="http://schemas.openxmlformats.org/officeDocument/2006/relationships/hyperlink" Target="https://doi.org/10.5772/intechopen.73495" TargetMode="External"/><Relationship Id="rId22" Type="http://schemas.openxmlformats.org/officeDocument/2006/relationships/hyperlink" Target="https://doi.org/10.3390/su13042171" TargetMode="External"/><Relationship Id="rId27" Type="http://schemas.openxmlformats.org/officeDocument/2006/relationships/hyperlink" Target="https://doi.org/10.5772/intechopen.98264"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16/j.micres.2018.10.01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4150</Words>
  <Characters>23660</Characters>
  <Application>Microsoft Office Word</Application>
  <DocSecurity>0</DocSecurity>
  <Lines>197</Lines>
  <Paragraphs>55</Paragraphs>
  <ScaleCrop>false</ScaleCrop>
  <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9</cp:revision>
  <dcterms:created xsi:type="dcterms:W3CDTF">2025-12-29T03:51:00Z</dcterms:created>
  <dcterms:modified xsi:type="dcterms:W3CDTF">2025-12-30T09:23:00Z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EC5810B9F1464FD286F32B8478176083_12</vt:lpwstr>
  </property>
</Properties>
</file>