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64B81" w14:textId="402B4EFB" w:rsidR="00F45C8E" w:rsidRDefault="00F45C8E" w:rsidP="008F46CB">
      <w:pPr>
        <w:jc w:val="both"/>
        <w:rPr>
          <w:rFonts w:ascii="Arial Narrow" w:hAnsi="Arial Narrow"/>
          <w:b/>
          <w:bCs/>
          <w:sz w:val="24"/>
          <w:szCs w:val="24"/>
          <w:lang w:val="en-US"/>
        </w:rPr>
      </w:pPr>
      <w:r w:rsidRPr="00D57A9B">
        <w:rPr>
          <w:rFonts w:ascii="Arial" w:hAnsi="Arial" w:cs="Arial"/>
        </w:rPr>
        <w:t xml:space="preserve">Original </w:t>
      </w:r>
      <w:proofErr w:type="spellStart"/>
      <w:r w:rsidRPr="00D57A9B">
        <w:rPr>
          <w:rFonts w:ascii="Arial" w:hAnsi="Arial" w:cs="Arial"/>
        </w:rPr>
        <w:t>Research</w:t>
      </w:r>
      <w:proofErr w:type="spellEnd"/>
      <w:r w:rsidRPr="00D57A9B">
        <w:rPr>
          <w:rFonts w:ascii="Arial" w:hAnsi="Arial" w:cs="Arial"/>
        </w:rPr>
        <w:t xml:space="preserve"> Article</w:t>
      </w:r>
    </w:p>
    <w:p w14:paraId="58676400" w14:textId="0C9340B6" w:rsidR="008F46CB" w:rsidRPr="00DB4CD8" w:rsidRDefault="008F46CB" w:rsidP="008F46CB">
      <w:pPr>
        <w:jc w:val="both"/>
        <w:rPr>
          <w:rFonts w:ascii="Arial Narrow" w:hAnsi="Arial Narrow"/>
          <w:sz w:val="24"/>
          <w:szCs w:val="24"/>
          <w:lang w:val="en-US"/>
        </w:rPr>
      </w:pPr>
      <w:r w:rsidRPr="00DB4CD8">
        <w:rPr>
          <w:rFonts w:ascii="Arial Narrow" w:hAnsi="Arial Narrow"/>
          <w:b/>
          <w:bCs/>
          <w:sz w:val="24"/>
          <w:szCs w:val="24"/>
          <w:lang w:val="en-US"/>
        </w:rPr>
        <w:t xml:space="preserve">Epidemiological and Etiological Profile of Gastric </w:t>
      </w:r>
      <w:bookmarkStart w:id="0" w:name="_Hlk223602785"/>
      <w:r w:rsidRPr="00DB4CD8">
        <w:rPr>
          <w:rFonts w:ascii="Arial Narrow" w:hAnsi="Arial Narrow"/>
          <w:b/>
          <w:bCs/>
          <w:sz w:val="24"/>
          <w:szCs w:val="24"/>
          <w:lang w:val="en-US"/>
        </w:rPr>
        <w:t xml:space="preserve">Cancers </w:t>
      </w:r>
      <w:bookmarkEnd w:id="0"/>
      <w:r w:rsidRPr="00DB4CD8">
        <w:rPr>
          <w:rFonts w:ascii="Arial Narrow" w:hAnsi="Arial Narrow"/>
          <w:b/>
          <w:bCs/>
          <w:sz w:val="24"/>
          <w:szCs w:val="24"/>
          <w:lang w:val="en-US"/>
        </w:rPr>
        <w:t xml:space="preserve">in Young Patients in the Hepato-Gastroenterology Department of </w:t>
      </w:r>
      <w:proofErr w:type="gramStart"/>
      <w:r w:rsidRPr="00DB4CD8">
        <w:rPr>
          <w:rFonts w:ascii="Arial Narrow" w:hAnsi="Arial Narrow"/>
          <w:b/>
          <w:bCs/>
          <w:sz w:val="24"/>
          <w:szCs w:val="24"/>
          <w:lang w:val="en-US"/>
        </w:rPr>
        <w:t>Ibn</w:t>
      </w:r>
      <w:proofErr w:type="gramEnd"/>
      <w:r w:rsidRPr="00DB4CD8">
        <w:rPr>
          <w:rFonts w:ascii="Arial Narrow" w:hAnsi="Arial Narrow"/>
          <w:b/>
          <w:bCs/>
          <w:sz w:val="24"/>
          <w:szCs w:val="24"/>
          <w:lang w:val="en-US"/>
        </w:rPr>
        <w:t xml:space="preserve"> </w:t>
      </w:r>
      <w:proofErr w:type="spellStart"/>
      <w:r w:rsidRPr="00DB4CD8">
        <w:rPr>
          <w:rFonts w:ascii="Arial Narrow" w:hAnsi="Arial Narrow"/>
          <w:b/>
          <w:bCs/>
          <w:sz w:val="24"/>
          <w:szCs w:val="24"/>
          <w:lang w:val="en-US"/>
        </w:rPr>
        <w:t>Rochd</w:t>
      </w:r>
      <w:proofErr w:type="spellEnd"/>
      <w:r w:rsidRPr="00DB4CD8">
        <w:rPr>
          <w:rFonts w:ascii="Arial Narrow" w:hAnsi="Arial Narrow"/>
          <w:b/>
          <w:bCs/>
          <w:sz w:val="24"/>
          <w:szCs w:val="24"/>
          <w:lang w:val="en-US"/>
        </w:rPr>
        <w:t xml:space="preserve"> Hospital, Casablanca: A 10-Year Retrospective Study</w:t>
      </w:r>
    </w:p>
    <w:p w14:paraId="58BD0F47" w14:textId="51BDE7AE" w:rsidR="008A7CE9" w:rsidRDefault="008A7CE9" w:rsidP="008F46CB">
      <w:pPr>
        <w:jc w:val="both"/>
        <w:rPr>
          <w:rFonts w:ascii="Arial Narrow" w:hAnsi="Arial Narrow"/>
          <w:sz w:val="24"/>
          <w:szCs w:val="24"/>
          <w:lang w:val="en-US"/>
        </w:rPr>
      </w:pPr>
    </w:p>
    <w:p w14:paraId="7D6DEF6D" w14:textId="77777777" w:rsidR="00090CC5" w:rsidRPr="00DB4CD8" w:rsidRDefault="00090CC5" w:rsidP="008F46CB">
      <w:pPr>
        <w:jc w:val="both"/>
        <w:rPr>
          <w:rFonts w:ascii="Arial Narrow" w:hAnsi="Arial Narrow"/>
          <w:sz w:val="24"/>
          <w:szCs w:val="24"/>
          <w:lang w:val="en-US"/>
        </w:rPr>
      </w:pPr>
      <w:bookmarkStart w:id="1" w:name="_GoBack"/>
      <w:bookmarkEnd w:id="1"/>
    </w:p>
    <w:p w14:paraId="2F71D5A6" w14:textId="77777777" w:rsidR="008F46CB" w:rsidRPr="00DB4CD8" w:rsidRDefault="008F46CB" w:rsidP="008F46CB">
      <w:pPr>
        <w:jc w:val="both"/>
        <w:rPr>
          <w:rFonts w:ascii="Arial Narrow" w:hAnsi="Arial Narrow"/>
          <w:b/>
          <w:bCs/>
          <w:sz w:val="24"/>
          <w:szCs w:val="24"/>
          <w:lang w:val="en-US"/>
        </w:rPr>
      </w:pPr>
      <w:r w:rsidRPr="00DB4CD8">
        <w:rPr>
          <w:rFonts w:ascii="Arial Narrow" w:hAnsi="Arial Narrow"/>
          <w:b/>
          <w:bCs/>
          <w:sz w:val="24"/>
          <w:szCs w:val="24"/>
          <w:lang w:val="en-US"/>
        </w:rPr>
        <w:t>Abstract</w:t>
      </w:r>
    </w:p>
    <w:p w14:paraId="3D1E1526" w14:textId="77777777" w:rsidR="008F46CB" w:rsidRPr="00DB4CD8" w:rsidRDefault="0025294D" w:rsidP="008F46CB">
      <w:pPr>
        <w:jc w:val="both"/>
        <w:rPr>
          <w:rFonts w:ascii="Arial Narrow" w:hAnsi="Arial Narrow"/>
          <w:bCs/>
          <w:sz w:val="24"/>
          <w:szCs w:val="24"/>
          <w:lang w:val="en-US"/>
        </w:rPr>
      </w:pPr>
      <w:r w:rsidRPr="00DB4CD8">
        <w:rPr>
          <w:rFonts w:ascii="Arial Narrow" w:hAnsi="Arial Narrow"/>
          <w:bCs/>
          <w:sz w:val="24"/>
          <w:szCs w:val="24"/>
          <w:lang w:val="en-US"/>
        </w:rPr>
        <w:t>Background and o</w:t>
      </w:r>
      <w:r w:rsidR="008F46CB" w:rsidRPr="00DB4CD8">
        <w:rPr>
          <w:rFonts w:ascii="Arial Narrow" w:hAnsi="Arial Narrow"/>
          <w:bCs/>
          <w:sz w:val="24"/>
          <w:szCs w:val="24"/>
          <w:lang w:val="en-US"/>
        </w:rPr>
        <w:t>bjective:</w:t>
      </w:r>
    </w:p>
    <w:p w14:paraId="461E3676"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Gastric cancer remains a major cause of mortality worldwide. It is frequently diagnosed in elderly individuals. However, its incidence is increasing among young patients (≤40 years). The main risk factors include </w:t>
      </w:r>
      <w:r w:rsidRPr="00DB4CD8">
        <w:rPr>
          <w:rFonts w:ascii="Arial Narrow" w:hAnsi="Arial Narrow"/>
          <w:i/>
          <w:iCs/>
          <w:sz w:val="24"/>
          <w:szCs w:val="24"/>
          <w:lang w:val="en-US"/>
        </w:rPr>
        <w:t>Helicobacter pylori</w:t>
      </w:r>
      <w:r w:rsidRPr="00DB4CD8">
        <w:rPr>
          <w:rFonts w:ascii="Arial Narrow" w:hAnsi="Arial Narrow"/>
          <w:sz w:val="24"/>
          <w:szCs w:val="24"/>
          <w:lang w:val="en-US"/>
        </w:rPr>
        <w:t xml:space="preserve"> infection, smoking, and a family history of gastric cancer. This trend has been reported in some Moroccan studies. However, no specific local study focusing on this population has been conducted, hence the relevance of our work. The objective of this study was to establish the epidemiological and etiological profile of gastric cancer in young subjects.</w:t>
      </w:r>
    </w:p>
    <w:p w14:paraId="101C16AD"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Materials and Methods:</w:t>
      </w:r>
    </w:p>
    <w:p w14:paraId="209E9B1B"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This was a retrospective study conducted in the Hepato-Gastroenterology Department over a 10-year period, between September 2015 and August 2025. All patients aged 16 to 40 years hospitalized for histologically confirmed primary gastric cancer were included. Data were collected from medical records, entered, and analyzed using </w:t>
      </w:r>
      <w:proofErr w:type="spellStart"/>
      <w:r w:rsidRPr="00DB4CD8">
        <w:rPr>
          <w:rFonts w:ascii="Arial Narrow" w:hAnsi="Arial Narrow"/>
          <w:sz w:val="24"/>
          <w:szCs w:val="24"/>
          <w:lang w:val="en-US"/>
        </w:rPr>
        <w:t>Jamovi</w:t>
      </w:r>
      <w:proofErr w:type="spellEnd"/>
      <w:r w:rsidRPr="00DB4CD8">
        <w:rPr>
          <w:rFonts w:ascii="Arial Narrow" w:hAnsi="Arial Narrow"/>
          <w:sz w:val="24"/>
          <w:szCs w:val="24"/>
          <w:lang w:val="en-US"/>
        </w:rPr>
        <w:t xml:space="preserve"> software.</w:t>
      </w:r>
    </w:p>
    <w:p w14:paraId="7FB10D62"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Results:</w:t>
      </w:r>
    </w:p>
    <w:p w14:paraId="465B59BE" w14:textId="77777777" w:rsidR="004C1808"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Out of 131 hospitalized cases of gastric cancer, 9 cases (6.8%) involved patients aged ≤40 years, representing an annual average of 0.9 cases. The mean age was 33.5 years (range: 20–40 years), with a predominance in the 36–40 age group (55.6%). A female predominance was noted (56%) with a female-to-male ratio of 1.2. The mean diagnostic delay was 6.7 months (range: 1–24 months). The predominant symptoms were epigastric pain (89%), anemia (78%), general deterioration of health status (56%), and upper gastrointestinal bleeding (44%). Risk factors were identified in 78% of cases. Helicobacter pylori infection and smoking were the two main risk factors, identified in 56% and 33% of cases, respectively. Adenocarcinoma accounted for 89% of cases. The majority of patients (67%) had metastatic disease at diagnosis. The prognosis was poor.</w:t>
      </w:r>
    </w:p>
    <w:p w14:paraId="398EB2A7"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Conclusion:</w:t>
      </w:r>
    </w:p>
    <w:p w14:paraId="32688856"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Gastric cancer in young patients is a real and significant entity, with a predominance of adenocarcinoma. The identified risk factors justify targeted screening and preventive measures.</w:t>
      </w:r>
    </w:p>
    <w:p w14:paraId="6F4312A5" w14:textId="216C907C"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Keywords: Epidemiology, </w:t>
      </w:r>
      <w:r w:rsidR="00E221E7" w:rsidRPr="00DB4CD8">
        <w:rPr>
          <w:rFonts w:ascii="Arial Narrow" w:hAnsi="Arial Narrow"/>
          <w:sz w:val="24"/>
          <w:szCs w:val="24"/>
          <w:lang w:val="en-US"/>
        </w:rPr>
        <w:t xml:space="preserve">etiology, </w:t>
      </w:r>
      <w:r w:rsidRPr="00DB4CD8">
        <w:rPr>
          <w:rFonts w:ascii="Arial Narrow" w:hAnsi="Arial Narrow"/>
          <w:sz w:val="24"/>
          <w:szCs w:val="24"/>
          <w:lang w:val="en-US"/>
        </w:rPr>
        <w:t>risk factors, gastric cancer, young patients.</w:t>
      </w:r>
    </w:p>
    <w:p w14:paraId="7B2F481D" w14:textId="77777777" w:rsidR="008F46CB" w:rsidRPr="007E7A31" w:rsidRDefault="008F46CB" w:rsidP="008F46CB">
      <w:pPr>
        <w:jc w:val="both"/>
        <w:rPr>
          <w:rFonts w:ascii="Arial Narrow" w:hAnsi="Arial Narrow"/>
          <w:b/>
          <w:bCs/>
          <w:sz w:val="24"/>
          <w:szCs w:val="24"/>
          <w:lang w:val="en-US"/>
        </w:rPr>
      </w:pPr>
      <w:r w:rsidRPr="007E7A31">
        <w:rPr>
          <w:rFonts w:ascii="Arial Narrow" w:hAnsi="Arial Narrow"/>
          <w:b/>
          <w:bCs/>
          <w:sz w:val="24"/>
          <w:szCs w:val="24"/>
          <w:lang w:val="en-US"/>
        </w:rPr>
        <w:t>Introduction</w:t>
      </w:r>
    </w:p>
    <w:p w14:paraId="5FEE6A42"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Gastric cancer remains one of the leading causes of cancer-related mortality worldwide (1). Despite a global decline in its incidence over recent decades, gastric cancer remains the fifth most common malignancy and the third leading cause of cancer-related death worldwide, with marked disparities between high- and low-risk regions. These differences are attributed to variations in socioeconomic status (particularly exposure to Helicobacter pylori), lifestyle, psychosocial environment, dietary habits (alcohol consumption, higher intake of beef and grilled/smoked foods, highly salted foods, and lower consumption </w:t>
      </w:r>
      <w:r w:rsidRPr="00DB4CD8">
        <w:rPr>
          <w:rFonts w:ascii="Arial Narrow" w:hAnsi="Arial Narrow"/>
          <w:sz w:val="24"/>
          <w:szCs w:val="24"/>
          <w:lang w:val="en-US"/>
        </w:rPr>
        <w:lastRenderedPageBreak/>
        <w:t>of fresh fruits and vegetables), smoking, and access to early targeted screening programs for high-risk individuals (family history, genetic predispositions such as Cadherin-1 (CDH1) gene mutation, or precancerous lesions), based on gastroscopy and biopsies (1,2,3).</w:t>
      </w:r>
    </w:p>
    <w:p w14:paraId="586F4B34"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Traditionally considered a disease of the elderly, gastric cancer is increasingly affecting younger patients, often before the age of 40, presenting with more aggressive forms and poorer prognosis. This phenomenon has been reported in several countries, including the United States, Mali, Colombia, and other regions of East Asia (2, 4, 5). Emerging evidence suggests that this increasing incidence among young individuals (Early-Onset Gastric Cancer – EOGC) may be linked to a complex interaction between increased genetic susceptibility and early environmental changes, requiring heightened clinical vigilance from the onset of digestive symptoms (3).</w:t>
      </w:r>
    </w:p>
    <w:p w14:paraId="40A4F2F1"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The genomic heterogeneity of early-onset gastric cancer is an expanding area of research. Unlike classic age-related forms, early-onset gastric cancer often presents a distinct molecular profile, characterized by a predominance of diffuse-type tumors according to Lauren’s classification and alterations in the E-cadherin signaling pathway (6). In Africa, the high prevalence of Helicobacter pylori infection from childhood constitutes a major determining factor. This chronic infection induces a persistent inflammatory cascade that, in genetically predisposed individuals, may accelerate gastric carcinogenesis well before the fifth decade of life (7).</w:t>
      </w:r>
    </w:p>
    <w:p w14:paraId="1308D45B"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Moreover, disparities in access to healthcare and lack of awareness of warning signs among young adults contribute to significant diagnostic delays. In many developing countries, diagnosis is often made at a metastatic stage, limiting therapeutic options to palliative care (8).</w:t>
      </w:r>
    </w:p>
    <w:p w14:paraId="54C76180"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This subgroup of patients is distinguished by clinical, histopathological, and molecular characteristics suggesting a potentially distinct </w:t>
      </w:r>
      <w:proofErr w:type="spellStart"/>
      <w:r w:rsidRPr="00DB4CD8">
        <w:rPr>
          <w:rFonts w:ascii="Arial Narrow" w:hAnsi="Arial Narrow"/>
          <w:sz w:val="24"/>
          <w:szCs w:val="24"/>
          <w:lang w:val="en-US"/>
        </w:rPr>
        <w:t>physiopathological</w:t>
      </w:r>
      <w:proofErr w:type="spellEnd"/>
      <w:r w:rsidRPr="00DB4CD8">
        <w:rPr>
          <w:rFonts w:ascii="Arial Narrow" w:hAnsi="Arial Narrow"/>
          <w:sz w:val="24"/>
          <w:szCs w:val="24"/>
          <w:lang w:val="en-US"/>
        </w:rPr>
        <w:t xml:space="preserve"> entity, often characterized by genomic or microsatellite stability associated with CDH1 gene mutations, where genetic factors, environmental influences, and dietary habits may play a major role (2). In the African context, a non-negligible frequency of gastric cancer in young patients has been reported, highlighting significant diagnostic delays, frequent presentation at advanced stages, and limited therapeutic resources (4). These findings underscore the need for a better understanding of the epidemiological and etiological characteristics of gastric cancer in young patients in resource-limited countries, in order to improve early diagnosis and prognosis in this population.</w:t>
      </w:r>
    </w:p>
    <w:p w14:paraId="7FF45F69" w14:textId="77777777" w:rsidR="008F46CB" w:rsidRPr="007E7A31" w:rsidRDefault="0025294D" w:rsidP="008F46CB">
      <w:pPr>
        <w:jc w:val="both"/>
        <w:rPr>
          <w:rFonts w:ascii="Arial Narrow" w:hAnsi="Arial Narrow"/>
          <w:b/>
          <w:bCs/>
          <w:sz w:val="24"/>
          <w:szCs w:val="24"/>
          <w:lang w:val="en-US"/>
        </w:rPr>
      </w:pPr>
      <w:r w:rsidRPr="007E7A31">
        <w:rPr>
          <w:rFonts w:ascii="Arial Narrow" w:hAnsi="Arial Narrow"/>
          <w:b/>
          <w:bCs/>
          <w:sz w:val="24"/>
          <w:szCs w:val="24"/>
          <w:lang w:val="en-US"/>
        </w:rPr>
        <w:t>Materials and m</w:t>
      </w:r>
      <w:r w:rsidR="008F46CB" w:rsidRPr="007E7A31">
        <w:rPr>
          <w:rFonts w:ascii="Arial Narrow" w:hAnsi="Arial Narrow"/>
          <w:b/>
          <w:bCs/>
          <w:sz w:val="24"/>
          <w:szCs w:val="24"/>
          <w:lang w:val="en-US"/>
        </w:rPr>
        <w:t>ethods</w:t>
      </w:r>
    </w:p>
    <w:p w14:paraId="5CFD3F45"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 xml:space="preserve">This was a retrospective study conducted in the Hepato-Gastroenterology Department of </w:t>
      </w:r>
      <w:proofErr w:type="gramStart"/>
      <w:r w:rsidRPr="00DB4CD8">
        <w:rPr>
          <w:rFonts w:ascii="Arial Narrow" w:hAnsi="Arial Narrow"/>
          <w:sz w:val="24"/>
          <w:szCs w:val="24"/>
          <w:lang w:val="en-US"/>
        </w:rPr>
        <w:t>Ibn</w:t>
      </w:r>
      <w:proofErr w:type="gram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Rochd</w:t>
      </w:r>
      <w:proofErr w:type="spellEnd"/>
      <w:r w:rsidRPr="00DB4CD8">
        <w:rPr>
          <w:rFonts w:ascii="Arial Narrow" w:hAnsi="Arial Narrow"/>
          <w:sz w:val="24"/>
          <w:szCs w:val="24"/>
          <w:lang w:val="en-US"/>
        </w:rPr>
        <w:t xml:space="preserve"> Hospital in Casablanca between September 2015 and August 2025. All patients aged 16 to 40 years who were hospitalized for histologically confirmed primary gastric cancer were included. Data were collected from medical records and included demographic variables (age, sex), clinical variables (symptoms, consultation delay), etiological factors (smoking, alcohol consumption, family history, H. pylori status), and histopathological findings. Data entry and statistical analysis were performed using </w:t>
      </w:r>
      <w:proofErr w:type="spellStart"/>
      <w:r w:rsidRPr="00DB4CD8">
        <w:rPr>
          <w:rFonts w:ascii="Arial Narrow" w:hAnsi="Arial Narrow"/>
          <w:sz w:val="24"/>
          <w:szCs w:val="24"/>
          <w:lang w:val="en-US"/>
        </w:rPr>
        <w:t>Jamovi</w:t>
      </w:r>
      <w:proofErr w:type="spellEnd"/>
      <w:r w:rsidRPr="00DB4CD8">
        <w:rPr>
          <w:rFonts w:ascii="Arial Narrow" w:hAnsi="Arial Narrow"/>
          <w:sz w:val="24"/>
          <w:szCs w:val="24"/>
          <w:lang w:val="en-US"/>
        </w:rPr>
        <w:t xml:space="preserve"> software.</w:t>
      </w:r>
    </w:p>
    <w:p w14:paraId="7A712B48" w14:textId="77777777" w:rsidR="008F46CB" w:rsidRPr="007E7A31" w:rsidRDefault="0025294D" w:rsidP="008F46CB">
      <w:pPr>
        <w:jc w:val="both"/>
        <w:rPr>
          <w:rFonts w:ascii="Arial Narrow" w:hAnsi="Arial Narrow"/>
          <w:b/>
          <w:bCs/>
          <w:sz w:val="24"/>
          <w:szCs w:val="24"/>
          <w:lang w:val="en-US"/>
        </w:rPr>
      </w:pPr>
      <w:r w:rsidRPr="007E7A31">
        <w:rPr>
          <w:rFonts w:ascii="Arial Narrow" w:hAnsi="Arial Narrow"/>
          <w:b/>
          <w:bCs/>
          <w:sz w:val="24"/>
          <w:szCs w:val="24"/>
          <w:lang w:val="en-US"/>
        </w:rPr>
        <w:t>Study l</w:t>
      </w:r>
      <w:r w:rsidR="008F46CB" w:rsidRPr="007E7A31">
        <w:rPr>
          <w:rFonts w:ascii="Arial Narrow" w:hAnsi="Arial Narrow"/>
          <w:b/>
          <w:bCs/>
          <w:sz w:val="24"/>
          <w:szCs w:val="24"/>
          <w:lang w:val="en-US"/>
        </w:rPr>
        <w:t>imitations</w:t>
      </w:r>
    </w:p>
    <w:p w14:paraId="6296549A"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As with any retrospective study, our work had limitations related to the review of medical records, as some data were incomplete. Information regarding dietary habits, particularly the consumption of highly salted meals or grilled/smoked foods, was not available, which limited the analysis of these specific environmental risk factors.</w:t>
      </w:r>
    </w:p>
    <w:p w14:paraId="3C388411" w14:textId="77777777" w:rsidR="008F46CB" w:rsidRPr="007E7A31" w:rsidRDefault="008F46CB" w:rsidP="008F46CB">
      <w:pPr>
        <w:jc w:val="both"/>
        <w:rPr>
          <w:rFonts w:ascii="Arial Narrow" w:hAnsi="Arial Narrow"/>
          <w:b/>
          <w:bCs/>
          <w:sz w:val="24"/>
          <w:szCs w:val="24"/>
          <w:lang w:val="en-US"/>
        </w:rPr>
      </w:pPr>
      <w:r w:rsidRPr="007E7A31">
        <w:rPr>
          <w:rFonts w:ascii="Arial Narrow" w:hAnsi="Arial Narrow"/>
          <w:b/>
          <w:bCs/>
          <w:sz w:val="24"/>
          <w:szCs w:val="24"/>
          <w:lang w:val="en-US"/>
        </w:rPr>
        <w:t>Results</w:t>
      </w:r>
    </w:p>
    <w:p w14:paraId="5F2F5E22"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lastRenderedPageBreak/>
        <w:t>Out of 131 cases hospitalized for gastric cancer during the study period, 9 cases (6.8%) involved patients aged ≤40 years, corresponding to an annual average of 0.9 cases.</w:t>
      </w:r>
    </w:p>
    <w:p w14:paraId="373B3603" w14:textId="77777777" w:rsidR="008F46CB" w:rsidRPr="007E7A31" w:rsidRDefault="008F46CB" w:rsidP="008F46CB">
      <w:pPr>
        <w:jc w:val="both"/>
        <w:rPr>
          <w:rFonts w:ascii="Arial Narrow" w:hAnsi="Arial Narrow"/>
          <w:b/>
          <w:bCs/>
          <w:sz w:val="24"/>
          <w:szCs w:val="24"/>
          <w:lang w:val="en-US"/>
        </w:rPr>
      </w:pPr>
      <w:r w:rsidRPr="007E7A31">
        <w:rPr>
          <w:rFonts w:ascii="Arial Narrow" w:hAnsi="Arial Narrow"/>
          <w:b/>
          <w:bCs/>
          <w:sz w:val="24"/>
          <w:szCs w:val="24"/>
          <w:lang w:val="en-US"/>
        </w:rPr>
        <w:t>Demographic Data</w:t>
      </w:r>
    </w:p>
    <w:p w14:paraId="7593EDFF"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The mean age was 33.5 years (range: 20–40 years). The 36–40 age group was the most represented (55.6%). A slight female predominance was observed (56%), with a female-to-male ratio of 1.2.</w:t>
      </w:r>
    </w:p>
    <w:p w14:paraId="471E58D5" w14:textId="77777777" w:rsidR="008F46CB" w:rsidRPr="00DB4CD8" w:rsidRDefault="008F46CB" w:rsidP="008F46CB">
      <w:pPr>
        <w:jc w:val="both"/>
        <w:rPr>
          <w:rFonts w:ascii="Arial Narrow" w:hAnsi="Arial Narrow"/>
          <w:sz w:val="24"/>
          <w:szCs w:val="24"/>
          <w:lang w:val="en-US"/>
        </w:rPr>
      </w:pPr>
      <w:r w:rsidRPr="00DB4CD8">
        <w:rPr>
          <w:rFonts w:ascii="Arial Narrow" w:hAnsi="Arial Narrow"/>
          <w:sz w:val="24"/>
          <w:szCs w:val="24"/>
          <w:lang w:val="en-US"/>
        </w:rPr>
        <w:t>Table I: Distribution of patients by age group and sex (n = 9).</w:t>
      </w:r>
    </w:p>
    <w:tbl>
      <w:tblPr>
        <w:tblStyle w:val="TableGrid"/>
        <w:tblW w:w="0" w:type="auto"/>
        <w:tblInd w:w="38" w:type="dxa"/>
        <w:tblLook w:val="04A0" w:firstRow="1" w:lastRow="0" w:firstColumn="1" w:lastColumn="0" w:noHBand="0" w:noVBand="1"/>
      </w:tblPr>
      <w:tblGrid>
        <w:gridCol w:w="3047"/>
        <w:gridCol w:w="1105"/>
        <w:gridCol w:w="1274"/>
        <w:gridCol w:w="893"/>
        <w:gridCol w:w="2499"/>
      </w:tblGrid>
      <w:tr w:rsidR="00DB4CD8" w:rsidRPr="00DB4CD8" w14:paraId="1185F263" w14:textId="77777777" w:rsidTr="00AB1FBF">
        <w:tc>
          <w:tcPr>
            <w:tcW w:w="3047" w:type="dxa"/>
          </w:tcPr>
          <w:p w14:paraId="7242AD55"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Age group (</w:t>
            </w:r>
            <w:proofErr w:type="spellStart"/>
            <w:r w:rsidRPr="00DB4CD8">
              <w:rPr>
                <w:rFonts w:ascii="Arial Narrow" w:hAnsi="Arial Narrow"/>
                <w:sz w:val="24"/>
                <w:szCs w:val="24"/>
              </w:rPr>
              <w:t>years</w:t>
            </w:r>
            <w:proofErr w:type="spellEnd"/>
            <w:r w:rsidRPr="00DB4CD8">
              <w:rPr>
                <w:rFonts w:ascii="Arial Narrow" w:hAnsi="Arial Narrow"/>
                <w:sz w:val="24"/>
                <w:szCs w:val="24"/>
              </w:rPr>
              <w:t>)</w:t>
            </w:r>
          </w:p>
        </w:tc>
        <w:tc>
          <w:tcPr>
            <w:tcW w:w="1105" w:type="dxa"/>
          </w:tcPr>
          <w:p w14:paraId="03007A70"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Male</w:t>
            </w:r>
          </w:p>
        </w:tc>
        <w:tc>
          <w:tcPr>
            <w:tcW w:w="1274" w:type="dxa"/>
          </w:tcPr>
          <w:p w14:paraId="4465C52C"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Female</w:t>
            </w:r>
          </w:p>
        </w:tc>
        <w:tc>
          <w:tcPr>
            <w:tcW w:w="893" w:type="dxa"/>
          </w:tcPr>
          <w:p w14:paraId="0F4A0274"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Total</w:t>
            </w:r>
          </w:p>
        </w:tc>
        <w:tc>
          <w:tcPr>
            <w:tcW w:w="2499" w:type="dxa"/>
          </w:tcPr>
          <w:p w14:paraId="254CE1FA"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Pe</w:t>
            </w:r>
            <w:r w:rsidR="008F46CB" w:rsidRPr="00DB4CD8">
              <w:rPr>
                <w:rFonts w:ascii="Arial Narrow" w:hAnsi="Arial Narrow"/>
                <w:sz w:val="24"/>
                <w:szCs w:val="24"/>
              </w:rPr>
              <w:t>rcentage (%)</w:t>
            </w:r>
          </w:p>
        </w:tc>
      </w:tr>
      <w:tr w:rsidR="00DB4CD8" w:rsidRPr="00DB4CD8" w14:paraId="104F7588" w14:textId="77777777" w:rsidTr="00AB1FBF">
        <w:tc>
          <w:tcPr>
            <w:tcW w:w="3047" w:type="dxa"/>
          </w:tcPr>
          <w:p w14:paraId="5AB08D24"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20 - 25</w:t>
            </w:r>
          </w:p>
        </w:tc>
        <w:tc>
          <w:tcPr>
            <w:tcW w:w="1105" w:type="dxa"/>
          </w:tcPr>
          <w:p w14:paraId="42237B5D"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0</w:t>
            </w:r>
          </w:p>
        </w:tc>
        <w:tc>
          <w:tcPr>
            <w:tcW w:w="1274" w:type="dxa"/>
          </w:tcPr>
          <w:p w14:paraId="66407E18"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w:t>
            </w:r>
          </w:p>
        </w:tc>
        <w:tc>
          <w:tcPr>
            <w:tcW w:w="893" w:type="dxa"/>
          </w:tcPr>
          <w:p w14:paraId="53323A5B"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w:t>
            </w:r>
          </w:p>
        </w:tc>
        <w:tc>
          <w:tcPr>
            <w:tcW w:w="2499" w:type="dxa"/>
          </w:tcPr>
          <w:p w14:paraId="48F59484"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11.</w:t>
            </w:r>
            <w:r w:rsidR="008F46CB" w:rsidRPr="00DB4CD8">
              <w:rPr>
                <w:rFonts w:ascii="Arial Narrow" w:hAnsi="Arial Narrow"/>
                <w:sz w:val="24"/>
                <w:szCs w:val="24"/>
              </w:rPr>
              <w:t xml:space="preserve">1 </w:t>
            </w:r>
          </w:p>
        </w:tc>
      </w:tr>
      <w:tr w:rsidR="00DB4CD8" w:rsidRPr="00DB4CD8" w14:paraId="63C58981" w14:textId="77777777" w:rsidTr="00AB1FBF">
        <w:tc>
          <w:tcPr>
            <w:tcW w:w="3047" w:type="dxa"/>
          </w:tcPr>
          <w:p w14:paraId="535C9342"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26 - 30</w:t>
            </w:r>
          </w:p>
        </w:tc>
        <w:tc>
          <w:tcPr>
            <w:tcW w:w="1105" w:type="dxa"/>
          </w:tcPr>
          <w:p w14:paraId="218A354D"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0</w:t>
            </w:r>
          </w:p>
        </w:tc>
        <w:tc>
          <w:tcPr>
            <w:tcW w:w="1274" w:type="dxa"/>
          </w:tcPr>
          <w:p w14:paraId="4E2B9B25"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2</w:t>
            </w:r>
          </w:p>
        </w:tc>
        <w:tc>
          <w:tcPr>
            <w:tcW w:w="893" w:type="dxa"/>
          </w:tcPr>
          <w:p w14:paraId="79EBC1EA"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2</w:t>
            </w:r>
          </w:p>
        </w:tc>
        <w:tc>
          <w:tcPr>
            <w:tcW w:w="2499" w:type="dxa"/>
          </w:tcPr>
          <w:p w14:paraId="647B284A"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22.</w:t>
            </w:r>
            <w:r w:rsidR="008F46CB" w:rsidRPr="00DB4CD8">
              <w:rPr>
                <w:rFonts w:ascii="Arial Narrow" w:hAnsi="Arial Narrow"/>
                <w:sz w:val="24"/>
                <w:szCs w:val="24"/>
              </w:rPr>
              <w:t xml:space="preserve">2 </w:t>
            </w:r>
          </w:p>
        </w:tc>
      </w:tr>
      <w:tr w:rsidR="00DB4CD8" w:rsidRPr="00DB4CD8" w14:paraId="327744E9" w14:textId="77777777" w:rsidTr="00AB1FBF">
        <w:tc>
          <w:tcPr>
            <w:tcW w:w="3047" w:type="dxa"/>
          </w:tcPr>
          <w:p w14:paraId="2C3905E9"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31 - 35</w:t>
            </w:r>
          </w:p>
        </w:tc>
        <w:tc>
          <w:tcPr>
            <w:tcW w:w="1105" w:type="dxa"/>
          </w:tcPr>
          <w:p w14:paraId="22A492A3"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0</w:t>
            </w:r>
          </w:p>
        </w:tc>
        <w:tc>
          <w:tcPr>
            <w:tcW w:w="1274" w:type="dxa"/>
          </w:tcPr>
          <w:p w14:paraId="1E9A4CA3"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w:t>
            </w:r>
          </w:p>
        </w:tc>
        <w:tc>
          <w:tcPr>
            <w:tcW w:w="893" w:type="dxa"/>
          </w:tcPr>
          <w:p w14:paraId="207ABF64"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w:t>
            </w:r>
          </w:p>
        </w:tc>
        <w:tc>
          <w:tcPr>
            <w:tcW w:w="2499" w:type="dxa"/>
          </w:tcPr>
          <w:p w14:paraId="200D1F52" w14:textId="77777777" w:rsidR="008F46CB" w:rsidRPr="00DB4CD8" w:rsidRDefault="00835FC9" w:rsidP="008F46CB">
            <w:pPr>
              <w:spacing w:after="160" w:line="259" w:lineRule="auto"/>
              <w:jc w:val="both"/>
              <w:rPr>
                <w:rFonts w:ascii="Arial Narrow" w:hAnsi="Arial Narrow"/>
                <w:sz w:val="24"/>
                <w:szCs w:val="24"/>
              </w:rPr>
            </w:pPr>
            <w:r w:rsidRPr="00DB4CD8">
              <w:rPr>
                <w:rFonts w:ascii="Arial Narrow" w:hAnsi="Arial Narrow"/>
                <w:sz w:val="24"/>
                <w:szCs w:val="24"/>
              </w:rPr>
              <w:t>11.</w:t>
            </w:r>
            <w:r w:rsidR="008F46CB" w:rsidRPr="00DB4CD8">
              <w:rPr>
                <w:rFonts w:ascii="Arial Narrow" w:hAnsi="Arial Narrow"/>
                <w:sz w:val="24"/>
                <w:szCs w:val="24"/>
              </w:rPr>
              <w:t xml:space="preserve">1 </w:t>
            </w:r>
          </w:p>
        </w:tc>
      </w:tr>
      <w:tr w:rsidR="00DB4CD8" w:rsidRPr="00DB4CD8" w14:paraId="3C99CC31" w14:textId="77777777" w:rsidTr="00AB1FBF">
        <w:tc>
          <w:tcPr>
            <w:tcW w:w="3047" w:type="dxa"/>
          </w:tcPr>
          <w:p w14:paraId="249B7A5C"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36 - 40</w:t>
            </w:r>
          </w:p>
        </w:tc>
        <w:tc>
          <w:tcPr>
            <w:tcW w:w="1105" w:type="dxa"/>
          </w:tcPr>
          <w:p w14:paraId="7BB1DB7B"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4</w:t>
            </w:r>
          </w:p>
        </w:tc>
        <w:tc>
          <w:tcPr>
            <w:tcW w:w="1274" w:type="dxa"/>
          </w:tcPr>
          <w:p w14:paraId="713E097F"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w:t>
            </w:r>
          </w:p>
        </w:tc>
        <w:tc>
          <w:tcPr>
            <w:tcW w:w="893" w:type="dxa"/>
          </w:tcPr>
          <w:p w14:paraId="73FF4B3D"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5</w:t>
            </w:r>
          </w:p>
        </w:tc>
        <w:tc>
          <w:tcPr>
            <w:tcW w:w="2499" w:type="dxa"/>
          </w:tcPr>
          <w:p w14:paraId="23F657FA" w14:textId="77777777" w:rsidR="008F46CB" w:rsidRPr="00DB4CD8" w:rsidRDefault="008F46CB" w:rsidP="008F46CB">
            <w:pPr>
              <w:spacing w:after="160" w:line="259" w:lineRule="auto"/>
              <w:jc w:val="both"/>
              <w:rPr>
                <w:rFonts w:ascii="Arial Narrow" w:hAnsi="Arial Narrow"/>
                <w:sz w:val="24"/>
                <w:szCs w:val="24"/>
              </w:rPr>
            </w:pPr>
            <w:bookmarkStart w:id="2" w:name="_Hlk223212839"/>
            <w:r w:rsidRPr="00DB4CD8">
              <w:rPr>
                <w:rFonts w:ascii="Arial Narrow" w:hAnsi="Arial Narrow"/>
                <w:sz w:val="24"/>
                <w:szCs w:val="24"/>
              </w:rPr>
              <w:t xml:space="preserve">55,6 </w:t>
            </w:r>
            <w:bookmarkEnd w:id="2"/>
          </w:p>
        </w:tc>
      </w:tr>
      <w:tr w:rsidR="008F46CB" w:rsidRPr="00DB4CD8" w14:paraId="56626B14" w14:textId="77777777" w:rsidTr="00AB1FBF">
        <w:tc>
          <w:tcPr>
            <w:tcW w:w="3047" w:type="dxa"/>
          </w:tcPr>
          <w:p w14:paraId="733B3A61"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Total</w:t>
            </w:r>
          </w:p>
        </w:tc>
        <w:tc>
          <w:tcPr>
            <w:tcW w:w="1105" w:type="dxa"/>
          </w:tcPr>
          <w:p w14:paraId="423B9F7D"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4</w:t>
            </w:r>
          </w:p>
        </w:tc>
        <w:tc>
          <w:tcPr>
            <w:tcW w:w="1274" w:type="dxa"/>
          </w:tcPr>
          <w:p w14:paraId="046248D1"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5</w:t>
            </w:r>
          </w:p>
        </w:tc>
        <w:tc>
          <w:tcPr>
            <w:tcW w:w="893" w:type="dxa"/>
          </w:tcPr>
          <w:p w14:paraId="49903B90"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9</w:t>
            </w:r>
          </w:p>
        </w:tc>
        <w:tc>
          <w:tcPr>
            <w:tcW w:w="2499" w:type="dxa"/>
          </w:tcPr>
          <w:p w14:paraId="3D49E1A6" w14:textId="77777777" w:rsidR="008F46CB" w:rsidRPr="00DB4CD8" w:rsidRDefault="008F46CB" w:rsidP="008F46CB">
            <w:pPr>
              <w:spacing w:after="160" w:line="259" w:lineRule="auto"/>
              <w:jc w:val="both"/>
              <w:rPr>
                <w:rFonts w:ascii="Arial Narrow" w:hAnsi="Arial Narrow"/>
                <w:sz w:val="24"/>
                <w:szCs w:val="24"/>
              </w:rPr>
            </w:pPr>
            <w:r w:rsidRPr="00DB4CD8">
              <w:rPr>
                <w:rFonts w:ascii="Arial Narrow" w:hAnsi="Arial Narrow"/>
                <w:sz w:val="24"/>
                <w:szCs w:val="24"/>
              </w:rPr>
              <w:t>100</w:t>
            </w:r>
          </w:p>
        </w:tc>
      </w:tr>
    </w:tbl>
    <w:p w14:paraId="18B2CCF0" w14:textId="77777777" w:rsidR="008F46CB" w:rsidRPr="00DB4CD8" w:rsidRDefault="008F46CB" w:rsidP="008F46CB">
      <w:pPr>
        <w:spacing w:after="0"/>
        <w:jc w:val="both"/>
        <w:rPr>
          <w:rFonts w:ascii="Arial Narrow" w:hAnsi="Arial Narrow"/>
          <w:sz w:val="24"/>
          <w:szCs w:val="24"/>
          <w:lang w:val="en-US"/>
        </w:rPr>
      </w:pPr>
    </w:p>
    <w:p w14:paraId="1E6CD188"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Mean age: 33.5 years.</w:t>
      </w:r>
    </w:p>
    <w:p w14:paraId="47B63097" w14:textId="77777777" w:rsidR="008C13A8" w:rsidRPr="00DB4CD8" w:rsidRDefault="008C13A8" w:rsidP="008F46CB">
      <w:pPr>
        <w:spacing w:after="0"/>
        <w:jc w:val="both"/>
        <w:rPr>
          <w:rFonts w:ascii="Arial Narrow" w:hAnsi="Arial Narrow"/>
          <w:sz w:val="24"/>
          <w:szCs w:val="24"/>
          <w:lang w:val="en-US"/>
        </w:rPr>
      </w:pPr>
    </w:p>
    <w:p w14:paraId="4FAF06AD" w14:textId="77777777" w:rsidR="008F46CB" w:rsidRPr="007E7A31" w:rsidRDefault="008F46CB" w:rsidP="008F46CB">
      <w:pPr>
        <w:spacing w:after="0"/>
        <w:jc w:val="both"/>
        <w:rPr>
          <w:rFonts w:ascii="Arial Narrow" w:hAnsi="Arial Narrow"/>
          <w:b/>
          <w:bCs/>
          <w:sz w:val="24"/>
          <w:szCs w:val="24"/>
          <w:lang w:val="en-US"/>
        </w:rPr>
      </w:pPr>
      <w:r w:rsidRPr="007E7A31">
        <w:rPr>
          <w:rFonts w:ascii="Arial Narrow" w:hAnsi="Arial Narrow"/>
          <w:b/>
          <w:bCs/>
          <w:sz w:val="24"/>
          <w:szCs w:val="24"/>
          <w:lang w:val="en-US"/>
        </w:rPr>
        <w:t>Clinical Data</w:t>
      </w:r>
    </w:p>
    <w:p w14:paraId="08A00480"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The mean interval between the onset of initial symptoms and confirmed diagnosis was 6.7 months (range: 1–24 months). The predominant symptoms at admission were epigastric pain (89%), followed by anemia (78%), general deterioration of health status (56%), and upper gastrointestinal bleeding (44%).</w:t>
      </w:r>
    </w:p>
    <w:p w14:paraId="7DD95A51"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The majority of patients (67%) had metastatic disease (hepatic, peritoneal, or distant lymph node metastases) at the time of diagnosis.</w:t>
      </w:r>
    </w:p>
    <w:p w14:paraId="166AE1FE" w14:textId="77777777" w:rsidR="008F46CB" w:rsidRPr="00DB4CD8" w:rsidRDefault="008F46CB" w:rsidP="008F46CB">
      <w:pPr>
        <w:spacing w:after="0"/>
        <w:jc w:val="both"/>
        <w:rPr>
          <w:rFonts w:ascii="Arial Narrow" w:hAnsi="Arial Narrow"/>
          <w:sz w:val="24"/>
          <w:szCs w:val="24"/>
          <w:lang w:val="en-US"/>
        </w:rPr>
      </w:pPr>
    </w:p>
    <w:p w14:paraId="1D6C9DD3"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Table II: Metastasis rate according to duration of symptoms (n = 9).</w:t>
      </w:r>
    </w:p>
    <w:p w14:paraId="6AEF653E" w14:textId="77777777" w:rsidR="008F46CB" w:rsidRPr="00DB4CD8" w:rsidRDefault="008F46CB" w:rsidP="008F46CB">
      <w:pPr>
        <w:spacing w:after="0"/>
        <w:jc w:val="both"/>
        <w:rPr>
          <w:rFonts w:ascii="Arial Narrow" w:hAnsi="Arial Narrow"/>
          <w:sz w:val="24"/>
          <w:szCs w:val="24"/>
          <w:lang w:val="en-US"/>
        </w:rPr>
      </w:pPr>
    </w:p>
    <w:tbl>
      <w:tblPr>
        <w:tblStyle w:val="TableGrid"/>
        <w:tblW w:w="0" w:type="auto"/>
        <w:tblInd w:w="38" w:type="dxa"/>
        <w:tblLook w:val="04A0" w:firstRow="1" w:lastRow="0" w:firstColumn="1" w:lastColumn="0" w:noHBand="0" w:noVBand="1"/>
      </w:tblPr>
      <w:tblGrid>
        <w:gridCol w:w="1756"/>
        <w:gridCol w:w="1756"/>
        <w:gridCol w:w="1756"/>
        <w:gridCol w:w="1756"/>
        <w:gridCol w:w="1756"/>
      </w:tblGrid>
      <w:tr w:rsidR="00DB4CD8" w:rsidRPr="00DB4CD8" w14:paraId="2D413AE5" w14:textId="77777777" w:rsidTr="00AB1FBF">
        <w:tc>
          <w:tcPr>
            <w:tcW w:w="1756" w:type="dxa"/>
          </w:tcPr>
          <w:p w14:paraId="7D0BE133"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Symptom-to-Diagnosis Interval (months)</w:t>
            </w:r>
          </w:p>
        </w:tc>
        <w:tc>
          <w:tcPr>
            <w:tcW w:w="1756" w:type="dxa"/>
          </w:tcPr>
          <w:p w14:paraId="4BCB4E19" w14:textId="77777777" w:rsidR="008F46CB" w:rsidRPr="00DB4CD8" w:rsidRDefault="00835FC9" w:rsidP="008F46CB">
            <w:pPr>
              <w:spacing w:line="259" w:lineRule="auto"/>
              <w:jc w:val="both"/>
              <w:rPr>
                <w:rFonts w:ascii="Arial Narrow" w:hAnsi="Arial Narrow"/>
                <w:sz w:val="24"/>
                <w:szCs w:val="24"/>
              </w:rPr>
            </w:pPr>
            <w:proofErr w:type="spellStart"/>
            <w:r w:rsidRPr="00DB4CD8">
              <w:rPr>
                <w:rFonts w:ascii="Arial Narrow" w:hAnsi="Arial Narrow"/>
                <w:sz w:val="24"/>
                <w:szCs w:val="24"/>
              </w:rPr>
              <w:t>Number</w:t>
            </w:r>
            <w:proofErr w:type="spellEnd"/>
            <w:r w:rsidRPr="00DB4CD8">
              <w:rPr>
                <w:rFonts w:ascii="Arial Narrow" w:hAnsi="Arial Narrow"/>
                <w:sz w:val="24"/>
                <w:szCs w:val="24"/>
              </w:rPr>
              <w:t xml:space="preserve"> of </w:t>
            </w:r>
            <w:proofErr w:type="spellStart"/>
            <w:r w:rsidRPr="00DB4CD8">
              <w:rPr>
                <w:rFonts w:ascii="Arial Narrow" w:hAnsi="Arial Narrow"/>
                <w:sz w:val="24"/>
                <w:szCs w:val="24"/>
              </w:rPr>
              <w:t>Metastatic</w:t>
            </w:r>
            <w:proofErr w:type="spellEnd"/>
            <w:r w:rsidRPr="00DB4CD8">
              <w:rPr>
                <w:rFonts w:ascii="Arial Narrow" w:hAnsi="Arial Narrow"/>
                <w:sz w:val="24"/>
                <w:szCs w:val="24"/>
              </w:rPr>
              <w:t xml:space="preserve"> Patients</w:t>
            </w:r>
          </w:p>
        </w:tc>
        <w:tc>
          <w:tcPr>
            <w:tcW w:w="1756" w:type="dxa"/>
          </w:tcPr>
          <w:p w14:paraId="517FF690"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Number of Non-Metastatic Patients</w:t>
            </w:r>
          </w:p>
        </w:tc>
        <w:tc>
          <w:tcPr>
            <w:tcW w:w="1756" w:type="dxa"/>
          </w:tcPr>
          <w:p w14:paraId="3522D837"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 xml:space="preserve">Total per </w:t>
            </w:r>
            <w:proofErr w:type="spellStart"/>
            <w:r w:rsidRPr="00DB4CD8">
              <w:rPr>
                <w:rFonts w:ascii="Arial Narrow" w:hAnsi="Arial Narrow"/>
                <w:sz w:val="24"/>
                <w:szCs w:val="24"/>
              </w:rPr>
              <w:t>Interval</w:t>
            </w:r>
            <w:proofErr w:type="spellEnd"/>
          </w:p>
        </w:tc>
        <w:tc>
          <w:tcPr>
            <w:tcW w:w="1756" w:type="dxa"/>
          </w:tcPr>
          <w:p w14:paraId="14CD9105" w14:textId="77777777" w:rsidR="008F46CB" w:rsidRPr="00DB4CD8" w:rsidRDefault="00835FC9" w:rsidP="008F46CB">
            <w:pPr>
              <w:spacing w:line="259" w:lineRule="auto"/>
              <w:jc w:val="both"/>
              <w:rPr>
                <w:rFonts w:ascii="Arial Narrow" w:hAnsi="Arial Narrow"/>
                <w:sz w:val="24"/>
                <w:szCs w:val="24"/>
              </w:rPr>
            </w:pPr>
            <w:proofErr w:type="spellStart"/>
            <w:r w:rsidRPr="00DB4CD8">
              <w:rPr>
                <w:rFonts w:ascii="Arial Narrow" w:hAnsi="Arial Narrow"/>
                <w:sz w:val="24"/>
                <w:szCs w:val="24"/>
              </w:rPr>
              <w:t>Metastasis</w:t>
            </w:r>
            <w:proofErr w:type="spellEnd"/>
            <w:r w:rsidRPr="00DB4CD8">
              <w:rPr>
                <w:rFonts w:ascii="Arial Narrow" w:hAnsi="Arial Narrow"/>
                <w:sz w:val="24"/>
                <w:szCs w:val="24"/>
              </w:rPr>
              <w:t xml:space="preserve"> Rate (%)</w:t>
            </w:r>
          </w:p>
        </w:tc>
      </w:tr>
      <w:tr w:rsidR="00DB4CD8" w:rsidRPr="00DB4CD8" w14:paraId="2870004B" w14:textId="77777777" w:rsidTr="00AB1FBF">
        <w:tc>
          <w:tcPr>
            <w:tcW w:w="1756" w:type="dxa"/>
          </w:tcPr>
          <w:p w14:paraId="3A7D210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1-3</w:t>
            </w:r>
          </w:p>
        </w:tc>
        <w:tc>
          <w:tcPr>
            <w:tcW w:w="1756" w:type="dxa"/>
          </w:tcPr>
          <w:p w14:paraId="6D681DF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w:t>
            </w:r>
          </w:p>
        </w:tc>
        <w:tc>
          <w:tcPr>
            <w:tcW w:w="1756" w:type="dxa"/>
          </w:tcPr>
          <w:p w14:paraId="4E51AD0C"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w:t>
            </w:r>
          </w:p>
        </w:tc>
        <w:tc>
          <w:tcPr>
            <w:tcW w:w="1756" w:type="dxa"/>
          </w:tcPr>
          <w:p w14:paraId="2E688100"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4</w:t>
            </w:r>
          </w:p>
        </w:tc>
        <w:tc>
          <w:tcPr>
            <w:tcW w:w="1756" w:type="dxa"/>
          </w:tcPr>
          <w:p w14:paraId="7A299618"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50</w:t>
            </w:r>
          </w:p>
        </w:tc>
      </w:tr>
      <w:tr w:rsidR="00DB4CD8" w:rsidRPr="00DB4CD8" w14:paraId="2E330372" w14:textId="77777777" w:rsidTr="00AB1FBF">
        <w:tc>
          <w:tcPr>
            <w:tcW w:w="1756" w:type="dxa"/>
          </w:tcPr>
          <w:p w14:paraId="6BC81489"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4-6</w:t>
            </w:r>
          </w:p>
        </w:tc>
        <w:tc>
          <w:tcPr>
            <w:tcW w:w="1756" w:type="dxa"/>
          </w:tcPr>
          <w:p w14:paraId="75C8BD0F"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w:t>
            </w:r>
          </w:p>
        </w:tc>
        <w:tc>
          <w:tcPr>
            <w:tcW w:w="1756" w:type="dxa"/>
          </w:tcPr>
          <w:p w14:paraId="3109DADE"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w:t>
            </w:r>
          </w:p>
        </w:tc>
        <w:tc>
          <w:tcPr>
            <w:tcW w:w="1756" w:type="dxa"/>
          </w:tcPr>
          <w:p w14:paraId="621E3835"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w:t>
            </w:r>
          </w:p>
        </w:tc>
        <w:tc>
          <w:tcPr>
            <w:tcW w:w="1756" w:type="dxa"/>
          </w:tcPr>
          <w:p w14:paraId="3C5F46FC"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50</w:t>
            </w:r>
          </w:p>
        </w:tc>
      </w:tr>
      <w:tr w:rsidR="00DB4CD8" w:rsidRPr="00DB4CD8" w14:paraId="033354BF" w14:textId="77777777" w:rsidTr="00AB1FBF">
        <w:tc>
          <w:tcPr>
            <w:tcW w:w="1756" w:type="dxa"/>
          </w:tcPr>
          <w:p w14:paraId="7617F458"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 xml:space="preserve">&gt; 6 </w:t>
            </w:r>
            <w:proofErr w:type="spellStart"/>
            <w:r w:rsidR="00835FC9" w:rsidRPr="00DB4CD8">
              <w:rPr>
                <w:rFonts w:ascii="Arial Narrow" w:hAnsi="Arial Narrow"/>
                <w:sz w:val="24"/>
                <w:szCs w:val="24"/>
              </w:rPr>
              <w:t>months</w:t>
            </w:r>
            <w:proofErr w:type="spellEnd"/>
          </w:p>
        </w:tc>
        <w:tc>
          <w:tcPr>
            <w:tcW w:w="1756" w:type="dxa"/>
          </w:tcPr>
          <w:p w14:paraId="1005BC3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3</w:t>
            </w:r>
          </w:p>
        </w:tc>
        <w:tc>
          <w:tcPr>
            <w:tcW w:w="1756" w:type="dxa"/>
          </w:tcPr>
          <w:p w14:paraId="4711971E"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0</w:t>
            </w:r>
          </w:p>
        </w:tc>
        <w:tc>
          <w:tcPr>
            <w:tcW w:w="1756" w:type="dxa"/>
          </w:tcPr>
          <w:p w14:paraId="08DF2248"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3</w:t>
            </w:r>
          </w:p>
        </w:tc>
        <w:tc>
          <w:tcPr>
            <w:tcW w:w="1756" w:type="dxa"/>
          </w:tcPr>
          <w:p w14:paraId="7332E976"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100</w:t>
            </w:r>
          </w:p>
        </w:tc>
      </w:tr>
      <w:tr w:rsidR="008F46CB" w:rsidRPr="00DB4CD8" w14:paraId="7DBDCDA4" w14:textId="77777777" w:rsidTr="00AB1FBF">
        <w:tc>
          <w:tcPr>
            <w:tcW w:w="1756" w:type="dxa"/>
          </w:tcPr>
          <w:p w14:paraId="6346E70C"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Total</w:t>
            </w:r>
          </w:p>
        </w:tc>
        <w:tc>
          <w:tcPr>
            <w:tcW w:w="1756" w:type="dxa"/>
          </w:tcPr>
          <w:p w14:paraId="321A9207"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6</w:t>
            </w:r>
          </w:p>
        </w:tc>
        <w:tc>
          <w:tcPr>
            <w:tcW w:w="1756" w:type="dxa"/>
          </w:tcPr>
          <w:p w14:paraId="4060D8C8"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3</w:t>
            </w:r>
          </w:p>
        </w:tc>
        <w:tc>
          <w:tcPr>
            <w:tcW w:w="1756" w:type="dxa"/>
          </w:tcPr>
          <w:p w14:paraId="5E693A0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9</w:t>
            </w:r>
          </w:p>
        </w:tc>
        <w:tc>
          <w:tcPr>
            <w:tcW w:w="1756" w:type="dxa"/>
          </w:tcPr>
          <w:p w14:paraId="05E35844"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66.</w:t>
            </w:r>
            <w:r w:rsidR="008F46CB" w:rsidRPr="00DB4CD8">
              <w:rPr>
                <w:rFonts w:ascii="Arial Narrow" w:hAnsi="Arial Narrow"/>
                <w:sz w:val="24"/>
                <w:szCs w:val="24"/>
              </w:rPr>
              <w:t>7</w:t>
            </w:r>
          </w:p>
        </w:tc>
      </w:tr>
    </w:tbl>
    <w:p w14:paraId="7586FB78" w14:textId="77777777" w:rsidR="008F46CB" w:rsidRPr="00DB4CD8" w:rsidRDefault="008F46CB" w:rsidP="008F46CB">
      <w:pPr>
        <w:spacing w:after="0"/>
        <w:jc w:val="both"/>
        <w:rPr>
          <w:rFonts w:ascii="Arial Narrow" w:hAnsi="Arial Narrow"/>
          <w:sz w:val="24"/>
          <w:szCs w:val="24"/>
          <w:lang w:val="en-US"/>
        </w:rPr>
      </w:pPr>
    </w:p>
    <w:p w14:paraId="566A2434"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The mean consultation delay in our series was therefore 6.7 months.</w:t>
      </w:r>
    </w:p>
    <w:p w14:paraId="40FBB13D" w14:textId="77777777" w:rsidR="008F46CB" w:rsidRPr="00DB4CD8" w:rsidRDefault="008F46CB" w:rsidP="008F46CB">
      <w:pPr>
        <w:spacing w:after="0"/>
        <w:jc w:val="both"/>
        <w:rPr>
          <w:rFonts w:ascii="Arial Narrow" w:hAnsi="Arial Narrow"/>
          <w:sz w:val="24"/>
          <w:szCs w:val="24"/>
          <w:lang w:val="en-US"/>
        </w:rPr>
      </w:pPr>
    </w:p>
    <w:p w14:paraId="12CB3C8B" w14:textId="77777777" w:rsidR="008F46CB" w:rsidRPr="007E7A31" w:rsidRDefault="008F46CB" w:rsidP="008F46CB">
      <w:pPr>
        <w:spacing w:after="0"/>
        <w:jc w:val="both"/>
        <w:rPr>
          <w:rFonts w:ascii="Arial Narrow" w:hAnsi="Arial Narrow"/>
          <w:b/>
          <w:bCs/>
          <w:sz w:val="24"/>
          <w:szCs w:val="24"/>
          <w:lang w:val="en-US"/>
        </w:rPr>
      </w:pPr>
      <w:r w:rsidRPr="007E7A31">
        <w:rPr>
          <w:rFonts w:ascii="Arial Narrow" w:hAnsi="Arial Narrow"/>
          <w:b/>
          <w:bCs/>
          <w:sz w:val="24"/>
          <w:szCs w:val="24"/>
          <w:lang w:val="en-US"/>
        </w:rPr>
        <w:t>Risk Factors</w:t>
      </w:r>
    </w:p>
    <w:p w14:paraId="19DE49A2"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Risk factors were identified in 78% of cases. Helicobacter pylori infection associated with chronic gastritis (56%) and smoking (33%) were the two predominant factors.</w:t>
      </w:r>
    </w:p>
    <w:p w14:paraId="7FBB9AF9"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The combination of these two factors was present in one patient, and in one case, alcohol consumption was an additional contributing factor. Two cases of family history of gastric cancer were identified: one occurred within a triad of risk factors including chronic H. pylori infection and smoking, while the second was associated with H. pylori infection without smoking.</w:t>
      </w:r>
    </w:p>
    <w:p w14:paraId="5B353B77" w14:textId="77777777" w:rsidR="008F46CB" w:rsidRPr="00DB4CD8" w:rsidRDefault="008F46CB" w:rsidP="008F46CB">
      <w:pPr>
        <w:spacing w:after="0"/>
        <w:jc w:val="both"/>
        <w:rPr>
          <w:rFonts w:ascii="Arial Narrow" w:hAnsi="Arial Narrow"/>
          <w:sz w:val="24"/>
          <w:szCs w:val="24"/>
          <w:lang w:val="en-US"/>
        </w:rPr>
      </w:pPr>
    </w:p>
    <w:p w14:paraId="24372B8F"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Table III: Distribution of patients according to the crude frequency of identified risk factors (n = 9).</w:t>
      </w:r>
    </w:p>
    <w:p w14:paraId="738ED2EE" w14:textId="77777777" w:rsidR="008F46CB" w:rsidRPr="00DB4CD8" w:rsidRDefault="008F46CB" w:rsidP="008F46CB">
      <w:pPr>
        <w:spacing w:after="0"/>
        <w:jc w:val="both"/>
        <w:rPr>
          <w:rFonts w:ascii="Arial Narrow" w:hAnsi="Arial Narrow"/>
          <w:sz w:val="24"/>
          <w:szCs w:val="24"/>
          <w:lang w:val="en-US"/>
        </w:rPr>
      </w:pPr>
    </w:p>
    <w:tbl>
      <w:tblPr>
        <w:tblStyle w:val="TableGrid"/>
        <w:tblW w:w="0" w:type="auto"/>
        <w:tblInd w:w="38" w:type="dxa"/>
        <w:tblLook w:val="04A0" w:firstRow="1" w:lastRow="0" w:firstColumn="1" w:lastColumn="0" w:noHBand="0" w:noVBand="1"/>
      </w:tblPr>
      <w:tblGrid>
        <w:gridCol w:w="4465"/>
        <w:gridCol w:w="2126"/>
        <w:gridCol w:w="2189"/>
      </w:tblGrid>
      <w:tr w:rsidR="00DB4CD8" w:rsidRPr="00DB4CD8" w14:paraId="36E178B8" w14:textId="77777777" w:rsidTr="00AB1FBF">
        <w:tc>
          <w:tcPr>
            <w:tcW w:w="4465" w:type="dxa"/>
          </w:tcPr>
          <w:p w14:paraId="493EE753"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Risk Factor</w:t>
            </w:r>
          </w:p>
        </w:tc>
        <w:tc>
          <w:tcPr>
            <w:tcW w:w="2126" w:type="dxa"/>
          </w:tcPr>
          <w:p w14:paraId="0D3D4687"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Number of cases</w:t>
            </w:r>
          </w:p>
        </w:tc>
        <w:tc>
          <w:tcPr>
            <w:tcW w:w="2189" w:type="dxa"/>
          </w:tcPr>
          <w:p w14:paraId="02C767B0"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Pe</w:t>
            </w:r>
            <w:r w:rsidR="008F46CB" w:rsidRPr="00DB4CD8">
              <w:rPr>
                <w:rFonts w:ascii="Arial Narrow" w:hAnsi="Arial Narrow"/>
                <w:sz w:val="24"/>
                <w:szCs w:val="24"/>
              </w:rPr>
              <w:t>rcentage (%)</w:t>
            </w:r>
          </w:p>
        </w:tc>
      </w:tr>
      <w:tr w:rsidR="00DB4CD8" w:rsidRPr="00DB4CD8" w14:paraId="613A4CA1" w14:textId="77777777" w:rsidTr="00AB1FBF">
        <w:tc>
          <w:tcPr>
            <w:tcW w:w="4465" w:type="dxa"/>
          </w:tcPr>
          <w:p w14:paraId="02E10404"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Helicobacter pylori infection</w:t>
            </w:r>
          </w:p>
        </w:tc>
        <w:tc>
          <w:tcPr>
            <w:tcW w:w="2126" w:type="dxa"/>
          </w:tcPr>
          <w:p w14:paraId="0D63B76B"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5</w:t>
            </w:r>
          </w:p>
        </w:tc>
        <w:tc>
          <w:tcPr>
            <w:tcW w:w="2189" w:type="dxa"/>
          </w:tcPr>
          <w:p w14:paraId="45802C8F"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56</w:t>
            </w:r>
          </w:p>
        </w:tc>
      </w:tr>
      <w:tr w:rsidR="00DB4CD8" w:rsidRPr="00DB4CD8" w14:paraId="4E8F3227" w14:textId="77777777" w:rsidTr="00AB1FBF">
        <w:tc>
          <w:tcPr>
            <w:tcW w:w="4465" w:type="dxa"/>
          </w:tcPr>
          <w:p w14:paraId="149A9ECC"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Smoking</w:t>
            </w:r>
          </w:p>
        </w:tc>
        <w:tc>
          <w:tcPr>
            <w:tcW w:w="2126" w:type="dxa"/>
          </w:tcPr>
          <w:p w14:paraId="0ACAB794"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3</w:t>
            </w:r>
          </w:p>
        </w:tc>
        <w:tc>
          <w:tcPr>
            <w:tcW w:w="2189" w:type="dxa"/>
          </w:tcPr>
          <w:p w14:paraId="1DF15679"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33</w:t>
            </w:r>
          </w:p>
        </w:tc>
      </w:tr>
      <w:tr w:rsidR="00DB4CD8" w:rsidRPr="00DB4CD8" w14:paraId="7EEDC2C1" w14:textId="77777777" w:rsidTr="00AB1FBF">
        <w:tc>
          <w:tcPr>
            <w:tcW w:w="4465" w:type="dxa"/>
          </w:tcPr>
          <w:p w14:paraId="6683E5F8"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First-degree family history of gastric cancer</w:t>
            </w:r>
          </w:p>
        </w:tc>
        <w:tc>
          <w:tcPr>
            <w:tcW w:w="2126" w:type="dxa"/>
          </w:tcPr>
          <w:p w14:paraId="6D1A593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w:t>
            </w:r>
          </w:p>
        </w:tc>
        <w:tc>
          <w:tcPr>
            <w:tcW w:w="2189" w:type="dxa"/>
          </w:tcPr>
          <w:p w14:paraId="26DCC7E7"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22</w:t>
            </w:r>
          </w:p>
        </w:tc>
      </w:tr>
      <w:tr w:rsidR="00DB4CD8" w:rsidRPr="00DB4CD8" w14:paraId="2F9947DE" w14:textId="77777777" w:rsidTr="00AB1FBF">
        <w:tc>
          <w:tcPr>
            <w:tcW w:w="4465" w:type="dxa"/>
          </w:tcPr>
          <w:p w14:paraId="02555E27" w14:textId="77777777" w:rsidR="008F46CB" w:rsidRPr="00DB4CD8" w:rsidRDefault="00835FC9" w:rsidP="008F46CB">
            <w:pPr>
              <w:spacing w:line="259" w:lineRule="auto"/>
              <w:jc w:val="both"/>
              <w:rPr>
                <w:rFonts w:ascii="Arial Narrow" w:hAnsi="Arial Narrow"/>
                <w:sz w:val="24"/>
                <w:szCs w:val="24"/>
              </w:rPr>
            </w:pPr>
            <w:proofErr w:type="spellStart"/>
            <w:r w:rsidRPr="00DB4CD8">
              <w:rPr>
                <w:rFonts w:ascii="Arial Narrow" w:hAnsi="Arial Narrow"/>
                <w:sz w:val="24"/>
                <w:szCs w:val="24"/>
              </w:rPr>
              <w:t>Alcohol</w:t>
            </w:r>
            <w:proofErr w:type="spellEnd"/>
            <w:r w:rsidRPr="00DB4CD8">
              <w:rPr>
                <w:rFonts w:ascii="Arial Narrow" w:hAnsi="Arial Narrow"/>
                <w:sz w:val="24"/>
                <w:szCs w:val="24"/>
              </w:rPr>
              <w:t xml:space="preserve"> </w:t>
            </w:r>
            <w:proofErr w:type="spellStart"/>
            <w:r w:rsidRPr="00DB4CD8">
              <w:rPr>
                <w:rFonts w:ascii="Arial Narrow" w:hAnsi="Arial Narrow"/>
                <w:sz w:val="24"/>
                <w:szCs w:val="24"/>
              </w:rPr>
              <w:t>consumption</w:t>
            </w:r>
            <w:proofErr w:type="spellEnd"/>
          </w:p>
        </w:tc>
        <w:tc>
          <w:tcPr>
            <w:tcW w:w="2126" w:type="dxa"/>
          </w:tcPr>
          <w:p w14:paraId="2009B159"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w:t>
            </w:r>
          </w:p>
        </w:tc>
        <w:tc>
          <w:tcPr>
            <w:tcW w:w="2189" w:type="dxa"/>
          </w:tcPr>
          <w:p w14:paraId="2EE5592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11</w:t>
            </w:r>
          </w:p>
        </w:tc>
      </w:tr>
      <w:tr w:rsidR="008F46CB" w:rsidRPr="00DB4CD8" w14:paraId="7A63B705" w14:textId="77777777" w:rsidTr="00AB1FBF">
        <w:tc>
          <w:tcPr>
            <w:tcW w:w="4465" w:type="dxa"/>
          </w:tcPr>
          <w:p w14:paraId="2666D350" w14:textId="77777777" w:rsidR="008F46CB" w:rsidRPr="00DB4CD8" w:rsidRDefault="00835FC9" w:rsidP="008F46CB">
            <w:pPr>
              <w:spacing w:line="259" w:lineRule="auto"/>
              <w:jc w:val="both"/>
              <w:rPr>
                <w:rFonts w:ascii="Arial Narrow" w:hAnsi="Arial Narrow"/>
                <w:sz w:val="24"/>
                <w:szCs w:val="24"/>
              </w:rPr>
            </w:pPr>
            <w:r w:rsidRPr="00DB4CD8">
              <w:rPr>
                <w:rFonts w:ascii="Arial Narrow" w:hAnsi="Arial Narrow"/>
                <w:sz w:val="24"/>
                <w:szCs w:val="24"/>
              </w:rPr>
              <w:t xml:space="preserve">No </w:t>
            </w:r>
            <w:proofErr w:type="spellStart"/>
            <w:r w:rsidRPr="00DB4CD8">
              <w:rPr>
                <w:rFonts w:ascii="Arial Narrow" w:hAnsi="Arial Narrow"/>
                <w:sz w:val="24"/>
                <w:szCs w:val="24"/>
              </w:rPr>
              <w:t>risk</w:t>
            </w:r>
            <w:proofErr w:type="spellEnd"/>
            <w:r w:rsidRPr="00DB4CD8">
              <w:rPr>
                <w:rFonts w:ascii="Arial Narrow" w:hAnsi="Arial Narrow"/>
                <w:sz w:val="24"/>
                <w:szCs w:val="24"/>
              </w:rPr>
              <w:t xml:space="preserve"> factor </w:t>
            </w:r>
            <w:proofErr w:type="spellStart"/>
            <w:r w:rsidRPr="00DB4CD8">
              <w:rPr>
                <w:rFonts w:ascii="Arial Narrow" w:hAnsi="Arial Narrow"/>
                <w:sz w:val="24"/>
                <w:szCs w:val="24"/>
              </w:rPr>
              <w:t>identified</w:t>
            </w:r>
            <w:proofErr w:type="spellEnd"/>
          </w:p>
        </w:tc>
        <w:tc>
          <w:tcPr>
            <w:tcW w:w="2126" w:type="dxa"/>
          </w:tcPr>
          <w:p w14:paraId="51C5585D"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w:t>
            </w:r>
          </w:p>
        </w:tc>
        <w:tc>
          <w:tcPr>
            <w:tcW w:w="2189" w:type="dxa"/>
          </w:tcPr>
          <w:p w14:paraId="1ADBB962" w14:textId="77777777" w:rsidR="008F46CB" w:rsidRPr="00DB4CD8" w:rsidRDefault="008F46CB" w:rsidP="008F46CB">
            <w:pPr>
              <w:spacing w:line="259" w:lineRule="auto"/>
              <w:jc w:val="both"/>
              <w:rPr>
                <w:rFonts w:ascii="Arial Narrow" w:hAnsi="Arial Narrow"/>
                <w:sz w:val="24"/>
                <w:szCs w:val="24"/>
              </w:rPr>
            </w:pPr>
            <w:r w:rsidRPr="00DB4CD8">
              <w:rPr>
                <w:rFonts w:ascii="Arial Narrow" w:hAnsi="Arial Narrow"/>
                <w:sz w:val="24"/>
                <w:szCs w:val="24"/>
              </w:rPr>
              <w:t>22</w:t>
            </w:r>
          </w:p>
        </w:tc>
      </w:tr>
    </w:tbl>
    <w:p w14:paraId="5E713386" w14:textId="77777777" w:rsidR="00835FC9" w:rsidRPr="00DB4CD8" w:rsidRDefault="00835FC9" w:rsidP="008F46CB">
      <w:pPr>
        <w:spacing w:after="0"/>
        <w:jc w:val="both"/>
        <w:rPr>
          <w:rFonts w:ascii="Arial Narrow" w:hAnsi="Arial Narrow"/>
          <w:sz w:val="24"/>
          <w:szCs w:val="24"/>
          <w:lang w:val="en-US"/>
        </w:rPr>
      </w:pPr>
    </w:p>
    <w:p w14:paraId="37D28D7F" w14:textId="77777777" w:rsidR="008F46CB" w:rsidRPr="007E7A31" w:rsidRDefault="0025294D" w:rsidP="008F46CB">
      <w:pPr>
        <w:spacing w:after="0"/>
        <w:jc w:val="both"/>
        <w:rPr>
          <w:rFonts w:ascii="Arial Narrow" w:hAnsi="Arial Narrow"/>
          <w:b/>
          <w:bCs/>
          <w:sz w:val="24"/>
          <w:szCs w:val="24"/>
          <w:lang w:val="en-US"/>
        </w:rPr>
      </w:pPr>
      <w:r w:rsidRPr="007E7A31">
        <w:rPr>
          <w:rFonts w:ascii="Arial Narrow" w:hAnsi="Arial Narrow"/>
          <w:b/>
          <w:bCs/>
          <w:sz w:val="24"/>
          <w:szCs w:val="24"/>
          <w:lang w:val="en-US"/>
        </w:rPr>
        <w:t>Histopathology and s</w:t>
      </w:r>
      <w:r w:rsidR="008F46CB" w:rsidRPr="007E7A31">
        <w:rPr>
          <w:rFonts w:ascii="Arial Narrow" w:hAnsi="Arial Narrow"/>
          <w:b/>
          <w:bCs/>
          <w:sz w:val="24"/>
          <w:szCs w:val="24"/>
          <w:lang w:val="en-US"/>
        </w:rPr>
        <w:t>tage</w:t>
      </w:r>
    </w:p>
    <w:p w14:paraId="238B179B" w14:textId="77777777" w:rsidR="008F46CB" w:rsidRPr="00DB4CD8" w:rsidRDefault="008F46CB" w:rsidP="008F46CB">
      <w:pPr>
        <w:spacing w:after="0"/>
        <w:jc w:val="both"/>
        <w:rPr>
          <w:rFonts w:ascii="Arial Narrow" w:hAnsi="Arial Narrow"/>
          <w:sz w:val="24"/>
          <w:szCs w:val="24"/>
          <w:lang w:val="en-US"/>
        </w:rPr>
      </w:pPr>
    </w:p>
    <w:p w14:paraId="2A156050" w14:textId="77777777"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Adenocarcinoma accounted for 89% of the histological types, of which 7 cases (78%) were infiltrative.</w:t>
      </w:r>
    </w:p>
    <w:p w14:paraId="111CB016" w14:textId="77777777" w:rsidR="008F46CB" w:rsidRPr="00DB4CD8" w:rsidRDefault="008F46CB" w:rsidP="008F46CB">
      <w:pPr>
        <w:spacing w:after="0"/>
        <w:jc w:val="both"/>
        <w:rPr>
          <w:rFonts w:ascii="Arial Narrow" w:hAnsi="Arial Narrow"/>
          <w:sz w:val="24"/>
          <w:szCs w:val="24"/>
          <w:lang w:val="en-US"/>
        </w:rPr>
      </w:pPr>
    </w:p>
    <w:p w14:paraId="149BF95D" w14:textId="708E8105" w:rsidR="008F46CB" w:rsidRPr="00DB4CD8" w:rsidRDefault="008F46CB" w:rsidP="008F46CB">
      <w:pPr>
        <w:spacing w:after="0"/>
        <w:jc w:val="both"/>
        <w:rPr>
          <w:rFonts w:ascii="Arial Narrow" w:hAnsi="Arial Narrow"/>
          <w:sz w:val="24"/>
          <w:szCs w:val="24"/>
          <w:lang w:val="en-US"/>
        </w:rPr>
      </w:pPr>
      <w:r w:rsidRPr="00DB4CD8">
        <w:rPr>
          <w:rFonts w:ascii="Arial Narrow" w:hAnsi="Arial Narrow"/>
          <w:sz w:val="24"/>
          <w:szCs w:val="24"/>
          <w:lang w:val="en-US"/>
        </w:rPr>
        <w:t>Table I</w:t>
      </w:r>
      <w:r w:rsidR="00402B3C" w:rsidRPr="00DB4CD8">
        <w:rPr>
          <w:rFonts w:ascii="Arial Narrow" w:hAnsi="Arial Narrow"/>
          <w:sz w:val="24"/>
          <w:szCs w:val="24"/>
          <w:lang w:val="en-US"/>
        </w:rPr>
        <w:t>V</w:t>
      </w:r>
      <w:r w:rsidRPr="00DB4CD8">
        <w:rPr>
          <w:rFonts w:ascii="Arial Narrow" w:hAnsi="Arial Narrow"/>
          <w:sz w:val="24"/>
          <w:szCs w:val="24"/>
          <w:lang w:val="en-US"/>
        </w:rPr>
        <w:t>: Histopathological profile of gastric cancers (n = 9).</w:t>
      </w:r>
    </w:p>
    <w:p w14:paraId="3EBA0F32" w14:textId="77777777" w:rsidR="008F46CB" w:rsidRPr="00DB4CD8" w:rsidRDefault="008F46CB" w:rsidP="008F46CB">
      <w:pPr>
        <w:spacing w:after="0"/>
        <w:jc w:val="both"/>
        <w:rPr>
          <w:rFonts w:ascii="Arial Narrow" w:hAnsi="Arial Narrow"/>
          <w:sz w:val="24"/>
          <w:szCs w:val="24"/>
          <w:lang w:val="en-US"/>
        </w:rPr>
      </w:pPr>
    </w:p>
    <w:tbl>
      <w:tblPr>
        <w:tblStyle w:val="TableGrid"/>
        <w:tblW w:w="8717" w:type="dxa"/>
        <w:tblInd w:w="38" w:type="dxa"/>
        <w:tblLook w:val="04A0" w:firstRow="1" w:lastRow="0" w:firstColumn="1" w:lastColumn="0" w:noHBand="0" w:noVBand="1"/>
      </w:tblPr>
      <w:tblGrid>
        <w:gridCol w:w="1693"/>
        <w:gridCol w:w="1099"/>
        <w:gridCol w:w="3090"/>
        <w:gridCol w:w="1134"/>
        <w:gridCol w:w="1701"/>
      </w:tblGrid>
      <w:tr w:rsidR="00DB4CD8" w:rsidRPr="00DB4CD8" w14:paraId="10270089" w14:textId="77777777" w:rsidTr="00835FC9">
        <w:tc>
          <w:tcPr>
            <w:tcW w:w="1693" w:type="dxa"/>
          </w:tcPr>
          <w:p w14:paraId="02E5C3AA"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Histological type</w:t>
            </w:r>
          </w:p>
        </w:tc>
        <w:tc>
          <w:tcPr>
            <w:tcW w:w="1099" w:type="dxa"/>
          </w:tcPr>
          <w:p w14:paraId="439003B6"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Infiltrative Pattern</w:t>
            </w:r>
          </w:p>
        </w:tc>
        <w:tc>
          <w:tcPr>
            <w:tcW w:w="3090" w:type="dxa"/>
          </w:tcPr>
          <w:p w14:paraId="06EB2461"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Degree of Differentiation</w:t>
            </w:r>
          </w:p>
        </w:tc>
        <w:tc>
          <w:tcPr>
            <w:tcW w:w="1134" w:type="dxa"/>
          </w:tcPr>
          <w:p w14:paraId="05DF5DC1"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 xml:space="preserve">Number of cases </w:t>
            </w:r>
            <w:r w:rsidR="008F46CB" w:rsidRPr="00DB4CD8">
              <w:rPr>
                <w:rFonts w:ascii="Arial Narrow" w:hAnsi="Arial Narrow"/>
                <w:sz w:val="24"/>
                <w:szCs w:val="24"/>
                <w:lang w:val="en-US"/>
              </w:rPr>
              <w:t>(n)</w:t>
            </w:r>
          </w:p>
        </w:tc>
        <w:tc>
          <w:tcPr>
            <w:tcW w:w="1701" w:type="dxa"/>
          </w:tcPr>
          <w:p w14:paraId="651C77A6"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Pe</w:t>
            </w:r>
            <w:r w:rsidR="008F46CB" w:rsidRPr="00DB4CD8">
              <w:rPr>
                <w:rFonts w:ascii="Arial Narrow" w:hAnsi="Arial Narrow"/>
                <w:sz w:val="24"/>
                <w:szCs w:val="24"/>
                <w:lang w:val="en-US"/>
              </w:rPr>
              <w:t>rcentage (%)</w:t>
            </w:r>
          </w:p>
        </w:tc>
      </w:tr>
      <w:tr w:rsidR="00DB4CD8" w:rsidRPr="00DB4CD8" w14:paraId="535A2056" w14:textId="77777777" w:rsidTr="00835FC9">
        <w:tc>
          <w:tcPr>
            <w:tcW w:w="1693" w:type="dxa"/>
            <w:vMerge w:val="restart"/>
          </w:tcPr>
          <w:p w14:paraId="434C4A75"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 xml:space="preserve">Adenocarcinoma </w:t>
            </w:r>
          </w:p>
        </w:tc>
        <w:tc>
          <w:tcPr>
            <w:tcW w:w="1099" w:type="dxa"/>
            <w:vMerge w:val="restart"/>
          </w:tcPr>
          <w:p w14:paraId="60D1374E"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Infiltrative</w:t>
            </w:r>
          </w:p>
        </w:tc>
        <w:tc>
          <w:tcPr>
            <w:tcW w:w="3090" w:type="dxa"/>
          </w:tcPr>
          <w:p w14:paraId="55438C24"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Poorly differentiated / Invasive</w:t>
            </w:r>
          </w:p>
        </w:tc>
        <w:tc>
          <w:tcPr>
            <w:tcW w:w="1134" w:type="dxa"/>
          </w:tcPr>
          <w:p w14:paraId="1B6434FF"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3</w:t>
            </w:r>
          </w:p>
        </w:tc>
        <w:tc>
          <w:tcPr>
            <w:tcW w:w="1701" w:type="dxa"/>
          </w:tcPr>
          <w:p w14:paraId="6E51CE09"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33.</w:t>
            </w:r>
            <w:r w:rsidR="008F46CB" w:rsidRPr="00DB4CD8">
              <w:rPr>
                <w:rFonts w:ascii="Arial Narrow" w:hAnsi="Arial Narrow"/>
                <w:sz w:val="24"/>
                <w:szCs w:val="24"/>
                <w:lang w:val="en-US"/>
              </w:rPr>
              <w:t>3%</w:t>
            </w:r>
          </w:p>
        </w:tc>
      </w:tr>
      <w:tr w:rsidR="00DB4CD8" w:rsidRPr="00DB4CD8" w14:paraId="56179EC4" w14:textId="77777777" w:rsidTr="00835FC9">
        <w:tc>
          <w:tcPr>
            <w:tcW w:w="1693" w:type="dxa"/>
            <w:vMerge/>
          </w:tcPr>
          <w:p w14:paraId="439760D4" w14:textId="77777777" w:rsidR="008F46CB" w:rsidRPr="00DB4CD8" w:rsidRDefault="008F46CB" w:rsidP="008F46CB">
            <w:pPr>
              <w:spacing w:line="259" w:lineRule="auto"/>
              <w:jc w:val="both"/>
              <w:rPr>
                <w:rFonts w:ascii="Arial Narrow" w:hAnsi="Arial Narrow"/>
                <w:sz w:val="24"/>
                <w:szCs w:val="24"/>
                <w:lang w:val="en-US"/>
              </w:rPr>
            </w:pPr>
          </w:p>
        </w:tc>
        <w:tc>
          <w:tcPr>
            <w:tcW w:w="1099" w:type="dxa"/>
            <w:vMerge/>
          </w:tcPr>
          <w:p w14:paraId="216A79D6" w14:textId="77777777" w:rsidR="008F46CB" w:rsidRPr="00DB4CD8" w:rsidRDefault="008F46CB" w:rsidP="008F46CB">
            <w:pPr>
              <w:spacing w:line="259" w:lineRule="auto"/>
              <w:jc w:val="both"/>
              <w:rPr>
                <w:rFonts w:ascii="Arial Narrow" w:hAnsi="Arial Narrow"/>
                <w:sz w:val="24"/>
                <w:szCs w:val="24"/>
                <w:lang w:val="en-US"/>
              </w:rPr>
            </w:pPr>
          </w:p>
        </w:tc>
        <w:tc>
          <w:tcPr>
            <w:tcW w:w="3090" w:type="dxa"/>
          </w:tcPr>
          <w:p w14:paraId="0CD0D1E6"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Signet-ring cells (</w:t>
            </w:r>
            <w:proofErr w:type="spellStart"/>
            <w:r w:rsidRPr="00DB4CD8">
              <w:rPr>
                <w:rFonts w:ascii="Arial Narrow" w:hAnsi="Arial Narrow"/>
                <w:sz w:val="24"/>
                <w:szCs w:val="24"/>
                <w:lang w:val="en-US"/>
              </w:rPr>
              <w:t>Linitis</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plastica</w:t>
            </w:r>
            <w:proofErr w:type="spellEnd"/>
            <w:r w:rsidRPr="00DB4CD8">
              <w:rPr>
                <w:rFonts w:ascii="Arial Narrow" w:hAnsi="Arial Narrow"/>
                <w:sz w:val="24"/>
                <w:szCs w:val="24"/>
                <w:lang w:val="en-US"/>
              </w:rPr>
              <w:t>)</w:t>
            </w:r>
          </w:p>
        </w:tc>
        <w:tc>
          <w:tcPr>
            <w:tcW w:w="1134" w:type="dxa"/>
          </w:tcPr>
          <w:p w14:paraId="42111F26"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2</w:t>
            </w:r>
          </w:p>
        </w:tc>
        <w:tc>
          <w:tcPr>
            <w:tcW w:w="1701" w:type="dxa"/>
          </w:tcPr>
          <w:p w14:paraId="25E4D04B"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22.</w:t>
            </w:r>
            <w:r w:rsidR="008F46CB" w:rsidRPr="00DB4CD8">
              <w:rPr>
                <w:rFonts w:ascii="Arial Narrow" w:hAnsi="Arial Narrow"/>
                <w:sz w:val="24"/>
                <w:szCs w:val="24"/>
                <w:lang w:val="en-US"/>
              </w:rPr>
              <w:t>2 %</w:t>
            </w:r>
          </w:p>
        </w:tc>
      </w:tr>
      <w:tr w:rsidR="00DB4CD8" w:rsidRPr="00DB4CD8" w14:paraId="4452E840" w14:textId="77777777" w:rsidTr="00835FC9">
        <w:tc>
          <w:tcPr>
            <w:tcW w:w="1693" w:type="dxa"/>
            <w:vMerge/>
          </w:tcPr>
          <w:p w14:paraId="6332B704" w14:textId="77777777" w:rsidR="008F46CB" w:rsidRPr="00DB4CD8" w:rsidRDefault="008F46CB" w:rsidP="008F46CB">
            <w:pPr>
              <w:spacing w:line="259" w:lineRule="auto"/>
              <w:jc w:val="both"/>
              <w:rPr>
                <w:rFonts w:ascii="Arial Narrow" w:hAnsi="Arial Narrow"/>
                <w:sz w:val="24"/>
                <w:szCs w:val="24"/>
                <w:lang w:val="en-US"/>
              </w:rPr>
            </w:pPr>
          </w:p>
        </w:tc>
        <w:tc>
          <w:tcPr>
            <w:tcW w:w="1099" w:type="dxa"/>
            <w:vMerge/>
          </w:tcPr>
          <w:p w14:paraId="2BA41149" w14:textId="77777777" w:rsidR="008F46CB" w:rsidRPr="00DB4CD8" w:rsidRDefault="008F46CB" w:rsidP="008F46CB">
            <w:pPr>
              <w:spacing w:line="259" w:lineRule="auto"/>
              <w:jc w:val="both"/>
              <w:rPr>
                <w:rFonts w:ascii="Arial Narrow" w:hAnsi="Arial Narrow"/>
                <w:sz w:val="24"/>
                <w:szCs w:val="24"/>
                <w:lang w:val="en-US"/>
              </w:rPr>
            </w:pPr>
          </w:p>
        </w:tc>
        <w:tc>
          <w:tcPr>
            <w:tcW w:w="3090" w:type="dxa"/>
          </w:tcPr>
          <w:p w14:paraId="5037E886"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Moderately differentiated</w:t>
            </w:r>
          </w:p>
        </w:tc>
        <w:tc>
          <w:tcPr>
            <w:tcW w:w="1134" w:type="dxa"/>
          </w:tcPr>
          <w:p w14:paraId="0BE02FB4"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2</w:t>
            </w:r>
          </w:p>
        </w:tc>
        <w:tc>
          <w:tcPr>
            <w:tcW w:w="1701" w:type="dxa"/>
          </w:tcPr>
          <w:p w14:paraId="3292C9C2"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22.</w:t>
            </w:r>
            <w:r w:rsidR="008F46CB" w:rsidRPr="00DB4CD8">
              <w:rPr>
                <w:rFonts w:ascii="Arial Narrow" w:hAnsi="Arial Narrow"/>
                <w:sz w:val="24"/>
                <w:szCs w:val="24"/>
                <w:lang w:val="en-US"/>
              </w:rPr>
              <w:t>2 %</w:t>
            </w:r>
          </w:p>
        </w:tc>
      </w:tr>
      <w:tr w:rsidR="00DB4CD8" w:rsidRPr="00DB4CD8" w14:paraId="7A449677" w14:textId="77777777" w:rsidTr="00835FC9">
        <w:tc>
          <w:tcPr>
            <w:tcW w:w="1693" w:type="dxa"/>
            <w:vMerge/>
          </w:tcPr>
          <w:p w14:paraId="3BA4B1BF" w14:textId="77777777" w:rsidR="008F46CB" w:rsidRPr="00DB4CD8" w:rsidRDefault="008F46CB" w:rsidP="008F46CB">
            <w:pPr>
              <w:spacing w:line="259" w:lineRule="auto"/>
              <w:jc w:val="both"/>
              <w:rPr>
                <w:rFonts w:ascii="Arial Narrow" w:hAnsi="Arial Narrow"/>
                <w:sz w:val="24"/>
                <w:szCs w:val="24"/>
                <w:lang w:val="en-US"/>
              </w:rPr>
            </w:pPr>
          </w:p>
        </w:tc>
        <w:tc>
          <w:tcPr>
            <w:tcW w:w="1099" w:type="dxa"/>
          </w:tcPr>
          <w:p w14:paraId="3843C5B4"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Not specified*</w:t>
            </w:r>
          </w:p>
        </w:tc>
        <w:tc>
          <w:tcPr>
            <w:tcW w:w="3090" w:type="dxa"/>
          </w:tcPr>
          <w:p w14:paraId="1B0451A6"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Associated with chronic gastritis</w:t>
            </w:r>
          </w:p>
        </w:tc>
        <w:tc>
          <w:tcPr>
            <w:tcW w:w="1134" w:type="dxa"/>
          </w:tcPr>
          <w:p w14:paraId="0FBD1D2E"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1</w:t>
            </w:r>
          </w:p>
        </w:tc>
        <w:tc>
          <w:tcPr>
            <w:tcW w:w="1701" w:type="dxa"/>
          </w:tcPr>
          <w:p w14:paraId="65153950"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11.</w:t>
            </w:r>
            <w:r w:rsidR="008F46CB" w:rsidRPr="00DB4CD8">
              <w:rPr>
                <w:rFonts w:ascii="Arial Narrow" w:hAnsi="Arial Narrow"/>
                <w:sz w:val="24"/>
                <w:szCs w:val="24"/>
                <w:lang w:val="en-US"/>
              </w:rPr>
              <w:t>1 %</w:t>
            </w:r>
          </w:p>
        </w:tc>
      </w:tr>
      <w:tr w:rsidR="00DB4CD8" w:rsidRPr="00DB4CD8" w14:paraId="62420EF3" w14:textId="77777777" w:rsidTr="00835FC9">
        <w:tc>
          <w:tcPr>
            <w:tcW w:w="1693" w:type="dxa"/>
          </w:tcPr>
          <w:p w14:paraId="344D3C5B"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Gastric GIST</w:t>
            </w:r>
          </w:p>
        </w:tc>
        <w:tc>
          <w:tcPr>
            <w:tcW w:w="1099" w:type="dxa"/>
          </w:tcPr>
          <w:p w14:paraId="121142E8"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Invasive</w:t>
            </w:r>
          </w:p>
        </w:tc>
        <w:tc>
          <w:tcPr>
            <w:tcW w:w="3090" w:type="dxa"/>
          </w:tcPr>
          <w:p w14:paraId="3B407B93" w14:textId="77777777" w:rsidR="008F46CB" w:rsidRPr="00DB4CD8" w:rsidRDefault="00F6790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Non-epithelial tumor</w:t>
            </w:r>
          </w:p>
        </w:tc>
        <w:tc>
          <w:tcPr>
            <w:tcW w:w="1134" w:type="dxa"/>
          </w:tcPr>
          <w:p w14:paraId="33D18035"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1</w:t>
            </w:r>
          </w:p>
        </w:tc>
        <w:tc>
          <w:tcPr>
            <w:tcW w:w="1701" w:type="dxa"/>
          </w:tcPr>
          <w:p w14:paraId="073047E0" w14:textId="77777777" w:rsidR="008F46CB" w:rsidRPr="00DB4CD8" w:rsidRDefault="00835FC9"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11.</w:t>
            </w:r>
            <w:r w:rsidR="008F46CB" w:rsidRPr="00DB4CD8">
              <w:rPr>
                <w:rFonts w:ascii="Arial Narrow" w:hAnsi="Arial Narrow"/>
                <w:sz w:val="24"/>
                <w:szCs w:val="24"/>
                <w:lang w:val="en-US"/>
              </w:rPr>
              <w:t>1 %</w:t>
            </w:r>
          </w:p>
        </w:tc>
      </w:tr>
      <w:tr w:rsidR="008F46CB" w:rsidRPr="00DB4CD8" w14:paraId="7559DD3E" w14:textId="77777777" w:rsidTr="00F67909">
        <w:tc>
          <w:tcPr>
            <w:tcW w:w="5882" w:type="dxa"/>
            <w:gridSpan w:val="3"/>
          </w:tcPr>
          <w:p w14:paraId="1B44716C"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Total</w:t>
            </w:r>
          </w:p>
        </w:tc>
        <w:tc>
          <w:tcPr>
            <w:tcW w:w="1134" w:type="dxa"/>
          </w:tcPr>
          <w:p w14:paraId="2BBFFA5A"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9</w:t>
            </w:r>
          </w:p>
        </w:tc>
        <w:tc>
          <w:tcPr>
            <w:tcW w:w="1701" w:type="dxa"/>
          </w:tcPr>
          <w:p w14:paraId="7EF4186C" w14:textId="77777777" w:rsidR="008F46CB" w:rsidRPr="00DB4CD8" w:rsidRDefault="008F46CB" w:rsidP="008F46CB">
            <w:pPr>
              <w:spacing w:line="259" w:lineRule="auto"/>
              <w:jc w:val="both"/>
              <w:rPr>
                <w:rFonts w:ascii="Arial Narrow" w:hAnsi="Arial Narrow"/>
                <w:sz w:val="24"/>
                <w:szCs w:val="24"/>
                <w:lang w:val="en-US"/>
              </w:rPr>
            </w:pPr>
            <w:r w:rsidRPr="00DB4CD8">
              <w:rPr>
                <w:rFonts w:ascii="Arial Narrow" w:hAnsi="Arial Narrow"/>
                <w:sz w:val="24"/>
                <w:szCs w:val="24"/>
                <w:lang w:val="en-US"/>
              </w:rPr>
              <w:t>100 %</w:t>
            </w:r>
          </w:p>
        </w:tc>
      </w:tr>
    </w:tbl>
    <w:p w14:paraId="13899707" w14:textId="77777777" w:rsidR="00F67909" w:rsidRPr="00DB4CD8" w:rsidRDefault="00F67909" w:rsidP="00CD722D">
      <w:pPr>
        <w:spacing w:after="0"/>
        <w:jc w:val="both"/>
        <w:rPr>
          <w:rFonts w:ascii="Arial Narrow" w:hAnsi="Arial Narrow"/>
          <w:sz w:val="24"/>
          <w:szCs w:val="24"/>
          <w:lang w:val="en-US"/>
        </w:rPr>
      </w:pPr>
    </w:p>
    <w:p w14:paraId="0CCCEEFA" w14:textId="51FEFD15" w:rsidR="00CD722D" w:rsidRPr="007E7A31" w:rsidRDefault="00CD722D" w:rsidP="00CD722D">
      <w:pPr>
        <w:spacing w:after="0"/>
        <w:jc w:val="both"/>
        <w:rPr>
          <w:rFonts w:ascii="Arial Narrow" w:hAnsi="Arial Narrow"/>
          <w:b/>
          <w:bCs/>
          <w:sz w:val="24"/>
          <w:szCs w:val="24"/>
          <w:lang w:val="en-US"/>
        </w:rPr>
      </w:pPr>
      <w:r w:rsidRPr="007E7A31">
        <w:rPr>
          <w:rFonts w:ascii="Arial Narrow" w:hAnsi="Arial Narrow"/>
          <w:b/>
          <w:bCs/>
          <w:sz w:val="24"/>
          <w:szCs w:val="24"/>
          <w:lang w:val="en-US"/>
        </w:rPr>
        <w:t>Management</w:t>
      </w:r>
    </w:p>
    <w:p w14:paraId="2CF8A10C"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Patients were referred to oncology (67%) for palliative or neoadjuvant chemotherapy and to surgery (33%) for potentially </w:t>
      </w:r>
      <w:proofErr w:type="spellStart"/>
      <w:r w:rsidRPr="00DB4CD8">
        <w:rPr>
          <w:rFonts w:ascii="Arial Narrow" w:hAnsi="Arial Narrow"/>
          <w:sz w:val="24"/>
          <w:szCs w:val="24"/>
          <w:lang w:val="en-US"/>
        </w:rPr>
        <w:t>resectable</w:t>
      </w:r>
      <w:proofErr w:type="spellEnd"/>
      <w:r w:rsidRPr="00DB4CD8">
        <w:rPr>
          <w:rFonts w:ascii="Arial Narrow" w:hAnsi="Arial Narrow"/>
          <w:sz w:val="24"/>
          <w:szCs w:val="24"/>
          <w:lang w:val="en-US"/>
        </w:rPr>
        <w:t xml:space="preserve"> cases or for palliative purposes. Overall prognosis remained poor, with limited short-term survival.</w:t>
      </w:r>
    </w:p>
    <w:p w14:paraId="594713FD" w14:textId="77777777" w:rsidR="00CD722D" w:rsidRPr="00DB4CD8" w:rsidRDefault="00CD722D" w:rsidP="00CD722D">
      <w:pPr>
        <w:spacing w:after="0"/>
        <w:jc w:val="both"/>
        <w:rPr>
          <w:rFonts w:ascii="Arial Narrow" w:hAnsi="Arial Narrow"/>
          <w:sz w:val="24"/>
          <w:szCs w:val="24"/>
          <w:lang w:val="en-US"/>
        </w:rPr>
      </w:pPr>
    </w:p>
    <w:p w14:paraId="16D6A775" w14:textId="77777777" w:rsidR="00CD722D" w:rsidRPr="007E7A31" w:rsidRDefault="00CD722D" w:rsidP="00CD722D">
      <w:pPr>
        <w:spacing w:after="0"/>
        <w:jc w:val="both"/>
        <w:rPr>
          <w:rFonts w:ascii="Arial Narrow" w:hAnsi="Arial Narrow"/>
          <w:b/>
          <w:bCs/>
          <w:sz w:val="24"/>
          <w:szCs w:val="24"/>
          <w:lang w:val="en-US"/>
        </w:rPr>
      </w:pPr>
      <w:r w:rsidRPr="007E7A31">
        <w:rPr>
          <w:rFonts w:ascii="Arial Narrow" w:hAnsi="Arial Narrow"/>
          <w:b/>
          <w:bCs/>
          <w:sz w:val="24"/>
          <w:szCs w:val="24"/>
          <w:lang w:val="en-US"/>
        </w:rPr>
        <w:t>DISCUSSION</w:t>
      </w:r>
    </w:p>
    <w:p w14:paraId="43E2DF1D" w14:textId="77777777" w:rsidR="00CD722D" w:rsidRPr="00DB4CD8" w:rsidRDefault="00CD722D" w:rsidP="00CD722D">
      <w:pPr>
        <w:spacing w:after="0"/>
        <w:jc w:val="both"/>
        <w:rPr>
          <w:rFonts w:ascii="Arial Narrow" w:hAnsi="Arial Narrow"/>
          <w:sz w:val="24"/>
          <w:szCs w:val="24"/>
          <w:lang w:val="en-US"/>
        </w:rPr>
      </w:pPr>
    </w:p>
    <w:p w14:paraId="71962A6F"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Gastric cancer in young patients represents a real and aggressive form of the disease, often diagnosed at an advanced stage. In our study, patients aged 40 years or younger accounted for 6.8% of all gastric cancer cases, a rate close to those reported by Li J. in China (5.0%) and Martin Gomez et al. in Colombia (8.8%) (2, 5).</w:t>
      </w:r>
    </w:p>
    <w:p w14:paraId="28E6C86E" w14:textId="77777777" w:rsidR="00CD722D" w:rsidRPr="00DB4CD8" w:rsidRDefault="00CD722D" w:rsidP="00CD722D">
      <w:pPr>
        <w:spacing w:after="0"/>
        <w:jc w:val="both"/>
        <w:rPr>
          <w:rFonts w:ascii="Arial Narrow" w:hAnsi="Arial Narrow"/>
          <w:sz w:val="24"/>
          <w:szCs w:val="24"/>
          <w:lang w:val="en-US"/>
        </w:rPr>
      </w:pPr>
    </w:p>
    <w:p w14:paraId="38A3F136"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I. Epidemiological profile and demographic c</w:t>
      </w:r>
      <w:r w:rsidR="00CD722D" w:rsidRPr="00DB4CD8">
        <w:rPr>
          <w:rFonts w:ascii="Arial Narrow" w:hAnsi="Arial Narrow"/>
          <w:sz w:val="24"/>
          <w:szCs w:val="24"/>
          <w:lang w:val="en-US"/>
        </w:rPr>
        <w:t>haracteristics</w:t>
      </w:r>
    </w:p>
    <w:p w14:paraId="5FB4AE33"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The mean age observed (33.5 years) is comparable to that described by Takatsu et al. in Japan (34 years), Martin Gomez et al. in Colombia (33.5 years), and </w:t>
      </w:r>
      <w:proofErr w:type="spellStart"/>
      <w:r w:rsidRPr="00DB4CD8">
        <w:rPr>
          <w:rFonts w:ascii="Arial Narrow" w:hAnsi="Arial Narrow"/>
          <w:sz w:val="24"/>
          <w:szCs w:val="24"/>
          <w:lang w:val="en-US"/>
        </w:rPr>
        <w:t>Diondo</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Ogolba</w:t>
      </w:r>
      <w:proofErr w:type="spellEnd"/>
      <w:r w:rsidRPr="00DB4CD8">
        <w:rPr>
          <w:rFonts w:ascii="Arial Narrow" w:hAnsi="Arial Narrow"/>
          <w:sz w:val="24"/>
          <w:szCs w:val="24"/>
          <w:lang w:val="en-US"/>
        </w:rPr>
        <w:t xml:space="preserve"> in Mali (34 ± 6 years), suggesting a probable role of genetic, environmental, and infectious factors, particularly chronic Helicobacter pylori infection (2,4,5,9).</w:t>
      </w:r>
    </w:p>
    <w:p w14:paraId="318BB68A" w14:textId="77777777" w:rsidR="00CD722D" w:rsidRPr="00DB4CD8" w:rsidRDefault="00CD722D" w:rsidP="00CD722D">
      <w:pPr>
        <w:spacing w:after="0"/>
        <w:jc w:val="both"/>
        <w:rPr>
          <w:rFonts w:ascii="Arial Narrow" w:hAnsi="Arial Narrow"/>
          <w:sz w:val="24"/>
          <w:szCs w:val="24"/>
          <w:lang w:val="en-US"/>
        </w:rPr>
      </w:pPr>
    </w:p>
    <w:p w14:paraId="57E6A812" w14:textId="382DBAC2"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This early onset is also supported by studies by </w:t>
      </w:r>
      <w:proofErr w:type="spellStart"/>
      <w:r w:rsidRPr="00DB4CD8">
        <w:rPr>
          <w:rFonts w:ascii="Arial Narrow" w:hAnsi="Arial Narrow"/>
          <w:sz w:val="24"/>
          <w:szCs w:val="24"/>
          <w:lang w:val="en-US"/>
        </w:rPr>
        <w:t>Ghizlane</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Hilal</w:t>
      </w:r>
      <w:proofErr w:type="spellEnd"/>
      <w:r w:rsidRPr="00DB4CD8">
        <w:rPr>
          <w:rFonts w:ascii="Arial Narrow" w:hAnsi="Arial Narrow"/>
          <w:sz w:val="24"/>
          <w:szCs w:val="24"/>
          <w:lang w:val="en-US"/>
        </w:rPr>
        <w:t xml:space="preserve"> and </w:t>
      </w:r>
      <w:proofErr w:type="spellStart"/>
      <w:r w:rsidRPr="00DB4CD8">
        <w:rPr>
          <w:rFonts w:ascii="Arial Narrow" w:hAnsi="Arial Narrow"/>
          <w:sz w:val="24"/>
          <w:szCs w:val="24"/>
          <w:lang w:val="en-US"/>
        </w:rPr>
        <w:t>Amrani</w:t>
      </w:r>
      <w:proofErr w:type="spellEnd"/>
      <w:r w:rsidRPr="00DB4CD8">
        <w:rPr>
          <w:rFonts w:ascii="Arial Narrow" w:hAnsi="Arial Narrow"/>
          <w:sz w:val="24"/>
          <w:szCs w:val="24"/>
          <w:lang w:val="en-US"/>
        </w:rPr>
        <w:t xml:space="preserve"> Hassani Joutei H et al., showing that up to 30.1% to 38% of cases occur before the age of 50 (10,11). The findings of </w:t>
      </w:r>
      <w:proofErr w:type="spellStart"/>
      <w:r w:rsidRPr="00DB4CD8">
        <w:rPr>
          <w:rFonts w:ascii="Arial Narrow" w:hAnsi="Arial Narrow"/>
          <w:sz w:val="24"/>
          <w:szCs w:val="24"/>
          <w:lang w:val="en-US"/>
        </w:rPr>
        <w:t>Diondo</w:t>
      </w:r>
      <w:proofErr w:type="spellEnd"/>
      <w:r w:rsidRPr="00DB4CD8">
        <w:rPr>
          <w:rFonts w:ascii="Arial Narrow" w:hAnsi="Arial Narrow"/>
          <w:sz w:val="24"/>
          <w:szCs w:val="24"/>
          <w:lang w:val="en-US"/>
        </w:rPr>
        <w:t xml:space="preserve"> in </w:t>
      </w:r>
      <w:r w:rsidRPr="00DB4CD8">
        <w:rPr>
          <w:rFonts w:ascii="Arial Narrow" w:hAnsi="Arial Narrow"/>
          <w:sz w:val="24"/>
          <w:szCs w:val="24"/>
          <w:lang w:val="en-US"/>
        </w:rPr>
        <w:lastRenderedPageBreak/>
        <w:t>Mali (14.84% among young patients) and our results for patients aged 40 years or younger confirm that the disease represents a significant burden among young adults in the region (4).</w:t>
      </w:r>
      <w:r w:rsidR="00E47EF4" w:rsidRPr="00DB4CD8">
        <w:t xml:space="preserve"> </w:t>
      </w:r>
      <w:r w:rsidR="009467ED" w:rsidRPr="00DB4CD8">
        <w:t xml:space="preserve">                                                       </w:t>
      </w:r>
      <w:r w:rsidR="00E47EF4" w:rsidRPr="00DB4CD8">
        <w:rPr>
          <w:rFonts w:ascii="Arial Narrow" w:hAnsi="Arial Narrow"/>
          <w:sz w:val="24"/>
          <w:szCs w:val="24"/>
          <w:lang w:val="en-US"/>
        </w:rPr>
        <w:t>Furthermore, the predominance of the 36–40 age group (55.6%) in our series supports the conceptual framework established by Li J. and Michelon &amp; Saeed [3], who identify the late thirties as a critical period for the clinical emergence of Early-Onset Gastric Cancer (EOGC). This phenomenon is likely due to early and prolonged exposure to environmental triggers, most notably Helicobacter pylori infection</w:t>
      </w:r>
      <w:r w:rsidR="00712014" w:rsidRPr="00DB4CD8">
        <w:rPr>
          <w:rFonts w:ascii="Arial Narrow" w:hAnsi="Arial Narrow"/>
          <w:sz w:val="24"/>
          <w:szCs w:val="24"/>
          <w:lang w:val="en-US"/>
        </w:rPr>
        <w:t xml:space="preserve"> (2,3)</w:t>
      </w:r>
      <w:r w:rsidR="00E47EF4" w:rsidRPr="00DB4CD8">
        <w:rPr>
          <w:rFonts w:ascii="Arial Narrow" w:hAnsi="Arial Narrow"/>
          <w:sz w:val="24"/>
          <w:szCs w:val="24"/>
          <w:lang w:val="en-US"/>
        </w:rPr>
        <w:t>.</w:t>
      </w:r>
    </w:p>
    <w:p w14:paraId="3937F0D5" w14:textId="77777777" w:rsidR="008B4C90" w:rsidRPr="00DB4CD8" w:rsidRDefault="008B4C90" w:rsidP="00CD722D">
      <w:pPr>
        <w:spacing w:after="0"/>
        <w:jc w:val="both"/>
        <w:rPr>
          <w:rFonts w:ascii="Arial Narrow" w:hAnsi="Arial Narrow"/>
          <w:sz w:val="24"/>
          <w:szCs w:val="24"/>
          <w:lang w:val="en-US"/>
        </w:rPr>
      </w:pPr>
    </w:p>
    <w:p w14:paraId="0D92AAA2" w14:textId="59A7FBCE" w:rsidR="008B4C90" w:rsidRPr="00DB4CD8" w:rsidRDefault="008B4C90" w:rsidP="008B4C90">
      <w:pPr>
        <w:spacing w:after="0"/>
        <w:jc w:val="both"/>
        <w:rPr>
          <w:rFonts w:ascii="Arial Narrow" w:hAnsi="Arial Narrow"/>
          <w:b/>
          <w:bCs/>
          <w:sz w:val="24"/>
          <w:szCs w:val="24"/>
        </w:rPr>
      </w:pPr>
      <w:r w:rsidRPr="00DB4CD8">
        <w:rPr>
          <w:rFonts w:ascii="Arial Narrow" w:hAnsi="Arial Narrow"/>
          <w:b/>
          <w:bCs/>
          <w:sz w:val="24"/>
          <w:szCs w:val="24"/>
        </w:rPr>
        <w:t xml:space="preserve">Table </w:t>
      </w:r>
      <w:proofErr w:type="gramStart"/>
      <w:r w:rsidRPr="00DB4CD8">
        <w:rPr>
          <w:rFonts w:ascii="Arial Narrow" w:hAnsi="Arial Narrow"/>
          <w:b/>
          <w:bCs/>
          <w:sz w:val="24"/>
          <w:szCs w:val="24"/>
        </w:rPr>
        <w:t>V:</w:t>
      </w:r>
      <w:proofErr w:type="gramEnd"/>
      <w:r w:rsidRPr="00DB4CD8">
        <w:rPr>
          <w:rFonts w:ascii="Arial Narrow" w:hAnsi="Arial Narrow"/>
          <w:b/>
          <w:bCs/>
          <w:sz w:val="24"/>
          <w:szCs w:val="24"/>
        </w:rPr>
        <w:t xml:space="preserve"> Comparative </w:t>
      </w:r>
      <w:proofErr w:type="spellStart"/>
      <w:r w:rsidR="00C07B2D" w:rsidRPr="00DB4CD8">
        <w:rPr>
          <w:rFonts w:ascii="Arial Narrow" w:hAnsi="Arial Narrow"/>
          <w:b/>
          <w:bCs/>
          <w:sz w:val="24"/>
          <w:szCs w:val="24"/>
        </w:rPr>
        <w:t>a</w:t>
      </w:r>
      <w:r w:rsidRPr="00DB4CD8">
        <w:rPr>
          <w:rFonts w:ascii="Arial Narrow" w:hAnsi="Arial Narrow"/>
          <w:b/>
          <w:bCs/>
          <w:sz w:val="24"/>
          <w:szCs w:val="24"/>
        </w:rPr>
        <w:t>nalysis</w:t>
      </w:r>
      <w:proofErr w:type="spellEnd"/>
      <w:r w:rsidRPr="00DB4CD8">
        <w:rPr>
          <w:rFonts w:ascii="Arial Narrow" w:hAnsi="Arial Narrow"/>
          <w:b/>
          <w:bCs/>
          <w:sz w:val="24"/>
          <w:szCs w:val="24"/>
        </w:rPr>
        <w:t xml:space="preserve"> of </w:t>
      </w:r>
      <w:proofErr w:type="spellStart"/>
      <w:r w:rsidR="00C07B2D" w:rsidRPr="00DB4CD8">
        <w:rPr>
          <w:rFonts w:ascii="Arial Narrow" w:hAnsi="Arial Narrow"/>
          <w:b/>
          <w:bCs/>
          <w:sz w:val="24"/>
          <w:szCs w:val="24"/>
        </w:rPr>
        <w:t>m</w:t>
      </w:r>
      <w:r w:rsidRPr="00DB4CD8">
        <w:rPr>
          <w:rFonts w:ascii="Arial Narrow" w:hAnsi="Arial Narrow"/>
          <w:b/>
          <w:bCs/>
          <w:sz w:val="24"/>
          <w:szCs w:val="24"/>
        </w:rPr>
        <w:t>ean</w:t>
      </w:r>
      <w:proofErr w:type="spellEnd"/>
      <w:r w:rsidRPr="00DB4CD8">
        <w:rPr>
          <w:rFonts w:ascii="Arial Narrow" w:hAnsi="Arial Narrow"/>
          <w:b/>
          <w:bCs/>
          <w:sz w:val="24"/>
          <w:szCs w:val="24"/>
        </w:rPr>
        <w:t xml:space="preserve"> </w:t>
      </w:r>
      <w:r w:rsidR="00C07B2D" w:rsidRPr="00DB4CD8">
        <w:rPr>
          <w:rFonts w:ascii="Arial Narrow" w:hAnsi="Arial Narrow"/>
          <w:b/>
          <w:bCs/>
          <w:sz w:val="24"/>
          <w:szCs w:val="24"/>
        </w:rPr>
        <w:t xml:space="preserve"> </w:t>
      </w:r>
      <w:proofErr w:type="spellStart"/>
      <w:r w:rsidR="00C07B2D" w:rsidRPr="00DB4CD8">
        <w:rPr>
          <w:rFonts w:ascii="Arial Narrow" w:hAnsi="Arial Narrow"/>
          <w:b/>
          <w:bCs/>
          <w:sz w:val="24"/>
          <w:szCs w:val="24"/>
        </w:rPr>
        <w:t>a</w:t>
      </w:r>
      <w:r w:rsidRPr="00DB4CD8">
        <w:rPr>
          <w:rFonts w:ascii="Arial Narrow" w:hAnsi="Arial Narrow"/>
          <w:b/>
          <w:bCs/>
          <w:sz w:val="24"/>
          <w:szCs w:val="24"/>
        </w:rPr>
        <w:t>ge</w:t>
      </w:r>
      <w:proofErr w:type="spellEnd"/>
      <w:r w:rsidRPr="00DB4CD8">
        <w:rPr>
          <w:rFonts w:ascii="Arial Narrow" w:hAnsi="Arial Narrow"/>
          <w:b/>
          <w:bCs/>
          <w:sz w:val="24"/>
          <w:szCs w:val="24"/>
        </w:rPr>
        <w:t xml:space="preserve"> and </w:t>
      </w:r>
      <w:r w:rsidR="00C07B2D" w:rsidRPr="00DB4CD8">
        <w:rPr>
          <w:rFonts w:ascii="Arial Narrow" w:hAnsi="Arial Narrow"/>
          <w:b/>
          <w:bCs/>
          <w:sz w:val="24"/>
          <w:szCs w:val="24"/>
        </w:rPr>
        <w:t>d</w:t>
      </w:r>
      <w:r w:rsidRPr="00DB4CD8">
        <w:rPr>
          <w:rFonts w:ascii="Arial Narrow" w:hAnsi="Arial Narrow"/>
          <w:b/>
          <w:bCs/>
          <w:sz w:val="24"/>
          <w:szCs w:val="24"/>
        </w:rPr>
        <w:t xml:space="preserve">ominant </w:t>
      </w:r>
      <w:proofErr w:type="spellStart"/>
      <w:r w:rsidR="00C07B2D" w:rsidRPr="00DB4CD8">
        <w:rPr>
          <w:rFonts w:ascii="Arial Narrow" w:hAnsi="Arial Narrow"/>
          <w:b/>
          <w:bCs/>
          <w:sz w:val="24"/>
          <w:szCs w:val="24"/>
        </w:rPr>
        <w:t>a</w:t>
      </w:r>
      <w:r w:rsidRPr="00DB4CD8">
        <w:rPr>
          <w:rFonts w:ascii="Arial Narrow" w:hAnsi="Arial Narrow"/>
          <w:b/>
          <w:bCs/>
          <w:sz w:val="24"/>
          <w:szCs w:val="24"/>
        </w:rPr>
        <w:t>ge</w:t>
      </w:r>
      <w:proofErr w:type="spellEnd"/>
      <w:r w:rsidRPr="00DB4CD8">
        <w:rPr>
          <w:rFonts w:ascii="Arial Narrow" w:hAnsi="Arial Narrow"/>
          <w:b/>
          <w:bCs/>
          <w:sz w:val="24"/>
          <w:szCs w:val="24"/>
        </w:rPr>
        <w:t xml:space="preserve"> </w:t>
      </w:r>
      <w:r w:rsidR="00C07B2D" w:rsidRPr="00DB4CD8">
        <w:rPr>
          <w:rFonts w:ascii="Arial Narrow" w:hAnsi="Arial Narrow"/>
          <w:b/>
          <w:bCs/>
          <w:sz w:val="24"/>
          <w:szCs w:val="24"/>
        </w:rPr>
        <w:t>g</w:t>
      </w:r>
      <w:r w:rsidRPr="00DB4CD8">
        <w:rPr>
          <w:rFonts w:ascii="Arial Narrow" w:hAnsi="Arial Narrow"/>
          <w:b/>
          <w:bCs/>
          <w:sz w:val="24"/>
          <w:szCs w:val="24"/>
        </w:rPr>
        <w:t>roups</w:t>
      </w:r>
    </w:p>
    <w:p w14:paraId="64EDF541" w14:textId="77777777" w:rsidR="00713D1F" w:rsidRPr="00DB4CD8" w:rsidRDefault="00713D1F" w:rsidP="008B4C90">
      <w:pPr>
        <w:spacing w:after="0"/>
        <w:jc w:val="both"/>
        <w:rPr>
          <w:rFonts w:ascii="Arial Narrow" w:hAnsi="Arial Narrow"/>
          <w:b/>
          <w:bCs/>
          <w:sz w:val="24"/>
          <w:szCs w:val="24"/>
        </w:rPr>
      </w:pPr>
    </w:p>
    <w:tbl>
      <w:tblPr>
        <w:tblStyle w:val="TableGrid"/>
        <w:tblW w:w="0" w:type="auto"/>
        <w:tblLook w:val="04A0" w:firstRow="1" w:lastRow="0" w:firstColumn="1" w:lastColumn="0" w:noHBand="0" w:noVBand="1"/>
      </w:tblPr>
      <w:tblGrid>
        <w:gridCol w:w="1788"/>
        <w:gridCol w:w="1124"/>
        <w:gridCol w:w="1194"/>
        <w:gridCol w:w="1701"/>
        <w:gridCol w:w="3255"/>
      </w:tblGrid>
      <w:tr w:rsidR="00DB4CD8" w:rsidRPr="00DB4CD8" w14:paraId="708E3324" w14:textId="77777777" w:rsidTr="00090890">
        <w:tc>
          <w:tcPr>
            <w:tcW w:w="1788" w:type="dxa"/>
          </w:tcPr>
          <w:p w14:paraId="418443B5" w14:textId="1BD01547" w:rsidR="007918C9" w:rsidRPr="00DB4CD8" w:rsidRDefault="00C4565E" w:rsidP="008B4C90">
            <w:pPr>
              <w:jc w:val="both"/>
              <w:rPr>
                <w:rFonts w:ascii="Arial Narrow" w:hAnsi="Arial Narrow"/>
                <w:sz w:val="24"/>
                <w:szCs w:val="24"/>
              </w:rPr>
            </w:pPr>
            <w:r w:rsidRPr="00DB4CD8">
              <w:rPr>
                <w:rFonts w:ascii="Arial Narrow" w:hAnsi="Arial Narrow"/>
                <w:sz w:val="24"/>
                <w:szCs w:val="24"/>
              </w:rPr>
              <w:t>Study / Author</w:t>
            </w:r>
          </w:p>
        </w:tc>
        <w:tc>
          <w:tcPr>
            <w:tcW w:w="1124" w:type="dxa"/>
          </w:tcPr>
          <w:p w14:paraId="0A264DAD" w14:textId="70DDEEFF" w:rsidR="007918C9" w:rsidRPr="00DB4CD8" w:rsidRDefault="00C4565E" w:rsidP="008B4C90">
            <w:pPr>
              <w:jc w:val="both"/>
              <w:rPr>
                <w:rFonts w:ascii="Arial Narrow" w:hAnsi="Arial Narrow"/>
                <w:sz w:val="24"/>
                <w:szCs w:val="24"/>
              </w:rPr>
            </w:pPr>
            <w:r w:rsidRPr="00DB4CD8">
              <w:rPr>
                <w:rFonts w:ascii="Arial Narrow" w:hAnsi="Arial Narrow"/>
                <w:sz w:val="24"/>
                <w:szCs w:val="24"/>
              </w:rPr>
              <w:t>Reference</w:t>
            </w:r>
          </w:p>
        </w:tc>
        <w:tc>
          <w:tcPr>
            <w:tcW w:w="1194" w:type="dxa"/>
          </w:tcPr>
          <w:p w14:paraId="7A7E8DEE" w14:textId="1F5E3959" w:rsidR="007918C9" w:rsidRPr="00DB4CD8" w:rsidRDefault="00C4565E" w:rsidP="008B4C90">
            <w:pPr>
              <w:jc w:val="both"/>
              <w:rPr>
                <w:rFonts w:ascii="Arial Narrow" w:hAnsi="Arial Narrow"/>
                <w:sz w:val="24"/>
                <w:szCs w:val="24"/>
              </w:rPr>
            </w:pPr>
            <w:r w:rsidRPr="00DB4CD8">
              <w:rPr>
                <w:rFonts w:ascii="Arial Narrow" w:hAnsi="Arial Narrow"/>
                <w:sz w:val="24"/>
                <w:szCs w:val="24"/>
              </w:rPr>
              <w:t>Location</w:t>
            </w:r>
          </w:p>
        </w:tc>
        <w:tc>
          <w:tcPr>
            <w:tcW w:w="1701" w:type="dxa"/>
          </w:tcPr>
          <w:p w14:paraId="6417EA7B" w14:textId="7CA62F00" w:rsidR="007918C9" w:rsidRPr="00DB4CD8" w:rsidRDefault="00C4565E" w:rsidP="008B4C90">
            <w:pPr>
              <w:jc w:val="both"/>
              <w:rPr>
                <w:rFonts w:ascii="Arial Narrow" w:hAnsi="Arial Narrow"/>
                <w:sz w:val="24"/>
                <w:szCs w:val="24"/>
              </w:rPr>
            </w:pPr>
            <w:proofErr w:type="spellStart"/>
            <w:r w:rsidRPr="00DB4CD8">
              <w:rPr>
                <w:rFonts w:ascii="Arial Narrow" w:hAnsi="Arial Narrow"/>
                <w:sz w:val="24"/>
                <w:szCs w:val="24"/>
              </w:rPr>
              <w:t>Mean</w:t>
            </w:r>
            <w:proofErr w:type="spellEnd"/>
            <w:r w:rsidRPr="00DB4CD8">
              <w:rPr>
                <w:rFonts w:ascii="Arial Narrow" w:hAnsi="Arial Narrow"/>
                <w:sz w:val="24"/>
                <w:szCs w:val="24"/>
              </w:rPr>
              <w:t xml:space="preserve"> Age (</w:t>
            </w:r>
            <w:proofErr w:type="spellStart"/>
            <w:r w:rsidRPr="00DB4CD8">
              <w:rPr>
                <w:rFonts w:ascii="Arial Narrow" w:hAnsi="Arial Narrow"/>
                <w:sz w:val="24"/>
                <w:szCs w:val="24"/>
              </w:rPr>
              <w:t>years</w:t>
            </w:r>
            <w:proofErr w:type="spellEnd"/>
          </w:p>
        </w:tc>
        <w:tc>
          <w:tcPr>
            <w:tcW w:w="3255" w:type="dxa"/>
          </w:tcPr>
          <w:p w14:paraId="048B56D1" w14:textId="562DA9EB" w:rsidR="007918C9" w:rsidRPr="00DB4CD8" w:rsidRDefault="00C4565E" w:rsidP="008B4C90">
            <w:pPr>
              <w:jc w:val="both"/>
              <w:rPr>
                <w:rFonts w:ascii="Arial Narrow" w:hAnsi="Arial Narrow"/>
                <w:sz w:val="24"/>
                <w:szCs w:val="24"/>
              </w:rPr>
            </w:pPr>
            <w:r w:rsidRPr="00DB4CD8">
              <w:rPr>
                <w:rFonts w:ascii="Arial Narrow" w:hAnsi="Arial Narrow"/>
                <w:sz w:val="24"/>
                <w:szCs w:val="24"/>
              </w:rPr>
              <w:t>Key Observation</w:t>
            </w:r>
          </w:p>
        </w:tc>
      </w:tr>
      <w:tr w:rsidR="00DB4CD8" w:rsidRPr="00DB4CD8" w14:paraId="0B084329" w14:textId="77777777" w:rsidTr="00090890">
        <w:tc>
          <w:tcPr>
            <w:tcW w:w="1788" w:type="dxa"/>
          </w:tcPr>
          <w:p w14:paraId="1A4CD428" w14:textId="3815D392" w:rsidR="007918C9" w:rsidRPr="00DB4CD8" w:rsidRDefault="00D46F8E" w:rsidP="008B4C90">
            <w:pPr>
              <w:jc w:val="both"/>
              <w:rPr>
                <w:rFonts w:ascii="Arial Narrow" w:hAnsi="Arial Narrow"/>
                <w:sz w:val="24"/>
                <w:szCs w:val="24"/>
              </w:rPr>
            </w:pPr>
            <w:r w:rsidRPr="00DB4CD8">
              <w:rPr>
                <w:rFonts w:ascii="Arial Narrow" w:hAnsi="Arial Narrow"/>
                <w:sz w:val="24"/>
                <w:szCs w:val="24"/>
              </w:rPr>
              <w:t>Current Study</w:t>
            </w:r>
          </w:p>
        </w:tc>
        <w:tc>
          <w:tcPr>
            <w:tcW w:w="1124" w:type="dxa"/>
          </w:tcPr>
          <w:p w14:paraId="1073C18D" w14:textId="03F93428" w:rsidR="007918C9" w:rsidRPr="00DB4CD8" w:rsidRDefault="00D46F8E" w:rsidP="008B4C90">
            <w:pPr>
              <w:jc w:val="both"/>
              <w:rPr>
                <w:rFonts w:ascii="Arial Narrow" w:hAnsi="Arial Narrow"/>
                <w:sz w:val="24"/>
                <w:szCs w:val="24"/>
              </w:rPr>
            </w:pPr>
            <w:r w:rsidRPr="00DB4CD8">
              <w:rPr>
                <w:rFonts w:ascii="Arial Narrow" w:hAnsi="Arial Narrow"/>
                <w:sz w:val="24"/>
                <w:szCs w:val="24"/>
              </w:rPr>
              <w:t>-</w:t>
            </w:r>
          </w:p>
        </w:tc>
        <w:tc>
          <w:tcPr>
            <w:tcW w:w="1194" w:type="dxa"/>
          </w:tcPr>
          <w:p w14:paraId="43D4E87B" w14:textId="17466E11" w:rsidR="007918C9" w:rsidRPr="00DB4CD8" w:rsidRDefault="00D46F8E" w:rsidP="008B4C90">
            <w:pPr>
              <w:jc w:val="both"/>
              <w:rPr>
                <w:rFonts w:ascii="Arial Narrow" w:hAnsi="Arial Narrow"/>
                <w:sz w:val="24"/>
                <w:szCs w:val="24"/>
              </w:rPr>
            </w:pPr>
            <w:r w:rsidRPr="00DB4CD8">
              <w:rPr>
                <w:rFonts w:ascii="Arial Narrow" w:hAnsi="Arial Narrow"/>
                <w:sz w:val="24"/>
                <w:szCs w:val="24"/>
              </w:rPr>
              <w:t>Morocco</w:t>
            </w:r>
          </w:p>
        </w:tc>
        <w:tc>
          <w:tcPr>
            <w:tcW w:w="1701" w:type="dxa"/>
          </w:tcPr>
          <w:p w14:paraId="59E7A19B" w14:textId="41D743F2" w:rsidR="007918C9" w:rsidRPr="00DB4CD8" w:rsidRDefault="00D46F8E" w:rsidP="008B4C90">
            <w:pPr>
              <w:jc w:val="both"/>
              <w:rPr>
                <w:rFonts w:ascii="Arial Narrow" w:hAnsi="Arial Narrow"/>
                <w:sz w:val="24"/>
                <w:szCs w:val="24"/>
              </w:rPr>
            </w:pPr>
            <w:r w:rsidRPr="00DB4CD8">
              <w:rPr>
                <w:rFonts w:ascii="Arial Narrow" w:hAnsi="Arial Narrow"/>
                <w:sz w:val="24"/>
                <w:szCs w:val="24"/>
              </w:rPr>
              <w:t>33.5</w:t>
            </w:r>
          </w:p>
        </w:tc>
        <w:tc>
          <w:tcPr>
            <w:tcW w:w="3255" w:type="dxa"/>
          </w:tcPr>
          <w:p w14:paraId="262F98DE" w14:textId="75F9B3E4" w:rsidR="007918C9" w:rsidRPr="00DB4CD8" w:rsidRDefault="00D46F8E" w:rsidP="008B4C90">
            <w:pPr>
              <w:jc w:val="both"/>
              <w:rPr>
                <w:rFonts w:ascii="Arial Narrow" w:hAnsi="Arial Narrow"/>
                <w:sz w:val="24"/>
                <w:szCs w:val="24"/>
              </w:rPr>
            </w:pPr>
            <w:proofErr w:type="spellStart"/>
            <w:r w:rsidRPr="00DB4CD8">
              <w:rPr>
                <w:rFonts w:ascii="Arial Narrow" w:hAnsi="Arial Narrow"/>
                <w:sz w:val="24"/>
                <w:szCs w:val="24"/>
              </w:rPr>
              <w:t>Majority</w:t>
            </w:r>
            <w:proofErr w:type="spellEnd"/>
            <w:r w:rsidRPr="00DB4CD8">
              <w:rPr>
                <w:rFonts w:ascii="Arial Narrow" w:hAnsi="Arial Narrow"/>
                <w:sz w:val="24"/>
                <w:szCs w:val="24"/>
              </w:rPr>
              <w:t xml:space="preserve"> (55.6%) </w:t>
            </w:r>
            <w:proofErr w:type="spellStart"/>
            <w:r w:rsidRPr="00DB4CD8">
              <w:rPr>
                <w:rFonts w:ascii="Arial Narrow" w:hAnsi="Arial Narrow"/>
                <w:sz w:val="24"/>
                <w:szCs w:val="24"/>
              </w:rPr>
              <w:t>between</w:t>
            </w:r>
            <w:proofErr w:type="spellEnd"/>
            <w:r w:rsidRPr="00DB4CD8">
              <w:rPr>
                <w:rFonts w:ascii="Arial Narrow" w:hAnsi="Arial Narrow"/>
                <w:sz w:val="24"/>
                <w:szCs w:val="24"/>
              </w:rPr>
              <w:t xml:space="preserve"> 36–40 </w:t>
            </w:r>
            <w:proofErr w:type="spellStart"/>
            <w:r w:rsidRPr="00DB4CD8">
              <w:rPr>
                <w:rFonts w:ascii="Arial Narrow" w:hAnsi="Arial Narrow"/>
                <w:sz w:val="24"/>
                <w:szCs w:val="24"/>
              </w:rPr>
              <w:t>years</w:t>
            </w:r>
            <w:proofErr w:type="spellEnd"/>
          </w:p>
        </w:tc>
      </w:tr>
      <w:tr w:rsidR="00DB4CD8" w:rsidRPr="00DB4CD8" w14:paraId="627D3662" w14:textId="77777777" w:rsidTr="00090890">
        <w:tc>
          <w:tcPr>
            <w:tcW w:w="1788" w:type="dxa"/>
          </w:tcPr>
          <w:p w14:paraId="57052C72" w14:textId="3BE1D1E8" w:rsidR="007918C9" w:rsidRPr="00DB4CD8" w:rsidRDefault="00544DFA" w:rsidP="008B4C90">
            <w:pPr>
              <w:jc w:val="both"/>
              <w:rPr>
                <w:rFonts w:ascii="Arial Narrow" w:hAnsi="Arial Narrow"/>
                <w:sz w:val="24"/>
                <w:szCs w:val="24"/>
              </w:rPr>
            </w:pPr>
            <w:r w:rsidRPr="00DB4CD8">
              <w:rPr>
                <w:rFonts w:ascii="Arial Narrow" w:hAnsi="Arial Narrow"/>
                <w:sz w:val="24"/>
                <w:szCs w:val="24"/>
              </w:rPr>
              <w:t>Martin Gomez et al.</w:t>
            </w:r>
          </w:p>
        </w:tc>
        <w:tc>
          <w:tcPr>
            <w:tcW w:w="1124" w:type="dxa"/>
          </w:tcPr>
          <w:p w14:paraId="7C870639" w14:textId="73632060" w:rsidR="007918C9" w:rsidRPr="00DB4CD8" w:rsidRDefault="00FA5C6B" w:rsidP="008B4C90">
            <w:pPr>
              <w:jc w:val="both"/>
              <w:rPr>
                <w:rFonts w:ascii="Arial Narrow" w:hAnsi="Arial Narrow"/>
                <w:sz w:val="24"/>
                <w:szCs w:val="24"/>
              </w:rPr>
            </w:pPr>
            <w:r w:rsidRPr="00DB4CD8">
              <w:rPr>
                <w:rFonts w:ascii="Arial Narrow" w:hAnsi="Arial Narrow"/>
                <w:sz w:val="24"/>
                <w:szCs w:val="24"/>
              </w:rPr>
              <w:t>(5)</w:t>
            </w:r>
          </w:p>
        </w:tc>
        <w:tc>
          <w:tcPr>
            <w:tcW w:w="1194" w:type="dxa"/>
          </w:tcPr>
          <w:p w14:paraId="6306BFBA" w14:textId="317543EB" w:rsidR="007918C9" w:rsidRPr="00DB4CD8" w:rsidRDefault="00544DFA" w:rsidP="008B4C90">
            <w:pPr>
              <w:jc w:val="both"/>
              <w:rPr>
                <w:rFonts w:ascii="Arial Narrow" w:hAnsi="Arial Narrow"/>
                <w:sz w:val="24"/>
                <w:szCs w:val="24"/>
              </w:rPr>
            </w:pPr>
            <w:r w:rsidRPr="00DB4CD8">
              <w:rPr>
                <w:rFonts w:ascii="Arial Narrow" w:hAnsi="Arial Narrow"/>
                <w:sz w:val="24"/>
                <w:szCs w:val="24"/>
              </w:rPr>
              <w:t>Colombia</w:t>
            </w:r>
          </w:p>
        </w:tc>
        <w:tc>
          <w:tcPr>
            <w:tcW w:w="1701" w:type="dxa"/>
          </w:tcPr>
          <w:p w14:paraId="14F628B3" w14:textId="3A233DBC" w:rsidR="007918C9" w:rsidRPr="00DB4CD8" w:rsidRDefault="00A43F4D" w:rsidP="008B4C90">
            <w:pPr>
              <w:jc w:val="both"/>
              <w:rPr>
                <w:rFonts w:ascii="Arial Narrow" w:hAnsi="Arial Narrow"/>
                <w:sz w:val="24"/>
                <w:szCs w:val="24"/>
              </w:rPr>
            </w:pPr>
            <w:r w:rsidRPr="00DB4CD8">
              <w:rPr>
                <w:rFonts w:ascii="Arial Narrow" w:hAnsi="Arial Narrow"/>
                <w:sz w:val="24"/>
                <w:szCs w:val="24"/>
              </w:rPr>
              <w:t>34.0</w:t>
            </w:r>
          </w:p>
        </w:tc>
        <w:tc>
          <w:tcPr>
            <w:tcW w:w="3255" w:type="dxa"/>
          </w:tcPr>
          <w:p w14:paraId="4284249B" w14:textId="7C1494F9" w:rsidR="007918C9" w:rsidRPr="00DB4CD8" w:rsidRDefault="00544DFA" w:rsidP="008B4C90">
            <w:pPr>
              <w:jc w:val="both"/>
              <w:rPr>
                <w:rFonts w:ascii="Arial Narrow" w:hAnsi="Arial Narrow"/>
                <w:sz w:val="24"/>
                <w:szCs w:val="24"/>
              </w:rPr>
            </w:pPr>
            <w:proofErr w:type="spellStart"/>
            <w:r w:rsidRPr="00DB4CD8">
              <w:rPr>
                <w:rFonts w:ascii="Arial Narrow" w:hAnsi="Arial Narrow"/>
                <w:sz w:val="24"/>
                <w:szCs w:val="24"/>
              </w:rPr>
              <w:t>Predominance</w:t>
            </w:r>
            <w:proofErr w:type="spellEnd"/>
            <w:r w:rsidRPr="00DB4CD8">
              <w:rPr>
                <w:rFonts w:ascii="Arial Narrow" w:hAnsi="Arial Narrow"/>
                <w:sz w:val="24"/>
                <w:szCs w:val="24"/>
              </w:rPr>
              <w:t xml:space="preserve"> of </w:t>
            </w:r>
            <w:proofErr w:type="spellStart"/>
            <w:r w:rsidRPr="00DB4CD8">
              <w:rPr>
                <w:rFonts w:ascii="Arial Narrow" w:hAnsi="Arial Narrow"/>
                <w:sz w:val="24"/>
                <w:szCs w:val="24"/>
              </w:rPr>
              <w:t>aggressive</w:t>
            </w:r>
            <w:proofErr w:type="spellEnd"/>
            <w:r w:rsidRPr="00DB4CD8">
              <w:rPr>
                <w:rFonts w:ascii="Arial Narrow" w:hAnsi="Arial Narrow"/>
                <w:sz w:val="24"/>
                <w:szCs w:val="24"/>
              </w:rPr>
              <w:t xml:space="preserve"> </w:t>
            </w:r>
            <w:proofErr w:type="spellStart"/>
            <w:r w:rsidRPr="00DB4CD8">
              <w:rPr>
                <w:rFonts w:ascii="Arial Narrow" w:hAnsi="Arial Narrow"/>
                <w:sz w:val="24"/>
                <w:szCs w:val="24"/>
              </w:rPr>
              <w:t>forms</w:t>
            </w:r>
            <w:proofErr w:type="spellEnd"/>
          </w:p>
        </w:tc>
      </w:tr>
      <w:tr w:rsidR="00DB4CD8" w:rsidRPr="00DB4CD8" w14:paraId="7B1BC194" w14:textId="77777777" w:rsidTr="00090890">
        <w:tc>
          <w:tcPr>
            <w:tcW w:w="1788" w:type="dxa"/>
          </w:tcPr>
          <w:p w14:paraId="789C32E7" w14:textId="5BAEF04D" w:rsidR="007918C9" w:rsidRPr="00DB4CD8" w:rsidRDefault="00544DFA" w:rsidP="008B4C90">
            <w:pPr>
              <w:jc w:val="both"/>
              <w:rPr>
                <w:rFonts w:ascii="Arial Narrow" w:hAnsi="Arial Narrow"/>
                <w:sz w:val="24"/>
                <w:szCs w:val="24"/>
              </w:rPr>
            </w:pPr>
            <w:proofErr w:type="spellStart"/>
            <w:r w:rsidRPr="00DB4CD8">
              <w:rPr>
                <w:rFonts w:ascii="Arial Narrow" w:hAnsi="Arial Narrow"/>
                <w:sz w:val="24"/>
                <w:szCs w:val="24"/>
              </w:rPr>
              <w:t>Diondo</w:t>
            </w:r>
            <w:proofErr w:type="spellEnd"/>
            <w:r w:rsidRPr="00DB4CD8">
              <w:rPr>
                <w:rFonts w:ascii="Arial Narrow" w:hAnsi="Arial Narrow"/>
                <w:sz w:val="24"/>
                <w:szCs w:val="24"/>
              </w:rPr>
              <w:t xml:space="preserve"> OGOLBA</w:t>
            </w:r>
          </w:p>
        </w:tc>
        <w:tc>
          <w:tcPr>
            <w:tcW w:w="1124" w:type="dxa"/>
          </w:tcPr>
          <w:p w14:paraId="1B59B7F0" w14:textId="581B3CC6" w:rsidR="007918C9" w:rsidRPr="00DB4CD8" w:rsidRDefault="00FA5C6B" w:rsidP="008B4C90">
            <w:pPr>
              <w:jc w:val="both"/>
              <w:rPr>
                <w:rFonts w:ascii="Arial Narrow" w:hAnsi="Arial Narrow"/>
                <w:sz w:val="24"/>
                <w:szCs w:val="24"/>
              </w:rPr>
            </w:pPr>
            <w:r w:rsidRPr="00DB4CD8">
              <w:rPr>
                <w:rFonts w:ascii="Arial Narrow" w:hAnsi="Arial Narrow"/>
                <w:sz w:val="24"/>
                <w:szCs w:val="24"/>
              </w:rPr>
              <w:t>(4)</w:t>
            </w:r>
          </w:p>
        </w:tc>
        <w:tc>
          <w:tcPr>
            <w:tcW w:w="1194" w:type="dxa"/>
          </w:tcPr>
          <w:p w14:paraId="5BF23AF1" w14:textId="72EA736C" w:rsidR="007918C9" w:rsidRPr="00DB4CD8" w:rsidRDefault="00544DFA" w:rsidP="008B4C90">
            <w:pPr>
              <w:jc w:val="both"/>
              <w:rPr>
                <w:rFonts w:ascii="Arial Narrow" w:hAnsi="Arial Narrow"/>
                <w:sz w:val="24"/>
                <w:szCs w:val="24"/>
              </w:rPr>
            </w:pPr>
            <w:r w:rsidRPr="00DB4CD8">
              <w:rPr>
                <w:rFonts w:ascii="Arial Narrow" w:hAnsi="Arial Narrow"/>
                <w:sz w:val="24"/>
                <w:szCs w:val="24"/>
              </w:rPr>
              <w:t>Mali</w:t>
            </w:r>
          </w:p>
        </w:tc>
        <w:tc>
          <w:tcPr>
            <w:tcW w:w="1701" w:type="dxa"/>
          </w:tcPr>
          <w:p w14:paraId="76CC17B3" w14:textId="2F97BBC0" w:rsidR="007918C9" w:rsidRPr="00DB4CD8" w:rsidRDefault="00A43F4D" w:rsidP="008B4C90">
            <w:pPr>
              <w:jc w:val="both"/>
              <w:rPr>
                <w:rFonts w:ascii="Arial Narrow" w:hAnsi="Arial Narrow"/>
                <w:sz w:val="24"/>
                <w:szCs w:val="24"/>
              </w:rPr>
            </w:pPr>
            <w:r w:rsidRPr="00DB4CD8">
              <w:rPr>
                <w:rFonts w:ascii="Arial Narrow" w:hAnsi="Arial Narrow"/>
                <w:sz w:val="24"/>
                <w:szCs w:val="24"/>
              </w:rPr>
              <w:t>34.1</w:t>
            </w:r>
          </w:p>
        </w:tc>
        <w:tc>
          <w:tcPr>
            <w:tcW w:w="3255" w:type="dxa"/>
          </w:tcPr>
          <w:p w14:paraId="0EB61A4D" w14:textId="0E506C43" w:rsidR="007918C9" w:rsidRPr="00DB4CD8" w:rsidRDefault="00544DFA" w:rsidP="008B4C90">
            <w:pPr>
              <w:jc w:val="both"/>
              <w:rPr>
                <w:rFonts w:ascii="Arial Narrow" w:hAnsi="Arial Narrow"/>
                <w:sz w:val="24"/>
                <w:szCs w:val="24"/>
              </w:rPr>
            </w:pPr>
            <w:r w:rsidRPr="00DB4CD8">
              <w:rPr>
                <w:rFonts w:ascii="Arial Narrow" w:hAnsi="Arial Narrow"/>
                <w:sz w:val="24"/>
                <w:szCs w:val="24"/>
              </w:rPr>
              <w:t xml:space="preserve">Peak incidence in the 35–40 </w:t>
            </w:r>
            <w:proofErr w:type="spellStart"/>
            <w:r w:rsidRPr="00DB4CD8">
              <w:rPr>
                <w:rFonts w:ascii="Arial Narrow" w:hAnsi="Arial Narrow"/>
                <w:sz w:val="24"/>
                <w:szCs w:val="24"/>
              </w:rPr>
              <w:t>age</w:t>
            </w:r>
            <w:proofErr w:type="spellEnd"/>
            <w:r w:rsidRPr="00DB4CD8">
              <w:rPr>
                <w:rFonts w:ascii="Arial Narrow" w:hAnsi="Arial Narrow"/>
                <w:sz w:val="24"/>
                <w:szCs w:val="24"/>
              </w:rPr>
              <w:t xml:space="preserve"> group</w:t>
            </w:r>
          </w:p>
        </w:tc>
      </w:tr>
      <w:tr w:rsidR="00C340E7" w:rsidRPr="00DB4CD8" w14:paraId="57C34FDF" w14:textId="77777777" w:rsidTr="00090890">
        <w:tc>
          <w:tcPr>
            <w:tcW w:w="1788" w:type="dxa"/>
          </w:tcPr>
          <w:p w14:paraId="72DE4126" w14:textId="2E42EBAA" w:rsidR="007918C9" w:rsidRPr="00DB4CD8" w:rsidRDefault="00B05FA7" w:rsidP="008B4C90">
            <w:pPr>
              <w:jc w:val="both"/>
              <w:rPr>
                <w:rFonts w:ascii="Arial Narrow" w:hAnsi="Arial Narrow"/>
                <w:sz w:val="24"/>
                <w:szCs w:val="24"/>
              </w:rPr>
            </w:pPr>
            <w:proofErr w:type="spellStart"/>
            <w:r w:rsidRPr="00DB4CD8">
              <w:rPr>
                <w:rFonts w:ascii="Arial Narrow" w:hAnsi="Arial Narrow"/>
                <w:sz w:val="24"/>
                <w:szCs w:val="24"/>
              </w:rPr>
              <w:t>Takatsu</w:t>
            </w:r>
            <w:proofErr w:type="spellEnd"/>
            <w:r w:rsidRPr="00DB4CD8">
              <w:rPr>
                <w:rFonts w:ascii="Arial Narrow" w:hAnsi="Arial Narrow"/>
                <w:sz w:val="24"/>
                <w:szCs w:val="24"/>
              </w:rPr>
              <w:t xml:space="preserve"> Y. et al.</w:t>
            </w:r>
          </w:p>
        </w:tc>
        <w:tc>
          <w:tcPr>
            <w:tcW w:w="1124" w:type="dxa"/>
          </w:tcPr>
          <w:p w14:paraId="53764EB5" w14:textId="1D392A87" w:rsidR="007918C9" w:rsidRPr="00DB4CD8" w:rsidRDefault="00FA5C6B" w:rsidP="008B4C90">
            <w:pPr>
              <w:jc w:val="both"/>
              <w:rPr>
                <w:rFonts w:ascii="Arial Narrow" w:hAnsi="Arial Narrow"/>
                <w:sz w:val="24"/>
                <w:szCs w:val="24"/>
              </w:rPr>
            </w:pPr>
            <w:r w:rsidRPr="00DB4CD8">
              <w:rPr>
                <w:rFonts w:ascii="Arial Narrow" w:hAnsi="Arial Narrow"/>
                <w:sz w:val="24"/>
                <w:szCs w:val="24"/>
              </w:rPr>
              <w:t>(9)</w:t>
            </w:r>
          </w:p>
        </w:tc>
        <w:tc>
          <w:tcPr>
            <w:tcW w:w="1194" w:type="dxa"/>
          </w:tcPr>
          <w:p w14:paraId="7CB651FD" w14:textId="34D956E3" w:rsidR="007918C9" w:rsidRPr="00DB4CD8" w:rsidRDefault="00B05FA7" w:rsidP="008B4C90">
            <w:pPr>
              <w:jc w:val="both"/>
              <w:rPr>
                <w:rFonts w:ascii="Arial Narrow" w:hAnsi="Arial Narrow"/>
                <w:sz w:val="24"/>
                <w:szCs w:val="24"/>
              </w:rPr>
            </w:pPr>
            <w:r w:rsidRPr="00DB4CD8">
              <w:rPr>
                <w:rFonts w:ascii="Arial Narrow" w:hAnsi="Arial Narrow"/>
                <w:sz w:val="24"/>
                <w:szCs w:val="24"/>
              </w:rPr>
              <w:t>Japan</w:t>
            </w:r>
          </w:p>
        </w:tc>
        <w:tc>
          <w:tcPr>
            <w:tcW w:w="1701" w:type="dxa"/>
          </w:tcPr>
          <w:p w14:paraId="797447C0" w14:textId="69E2CE80" w:rsidR="007918C9" w:rsidRPr="00DB4CD8" w:rsidRDefault="00A43F4D" w:rsidP="008B4C90">
            <w:pPr>
              <w:jc w:val="both"/>
              <w:rPr>
                <w:rFonts w:ascii="Arial Narrow" w:hAnsi="Arial Narrow"/>
                <w:sz w:val="24"/>
                <w:szCs w:val="24"/>
              </w:rPr>
            </w:pPr>
            <w:r w:rsidRPr="00DB4CD8">
              <w:rPr>
                <w:rFonts w:ascii="Arial Narrow" w:hAnsi="Arial Narrow"/>
                <w:sz w:val="24"/>
                <w:szCs w:val="24"/>
              </w:rPr>
              <w:t>35.0</w:t>
            </w:r>
          </w:p>
        </w:tc>
        <w:tc>
          <w:tcPr>
            <w:tcW w:w="3255" w:type="dxa"/>
          </w:tcPr>
          <w:p w14:paraId="7CF17FDE" w14:textId="06445B12" w:rsidR="007918C9" w:rsidRPr="00DB4CD8" w:rsidRDefault="00B05FA7" w:rsidP="008B4C90">
            <w:pPr>
              <w:jc w:val="both"/>
              <w:rPr>
                <w:rFonts w:ascii="Arial Narrow" w:hAnsi="Arial Narrow"/>
                <w:sz w:val="24"/>
                <w:szCs w:val="24"/>
              </w:rPr>
            </w:pPr>
            <w:r w:rsidRPr="00DB4CD8">
              <w:rPr>
                <w:rFonts w:ascii="Arial Narrow" w:hAnsi="Arial Narrow"/>
                <w:sz w:val="24"/>
                <w:szCs w:val="24"/>
              </w:rPr>
              <w:t xml:space="preserve">Distinct </w:t>
            </w:r>
            <w:proofErr w:type="spellStart"/>
            <w:r w:rsidRPr="00DB4CD8">
              <w:rPr>
                <w:rFonts w:ascii="Arial Narrow" w:hAnsi="Arial Narrow"/>
                <w:sz w:val="24"/>
                <w:szCs w:val="24"/>
              </w:rPr>
              <w:t>clinicopathological</w:t>
            </w:r>
            <w:proofErr w:type="spellEnd"/>
            <w:r w:rsidRPr="00DB4CD8">
              <w:rPr>
                <w:rFonts w:ascii="Arial Narrow" w:hAnsi="Arial Narrow"/>
                <w:sz w:val="24"/>
                <w:szCs w:val="24"/>
              </w:rPr>
              <w:t xml:space="preserve"> </w:t>
            </w:r>
            <w:proofErr w:type="spellStart"/>
            <w:r w:rsidRPr="00DB4CD8">
              <w:rPr>
                <w:rFonts w:ascii="Arial Narrow" w:hAnsi="Arial Narrow"/>
                <w:sz w:val="24"/>
                <w:szCs w:val="24"/>
              </w:rPr>
              <w:t>features</w:t>
            </w:r>
            <w:proofErr w:type="spellEnd"/>
            <w:r w:rsidRPr="00DB4CD8">
              <w:rPr>
                <w:rFonts w:ascii="Arial Narrow" w:hAnsi="Arial Narrow"/>
                <w:sz w:val="24"/>
                <w:szCs w:val="24"/>
              </w:rPr>
              <w:t xml:space="preserve"> &lt; 40 </w:t>
            </w:r>
            <w:proofErr w:type="spellStart"/>
            <w:r w:rsidRPr="00DB4CD8">
              <w:rPr>
                <w:rFonts w:ascii="Arial Narrow" w:hAnsi="Arial Narrow"/>
                <w:sz w:val="24"/>
                <w:szCs w:val="24"/>
              </w:rPr>
              <w:t>years</w:t>
            </w:r>
            <w:proofErr w:type="spellEnd"/>
          </w:p>
        </w:tc>
      </w:tr>
    </w:tbl>
    <w:p w14:paraId="0F1067D2" w14:textId="77777777" w:rsidR="00297FF5" w:rsidRPr="00DB4CD8" w:rsidRDefault="00297FF5" w:rsidP="00CD722D">
      <w:pPr>
        <w:spacing w:after="0"/>
        <w:jc w:val="both"/>
        <w:rPr>
          <w:rFonts w:ascii="Arial Narrow" w:hAnsi="Arial Narrow"/>
          <w:sz w:val="24"/>
          <w:szCs w:val="24"/>
          <w:lang w:val="en-US"/>
        </w:rPr>
      </w:pPr>
    </w:p>
    <w:p w14:paraId="46CA8F82"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These findings in our study may be explained by the young age structure of the population, the diagnostic complexity of gastric cancer in younger individuals compared to older patients, the absence of early screening programs for young individuals, and infectious and epidemiological factors. According to Michelon and Saeed, although the overall incidence of gastric cancer is declining due to H. pylori eradication, the subgroup of young patients shows stable or even increasing rates in certain regions (3). This epidemiological transition suggests that classical environmental factors alone are not sufficient to explain the phenomenon.</w:t>
      </w:r>
    </w:p>
    <w:p w14:paraId="63F04750" w14:textId="77777777" w:rsidR="00CD722D" w:rsidRPr="00DB4CD8" w:rsidRDefault="00CD722D" w:rsidP="00CD722D">
      <w:pPr>
        <w:spacing w:after="0"/>
        <w:jc w:val="both"/>
        <w:rPr>
          <w:rFonts w:ascii="Arial Narrow" w:hAnsi="Arial Narrow"/>
          <w:sz w:val="24"/>
          <w:szCs w:val="24"/>
          <w:lang w:val="en-US"/>
        </w:rPr>
      </w:pPr>
      <w:proofErr w:type="spellStart"/>
      <w:r w:rsidRPr="00DB4CD8">
        <w:rPr>
          <w:rFonts w:ascii="Arial Narrow" w:hAnsi="Arial Narrow"/>
          <w:sz w:val="24"/>
          <w:szCs w:val="24"/>
          <w:lang w:val="en-US"/>
        </w:rPr>
        <w:t>Tekesin</w:t>
      </w:r>
      <w:proofErr w:type="spellEnd"/>
      <w:r w:rsidRPr="00DB4CD8">
        <w:rPr>
          <w:rFonts w:ascii="Arial Narrow" w:hAnsi="Arial Narrow"/>
          <w:sz w:val="24"/>
          <w:szCs w:val="24"/>
          <w:lang w:val="en-US"/>
        </w:rPr>
        <w:t xml:space="preserve"> et al., in their large cohort, emphasize that the clinicopathological characteristics of these patients differ markedly from those of older individuals, with much greater intrinsic biological aggressiveness (9, 12). Reducing gastric cancer incidence and promoting early diagnosis remain effective strategies for decreasing mortality.</w:t>
      </w:r>
    </w:p>
    <w:p w14:paraId="13ECC725" w14:textId="77777777" w:rsidR="00CD722D" w:rsidRPr="00DB4CD8" w:rsidRDefault="00CD722D" w:rsidP="00CD722D">
      <w:pPr>
        <w:spacing w:after="0"/>
        <w:jc w:val="both"/>
        <w:rPr>
          <w:rFonts w:ascii="Arial Narrow" w:hAnsi="Arial Narrow"/>
          <w:sz w:val="24"/>
          <w:szCs w:val="24"/>
          <w:lang w:val="en-US"/>
        </w:rPr>
      </w:pPr>
    </w:p>
    <w:p w14:paraId="7DA08C50"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Female predominance: A biological e</w:t>
      </w:r>
      <w:r w:rsidR="00CD722D" w:rsidRPr="00DB4CD8">
        <w:rPr>
          <w:rFonts w:ascii="Arial Narrow" w:hAnsi="Arial Narrow"/>
          <w:sz w:val="24"/>
          <w:szCs w:val="24"/>
          <w:lang w:val="en-US"/>
        </w:rPr>
        <w:t>nigma</w:t>
      </w:r>
    </w:p>
    <w:p w14:paraId="44D59209"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The female predominance (56%) is consistent with observations by Oh et al. in the United States and Li J. in China, who report an increasing incidence of gastric cancer among young women (2, 13).</w:t>
      </w:r>
    </w:p>
    <w:p w14:paraId="50504B6B"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This reversal of the sex ratio compared to older populations may be explained by hormonal, nutritional, or microbiological factors specific to this group (2). Recent work by Lee et al. confirms that young women are more likely to develop diffuse-type tumors, possibly due to hormonal responsiveness to estrogens which, although protective at physiological levels, may interact with specific oncogenic signaling pathways in premenopausal women (14).</w:t>
      </w:r>
    </w:p>
    <w:p w14:paraId="336A3425"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Reducing incidence and promoting early diagnosis are essential to lowering mortality. Emphasis should be placed on identifying individuals with genetic or familial risk factors and eliminating the main modifiable cause (H. pylori) within their households. A targeted family screening and H. pylori eradication strategy therefore appears justified.</w:t>
      </w:r>
    </w:p>
    <w:p w14:paraId="63847069" w14:textId="77777777" w:rsidR="0029474D" w:rsidRPr="00DB4CD8" w:rsidRDefault="0029474D" w:rsidP="00CD722D">
      <w:pPr>
        <w:spacing w:after="0"/>
        <w:jc w:val="both"/>
        <w:rPr>
          <w:rFonts w:ascii="Arial Narrow" w:hAnsi="Arial Narrow"/>
          <w:sz w:val="24"/>
          <w:szCs w:val="24"/>
          <w:lang w:val="en-US"/>
        </w:rPr>
      </w:pPr>
    </w:p>
    <w:p w14:paraId="2C4D66FF" w14:textId="77777777" w:rsidR="0029474D" w:rsidRPr="00DB4CD8" w:rsidRDefault="0029474D" w:rsidP="00CD722D">
      <w:pPr>
        <w:spacing w:after="0"/>
        <w:jc w:val="both"/>
        <w:rPr>
          <w:rFonts w:ascii="Arial Narrow" w:hAnsi="Arial Narrow"/>
          <w:sz w:val="24"/>
          <w:szCs w:val="24"/>
          <w:lang w:val="en-US"/>
        </w:rPr>
      </w:pPr>
    </w:p>
    <w:p w14:paraId="1602984F" w14:textId="77777777" w:rsidR="0029474D" w:rsidRPr="00DB4CD8" w:rsidRDefault="0029474D" w:rsidP="00CD722D">
      <w:pPr>
        <w:spacing w:after="0"/>
        <w:jc w:val="both"/>
        <w:rPr>
          <w:rFonts w:ascii="Arial Narrow" w:hAnsi="Arial Narrow"/>
          <w:sz w:val="24"/>
          <w:szCs w:val="24"/>
          <w:lang w:val="en-US"/>
        </w:rPr>
      </w:pPr>
    </w:p>
    <w:p w14:paraId="2F07DBEE" w14:textId="77777777" w:rsidR="0029474D" w:rsidRPr="00DB4CD8" w:rsidRDefault="0029474D" w:rsidP="00CD722D">
      <w:pPr>
        <w:spacing w:after="0"/>
        <w:jc w:val="both"/>
        <w:rPr>
          <w:rFonts w:ascii="Arial Narrow" w:hAnsi="Arial Narrow"/>
          <w:sz w:val="24"/>
          <w:szCs w:val="24"/>
          <w:lang w:val="en-US"/>
        </w:rPr>
      </w:pPr>
    </w:p>
    <w:p w14:paraId="3E2F88A5" w14:textId="50A5B7E9" w:rsidR="0029474D" w:rsidRPr="00DB4CD8" w:rsidRDefault="00D148DE" w:rsidP="0029474D">
      <w:pPr>
        <w:spacing w:after="0"/>
        <w:jc w:val="both"/>
        <w:rPr>
          <w:rFonts w:ascii="Arial Narrow" w:hAnsi="Arial Narrow"/>
          <w:sz w:val="24"/>
          <w:szCs w:val="24"/>
          <w:lang w:val="en-US"/>
        </w:rPr>
      </w:pPr>
      <w:r w:rsidRPr="00DB4CD8">
        <w:rPr>
          <w:rFonts w:ascii="Arial Narrow" w:hAnsi="Arial Narrow"/>
          <w:sz w:val="24"/>
          <w:szCs w:val="24"/>
          <w:lang w:val="en-US"/>
        </w:rPr>
        <w:lastRenderedPageBreak/>
        <w:t xml:space="preserve">II. </w:t>
      </w:r>
      <w:r w:rsidR="0029474D" w:rsidRPr="00DB4CD8">
        <w:rPr>
          <w:rFonts w:ascii="Arial Narrow" w:hAnsi="Arial Narrow"/>
          <w:sz w:val="24"/>
          <w:szCs w:val="24"/>
          <w:lang w:val="en-US"/>
        </w:rPr>
        <w:t xml:space="preserve"> Etiological and Risk Factors </w:t>
      </w:r>
    </w:p>
    <w:p w14:paraId="409A0645" w14:textId="2F93B94C"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 xml:space="preserve">The etiology of gastric cancer in young adults is multifactorial, involving a complex interplay between environmental triggers and genetic susceptibility. In our </w:t>
      </w:r>
      <w:r w:rsidR="00DB5F60" w:rsidRPr="00DB4CD8">
        <w:rPr>
          <w:rFonts w:ascii="Arial Narrow" w:hAnsi="Arial Narrow"/>
          <w:sz w:val="24"/>
          <w:szCs w:val="24"/>
          <w:lang w:val="en-US"/>
        </w:rPr>
        <w:t>study, the</w:t>
      </w:r>
      <w:r w:rsidR="00D755AD" w:rsidRPr="00DB4CD8">
        <w:rPr>
          <w:rFonts w:ascii="Arial Narrow" w:hAnsi="Arial Narrow"/>
          <w:sz w:val="24"/>
          <w:szCs w:val="24"/>
          <w:lang w:val="en-US"/>
        </w:rPr>
        <w:t xml:space="preserve"> predominant risk factors remain Helicobacter pylori infection (56%) and smoking (33%).</w:t>
      </w:r>
    </w:p>
    <w:p w14:paraId="6FEF6738" w14:textId="77777777" w:rsidR="0029474D" w:rsidRPr="00DB4CD8" w:rsidRDefault="0029474D" w:rsidP="0029474D">
      <w:pPr>
        <w:spacing w:after="0"/>
        <w:jc w:val="both"/>
        <w:rPr>
          <w:rFonts w:ascii="Arial Narrow" w:hAnsi="Arial Narrow"/>
          <w:sz w:val="24"/>
          <w:szCs w:val="24"/>
          <w:lang w:val="en-US"/>
        </w:rPr>
      </w:pPr>
    </w:p>
    <w:p w14:paraId="4E57CD99" w14:textId="38FC3A29"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The Central Role of Helicobacter pylori</w:t>
      </w:r>
    </w:p>
    <w:p w14:paraId="5406BFBB" w14:textId="032A32A1" w:rsidR="000E0549" w:rsidRPr="00DB4CD8" w:rsidRDefault="0029474D" w:rsidP="000E0549">
      <w:pPr>
        <w:spacing w:after="0"/>
        <w:jc w:val="both"/>
        <w:rPr>
          <w:rFonts w:ascii="Arial Narrow" w:hAnsi="Arial Narrow"/>
          <w:sz w:val="24"/>
          <w:szCs w:val="24"/>
          <w:lang w:val="en-US"/>
        </w:rPr>
      </w:pPr>
      <w:r w:rsidRPr="00DB4CD8">
        <w:rPr>
          <w:rFonts w:ascii="Arial Narrow" w:hAnsi="Arial Narrow"/>
          <w:sz w:val="24"/>
          <w:szCs w:val="24"/>
          <w:lang w:val="en-US"/>
        </w:rPr>
        <w:t xml:space="preserve">Our findings align with the comprehensive review by Emmanuel BN. </w:t>
      </w:r>
      <w:r w:rsidR="006239B6" w:rsidRPr="00DB4CD8">
        <w:rPr>
          <w:rFonts w:ascii="Arial Narrow" w:hAnsi="Arial Narrow"/>
          <w:sz w:val="24"/>
          <w:szCs w:val="24"/>
          <w:lang w:val="en-US"/>
        </w:rPr>
        <w:t>and</w:t>
      </w:r>
      <w:r w:rsidRPr="00DB4CD8">
        <w:rPr>
          <w:rFonts w:ascii="Arial Narrow" w:hAnsi="Arial Narrow"/>
          <w:sz w:val="24"/>
          <w:szCs w:val="24"/>
          <w:lang w:val="en-US"/>
        </w:rPr>
        <w:t xml:space="preserve"> al. regarding H. pylori in Africa. They emphasize that early-life acquisition of the bacteria leads to a prolonged inflammatory state, which is a critical driver of carcinogenesis in regions with high prevalence</w:t>
      </w:r>
      <w:r w:rsidR="0079461F" w:rsidRPr="00DB4CD8">
        <w:rPr>
          <w:rFonts w:ascii="Arial Narrow" w:hAnsi="Arial Narrow"/>
          <w:sz w:val="24"/>
          <w:szCs w:val="24"/>
          <w:lang w:val="en-US"/>
        </w:rPr>
        <w:t xml:space="preserve"> (7)</w:t>
      </w:r>
      <w:r w:rsidRPr="00DB4CD8">
        <w:rPr>
          <w:rFonts w:ascii="Arial Narrow" w:hAnsi="Arial Narrow"/>
          <w:sz w:val="24"/>
          <w:szCs w:val="24"/>
          <w:lang w:val="en-US"/>
        </w:rPr>
        <w:t xml:space="preserve">. Li J. further supports this by highlighting that H. pylori infection is a major etiological factor specifically for the diffuse-type adenocarcinoma frequently seen in young </w:t>
      </w:r>
      <w:proofErr w:type="gramStart"/>
      <w:r w:rsidRPr="00DB4CD8">
        <w:rPr>
          <w:rFonts w:ascii="Arial Narrow" w:hAnsi="Arial Narrow"/>
          <w:sz w:val="24"/>
          <w:szCs w:val="24"/>
          <w:lang w:val="en-US"/>
        </w:rPr>
        <w:t>patients</w:t>
      </w:r>
      <w:r w:rsidR="00A304DE" w:rsidRPr="00DB4CD8">
        <w:rPr>
          <w:rFonts w:ascii="Arial Narrow" w:hAnsi="Arial Narrow"/>
          <w:sz w:val="24"/>
          <w:szCs w:val="24"/>
          <w:lang w:val="en-US"/>
        </w:rPr>
        <w:t xml:space="preserve"> </w:t>
      </w:r>
      <w:r w:rsidRPr="00DB4CD8">
        <w:rPr>
          <w:rFonts w:ascii="Arial Narrow" w:hAnsi="Arial Narrow"/>
          <w:sz w:val="24"/>
          <w:szCs w:val="24"/>
          <w:lang w:val="en-US"/>
        </w:rPr>
        <w:t>.</w:t>
      </w:r>
      <w:proofErr w:type="gramEnd"/>
      <w:r w:rsidR="00B06584" w:rsidRPr="00DB4CD8">
        <w:rPr>
          <w:rFonts w:ascii="Arial Narrow" w:hAnsi="Arial Narrow"/>
          <w:sz w:val="24"/>
          <w:szCs w:val="24"/>
          <w:lang w:val="en-US"/>
        </w:rPr>
        <w:t xml:space="preserve"> </w:t>
      </w:r>
      <w:r w:rsidR="00067E30" w:rsidRPr="00DB4CD8">
        <w:rPr>
          <w:rFonts w:ascii="Arial Narrow" w:hAnsi="Arial Narrow"/>
          <w:sz w:val="24"/>
          <w:szCs w:val="24"/>
          <w:lang w:val="en-US"/>
        </w:rPr>
        <w:t>He</w:t>
      </w:r>
      <w:r w:rsidR="00B06584" w:rsidRPr="00DB4CD8">
        <w:rPr>
          <w:rFonts w:ascii="Arial Narrow" w:hAnsi="Arial Narrow"/>
          <w:sz w:val="24"/>
          <w:szCs w:val="24"/>
          <w:lang w:val="en-US"/>
        </w:rPr>
        <w:t xml:space="preserve"> also reported a high prevalence of H. pylori (95%) among young patients with poorly differentiated adenocarcinoma (2). </w:t>
      </w:r>
      <w:r w:rsidRPr="00DB4CD8">
        <w:rPr>
          <w:rFonts w:ascii="Arial Narrow" w:hAnsi="Arial Narrow"/>
          <w:sz w:val="24"/>
          <w:szCs w:val="24"/>
          <w:lang w:val="en-US"/>
        </w:rPr>
        <w:t xml:space="preserve"> This suggests that in our Moroccan cohort, the high infection rate (56%) is a primary trigger for early neoplastic transformation.</w:t>
      </w:r>
      <w:r w:rsidR="000E0549" w:rsidRPr="00DB4CD8">
        <w:rPr>
          <w:rFonts w:ascii="Arial Narrow" w:hAnsi="Arial Narrow"/>
          <w:sz w:val="24"/>
          <w:szCs w:val="24"/>
          <w:lang w:val="en-US"/>
        </w:rPr>
        <w:t xml:space="preserve"> Blessing et al. stress that management of this infection must be a public health priority, as persistent inflammation from childhood shortens the latency period before malignant transformation (7).</w:t>
      </w:r>
    </w:p>
    <w:p w14:paraId="197742F9" w14:textId="21F6520F" w:rsidR="0029474D" w:rsidRPr="00DB4CD8" w:rsidRDefault="0029474D" w:rsidP="0029474D">
      <w:pPr>
        <w:spacing w:after="0"/>
        <w:jc w:val="both"/>
        <w:rPr>
          <w:rFonts w:ascii="Arial Narrow" w:hAnsi="Arial Narrow"/>
          <w:sz w:val="24"/>
          <w:szCs w:val="24"/>
          <w:lang w:val="en-US"/>
        </w:rPr>
      </w:pPr>
    </w:p>
    <w:p w14:paraId="0F50FC83" w14:textId="77777777" w:rsidR="0029474D" w:rsidRPr="00DB4CD8" w:rsidRDefault="0029474D" w:rsidP="0029474D">
      <w:pPr>
        <w:spacing w:after="0"/>
        <w:jc w:val="both"/>
        <w:rPr>
          <w:rFonts w:ascii="Arial Narrow" w:hAnsi="Arial Narrow"/>
          <w:sz w:val="24"/>
          <w:szCs w:val="24"/>
          <w:lang w:val="en-US"/>
        </w:rPr>
      </w:pPr>
    </w:p>
    <w:p w14:paraId="30F3EDF4" w14:textId="7ACA6E8E"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 xml:space="preserve"> Synergistic Effects of Lifestyle Factors</w:t>
      </w:r>
    </w:p>
    <w:p w14:paraId="18FC849B" w14:textId="106DCC3E"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The impact of smoking in our series (33%) is significant. While our results are consistent with the general literature, they are specifically echoed by studies investigating the "young-onset" phenotype. Li J.  a</w:t>
      </w:r>
      <w:r w:rsidR="00C910B0" w:rsidRPr="00DB4CD8">
        <w:rPr>
          <w:rFonts w:ascii="Arial Narrow" w:hAnsi="Arial Narrow"/>
          <w:sz w:val="24"/>
          <w:szCs w:val="24"/>
          <w:lang w:val="en-US"/>
        </w:rPr>
        <w:t>nd</w:t>
      </w:r>
      <w:r w:rsidRPr="00DB4CD8">
        <w:rPr>
          <w:rFonts w:ascii="Arial Narrow" w:hAnsi="Arial Narrow"/>
          <w:sz w:val="24"/>
          <w:szCs w:val="24"/>
          <w:lang w:val="en-US"/>
        </w:rPr>
        <w:t xml:space="preserve"> Michelon </w:t>
      </w:r>
      <w:r w:rsidR="00DB5F60" w:rsidRPr="00DB4CD8">
        <w:rPr>
          <w:rFonts w:ascii="Arial Narrow" w:hAnsi="Arial Narrow"/>
          <w:sz w:val="24"/>
          <w:szCs w:val="24"/>
          <w:lang w:val="en-US"/>
        </w:rPr>
        <w:t>&amp;</w:t>
      </w:r>
      <w:r w:rsidRPr="00DB4CD8">
        <w:rPr>
          <w:rFonts w:ascii="Arial Narrow" w:hAnsi="Arial Narrow"/>
          <w:sz w:val="24"/>
          <w:szCs w:val="24"/>
          <w:lang w:val="en-US"/>
        </w:rPr>
        <w:t xml:space="preserve"> Saeed note that lifestyle factors, including tobacco use and dietary habits, may act as promoters in genetically predisposed individuals</w:t>
      </w:r>
      <w:r w:rsidR="00D371F0" w:rsidRPr="00DB4CD8">
        <w:rPr>
          <w:rFonts w:ascii="Arial Narrow" w:hAnsi="Arial Narrow"/>
          <w:sz w:val="24"/>
          <w:szCs w:val="24"/>
          <w:lang w:val="en-US"/>
        </w:rPr>
        <w:t xml:space="preserve"> (2,3)</w:t>
      </w:r>
      <w:r w:rsidRPr="00DB4CD8">
        <w:rPr>
          <w:rFonts w:ascii="Arial Narrow" w:hAnsi="Arial Narrow"/>
          <w:sz w:val="24"/>
          <w:szCs w:val="24"/>
          <w:lang w:val="en-US"/>
        </w:rPr>
        <w:t>. The synergistic effect between tobacco and H. pylori accelerates the progression from chronic gastritis to atrophy and eventually adenocarcinoma, even in younger cohorts.</w:t>
      </w:r>
    </w:p>
    <w:p w14:paraId="2A77F56B" w14:textId="77777777" w:rsidR="0029474D" w:rsidRPr="00DB4CD8" w:rsidRDefault="0029474D" w:rsidP="0029474D">
      <w:pPr>
        <w:spacing w:after="0"/>
        <w:jc w:val="both"/>
        <w:rPr>
          <w:rFonts w:ascii="Arial Narrow" w:hAnsi="Arial Narrow"/>
          <w:sz w:val="24"/>
          <w:szCs w:val="24"/>
          <w:lang w:val="en-US"/>
        </w:rPr>
      </w:pPr>
    </w:p>
    <w:p w14:paraId="570ECBCF" w14:textId="021D9E08"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 xml:space="preserve"> Gender and Hormonal Influence</w:t>
      </w:r>
    </w:p>
    <w:p w14:paraId="6DAD980B" w14:textId="4260C1FC"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Interestingly, the rising incidence among young women</w:t>
      </w:r>
      <w:r w:rsidR="00984DDD" w:rsidRPr="00DB4CD8">
        <w:rPr>
          <w:rFonts w:ascii="Arial Narrow" w:hAnsi="Arial Narrow"/>
          <w:sz w:val="24"/>
          <w:szCs w:val="24"/>
          <w:lang w:val="en-US"/>
        </w:rPr>
        <w:t xml:space="preserve"> </w:t>
      </w:r>
      <w:r w:rsidRPr="00DB4CD8">
        <w:rPr>
          <w:rFonts w:ascii="Arial Narrow" w:hAnsi="Arial Narrow"/>
          <w:sz w:val="24"/>
          <w:szCs w:val="24"/>
          <w:lang w:val="en-US"/>
        </w:rPr>
        <w:t>reflected in our study by a female predominance</w:t>
      </w:r>
      <w:r w:rsidR="00F445ED" w:rsidRPr="00DB4CD8">
        <w:rPr>
          <w:rFonts w:ascii="Arial Narrow" w:hAnsi="Arial Narrow"/>
          <w:sz w:val="24"/>
          <w:szCs w:val="24"/>
          <w:lang w:val="en-US"/>
        </w:rPr>
        <w:t xml:space="preserve"> </w:t>
      </w:r>
      <w:r w:rsidRPr="00DB4CD8">
        <w:rPr>
          <w:rFonts w:ascii="Arial Narrow" w:hAnsi="Arial Narrow"/>
          <w:sz w:val="24"/>
          <w:szCs w:val="24"/>
          <w:lang w:val="en-US"/>
        </w:rPr>
        <w:t>is a trend also observed by Oh J. et al.  and Lee Y. et al. (</w:t>
      </w:r>
      <w:r w:rsidR="002F4688" w:rsidRPr="00DB4CD8">
        <w:rPr>
          <w:rFonts w:ascii="Arial Narrow" w:hAnsi="Arial Narrow"/>
          <w:sz w:val="24"/>
          <w:szCs w:val="24"/>
          <w:lang w:val="en-US"/>
        </w:rPr>
        <w:t>13,</w:t>
      </w:r>
      <w:r w:rsidRPr="00DB4CD8">
        <w:rPr>
          <w:rFonts w:ascii="Arial Narrow" w:hAnsi="Arial Narrow"/>
          <w:sz w:val="24"/>
          <w:szCs w:val="24"/>
          <w:lang w:val="en-US"/>
        </w:rPr>
        <w:t>14). These authors discuss gender disparities, suggesting that hormonal factors (such as estrogen levels) and differential exposure to risk factors might explain why young females are increasingly affected by non-cardia gastric cancer compared to older populations.</w:t>
      </w:r>
    </w:p>
    <w:p w14:paraId="37AEC1A7" w14:textId="77777777" w:rsidR="0029474D" w:rsidRPr="00DB4CD8" w:rsidRDefault="0029474D" w:rsidP="0029474D">
      <w:pPr>
        <w:spacing w:after="0"/>
        <w:jc w:val="both"/>
        <w:rPr>
          <w:rFonts w:ascii="Arial Narrow" w:hAnsi="Arial Narrow"/>
          <w:sz w:val="24"/>
          <w:szCs w:val="24"/>
          <w:lang w:val="en-US"/>
        </w:rPr>
      </w:pPr>
    </w:p>
    <w:p w14:paraId="4647ED9F" w14:textId="2163CFF7" w:rsidR="0029474D" w:rsidRPr="00DB4CD8" w:rsidRDefault="0029474D" w:rsidP="0029474D">
      <w:pPr>
        <w:spacing w:after="0"/>
        <w:jc w:val="both"/>
        <w:rPr>
          <w:rFonts w:ascii="Arial Narrow" w:hAnsi="Arial Narrow"/>
          <w:sz w:val="24"/>
          <w:szCs w:val="24"/>
          <w:lang w:val="en-US"/>
        </w:rPr>
      </w:pPr>
      <w:r w:rsidRPr="00DB4CD8">
        <w:rPr>
          <w:rFonts w:ascii="Arial Narrow" w:hAnsi="Arial Narrow"/>
          <w:sz w:val="24"/>
          <w:szCs w:val="24"/>
          <w:lang w:val="en-US"/>
        </w:rPr>
        <w:t>Genetic Susceptibility</w:t>
      </w:r>
    </w:p>
    <w:p w14:paraId="464B065B" w14:textId="77777777" w:rsidR="001A266B" w:rsidRPr="00DB4CD8" w:rsidRDefault="00E41F98" w:rsidP="001A266B">
      <w:pPr>
        <w:spacing w:after="0"/>
        <w:jc w:val="both"/>
        <w:rPr>
          <w:rFonts w:ascii="Arial Narrow" w:hAnsi="Arial Narrow"/>
          <w:sz w:val="24"/>
          <w:szCs w:val="24"/>
          <w:lang w:val="en-US"/>
        </w:rPr>
      </w:pPr>
      <w:r w:rsidRPr="00DB4CD8">
        <w:rPr>
          <w:rFonts w:ascii="Arial Narrow" w:hAnsi="Arial Narrow"/>
          <w:sz w:val="24"/>
          <w:szCs w:val="24"/>
          <w:lang w:val="en-US"/>
        </w:rPr>
        <w:t xml:space="preserve">The presence of a family history of gastric cancer in two cases (22%) in our series suggests a strong hereditary component. </w:t>
      </w:r>
      <w:r w:rsidR="001A266B" w:rsidRPr="00DB4CD8">
        <w:rPr>
          <w:rFonts w:ascii="Arial Narrow" w:hAnsi="Arial Narrow"/>
          <w:sz w:val="24"/>
          <w:szCs w:val="24"/>
          <w:lang w:val="en-US"/>
        </w:rPr>
        <w:t xml:space="preserve">While environmental factors are prominent, Chen X. et al.  and Michelon and Saeed emphasize that the "Genomic Landscape" of early-onset gastric cancer is distinct. They suggest that young patients often harbor specific genetic mutations (such as CDH1 or RHOA) that make the gastric mucosa more vulnerable to carcinogens like tobacco or H. pylori metabolites (3,6). </w:t>
      </w:r>
    </w:p>
    <w:p w14:paraId="681AB670" w14:textId="473F9FE2" w:rsidR="00E41F98" w:rsidRPr="00DB4CD8" w:rsidRDefault="00E41F98" w:rsidP="00E41F98">
      <w:pPr>
        <w:spacing w:after="0"/>
        <w:jc w:val="both"/>
        <w:rPr>
          <w:rFonts w:ascii="Arial Narrow" w:hAnsi="Arial Narrow"/>
          <w:sz w:val="24"/>
          <w:szCs w:val="24"/>
          <w:lang w:val="en-US"/>
        </w:rPr>
      </w:pPr>
      <w:r w:rsidRPr="00DB4CD8">
        <w:rPr>
          <w:rFonts w:ascii="Arial Narrow" w:hAnsi="Arial Narrow"/>
          <w:sz w:val="24"/>
          <w:szCs w:val="24"/>
          <w:lang w:val="en-US"/>
        </w:rPr>
        <w:t>Li notes that gastric cancer in young patients is often associated with genetic alterations, particularly CDH1 gene mutations (2). Michelon and Saeed further clarify that forms linked to E-cadherin loss of function are a hallmark of early-onset gastric cancer (3).</w:t>
      </w:r>
    </w:p>
    <w:p w14:paraId="63D5C864" w14:textId="77777777" w:rsidR="00E41F98" w:rsidRPr="00DB4CD8" w:rsidRDefault="00E41F98" w:rsidP="00E41F98">
      <w:pPr>
        <w:spacing w:after="0"/>
        <w:jc w:val="both"/>
        <w:rPr>
          <w:rFonts w:ascii="Arial Narrow" w:hAnsi="Arial Narrow"/>
          <w:sz w:val="24"/>
          <w:szCs w:val="24"/>
          <w:lang w:val="en-US"/>
        </w:rPr>
      </w:pPr>
      <w:r w:rsidRPr="00DB4CD8">
        <w:rPr>
          <w:rFonts w:ascii="Arial Narrow" w:hAnsi="Arial Narrow"/>
          <w:sz w:val="24"/>
          <w:szCs w:val="24"/>
          <w:lang w:val="en-US"/>
        </w:rPr>
        <w:t>These patients require a multidisciplinary approach including genetic testing and enhanced endoscopic surveillance for first-degree relatives, as the lifetime cumulative risk of gastric cancer in CDH1 mutation carriers may reach 70–80% (3).</w:t>
      </w:r>
    </w:p>
    <w:p w14:paraId="45C484A0" w14:textId="77777777" w:rsidR="00E41F98" w:rsidRPr="00DB4CD8" w:rsidRDefault="00E41F98" w:rsidP="0029474D">
      <w:pPr>
        <w:spacing w:after="0"/>
        <w:jc w:val="both"/>
        <w:rPr>
          <w:rFonts w:ascii="Arial Narrow" w:hAnsi="Arial Narrow"/>
          <w:sz w:val="24"/>
          <w:szCs w:val="24"/>
          <w:lang w:val="en-US"/>
        </w:rPr>
      </w:pPr>
    </w:p>
    <w:p w14:paraId="77009E7C"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III. Clinical presentation and diagnostic Delay: A clinical c</w:t>
      </w:r>
      <w:r w:rsidR="00CD722D" w:rsidRPr="00DB4CD8">
        <w:rPr>
          <w:rFonts w:ascii="Arial Narrow" w:hAnsi="Arial Narrow"/>
          <w:sz w:val="24"/>
          <w:szCs w:val="24"/>
          <w:lang w:val="en-US"/>
        </w:rPr>
        <w:t>hallenge</w:t>
      </w:r>
    </w:p>
    <w:p w14:paraId="6DCD042A" w14:textId="77777777" w:rsidR="00CD722D" w:rsidRPr="00DB4CD8" w:rsidRDefault="00CD722D" w:rsidP="00CD722D">
      <w:pPr>
        <w:spacing w:after="0"/>
        <w:jc w:val="both"/>
        <w:rPr>
          <w:rFonts w:ascii="Arial Narrow" w:hAnsi="Arial Narrow"/>
          <w:sz w:val="24"/>
          <w:szCs w:val="24"/>
          <w:lang w:val="en-US"/>
        </w:rPr>
      </w:pPr>
    </w:p>
    <w:p w14:paraId="6D25A8AE"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lastRenderedPageBreak/>
        <w:t>Clinically, the reported symptoms (epigastric pain, anemia, general deterioration) are similar to those described by other authors (4, 5, 11). The mean diagnostic delay of 6.7 months highlights the difficulty of early identification in young adults. Martin Gomez et al. reported a similar delay of 6.4 months (5).</w:t>
      </w:r>
    </w:p>
    <w:p w14:paraId="58C50AEE"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This delay is often exacerbated by lack of awareness of warning signs. Gupta et al. demonstrated that young patients frequently consult multiple times for “simple gastritis” before undergoing endoscopy (16). This diagnostic delay explains why 67% of our patients presented with metastases at diagnosis, a rate comparable to that observed by Zhang et al. in the Surveillance, Epidemiology, and End Results (SEER) analysis, where young patients more often presented with metastatic disease than older individuals, despite better general condition at diagnosis (17).</w:t>
      </w:r>
    </w:p>
    <w:p w14:paraId="1A411FB5"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As mentioned by Liao et al., limited access to upper gastrointestinal endoscopy in primary healthcare settings in Africa and Morocco delays direct visualization of lesions, often until surgery is no longer curative (8).</w:t>
      </w:r>
    </w:p>
    <w:p w14:paraId="4F6A3506"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In cases of persistent epigastric pain or alarm signs (anemia, weight loss) in young patients, early endoscopy with multiple biopsies would improve prognosis. Patient education on smoking and salt consumption risks, combined with public health policies focusing on H. pylori eradication, remains the only lever to curb this devastating disease.</w:t>
      </w:r>
    </w:p>
    <w:p w14:paraId="388111F4" w14:textId="77777777" w:rsidR="00CD722D" w:rsidRPr="00DB4CD8" w:rsidRDefault="00CD722D" w:rsidP="00CD722D">
      <w:pPr>
        <w:spacing w:after="0"/>
        <w:jc w:val="both"/>
        <w:rPr>
          <w:rFonts w:ascii="Arial Narrow" w:hAnsi="Arial Narrow"/>
          <w:sz w:val="24"/>
          <w:szCs w:val="24"/>
          <w:lang w:val="en-US"/>
        </w:rPr>
      </w:pPr>
    </w:p>
    <w:p w14:paraId="26C38617" w14:textId="1B60DD2E"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IV. Histology and tumor Biology: Singular a</w:t>
      </w:r>
      <w:r w:rsidR="00CD722D" w:rsidRPr="00DB4CD8">
        <w:rPr>
          <w:rFonts w:ascii="Arial Narrow" w:hAnsi="Arial Narrow"/>
          <w:sz w:val="24"/>
          <w:szCs w:val="24"/>
          <w:lang w:val="en-US"/>
        </w:rPr>
        <w:t>ggressiveness</w:t>
      </w:r>
    </w:p>
    <w:p w14:paraId="35FBF686"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Histopathological analysis confirms the predominance of adenocarcinoma (89%), consistent with findings by </w:t>
      </w:r>
      <w:proofErr w:type="spellStart"/>
      <w:r w:rsidRPr="00DB4CD8">
        <w:rPr>
          <w:rFonts w:ascii="Arial Narrow" w:hAnsi="Arial Narrow"/>
          <w:sz w:val="24"/>
          <w:szCs w:val="24"/>
          <w:lang w:val="en-US"/>
        </w:rPr>
        <w:t>Diondo</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Ogolba</w:t>
      </w:r>
      <w:proofErr w:type="spellEnd"/>
      <w:r w:rsidRPr="00DB4CD8">
        <w:rPr>
          <w:rFonts w:ascii="Arial Narrow" w:hAnsi="Arial Narrow"/>
          <w:sz w:val="24"/>
          <w:szCs w:val="24"/>
          <w:lang w:val="en-US"/>
        </w:rPr>
        <w:t xml:space="preserve"> and Li J. (2, 4). Most cases showed infiltrative and poorly differentiated features.</w:t>
      </w:r>
    </w:p>
    <w:p w14:paraId="1E2D482D"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This clinical reality corresponds to the “diffuse” phenotype in Lauren’s classification, a hallmark of early-onset gastric cancer. Chen et al. explain that, unlike in older patients, tumors in young individuals show less genomic instability but a high frequency of chromosomal rearrangements affecting cell adhesion (6). This alteration explains the presence of signet-ring cells and poorly cohesive components observed in our study.</w:t>
      </w:r>
    </w:p>
    <w:p w14:paraId="4A36A37D"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Yamamoto et al. emphasize that these diffuse forms rapidly infiltrate the gastric wall (</w:t>
      </w:r>
      <w:proofErr w:type="spellStart"/>
      <w:r w:rsidRPr="00DB4CD8">
        <w:rPr>
          <w:rFonts w:ascii="Arial Narrow" w:hAnsi="Arial Narrow"/>
          <w:sz w:val="24"/>
          <w:szCs w:val="24"/>
          <w:lang w:val="en-US"/>
        </w:rPr>
        <w:t>linitis</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plastica</w:t>
      </w:r>
      <w:proofErr w:type="spellEnd"/>
      <w:r w:rsidRPr="00DB4CD8">
        <w:rPr>
          <w:rFonts w:ascii="Arial Narrow" w:hAnsi="Arial Narrow"/>
          <w:sz w:val="24"/>
          <w:szCs w:val="24"/>
          <w:lang w:val="en-US"/>
        </w:rPr>
        <w:t>), sometimes making endoscopic diagnosis difficult because the mucosa may appear normal while submucosal invasion is advanced (18). This histological aggressiveness, combined with delayed diagnosis, explains the high metastatic rate observed.</w:t>
      </w:r>
    </w:p>
    <w:p w14:paraId="7D095FDE" w14:textId="77777777" w:rsidR="00514219" w:rsidRPr="00DB4CD8" w:rsidRDefault="00514219" w:rsidP="00CD722D">
      <w:pPr>
        <w:spacing w:after="0"/>
        <w:jc w:val="both"/>
        <w:rPr>
          <w:rFonts w:ascii="Arial Narrow" w:hAnsi="Arial Narrow"/>
          <w:sz w:val="24"/>
          <w:szCs w:val="24"/>
          <w:lang w:val="en-US"/>
        </w:rPr>
      </w:pPr>
    </w:p>
    <w:p w14:paraId="5F2C7670" w14:textId="6BAFB4AB"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V. Therapeutic management and p</w:t>
      </w:r>
      <w:r w:rsidR="00CD722D" w:rsidRPr="00DB4CD8">
        <w:rPr>
          <w:rFonts w:ascii="Arial Narrow" w:hAnsi="Arial Narrow"/>
          <w:sz w:val="24"/>
          <w:szCs w:val="24"/>
          <w:lang w:val="en-US"/>
        </w:rPr>
        <w:t>rognosis</w:t>
      </w:r>
    </w:p>
    <w:p w14:paraId="47C87EE1"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Prognosis remains poor due to late diagnosis and aggressive tumor biology. In our series, 67% of patients had metastases at diagnosis. Zhang et al. and Li J. confirm that metastatic forms are more frequent in young adults (2, 17).</w:t>
      </w:r>
    </w:p>
    <w:p w14:paraId="71B84F8F"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We observed a strong correlation between prolonged diagnostic delay and metastatic spread. For delays exceeding 6 months, the metastasis rate reached 100% in our cohort, with hepatic involvement predominating (33.3%). </w:t>
      </w:r>
      <w:proofErr w:type="spellStart"/>
      <w:r w:rsidRPr="00DB4CD8">
        <w:rPr>
          <w:rFonts w:ascii="Arial Narrow" w:hAnsi="Arial Narrow"/>
          <w:sz w:val="24"/>
          <w:szCs w:val="24"/>
          <w:lang w:val="en-US"/>
        </w:rPr>
        <w:t>Tekesin</w:t>
      </w:r>
      <w:proofErr w:type="spellEnd"/>
      <w:r w:rsidRPr="00DB4CD8">
        <w:rPr>
          <w:rFonts w:ascii="Arial Narrow" w:hAnsi="Arial Narrow"/>
          <w:sz w:val="24"/>
          <w:szCs w:val="24"/>
          <w:lang w:val="en-US"/>
        </w:rPr>
        <w:t xml:space="preserve"> et al. describe the liver as the primary filtration site for circulating tumor cells in advanced forms (12).</w:t>
      </w:r>
    </w:p>
    <w:p w14:paraId="46D10846"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More alarmingly, pulmonary metastases (22.2%) were observed even with short delays (1–3 months), confirming the singular biological aggressiveness of early-onset gastric cancer. The transition from curable to metastatic stage appears to occur within a narrow time window.</w:t>
      </w:r>
    </w:p>
    <w:p w14:paraId="5C3751D9" w14:textId="77777777" w:rsidR="00CD722D" w:rsidRPr="00DB4CD8" w:rsidRDefault="00CD722D" w:rsidP="00CD722D">
      <w:pPr>
        <w:spacing w:after="0"/>
        <w:jc w:val="both"/>
        <w:rPr>
          <w:rFonts w:ascii="Arial Narrow" w:hAnsi="Arial Narrow"/>
          <w:sz w:val="24"/>
          <w:szCs w:val="24"/>
          <w:lang w:val="en-US"/>
        </w:rPr>
      </w:pPr>
    </w:p>
    <w:p w14:paraId="514BEBAA"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Surgery and </w:t>
      </w:r>
      <w:proofErr w:type="spellStart"/>
      <w:r w:rsidRPr="00DB4CD8">
        <w:rPr>
          <w:rFonts w:ascii="Arial Narrow" w:hAnsi="Arial Narrow"/>
          <w:sz w:val="24"/>
          <w:szCs w:val="24"/>
          <w:lang w:val="en-US"/>
        </w:rPr>
        <w:t>resectability</w:t>
      </w:r>
      <w:proofErr w:type="spellEnd"/>
    </w:p>
    <w:p w14:paraId="607C123B"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 xml:space="preserve">Although 44% of patients were referred for surgery, curative resections remain rare in young patients. </w:t>
      </w:r>
      <w:proofErr w:type="spellStart"/>
      <w:r w:rsidRPr="00DB4CD8">
        <w:rPr>
          <w:rFonts w:ascii="Arial Narrow" w:hAnsi="Arial Narrow"/>
          <w:sz w:val="24"/>
          <w:szCs w:val="24"/>
          <w:lang w:val="en-US"/>
        </w:rPr>
        <w:t>Diondo</w:t>
      </w:r>
      <w:proofErr w:type="spellEnd"/>
      <w:r w:rsidRPr="00DB4CD8">
        <w:rPr>
          <w:rFonts w:ascii="Arial Narrow" w:hAnsi="Arial Narrow"/>
          <w:sz w:val="24"/>
          <w:szCs w:val="24"/>
          <w:lang w:val="en-US"/>
        </w:rPr>
        <w:t xml:space="preserve"> </w:t>
      </w:r>
      <w:proofErr w:type="spellStart"/>
      <w:r w:rsidRPr="00DB4CD8">
        <w:rPr>
          <w:rFonts w:ascii="Arial Narrow" w:hAnsi="Arial Narrow"/>
          <w:sz w:val="24"/>
          <w:szCs w:val="24"/>
          <w:lang w:val="en-US"/>
        </w:rPr>
        <w:t>Ogolba</w:t>
      </w:r>
      <w:proofErr w:type="spellEnd"/>
      <w:r w:rsidRPr="00DB4CD8">
        <w:rPr>
          <w:rFonts w:ascii="Arial Narrow" w:hAnsi="Arial Narrow"/>
          <w:sz w:val="24"/>
          <w:szCs w:val="24"/>
          <w:lang w:val="en-US"/>
        </w:rPr>
        <w:t xml:space="preserve"> notes that surgery is often limited by massive peritoneal extension discovered intraoperatively (4). </w:t>
      </w:r>
      <w:proofErr w:type="spellStart"/>
      <w:r w:rsidRPr="00DB4CD8">
        <w:rPr>
          <w:rFonts w:ascii="Arial Narrow" w:hAnsi="Arial Narrow"/>
          <w:sz w:val="24"/>
          <w:szCs w:val="24"/>
          <w:lang w:val="en-US"/>
        </w:rPr>
        <w:t>Tekesin</w:t>
      </w:r>
      <w:proofErr w:type="spellEnd"/>
      <w:r w:rsidRPr="00DB4CD8">
        <w:rPr>
          <w:rFonts w:ascii="Arial Narrow" w:hAnsi="Arial Narrow"/>
          <w:sz w:val="24"/>
          <w:szCs w:val="24"/>
          <w:lang w:val="en-US"/>
        </w:rPr>
        <w:t xml:space="preserve"> et al. demonstrate higher </w:t>
      </w:r>
      <w:proofErr w:type="spellStart"/>
      <w:r w:rsidRPr="00DB4CD8">
        <w:rPr>
          <w:rFonts w:ascii="Arial Narrow" w:hAnsi="Arial Narrow"/>
          <w:sz w:val="24"/>
          <w:szCs w:val="24"/>
          <w:lang w:val="en-US"/>
        </w:rPr>
        <w:t>lymphovascular</w:t>
      </w:r>
      <w:proofErr w:type="spellEnd"/>
      <w:r w:rsidRPr="00DB4CD8">
        <w:rPr>
          <w:rFonts w:ascii="Arial Narrow" w:hAnsi="Arial Narrow"/>
          <w:sz w:val="24"/>
          <w:szCs w:val="24"/>
          <w:lang w:val="en-US"/>
        </w:rPr>
        <w:t xml:space="preserve"> and perineural invasion rates in young patients, compromising recurrence-free survival (12). Michelon and Saeed emphasize that surgery </w:t>
      </w:r>
      <w:r w:rsidRPr="00DB4CD8">
        <w:rPr>
          <w:rFonts w:ascii="Arial Narrow" w:hAnsi="Arial Narrow"/>
          <w:sz w:val="24"/>
          <w:szCs w:val="24"/>
          <w:lang w:val="en-US"/>
        </w:rPr>
        <w:lastRenderedPageBreak/>
        <w:t>often needs to be more extensive due to the diffuse infiltrative pattern typical of signet-ring cell carcinoma (3).</w:t>
      </w:r>
    </w:p>
    <w:p w14:paraId="12D45C8B"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Medical o</w:t>
      </w:r>
      <w:r w:rsidR="00CD722D" w:rsidRPr="00DB4CD8">
        <w:rPr>
          <w:rFonts w:ascii="Arial Narrow" w:hAnsi="Arial Narrow"/>
          <w:sz w:val="24"/>
          <w:szCs w:val="24"/>
          <w:lang w:val="en-US"/>
        </w:rPr>
        <w:t>ncology and</w:t>
      </w:r>
      <w:r w:rsidRPr="00DB4CD8">
        <w:rPr>
          <w:rFonts w:ascii="Arial Narrow" w:hAnsi="Arial Narrow"/>
          <w:sz w:val="24"/>
          <w:szCs w:val="24"/>
          <w:lang w:val="en-US"/>
        </w:rPr>
        <w:t xml:space="preserve"> c</w:t>
      </w:r>
      <w:r w:rsidR="00CD722D" w:rsidRPr="00DB4CD8">
        <w:rPr>
          <w:rFonts w:ascii="Arial Narrow" w:hAnsi="Arial Narrow"/>
          <w:sz w:val="24"/>
          <w:szCs w:val="24"/>
          <w:lang w:val="en-US"/>
        </w:rPr>
        <w:t>hemotherapy</w:t>
      </w:r>
    </w:p>
    <w:p w14:paraId="27936C4B"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Referral of 67% of patients to oncology reflects the predominance of metastatic stages. Li J. confirms that systemic chemotherapy is often required upfront in young patients (2). Chen et al. suggest that intensified perioperative chemotherapy protocols may reduce tumor burden before surgery (6). However, access to such treatments and tolerance may be limited by rapid deterioration in general condition (16, 19).</w:t>
      </w:r>
    </w:p>
    <w:p w14:paraId="5DAE2E12" w14:textId="77777777" w:rsidR="00CD722D" w:rsidRPr="00DB4CD8" w:rsidRDefault="00CD722D" w:rsidP="00CD722D">
      <w:pPr>
        <w:spacing w:after="0"/>
        <w:jc w:val="both"/>
        <w:rPr>
          <w:rFonts w:ascii="Arial Narrow" w:hAnsi="Arial Narrow"/>
          <w:sz w:val="24"/>
          <w:szCs w:val="24"/>
          <w:lang w:val="en-US"/>
        </w:rPr>
      </w:pPr>
    </w:p>
    <w:p w14:paraId="7E2A448C"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Survival and emerging a</w:t>
      </w:r>
      <w:r w:rsidR="00CD722D" w:rsidRPr="00DB4CD8">
        <w:rPr>
          <w:rFonts w:ascii="Arial Narrow" w:hAnsi="Arial Narrow"/>
          <w:sz w:val="24"/>
          <w:szCs w:val="24"/>
          <w:lang w:val="en-US"/>
        </w:rPr>
        <w:t>pproaches</w:t>
      </w:r>
    </w:p>
    <w:p w14:paraId="015D46F1"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Despite aggressive chemotherapy, 5-year overall survival in young patients remains lower than in older patients at comparable stages (12), suggesting intrinsic therapeutic resistance. However, immunotherapy offers new perspectives. Pellino et al. suggest that systematic molecular profiling in young patients could identify specific therapeutic targets (19).</w:t>
      </w:r>
    </w:p>
    <w:p w14:paraId="7277453E" w14:textId="77777777" w:rsidR="00CD722D" w:rsidRPr="007E7A31" w:rsidRDefault="00CD722D" w:rsidP="00CD722D">
      <w:pPr>
        <w:spacing w:after="0"/>
        <w:jc w:val="both"/>
        <w:rPr>
          <w:rFonts w:ascii="Arial Narrow" w:hAnsi="Arial Narrow"/>
          <w:b/>
          <w:bCs/>
          <w:sz w:val="24"/>
          <w:szCs w:val="24"/>
          <w:lang w:val="en-US"/>
        </w:rPr>
      </w:pPr>
    </w:p>
    <w:p w14:paraId="64A8567B" w14:textId="77777777" w:rsidR="00CD722D" w:rsidRPr="007E7A31" w:rsidRDefault="00CD722D" w:rsidP="00CD722D">
      <w:pPr>
        <w:spacing w:after="0"/>
        <w:jc w:val="both"/>
        <w:rPr>
          <w:rFonts w:ascii="Arial Narrow" w:hAnsi="Arial Narrow"/>
          <w:b/>
          <w:bCs/>
          <w:sz w:val="24"/>
          <w:szCs w:val="24"/>
          <w:lang w:val="en-US"/>
        </w:rPr>
      </w:pPr>
      <w:r w:rsidRPr="007E7A31">
        <w:rPr>
          <w:rFonts w:ascii="Arial Narrow" w:hAnsi="Arial Narrow"/>
          <w:b/>
          <w:bCs/>
          <w:sz w:val="24"/>
          <w:szCs w:val="24"/>
          <w:lang w:val="en-US"/>
        </w:rPr>
        <w:t>CONCLUSION</w:t>
      </w:r>
    </w:p>
    <w:p w14:paraId="290A94E9" w14:textId="77777777" w:rsidR="00CD722D" w:rsidRPr="00DB4CD8" w:rsidRDefault="00CD722D" w:rsidP="00CD722D">
      <w:pPr>
        <w:spacing w:after="0"/>
        <w:jc w:val="both"/>
        <w:rPr>
          <w:rFonts w:ascii="Arial Narrow" w:hAnsi="Arial Narrow"/>
          <w:sz w:val="24"/>
          <w:szCs w:val="24"/>
          <w:lang w:val="en-US"/>
        </w:rPr>
      </w:pPr>
    </w:p>
    <w:p w14:paraId="15FF7B86"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This retrospective study confirms that gastric cancer in young individuals (16–40 years) is a real entity (6.8% of cases), characterized by late diagnosis and poor prognosis. Identified risk factors—chronic H. pylori infection, smoking, and genetic predisposition—are consistent with global findings.</w:t>
      </w:r>
    </w:p>
    <w:p w14:paraId="05328519"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Implementation of preventive strategies, early family screening, and systematic H. pylori eradication could improve prognosis in this population.</w:t>
      </w:r>
    </w:p>
    <w:p w14:paraId="7E28B325" w14:textId="77777777" w:rsidR="00CD722D" w:rsidRPr="00DB4CD8" w:rsidRDefault="00CD722D" w:rsidP="00CD722D">
      <w:pPr>
        <w:spacing w:after="0"/>
        <w:jc w:val="both"/>
        <w:rPr>
          <w:rFonts w:ascii="Arial Narrow" w:hAnsi="Arial Narrow"/>
          <w:sz w:val="24"/>
          <w:szCs w:val="24"/>
          <w:lang w:val="en-US"/>
        </w:rPr>
      </w:pPr>
    </w:p>
    <w:p w14:paraId="7A6D92F1" w14:textId="77777777" w:rsidR="00CD722D" w:rsidRPr="00DB4CD8" w:rsidRDefault="0025294D" w:rsidP="00CD722D">
      <w:pPr>
        <w:spacing w:after="0"/>
        <w:jc w:val="both"/>
        <w:rPr>
          <w:rFonts w:ascii="Arial Narrow" w:hAnsi="Arial Narrow"/>
          <w:sz w:val="24"/>
          <w:szCs w:val="24"/>
          <w:lang w:val="en-US"/>
        </w:rPr>
      </w:pPr>
      <w:r w:rsidRPr="00DB4CD8">
        <w:rPr>
          <w:rFonts w:ascii="Arial Narrow" w:hAnsi="Arial Narrow"/>
          <w:sz w:val="24"/>
          <w:szCs w:val="24"/>
          <w:lang w:val="en-US"/>
        </w:rPr>
        <w:t>Conflict of i</w:t>
      </w:r>
      <w:r w:rsidR="00CD722D" w:rsidRPr="00DB4CD8">
        <w:rPr>
          <w:rFonts w:ascii="Arial Narrow" w:hAnsi="Arial Narrow"/>
          <w:sz w:val="24"/>
          <w:szCs w:val="24"/>
          <w:lang w:val="en-US"/>
        </w:rPr>
        <w:t>nterest</w:t>
      </w:r>
    </w:p>
    <w:p w14:paraId="58AB152B" w14:textId="77777777" w:rsidR="00CD722D" w:rsidRPr="00DB4CD8" w:rsidRDefault="00CD722D" w:rsidP="00CD722D">
      <w:pPr>
        <w:spacing w:after="0"/>
        <w:jc w:val="both"/>
        <w:rPr>
          <w:rFonts w:ascii="Arial Narrow" w:hAnsi="Arial Narrow"/>
          <w:sz w:val="24"/>
          <w:szCs w:val="24"/>
          <w:lang w:val="en-US"/>
        </w:rPr>
      </w:pPr>
    </w:p>
    <w:p w14:paraId="365808EF" w14:textId="77777777" w:rsidR="00CD722D" w:rsidRPr="00DB4CD8" w:rsidRDefault="00CD722D" w:rsidP="00CD722D">
      <w:pPr>
        <w:spacing w:after="0"/>
        <w:jc w:val="both"/>
        <w:rPr>
          <w:rFonts w:ascii="Arial Narrow" w:hAnsi="Arial Narrow"/>
          <w:sz w:val="24"/>
          <w:szCs w:val="24"/>
          <w:lang w:val="en-US"/>
        </w:rPr>
      </w:pPr>
      <w:r w:rsidRPr="00DB4CD8">
        <w:rPr>
          <w:rFonts w:ascii="Arial Narrow" w:hAnsi="Arial Narrow"/>
          <w:sz w:val="24"/>
          <w:szCs w:val="24"/>
          <w:lang w:val="en-US"/>
        </w:rPr>
        <w:t>The authors declare no conflict of interest.</w:t>
      </w:r>
    </w:p>
    <w:p w14:paraId="6A5B8B65" w14:textId="77777777" w:rsidR="00CD722D" w:rsidRPr="00DB4CD8" w:rsidRDefault="00CD722D" w:rsidP="00CD722D">
      <w:pPr>
        <w:spacing w:after="0"/>
        <w:jc w:val="both"/>
        <w:rPr>
          <w:rFonts w:ascii="Arial Narrow" w:hAnsi="Arial Narrow"/>
          <w:sz w:val="24"/>
          <w:szCs w:val="24"/>
          <w:lang w:val="en-US"/>
        </w:rPr>
      </w:pPr>
    </w:p>
    <w:p w14:paraId="54FF81F9" w14:textId="77777777" w:rsidR="00CD722D" w:rsidRPr="00DB4CD8" w:rsidRDefault="00CD722D" w:rsidP="00CD722D">
      <w:pPr>
        <w:spacing w:after="120" w:line="240" w:lineRule="auto"/>
        <w:jc w:val="both"/>
        <w:rPr>
          <w:rFonts w:ascii="Arial Narrow" w:eastAsia="MS Mincho" w:hAnsi="Arial Narrow" w:cs="Times New Roman"/>
          <w:b/>
          <w:bCs/>
          <w:sz w:val="24"/>
          <w:szCs w:val="24"/>
        </w:rPr>
      </w:pPr>
      <w:proofErr w:type="spellStart"/>
      <w:r w:rsidRPr="00DB4CD8">
        <w:rPr>
          <w:rFonts w:ascii="Arial Narrow" w:eastAsia="MS Mincho" w:hAnsi="Arial Narrow" w:cs="Times New Roman"/>
          <w:b/>
          <w:bCs/>
          <w:sz w:val="24"/>
          <w:szCs w:val="24"/>
        </w:rPr>
        <w:t>References</w:t>
      </w:r>
      <w:proofErr w:type="spellEnd"/>
    </w:p>
    <w:p w14:paraId="692A16F4"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rPr>
        <w:t>1.</w:t>
      </w:r>
      <w:r w:rsidRPr="00DB4CD8">
        <w:rPr>
          <w:rFonts w:ascii="Arial Narrow" w:eastAsia="MS Mincho" w:hAnsi="Arial Narrow" w:cs="Times New Roman"/>
          <w:sz w:val="24"/>
          <w:szCs w:val="24"/>
        </w:rPr>
        <w:tab/>
        <w:t xml:space="preserve">Wong MCS, et al. </w:t>
      </w:r>
      <w:r w:rsidRPr="00DB4CD8">
        <w:rPr>
          <w:rFonts w:ascii="Arial Narrow" w:eastAsia="MS Mincho" w:hAnsi="Arial Narrow" w:cs="Times New Roman"/>
          <w:sz w:val="24"/>
          <w:szCs w:val="24"/>
          <w:lang w:val="en-US"/>
        </w:rPr>
        <w:t xml:space="preserve">Global incidence and mortality of gastric cancer, 1980–2018. JAMA </w:t>
      </w:r>
      <w:proofErr w:type="spellStart"/>
      <w:r w:rsidRPr="00DB4CD8">
        <w:rPr>
          <w:rFonts w:ascii="Arial Narrow" w:eastAsia="MS Mincho" w:hAnsi="Arial Narrow" w:cs="Times New Roman"/>
          <w:sz w:val="24"/>
          <w:szCs w:val="24"/>
          <w:lang w:val="en-US"/>
        </w:rPr>
        <w:t>Netw</w:t>
      </w:r>
      <w:proofErr w:type="spellEnd"/>
      <w:r w:rsidRPr="00DB4CD8">
        <w:rPr>
          <w:rFonts w:ascii="Arial Narrow" w:eastAsia="MS Mincho" w:hAnsi="Arial Narrow" w:cs="Times New Roman"/>
          <w:sz w:val="24"/>
          <w:szCs w:val="24"/>
          <w:lang w:val="en-US"/>
        </w:rPr>
        <w:t xml:space="preserve"> Open. 2021; 4(7): e2118457. </w:t>
      </w:r>
    </w:p>
    <w:p w14:paraId="0EBF8541"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2.</w:t>
      </w:r>
      <w:r w:rsidRPr="00DB4CD8">
        <w:rPr>
          <w:rFonts w:ascii="Arial Narrow" w:eastAsia="MS Mincho" w:hAnsi="Arial Narrow" w:cs="Times New Roman"/>
          <w:sz w:val="24"/>
          <w:szCs w:val="24"/>
          <w:lang w:val="en-US"/>
        </w:rPr>
        <w:tab/>
        <w:t xml:space="preserve">Li J. Gastric Cancer in Young Adults: A Different Clinical Entity from Carcinogenesis to Prognosis. Gastroenterol Res </w:t>
      </w:r>
      <w:proofErr w:type="spellStart"/>
      <w:r w:rsidRPr="00DB4CD8">
        <w:rPr>
          <w:rFonts w:ascii="Arial Narrow" w:eastAsia="MS Mincho" w:hAnsi="Arial Narrow" w:cs="Times New Roman"/>
          <w:sz w:val="24"/>
          <w:szCs w:val="24"/>
          <w:lang w:val="en-US"/>
        </w:rPr>
        <w:t>Pract</w:t>
      </w:r>
      <w:proofErr w:type="spellEnd"/>
      <w:r w:rsidRPr="00DB4CD8">
        <w:rPr>
          <w:rFonts w:ascii="Arial Narrow" w:eastAsia="MS Mincho" w:hAnsi="Arial Narrow" w:cs="Times New Roman"/>
          <w:sz w:val="24"/>
          <w:szCs w:val="24"/>
          <w:lang w:val="en-US"/>
        </w:rPr>
        <w:t>. 2020; 2020:9512707</w:t>
      </w:r>
    </w:p>
    <w:p w14:paraId="6467D6B1" w14:textId="77777777" w:rsidR="00CD722D" w:rsidRPr="00DB4CD8" w:rsidRDefault="00CD722D" w:rsidP="00CD722D">
      <w:pPr>
        <w:spacing w:after="120" w:line="240" w:lineRule="auto"/>
        <w:jc w:val="both"/>
        <w:rPr>
          <w:rFonts w:ascii="Arial Narrow" w:eastAsia="MS Mincho" w:hAnsi="Arial Narrow" w:cs="Times New Roman"/>
          <w:sz w:val="24"/>
          <w:szCs w:val="24"/>
        </w:rPr>
      </w:pPr>
      <w:r w:rsidRPr="00DB4CD8">
        <w:rPr>
          <w:rFonts w:ascii="Arial Narrow" w:eastAsia="MS Mincho" w:hAnsi="Arial Narrow" w:cs="Times New Roman"/>
          <w:sz w:val="24"/>
          <w:szCs w:val="24"/>
          <w:lang w:val="en-US"/>
        </w:rPr>
        <w:t>3.</w:t>
      </w:r>
      <w:r w:rsidRPr="00DB4CD8">
        <w:rPr>
          <w:rFonts w:ascii="Arial Narrow" w:eastAsia="MS Mincho" w:hAnsi="Arial Narrow" w:cs="Times New Roman"/>
          <w:sz w:val="24"/>
          <w:szCs w:val="24"/>
          <w:lang w:val="en-US"/>
        </w:rPr>
        <w:tab/>
      </w:r>
      <w:bookmarkStart w:id="3" w:name="_Hlk223262696"/>
      <w:r w:rsidRPr="00DB4CD8">
        <w:rPr>
          <w:rFonts w:ascii="Arial Narrow" w:eastAsia="MS Mincho" w:hAnsi="Arial Narrow" w:cs="Times New Roman"/>
          <w:sz w:val="24"/>
          <w:szCs w:val="24"/>
          <w:lang w:val="en-US"/>
        </w:rPr>
        <w:t xml:space="preserve">Michelon I, Saeed A. Young-Onset Gastric Cancer: Clinical and Genetic Perspectives. </w:t>
      </w:r>
      <w:r w:rsidRPr="00DB4CD8">
        <w:rPr>
          <w:rFonts w:ascii="Arial Narrow" w:eastAsia="MS Mincho" w:hAnsi="Arial Narrow" w:cs="Times New Roman"/>
          <w:sz w:val="24"/>
          <w:szCs w:val="24"/>
        </w:rPr>
        <w:t xml:space="preserve">J </w:t>
      </w:r>
      <w:proofErr w:type="spellStart"/>
      <w:r w:rsidRPr="00DB4CD8">
        <w:rPr>
          <w:rFonts w:ascii="Arial Narrow" w:eastAsia="MS Mincho" w:hAnsi="Arial Narrow" w:cs="Times New Roman"/>
          <w:sz w:val="24"/>
          <w:szCs w:val="24"/>
        </w:rPr>
        <w:t>Gastric</w:t>
      </w:r>
      <w:proofErr w:type="spellEnd"/>
      <w:r w:rsidRPr="00DB4CD8">
        <w:rPr>
          <w:rFonts w:ascii="Arial Narrow" w:eastAsia="MS Mincho" w:hAnsi="Arial Narrow" w:cs="Times New Roman"/>
          <w:sz w:val="24"/>
          <w:szCs w:val="24"/>
        </w:rPr>
        <w:t xml:space="preserve"> Cancer. </w:t>
      </w:r>
      <w:proofErr w:type="gramStart"/>
      <w:r w:rsidRPr="00DB4CD8">
        <w:rPr>
          <w:rFonts w:ascii="Arial Narrow" w:eastAsia="MS Mincho" w:hAnsi="Arial Narrow" w:cs="Times New Roman"/>
          <w:sz w:val="24"/>
          <w:szCs w:val="24"/>
        </w:rPr>
        <w:t>2026;</w:t>
      </w:r>
      <w:proofErr w:type="gramEnd"/>
      <w:r w:rsidRPr="00DB4CD8">
        <w:rPr>
          <w:rFonts w:ascii="Arial Narrow" w:eastAsia="MS Mincho" w:hAnsi="Arial Narrow" w:cs="Times New Roman"/>
          <w:sz w:val="24"/>
          <w:szCs w:val="24"/>
        </w:rPr>
        <w:t xml:space="preserve">26(1):52-61. </w:t>
      </w:r>
      <w:proofErr w:type="gramStart"/>
      <w:r w:rsidRPr="00DB4CD8">
        <w:rPr>
          <w:rFonts w:ascii="Arial Narrow" w:eastAsia="MS Mincho" w:hAnsi="Arial Narrow" w:cs="Times New Roman"/>
          <w:sz w:val="24"/>
          <w:szCs w:val="24"/>
        </w:rPr>
        <w:t>doi:</w:t>
      </w:r>
      <w:proofErr w:type="gramEnd"/>
      <w:r w:rsidRPr="00DB4CD8">
        <w:rPr>
          <w:rFonts w:ascii="Arial Narrow" w:eastAsia="MS Mincho" w:hAnsi="Arial Narrow" w:cs="Times New Roman"/>
          <w:sz w:val="24"/>
          <w:szCs w:val="24"/>
        </w:rPr>
        <w:t>10.5230/jgc.2026.26.e9</w:t>
      </w:r>
      <w:bookmarkEnd w:id="3"/>
    </w:p>
    <w:p w14:paraId="7EA43A76"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rPr>
        <w:t>4.</w:t>
      </w:r>
      <w:r w:rsidRPr="00DB4CD8">
        <w:rPr>
          <w:rFonts w:ascii="Arial Narrow" w:eastAsia="MS Mincho" w:hAnsi="Arial Narrow" w:cs="Times New Roman"/>
          <w:sz w:val="24"/>
          <w:szCs w:val="24"/>
        </w:rPr>
        <w:tab/>
      </w:r>
      <w:proofErr w:type="spellStart"/>
      <w:r w:rsidRPr="00DB4CD8">
        <w:rPr>
          <w:rFonts w:ascii="Arial Narrow" w:eastAsia="MS Mincho" w:hAnsi="Arial Narrow" w:cs="Times New Roman"/>
          <w:sz w:val="24"/>
          <w:szCs w:val="24"/>
        </w:rPr>
        <w:t>Diondo</w:t>
      </w:r>
      <w:proofErr w:type="spellEnd"/>
      <w:r w:rsidRPr="00DB4CD8">
        <w:rPr>
          <w:rFonts w:ascii="Arial Narrow" w:eastAsia="MS Mincho" w:hAnsi="Arial Narrow" w:cs="Times New Roman"/>
          <w:sz w:val="24"/>
          <w:szCs w:val="24"/>
        </w:rPr>
        <w:t xml:space="preserve"> OGOLBA. Cancer de l’estomac chez le jeune : aspects épidémiologiques, diagnostiques, thérapeutiques et pronostiques. </w:t>
      </w:r>
      <w:r w:rsidRPr="00DB4CD8">
        <w:rPr>
          <w:rFonts w:ascii="Arial Narrow" w:eastAsia="MS Mincho" w:hAnsi="Arial Narrow" w:cs="Times New Roman"/>
          <w:sz w:val="24"/>
          <w:szCs w:val="24"/>
          <w:lang w:val="en-US"/>
        </w:rPr>
        <w:t>Mali, 2023</w:t>
      </w:r>
    </w:p>
    <w:p w14:paraId="7D63ABDD"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5.</w:t>
      </w:r>
      <w:r w:rsidRPr="00DB4CD8">
        <w:rPr>
          <w:rFonts w:ascii="Arial Narrow" w:eastAsia="MS Mincho" w:hAnsi="Arial Narrow" w:cs="Times New Roman"/>
          <w:sz w:val="24"/>
          <w:szCs w:val="24"/>
          <w:lang w:val="en-US"/>
        </w:rPr>
        <w:tab/>
        <w:t xml:space="preserve">Martin Gomez et al. Gastric cancer in young patients in Colombia. </w:t>
      </w:r>
      <w:proofErr w:type="spellStart"/>
      <w:r w:rsidRPr="00DB4CD8">
        <w:rPr>
          <w:rFonts w:ascii="Arial Narrow" w:eastAsia="MS Mincho" w:hAnsi="Arial Narrow" w:cs="Times New Roman"/>
          <w:sz w:val="24"/>
          <w:szCs w:val="24"/>
          <w:lang w:val="en-US"/>
        </w:rPr>
        <w:t>Revista</w:t>
      </w:r>
      <w:proofErr w:type="spellEnd"/>
      <w:r w:rsidRPr="00DB4CD8">
        <w:rPr>
          <w:rFonts w:ascii="Arial Narrow" w:eastAsia="MS Mincho" w:hAnsi="Arial Narrow" w:cs="Times New Roman"/>
          <w:sz w:val="24"/>
          <w:szCs w:val="24"/>
          <w:lang w:val="en-US"/>
        </w:rPr>
        <w:t xml:space="preserve"> </w:t>
      </w:r>
      <w:proofErr w:type="spellStart"/>
      <w:r w:rsidRPr="00DB4CD8">
        <w:rPr>
          <w:rFonts w:ascii="Arial Narrow" w:eastAsia="MS Mincho" w:hAnsi="Arial Narrow" w:cs="Times New Roman"/>
          <w:sz w:val="24"/>
          <w:szCs w:val="24"/>
          <w:lang w:val="en-US"/>
        </w:rPr>
        <w:t>Colombiana</w:t>
      </w:r>
      <w:proofErr w:type="spellEnd"/>
      <w:r w:rsidRPr="00DB4CD8">
        <w:rPr>
          <w:rFonts w:ascii="Arial Narrow" w:eastAsia="MS Mincho" w:hAnsi="Arial Narrow" w:cs="Times New Roman"/>
          <w:sz w:val="24"/>
          <w:szCs w:val="24"/>
          <w:lang w:val="en-US"/>
        </w:rPr>
        <w:t xml:space="preserve"> de </w:t>
      </w:r>
      <w:proofErr w:type="spellStart"/>
      <w:r w:rsidRPr="00DB4CD8">
        <w:rPr>
          <w:rFonts w:ascii="Arial Narrow" w:eastAsia="MS Mincho" w:hAnsi="Arial Narrow" w:cs="Times New Roman"/>
          <w:sz w:val="24"/>
          <w:szCs w:val="24"/>
          <w:lang w:val="en-US"/>
        </w:rPr>
        <w:t>Gastroenterología</w:t>
      </w:r>
      <w:proofErr w:type="spellEnd"/>
      <w:r w:rsidRPr="00DB4CD8">
        <w:rPr>
          <w:rFonts w:ascii="Arial Narrow" w:eastAsia="MS Mincho" w:hAnsi="Arial Narrow" w:cs="Times New Roman"/>
          <w:sz w:val="24"/>
          <w:szCs w:val="24"/>
          <w:lang w:val="en-US"/>
        </w:rPr>
        <w:t xml:space="preserve"> 2012; 27(3):166-172</w:t>
      </w:r>
    </w:p>
    <w:p w14:paraId="73C525CF"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6.</w:t>
      </w:r>
      <w:r w:rsidRPr="00DB4CD8">
        <w:rPr>
          <w:rFonts w:ascii="Arial Narrow" w:eastAsia="MS Mincho" w:hAnsi="Arial Narrow" w:cs="Times New Roman"/>
          <w:sz w:val="24"/>
          <w:szCs w:val="24"/>
          <w:lang w:val="en-US"/>
        </w:rPr>
        <w:tab/>
        <w:t>Chen X, et al. Genomic Landscape of Early-Onset Gastric Cancer. Cancer Med. 2024. doi:10.1002/cam4.70451</w:t>
      </w:r>
    </w:p>
    <w:p w14:paraId="6D485F05"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7.</w:t>
      </w:r>
      <w:r w:rsidRPr="00DB4CD8">
        <w:rPr>
          <w:rFonts w:ascii="Arial Narrow" w:eastAsia="MS Mincho" w:hAnsi="Arial Narrow" w:cs="Times New Roman"/>
          <w:sz w:val="24"/>
          <w:szCs w:val="24"/>
          <w:lang w:val="en-US"/>
        </w:rPr>
        <w:tab/>
        <w:t>Emmanuel BN, Peter DA, Peter MO, et al. Helicobacter pylori infection in Africa: comprehensive insight into its pathogenesis, management, and future perspectives. Received: 22 Jan 2024 / Published online: 30 May 2024. doi:10.7759/cureus.79449</w:t>
      </w:r>
    </w:p>
    <w:p w14:paraId="0C724785"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8.</w:t>
      </w:r>
      <w:r w:rsidRPr="00DB4CD8">
        <w:rPr>
          <w:rFonts w:ascii="Arial Narrow" w:eastAsia="MS Mincho" w:hAnsi="Arial Narrow" w:cs="Times New Roman"/>
          <w:sz w:val="24"/>
          <w:szCs w:val="24"/>
          <w:lang w:val="en-US"/>
        </w:rPr>
        <w:tab/>
      </w:r>
      <w:bookmarkStart w:id="4" w:name="_Hlk223306122"/>
      <w:r w:rsidRPr="00DB4CD8">
        <w:rPr>
          <w:rFonts w:ascii="Arial Narrow" w:eastAsia="MS Mincho" w:hAnsi="Arial Narrow" w:cs="Times New Roman"/>
          <w:sz w:val="24"/>
          <w:szCs w:val="24"/>
          <w:lang w:val="en-US"/>
        </w:rPr>
        <w:t>Liao J, Cheng Z</w:t>
      </w:r>
      <w:bookmarkEnd w:id="4"/>
      <w:r w:rsidRPr="00DB4CD8">
        <w:rPr>
          <w:rFonts w:ascii="Arial Narrow" w:eastAsia="MS Mincho" w:hAnsi="Arial Narrow" w:cs="Times New Roman"/>
          <w:sz w:val="24"/>
          <w:szCs w:val="24"/>
          <w:lang w:val="en-US"/>
        </w:rPr>
        <w:t xml:space="preserve">, Gao Y, Wang T, Xin L, Lin H, et al. Development and status quo of digestive endoscopy in China: An analysis based on the national census in 2013 and 2020. J </w:t>
      </w:r>
      <w:proofErr w:type="spellStart"/>
      <w:r w:rsidRPr="00DB4CD8">
        <w:rPr>
          <w:rFonts w:ascii="Arial Narrow" w:eastAsia="MS Mincho" w:hAnsi="Arial Narrow" w:cs="Times New Roman"/>
          <w:sz w:val="24"/>
          <w:szCs w:val="24"/>
          <w:lang w:val="en-US"/>
        </w:rPr>
        <w:t>Transl</w:t>
      </w:r>
      <w:proofErr w:type="spellEnd"/>
      <w:r w:rsidRPr="00DB4CD8">
        <w:rPr>
          <w:rFonts w:ascii="Arial Narrow" w:eastAsia="MS Mincho" w:hAnsi="Arial Narrow" w:cs="Times New Roman"/>
          <w:sz w:val="24"/>
          <w:szCs w:val="24"/>
          <w:lang w:val="en-US"/>
        </w:rPr>
        <w:t xml:space="preserve"> Int Med. 2024 May 21; 12(2):177-187. </w:t>
      </w:r>
      <w:proofErr w:type="spellStart"/>
      <w:r w:rsidRPr="00DB4CD8">
        <w:rPr>
          <w:rFonts w:ascii="Arial Narrow" w:eastAsia="MS Mincho" w:hAnsi="Arial Narrow" w:cs="Times New Roman"/>
          <w:sz w:val="24"/>
          <w:szCs w:val="24"/>
          <w:lang w:val="en-US"/>
        </w:rPr>
        <w:t>doi</w:t>
      </w:r>
      <w:proofErr w:type="spellEnd"/>
      <w:r w:rsidRPr="00DB4CD8">
        <w:rPr>
          <w:rFonts w:ascii="Arial Narrow" w:eastAsia="MS Mincho" w:hAnsi="Arial Narrow" w:cs="Times New Roman"/>
          <w:sz w:val="24"/>
          <w:szCs w:val="24"/>
          <w:lang w:val="en-US"/>
        </w:rPr>
        <w:t xml:space="preserve">: 10.2478/jtim-2023-0115. </w:t>
      </w:r>
    </w:p>
    <w:p w14:paraId="172E60CE" w14:textId="77777777" w:rsidR="00CD722D" w:rsidRPr="00DB4CD8" w:rsidRDefault="00CD722D" w:rsidP="00CD722D">
      <w:pPr>
        <w:spacing w:after="120" w:line="240" w:lineRule="auto"/>
        <w:jc w:val="both"/>
        <w:rPr>
          <w:rFonts w:ascii="Arial Narrow" w:eastAsia="MS Mincho" w:hAnsi="Arial Narrow" w:cs="Times New Roman"/>
          <w:sz w:val="24"/>
          <w:szCs w:val="24"/>
        </w:rPr>
      </w:pPr>
      <w:r w:rsidRPr="00DB4CD8">
        <w:rPr>
          <w:rFonts w:ascii="Arial Narrow" w:eastAsia="MS Mincho" w:hAnsi="Arial Narrow" w:cs="Times New Roman"/>
          <w:sz w:val="24"/>
          <w:szCs w:val="24"/>
          <w:lang w:val="en-US"/>
        </w:rPr>
        <w:lastRenderedPageBreak/>
        <w:t>9.</w:t>
      </w:r>
      <w:r w:rsidRPr="00DB4CD8">
        <w:rPr>
          <w:rFonts w:ascii="Arial Narrow" w:eastAsia="MS Mincho" w:hAnsi="Arial Narrow" w:cs="Times New Roman"/>
          <w:sz w:val="24"/>
          <w:szCs w:val="24"/>
          <w:lang w:val="en-US"/>
        </w:rPr>
        <w:tab/>
        <w:t xml:space="preserve">Takatsu Y, et al. Clinicopathological characteristics of gastric cancer in young adults. </w:t>
      </w:r>
      <w:proofErr w:type="spellStart"/>
      <w:r w:rsidRPr="00DB4CD8">
        <w:rPr>
          <w:rFonts w:ascii="Arial Narrow" w:eastAsia="MS Mincho" w:hAnsi="Arial Narrow" w:cs="Times New Roman"/>
          <w:sz w:val="24"/>
          <w:szCs w:val="24"/>
        </w:rPr>
        <w:t>Gastric</w:t>
      </w:r>
      <w:proofErr w:type="spellEnd"/>
      <w:r w:rsidRPr="00DB4CD8">
        <w:rPr>
          <w:rFonts w:ascii="Arial Narrow" w:eastAsia="MS Mincho" w:hAnsi="Arial Narrow" w:cs="Times New Roman"/>
          <w:sz w:val="24"/>
          <w:szCs w:val="24"/>
        </w:rPr>
        <w:t xml:space="preserve"> Cancer</w:t>
      </w:r>
    </w:p>
    <w:p w14:paraId="69448E1C" w14:textId="77777777" w:rsidR="00CD722D" w:rsidRPr="00DB4CD8" w:rsidRDefault="00CD722D" w:rsidP="00CD722D">
      <w:pPr>
        <w:spacing w:after="120" w:line="240" w:lineRule="auto"/>
        <w:jc w:val="both"/>
        <w:rPr>
          <w:rFonts w:ascii="Arial Narrow" w:eastAsia="MS Mincho" w:hAnsi="Arial Narrow" w:cs="Times New Roman"/>
          <w:sz w:val="24"/>
          <w:szCs w:val="24"/>
        </w:rPr>
      </w:pPr>
      <w:r w:rsidRPr="00DB4CD8">
        <w:rPr>
          <w:rFonts w:ascii="Arial Narrow" w:eastAsia="MS Mincho" w:hAnsi="Arial Narrow" w:cs="Times New Roman"/>
          <w:sz w:val="24"/>
          <w:szCs w:val="24"/>
        </w:rPr>
        <w:t>10.</w:t>
      </w:r>
      <w:r w:rsidRPr="00DB4CD8">
        <w:rPr>
          <w:rFonts w:ascii="Arial Narrow" w:eastAsia="MS Mincho" w:hAnsi="Arial Narrow" w:cs="Times New Roman"/>
          <w:sz w:val="24"/>
          <w:szCs w:val="24"/>
        </w:rPr>
        <w:tab/>
        <w:t xml:space="preserve">Hilal G. Adénocarcinome </w:t>
      </w:r>
      <w:proofErr w:type="gramStart"/>
      <w:r w:rsidRPr="00DB4CD8">
        <w:rPr>
          <w:rFonts w:ascii="Arial Narrow" w:eastAsia="MS Mincho" w:hAnsi="Arial Narrow" w:cs="Times New Roman"/>
          <w:sz w:val="24"/>
          <w:szCs w:val="24"/>
        </w:rPr>
        <w:t>gastrique:</w:t>
      </w:r>
      <w:proofErr w:type="gramEnd"/>
      <w:r w:rsidRPr="00DB4CD8">
        <w:rPr>
          <w:rFonts w:ascii="Arial Narrow" w:eastAsia="MS Mincho" w:hAnsi="Arial Narrow" w:cs="Times New Roman"/>
          <w:sz w:val="24"/>
          <w:szCs w:val="24"/>
        </w:rPr>
        <w:t xml:space="preserve"> étude analytique [Thèse]. Fès, 2016. </w:t>
      </w:r>
    </w:p>
    <w:p w14:paraId="060CA8C2"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rPr>
        <w:t>11.</w:t>
      </w:r>
      <w:r w:rsidRPr="00DB4CD8">
        <w:rPr>
          <w:rFonts w:ascii="Arial Narrow" w:eastAsia="MS Mincho" w:hAnsi="Arial Narrow" w:cs="Times New Roman"/>
          <w:sz w:val="24"/>
          <w:szCs w:val="24"/>
        </w:rPr>
        <w:tab/>
        <w:t xml:space="preserve">Amrani Hassani Joutei H, et al. </w:t>
      </w:r>
      <w:r w:rsidRPr="00DB4CD8">
        <w:rPr>
          <w:rFonts w:ascii="Arial Narrow" w:eastAsia="MS Mincho" w:hAnsi="Arial Narrow" w:cs="Times New Roman"/>
          <w:sz w:val="24"/>
          <w:szCs w:val="24"/>
          <w:lang w:val="en-US"/>
        </w:rPr>
        <w:t>Study of epidemiological, clinical and pathological characteristics of gastric adenocarcinoma in a Moroccan population</w:t>
      </w:r>
    </w:p>
    <w:p w14:paraId="2EB2D320"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12.</w:t>
      </w:r>
      <w:r w:rsidRPr="00DB4CD8">
        <w:rPr>
          <w:rFonts w:ascii="Arial Narrow" w:eastAsia="MS Mincho" w:hAnsi="Arial Narrow" w:cs="Times New Roman"/>
          <w:sz w:val="24"/>
          <w:szCs w:val="24"/>
          <w:lang w:val="en-US"/>
        </w:rPr>
        <w:tab/>
      </w:r>
      <w:proofErr w:type="spellStart"/>
      <w:r w:rsidRPr="00DB4CD8">
        <w:rPr>
          <w:rFonts w:ascii="Arial Narrow" w:eastAsia="MS Mincho" w:hAnsi="Arial Narrow" w:cs="Times New Roman"/>
          <w:sz w:val="24"/>
          <w:szCs w:val="24"/>
          <w:lang w:val="en-US"/>
        </w:rPr>
        <w:t>Tekesin</w:t>
      </w:r>
      <w:proofErr w:type="spellEnd"/>
      <w:r w:rsidRPr="00DB4CD8">
        <w:rPr>
          <w:rFonts w:ascii="Arial Narrow" w:eastAsia="MS Mincho" w:hAnsi="Arial Narrow" w:cs="Times New Roman"/>
          <w:sz w:val="24"/>
          <w:szCs w:val="24"/>
          <w:lang w:val="en-US"/>
        </w:rPr>
        <w:t xml:space="preserve"> K, et al. Clinicopathological characteristics, prognosis and survival outcome of gastric cancer in young patients: A large cohort retrospective study. J BUON. 2019; 24(2):672-678</w:t>
      </w:r>
    </w:p>
    <w:p w14:paraId="1D5A3264"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13.</w:t>
      </w:r>
      <w:r w:rsidRPr="00DB4CD8">
        <w:rPr>
          <w:rFonts w:ascii="Arial Narrow" w:eastAsia="MS Mincho" w:hAnsi="Arial Narrow" w:cs="Times New Roman"/>
          <w:sz w:val="24"/>
          <w:szCs w:val="24"/>
          <w:lang w:val="en-US"/>
        </w:rPr>
        <w:tab/>
        <w:t>Oh J, et al. Increasing incidence of non-cardia gastric cancer among young women in the United States, 2000–2018. Cancers (Basel). 2023; 15(8):2283</w:t>
      </w:r>
    </w:p>
    <w:p w14:paraId="284BEFE9"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14.</w:t>
      </w:r>
      <w:r w:rsidRPr="00DB4CD8">
        <w:rPr>
          <w:rFonts w:ascii="Arial Narrow" w:eastAsia="MS Mincho" w:hAnsi="Arial Narrow" w:cs="Times New Roman"/>
          <w:sz w:val="24"/>
          <w:szCs w:val="24"/>
          <w:lang w:val="en-US"/>
        </w:rPr>
        <w:tab/>
        <w:t xml:space="preserve">Lee Y, et al. Gender disparities in Young Gastric Cancer. Clin </w:t>
      </w:r>
      <w:proofErr w:type="spellStart"/>
      <w:r w:rsidRPr="00DB4CD8">
        <w:rPr>
          <w:rFonts w:ascii="Arial Narrow" w:eastAsia="MS Mincho" w:hAnsi="Arial Narrow" w:cs="Times New Roman"/>
          <w:sz w:val="24"/>
          <w:szCs w:val="24"/>
          <w:lang w:val="en-US"/>
        </w:rPr>
        <w:t>Transl</w:t>
      </w:r>
      <w:proofErr w:type="spellEnd"/>
      <w:r w:rsidRPr="00DB4CD8">
        <w:rPr>
          <w:rFonts w:ascii="Arial Narrow" w:eastAsia="MS Mincho" w:hAnsi="Arial Narrow" w:cs="Times New Roman"/>
          <w:sz w:val="24"/>
          <w:szCs w:val="24"/>
          <w:lang w:val="en-US"/>
        </w:rPr>
        <w:t xml:space="preserve"> Gastroenterol. 2024. doi:10.14309/ctg.0000000000000714</w:t>
      </w:r>
    </w:p>
    <w:p w14:paraId="043F7F5C"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15.</w:t>
      </w:r>
      <w:r w:rsidRPr="00DB4CD8">
        <w:rPr>
          <w:rFonts w:ascii="Arial Narrow" w:eastAsia="MS Mincho" w:hAnsi="Arial Narrow" w:cs="Times New Roman"/>
          <w:sz w:val="24"/>
          <w:szCs w:val="24"/>
          <w:lang w:val="en-US"/>
        </w:rPr>
        <w:tab/>
        <w:t>Butt J, et al. Smoking, Helicobacter Pylori Serology, and Gastric Cancer Risk. Cancer Prev Res. 2019; 12(10):667–674</w:t>
      </w:r>
    </w:p>
    <w:p w14:paraId="1305AB5D"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16.</w:t>
      </w:r>
      <w:r w:rsidRPr="00DB4CD8">
        <w:rPr>
          <w:rFonts w:ascii="Arial Narrow" w:eastAsia="MS Mincho" w:hAnsi="Arial Narrow" w:cs="Times New Roman"/>
          <w:sz w:val="24"/>
          <w:szCs w:val="24"/>
          <w:lang w:val="en-US"/>
        </w:rPr>
        <w:tab/>
        <w:t>Gupta S, et al. Delay in diagnosis of Gastric Cancer in young adults. Sci Rep. 2022. doi:10.1038/s41598-022-10156-5</w:t>
      </w:r>
    </w:p>
    <w:p w14:paraId="5B8BD870"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17.</w:t>
      </w:r>
      <w:r w:rsidRPr="00DB4CD8">
        <w:rPr>
          <w:rFonts w:ascii="Arial Narrow" w:eastAsia="MS Mincho" w:hAnsi="Arial Narrow" w:cs="Times New Roman"/>
          <w:sz w:val="24"/>
          <w:szCs w:val="24"/>
          <w:lang w:val="en-US"/>
        </w:rPr>
        <w:tab/>
        <w:t>Zhang H, et al. Patterns of metastasis and prognosis in young patients with gastric cancer: SEER database analysis</w:t>
      </w:r>
    </w:p>
    <w:p w14:paraId="1EFB2FBC"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18.</w:t>
      </w:r>
      <w:r w:rsidRPr="00DB4CD8">
        <w:rPr>
          <w:rFonts w:ascii="Arial Narrow" w:eastAsia="MS Mincho" w:hAnsi="Arial Narrow" w:cs="Times New Roman"/>
          <w:sz w:val="24"/>
          <w:szCs w:val="24"/>
          <w:lang w:val="en-US"/>
        </w:rPr>
        <w:tab/>
        <w:t>Yamamoto K, et al. Gastric Cancer Subtypes in Young Patients. Gastric Cancer. 2024. doi:10.1007/s10120-024-01494-6</w:t>
      </w:r>
    </w:p>
    <w:p w14:paraId="2562FA1E" w14:textId="77777777" w:rsidR="00CD722D" w:rsidRPr="00DB4CD8" w:rsidRDefault="00CD722D" w:rsidP="00CD722D">
      <w:pPr>
        <w:spacing w:after="120" w:line="240" w:lineRule="auto"/>
        <w:jc w:val="both"/>
        <w:rPr>
          <w:rFonts w:ascii="Arial Narrow" w:eastAsia="MS Mincho" w:hAnsi="Arial Narrow" w:cs="Times New Roman"/>
          <w:sz w:val="24"/>
          <w:szCs w:val="24"/>
          <w:lang w:val="en-US"/>
        </w:rPr>
      </w:pPr>
      <w:r w:rsidRPr="00DB4CD8">
        <w:rPr>
          <w:rFonts w:ascii="Arial Narrow" w:eastAsia="MS Mincho" w:hAnsi="Arial Narrow" w:cs="Times New Roman"/>
          <w:sz w:val="24"/>
          <w:szCs w:val="24"/>
          <w:lang w:val="en-US"/>
        </w:rPr>
        <w:t>19.</w:t>
      </w:r>
      <w:r w:rsidRPr="00DB4CD8">
        <w:rPr>
          <w:rFonts w:ascii="Arial Narrow" w:eastAsia="MS Mincho" w:hAnsi="Arial Narrow" w:cs="Times New Roman"/>
          <w:sz w:val="24"/>
          <w:szCs w:val="24"/>
          <w:lang w:val="en-US"/>
        </w:rPr>
        <w:tab/>
        <w:t xml:space="preserve">Pellino A, Riello E, Nappo F, </w:t>
      </w:r>
      <w:proofErr w:type="spellStart"/>
      <w:r w:rsidRPr="00DB4CD8">
        <w:rPr>
          <w:rFonts w:ascii="Arial Narrow" w:eastAsia="MS Mincho" w:hAnsi="Arial Narrow" w:cs="Times New Roman"/>
          <w:sz w:val="24"/>
          <w:szCs w:val="24"/>
          <w:lang w:val="en-US"/>
        </w:rPr>
        <w:t>Brignola</w:t>
      </w:r>
      <w:proofErr w:type="spellEnd"/>
      <w:r w:rsidRPr="00DB4CD8">
        <w:rPr>
          <w:rFonts w:ascii="Arial Narrow" w:eastAsia="MS Mincho" w:hAnsi="Arial Narrow" w:cs="Times New Roman"/>
          <w:sz w:val="24"/>
          <w:szCs w:val="24"/>
          <w:lang w:val="en-US"/>
        </w:rPr>
        <w:t xml:space="preserve"> S, </w:t>
      </w:r>
      <w:proofErr w:type="spellStart"/>
      <w:r w:rsidRPr="00DB4CD8">
        <w:rPr>
          <w:rFonts w:ascii="Arial Narrow" w:eastAsia="MS Mincho" w:hAnsi="Arial Narrow" w:cs="Times New Roman"/>
          <w:sz w:val="24"/>
          <w:szCs w:val="24"/>
          <w:lang w:val="en-US"/>
        </w:rPr>
        <w:t>Murgioni</w:t>
      </w:r>
      <w:proofErr w:type="spellEnd"/>
      <w:r w:rsidRPr="00DB4CD8">
        <w:rPr>
          <w:rFonts w:ascii="Arial Narrow" w:eastAsia="MS Mincho" w:hAnsi="Arial Narrow" w:cs="Times New Roman"/>
          <w:sz w:val="24"/>
          <w:szCs w:val="24"/>
          <w:lang w:val="en-US"/>
        </w:rPr>
        <w:t xml:space="preserve"> S, </w:t>
      </w:r>
      <w:proofErr w:type="spellStart"/>
      <w:r w:rsidRPr="00DB4CD8">
        <w:rPr>
          <w:rFonts w:ascii="Arial Narrow" w:eastAsia="MS Mincho" w:hAnsi="Arial Narrow" w:cs="Times New Roman"/>
          <w:sz w:val="24"/>
          <w:szCs w:val="24"/>
          <w:lang w:val="en-US"/>
        </w:rPr>
        <w:t>Djaballah</w:t>
      </w:r>
      <w:proofErr w:type="spellEnd"/>
      <w:r w:rsidRPr="00DB4CD8">
        <w:rPr>
          <w:rFonts w:ascii="Arial Narrow" w:eastAsia="MS Mincho" w:hAnsi="Arial Narrow" w:cs="Times New Roman"/>
          <w:sz w:val="24"/>
          <w:szCs w:val="24"/>
          <w:lang w:val="en-US"/>
        </w:rPr>
        <w:t xml:space="preserve"> SA, et al. Targeted therapies in metastatic gastric cancer: Current knowledge and future perspectives. World J Gastroenterol. 2019 Oct 14; 25(38):5773-5788. </w:t>
      </w:r>
      <w:proofErr w:type="spellStart"/>
      <w:r w:rsidRPr="00DB4CD8">
        <w:rPr>
          <w:rFonts w:ascii="Arial Narrow" w:eastAsia="MS Mincho" w:hAnsi="Arial Narrow" w:cs="Times New Roman"/>
          <w:sz w:val="24"/>
          <w:szCs w:val="24"/>
          <w:lang w:val="en-US"/>
        </w:rPr>
        <w:t>doi</w:t>
      </w:r>
      <w:proofErr w:type="spellEnd"/>
      <w:r w:rsidRPr="00DB4CD8">
        <w:rPr>
          <w:rFonts w:ascii="Arial Narrow" w:eastAsia="MS Mincho" w:hAnsi="Arial Narrow" w:cs="Times New Roman"/>
          <w:sz w:val="24"/>
          <w:szCs w:val="24"/>
          <w:lang w:val="en-US"/>
        </w:rPr>
        <w:t>: 10.3748/</w:t>
      </w:r>
      <w:proofErr w:type="gramStart"/>
      <w:r w:rsidRPr="00DB4CD8">
        <w:rPr>
          <w:rFonts w:ascii="Arial Narrow" w:eastAsia="MS Mincho" w:hAnsi="Arial Narrow" w:cs="Times New Roman"/>
          <w:sz w:val="24"/>
          <w:szCs w:val="24"/>
          <w:lang w:val="en-US"/>
        </w:rPr>
        <w:t>wjg.v25.i</w:t>
      </w:r>
      <w:proofErr w:type="gramEnd"/>
      <w:r w:rsidRPr="00DB4CD8">
        <w:rPr>
          <w:rFonts w:ascii="Arial Narrow" w:eastAsia="MS Mincho" w:hAnsi="Arial Narrow" w:cs="Times New Roman"/>
          <w:sz w:val="24"/>
          <w:szCs w:val="24"/>
          <w:lang w:val="en-US"/>
        </w:rPr>
        <w:t>38.5773</w:t>
      </w:r>
    </w:p>
    <w:p w14:paraId="61221AED" w14:textId="77777777" w:rsidR="00CD722D" w:rsidRPr="00DB4CD8" w:rsidRDefault="00CD722D" w:rsidP="00CD722D">
      <w:pPr>
        <w:spacing w:after="0"/>
        <w:jc w:val="both"/>
        <w:rPr>
          <w:rFonts w:ascii="Arial Narrow" w:hAnsi="Arial Narrow"/>
          <w:sz w:val="24"/>
          <w:szCs w:val="24"/>
          <w:lang w:val="en-US"/>
        </w:rPr>
      </w:pPr>
    </w:p>
    <w:sectPr w:rsidR="00CD722D" w:rsidRPr="00DB4CD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28171" w14:textId="77777777" w:rsidR="001714BC" w:rsidRDefault="001714BC" w:rsidP="00090CC5">
      <w:pPr>
        <w:spacing w:after="0" w:line="240" w:lineRule="auto"/>
      </w:pPr>
      <w:r>
        <w:separator/>
      </w:r>
    </w:p>
  </w:endnote>
  <w:endnote w:type="continuationSeparator" w:id="0">
    <w:p w14:paraId="1F089A9F" w14:textId="77777777" w:rsidR="001714BC" w:rsidRDefault="001714BC" w:rsidP="0009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57E18" w14:textId="77777777" w:rsidR="00090CC5" w:rsidRDefault="00090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EB7B" w14:textId="77777777" w:rsidR="00090CC5" w:rsidRDefault="00090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87E9" w14:textId="77777777" w:rsidR="00090CC5" w:rsidRDefault="00090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7795C" w14:textId="77777777" w:rsidR="001714BC" w:rsidRDefault="001714BC" w:rsidP="00090CC5">
      <w:pPr>
        <w:spacing w:after="0" w:line="240" w:lineRule="auto"/>
      </w:pPr>
      <w:r>
        <w:separator/>
      </w:r>
    </w:p>
  </w:footnote>
  <w:footnote w:type="continuationSeparator" w:id="0">
    <w:p w14:paraId="2275988E" w14:textId="77777777" w:rsidR="001714BC" w:rsidRDefault="001714BC" w:rsidP="00090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A114" w14:textId="6FCF466D" w:rsidR="00090CC5" w:rsidRDefault="00090CC5">
    <w:pPr>
      <w:pStyle w:val="Header"/>
    </w:pPr>
    <w:r>
      <w:rPr>
        <w:noProof/>
      </w:rPr>
      <w:pict w14:anchorId="03084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0037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B3D9" w14:textId="6F103014" w:rsidR="00090CC5" w:rsidRDefault="00090CC5">
    <w:pPr>
      <w:pStyle w:val="Header"/>
    </w:pPr>
    <w:r>
      <w:rPr>
        <w:noProof/>
      </w:rPr>
      <w:pict w14:anchorId="744AA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0037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06D16" w14:textId="739BA776" w:rsidR="00090CC5" w:rsidRDefault="00090CC5">
    <w:pPr>
      <w:pStyle w:val="Header"/>
    </w:pPr>
    <w:r>
      <w:rPr>
        <w:noProof/>
      </w:rPr>
      <w:pict w14:anchorId="67F31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270037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FE5"/>
    <w:rsid w:val="00030496"/>
    <w:rsid w:val="00050DEE"/>
    <w:rsid w:val="00067E30"/>
    <w:rsid w:val="00090890"/>
    <w:rsid w:val="00090CC5"/>
    <w:rsid w:val="000E0549"/>
    <w:rsid w:val="000F11B8"/>
    <w:rsid w:val="001379FB"/>
    <w:rsid w:val="00160C77"/>
    <w:rsid w:val="0017079F"/>
    <w:rsid w:val="001714BC"/>
    <w:rsid w:val="00174E48"/>
    <w:rsid w:val="001836C8"/>
    <w:rsid w:val="00186D5D"/>
    <w:rsid w:val="001906DF"/>
    <w:rsid w:val="001A266B"/>
    <w:rsid w:val="001C1F0A"/>
    <w:rsid w:val="001D0F09"/>
    <w:rsid w:val="001D795C"/>
    <w:rsid w:val="00246C92"/>
    <w:rsid w:val="0025294D"/>
    <w:rsid w:val="0029474D"/>
    <w:rsid w:val="00297FF5"/>
    <w:rsid w:val="002C58F2"/>
    <w:rsid w:val="002D1A1D"/>
    <w:rsid w:val="002F4688"/>
    <w:rsid w:val="00391B01"/>
    <w:rsid w:val="003D525F"/>
    <w:rsid w:val="00402B3C"/>
    <w:rsid w:val="00403AAC"/>
    <w:rsid w:val="00492ED6"/>
    <w:rsid w:val="004A3878"/>
    <w:rsid w:val="004B71BE"/>
    <w:rsid w:val="004C1808"/>
    <w:rsid w:val="00501AEC"/>
    <w:rsid w:val="0050580F"/>
    <w:rsid w:val="00514219"/>
    <w:rsid w:val="00544DFA"/>
    <w:rsid w:val="006014D9"/>
    <w:rsid w:val="00616B5C"/>
    <w:rsid w:val="006239B6"/>
    <w:rsid w:val="00676104"/>
    <w:rsid w:val="006C54DD"/>
    <w:rsid w:val="006E4D38"/>
    <w:rsid w:val="00712014"/>
    <w:rsid w:val="00713D1F"/>
    <w:rsid w:val="00715DA0"/>
    <w:rsid w:val="007628C2"/>
    <w:rsid w:val="00765B33"/>
    <w:rsid w:val="007918C9"/>
    <w:rsid w:val="00792FE2"/>
    <w:rsid w:val="0079461F"/>
    <w:rsid w:val="007A03DA"/>
    <w:rsid w:val="007E7A31"/>
    <w:rsid w:val="00817E32"/>
    <w:rsid w:val="00826B31"/>
    <w:rsid w:val="00835FC9"/>
    <w:rsid w:val="00864D31"/>
    <w:rsid w:val="00871F31"/>
    <w:rsid w:val="008A7CE9"/>
    <w:rsid w:val="008B4C90"/>
    <w:rsid w:val="008C13A8"/>
    <w:rsid w:val="008F46CB"/>
    <w:rsid w:val="009467ED"/>
    <w:rsid w:val="00984DDD"/>
    <w:rsid w:val="0099481E"/>
    <w:rsid w:val="00997A44"/>
    <w:rsid w:val="009B2182"/>
    <w:rsid w:val="00A304DE"/>
    <w:rsid w:val="00A43F4D"/>
    <w:rsid w:val="00AC07D7"/>
    <w:rsid w:val="00AC16A6"/>
    <w:rsid w:val="00AE58F9"/>
    <w:rsid w:val="00B05FA7"/>
    <w:rsid w:val="00B06584"/>
    <w:rsid w:val="00B207FF"/>
    <w:rsid w:val="00B2192B"/>
    <w:rsid w:val="00B541C3"/>
    <w:rsid w:val="00B95FE5"/>
    <w:rsid w:val="00BE5247"/>
    <w:rsid w:val="00C07B2D"/>
    <w:rsid w:val="00C22BC3"/>
    <w:rsid w:val="00C22CA0"/>
    <w:rsid w:val="00C340E7"/>
    <w:rsid w:val="00C4565E"/>
    <w:rsid w:val="00C77E98"/>
    <w:rsid w:val="00C910B0"/>
    <w:rsid w:val="00CD722D"/>
    <w:rsid w:val="00D057F3"/>
    <w:rsid w:val="00D148DE"/>
    <w:rsid w:val="00D371F0"/>
    <w:rsid w:val="00D37CFD"/>
    <w:rsid w:val="00D44242"/>
    <w:rsid w:val="00D46F8E"/>
    <w:rsid w:val="00D755AD"/>
    <w:rsid w:val="00D8046A"/>
    <w:rsid w:val="00D90811"/>
    <w:rsid w:val="00DB4CD8"/>
    <w:rsid w:val="00DB5F60"/>
    <w:rsid w:val="00DD3A56"/>
    <w:rsid w:val="00E037AA"/>
    <w:rsid w:val="00E12AB5"/>
    <w:rsid w:val="00E221E7"/>
    <w:rsid w:val="00E41F98"/>
    <w:rsid w:val="00E47EF4"/>
    <w:rsid w:val="00EA3585"/>
    <w:rsid w:val="00EC2A55"/>
    <w:rsid w:val="00F0566F"/>
    <w:rsid w:val="00F445ED"/>
    <w:rsid w:val="00F45C8E"/>
    <w:rsid w:val="00F67909"/>
    <w:rsid w:val="00F97A32"/>
    <w:rsid w:val="00FA48B9"/>
    <w:rsid w:val="00FA5C6B"/>
    <w:rsid w:val="00FB318A"/>
    <w:rsid w:val="00FB752F"/>
    <w:rsid w:val="00FC5F88"/>
    <w:rsid w:val="00FD32B6"/>
    <w:rsid w:val="00FE3CBC"/>
    <w:rsid w:val="00FF11BE"/>
    <w:rsid w:val="00FF7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FF7AE3"/>
  <w15:chartTrackingRefBased/>
  <w15:docId w15:val="{078E0745-63D5-4218-871F-3A281E19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F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46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71BE"/>
    <w:rPr>
      <w:color w:val="0563C1" w:themeColor="hyperlink"/>
      <w:u w:val="single"/>
    </w:rPr>
  </w:style>
  <w:style w:type="character" w:styleId="UnresolvedMention">
    <w:name w:val="Unresolved Mention"/>
    <w:basedOn w:val="DefaultParagraphFont"/>
    <w:uiPriority w:val="99"/>
    <w:semiHidden/>
    <w:unhideWhenUsed/>
    <w:rsid w:val="004B71BE"/>
    <w:rPr>
      <w:color w:val="605E5C"/>
      <w:shd w:val="clear" w:color="auto" w:fill="E1DFDD"/>
    </w:rPr>
  </w:style>
  <w:style w:type="paragraph" w:styleId="Header">
    <w:name w:val="header"/>
    <w:basedOn w:val="Normal"/>
    <w:link w:val="HeaderChar"/>
    <w:uiPriority w:val="99"/>
    <w:unhideWhenUsed/>
    <w:rsid w:val="00090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CC5"/>
  </w:style>
  <w:style w:type="paragraph" w:styleId="Footer">
    <w:name w:val="footer"/>
    <w:basedOn w:val="Normal"/>
    <w:link w:val="FooterChar"/>
    <w:uiPriority w:val="99"/>
    <w:unhideWhenUsed/>
    <w:rsid w:val="00090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TotalTime>
  <Pages>9</Pages>
  <Words>3781</Words>
  <Characters>21553</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SDI 1084</cp:lastModifiedBy>
  <cp:revision>125</cp:revision>
  <dcterms:created xsi:type="dcterms:W3CDTF">2026-03-03T17:57:00Z</dcterms:created>
  <dcterms:modified xsi:type="dcterms:W3CDTF">2026-03-05T08:25:00Z</dcterms:modified>
</cp:coreProperties>
</file>