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B97B6" w14:textId="77777777" w:rsidR="00B4791A" w:rsidRPr="006933A5" w:rsidRDefault="00B4791A" w:rsidP="001E3A1B">
      <w:pPr>
        <w:spacing w:after="80"/>
        <w:jc w:val="right"/>
        <w:rPr>
          <w:b/>
          <w:bCs/>
          <w:color w:val="000000"/>
          <w:sz w:val="28"/>
          <w:szCs w:val="28"/>
          <w:lang w:val="en-IN"/>
        </w:rPr>
      </w:pPr>
      <w:r w:rsidRPr="006933A5">
        <w:rPr>
          <w:b/>
          <w:bCs/>
          <w:color w:val="000000"/>
          <w:sz w:val="28"/>
          <w:szCs w:val="28"/>
        </w:rPr>
        <w:t>Minireview Article</w:t>
      </w:r>
    </w:p>
    <w:p w14:paraId="6D0D09C0" w14:textId="77777777" w:rsidR="00B4791A" w:rsidRPr="006933A5" w:rsidRDefault="00B4791A" w:rsidP="001E3A1B">
      <w:pPr>
        <w:spacing w:after="80"/>
        <w:jc w:val="right"/>
        <w:rPr>
          <w:b/>
          <w:bCs/>
          <w:color w:val="000000"/>
          <w:sz w:val="28"/>
          <w:szCs w:val="28"/>
          <w:lang w:val="en-IN"/>
        </w:rPr>
      </w:pPr>
    </w:p>
    <w:p w14:paraId="48C321CA" w14:textId="14B7DFAF" w:rsidR="001E3A1B" w:rsidRPr="006933A5" w:rsidRDefault="001E3A1B" w:rsidP="001E3A1B">
      <w:pPr>
        <w:spacing w:after="80"/>
        <w:jc w:val="right"/>
      </w:pPr>
      <w:bookmarkStart w:id="0" w:name="_Hlk225008981"/>
      <w:r w:rsidRPr="006933A5">
        <w:rPr>
          <w:b/>
          <w:bCs/>
          <w:color w:val="000000"/>
          <w:sz w:val="28"/>
          <w:szCs w:val="28"/>
        </w:rPr>
        <w:t>Hormones and Cancer: Mechanisms, Epidemiology, and Clinical Translation</w:t>
      </w:r>
    </w:p>
    <w:bookmarkEnd w:id="0"/>
    <w:p w14:paraId="00F41AE1" w14:textId="77777777" w:rsidR="001E3A1B" w:rsidRPr="006933A5" w:rsidRDefault="001E3A1B" w:rsidP="001E3A1B">
      <w:pPr>
        <w:spacing w:before="60"/>
      </w:pPr>
    </w:p>
    <w:p w14:paraId="7A4ECCFE" w14:textId="77777777" w:rsidR="001E3A1B" w:rsidRPr="006933A5" w:rsidRDefault="001E3A1B" w:rsidP="001E3A1B">
      <w:pPr>
        <w:spacing w:after="60"/>
      </w:pPr>
      <w:r w:rsidRPr="006933A5">
        <w:rPr>
          <w:b/>
          <w:bCs/>
          <w:color w:val="000000"/>
          <w:sz w:val="22"/>
          <w:szCs w:val="22"/>
        </w:rPr>
        <w:t>ABSTRACT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E3A1B" w:rsidRPr="006933A5" w14:paraId="06B4C803" w14:textId="77777777" w:rsidTr="00BB2A3F">
        <w:tc>
          <w:tcPr>
            <w:tcW w:w="9026" w:type="dxa"/>
            <w:tcBorders>
              <w:top w:val="single" w:sz="8" w:space="0" w:color="1F4E79"/>
              <w:left w:val="single" w:sz="8" w:space="0" w:color="1F4E79"/>
              <w:bottom w:val="single" w:sz="8" w:space="0" w:color="1F4E79"/>
              <w:right w:val="single" w:sz="8" w:space="0" w:color="1F4E79"/>
            </w:tcBorders>
            <w:tcMar>
              <w:top w:w="100" w:type="dxa"/>
              <w:left w:w="140" w:type="dxa"/>
              <w:bottom w:w="100" w:type="dxa"/>
              <w:right w:w="140" w:type="dxa"/>
            </w:tcMar>
          </w:tcPr>
          <w:p w14:paraId="5BC1F273" w14:textId="21E64138" w:rsidR="002E12F3" w:rsidRPr="006933A5" w:rsidRDefault="001E3A1B" w:rsidP="002E12F3">
            <w:pPr>
              <w:spacing w:after="80"/>
              <w:jc w:val="both"/>
            </w:pPr>
            <w:r w:rsidRPr="006933A5">
              <w:rPr>
                <w:b/>
                <w:bCs/>
              </w:rPr>
              <w:t xml:space="preserve">Background: </w:t>
            </w:r>
            <w:r w:rsidRPr="006933A5">
              <w:t xml:space="preserve">The relationship between hormones and cancer development constitutes one of the most clinically consequential intersections in modern oncology. </w:t>
            </w:r>
            <w:r w:rsidR="002E12F3" w:rsidRPr="006933A5">
              <w:t>Sex hormones, mainly oestrogen, progesterone, and androgens, play a significant role in the onset, development, and advancement of various prevalent cancers, such as breast, endometrial, prostate, and ovarian cancers.</w:t>
            </w:r>
          </w:p>
          <w:p w14:paraId="77BD0A8D" w14:textId="75AF28ED" w:rsidR="001E3A1B" w:rsidRPr="006933A5" w:rsidRDefault="001E3A1B" w:rsidP="002E12F3">
            <w:pPr>
              <w:spacing w:after="80"/>
              <w:jc w:val="both"/>
            </w:pPr>
            <w:r w:rsidRPr="006933A5">
              <w:rPr>
                <w:b/>
                <w:bCs/>
              </w:rPr>
              <w:t xml:space="preserve">Aims: </w:t>
            </w:r>
            <w:r w:rsidRPr="006933A5">
              <w:t>This mini-review synthesises current evidence on the molecular mechanisms underpinning hormone-driven carcinogenesis, critically evaluates epidemiological data linking hormonal exposure to cancer incidence, and appraises the clinical translation of this knowledge into contemporary prevention and therapeutic strategies.</w:t>
            </w:r>
          </w:p>
          <w:p w14:paraId="2A4AC60D" w14:textId="77777777" w:rsidR="001E3A1B" w:rsidRPr="006933A5" w:rsidRDefault="001E3A1B" w:rsidP="00BB2A3F">
            <w:pPr>
              <w:spacing w:after="80"/>
              <w:jc w:val="both"/>
            </w:pPr>
            <w:r w:rsidRPr="006933A5">
              <w:rPr>
                <w:b/>
                <w:bCs/>
              </w:rPr>
              <w:t xml:space="preserve">Study Design: </w:t>
            </w:r>
            <w:r w:rsidRPr="006933A5">
              <w:t>Narrative mini-review of published peer-reviewed literature.</w:t>
            </w:r>
          </w:p>
          <w:p w14:paraId="119C99E5" w14:textId="5F130899" w:rsidR="001E3A1B" w:rsidRPr="006933A5" w:rsidRDefault="001E3A1B" w:rsidP="002E12F3">
            <w:pPr>
              <w:spacing w:after="80"/>
              <w:jc w:val="both"/>
            </w:pPr>
            <w:r w:rsidRPr="006933A5">
              <w:rPr>
                <w:b/>
                <w:bCs/>
              </w:rPr>
              <w:t>Methods:</w:t>
            </w:r>
            <w:r w:rsidR="002E12F3" w:rsidRPr="006933A5">
              <w:rPr>
                <w:b/>
                <w:bCs/>
              </w:rPr>
              <w:t xml:space="preserve"> </w:t>
            </w:r>
            <w:r w:rsidR="002E12F3" w:rsidRPr="006933A5">
              <w:t>A systematic review of existing literature was performed utilizing the PubMed/MEDLINE, Scopus, and Web of Science databases.</w:t>
            </w:r>
            <w:r w:rsidRPr="006933A5">
              <w:t xml:space="preserve"> Key search terms included: hormones, cancer, carcinogenesis, oestrogen receptor, androgen receptor, hormone replacement therapy, molecular mechanisms, chemoprevention, and precision oncology. Priority was given to meta-analyses, large prospective cohort studies, landmark randomised controlled trials, and high-impact mechanistic studies published between 1941 and 2024.</w:t>
            </w:r>
          </w:p>
          <w:p w14:paraId="3FC8B05F" w14:textId="095CF848" w:rsidR="001E3A1B" w:rsidRPr="006933A5" w:rsidRDefault="001E3A1B" w:rsidP="00BB2A3F">
            <w:pPr>
              <w:spacing w:after="80"/>
              <w:jc w:val="both"/>
            </w:pPr>
            <w:r w:rsidRPr="006933A5">
              <w:rPr>
                <w:b/>
                <w:bCs/>
              </w:rPr>
              <w:t xml:space="preserve">Results: </w:t>
            </w:r>
            <w:r w:rsidRPr="006933A5">
              <w:t xml:space="preserve">Hormones drive carcinogenesis through genomic receptor activation, direct genotoxic effects via oestrogen-quinone DNA adducts, and epigenetic reprogramming. Epidemiological evidence consistently supports cumulative lifetime oestrogen exposure as the </w:t>
            </w:r>
            <w:r w:rsidR="006B7AFD" w:rsidRPr="006933A5">
              <w:t>main</w:t>
            </w:r>
            <w:r w:rsidRPr="006933A5">
              <w:t xml:space="preserve"> determinant of breast and endometrial cancer risk. In prostate cancer, androgen receptor signalling is indispensable for disease initiation and progression. Emerging evidence implicates the gut microbiome, circadian rhythm disruption, and metabolic dysfunction as modulators of hormonal carcinogenesis. Clinical translation has produced a suite of highly effective interventions, aromatase inhibitors, selective oestrogen receptor modulators and degraders, CDK4/6 inhibitors, and next-generation androgen receptor antagonists that have substantially improved outcomes in hormone-sensitive cancers.</w:t>
            </w:r>
          </w:p>
          <w:p w14:paraId="1122FF9C" w14:textId="77777777" w:rsidR="001E3A1B" w:rsidRPr="006933A5" w:rsidRDefault="001E3A1B" w:rsidP="00BB2A3F">
            <w:pPr>
              <w:jc w:val="both"/>
            </w:pPr>
            <w:r w:rsidRPr="006933A5">
              <w:rPr>
                <w:b/>
                <w:bCs/>
              </w:rPr>
              <w:t xml:space="preserve">Conclusion: </w:t>
            </w:r>
            <w:r w:rsidRPr="006933A5">
              <w:t>The hormone-cancer axis remains a productive frontier for both basic science and clinical oncology. Advances in liquid biopsy, single-cell genomics, and artificial intelligence are poised to further refine our mechanistic understanding and therapeutic precision, ultimately enabling individualised risk stratification and treatment optimisation in hormone-sensitive malignancies.</w:t>
            </w:r>
          </w:p>
        </w:tc>
      </w:tr>
    </w:tbl>
    <w:p w14:paraId="6069C160" w14:textId="77777777" w:rsidR="001E3A1B" w:rsidRPr="006933A5" w:rsidRDefault="001E3A1B" w:rsidP="001E3A1B">
      <w:pPr>
        <w:spacing w:before="80"/>
      </w:pPr>
    </w:p>
    <w:p w14:paraId="542C791C" w14:textId="20BFB9BD" w:rsidR="001E3A1B" w:rsidRPr="006933A5" w:rsidRDefault="001E3A1B" w:rsidP="001E3A1B">
      <w:pPr>
        <w:spacing w:after="160"/>
      </w:pPr>
      <w:r w:rsidRPr="006933A5">
        <w:rPr>
          <w:b/>
          <w:bCs/>
          <w:i/>
          <w:iCs/>
        </w:rPr>
        <w:t xml:space="preserve">Keywords: </w:t>
      </w:r>
      <w:r w:rsidRPr="006933A5">
        <w:rPr>
          <w:i/>
          <w:iCs/>
        </w:rPr>
        <w:t>Hormones; carcinogenesis; endocrine therapy; precision oncology; chemoprevention; hormone replacement therapy</w:t>
      </w:r>
    </w:p>
    <w:p w14:paraId="328B39FF" w14:textId="77777777" w:rsidR="001E3A1B" w:rsidRPr="006933A5" w:rsidRDefault="001E3A1B" w:rsidP="001E3A1B">
      <w:pPr>
        <w:spacing w:before="240" w:after="80"/>
      </w:pPr>
      <w:r w:rsidRPr="006933A5">
        <w:rPr>
          <w:b/>
          <w:bCs/>
          <w:color w:val="000000"/>
          <w:sz w:val="22"/>
          <w:szCs w:val="22"/>
        </w:rPr>
        <w:t>1. INTRODUCTION</w:t>
      </w:r>
    </w:p>
    <w:p w14:paraId="1D583846" w14:textId="0CB1D4F0" w:rsidR="002B6B5F" w:rsidRPr="006933A5" w:rsidRDefault="002B6B5F" w:rsidP="002B6B5F">
      <w:pPr>
        <w:jc w:val="both"/>
      </w:pPr>
      <w:r w:rsidRPr="006933A5">
        <w:t>Cancer is currently the second most prominent cause of death globally, with approximately 19.3 million new cases and 10 million fatalities recorded in 2020 (Sung et al., 2021</w:t>
      </w:r>
      <w:r w:rsidR="00A64BFF" w:rsidRPr="006933A5">
        <w:t>; Adekola et al., 2026</w:t>
      </w:r>
      <w:r w:rsidRPr="006933A5">
        <w:t>). Among various biological factors that contribute to the onset of cancer, hormones, particularly those classified as sex steroids, hold a uniquely significant role. The idea of malignancy influenced by hormones has deep historical significance: in 1941, Charles Huggins and Clarence Hodges demonstrated that prostate cancer could regress through castration or estrogen treatment, a finding that awarded Huggins the Nobel Prize in Physiology or Medicine in 1966 and confirmed the endocrine system as a viable target for treatments (Huggins and Hodges, 1941).</w:t>
      </w:r>
    </w:p>
    <w:p w14:paraId="5C739677" w14:textId="77777777" w:rsidR="002B6B5F" w:rsidRPr="006933A5" w:rsidRDefault="002B6B5F" w:rsidP="002B6B5F">
      <w:pPr>
        <w:jc w:val="both"/>
      </w:pPr>
    </w:p>
    <w:p w14:paraId="5960468B" w14:textId="188BC2DC" w:rsidR="002B6B5F" w:rsidRPr="006933A5" w:rsidRDefault="002B6B5F" w:rsidP="002B6B5F">
      <w:pPr>
        <w:jc w:val="both"/>
      </w:pPr>
      <w:r w:rsidRPr="006933A5">
        <w:t xml:space="preserve">Hormones act as versatile signaling molecules that regulate key cellular functions such as growth, differentiation, programmed cell death, metabolism, and the formation of new blood vessels. When hormonal balance is persistently disturbed, these regulatory pathways can be redirected to facilitate cancerous transformation and the advancement of tumours (Yager and Davidson, 2006). The biological validity of such processes is strongly backed by evidence: estrogen receptors (ERs) and androgen </w:t>
      </w:r>
      <w:r w:rsidRPr="006933A5">
        <w:lastRenderedPageBreak/>
        <w:t>receptors (ARs) are found in tissues particularly vulnerable to hormone-sensitive cancers, while epidemiological studies from extensive cohort analyses demonstrate that prolonged exposure to hormones influences cancer risk in a dose-dependent manner.</w:t>
      </w:r>
    </w:p>
    <w:p w14:paraId="5D7F313D" w14:textId="77777777" w:rsidR="002B6B5F" w:rsidRPr="006933A5" w:rsidRDefault="002B6B5F" w:rsidP="002B6B5F">
      <w:pPr>
        <w:jc w:val="both"/>
      </w:pPr>
    </w:p>
    <w:p w14:paraId="7390DCD4" w14:textId="77777777" w:rsidR="002B6B5F" w:rsidRPr="006933A5" w:rsidRDefault="002B6B5F" w:rsidP="002B6B5F">
      <w:pPr>
        <w:jc w:val="both"/>
      </w:pPr>
      <w:r w:rsidRPr="006933A5">
        <w:t>Since Huggins' groundbreaking discovery, the field has evolved from basic approaches such as castration and surgical removal to more sophisticated methods involving targeted endocrine therapies, multi-gene expression testing, and liquid biopsy technologies that can identify resistance mutations in real time. In parallel, insights from cell biology and structural biochemistry have enhanced our understanding of receptor pharmacology, epigenetic modifications, and environmental factors influencing hormone-cancer interactions.</w:t>
      </w:r>
    </w:p>
    <w:p w14:paraId="1774B1E5" w14:textId="77777777" w:rsidR="002B6B5F" w:rsidRPr="006933A5" w:rsidRDefault="002B6B5F" w:rsidP="002B6B5F">
      <w:pPr>
        <w:jc w:val="both"/>
      </w:pPr>
    </w:p>
    <w:p w14:paraId="6374C1AC" w14:textId="72D961D9" w:rsidR="0088298B" w:rsidRPr="006933A5" w:rsidRDefault="002B6B5F" w:rsidP="002B6B5F">
      <w:pPr>
        <w:jc w:val="both"/>
      </w:pPr>
      <w:r w:rsidRPr="006933A5">
        <w:t>This mini-review aims to succinctly synthesize the current understanding of the hormone-cancer connection, structured around four main themes: (i) molecular pathways involved in hormone-induced carcinogenesis; (ii) epidemiological findings related to primary hormone-sensitive cancer types; (iii) new biological concepts such as the microbiome, circadian rhythms, and liquid biopsies; and (iv) practical applications in clinical settings, including targeted therapies and chemoprevention strategies. The objective is to provide an accessible yet thorough introduction to this swiftly developing domain for those in the fields of endocrinology, oncology, and laboratory medicine.</w:t>
      </w:r>
    </w:p>
    <w:p w14:paraId="566B00FC" w14:textId="77777777" w:rsidR="0088298B" w:rsidRPr="006933A5" w:rsidRDefault="0088298B" w:rsidP="0088298B">
      <w:pPr>
        <w:spacing w:before="240" w:after="80"/>
      </w:pPr>
      <w:r w:rsidRPr="006933A5">
        <w:rPr>
          <w:b/>
          <w:bCs/>
          <w:color w:val="000000"/>
          <w:sz w:val="22"/>
          <w:szCs w:val="22"/>
        </w:rPr>
        <w:t>2. MOLECULAR MECHANISMS OF HORMONE-DRIVEN CARCINOGENESIS</w:t>
      </w:r>
    </w:p>
    <w:p w14:paraId="6211A5ED" w14:textId="77777777" w:rsidR="0088298B" w:rsidRPr="006933A5" w:rsidRDefault="0088298B" w:rsidP="0088298B">
      <w:pPr>
        <w:spacing w:before="160" w:after="60"/>
      </w:pPr>
      <w:r w:rsidRPr="006933A5">
        <w:rPr>
          <w:b/>
          <w:bCs/>
          <w:color w:val="000000"/>
          <w:sz w:val="22"/>
          <w:szCs w:val="22"/>
        </w:rPr>
        <w:t>2.1 Genomic and Non-Genomic Receptor Signalling</w:t>
      </w:r>
    </w:p>
    <w:p w14:paraId="68188D99" w14:textId="4B6E011E" w:rsidR="00F85CD7" w:rsidRPr="006933A5" w:rsidRDefault="00F85CD7" w:rsidP="00F85CD7">
      <w:pPr>
        <w:spacing w:before="160" w:after="60"/>
        <w:jc w:val="both"/>
        <w:rPr>
          <w:color w:val="000000"/>
        </w:rPr>
      </w:pPr>
      <w:r w:rsidRPr="006933A5">
        <w:rPr>
          <w:color w:val="000000"/>
        </w:rPr>
        <w:t>The traditional model of hormone activity describes the process in which a fat-soluble steroid hormone travels through the plasma membrane, binds to a receptor within the cell nucleus, and then forms a dimer, which attaches to specific hormone response elements (HREs) found in the promoter regions of targeted genes (Heldring et al., 2007). This genomic pathway leads to the transcriptional activation of genes that control cell cycle initiation (CCND1, MYC), the formation of new blood vessels (VEGF), and cell survival mechanisms (BCL2), establishing a molecular environment that supports continuous cell growth (Pietras and Szego, 1977). Besides this traditional pathway, there is also a rapid signaling mechanism that operates through membrane-bound receptors and G-protein-coupled receptor complexes. This pathway activates MAPK, PI3K/AKT, and mTOR signaling cascades, which enhance both cell growth and the prevention of programmed cell death (Yue et al., 2013).</w:t>
      </w:r>
    </w:p>
    <w:p w14:paraId="357D4C25" w14:textId="10FD0405" w:rsidR="00F85CD7" w:rsidRPr="006933A5" w:rsidRDefault="00F85CD7" w:rsidP="00F85CD7">
      <w:pPr>
        <w:spacing w:before="160" w:after="60"/>
        <w:jc w:val="both"/>
        <w:rPr>
          <w:color w:val="000000"/>
        </w:rPr>
      </w:pPr>
      <w:r w:rsidRPr="006933A5">
        <w:rPr>
          <w:color w:val="000000"/>
        </w:rPr>
        <w:t>Estrogen receptors α and β (ERα, ERβ) are distributed in different tissues and importantly, they result in different outcomes during cancer development. ERα is mainly found in the epithelial cells of breast ducts and the endometrium, where its activation promotes cell growth; it is either overexpressed or constantly active in around 70% of invasive breast cancer cases (Hartman et al., 2009). On the other hand, ERβ typically has inhibitory effects on growth and promotes differentiation, acting as a tumor suppressor in breast tissue. A relative lack of ERβ compared to ERα could heighten the risk of developing cancer (Haldosen et al., 2014). Mutations acquired in the ESR1 gene, which encodes for ERα, have become a significant factor in developing resistance to aromatase inhibitors in metastatic breast cancer, and their identification through liquid biopsy is now relevant for guiding treatment choices (Jeselsohn et al., 2018; Fribbens et al., 2016).</w:t>
      </w:r>
    </w:p>
    <w:p w14:paraId="675BF401" w14:textId="252FCAA1" w:rsidR="00F85CD7" w:rsidRPr="006933A5" w:rsidRDefault="00F85CD7" w:rsidP="00F85CD7">
      <w:pPr>
        <w:spacing w:before="160" w:after="60"/>
      </w:pPr>
      <w:r w:rsidRPr="006933A5">
        <w:rPr>
          <w:b/>
          <w:bCs/>
          <w:color w:val="000000"/>
          <w:sz w:val="22"/>
          <w:szCs w:val="22"/>
        </w:rPr>
        <w:t>2.2 Direct Genotoxic Effects of Hormone Metabolites</w:t>
      </w:r>
    </w:p>
    <w:p w14:paraId="5C06CE99" w14:textId="321C4881" w:rsidR="00F85CD7" w:rsidRPr="006933A5" w:rsidRDefault="00F85CD7" w:rsidP="00F85CD7">
      <w:pPr>
        <w:spacing w:before="160" w:after="60"/>
        <w:jc w:val="both"/>
        <w:rPr>
          <w:color w:val="000000"/>
        </w:rPr>
      </w:pPr>
      <w:r w:rsidRPr="006933A5">
        <w:rPr>
          <w:color w:val="000000"/>
        </w:rPr>
        <w:t>In addition to proliferation driven by receptor interactions, some metabolites of hormones have direct genotoxic influences that individually contribute to the development of cancer. The metabolism of estradiol by cytochrome P450 enzymes (CYP1A1, CYP1B1) generates catechol estrogens, especially 4-hydroxyoestradiol, which can be further oxidized to form estrogen-2,3- and 3,4-quinones (Cavalieri and Rogan, 2014). These reactive quinones create depurinating adducts with adenine and guanine bases in DNA, leading to the formation of apurinic sites. If these sites are not fully repaired, they can cause point mutations in oncogenes and tumor suppressor genes (Cavalieri and Rogan, 2016). This mutagenic process occurs regardless of receptor engagement, indicating that the metabolic activation of estrogen qualifies as a genuine carcinogen, rather than simply a factor that stimulates cell division.</w:t>
      </w:r>
    </w:p>
    <w:p w14:paraId="28833DB8" w14:textId="77777777" w:rsidR="00A06503" w:rsidRPr="006933A5" w:rsidRDefault="00A06503" w:rsidP="00F85CD7">
      <w:pPr>
        <w:spacing w:before="160" w:after="60"/>
        <w:rPr>
          <w:b/>
          <w:bCs/>
          <w:color w:val="000000"/>
          <w:sz w:val="22"/>
          <w:szCs w:val="22"/>
        </w:rPr>
      </w:pPr>
    </w:p>
    <w:p w14:paraId="774EA094" w14:textId="37B4A74E" w:rsidR="00F85CD7" w:rsidRPr="006933A5" w:rsidRDefault="00F85CD7" w:rsidP="00F85CD7">
      <w:pPr>
        <w:spacing w:before="160" w:after="60"/>
      </w:pPr>
      <w:r w:rsidRPr="006933A5">
        <w:rPr>
          <w:b/>
          <w:bCs/>
          <w:color w:val="000000"/>
          <w:sz w:val="22"/>
          <w:szCs w:val="22"/>
        </w:rPr>
        <w:t>2.3 Epigenetic Reprogramming</w:t>
      </w:r>
    </w:p>
    <w:p w14:paraId="49494BD8" w14:textId="5B29A669" w:rsidR="00F85CD7" w:rsidRPr="006933A5" w:rsidRDefault="00A06503" w:rsidP="00A06503">
      <w:pPr>
        <w:spacing w:before="40"/>
        <w:jc w:val="both"/>
      </w:pPr>
      <w:r w:rsidRPr="006933A5">
        <w:lastRenderedPageBreak/>
        <w:t>Hormonal influence modifies the epigenome via mechanisms like DNA methylation, histone modifications following translation, and the regulation of non-coding RNA (Bhan et al., 2017). Continuous exposure to estrogen has been found to cause abnormal hypermethylation at the promoters of tumor suppressor genes, including BRCA1, CDKN2A, and MLH1. This effect silences essential protectors of genomic integrity without altering the actual DNA sequence (Zhu et al., 2018). Since epigenetic modifications are reliably inherited during cell division, these alterations represent a lasting method by which initial hormonal exposures, such as the timing of menarche or estrogen levels in the womb, can influence cancer susceptibility throughout a person’s life. The potential for epigenetic markers to be reversible also presents promising opportunities for preventive and therapeutic strategies.</w:t>
      </w:r>
    </w:p>
    <w:p w14:paraId="7DCA56A5" w14:textId="77777777" w:rsidR="0088298B" w:rsidRPr="006933A5" w:rsidRDefault="0088298B" w:rsidP="00A06503">
      <w:pPr>
        <w:jc w:val="both"/>
      </w:pPr>
    </w:p>
    <w:p w14:paraId="13F18036" w14:textId="77777777" w:rsidR="00A06503" w:rsidRPr="006933A5" w:rsidRDefault="00A06503" w:rsidP="00A06503">
      <w:pPr>
        <w:spacing w:before="240" w:after="80"/>
      </w:pPr>
      <w:r w:rsidRPr="006933A5">
        <w:rPr>
          <w:b/>
          <w:bCs/>
          <w:color w:val="000000"/>
          <w:sz w:val="22"/>
          <w:szCs w:val="22"/>
        </w:rPr>
        <w:t>3. EPIDEMIOLOGY OF HORMONE-SENSITIVE CANCERS</w:t>
      </w:r>
    </w:p>
    <w:p w14:paraId="32D04207" w14:textId="77777777" w:rsidR="00A06503" w:rsidRPr="006933A5" w:rsidRDefault="00A06503" w:rsidP="00A06503">
      <w:pPr>
        <w:spacing w:before="160" w:after="60"/>
      </w:pPr>
      <w:r w:rsidRPr="006933A5">
        <w:rPr>
          <w:b/>
          <w:bCs/>
          <w:color w:val="000000"/>
          <w:sz w:val="22"/>
          <w:szCs w:val="22"/>
        </w:rPr>
        <w:t>3.1 Breast Cancer</w:t>
      </w:r>
    </w:p>
    <w:p w14:paraId="744E4FC0" w14:textId="309A6B9A" w:rsidR="00A06503" w:rsidRPr="006933A5" w:rsidRDefault="00A06503" w:rsidP="00A06503">
      <w:pPr>
        <w:spacing w:before="160" w:after="60"/>
        <w:jc w:val="both"/>
        <w:rPr>
          <w:color w:val="000000"/>
        </w:rPr>
      </w:pPr>
      <w:r w:rsidRPr="006933A5">
        <w:rPr>
          <w:color w:val="000000"/>
        </w:rPr>
        <w:t>Breast cancer is a type of cancer that is influenced by hormones. Significant meta-analyses from the Collaborative Group, which looked at information from over 100 epidemiological studies, revealed a clear connection between total estrogen exposure and the risk of developing breast cancer (Collaborative Group on Hormonal Factors in Breast Cancer, 2012). Various factors that increase a person's lifetime exposure to estrogen, such as starting menstruation early, going through menopause late, never having children, being older at the first full-term pregnancy, and gaining weight after menopause, each raise the risk level. In contrast, experiencing menopause early, having preventive oophorectomy surgery, and breastfeeding provide some protection against the disease. More recently, Mendelian randomization studies that used genetic markers for natural sex hormone levels have shown causal links between testosterone and breast cancer in women, highlighting the role of sex hormones in the development of breast cancer (Ruth et al., 2020).</w:t>
      </w:r>
      <w:r w:rsidRPr="006933A5">
        <w:rPr>
          <w:color w:val="000000"/>
        </w:rPr>
        <w:br/>
      </w:r>
      <w:r w:rsidRPr="006933A5">
        <w:rPr>
          <w:color w:val="000000"/>
        </w:rPr>
        <w:br/>
        <w:t>The effects of outside hormonal exposure from hormone replacement therapy (HRT) have been thoroughly studied. The Women’s Health Initiative (WHI) trial, the largest trial of its kind, revealed that using combined estrogen and progestogen HRT increases the chances of developing invasive breast cancer (hazard ratio ~1.26) compared to a placebo. This additional risk was found to persist even after long-term follow-ups (Rossouw et al., 2002; Chlebowski et al., 2020</w:t>
      </w:r>
      <w:r w:rsidR="000F55B8" w:rsidRPr="006933A5">
        <w:rPr>
          <w:color w:val="000000"/>
        </w:rPr>
        <w:t>; Adedokun et al., 2023</w:t>
      </w:r>
      <w:r w:rsidRPr="006933A5">
        <w:rPr>
          <w:color w:val="000000"/>
        </w:rPr>
        <w:t>). Interestingly, estrogen-only HRT in women who have undergone hysterectomy was linked to a lower incidence of breast cancer in the same study. The Million Women Study supported these results on a larger scale, and a later individual participant meta-analysis of 58 epidemiological studies affirmed that current or recent use of HRT notably heightens breast cancer risk, with the level of risk dependent on the type, method, duration, and timing of initiation in relation to menopause (Collaborative Group on Hormonal Factors in Breast Cancer, 2019; Beral et al., 2019).</w:t>
      </w:r>
    </w:p>
    <w:p w14:paraId="7873C57B" w14:textId="77777777" w:rsidR="00694C2A" w:rsidRPr="006933A5" w:rsidRDefault="00A06503" w:rsidP="00694C2A">
      <w:pPr>
        <w:spacing w:before="160" w:after="60"/>
      </w:pPr>
      <w:r w:rsidRPr="006933A5">
        <w:rPr>
          <w:b/>
          <w:bCs/>
          <w:color w:val="000000"/>
          <w:sz w:val="22"/>
          <w:szCs w:val="22"/>
        </w:rPr>
        <w:t>3.2 Endometrial Cancer</w:t>
      </w:r>
    </w:p>
    <w:p w14:paraId="06486641" w14:textId="45904B18" w:rsidR="00694C2A" w:rsidRPr="006933A5" w:rsidRDefault="00A64B2A" w:rsidP="00694C2A">
      <w:pPr>
        <w:spacing w:before="160" w:after="60"/>
        <w:jc w:val="both"/>
        <w:rPr>
          <w:color w:val="000000"/>
        </w:rPr>
      </w:pPr>
      <w:r w:rsidRPr="006933A5">
        <w:rPr>
          <w:color w:val="000000"/>
        </w:rPr>
        <w:t>Endometrial carcinoma serves as the quintessential example of a cancer characterized by "unopposed oestrogen." In a typical endometrium, the hormone progesterone limits the growth-promoting effects of estrogen by stimulating 17β-hydroxysteroid dehydrogenase type</w:t>
      </w:r>
      <w:r w:rsidR="00694C2A" w:rsidRPr="006933A5">
        <w:rPr>
          <w:color w:val="000000"/>
        </w:rPr>
        <w:t xml:space="preserve"> </w:t>
      </w:r>
      <w:r w:rsidRPr="006933A5">
        <w:rPr>
          <w:color w:val="000000"/>
        </w:rPr>
        <w:t>2, which changes oestradiol into the less effective oestrone, and by reducing the expression of ERα. When this equilibrium is disturbed, whether by anovulatory cycles, the use of external unopposed oestrogen, or granulosa cell tumours, persistent hyperoestrogenism can lead to the development of endometrial hyperplasia with atypical features and eventually evolve into endometrioid carcinoma (Henderson et al., 1988; Kaaks et al., 2002).</w:t>
      </w:r>
    </w:p>
    <w:p w14:paraId="0B01258E" w14:textId="7C91F3F1" w:rsidR="00A64B2A" w:rsidRPr="006933A5" w:rsidRDefault="00A64B2A" w:rsidP="00694C2A">
      <w:pPr>
        <w:spacing w:before="160" w:after="60"/>
        <w:jc w:val="both"/>
      </w:pPr>
      <w:r w:rsidRPr="006933A5">
        <w:rPr>
          <w:color w:val="000000"/>
        </w:rPr>
        <w:t>Obesity has been identified as the primary modifiable risk factor for endometrial cancer in modern populations, with estimates suggesting it accounts for around 40% of cases in wealthier nations (Onstad et al., 2016). Adipose tissue converts androgens into oestrone, resulting in a widespread state of hyperoestrogenism, while simultaneously increased insulin levels and heightened IGF-1 levels promote the growth of endometrial cells and inhibit cell death (Gunter et al., 2015). The presence of metabolic syndrome, which includes central obesity, insulin resistance, abnormalities in lipid levels, and high blood pressure, correlates with an almost threefold increased risk of developing endometrial cancer, according to meta-</w:t>
      </w:r>
      <w:r w:rsidRPr="006933A5">
        <w:rPr>
          <w:color w:val="000000"/>
        </w:rPr>
        <w:lastRenderedPageBreak/>
        <w:t>analytic findings (Esposito et al., 2014), illustrating an endocrine context for the worldwide increase in endometrial cancer cases.</w:t>
      </w:r>
    </w:p>
    <w:p w14:paraId="55D70AF9" w14:textId="5BA2AE2F" w:rsidR="00A06503" w:rsidRPr="006933A5" w:rsidRDefault="00A06503" w:rsidP="00A06503">
      <w:pPr>
        <w:spacing w:before="160" w:after="60"/>
      </w:pPr>
      <w:r w:rsidRPr="006933A5">
        <w:rPr>
          <w:b/>
          <w:bCs/>
          <w:color w:val="000000"/>
          <w:sz w:val="22"/>
          <w:szCs w:val="22"/>
        </w:rPr>
        <w:t>3.3 Prostate Cancer</w:t>
      </w:r>
    </w:p>
    <w:p w14:paraId="60161D7E" w14:textId="7118356C" w:rsidR="00694C2A" w:rsidRPr="006933A5" w:rsidRDefault="00694C2A" w:rsidP="001F604A">
      <w:pPr>
        <w:spacing w:after="120" w:line="276" w:lineRule="auto"/>
        <w:jc w:val="both"/>
      </w:pPr>
      <w:r w:rsidRPr="006933A5">
        <w:t>Prostate cancer relies completely on androgen signaling for its emergence and initial advancement. Testosterone, along with its metabolite dihydrotestosterone (DHT), which is processed in the prostate, stimulates the androgen receptor (AR). This activation directly regulates genes that enhance cell survival, growth, and differentiation within the prostatic epithelium (Nelson, 2003; Attard et al., 2016). Nevertheless, the epidemiology of prostate cancer becomes intricate due to the "saturation model": when testosterone levels are below a certain low threshold (~8 nmol/L), the growth of prostate cancer seems sensitive to androgens; however, above this saturation threshold, additional increases in testosterone do not correspondingly raise cancer risk, as the occupancy of the prostatic AR is already at its maximum level (Morgentaler and Traish, 2009; Morgentaler, 2006).</w:t>
      </w:r>
      <w:r w:rsidRPr="006933A5">
        <w:br/>
      </w:r>
      <w:r w:rsidRPr="006933A5">
        <w:br/>
        <w:t>As prostate cancer advances, it inevitably transitions to a castration-resistant form of the disease, in which AR signaling is restored through various mechanisms</w:t>
      </w:r>
      <w:r w:rsidR="00E46204" w:rsidRPr="006933A5">
        <w:t xml:space="preserve">, </w:t>
      </w:r>
      <w:r w:rsidRPr="006933A5">
        <w:t> </w:t>
      </w:r>
      <w:r w:rsidR="00E46204" w:rsidRPr="006933A5">
        <w:t>including</w:t>
      </w:r>
      <w:r w:rsidRPr="006933A5">
        <w:t> AR gene amplification, splice variants such as AR-V7, activating point mutations that allow flexible binding to ligands, and the synthesis of androgens from adrenal and intratumoral precursors (Watson et al., 2015). Together, these mechanisms sustain AR transcriptional activity even at very low systemic levels of androgens, which accounts for the observed resistance to standard androgen deprivation treatments and suggests reasonable targets for the development of next-generation therapies.</w:t>
      </w:r>
      <w:r w:rsidR="00E46204" w:rsidRPr="006933A5">
        <w:t xml:space="preserve"> </w:t>
      </w:r>
      <w:r w:rsidR="001F604A" w:rsidRPr="006933A5">
        <w:t>Variations in the genes CYP3A4, CYP3A5 (associated with hormone metabolism), and SRD5A2 (responsible for transforming testosterone into a more active form) are prevalent among</w:t>
      </w:r>
      <w:r w:rsidR="00951934" w:rsidRPr="006933A5">
        <w:t xml:space="preserve"> prostate cancer</w:t>
      </w:r>
      <w:r w:rsidR="001F604A" w:rsidRPr="006933A5">
        <w:t> patients in Nigeria. These genetic differences probably account for the accelerated growth of tumo</w:t>
      </w:r>
      <w:r w:rsidR="00951934" w:rsidRPr="006933A5">
        <w:t>u</w:t>
      </w:r>
      <w:r w:rsidR="001F604A" w:rsidRPr="006933A5">
        <w:t>rs and the inadequate responses to conventional treatment methods (</w:t>
      </w:r>
      <w:r w:rsidR="00951934" w:rsidRPr="006933A5">
        <w:t>Adekola et al., 2026</w:t>
      </w:r>
      <w:r w:rsidR="001F604A" w:rsidRPr="006933A5">
        <w:t>).</w:t>
      </w:r>
    </w:p>
    <w:p w14:paraId="1ED9EA13" w14:textId="77777777" w:rsidR="00A06503" w:rsidRPr="006933A5" w:rsidRDefault="00A06503" w:rsidP="00A06503">
      <w:pPr>
        <w:spacing w:before="160" w:after="60"/>
      </w:pPr>
      <w:r w:rsidRPr="006933A5">
        <w:rPr>
          <w:b/>
          <w:bCs/>
          <w:color w:val="000000"/>
          <w:sz w:val="22"/>
          <w:szCs w:val="22"/>
        </w:rPr>
        <w:t>3.4 Ovarian Cancer</w:t>
      </w:r>
    </w:p>
    <w:p w14:paraId="28F5A54F" w14:textId="5FFEEB08" w:rsidR="00A06503" w:rsidRPr="006933A5" w:rsidRDefault="00A06503" w:rsidP="00A06503">
      <w:pPr>
        <w:spacing w:after="120" w:line="276" w:lineRule="auto"/>
        <w:jc w:val="both"/>
      </w:pPr>
      <w:r w:rsidRPr="006933A5">
        <w:t xml:space="preserve">Ovarian cancer encompasses a biologically heterogeneous group of malignancies with varying hormonal dependencies. The historically dominant "incessant ovulation" hypothesis (Fathalla, 1971) proposes that </w:t>
      </w:r>
      <w:r w:rsidR="00694C2A" w:rsidRPr="006933A5">
        <w:t>recurrent cycles of ovulatory-induced surface epithelial injury and repair predispose to malignant transformation, consistent with the protective effects</w:t>
      </w:r>
      <w:r w:rsidRPr="006933A5">
        <w:t xml:space="preserve"> of oral contraceptives, multiparity, and breastfeeding on ovarian cancer risk (Collaborative Group on Epidemiological Studies of Ovarian Cancer, 2012). However, molecular pathological studies have substantially revised our understanding: high-grade serous ovarian carcinoma</w:t>
      </w:r>
      <w:r w:rsidR="00951934" w:rsidRPr="006933A5">
        <w:t>,</w:t>
      </w:r>
      <w:r w:rsidRPr="006933A5">
        <w:t xml:space="preserve"> the most lethal subtype</w:t>
      </w:r>
      <w:r w:rsidR="00951934" w:rsidRPr="006933A5">
        <w:t xml:space="preserve">, </w:t>
      </w:r>
      <w:r w:rsidRPr="006933A5">
        <w:t>now appears predominantly to originate from the distal fallopian tube rather than the ovarian surface epithelium, implicating a distinct cellular origin and potentially different hormonal sensitivities (Kurman and Shih, 2016).</w:t>
      </w:r>
    </w:p>
    <w:p w14:paraId="72D38955" w14:textId="77777777" w:rsidR="00A06503" w:rsidRPr="006933A5" w:rsidRDefault="00A06503" w:rsidP="00A06503">
      <w:pPr>
        <w:spacing w:before="40"/>
      </w:pPr>
    </w:p>
    <w:p w14:paraId="38488694" w14:textId="77777777" w:rsidR="00A06503" w:rsidRPr="006933A5" w:rsidRDefault="00A06503" w:rsidP="00A06503">
      <w:pPr>
        <w:spacing w:after="120" w:line="276" w:lineRule="auto"/>
        <w:jc w:val="both"/>
      </w:pPr>
      <w:r w:rsidRPr="006933A5">
        <w:rPr>
          <w:b/>
          <w:bCs/>
        </w:rPr>
        <w:t xml:space="preserve">Table 1. </w:t>
      </w:r>
      <w:r w:rsidRPr="006933A5">
        <w:rPr>
          <w:i/>
          <w:iCs/>
        </w:rPr>
        <w:t>Summary of key hormone-cancer relationships: biological mechanisms, epidemiological evidence, and first-line endocrine therapeutic approaches</w:t>
      </w:r>
    </w:p>
    <w:p w14:paraId="515FA99E" w14:textId="77777777" w:rsidR="00A06503" w:rsidRPr="006933A5" w:rsidRDefault="00A06503" w:rsidP="00A06503">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800"/>
        <w:gridCol w:w="2226"/>
        <w:gridCol w:w="1800"/>
        <w:gridCol w:w="1800"/>
      </w:tblGrid>
      <w:tr w:rsidR="00A06503" w:rsidRPr="006933A5" w14:paraId="52489BD1"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5DFAE1AC" w14:textId="77777777" w:rsidR="00A06503" w:rsidRPr="006933A5" w:rsidRDefault="00A06503" w:rsidP="00BB2A3F">
            <w:pPr>
              <w:jc w:val="center"/>
            </w:pPr>
            <w:r w:rsidRPr="006933A5">
              <w:rPr>
                <w:b/>
                <w:bCs/>
                <w:color w:val="FFFFFF"/>
                <w:sz w:val="18"/>
                <w:szCs w:val="18"/>
              </w:rPr>
              <w:t>Cancer Type</w:t>
            </w:r>
          </w:p>
        </w:tc>
        <w:tc>
          <w:tcPr>
            <w:tcW w:w="18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7CB06410" w14:textId="77777777" w:rsidR="00A06503" w:rsidRPr="006933A5" w:rsidRDefault="00A06503" w:rsidP="00BB2A3F">
            <w:pPr>
              <w:jc w:val="center"/>
            </w:pPr>
            <w:r w:rsidRPr="006933A5">
              <w:rPr>
                <w:b/>
                <w:bCs/>
                <w:color w:val="FFFFFF"/>
                <w:sz w:val="18"/>
                <w:szCs w:val="18"/>
              </w:rPr>
              <w:t>Key Hormone(s)</w:t>
            </w:r>
          </w:p>
        </w:tc>
        <w:tc>
          <w:tcPr>
            <w:tcW w:w="2226"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15FBBF30" w14:textId="77777777" w:rsidR="00A06503" w:rsidRPr="006933A5" w:rsidRDefault="00A06503" w:rsidP="00BB2A3F">
            <w:pPr>
              <w:jc w:val="center"/>
            </w:pPr>
            <w:r w:rsidRPr="006933A5">
              <w:rPr>
                <w:b/>
                <w:bCs/>
                <w:color w:val="FFFFFF"/>
                <w:sz w:val="18"/>
                <w:szCs w:val="18"/>
              </w:rPr>
              <w:t>Primary Mechanism</w:t>
            </w:r>
          </w:p>
        </w:tc>
        <w:tc>
          <w:tcPr>
            <w:tcW w:w="18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75E25433" w14:textId="77777777" w:rsidR="00A06503" w:rsidRPr="006933A5" w:rsidRDefault="00A06503" w:rsidP="00BB2A3F">
            <w:pPr>
              <w:jc w:val="center"/>
            </w:pPr>
            <w:r w:rsidRPr="006933A5">
              <w:rPr>
                <w:b/>
                <w:bCs/>
                <w:color w:val="FFFFFF"/>
                <w:sz w:val="18"/>
                <w:szCs w:val="18"/>
              </w:rPr>
              <w:t>Epidemiological Evidence</w:t>
            </w:r>
          </w:p>
        </w:tc>
        <w:tc>
          <w:tcPr>
            <w:tcW w:w="18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06C51879" w14:textId="77777777" w:rsidR="00A06503" w:rsidRPr="006933A5" w:rsidRDefault="00A06503" w:rsidP="00BB2A3F">
            <w:pPr>
              <w:jc w:val="center"/>
            </w:pPr>
            <w:r w:rsidRPr="006933A5">
              <w:rPr>
                <w:b/>
                <w:bCs/>
                <w:color w:val="FFFFFF"/>
                <w:sz w:val="18"/>
                <w:szCs w:val="18"/>
              </w:rPr>
              <w:t>Therapeutic Target</w:t>
            </w:r>
          </w:p>
        </w:tc>
      </w:tr>
      <w:tr w:rsidR="00A06503" w:rsidRPr="006933A5" w14:paraId="660E25BD"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68E942A" w14:textId="77777777" w:rsidR="00A06503" w:rsidRPr="006933A5" w:rsidRDefault="00A06503" w:rsidP="00BB2A3F">
            <w:r w:rsidRPr="006933A5">
              <w:rPr>
                <w:b/>
                <w:bCs/>
                <w:sz w:val="18"/>
                <w:szCs w:val="18"/>
              </w:rPr>
              <w:t>Breast</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6D6F708" w14:textId="77777777" w:rsidR="00A06503" w:rsidRPr="006933A5" w:rsidRDefault="00A06503" w:rsidP="00BB2A3F">
            <w:r w:rsidRPr="006933A5">
              <w:rPr>
                <w:sz w:val="18"/>
                <w:szCs w:val="18"/>
              </w:rPr>
              <w:t>Oestrogen (ERα)</w:t>
            </w:r>
          </w:p>
        </w:tc>
        <w:tc>
          <w:tcPr>
            <w:tcW w:w="22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FCFDDB3" w14:textId="77777777" w:rsidR="00A06503" w:rsidRPr="006933A5" w:rsidRDefault="00A06503" w:rsidP="00BB2A3F">
            <w:r w:rsidRPr="006933A5">
              <w:rPr>
                <w:sz w:val="18"/>
                <w:szCs w:val="18"/>
              </w:rPr>
              <w:t>ERα-driven transcription; 4-OHE</w:t>
            </w:r>
            <w:r w:rsidRPr="006933A5">
              <w:rPr>
                <w:rFonts w:ascii="Cambria Math" w:hAnsi="Cambria Math" w:cs="Cambria Math"/>
                <w:sz w:val="18"/>
                <w:szCs w:val="18"/>
              </w:rPr>
              <w:t>₂</w:t>
            </w:r>
            <w:r w:rsidRPr="006933A5">
              <w:rPr>
                <w:sz w:val="18"/>
                <w:szCs w:val="18"/>
              </w:rPr>
              <w:t xml:space="preserve"> DNA adducts; methylation of BRCA1</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478F62B" w14:textId="77777777" w:rsidR="00A06503" w:rsidRPr="006933A5" w:rsidRDefault="00A06503" w:rsidP="00BB2A3F">
            <w:r w:rsidRPr="006933A5">
              <w:rPr>
                <w:sz w:val="18"/>
                <w:szCs w:val="18"/>
              </w:rPr>
              <w:t>WHI trial (HR 1.26 for combined HRT); Collaborative Group meta-analyses</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F8896CD" w14:textId="77777777" w:rsidR="00A06503" w:rsidRPr="006933A5" w:rsidRDefault="00A06503" w:rsidP="00BB2A3F">
            <w:r w:rsidRPr="006933A5">
              <w:rPr>
                <w:sz w:val="18"/>
                <w:szCs w:val="18"/>
              </w:rPr>
              <w:t>SERMs, aromatase inhibitors, SERDs, CDK4/6 inhibitors</w:t>
            </w:r>
          </w:p>
        </w:tc>
      </w:tr>
      <w:tr w:rsidR="00A06503" w:rsidRPr="006933A5" w14:paraId="13988F24"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47CAB9D2" w14:textId="77777777" w:rsidR="00A06503" w:rsidRPr="006933A5" w:rsidRDefault="00A06503" w:rsidP="00BB2A3F">
            <w:r w:rsidRPr="006933A5">
              <w:rPr>
                <w:b/>
                <w:bCs/>
                <w:sz w:val="18"/>
                <w:szCs w:val="18"/>
              </w:rPr>
              <w:t>Endometrial</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47479849" w14:textId="77777777" w:rsidR="00A06503" w:rsidRPr="006933A5" w:rsidRDefault="00A06503" w:rsidP="00BB2A3F">
            <w:r w:rsidRPr="006933A5">
              <w:rPr>
                <w:sz w:val="18"/>
                <w:szCs w:val="18"/>
              </w:rPr>
              <w:t>Oestrogen (unopposed); Insulin / IGF-1</w:t>
            </w:r>
          </w:p>
        </w:tc>
        <w:tc>
          <w:tcPr>
            <w:tcW w:w="22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0AA110C" w14:textId="77777777" w:rsidR="00A06503" w:rsidRPr="006933A5" w:rsidRDefault="00A06503" w:rsidP="00BB2A3F">
            <w:r w:rsidRPr="006933A5">
              <w:rPr>
                <w:sz w:val="18"/>
                <w:szCs w:val="18"/>
              </w:rPr>
              <w:t>Mitogenic ERα activation; adipose aromatase; hyperinsulinaemia → ↓SHBG → ↑free oestrogen</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75CBBBF" w14:textId="77777777" w:rsidR="00A06503" w:rsidRPr="006933A5" w:rsidRDefault="00A06503" w:rsidP="00BB2A3F">
            <w:r w:rsidRPr="006933A5">
              <w:rPr>
                <w:sz w:val="18"/>
                <w:szCs w:val="18"/>
              </w:rPr>
              <w:t>Obesity-attributable risk ~40%; metabolic syndrome OR ~3.0 (Esposito et al., 2014)</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7B9B65AD" w14:textId="77777777" w:rsidR="00A06503" w:rsidRPr="006933A5" w:rsidRDefault="00A06503" w:rsidP="00BB2A3F">
            <w:r w:rsidRPr="006933A5">
              <w:rPr>
                <w:sz w:val="18"/>
                <w:szCs w:val="18"/>
              </w:rPr>
              <w:t>Progestogens; metformin (investigational); lifestyle modification</w:t>
            </w:r>
          </w:p>
        </w:tc>
      </w:tr>
      <w:tr w:rsidR="00A06503" w:rsidRPr="006933A5" w14:paraId="61C4A8C7"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EB82421" w14:textId="77777777" w:rsidR="00A06503" w:rsidRPr="006933A5" w:rsidRDefault="00A06503" w:rsidP="00BB2A3F">
            <w:r w:rsidRPr="006933A5">
              <w:rPr>
                <w:b/>
                <w:bCs/>
                <w:sz w:val="18"/>
                <w:szCs w:val="18"/>
              </w:rPr>
              <w:lastRenderedPageBreak/>
              <w:t>Prostate</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94EEDD6" w14:textId="77777777" w:rsidR="00A06503" w:rsidRPr="006933A5" w:rsidRDefault="00A06503" w:rsidP="00BB2A3F">
            <w:r w:rsidRPr="006933A5">
              <w:rPr>
                <w:sz w:val="18"/>
                <w:szCs w:val="18"/>
              </w:rPr>
              <w:t>Androgens (DHT via AR)</w:t>
            </w:r>
          </w:p>
        </w:tc>
        <w:tc>
          <w:tcPr>
            <w:tcW w:w="22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4072181" w14:textId="77777777" w:rsidR="00A06503" w:rsidRPr="006933A5" w:rsidRDefault="00A06503" w:rsidP="00BB2A3F">
            <w:r w:rsidRPr="006933A5">
              <w:rPr>
                <w:sz w:val="18"/>
                <w:szCs w:val="18"/>
              </w:rPr>
              <w:t>AR-driven proliferative gene transcription; AR amplification / splice variants in CRPC</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09D27E1" w14:textId="77777777" w:rsidR="00A06503" w:rsidRPr="006933A5" w:rsidRDefault="00A06503" w:rsidP="00BB2A3F">
            <w:r w:rsidRPr="006933A5">
              <w:rPr>
                <w:sz w:val="18"/>
                <w:szCs w:val="18"/>
              </w:rPr>
              <w:t>Castration model (Huggins &amp; Hodges, 1941); saturation model (Morgentaler, 2009)</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080FD0A9" w14:textId="77777777" w:rsidR="00A06503" w:rsidRPr="006933A5" w:rsidRDefault="00A06503" w:rsidP="00BB2A3F">
            <w:r w:rsidRPr="006933A5">
              <w:rPr>
                <w:sz w:val="18"/>
                <w:szCs w:val="18"/>
              </w:rPr>
              <w:t>LHRH analogues; AR antagonists (enzalutamide); CYP17A1 inhibitors (abiraterone)</w:t>
            </w:r>
          </w:p>
        </w:tc>
      </w:tr>
      <w:tr w:rsidR="00A06503" w:rsidRPr="006933A5" w14:paraId="70D55903"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508BBBC6" w14:textId="77777777" w:rsidR="00A06503" w:rsidRPr="006933A5" w:rsidRDefault="00A06503" w:rsidP="00BB2A3F">
            <w:r w:rsidRPr="006933A5">
              <w:rPr>
                <w:b/>
                <w:bCs/>
                <w:sz w:val="18"/>
                <w:szCs w:val="18"/>
              </w:rPr>
              <w:t>Ovarian</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1BAF80D6" w14:textId="77777777" w:rsidR="00A06503" w:rsidRPr="006933A5" w:rsidRDefault="00A06503" w:rsidP="00BB2A3F">
            <w:r w:rsidRPr="006933A5">
              <w:rPr>
                <w:sz w:val="18"/>
                <w:szCs w:val="18"/>
              </w:rPr>
              <w:t>Gonadotrophins; oestrogen (subtype-dependent)</w:t>
            </w:r>
          </w:p>
        </w:tc>
        <w:tc>
          <w:tcPr>
            <w:tcW w:w="22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6EE466B" w14:textId="77777777" w:rsidR="00A06503" w:rsidRPr="006933A5" w:rsidRDefault="00A06503" w:rsidP="00BB2A3F">
            <w:r w:rsidRPr="006933A5">
              <w:rPr>
                <w:sz w:val="18"/>
                <w:szCs w:val="18"/>
              </w:rPr>
              <w:t>Incessant ovulation hypothesis; fallopian tube origin of HGSOC; hormonal milieu of endometrioid subtype</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6E1044F2" w14:textId="77777777" w:rsidR="00A06503" w:rsidRPr="006933A5" w:rsidRDefault="00A06503" w:rsidP="00BB2A3F">
            <w:r w:rsidRPr="006933A5">
              <w:rPr>
                <w:sz w:val="18"/>
                <w:szCs w:val="18"/>
              </w:rPr>
              <w:t>OCP protective (OR ~0.65); HRT limited effect on HGSOC risk</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0131DC19" w14:textId="77777777" w:rsidR="00A06503" w:rsidRPr="006933A5" w:rsidRDefault="00A06503" w:rsidP="00BB2A3F">
            <w:r w:rsidRPr="006933A5">
              <w:rPr>
                <w:sz w:val="18"/>
                <w:szCs w:val="18"/>
              </w:rPr>
              <w:t>Platinum-based chemotherapy ± bevacizumab; PARP inhibitors (BRCA-mutated)</w:t>
            </w:r>
          </w:p>
        </w:tc>
      </w:tr>
    </w:tbl>
    <w:p w14:paraId="43C4AF31" w14:textId="77777777" w:rsidR="00A06503" w:rsidRPr="006933A5" w:rsidRDefault="00A06503" w:rsidP="00694C2A">
      <w:pPr>
        <w:spacing w:before="40" w:after="120"/>
        <w:jc w:val="both"/>
      </w:pPr>
      <w:r w:rsidRPr="006933A5">
        <w:rPr>
          <w:i/>
          <w:iCs/>
          <w:color w:val="595959"/>
          <w:sz w:val="18"/>
          <w:szCs w:val="18"/>
        </w:rPr>
        <w:t>ERα: oestrogen receptor alpha; SERMs: selective oestrogen receptor modulators; SERDs: selective oestrogen receptor degraders; CRPC: castration-resistant prostate cancer; DHT: dihydrotestosterone; OCP: oral contraceptive pill; HGSOC: high-grade serous ovarian carcinoma; SHBG: sex hormone binding globulin; OR: odds ratio; HR: hazard ratio.</w:t>
      </w:r>
    </w:p>
    <w:p w14:paraId="6B81CDC7" w14:textId="77777777" w:rsidR="00A06503" w:rsidRPr="006933A5" w:rsidRDefault="00A06503" w:rsidP="00A06503">
      <w:pPr>
        <w:spacing w:before="40"/>
      </w:pPr>
    </w:p>
    <w:p w14:paraId="0A09E8DB" w14:textId="77777777" w:rsidR="00694C2A" w:rsidRPr="006933A5" w:rsidRDefault="00694C2A" w:rsidP="00694C2A">
      <w:pPr>
        <w:spacing w:before="240" w:after="80"/>
      </w:pPr>
      <w:r w:rsidRPr="006933A5">
        <w:rPr>
          <w:b/>
          <w:bCs/>
          <w:color w:val="000000"/>
          <w:sz w:val="22"/>
          <w:szCs w:val="22"/>
        </w:rPr>
        <w:t>4. EMERGING CONCEPTS IN HORMONAL CARCINOGENESIS</w:t>
      </w:r>
    </w:p>
    <w:p w14:paraId="3936BDC0" w14:textId="77777777" w:rsidR="00694C2A" w:rsidRPr="006933A5" w:rsidRDefault="00694C2A" w:rsidP="00694C2A">
      <w:pPr>
        <w:spacing w:before="160" w:after="60"/>
      </w:pPr>
      <w:r w:rsidRPr="006933A5">
        <w:rPr>
          <w:b/>
          <w:bCs/>
          <w:color w:val="000000"/>
          <w:sz w:val="22"/>
          <w:szCs w:val="22"/>
        </w:rPr>
        <w:t>4.1 The Oestrobolome and Gut Microbiome</w:t>
      </w:r>
    </w:p>
    <w:p w14:paraId="041A3E54" w14:textId="09CAC66B" w:rsidR="00694C2A" w:rsidRPr="006933A5" w:rsidRDefault="00694C2A" w:rsidP="00694C2A">
      <w:pPr>
        <w:spacing w:after="120" w:line="276" w:lineRule="auto"/>
        <w:jc w:val="both"/>
      </w:pPr>
      <w:r w:rsidRPr="006933A5">
        <w:t>A growing body of evidence implicates the gut microbiome as a systemic regulator of circulating oestrogen levels through the so-called "oestrobolome"</w:t>
      </w:r>
      <w:r w:rsidR="00E46204" w:rsidRPr="006933A5">
        <w:t xml:space="preserve">, </w:t>
      </w:r>
      <w:r w:rsidRPr="006933A5">
        <w:t xml:space="preserve">the aggregate of gut bacterial genes whose encoded enzymes deconjugate glucuronidated oestrogen metabolites via β-glucuronidase activity, </w:t>
      </w:r>
      <w:r w:rsidR="00E46204" w:rsidRPr="006933A5">
        <w:t>thereby enabling enterohepatic recirculation and increasing the</w:t>
      </w:r>
      <w:r w:rsidRPr="006933A5">
        <w:t xml:space="preserve"> bioavailability of active oestrogens (Plottel and Blaser, 2011). Postmenopausal women with breast cancer exhibit distinct gut microbiome compositions relative to healthy matched controls, with reduced microbial diversity and altered β-glucuronidase activity resulting in elevated urinary and serum oestrogen metabolite profiles (Goedert et al., 2015; Zhu et al., 2018). These findings suggest that microbiome modulation</w:t>
      </w:r>
      <w:r w:rsidR="00E46204" w:rsidRPr="006933A5">
        <w:t>,</w:t>
      </w:r>
      <w:r w:rsidRPr="006933A5">
        <w:t xml:space="preserve"> through diet, prebiotics, probiotics, or targeted pharmacological intervention</w:t>
      </w:r>
      <w:r w:rsidR="00E46204" w:rsidRPr="006933A5">
        <w:t>,</w:t>
      </w:r>
      <w:r w:rsidRPr="006933A5">
        <w:t xml:space="preserve"> may constitute a novel preventive strategy for oestrogen-driven cancers, although robust interventional data remain forthcoming.</w:t>
      </w:r>
    </w:p>
    <w:p w14:paraId="679B110C" w14:textId="77777777" w:rsidR="00EC296A" w:rsidRPr="006933A5" w:rsidRDefault="00EC296A" w:rsidP="00694C2A">
      <w:pPr>
        <w:spacing w:after="120" w:line="276" w:lineRule="auto"/>
        <w:jc w:val="both"/>
      </w:pPr>
    </w:p>
    <w:p w14:paraId="7DD5CC3E" w14:textId="77777777" w:rsidR="00694C2A" w:rsidRPr="006933A5" w:rsidRDefault="00694C2A" w:rsidP="00694C2A">
      <w:pPr>
        <w:spacing w:before="160" w:after="60"/>
      </w:pPr>
      <w:r w:rsidRPr="006933A5">
        <w:rPr>
          <w:b/>
          <w:bCs/>
          <w:color w:val="000000"/>
          <w:sz w:val="22"/>
          <w:szCs w:val="22"/>
        </w:rPr>
        <w:t>4.2 Circadian Rhythm Disruption</w:t>
      </w:r>
    </w:p>
    <w:p w14:paraId="0E095B6A" w14:textId="2279B45A" w:rsidR="00694C2A" w:rsidRPr="006933A5" w:rsidRDefault="00694C2A" w:rsidP="00694C2A">
      <w:pPr>
        <w:spacing w:after="120" w:line="276" w:lineRule="auto"/>
        <w:jc w:val="both"/>
      </w:pPr>
      <w:r w:rsidRPr="006933A5">
        <w:t>Chronobiological disruption is increasingly recognised as a facilitator of hormone-dependent carcinogenesis. Circadian rhythms govern the diurnal oscillation of sex hormone synthesis and secretion, immune surveillance, DNA repair efficiency, and cell cycle progression. Shift work</w:t>
      </w:r>
      <w:r w:rsidR="00E46204" w:rsidRPr="006933A5">
        <w:t xml:space="preserve">, </w:t>
      </w:r>
      <w:r w:rsidRPr="006933A5">
        <w:t>the prototypical form of circadian misalignment</w:t>
      </w:r>
      <w:r w:rsidR="00E46204" w:rsidRPr="006933A5">
        <w:t>,</w:t>
      </w:r>
      <w:r w:rsidRPr="006933A5">
        <w:t xml:space="preserve"> has been consistently associated with moderately elevated risks of breast and endometrial cancers in large prospective cohort studies, with relative risks in the range of 1.1–1.5 after adjustment for reproductive confounders (Schernhammer et al., 2013; Wegrzyn et al., 2017). The endogenous chronobiological hormone melatonin, synthesised by the pineal gland predominantly at night, exhibits direct anti-proliferative effects on oestrogen-responsive breast cancer cells through inhibition of ERα transcriptional activity, reduction of aromatase expression in adipose tissue, and potent antioxidant neutralisation of reactive oxygen species generated by oestrogen metabolism (Reiter et al., 2017). Light-at-night-mediated suppression of melatonin may therefore partially explain the increased cancer risk associated with shift work, and clinical trials of melatonin supplementation as an adjuvant oncological strategy are ongoing.</w:t>
      </w:r>
      <w:r w:rsidR="004630D5" w:rsidRPr="006933A5">
        <w:t xml:space="preserve"> </w:t>
      </w:r>
    </w:p>
    <w:p w14:paraId="1804B2C6" w14:textId="77777777" w:rsidR="00694C2A" w:rsidRPr="006933A5" w:rsidRDefault="00694C2A" w:rsidP="00694C2A">
      <w:pPr>
        <w:spacing w:before="160" w:after="60"/>
      </w:pPr>
      <w:r w:rsidRPr="006933A5">
        <w:rPr>
          <w:b/>
          <w:bCs/>
          <w:color w:val="000000"/>
          <w:sz w:val="22"/>
          <w:szCs w:val="22"/>
        </w:rPr>
        <w:t>4.3 Liquid Biopsy and Circulating Hormonal Biomarkers</w:t>
      </w:r>
    </w:p>
    <w:p w14:paraId="074B116D" w14:textId="1D31CE92" w:rsidR="00694C2A" w:rsidRPr="006933A5" w:rsidRDefault="00694C2A" w:rsidP="00694C2A">
      <w:pPr>
        <w:spacing w:after="120" w:line="276" w:lineRule="auto"/>
        <w:jc w:val="both"/>
      </w:pPr>
      <w:r w:rsidRPr="006933A5">
        <w:t>Advances in cell-free DNA analysis and digital droplet PCR have transformed the clinical monitoring of hormone-sensitive cancers. Circulating tumour DNA (ctDNA) enables non-invasive, real-time detection of somatic mutations</w:t>
      </w:r>
      <w:r w:rsidR="00EC296A" w:rsidRPr="006933A5">
        <w:t xml:space="preserve">, </w:t>
      </w:r>
      <w:r w:rsidRPr="006933A5">
        <w:t>including ESR1 mutations conferring resistance to aromatase inhibitors</w:t>
      </w:r>
      <w:r w:rsidR="00EC296A" w:rsidRPr="006933A5">
        <w:t xml:space="preserve">, </w:t>
      </w:r>
      <w:r w:rsidRPr="006933A5">
        <w:t xml:space="preserve">that emerge under treatment selective pressure, providing a dynamic window into tumour evolution without the need for repeat tissue biopsies (Fribbens et al., 2016; Ignatiadis et al., 2021). Beyond mutation detection, circulating oestrogen metabolite profiles measured by mass spectrometry in plasma or urine have demonstrated predictive capacity for breast cancer risk stratification in postmenopausal women, </w:t>
      </w:r>
      <w:r w:rsidRPr="006933A5">
        <w:lastRenderedPageBreak/>
        <w:t>with the ratio of 2-hydroxyoestrogens to 16α-hydroxyoestrone (the "2:16 ratio") serving as a proposed biomarker of metabolic oestrogen handling (Sampson et al., 2017). Integration of these multi-modal liquid biopsy platforms with traditional hormonal assays and genomic profiling holds significant promise for precision risk stratification and adaptive treatment strategies.</w:t>
      </w:r>
    </w:p>
    <w:p w14:paraId="65E83E9D" w14:textId="77777777" w:rsidR="00694C2A" w:rsidRPr="006933A5" w:rsidRDefault="00694C2A" w:rsidP="00694C2A">
      <w:pPr>
        <w:spacing w:before="40"/>
      </w:pPr>
    </w:p>
    <w:p w14:paraId="19B6F9D5" w14:textId="77777777" w:rsidR="00694C2A" w:rsidRPr="006933A5" w:rsidRDefault="00694C2A" w:rsidP="00694C2A">
      <w:pPr>
        <w:spacing w:before="240" w:after="80"/>
      </w:pPr>
      <w:r w:rsidRPr="006933A5">
        <w:rPr>
          <w:b/>
          <w:bCs/>
          <w:color w:val="000000"/>
          <w:sz w:val="22"/>
          <w:szCs w:val="22"/>
        </w:rPr>
        <w:t>5. CLINICAL TRANSLATION: THERAPEUTICS AND CHEMOPREVENTION</w:t>
      </w:r>
    </w:p>
    <w:p w14:paraId="1B9B3054" w14:textId="77777777" w:rsidR="00694C2A" w:rsidRPr="006933A5" w:rsidRDefault="00694C2A" w:rsidP="00694C2A">
      <w:pPr>
        <w:spacing w:before="160" w:after="60"/>
      </w:pPr>
      <w:r w:rsidRPr="006933A5">
        <w:rPr>
          <w:b/>
          <w:bCs/>
          <w:color w:val="000000"/>
          <w:sz w:val="22"/>
          <w:szCs w:val="22"/>
        </w:rPr>
        <w:t>5.1 Endocrine Therapy in Breast Cancer</w:t>
      </w:r>
    </w:p>
    <w:p w14:paraId="0D92E4B1" w14:textId="77777777" w:rsidR="000F55B8" w:rsidRPr="006933A5" w:rsidRDefault="00BD70DE" w:rsidP="00BD70DE">
      <w:pPr>
        <w:spacing w:after="120" w:line="276" w:lineRule="auto"/>
        <w:jc w:val="both"/>
      </w:pPr>
      <w:r w:rsidRPr="006933A5">
        <w:t>The therapeutic use of the estrogen-breast cancer relationship has resulted in one of the most fruitful areas in cancer treatment. Tamoxifen, a selective estrogen receptor modulator (SERM), acts by competitively blocking ERα in breast tissue while still providing some estrogen-like effects in bones and the endometrium. It continues to be a fundamental part of adjuvant therapy for ERα-positive breast cancer in both pre-menopausal and post-menopausal women (Cuzick et al., 2013; Osborne and Schiff, 2011). Third-generation aromatase inhibitors, such as letrozole, anastrozole, and exemestane, reduce systemic estrogen production in post-menopausal women by inhibiting the conversion of androgens to estrogens in peripheral fat and gonadal tissue through CYP19A1 inhibition. These inhibitors have shown better results than tamoxifen in various large randomized trials regarding disease-free survival and the duration until metastasis occurs. Selective estrogen receptor degraders (SERDs), represented by fulvestrant and newer oral SERDs like elacestrant and camizestrant, achieve complete downregulation and degradation of ERα without any residual agonist activity. This quality makes them particularly useful in cases of acquired ESR1 mutations that lead to resistance against SERMs (Jeselsohn et al., 2018).</w:t>
      </w:r>
    </w:p>
    <w:p w14:paraId="777940DB" w14:textId="6BA64714" w:rsidR="00BD70DE" w:rsidRPr="006933A5" w:rsidRDefault="00BD70DE" w:rsidP="00BD70DE">
      <w:pPr>
        <w:spacing w:after="120" w:line="276" w:lineRule="auto"/>
        <w:jc w:val="both"/>
      </w:pPr>
      <w:r w:rsidRPr="006933A5">
        <w:t>The incorporation of CDK4/6 inhibitors, palbociclib, ribociclib, and abemaciclib, into standard endocrine therapy has significantly altered the treatment approach for hormone receptor-positive, HER2-negative metastatic breast cancer. By inhibiting cyclin-dependent kinases 4 and 6, these drugs halt Rb phosphorylation and the subsequent activation of E2F-mediated transcription, effectively stopping cell cycle progression at the G1/S checkpoint without directly modulating hormone receptors (Finn et al., 2016; Turner et al., 2018</w:t>
      </w:r>
      <w:r w:rsidR="000F55B8" w:rsidRPr="006933A5">
        <w:t>; Adedokun et al., 2023</w:t>
      </w:r>
      <w:r w:rsidRPr="006933A5">
        <w:t>). In the PALOMA-3 and MONALEESA studies, the combination of CDK4/6 inhibitors with endocrine therapy more than doubled the median progression-free survival compared to endocrine therapy alone, establishing this approach as the preferred first-line treatment in metastatic contexts.</w:t>
      </w:r>
    </w:p>
    <w:p w14:paraId="0E7FC3EF" w14:textId="77777777" w:rsidR="00694C2A" w:rsidRPr="006933A5" w:rsidRDefault="00694C2A" w:rsidP="00694C2A">
      <w:pPr>
        <w:spacing w:before="160" w:after="60"/>
      </w:pPr>
      <w:r w:rsidRPr="006933A5">
        <w:rPr>
          <w:b/>
          <w:bCs/>
          <w:color w:val="000000"/>
          <w:sz w:val="22"/>
          <w:szCs w:val="22"/>
        </w:rPr>
        <w:t>5.2 Androgen Axis Targeting in Prostate Cancer</w:t>
      </w:r>
    </w:p>
    <w:p w14:paraId="37BBCE22" w14:textId="42BBAF47" w:rsidR="00BD70DE" w:rsidRPr="006933A5" w:rsidRDefault="007A586E" w:rsidP="007A586E">
      <w:pPr>
        <w:spacing w:after="120" w:line="276" w:lineRule="auto"/>
        <w:jc w:val="both"/>
      </w:pPr>
      <w:r w:rsidRPr="006933A5">
        <w:t>Androgen deprivation therapy (ADT), which can be administered through surgical castration, LHRH analogues, or LHRH antagonists, serves as the principal strategy for treating non-localized prostate cancer. Nonetheless, nearly all patients with metastatic prostate cancer eventually progress to castration-resistant prostate cancer (CRPC), in which androgen receptor (AR) signaling resumes even when there are low levels of circulating androgens, as outlined in Section 3.3. The introduction of abiraterone acetate, a highly effective and selective inhibitor of CYP17A1 that prevents the production of androgens in both tumours and the adrenal glands, along with the development of the second-generation AR antagonist enzalutamide, has marked significant progress in treating CRPC. Key phase III clinical trials (COU-AA-302 and PREVAIL) have shown considerable overall survival improvements with both drugs in patients with CRPC who have not undergone chemotherapy (de Bono et al., 2011; Ryan et al., 2013). Their application has now been broadened to include hormone-sensitive metastatic cancer alongside ADT.</w:t>
      </w:r>
      <w:r w:rsidR="001F604A" w:rsidRPr="006933A5">
        <w:t xml:space="preserve"> </w:t>
      </w:r>
    </w:p>
    <w:p w14:paraId="3BF37E84" w14:textId="77777777" w:rsidR="0048281B" w:rsidRPr="006933A5" w:rsidRDefault="00694C2A" w:rsidP="0048281B">
      <w:pPr>
        <w:spacing w:after="120" w:line="276" w:lineRule="auto"/>
        <w:jc w:val="both"/>
      </w:pPr>
      <w:r w:rsidRPr="006933A5">
        <w:rPr>
          <w:b/>
          <w:bCs/>
          <w:color w:val="000000"/>
          <w:sz w:val="22"/>
          <w:szCs w:val="22"/>
        </w:rPr>
        <w:t>5.3 Precision Medicine and Multi-Gene Expression Profiling</w:t>
      </w:r>
    </w:p>
    <w:p w14:paraId="1CA3EAC5" w14:textId="6924984C" w:rsidR="0048281B" w:rsidRPr="006933A5" w:rsidRDefault="0048281B" w:rsidP="0048281B">
      <w:pPr>
        <w:spacing w:after="120" w:line="276" w:lineRule="auto"/>
        <w:jc w:val="both"/>
      </w:pPr>
      <w:r w:rsidRPr="006933A5">
        <w:t>The application of molecular profiling in the treatment of hormonal cancers has transformed the approach to management. Evaluations that assess several gene expressions, notably Oncotype DX with its 21-gene recurrence score and MammaPrint utilizing a 70-</w:t>
      </w:r>
      <w:r w:rsidRPr="006933A5">
        <w:lastRenderedPageBreak/>
        <w:t>gene profile, take into consideration hormone receptor status, rates of cell proliferation, and tumor features. These factors collectively generate prognostic scores that guide decisions regarding adjuvant chemotherapy for women with ERα-positive early-stage breast cancer (Sparano et al., 2018). The TAILORx trial indicated that women with intermediate recurrence scores, ranging from 11 to 25, did not experience substantial benefits from adding chemotherapy to endocrine therapy. This implies that approximately 70% of patients identified as intermediate-risk avoided unnecessary adverse effects from chemotherapy. By incorporating novel immune-related markers, such as tumor-infiltrating lymphocyte density, PD-L1 expression, and certain circulating immune characteristics alongside traditional hormonal indicators, risk classification is becoming much more accurate than when relying solely on one type of marker (Loi et al., 2019; Griffiths et al., 2021).</w:t>
      </w:r>
    </w:p>
    <w:p w14:paraId="648E1226" w14:textId="77777777" w:rsidR="00694C2A" w:rsidRPr="006933A5" w:rsidRDefault="00694C2A" w:rsidP="00694C2A">
      <w:pPr>
        <w:spacing w:before="160" w:after="60"/>
      </w:pPr>
      <w:r w:rsidRPr="006933A5">
        <w:rPr>
          <w:b/>
          <w:bCs/>
          <w:color w:val="000000"/>
          <w:sz w:val="22"/>
          <w:szCs w:val="22"/>
        </w:rPr>
        <w:t>5.4 Chemoprevention Strategies</w:t>
      </w:r>
    </w:p>
    <w:p w14:paraId="395B2455" w14:textId="1ACAD4CB" w:rsidR="00694C2A" w:rsidRPr="006933A5" w:rsidRDefault="0048281B" w:rsidP="004B7C85">
      <w:pPr>
        <w:spacing w:after="120" w:line="276" w:lineRule="auto"/>
        <w:jc w:val="both"/>
      </w:pPr>
      <w:r w:rsidRPr="006933A5">
        <w:t>The advancement of evidence-based chemoprevention strategies for hormone-sensitive cancers has seen remarkable development. In high-risk women, tamoxifen is shown to lower the incidence of breast cancer by roughly 38% over five years, according to the IBIS-I trial study conducted (Cuzick et al., 2013). Similarly, raloxifene provides a comparable reduction in risk, while also having a more favourable safety profile concerning the uterus. Aromatase inhibitors, such as exemestane and anastrozole, are now sanctioned for chemoprevention in post-menopausal women at high risk, based on findings from the MAP.3 and IBIS-II trials. Regarding endometrial cancer, the ability of metformin to diminish insulin and IGF-1 signaling, alongside its activation of AMPK-mediated mTOR inhibition, has led to clinical trials assessing its role as a chemopreventive and fertility-preserving treatment for women with atypical endometrial hyperplasia, which has shown promising initial outcomes (Mitsuhashi et al., 2014). Modifications to diet, particularly adherence to a Mediterranean dietary pattern abundant in polyphenols, phytoestrogens, and omega-3 fatty acids, have correlated with a significant decrease in breast cancer risk in the PREDIMED-Plus trial,</w:t>
      </w:r>
      <w:r w:rsidR="004B7C85" w:rsidRPr="006933A5">
        <w:t xml:space="preserve"> </w:t>
      </w:r>
      <w:r w:rsidRPr="006933A5">
        <w:t>illustrating a potent lifestyle intervention to support pharmacological measures</w:t>
      </w:r>
      <w:r w:rsidR="004B7C85" w:rsidRPr="006933A5">
        <w:t xml:space="preserve"> </w:t>
      </w:r>
      <w:r w:rsidRPr="006933A5">
        <w:t>for prevention</w:t>
      </w:r>
      <w:r w:rsidR="004B7C85" w:rsidRPr="006933A5">
        <w:t xml:space="preserve"> (Toledo et al., 2015)</w:t>
      </w:r>
      <w:r w:rsidRPr="006933A5">
        <w:t xml:space="preserve">. Epidemiological studies have significantly enhanced our understanding of melatonin's potential role in cancer prevention. Some research suggests that melatonin levels or the effect of working night shifts (which diminishes melatonin production) inversely correlate with the risk of developing certain cancers, including breast, prostate, and colorectal types. These observations imply that elevated melatonin levels might impede tumor growth </w:t>
      </w:r>
      <w:r w:rsidR="004630D5" w:rsidRPr="006933A5">
        <w:t>(Adedokun et al., 2024).</w:t>
      </w:r>
    </w:p>
    <w:p w14:paraId="788D9343" w14:textId="77777777" w:rsidR="00694C2A" w:rsidRPr="006933A5" w:rsidRDefault="00694C2A" w:rsidP="00694C2A">
      <w:pPr>
        <w:spacing w:before="40"/>
      </w:pPr>
    </w:p>
    <w:p w14:paraId="6A576EFE" w14:textId="77777777" w:rsidR="00694C2A" w:rsidRPr="006933A5" w:rsidRDefault="00694C2A" w:rsidP="00694C2A">
      <w:pPr>
        <w:spacing w:after="120" w:line="276" w:lineRule="auto"/>
        <w:jc w:val="both"/>
      </w:pPr>
      <w:r w:rsidRPr="006933A5">
        <w:rPr>
          <w:b/>
          <w:bCs/>
        </w:rPr>
        <w:t xml:space="preserve">Table 2. </w:t>
      </w:r>
      <w:r w:rsidRPr="006933A5">
        <w:rPr>
          <w:i/>
          <w:iCs/>
        </w:rPr>
        <w:t>Landmark clinical trials informing endocrine therapeutic strategies in hormone-sensitive cancers</w:t>
      </w:r>
    </w:p>
    <w:p w14:paraId="3749F7A4" w14:textId="77777777" w:rsidR="00694C2A" w:rsidRPr="006933A5" w:rsidRDefault="00694C2A" w:rsidP="00694C2A">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100"/>
        <w:gridCol w:w="1526"/>
        <w:gridCol w:w="1400"/>
        <w:gridCol w:w="1600"/>
        <w:gridCol w:w="2100"/>
      </w:tblGrid>
      <w:tr w:rsidR="00694C2A" w:rsidRPr="006933A5" w14:paraId="73E29CA3"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2BAE219A" w14:textId="77777777" w:rsidR="00694C2A" w:rsidRPr="006933A5" w:rsidRDefault="00694C2A" w:rsidP="00BB2A3F">
            <w:pPr>
              <w:jc w:val="center"/>
            </w:pPr>
            <w:r w:rsidRPr="006933A5">
              <w:rPr>
                <w:b/>
                <w:bCs/>
                <w:color w:val="FFFFFF"/>
                <w:sz w:val="18"/>
                <w:szCs w:val="18"/>
              </w:rPr>
              <w:t>Trial</w:t>
            </w:r>
          </w:p>
        </w:tc>
        <w:tc>
          <w:tcPr>
            <w:tcW w:w="11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524BCE50" w14:textId="77777777" w:rsidR="00694C2A" w:rsidRPr="006933A5" w:rsidRDefault="00694C2A" w:rsidP="00BB2A3F">
            <w:pPr>
              <w:jc w:val="center"/>
            </w:pPr>
            <w:r w:rsidRPr="006933A5">
              <w:rPr>
                <w:b/>
                <w:bCs/>
                <w:color w:val="FFFFFF"/>
                <w:sz w:val="18"/>
                <w:szCs w:val="18"/>
              </w:rPr>
              <w:t>Cancer Type</w:t>
            </w:r>
          </w:p>
        </w:tc>
        <w:tc>
          <w:tcPr>
            <w:tcW w:w="1526"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4136A3D6" w14:textId="77777777" w:rsidR="00694C2A" w:rsidRPr="006933A5" w:rsidRDefault="00694C2A" w:rsidP="00BB2A3F">
            <w:pPr>
              <w:jc w:val="center"/>
            </w:pPr>
            <w:r w:rsidRPr="006933A5">
              <w:rPr>
                <w:b/>
                <w:bCs/>
                <w:color w:val="FFFFFF"/>
                <w:sz w:val="18"/>
                <w:szCs w:val="18"/>
              </w:rPr>
              <w:t>Intervention</w:t>
            </w:r>
          </w:p>
        </w:tc>
        <w:tc>
          <w:tcPr>
            <w:tcW w:w="14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68381B3C" w14:textId="77777777" w:rsidR="00694C2A" w:rsidRPr="006933A5" w:rsidRDefault="00694C2A" w:rsidP="00BB2A3F">
            <w:pPr>
              <w:jc w:val="center"/>
            </w:pPr>
            <w:r w:rsidRPr="006933A5">
              <w:rPr>
                <w:b/>
                <w:bCs/>
                <w:color w:val="FFFFFF"/>
                <w:sz w:val="18"/>
                <w:szCs w:val="18"/>
              </w:rPr>
              <w:t>Key Result</w:t>
            </w:r>
          </w:p>
        </w:tc>
        <w:tc>
          <w:tcPr>
            <w:tcW w:w="16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4B79CC79" w14:textId="77777777" w:rsidR="00694C2A" w:rsidRPr="006933A5" w:rsidRDefault="00694C2A" w:rsidP="00BB2A3F">
            <w:pPr>
              <w:jc w:val="center"/>
            </w:pPr>
            <w:r w:rsidRPr="006933A5">
              <w:rPr>
                <w:b/>
                <w:bCs/>
                <w:color w:val="FFFFFF"/>
                <w:sz w:val="18"/>
                <w:szCs w:val="18"/>
              </w:rPr>
              <w:t>Outcome Measure</w:t>
            </w:r>
          </w:p>
        </w:tc>
        <w:tc>
          <w:tcPr>
            <w:tcW w:w="21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1AA62B94" w14:textId="77777777" w:rsidR="00694C2A" w:rsidRPr="006933A5" w:rsidRDefault="00694C2A" w:rsidP="00BB2A3F">
            <w:pPr>
              <w:jc w:val="center"/>
            </w:pPr>
            <w:r w:rsidRPr="006933A5">
              <w:rPr>
                <w:b/>
                <w:bCs/>
                <w:color w:val="FFFFFF"/>
                <w:sz w:val="18"/>
                <w:szCs w:val="18"/>
              </w:rPr>
              <w:t>Reference</w:t>
            </w:r>
          </w:p>
        </w:tc>
      </w:tr>
      <w:tr w:rsidR="00694C2A" w:rsidRPr="006933A5" w14:paraId="36B31941"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7A00B2E" w14:textId="77777777" w:rsidR="00694C2A" w:rsidRPr="006933A5" w:rsidRDefault="00694C2A" w:rsidP="00BB2A3F">
            <w:r w:rsidRPr="006933A5">
              <w:rPr>
                <w:b/>
                <w:bCs/>
                <w:sz w:val="18"/>
                <w:szCs w:val="18"/>
              </w:rPr>
              <w:t>WHI</w:t>
            </w:r>
          </w:p>
        </w:tc>
        <w:tc>
          <w:tcPr>
            <w:tcW w:w="1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31D9C831" w14:textId="77777777" w:rsidR="00694C2A" w:rsidRPr="006933A5" w:rsidRDefault="00694C2A" w:rsidP="00BB2A3F">
            <w:r w:rsidRPr="006933A5">
              <w:rPr>
                <w:sz w:val="18"/>
                <w:szCs w:val="18"/>
              </w:rPr>
              <w:t>Breast</w:t>
            </w:r>
          </w:p>
        </w:tc>
        <w:tc>
          <w:tcPr>
            <w:tcW w:w="15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0AE1C989" w14:textId="77777777" w:rsidR="00694C2A" w:rsidRPr="006933A5" w:rsidRDefault="00694C2A" w:rsidP="00BB2A3F">
            <w:r w:rsidRPr="006933A5">
              <w:rPr>
                <w:sz w:val="18"/>
                <w:szCs w:val="18"/>
              </w:rPr>
              <w:t>CEE + MPA vs. placebo</w:t>
            </w:r>
          </w:p>
        </w:tc>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12FD360F" w14:textId="77777777" w:rsidR="00694C2A" w:rsidRPr="006933A5" w:rsidRDefault="00694C2A" w:rsidP="00BB2A3F">
            <w:r w:rsidRPr="006933A5">
              <w:rPr>
                <w:sz w:val="18"/>
                <w:szCs w:val="18"/>
              </w:rPr>
              <w:t>HR 1.26 for invasive breast cancer</w:t>
            </w:r>
          </w:p>
        </w:tc>
        <w:tc>
          <w:tcPr>
            <w:tcW w:w="16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170F9426" w14:textId="77777777" w:rsidR="00694C2A" w:rsidRPr="006933A5" w:rsidRDefault="00694C2A" w:rsidP="00BB2A3F">
            <w:r w:rsidRPr="006933A5">
              <w:rPr>
                <w:sz w:val="18"/>
                <w:szCs w:val="18"/>
              </w:rPr>
              <w:t>Incidence (RCT)</w:t>
            </w:r>
          </w:p>
        </w:tc>
        <w:tc>
          <w:tcPr>
            <w:tcW w:w="2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BB34035" w14:textId="77777777" w:rsidR="00694C2A" w:rsidRPr="006933A5" w:rsidRDefault="00694C2A" w:rsidP="00BB2A3F">
            <w:r w:rsidRPr="006933A5">
              <w:rPr>
                <w:i/>
                <w:iCs/>
                <w:sz w:val="18"/>
                <w:szCs w:val="18"/>
              </w:rPr>
              <w:t>Rossouw et al. (2002); Chlebowski et al. (2020)</w:t>
            </w:r>
          </w:p>
        </w:tc>
      </w:tr>
      <w:tr w:rsidR="00694C2A" w:rsidRPr="006933A5" w14:paraId="659F28D7"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0FDCB0F4" w14:textId="77777777" w:rsidR="00694C2A" w:rsidRPr="006933A5" w:rsidRDefault="00694C2A" w:rsidP="00BB2A3F">
            <w:r w:rsidRPr="006933A5">
              <w:rPr>
                <w:b/>
                <w:bCs/>
                <w:sz w:val="18"/>
                <w:szCs w:val="18"/>
              </w:rPr>
              <w:t>PALOMA-3</w:t>
            </w:r>
          </w:p>
        </w:tc>
        <w:tc>
          <w:tcPr>
            <w:tcW w:w="1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07D280E" w14:textId="77777777" w:rsidR="00694C2A" w:rsidRPr="006933A5" w:rsidRDefault="00694C2A" w:rsidP="00BB2A3F">
            <w:r w:rsidRPr="006933A5">
              <w:rPr>
                <w:sz w:val="18"/>
                <w:szCs w:val="18"/>
              </w:rPr>
              <w:t>Breast (HR+, HER2−, mBC)</w:t>
            </w:r>
          </w:p>
        </w:tc>
        <w:tc>
          <w:tcPr>
            <w:tcW w:w="15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7C766963" w14:textId="77777777" w:rsidR="00694C2A" w:rsidRPr="006933A5" w:rsidRDefault="00694C2A" w:rsidP="00BB2A3F">
            <w:r w:rsidRPr="006933A5">
              <w:rPr>
                <w:sz w:val="18"/>
                <w:szCs w:val="18"/>
              </w:rPr>
              <w:t>Palbociclib + fulvestrant vs. fulvestrant</w:t>
            </w:r>
          </w:p>
        </w:tc>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65B60608" w14:textId="77777777" w:rsidR="00694C2A" w:rsidRPr="006933A5" w:rsidRDefault="00694C2A" w:rsidP="00BB2A3F">
            <w:r w:rsidRPr="006933A5">
              <w:rPr>
                <w:sz w:val="18"/>
                <w:szCs w:val="18"/>
              </w:rPr>
              <w:t>PFS 9.5 vs. 4.6 months</w:t>
            </w:r>
          </w:p>
        </w:tc>
        <w:tc>
          <w:tcPr>
            <w:tcW w:w="16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13123F8B" w14:textId="77777777" w:rsidR="00694C2A" w:rsidRPr="006933A5" w:rsidRDefault="00694C2A" w:rsidP="00BB2A3F">
            <w:r w:rsidRPr="006933A5">
              <w:rPr>
                <w:sz w:val="18"/>
                <w:szCs w:val="18"/>
              </w:rPr>
              <w:t>Progression-free survival</w:t>
            </w:r>
          </w:p>
        </w:tc>
        <w:tc>
          <w:tcPr>
            <w:tcW w:w="2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E1C7AC8" w14:textId="77777777" w:rsidR="00694C2A" w:rsidRPr="006933A5" w:rsidRDefault="00694C2A" w:rsidP="00BB2A3F">
            <w:r w:rsidRPr="006933A5">
              <w:rPr>
                <w:i/>
                <w:iCs/>
                <w:sz w:val="18"/>
                <w:szCs w:val="18"/>
              </w:rPr>
              <w:t>Turner et al. (2018)</w:t>
            </w:r>
          </w:p>
        </w:tc>
      </w:tr>
      <w:tr w:rsidR="00694C2A" w:rsidRPr="006933A5" w14:paraId="5294F441"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25EEA64F" w14:textId="77777777" w:rsidR="00694C2A" w:rsidRPr="006933A5" w:rsidRDefault="00694C2A" w:rsidP="00BB2A3F">
            <w:r w:rsidRPr="006933A5">
              <w:rPr>
                <w:b/>
                <w:bCs/>
                <w:sz w:val="18"/>
                <w:szCs w:val="18"/>
              </w:rPr>
              <w:t>TAILORx</w:t>
            </w:r>
          </w:p>
        </w:tc>
        <w:tc>
          <w:tcPr>
            <w:tcW w:w="1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F6EF53F" w14:textId="77777777" w:rsidR="00694C2A" w:rsidRPr="006933A5" w:rsidRDefault="00694C2A" w:rsidP="00BB2A3F">
            <w:r w:rsidRPr="006933A5">
              <w:rPr>
                <w:sz w:val="18"/>
                <w:szCs w:val="18"/>
              </w:rPr>
              <w:t>Early breast (ER+, HER2−)</w:t>
            </w:r>
          </w:p>
        </w:tc>
        <w:tc>
          <w:tcPr>
            <w:tcW w:w="15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EC355D7" w14:textId="77777777" w:rsidR="00694C2A" w:rsidRPr="006933A5" w:rsidRDefault="00694C2A" w:rsidP="00BB2A3F">
            <w:r w:rsidRPr="006933A5">
              <w:rPr>
                <w:sz w:val="18"/>
                <w:szCs w:val="18"/>
              </w:rPr>
              <w:t>Oncotype DX-guided endocrine ± chemo</w:t>
            </w:r>
          </w:p>
        </w:tc>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6C0FEC8" w14:textId="77777777" w:rsidR="00694C2A" w:rsidRPr="006933A5" w:rsidRDefault="00694C2A" w:rsidP="00BB2A3F">
            <w:r w:rsidRPr="006933A5">
              <w:rPr>
                <w:sz w:val="18"/>
                <w:szCs w:val="18"/>
              </w:rPr>
              <w:t>No chemo benefit (RS 11–25) in 70% of patients</w:t>
            </w:r>
          </w:p>
        </w:tc>
        <w:tc>
          <w:tcPr>
            <w:tcW w:w="16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4FB2B3A" w14:textId="77777777" w:rsidR="00694C2A" w:rsidRPr="006933A5" w:rsidRDefault="00694C2A" w:rsidP="00BB2A3F">
            <w:r w:rsidRPr="006933A5">
              <w:rPr>
                <w:sz w:val="18"/>
                <w:szCs w:val="18"/>
              </w:rPr>
              <w:t>Disease-free survival</w:t>
            </w:r>
          </w:p>
        </w:tc>
        <w:tc>
          <w:tcPr>
            <w:tcW w:w="2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72B63179" w14:textId="77777777" w:rsidR="00694C2A" w:rsidRPr="006933A5" w:rsidRDefault="00694C2A" w:rsidP="00BB2A3F">
            <w:r w:rsidRPr="006933A5">
              <w:rPr>
                <w:i/>
                <w:iCs/>
                <w:sz w:val="18"/>
                <w:szCs w:val="18"/>
              </w:rPr>
              <w:t>Sparano et al. (2018)</w:t>
            </w:r>
          </w:p>
        </w:tc>
      </w:tr>
      <w:tr w:rsidR="00694C2A" w:rsidRPr="006933A5" w14:paraId="26B421B2"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76B40D9" w14:textId="77777777" w:rsidR="00694C2A" w:rsidRPr="006933A5" w:rsidRDefault="00694C2A" w:rsidP="00BB2A3F">
            <w:r w:rsidRPr="006933A5">
              <w:rPr>
                <w:b/>
                <w:bCs/>
                <w:sz w:val="18"/>
                <w:szCs w:val="18"/>
              </w:rPr>
              <w:t>IBIS-I</w:t>
            </w:r>
          </w:p>
        </w:tc>
        <w:tc>
          <w:tcPr>
            <w:tcW w:w="1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8A39981" w14:textId="77777777" w:rsidR="00694C2A" w:rsidRPr="006933A5" w:rsidRDefault="00694C2A" w:rsidP="00BB2A3F">
            <w:r w:rsidRPr="006933A5">
              <w:rPr>
                <w:sz w:val="18"/>
                <w:szCs w:val="18"/>
              </w:rPr>
              <w:t>High-risk breast prevention</w:t>
            </w:r>
          </w:p>
        </w:tc>
        <w:tc>
          <w:tcPr>
            <w:tcW w:w="15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744A715" w14:textId="77777777" w:rsidR="00694C2A" w:rsidRPr="006933A5" w:rsidRDefault="00694C2A" w:rsidP="00BB2A3F">
            <w:r w:rsidRPr="006933A5">
              <w:rPr>
                <w:sz w:val="18"/>
                <w:szCs w:val="18"/>
              </w:rPr>
              <w:t>Tamoxifen vs. placebo (5 years)</w:t>
            </w:r>
          </w:p>
        </w:tc>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0FCA9378" w14:textId="77777777" w:rsidR="00694C2A" w:rsidRPr="006933A5" w:rsidRDefault="00694C2A" w:rsidP="00BB2A3F">
            <w:r w:rsidRPr="006933A5">
              <w:rPr>
                <w:sz w:val="18"/>
                <w:szCs w:val="18"/>
              </w:rPr>
              <w:t>38% reduction in breast cancer incidence</w:t>
            </w:r>
          </w:p>
        </w:tc>
        <w:tc>
          <w:tcPr>
            <w:tcW w:w="16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698816F7" w14:textId="77777777" w:rsidR="00694C2A" w:rsidRPr="006933A5" w:rsidRDefault="00694C2A" w:rsidP="00BB2A3F">
            <w:r w:rsidRPr="006933A5">
              <w:rPr>
                <w:sz w:val="18"/>
                <w:szCs w:val="18"/>
              </w:rPr>
              <w:t>Incidence (RCT)</w:t>
            </w:r>
          </w:p>
        </w:tc>
        <w:tc>
          <w:tcPr>
            <w:tcW w:w="2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4E600A9" w14:textId="77777777" w:rsidR="00694C2A" w:rsidRPr="006933A5" w:rsidRDefault="00694C2A" w:rsidP="00BB2A3F">
            <w:r w:rsidRPr="006933A5">
              <w:rPr>
                <w:i/>
                <w:iCs/>
                <w:sz w:val="18"/>
                <w:szCs w:val="18"/>
              </w:rPr>
              <w:t>Cuzick et al. (2013)</w:t>
            </w:r>
          </w:p>
        </w:tc>
      </w:tr>
      <w:tr w:rsidR="00694C2A" w:rsidRPr="006933A5" w14:paraId="2185CB10"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77D7C62" w14:textId="77777777" w:rsidR="00694C2A" w:rsidRPr="006933A5" w:rsidRDefault="00694C2A" w:rsidP="00BB2A3F">
            <w:r w:rsidRPr="006933A5">
              <w:rPr>
                <w:b/>
                <w:bCs/>
                <w:sz w:val="18"/>
                <w:szCs w:val="18"/>
              </w:rPr>
              <w:lastRenderedPageBreak/>
              <w:t>COU-AA-302</w:t>
            </w:r>
          </w:p>
        </w:tc>
        <w:tc>
          <w:tcPr>
            <w:tcW w:w="1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419A9D2" w14:textId="77777777" w:rsidR="00694C2A" w:rsidRPr="006933A5" w:rsidRDefault="00694C2A" w:rsidP="00BB2A3F">
            <w:r w:rsidRPr="006933A5">
              <w:rPr>
                <w:sz w:val="18"/>
                <w:szCs w:val="18"/>
              </w:rPr>
              <w:t>CRPC (chemo-naïve)</w:t>
            </w:r>
          </w:p>
        </w:tc>
        <w:tc>
          <w:tcPr>
            <w:tcW w:w="15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7794BE8B" w14:textId="77777777" w:rsidR="00694C2A" w:rsidRPr="006933A5" w:rsidRDefault="00694C2A" w:rsidP="00BB2A3F">
            <w:r w:rsidRPr="006933A5">
              <w:rPr>
                <w:sz w:val="18"/>
                <w:szCs w:val="18"/>
              </w:rPr>
              <w:t>Abiraterone + prednisone vs. prednisone</w:t>
            </w:r>
          </w:p>
        </w:tc>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205ED1DC" w14:textId="77777777" w:rsidR="00694C2A" w:rsidRPr="006933A5" w:rsidRDefault="00694C2A" w:rsidP="00BB2A3F">
            <w:r w:rsidRPr="006933A5">
              <w:rPr>
                <w:sz w:val="18"/>
                <w:szCs w:val="18"/>
              </w:rPr>
              <w:t>OS 34.7 vs. 30.3 months</w:t>
            </w:r>
          </w:p>
        </w:tc>
        <w:tc>
          <w:tcPr>
            <w:tcW w:w="16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70A5A608" w14:textId="77777777" w:rsidR="00694C2A" w:rsidRPr="006933A5" w:rsidRDefault="00694C2A" w:rsidP="00BB2A3F">
            <w:r w:rsidRPr="006933A5">
              <w:rPr>
                <w:sz w:val="18"/>
                <w:szCs w:val="18"/>
              </w:rPr>
              <w:t>Overall survival</w:t>
            </w:r>
          </w:p>
        </w:tc>
        <w:tc>
          <w:tcPr>
            <w:tcW w:w="2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1DDF7B31" w14:textId="77777777" w:rsidR="00694C2A" w:rsidRPr="006933A5" w:rsidRDefault="00694C2A" w:rsidP="00BB2A3F">
            <w:r w:rsidRPr="006933A5">
              <w:rPr>
                <w:i/>
                <w:iCs/>
                <w:sz w:val="18"/>
                <w:szCs w:val="18"/>
              </w:rPr>
              <w:t>Ryan et al. (2013)</w:t>
            </w:r>
          </w:p>
        </w:tc>
      </w:tr>
      <w:tr w:rsidR="00694C2A" w:rsidRPr="006933A5" w14:paraId="0E9BAD02"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4CBEA7F" w14:textId="77777777" w:rsidR="00694C2A" w:rsidRPr="006933A5" w:rsidRDefault="00694C2A" w:rsidP="00BB2A3F">
            <w:r w:rsidRPr="006933A5">
              <w:rPr>
                <w:b/>
                <w:bCs/>
                <w:sz w:val="18"/>
                <w:szCs w:val="18"/>
              </w:rPr>
              <w:t>PREVAIL</w:t>
            </w:r>
          </w:p>
        </w:tc>
        <w:tc>
          <w:tcPr>
            <w:tcW w:w="1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DEFE121" w14:textId="77777777" w:rsidR="00694C2A" w:rsidRPr="006933A5" w:rsidRDefault="00694C2A" w:rsidP="00BB2A3F">
            <w:r w:rsidRPr="006933A5">
              <w:rPr>
                <w:sz w:val="18"/>
                <w:szCs w:val="18"/>
              </w:rPr>
              <w:t>mCRPC</w:t>
            </w:r>
          </w:p>
        </w:tc>
        <w:tc>
          <w:tcPr>
            <w:tcW w:w="15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69C8468" w14:textId="77777777" w:rsidR="00694C2A" w:rsidRPr="006933A5" w:rsidRDefault="00694C2A" w:rsidP="00BB2A3F">
            <w:r w:rsidRPr="006933A5">
              <w:rPr>
                <w:sz w:val="18"/>
                <w:szCs w:val="18"/>
              </w:rPr>
              <w:t>Enzalutamide vs. placebo</w:t>
            </w:r>
          </w:p>
        </w:tc>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D906652" w14:textId="77777777" w:rsidR="00694C2A" w:rsidRPr="006933A5" w:rsidRDefault="00694C2A" w:rsidP="00BB2A3F">
            <w:r w:rsidRPr="006933A5">
              <w:rPr>
                <w:sz w:val="18"/>
                <w:szCs w:val="18"/>
              </w:rPr>
              <w:t>HR 0.70 for OS; HR 0.19 for radiographic PFS</w:t>
            </w:r>
          </w:p>
        </w:tc>
        <w:tc>
          <w:tcPr>
            <w:tcW w:w="16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17B217C8" w14:textId="77777777" w:rsidR="00694C2A" w:rsidRPr="006933A5" w:rsidRDefault="00694C2A" w:rsidP="00BB2A3F">
            <w:r w:rsidRPr="006933A5">
              <w:rPr>
                <w:sz w:val="18"/>
                <w:szCs w:val="18"/>
              </w:rPr>
              <w:t>OS and rPFS</w:t>
            </w:r>
          </w:p>
        </w:tc>
        <w:tc>
          <w:tcPr>
            <w:tcW w:w="2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6470BC8" w14:textId="77777777" w:rsidR="00694C2A" w:rsidRPr="006933A5" w:rsidRDefault="00694C2A" w:rsidP="00BB2A3F">
            <w:r w:rsidRPr="006933A5">
              <w:rPr>
                <w:i/>
                <w:iCs/>
                <w:sz w:val="18"/>
                <w:szCs w:val="18"/>
              </w:rPr>
              <w:t>de Bono et al. (2011)</w:t>
            </w:r>
          </w:p>
        </w:tc>
      </w:tr>
    </w:tbl>
    <w:p w14:paraId="0548E5CB" w14:textId="77777777" w:rsidR="00694C2A" w:rsidRPr="006933A5" w:rsidRDefault="00694C2A" w:rsidP="00694C2A">
      <w:pPr>
        <w:spacing w:before="40" w:after="120"/>
      </w:pPr>
      <w:r w:rsidRPr="006933A5">
        <w:rPr>
          <w:i/>
          <w:iCs/>
          <w:color w:val="595959"/>
          <w:sz w:val="18"/>
          <w:szCs w:val="18"/>
        </w:rPr>
        <w:t>CEE: conjugated equine oestrogen; MPA: medroxyprogesterone acetate; HR: hazard ratio; PFS: progression-free survival; OS: overall survival; RS: recurrence score; mBC: metastatic breast cancer; CRPC: castration-resistant prostate cancer; mCRPC: metastatic CRPC; rPFS: radiographic progression-free survival; RCT: randomised controlled trial.</w:t>
      </w:r>
    </w:p>
    <w:p w14:paraId="58A45BD6" w14:textId="77777777" w:rsidR="00694C2A" w:rsidRPr="006933A5" w:rsidRDefault="00694C2A" w:rsidP="00694C2A">
      <w:pPr>
        <w:spacing w:before="40"/>
      </w:pPr>
    </w:p>
    <w:p w14:paraId="3463F856" w14:textId="77777777" w:rsidR="00694C2A" w:rsidRPr="006933A5" w:rsidRDefault="00694C2A" w:rsidP="00694C2A">
      <w:pPr>
        <w:spacing w:before="240" w:after="80"/>
      </w:pPr>
      <w:r w:rsidRPr="006933A5">
        <w:rPr>
          <w:b/>
          <w:bCs/>
          <w:color w:val="000000"/>
          <w:sz w:val="22"/>
          <w:szCs w:val="22"/>
        </w:rPr>
        <w:t>6. FUTURE DIRECTIONS</w:t>
      </w:r>
    </w:p>
    <w:p w14:paraId="7A3ABBAD" w14:textId="77777777" w:rsidR="00694C2A" w:rsidRPr="006933A5" w:rsidRDefault="00694C2A" w:rsidP="00694C2A">
      <w:pPr>
        <w:spacing w:before="160" w:after="60"/>
      </w:pPr>
      <w:r w:rsidRPr="006933A5">
        <w:rPr>
          <w:b/>
          <w:bCs/>
          <w:color w:val="000000"/>
          <w:sz w:val="22"/>
          <w:szCs w:val="22"/>
        </w:rPr>
        <w:t>6.1 Artificial Intelligence and Predictive Modelling</w:t>
      </w:r>
    </w:p>
    <w:p w14:paraId="3A3EE425" w14:textId="5B60A98B" w:rsidR="00694C2A" w:rsidRPr="006933A5" w:rsidRDefault="00694C2A" w:rsidP="00694C2A">
      <w:pPr>
        <w:spacing w:after="120" w:line="276" w:lineRule="auto"/>
        <w:jc w:val="both"/>
      </w:pPr>
      <w:r w:rsidRPr="006933A5">
        <w:t xml:space="preserve">Machine learning and deep learning algorithms are beginning to leverage multi-dimensional hormonal, genomic, and clinical datasets to predict individual cancer risk and treatment response with unprecedented granularity (Rajkomar et al., 2019). Radiomics-based AI platforms can extract </w:t>
      </w:r>
      <w:r w:rsidR="004B7C85" w:rsidRPr="006933A5">
        <w:t xml:space="preserve">information on hormonal tumour phenotypes from imaging data without biopsy. At the same time, natural language processing tools can </w:t>
      </w:r>
      <w:r w:rsidRPr="006933A5">
        <w:t xml:space="preserve">mine electronic health records for hormonal exposure histories at </w:t>
      </w:r>
      <w:r w:rsidR="004B7C85" w:rsidRPr="006933A5">
        <w:t xml:space="preserve">a </w:t>
      </w:r>
      <w:r w:rsidRPr="006933A5">
        <w:t>population scale. As these tools mature and are validated in prospective settings, they are likely to transform how hormonal risk is assessed and communicated to patients in preventive oncology clinics.</w:t>
      </w:r>
    </w:p>
    <w:p w14:paraId="19C32281" w14:textId="77777777" w:rsidR="00694C2A" w:rsidRPr="006933A5" w:rsidRDefault="00694C2A" w:rsidP="00694C2A">
      <w:pPr>
        <w:spacing w:before="160" w:after="60"/>
      </w:pPr>
      <w:r w:rsidRPr="006933A5">
        <w:rPr>
          <w:b/>
          <w:bCs/>
          <w:color w:val="000000"/>
          <w:sz w:val="22"/>
          <w:szCs w:val="22"/>
        </w:rPr>
        <w:t>6.2 Single-Cell and Spatial Transcriptomics</w:t>
      </w:r>
    </w:p>
    <w:p w14:paraId="6280EFA4" w14:textId="09A1E8BC" w:rsidR="00694C2A" w:rsidRPr="006933A5" w:rsidRDefault="00694C2A" w:rsidP="004B7C85">
      <w:pPr>
        <w:spacing w:after="120" w:line="276" w:lineRule="auto"/>
        <w:jc w:val="both"/>
      </w:pPr>
      <w:r w:rsidRPr="006933A5">
        <w:t>Single-cell RNA sequencing has revealed an extraordinary degree of transcriptional heterogeneity within hormone receptor-positive tumours, identifying rare cell populations with distinct hormonal sensitivities and resistance phenotypes that are invisible to bulk RNA approaches (Peng et al., 2019). Spatially resolved transcriptomics further maps these cellular states within the tumour microenvironment, capturing how hormone receptor-positive cancer cells interact with stromal fibroblasts, immune effectors, and vasculature. These technologies are expected to identify novel cell-state-specific vulnerabilities in hormone-sensitive cancers, particularly in the context of endocrine therapy resistance</w:t>
      </w:r>
      <w:r w:rsidR="004B7C85" w:rsidRPr="006933A5">
        <w:t>,</w:t>
      </w:r>
      <w:r w:rsidRPr="006933A5">
        <w:t xml:space="preserve"> where a small population of treatment-tolerant persister cells likely drives relapse (Griffiths et al., 2021).</w:t>
      </w:r>
    </w:p>
    <w:p w14:paraId="07765C72" w14:textId="77777777" w:rsidR="00694C2A" w:rsidRPr="006933A5" w:rsidRDefault="00694C2A" w:rsidP="00694C2A">
      <w:pPr>
        <w:spacing w:before="240" w:after="80"/>
      </w:pPr>
      <w:r w:rsidRPr="006933A5">
        <w:rPr>
          <w:b/>
          <w:bCs/>
          <w:color w:val="000000"/>
          <w:sz w:val="22"/>
          <w:szCs w:val="22"/>
        </w:rPr>
        <w:t>7. CONCLUSION</w:t>
      </w:r>
    </w:p>
    <w:p w14:paraId="62C52A2C" w14:textId="46D2A1B0" w:rsidR="00694C2A" w:rsidRPr="006933A5" w:rsidRDefault="00694C2A" w:rsidP="00694C2A">
      <w:pPr>
        <w:spacing w:after="120" w:line="276" w:lineRule="auto"/>
        <w:jc w:val="both"/>
      </w:pPr>
      <w:r w:rsidRPr="006933A5">
        <w:t>The relationship between hormones and cancer encompasses genomic receptor signalling, direct mutagenic effects of metabolic intermediates, epigenetic reprogramming, and complex interactions with the microenvironment, the microbiome, and systemic metabolic state. Epidemiological evidence from some of the largest observational and interventional studies ever conducted confirms that cumulative hormonal exposure is a major, quantifiable determinant of breast, endometrial, prostate, and ovarian cancer risk. The clinical translation of this biological understanding has produced an extensive portfolio of endocrine therapies</w:t>
      </w:r>
      <w:r w:rsidR="0072096F" w:rsidRPr="006933A5">
        <w:t>,</w:t>
      </w:r>
      <w:r w:rsidRPr="006933A5">
        <w:t xml:space="preserve"> SERMs, aromatase inhibitors, SERDs, CDK4/6 inhibitors, LHRH analogues, and next-generation AR antagonists that have fundamentally altered survival trajectories for millions of patients with hormone-sensitive malignancies.</w:t>
      </w:r>
    </w:p>
    <w:p w14:paraId="4B7E4186" w14:textId="4A13A17E" w:rsidR="00694C2A" w:rsidRPr="006933A5" w:rsidRDefault="00694C2A" w:rsidP="00DD3E3C">
      <w:pPr>
        <w:spacing w:after="120" w:line="276" w:lineRule="auto"/>
        <w:jc w:val="both"/>
      </w:pPr>
      <w:r w:rsidRPr="006933A5">
        <w:t>Emerging concepts</w:t>
      </w:r>
      <w:r w:rsidR="004630D5" w:rsidRPr="006933A5">
        <w:t>,</w:t>
      </w:r>
      <w:r w:rsidRPr="006933A5">
        <w:t xml:space="preserve"> including the oestrobolome, circadian hormone regulation, and liquid biopsy-enabled real-time monitoring of tumour evolution</w:t>
      </w:r>
      <w:r w:rsidR="004630D5" w:rsidRPr="006933A5">
        <w:t>,</w:t>
      </w:r>
      <w:r w:rsidRPr="006933A5">
        <w:t xml:space="preserve"> are deepening mechanistic understanding and opening new therapeutic avenues. Looking ahead, the convergence of artificial intelligence, single-cell transcriptomics, and multi-omics integration with established hormonal biology promises to further individualise cancer risk prediction, prevention, and treatment — translating the century-old insight of Huggins and Hodges into ever more precise and effective clinical applications.</w:t>
      </w:r>
    </w:p>
    <w:p w14:paraId="57AE481B" w14:textId="77777777" w:rsidR="00694C2A" w:rsidRPr="006933A5" w:rsidRDefault="00694C2A" w:rsidP="00694C2A">
      <w:pPr>
        <w:spacing w:before="60"/>
      </w:pPr>
      <w:bookmarkStart w:id="1" w:name="_GoBack"/>
      <w:bookmarkEnd w:id="1"/>
    </w:p>
    <w:p w14:paraId="303B9D1F" w14:textId="77777777" w:rsidR="00A35DC0" w:rsidRPr="006933A5" w:rsidRDefault="00A35DC0" w:rsidP="00694C2A">
      <w:pPr>
        <w:spacing w:before="80" w:after="80"/>
        <w:rPr>
          <w:b/>
          <w:bCs/>
          <w:sz w:val="22"/>
          <w:szCs w:val="22"/>
        </w:rPr>
      </w:pPr>
    </w:p>
    <w:p w14:paraId="54110ACD" w14:textId="0DFCA466" w:rsidR="00694C2A" w:rsidRPr="006933A5" w:rsidRDefault="00694C2A" w:rsidP="00694C2A">
      <w:pPr>
        <w:spacing w:before="80" w:after="80"/>
      </w:pPr>
      <w:r w:rsidRPr="006933A5">
        <w:rPr>
          <w:b/>
          <w:bCs/>
          <w:sz w:val="22"/>
          <w:szCs w:val="22"/>
        </w:rPr>
        <w:lastRenderedPageBreak/>
        <w:t>REFERENCES</w:t>
      </w:r>
    </w:p>
    <w:p w14:paraId="3799C460" w14:textId="144D41F8" w:rsidR="00A64BFF" w:rsidRPr="006933A5" w:rsidRDefault="00A64BFF" w:rsidP="00A64BFF">
      <w:pPr>
        <w:spacing w:before="30" w:after="30"/>
        <w:ind w:left="560" w:hanging="560"/>
        <w:jc w:val="both"/>
        <w:rPr>
          <w:sz w:val="18"/>
          <w:szCs w:val="18"/>
        </w:rPr>
      </w:pPr>
      <w:r w:rsidRPr="006933A5">
        <w:rPr>
          <w:sz w:val="18"/>
          <w:szCs w:val="18"/>
        </w:rPr>
        <w:t xml:space="preserve">1. Adekola, S. A., Olaniyan, M. F., Shuaibu, B. I., Muhibi, M. A., Abdullahi, I. N., Bakare, M. U., … Adekola, D. O. (2026). The Role of MicroRNA in Prostate Cancer: A Review Based on Nigerian Population. International Research Journal of Oncology, 9(1), 31–47. https://doi.org/10.9734/irjo/2026/v9i1195 </w:t>
      </w:r>
    </w:p>
    <w:p w14:paraId="39DF297A" w14:textId="390A5DA4" w:rsidR="000F55B8" w:rsidRPr="006933A5" w:rsidRDefault="000F55B8" w:rsidP="000F55B8">
      <w:pPr>
        <w:spacing w:before="30" w:after="30"/>
        <w:ind w:left="560" w:hanging="560"/>
        <w:jc w:val="both"/>
        <w:rPr>
          <w:sz w:val="18"/>
          <w:szCs w:val="18"/>
        </w:rPr>
      </w:pPr>
      <w:r w:rsidRPr="006933A5">
        <w:rPr>
          <w:sz w:val="18"/>
          <w:szCs w:val="18"/>
        </w:rPr>
        <w:t>2. Adedokun, Kamoru A.; Oluogun, Waheed A.; Imodoye, Musiliu A.; Sikiru O.; Yunus, Lukman A.; Lasisi, Ismaila A.; Bello, Ibrahim O.; Kamorudeen, Ramat T.; and Adekola, Saheed A. (2023) "Expression Patterns of ER, PR, HER-2/neu and p53 in Association with Nottingham Tumour Grade in Breast Cancer Patients," </w:t>
      </w:r>
      <w:r w:rsidRPr="006933A5">
        <w:rPr>
          <w:i/>
          <w:iCs/>
          <w:sz w:val="18"/>
          <w:szCs w:val="18"/>
        </w:rPr>
        <w:t>Sultan Qaboos University Medical Journal</w:t>
      </w:r>
      <w:r w:rsidRPr="006933A5">
        <w:rPr>
          <w:sz w:val="18"/>
          <w:szCs w:val="18"/>
        </w:rPr>
        <w:t>: Vol. 23: 526-533.</w:t>
      </w:r>
      <w:r w:rsidRPr="006933A5">
        <w:rPr>
          <w:sz w:val="18"/>
          <w:szCs w:val="18"/>
        </w:rPr>
        <w:br/>
        <w:t>DOI: </w:t>
      </w:r>
      <w:hyperlink r:id="rId6" w:history="1">
        <w:r w:rsidRPr="006933A5">
          <w:rPr>
            <w:rStyle w:val="Hyperlink"/>
            <w:sz w:val="18"/>
            <w:szCs w:val="18"/>
          </w:rPr>
          <w:t>https://doi.org/10.18295/squmj.7.2023.044</w:t>
        </w:r>
      </w:hyperlink>
    </w:p>
    <w:p w14:paraId="22D82514" w14:textId="023E1FCE" w:rsidR="00A64BFF" w:rsidRPr="006933A5" w:rsidRDefault="000F55B8" w:rsidP="000F55B8">
      <w:pPr>
        <w:spacing w:before="30" w:after="30"/>
        <w:ind w:left="560" w:hanging="560"/>
        <w:jc w:val="both"/>
        <w:rPr>
          <w:sz w:val="18"/>
          <w:szCs w:val="18"/>
        </w:rPr>
      </w:pPr>
      <w:r w:rsidRPr="006933A5">
        <w:rPr>
          <w:sz w:val="18"/>
          <w:szCs w:val="18"/>
        </w:rPr>
        <w:t>3</w:t>
      </w:r>
      <w:r w:rsidR="00694C2A" w:rsidRPr="006933A5">
        <w:rPr>
          <w:sz w:val="18"/>
          <w:szCs w:val="18"/>
        </w:rPr>
        <w:t>. Attard G, Parker C, Eeles RA, Schröder F, Tomlins SA, Tannock I, et al. (2016). Prostate cancer. The Lancet, 387(10013), 70–82.</w:t>
      </w:r>
    </w:p>
    <w:p w14:paraId="7CB21A5C" w14:textId="3410FAEB" w:rsidR="00694C2A" w:rsidRPr="006933A5" w:rsidRDefault="000F55B8" w:rsidP="00694C2A">
      <w:pPr>
        <w:spacing w:before="30" w:after="30"/>
        <w:ind w:left="560" w:hanging="560"/>
        <w:jc w:val="both"/>
      </w:pPr>
      <w:r w:rsidRPr="006933A5">
        <w:rPr>
          <w:sz w:val="18"/>
          <w:szCs w:val="18"/>
        </w:rPr>
        <w:t>4</w:t>
      </w:r>
      <w:r w:rsidR="00694C2A" w:rsidRPr="006933A5">
        <w:rPr>
          <w:sz w:val="18"/>
          <w:szCs w:val="18"/>
        </w:rPr>
        <w:t>. Beral V, Reeves G, Bull D, Green J. (2019). Breast cancer risk in relation to the interval between menopause and starting hormone therapy. Journal of the National Cancer Institute, 111(10), 1071–1079.</w:t>
      </w:r>
    </w:p>
    <w:p w14:paraId="57AA4823" w14:textId="09FAED4A" w:rsidR="00694C2A" w:rsidRPr="006933A5" w:rsidRDefault="00A35DC0" w:rsidP="00694C2A">
      <w:pPr>
        <w:spacing w:before="30" w:after="30"/>
        <w:ind w:left="560" w:hanging="560"/>
        <w:jc w:val="both"/>
      </w:pPr>
      <w:r w:rsidRPr="006933A5">
        <w:rPr>
          <w:sz w:val="18"/>
          <w:szCs w:val="18"/>
        </w:rPr>
        <w:t>5</w:t>
      </w:r>
      <w:r w:rsidR="00694C2A" w:rsidRPr="006933A5">
        <w:rPr>
          <w:sz w:val="18"/>
          <w:szCs w:val="18"/>
        </w:rPr>
        <w:t>. Bhan A, Soleimani M, Mandal SS. (2017). Long noncoding RNA and cancer: a new paradigm. Cancer Research, 77(15), 3965–3981.</w:t>
      </w:r>
    </w:p>
    <w:p w14:paraId="3A9E455A" w14:textId="66AC3B97" w:rsidR="00694C2A" w:rsidRPr="006933A5" w:rsidRDefault="00A35DC0" w:rsidP="00694C2A">
      <w:pPr>
        <w:spacing w:before="30" w:after="30"/>
        <w:ind w:left="560" w:hanging="560"/>
        <w:jc w:val="both"/>
      </w:pPr>
      <w:r w:rsidRPr="006933A5">
        <w:rPr>
          <w:sz w:val="18"/>
          <w:szCs w:val="18"/>
        </w:rPr>
        <w:t>6</w:t>
      </w:r>
      <w:r w:rsidR="00694C2A" w:rsidRPr="006933A5">
        <w:rPr>
          <w:sz w:val="18"/>
          <w:szCs w:val="18"/>
        </w:rPr>
        <w:t>. Cavalieri E, Rogan E. (2014). The molecular etiology and prevention of estrogen-initiated cancers. Molecular Aspects of Medicine, 36, 1–55.</w:t>
      </w:r>
    </w:p>
    <w:p w14:paraId="64D750FB" w14:textId="06A50FAF" w:rsidR="00694C2A" w:rsidRPr="006933A5" w:rsidRDefault="00A35DC0" w:rsidP="00694C2A">
      <w:pPr>
        <w:spacing w:before="30" w:after="30"/>
        <w:ind w:left="560" w:hanging="560"/>
        <w:jc w:val="both"/>
      </w:pPr>
      <w:r w:rsidRPr="006933A5">
        <w:rPr>
          <w:sz w:val="18"/>
          <w:szCs w:val="18"/>
        </w:rPr>
        <w:t>7</w:t>
      </w:r>
      <w:r w:rsidR="00694C2A" w:rsidRPr="006933A5">
        <w:rPr>
          <w:sz w:val="18"/>
          <w:szCs w:val="18"/>
        </w:rPr>
        <w:t>. Cavalieri E, Rogan E. (2016). Depurinating estrogen-DNA adducts in the etiology and prevention of breast and other cancers. Future Oncology, 12(18), 2249–2259.</w:t>
      </w:r>
    </w:p>
    <w:p w14:paraId="334A8B5F" w14:textId="021E3AA5" w:rsidR="00694C2A" w:rsidRPr="006933A5" w:rsidRDefault="00A35DC0" w:rsidP="00694C2A">
      <w:pPr>
        <w:spacing w:before="30" w:after="30"/>
        <w:ind w:left="560" w:hanging="560"/>
        <w:jc w:val="both"/>
      </w:pPr>
      <w:r w:rsidRPr="006933A5">
        <w:rPr>
          <w:sz w:val="18"/>
          <w:szCs w:val="18"/>
        </w:rPr>
        <w:t>8</w:t>
      </w:r>
      <w:r w:rsidR="00694C2A" w:rsidRPr="006933A5">
        <w:rPr>
          <w:sz w:val="18"/>
          <w:szCs w:val="18"/>
        </w:rPr>
        <w:t>. Chlebowski RT, Aragaki AK, Anderson GL, Pan K, Neuhouser ML, Manson JE, et al. (2020). Association of menopausal hormone therapy with breast cancer incidence and mortality during long-term follow-up of the Women's Health Initiative randomized clinical trials. JAMA, 324(4), 369–380.</w:t>
      </w:r>
    </w:p>
    <w:p w14:paraId="4DD17B5A" w14:textId="435D60FB" w:rsidR="00694C2A" w:rsidRPr="006933A5" w:rsidRDefault="00A35DC0" w:rsidP="00694C2A">
      <w:pPr>
        <w:spacing w:before="30" w:after="30"/>
        <w:ind w:left="560" w:hanging="560"/>
        <w:jc w:val="both"/>
      </w:pPr>
      <w:r w:rsidRPr="006933A5">
        <w:rPr>
          <w:sz w:val="18"/>
          <w:szCs w:val="18"/>
        </w:rPr>
        <w:t>9</w:t>
      </w:r>
      <w:r w:rsidR="00694C2A" w:rsidRPr="006933A5">
        <w:rPr>
          <w:sz w:val="18"/>
          <w:szCs w:val="18"/>
        </w:rPr>
        <w:t>. Collaborative Group on Epidemiological Studies of Ovarian Cancer. (2012). Ovarian cancer and hormone replacement therapy in the Million Women Study. The Lancet, 369(9574), 1703–1710.</w:t>
      </w:r>
    </w:p>
    <w:p w14:paraId="7875FC3D" w14:textId="7EA6DB74" w:rsidR="00694C2A" w:rsidRPr="006933A5" w:rsidRDefault="00A35DC0" w:rsidP="00694C2A">
      <w:pPr>
        <w:spacing w:before="30" w:after="30"/>
        <w:ind w:left="560" w:hanging="560"/>
        <w:jc w:val="both"/>
      </w:pPr>
      <w:r w:rsidRPr="006933A5">
        <w:rPr>
          <w:sz w:val="18"/>
          <w:szCs w:val="18"/>
        </w:rPr>
        <w:t>10</w:t>
      </w:r>
      <w:r w:rsidR="00694C2A" w:rsidRPr="006933A5">
        <w:rPr>
          <w:sz w:val="18"/>
          <w:szCs w:val="18"/>
        </w:rPr>
        <w:t>. Collaborative Group on Hormonal Factors in Breast Cancer. (2012). Menarche, menopause, and breast cancer risk: individual participant meta-analysis, including 118,964 women with breast cancer from 117 epidemiological studies. The Lancet Oncology, 13(11), 1141–1151.</w:t>
      </w:r>
    </w:p>
    <w:p w14:paraId="615ABA7A" w14:textId="66A9677E" w:rsidR="00694C2A" w:rsidRPr="006933A5" w:rsidRDefault="00A35DC0" w:rsidP="00694C2A">
      <w:pPr>
        <w:spacing w:before="30" w:after="30"/>
        <w:ind w:left="560" w:hanging="560"/>
        <w:jc w:val="both"/>
      </w:pPr>
      <w:r w:rsidRPr="006933A5">
        <w:rPr>
          <w:sz w:val="18"/>
          <w:szCs w:val="18"/>
        </w:rPr>
        <w:t>11</w:t>
      </w:r>
      <w:r w:rsidR="00694C2A" w:rsidRPr="006933A5">
        <w:rPr>
          <w:sz w:val="18"/>
          <w:szCs w:val="18"/>
        </w:rPr>
        <w:t>. Collaborative Group on Hormonal Factors in Breast Cancer. (2019). Type and timing of menopausal hormone therapy and breast cancer risk: individual participant meta-analysis of the worldwide epidemiological evidence. The Lancet, 394(10204), 1159–1168.</w:t>
      </w:r>
    </w:p>
    <w:p w14:paraId="70B0C025" w14:textId="33880388" w:rsidR="00694C2A" w:rsidRPr="006933A5" w:rsidRDefault="00694C2A" w:rsidP="00694C2A">
      <w:pPr>
        <w:spacing w:before="30" w:after="30"/>
        <w:ind w:left="560" w:hanging="560"/>
        <w:jc w:val="both"/>
      </w:pPr>
      <w:r w:rsidRPr="006933A5">
        <w:rPr>
          <w:sz w:val="18"/>
          <w:szCs w:val="18"/>
        </w:rPr>
        <w:t>1</w:t>
      </w:r>
      <w:r w:rsidR="00A35DC0" w:rsidRPr="006933A5">
        <w:rPr>
          <w:sz w:val="18"/>
          <w:szCs w:val="18"/>
        </w:rPr>
        <w:t>2</w:t>
      </w:r>
      <w:r w:rsidRPr="006933A5">
        <w:rPr>
          <w:sz w:val="18"/>
          <w:szCs w:val="18"/>
        </w:rPr>
        <w:t>. Cuzick J, Sestak I, Cawthorn S, Hamed H, Holli K, Howell A, et al. (2013). Tamoxifen for prevention of breast cancer: extended long-term follow-up of the IBIS-I breast cancer prevention trial. The Lancet Oncology, 16(1), 67–75.</w:t>
      </w:r>
    </w:p>
    <w:p w14:paraId="47C845E0" w14:textId="0098DBD3" w:rsidR="00694C2A" w:rsidRPr="006933A5" w:rsidRDefault="00694C2A" w:rsidP="00694C2A">
      <w:pPr>
        <w:spacing w:before="30" w:after="30"/>
        <w:ind w:left="560" w:hanging="560"/>
        <w:jc w:val="both"/>
      </w:pPr>
      <w:r w:rsidRPr="006933A5">
        <w:rPr>
          <w:sz w:val="18"/>
          <w:szCs w:val="18"/>
        </w:rPr>
        <w:t>1</w:t>
      </w:r>
      <w:r w:rsidR="00A35DC0" w:rsidRPr="006933A5">
        <w:rPr>
          <w:sz w:val="18"/>
          <w:szCs w:val="18"/>
        </w:rPr>
        <w:t>3</w:t>
      </w:r>
      <w:r w:rsidRPr="006933A5">
        <w:rPr>
          <w:sz w:val="18"/>
          <w:szCs w:val="18"/>
        </w:rPr>
        <w:t>. de Bono JS, Logothetis CJ, Molina A, Fizazi K, North S, Chu L, et al. (2011). Abiraterone and increased survival in metastatic prostate cancer. New England Journal of Medicine, 364(21), 1995–2005.</w:t>
      </w:r>
    </w:p>
    <w:p w14:paraId="692D74B8" w14:textId="431C16E8" w:rsidR="00694C2A" w:rsidRPr="006933A5" w:rsidRDefault="00694C2A" w:rsidP="00694C2A">
      <w:pPr>
        <w:spacing w:before="30" w:after="30"/>
        <w:ind w:left="560" w:hanging="560"/>
        <w:jc w:val="both"/>
      </w:pPr>
      <w:r w:rsidRPr="006933A5">
        <w:rPr>
          <w:sz w:val="18"/>
          <w:szCs w:val="18"/>
        </w:rPr>
        <w:t>1</w:t>
      </w:r>
      <w:r w:rsidR="00A35DC0" w:rsidRPr="006933A5">
        <w:rPr>
          <w:sz w:val="18"/>
          <w:szCs w:val="18"/>
        </w:rPr>
        <w:t>4</w:t>
      </w:r>
      <w:r w:rsidRPr="006933A5">
        <w:rPr>
          <w:sz w:val="18"/>
          <w:szCs w:val="18"/>
        </w:rPr>
        <w:t>. Esposito K, Chiodini P, Capuano A, Bellastella G, Maiorino MI, Rafaniello C, et al. (2014). Metabolic syndrome and risk of cancer: a systematic review and meta-analysis. Diabetes Care, 36(11), 3411–3417.</w:t>
      </w:r>
    </w:p>
    <w:p w14:paraId="0FE3A897" w14:textId="62C2AB8D" w:rsidR="00694C2A" w:rsidRPr="006933A5" w:rsidRDefault="00694C2A" w:rsidP="00694C2A">
      <w:pPr>
        <w:spacing w:before="30" w:after="30"/>
        <w:ind w:left="560" w:hanging="560"/>
        <w:jc w:val="both"/>
      </w:pPr>
      <w:r w:rsidRPr="006933A5">
        <w:rPr>
          <w:sz w:val="18"/>
          <w:szCs w:val="18"/>
        </w:rPr>
        <w:t>1</w:t>
      </w:r>
      <w:r w:rsidR="00A35DC0" w:rsidRPr="006933A5">
        <w:rPr>
          <w:sz w:val="18"/>
          <w:szCs w:val="18"/>
        </w:rPr>
        <w:t>5</w:t>
      </w:r>
      <w:r w:rsidRPr="006933A5">
        <w:rPr>
          <w:sz w:val="18"/>
          <w:szCs w:val="18"/>
        </w:rPr>
        <w:t>. Fathalla MF. (1971). Incessant ovulation — a factor in ovarian neoplasia? The Lancet, 298(7716), 163.</w:t>
      </w:r>
    </w:p>
    <w:p w14:paraId="2BC751FE" w14:textId="5B3EF848" w:rsidR="00694C2A" w:rsidRPr="006933A5" w:rsidRDefault="00694C2A" w:rsidP="00694C2A">
      <w:pPr>
        <w:spacing w:before="30" w:after="30"/>
        <w:ind w:left="560" w:hanging="560"/>
        <w:jc w:val="both"/>
      </w:pPr>
      <w:r w:rsidRPr="006933A5">
        <w:rPr>
          <w:sz w:val="18"/>
          <w:szCs w:val="18"/>
        </w:rPr>
        <w:t>1</w:t>
      </w:r>
      <w:r w:rsidR="00A35DC0" w:rsidRPr="006933A5">
        <w:rPr>
          <w:sz w:val="18"/>
          <w:szCs w:val="18"/>
        </w:rPr>
        <w:t>6</w:t>
      </w:r>
      <w:r w:rsidRPr="006933A5">
        <w:rPr>
          <w:sz w:val="18"/>
          <w:szCs w:val="18"/>
        </w:rPr>
        <w:t>. Finn RS, Martin M, Rugo HS, Jones S, Im SA, Gelmon K, et al. (2016). Palbociclib and letrozole in advanced breast cancer. New England Journal of Medicine, 375(20), 1925–1936.</w:t>
      </w:r>
    </w:p>
    <w:p w14:paraId="18A14C67" w14:textId="228BE8E2" w:rsidR="00694C2A" w:rsidRPr="006933A5" w:rsidRDefault="00694C2A" w:rsidP="00694C2A">
      <w:pPr>
        <w:spacing w:before="30" w:after="30"/>
        <w:ind w:left="560" w:hanging="560"/>
        <w:jc w:val="both"/>
      </w:pPr>
      <w:r w:rsidRPr="006933A5">
        <w:rPr>
          <w:sz w:val="18"/>
          <w:szCs w:val="18"/>
        </w:rPr>
        <w:t>1</w:t>
      </w:r>
      <w:r w:rsidR="00A35DC0" w:rsidRPr="006933A5">
        <w:rPr>
          <w:sz w:val="18"/>
          <w:szCs w:val="18"/>
        </w:rPr>
        <w:t>7</w:t>
      </w:r>
      <w:r w:rsidRPr="006933A5">
        <w:rPr>
          <w:sz w:val="18"/>
          <w:szCs w:val="18"/>
        </w:rPr>
        <w:t>. Fribbens C, O'Leary B, Kilburn L, Hrebien S, Garcia-Murillas I, Beaney M, et al. (2016). Plasma ESR1 mutations and the treatment of estrogen receptor-positive advanced breast cancer. Journal of Clinical Oncology, 34(25), 2961–2968.</w:t>
      </w:r>
    </w:p>
    <w:p w14:paraId="7EFCB7B2" w14:textId="6924985F" w:rsidR="00694C2A" w:rsidRPr="006933A5" w:rsidRDefault="00694C2A" w:rsidP="00694C2A">
      <w:pPr>
        <w:spacing w:before="30" w:after="30"/>
        <w:ind w:left="560" w:hanging="560"/>
        <w:jc w:val="both"/>
      </w:pPr>
      <w:r w:rsidRPr="006933A5">
        <w:rPr>
          <w:sz w:val="18"/>
          <w:szCs w:val="18"/>
        </w:rPr>
        <w:t>1</w:t>
      </w:r>
      <w:r w:rsidR="00A35DC0" w:rsidRPr="006933A5">
        <w:rPr>
          <w:sz w:val="18"/>
          <w:szCs w:val="18"/>
        </w:rPr>
        <w:t>8</w:t>
      </w:r>
      <w:r w:rsidRPr="006933A5">
        <w:rPr>
          <w:sz w:val="18"/>
          <w:szCs w:val="18"/>
        </w:rPr>
        <w:t>. Goedert JJ, Jones G, Hua X, Xu X, Yu G, Flores R, et al. (2015). Investigation of the association between the fecal microbiota and breast cancer in postmenopausal women: a population-based case-control pilot study. Journal of the National Cancer Institute, 107(8), djv147.</w:t>
      </w:r>
    </w:p>
    <w:p w14:paraId="40203547" w14:textId="7710F75C" w:rsidR="00694C2A" w:rsidRPr="006933A5" w:rsidRDefault="00694C2A" w:rsidP="00694C2A">
      <w:pPr>
        <w:spacing w:before="30" w:after="30"/>
        <w:ind w:left="560" w:hanging="560"/>
        <w:jc w:val="both"/>
      </w:pPr>
      <w:r w:rsidRPr="006933A5">
        <w:rPr>
          <w:sz w:val="18"/>
          <w:szCs w:val="18"/>
        </w:rPr>
        <w:t>1</w:t>
      </w:r>
      <w:r w:rsidR="00A35DC0" w:rsidRPr="006933A5">
        <w:rPr>
          <w:sz w:val="18"/>
          <w:szCs w:val="18"/>
        </w:rPr>
        <w:t>9</w:t>
      </w:r>
      <w:r w:rsidRPr="006933A5">
        <w:rPr>
          <w:sz w:val="18"/>
          <w:szCs w:val="18"/>
        </w:rPr>
        <w:t>. Griffiths JI, Wallet P, Pflieger LT, Stenehjem D, Liu X, Cosgrove PA, et al. (2021). Circulating immune cell phenotype dynamics reflect the strength of tumor-immune cell interactions in patients during immunotherapy. Proceedings of the National Academy of Sciences, 117(27), 16072–16082.</w:t>
      </w:r>
    </w:p>
    <w:p w14:paraId="2EA8CA52" w14:textId="3661F3A8" w:rsidR="00694C2A" w:rsidRPr="006933A5" w:rsidRDefault="00A35DC0" w:rsidP="00694C2A">
      <w:pPr>
        <w:spacing w:before="30" w:after="30"/>
        <w:ind w:left="560" w:hanging="560"/>
        <w:jc w:val="both"/>
      </w:pPr>
      <w:r w:rsidRPr="006933A5">
        <w:rPr>
          <w:sz w:val="18"/>
          <w:szCs w:val="18"/>
        </w:rPr>
        <w:t>20</w:t>
      </w:r>
      <w:r w:rsidR="00694C2A" w:rsidRPr="006933A5">
        <w:rPr>
          <w:sz w:val="18"/>
          <w:szCs w:val="18"/>
        </w:rPr>
        <w:t>. Gunter MJ, Hoover DR, Yu H, Wassertheil-Smoller S, Rohan TE, Manson JE, et al. (2015). Insulin, insulin-like growth factor-I, and risk of breast cancer in postmenopausal women. Journal of the National Cancer Institute, 101(1), 48–60.</w:t>
      </w:r>
    </w:p>
    <w:p w14:paraId="1C668A5A" w14:textId="6E424965" w:rsidR="00694C2A" w:rsidRPr="006933A5" w:rsidRDefault="00A35DC0" w:rsidP="00694C2A">
      <w:pPr>
        <w:spacing w:before="30" w:after="30"/>
        <w:ind w:left="560" w:hanging="560"/>
        <w:jc w:val="both"/>
      </w:pPr>
      <w:r w:rsidRPr="006933A5">
        <w:rPr>
          <w:sz w:val="18"/>
          <w:szCs w:val="18"/>
        </w:rPr>
        <w:t>2</w:t>
      </w:r>
      <w:r w:rsidR="00694C2A" w:rsidRPr="006933A5">
        <w:rPr>
          <w:sz w:val="18"/>
          <w:szCs w:val="18"/>
        </w:rPr>
        <w:t>1. Haldosen LA, Zhao C, Dahlman-Wright K. (2014). Estrogen receptor beta in breast cancer. Molecular and Cellular Endocrinology, 382(1), 665–672.</w:t>
      </w:r>
    </w:p>
    <w:p w14:paraId="24D65B04" w14:textId="1924BC39" w:rsidR="00694C2A" w:rsidRPr="006933A5" w:rsidRDefault="00694C2A" w:rsidP="00694C2A">
      <w:pPr>
        <w:spacing w:before="30" w:after="30"/>
        <w:ind w:left="560" w:hanging="560"/>
        <w:jc w:val="both"/>
      </w:pPr>
      <w:r w:rsidRPr="006933A5">
        <w:rPr>
          <w:sz w:val="18"/>
          <w:szCs w:val="18"/>
        </w:rPr>
        <w:t>2</w:t>
      </w:r>
      <w:r w:rsidR="00A35DC0" w:rsidRPr="006933A5">
        <w:rPr>
          <w:sz w:val="18"/>
          <w:szCs w:val="18"/>
        </w:rPr>
        <w:t>2</w:t>
      </w:r>
      <w:r w:rsidRPr="006933A5">
        <w:rPr>
          <w:sz w:val="18"/>
          <w:szCs w:val="18"/>
        </w:rPr>
        <w:t>. Hanahan D, Weinberg RA. (2011). Hallmarks of cancer: the next generation. Cell, 144(5), 646–674.</w:t>
      </w:r>
    </w:p>
    <w:p w14:paraId="4E6E6465" w14:textId="3921B239" w:rsidR="00694C2A" w:rsidRPr="006933A5" w:rsidRDefault="00694C2A" w:rsidP="00694C2A">
      <w:pPr>
        <w:spacing w:before="30" w:after="30"/>
        <w:ind w:left="560" w:hanging="560"/>
        <w:jc w:val="both"/>
      </w:pPr>
      <w:r w:rsidRPr="006933A5">
        <w:rPr>
          <w:sz w:val="18"/>
          <w:szCs w:val="18"/>
        </w:rPr>
        <w:t>2</w:t>
      </w:r>
      <w:r w:rsidR="00A35DC0" w:rsidRPr="006933A5">
        <w:rPr>
          <w:sz w:val="18"/>
          <w:szCs w:val="18"/>
        </w:rPr>
        <w:t>3</w:t>
      </w:r>
      <w:r w:rsidRPr="006933A5">
        <w:rPr>
          <w:sz w:val="18"/>
          <w:szCs w:val="18"/>
        </w:rPr>
        <w:t>. Hartman J, Ström A, Gustafsson JÅ. (2009). Estrogen receptor beta in breast cancer — diagnostic and therapeutic implications. Steroids, 74(8), 635–641.</w:t>
      </w:r>
    </w:p>
    <w:p w14:paraId="7C0E5C84" w14:textId="26C0B800" w:rsidR="00694C2A" w:rsidRPr="006933A5" w:rsidRDefault="00694C2A" w:rsidP="00694C2A">
      <w:pPr>
        <w:spacing w:before="30" w:after="30"/>
        <w:ind w:left="560" w:hanging="560"/>
        <w:jc w:val="both"/>
      </w:pPr>
      <w:r w:rsidRPr="006933A5">
        <w:rPr>
          <w:sz w:val="18"/>
          <w:szCs w:val="18"/>
        </w:rPr>
        <w:t>2</w:t>
      </w:r>
      <w:r w:rsidR="00A35DC0" w:rsidRPr="006933A5">
        <w:rPr>
          <w:sz w:val="18"/>
          <w:szCs w:val="18"/>
        </w:rPr>
        <w:t>4</w:t>
      </w:r>
      <w:r w:rsidRPr="006933A5">
        <w:rPr>
          <w:sz w:val="18"/>
          <w:szCs w:val="18"/>
        </w:rPr>
        <w:t>. Heldring N, Pike A, Andersson S, Matthews J, Cheng G, Hartman J, et al. (2007). Estrogen receptors: how do they signal and what are their targets. Physiological Reviews, 87(3), 905–931.</w:t>
      </w:r>
    </w:p>
    <w:p w14:paraId="4E002E63" w14:textId="532DE2AD" w:rsidR="00694C2A" w:rsidRPr="006933A5" w:rsidRDefault="00694C2A" w:rsidP="00694C2A">
      <w:pPr>
        <w:spacing w:before="30" w:after="30"/>
        <w:ind w:left="560" w:hanging="560"/>
        <w:jc w:val="both"/>
      </w:pPr>
      <w:r w:rsidRPr="006933A5">
        <w:rPr>
          <w:sz w:val="18"/>
          <w:szCs w:val="18"/>
        </w:rPr>
        <w:t>2</w:t>
      </w:r>
      <w:r w:rsidR="00A35DC0" w:rsidRPr="006933A5">
        <w:rPr>
          <w:sz w:val="18"/>
          <w:szCs w:val="18"/>
        </w:rPr>
        <w:t>5</w:t>
      </w:r>
      <w:r w:rsidRPr="006933A5">
        <w:rPr>
          <w:sz w:val="18"/>
          <w:szCs w:val="18"/>
        </w:rPr>
        <w:t>. Henderson BE, Casagrande JT, Pike MC, Mack T, Rosario I. (1988). The epidemiology of endometrial cancer in young women. British Journal of Cancer, 47(6), 749–756.</w:t>
      </w:r>
    </w:p>
    <w:p w14:paraId="78005E4F" w14:textId="05C3DA26" w:rsidR="00694C2A" w:rsidRPr="006933A5" w:rsidRDefault="00694C2A" w:rsidP="00694C2A">
      <w:pPr>
        <w:spacing w:before="30" w:after="30"/>
        <w:ind w:left="560" w:hanging="560"/>
        <w:jc w:val="both"/>
      </w:pPr>
      <w:r w:rsidRPr="006933A5">
        <w:rPr>
          <w:sz w:val="18"/>
          <w:szCs w:val="18"/>
        </w:rPr>
        <w:lastRenderedPageBreak/>
        <w:t>2</w:t>
      </w:r>
      <w:r w:rsidR="00A35DC0" w:rsidRPr="006933A5">
        <w:rPr>
          <w:sz w:val="18"/>
          <w:szCs w:val="18"/>
        </w:rPr>
        <w:t>6</w:t>
      </w:r>
      <w:r w:rsidRPr="006933A5">
        <w:rPr>
          <w:sz w:val="18"/>
          <w:szCs w:val="18"/>
        </w:rPr>
        <w:t>. Huggins C, Hodges CV. (1941). Studies on prostatic cancer: I. The effect of castration, of estrogen and of androgen injection on serum phosphatases in metastatic carcinoma of the prostate. Journal of Urology, 168(1), 9–12.</w:t>
      </w:r>
    </w:p>
    <w:p w14:paraId="412EEE71" w14:textId="70EF71A7" w:rsidR="00694C2A" w:rsidRPr="006933A5" w:rsidRDefault="00694C2A" w:rsidP="00694C2A">
      <w:pPr>
        <w:spacing w:before="30" w:after="30"/>
        <w:ind w:left="560" w:hanging="560"/>
        <w:jc w:val="both"/>
      </w:pPr>
      <w:r w:rsidRPr="006933A5">
        <w:rPr>
          <w:sz w:val="18"/>
          <w:szCs w:val="18"/>
        </w:rPr>
        <w:t>2</w:t>
      </w:r>
      <w:r w:rsidR="00A35DC0" w:rsidRPr="006933A5">
        <w:rPr>
          <w:sz w:val="18"/>
          <w:szCs w:val="18"/>
        </w:rPr>
        <w:t>7</w:t>
      </w:r>
      <w:r w:rsidRPr="006933A5">
        <w:rPr>
          <w:sz w:val="18"/>
          <w:szCs w:val="18"/>
        </w:rPr>
        <w:t>. Ignatiadis M, Sledge GW, Jeffrey SS. (2021). Liquid biopsy enters the clinic — implementation issues and future challenges. Nature Reviews Clinical Oncology, 18(5), 297–312.</w:t>
      </w:r>
    </w:p>
    <w:p w14:paraId="7D5B8A88" w14:textId="77777777" w:rsidR="00A35DC0" w:rsidRPr="006933A5" w:rsidRDefault="00694C2A" w:rsidP="00A35DC0">
      <w:pPr>
        <w:spacing w:before="30" w:after="30"/>
        <w:ind w:left="560" w:hanging="560"/>
        <w:jc w:val="both"/>
      </w:pPr>
      <w:r w:rsidRPr="006933A5">
        <w:rPr>
          <w:sz w:val="18"/>
          <w:szCs w:val="18"/>
        </w:rPr>
        <w:t>2</w:t>
      </w:r>
      <w:r w:rsidR="00A35DC0" w:rsidRPr="006933A5">
        <w:rPr>
          <w:sz w:val="18"/>
          <w:szCs w:val="18"/>
        </w:rPr>
        <w:t>8</w:t>
      </w:r>
      <w:r w:rsidRPr="006933A5">
        <w:rPr>
          <w:sz w:val="18"/>
          <w:szCs w:val="18"/>
        </w:rPr>
        <w:t>. Jeselsohn R, Buchwalter G, De Angelis C, Brown M, Schiff R. (2018). ESR1 mutations — a mechanism for acquired endocrine resistance in breast cancer. Nature Reviews Clinical Oncology, 12(10), 573–583.</w:t>
      </w:r>
    </w:p>
    <w:p w14:paraId="4035C0CF" w14:textId="4916BF44" w:rsidR="00A35DC0" w:rsidRPr="006933A5" w:rsidRDefault="00A35DC0" w:rsidP="0057449C">
      <w:pPr>
        <w:spacing w:before="30" w:after="30"/>
        <w:ind w:left="560" w:hanging="560"/>
        <w:jc w:val="both"/>
      </w:pPr>
      <w:r w:rsidRPr="006933A5">
        <w:t xml:space="preserve">29. </w:t>
      </w:r>
      <w:r w:rsidRPr="006933A5">
        <w:rPr>
          <w:sz w:val="18"/>
          <w:szCs w:val="18"/>
        </w:rPr>
        <w:t>Kamoru A. Adedokun, Abida Bhat, Sikiru O. Imodoye, Saheed O. Anifowose, Hassanat T. Fayemo, Saheed A. Adekola, AbdulRaheem Adedeji, Ibrahim O. Bello, Mujeeb O. Shittu, Ive-Anwuli Ralph-Uyalor, Malik A. Sanusi (2024), Chapter 13 - Melatonin and its derivatives: The potential roles as anticancer agents, Melatonin, Academic Press, Pages 197-238, ISBN 9780443138140, https://doi.org/10.1016/B978-0-443-13814-0.00013-2.</w:t>
      </w:r>
    </w:p>
    <w:p w14:paraId="44B89417" w14:textId="1DE56CCB" w:rsidR="00694C2A" w:rsidRPr="006933A5" w:rsidRDefault="0057449C" w:rsidP="00A35DC0">
      <w:pPr>
        <w:spacing w:before="30" w:after="30"/>
        <w:ind w:left="560" w:hanging="560"/>
        <w:jc w:val="both"/>
        <w:rPr>
          <w:sz w:val="18"/>
          <w:szCs w:val="18"/>
        </w:rPr>
      </w:pPr>
      <w:r w:rsidRPr="006933A5">
        <w:rPr>
          <w:sz w:val="18"/>
          <w:szCs w:val="18"/>
        </w:rPr>
        <w:t>30</w:t>
      </w:r>
      <w:r w:rsidR="00694C2A" w:rsidRPr="006933A5">
        <w:rPr>
          <w:sz w:val="18"/>
          <w:szCs w:val="18"/>
        </w:rPr>
        <w:t>. Kaaks R, Lukanova A, Kurzer MS. (2002). Obesity, endogenous hormones, and endometrial cancer risk: a synthetic review. Cancer Epidemiology and Prevention Biomarkers, 11(12), 1531–1543.</w:t>
      </w:r>
    </w:p>
    <w:p w14:paraId="781600C2" w14:textId="4F1D6108" w:rsidR="00694C2A" w:rsidRPr="006933A5" w:rsidRDefault="00A35DC0" w:rsidP="00694C2A">
      <w:pPr>
        <w:spacing w:before="30" w:after="30"/>
        <w:ind w:left="560" w:hanging="560"/>
        <w:jc w:val="both"/>
      </w:pPr>
      <w:r w:rsidRPr="006933A5">
        <w:rPr>
          <w:sz w:val="18"/>
          <w:szCs w:val="18"/>
        </w:rPr>
        <w:t>3</w:t>
      </w:r>
      <w:r w:rsidR="0057449C" w:rsidRPr="006933A5">
        <w:rPr>
          <w:sz w:val="18"/>
          <w:szCs w:val="18"/>
        </w:rPr>
        <w:t>1</w:t>
      </w:r>
      <w:r w:rsidR="00694C2A" w:rsidRPr="006933A5">
        <w:rPr>
          <w:sz w:val="18"/>
          <w:szCs w:val="18"/>
        </w:rPr>
        <w:t>. Kurman RJ, Shih IM. (2016). The dualistic model of ovarian carcinogenesis: revisited, revised, and expanded. The American Journal of Pathology, 186(4), 733–747.</w:t>
      </w:r>
    </w:p>
    <w:p w14:paraId="7F27FA79" w14:textId="34FE9BF0" w:rsidR="00694C2A" w:rsidRPr="006933A5" w:rsidRDefault="00A35DC0" w:rsidP="00694C2A">
      <w:pPr>
        <w:spacing w:before="30" w:after="30"/>
        <w:ind w:left="560" w:hanging="560"/>
        <w:jc w:val="both"/>
      </w:pPr>
      <w:r w:rsidRPr="006933A5">
        <w:rPr>
          <w:sz w:val="18"/>
          <w:szCs w:val="18"/>
        </w:rPr>
        <w:t>3</w:t>
      </w:r>
      <w:r w:rsidR="0057449C" w:rsidRPr="006933A5">
        <w:rPr>
          <w:sz w:val="18"/>
          <w:szCs w:val="18"/>
        </w:rPr>
        <w:t>2</w:t>
      </w:r>
      <w:r w:rsidR="00694C2A" w:rsidRPr="006933A5">
        <w:rPr>
          <w:sz w:val="18"/>
          <w:szCs w:val="18"/>
        </w:rPr>
        <w:t>. Loi S, Drubay D, Adams S, Pruneri G, Francis PA, Lacroix-Triki M, et al. (2019). Tumor-infiltrating lymphocytes and prognosis: a pooled individual patient analysis of early-stage triple-negative breast cancers. Journal of Clinical Oncology, 37(7), 559–569.</w:t>
      </w:r>
    </w:p>
    <w:p w14:paraId="3BC0F8A8" w14:textId="70102D49" w:rsidR="00694C2A" w:rsidRPr="006933A5" w:rsidRDefault="00A35DC0" w:rsidP="00694C2A">
      <w:pPr>
        <w:spacing w:before="30" w:after="30"/>
        <w:ind w:left="560" w:hanging="560"/>
        <w:jc w:val="both"/>
      </w:pPr>
      <w:r w:rsidRPr="006933A5">
        <w:rPr>
          <w:sz w:val="18"/>
          <w:szCs w:val="18"/>
        </w:rPr>
        <w:t>3</w:t>
      </w:r>
      <w:r w:rsidR="0057449C" w:rsidRPr="006933A5">
        <w:rPr>
          <w:sz w:val="18"/>
          <w:szCs w:val="18"/>
        </w:rPr>
        <w:t>3</w:t>
      </w:r>
      <w:r w:rsidR="00694C2A" w:rsidRPr="006933A5">
        <w:rPr>
          <w:sz w:val="18"/>
          <w:szCs w:val="18"/>
        </w:rPr>
        <w:t>. Mitsuhashi A, Sato Y, Kiyokawa T, Koshizaka M, Hanaoka H, Shozu M. (2014). Phase II study of medroxyprogesterone acetate plus metformin as a fertility-sparing treatment for atypical endometrial hyperplasia and endometrial cancer. Annals of Oncology, 28(2), 262–266.</w:t>
      </w:r>
    </w:p>
    <w:p w14:paraId="751012E1" w14:textId="01EB4A02" w:rsidR="00694C2A" w:rsidRPr="006933A5" w:rsidRDefault="00694C2A" w:rsidP="00694C2A">
      <w:pPr>
        <w:spacing w:before="30" w:after="30"/>
        <w:ind w:left="560" w:hanging="560"/>
        <w:jc w:val="both"/>
      </w:pPr>
      <w:r w:rsidRPr="006933A5">
        <w:rPr>
          <w:sz w:val="18"/>
          <w:szCs w:val="18"/>
        </w:rPr>
        <w:t>3</w:t>
      </w:r>
      <w:r w:rsidR="0057449C" w:rsidRPr="006933A5">
        <w:rPr>
          <w:sz w:val="18"/>
          <w:szCs w:val="18"/>
        </w:rPr>
        <w:t>4</w:t>
      </w:r>
      <w:r w:rsidRPr="006933A5">
        <w:rPr>
          <w:sz w:val="18"/>
          <w:szCs w:val="18"/>
        </w:rPr>
        <w:t>. Morgentaler A. (2006). Testosterone and prostate cancer: an historical perspective on a modern myth. European Urology, 50(5), 935–939.</w:t>
      </w:r>
    </w:p>
    <w:p w14:paraId="04B13761" w14:textId="4B7D076F" w:rsidR="00694C2A" w:rsidRPr="006933A5" w:rsidRDefault="00694C2A" w:rsidP="00694C2A">
      <w:pPr>
        <w:spacing w:before="30" w:after="30"/>
        <w:ind w:left="560" w:hanging="560"/>
        <w:jc w:val="both"/>
      </w:pPr>
      <w:r w:rsidRPr="006933A5">
        <w:rPr>
          <w:sz w:val="18"/>
          <w:szCs w:val="18"/>
        </w:rPr>
        <w:t>3</w:t>
      </w:r>
      <w:r w:rsidR="0057449C" w:rsidRPr="006933A5">
        <w:rPr>
          <w:sz w:val="18"/>
          <w:szCs w:val="18"/>
        </w:rPr>
        <w:t>5</w:t>
      </w:r>
      <w:r w:rsidRPr="006933A5">
        <w:rPr>
          <w:sz w:val="18"/>
          <w:szCs w:val="18"/>
        </w:rPr>
        <w:t>. Morgentaler A, Traish AM. (2009). Shifting the paradigm of testosterone and prostate cancer: the saturation model and the limits of androgen-dependent growth. European Urology, 55(2), 310–321.</w:t>
      </w:r>
    </w:p>
    <w:p w14:paraId="1DA63E9C" w14:textId="21A366A3" w:rsidR="00694C2A" w:rsidRPr="006933A5" w:rsidRDefault="00694C2A" w:rsidP="00694C2A">
      <w:pPr>
        <w:spacing w:before="30" w:after="30"/>
        <w:ind w:left="560" w:hanging="560"/>
        <w:jc w:val="both"/>
      </w:pPr>
      <w:r w:rsidRPr="006933A5">
        <w:rPr>
          <w:sz w:val="18"/>
          <w:szCs w:val="18"/>
        </w:rPr>
        <w:t>3</w:t>
      </w:r>
      <w:r w:rsidR="0057449C" w:rsidRPr="006933A5">
        <w:rPr>
          <w:sz w:val="18"/>
          <w:szCs w:val="18"/>
        </w:rPr>
        <w:t>6</w:t>
      </w:r>
      <w:r w:rsidRPr="006933A5">
        <w:rPr>
          <w:sz w:val="18"/>
          <w:szCs w:val="18"/>
        </w:rPr>
        <w:t>. Nelson WG. (2003). Prostate cancer prevention. Current Opinion in Urology, 13(1), 47–53.</w:t>
      </w:r>
    </w:p>
    <w:p w14:paraId="0DBCAD42" w14:textId="253E5173" w:rsidR="00694C2A" w:rsidRPr="006933A5" w:rsidRDefault="00694C2A" w:rsidP="00694C2A">
      <w:pPr>
        <w:spacing w:before="30" w:after="30"/>
        <w:ind w:left="560" w:hanging="560"/>
        <w:jc w:val="both"/>
      </w:pPr>
      <w:r w:rsidRPr="006933A5">
        <w:rPr>
          <w:sz w:val="18"/>
          <w:szCs w:val="18"/>
        </w:rPr>
        <w:t>3</w:t>
      </w:r>
      <w:r w:rsidR="0057449C" w:rsidRPr="006933A5">
        <w:rPr>
          <w:sz w:val="18"/>
          <w:szCs w:val="18"/>
        </w:rPr>
        <w:t>7</w:t>
      </w:r>
      <w:r w:rsidRPr="006933A5">
        <w:rPr>
          <w:sz w:val="18"/>
          <w:szCs w:val="18"/>
        </w:rPr>
        <w:t>. Onstad MA, Schmandt RE, Lu KH. (2016). Addressing the role of obesity in endometrial cancer risk, prevention, and treatment. Journal of Clinical Oncology, 34(35), 4225–4230.</w:t>
      </w:r>
    </w:p>
    <w:p w14:paraId="1A4F7480" w14:textId="19470BF4" w:rsidR="00694C2A" w:rsidRPr="006933A5" w:rsidRDefault="00694C2A" w:rsidP="00694C2A">
      <w:pPr>
        <w:spacing w:before="30" w:after="30"/>
        <w:ind w:left="560" w:hanging="560"/>
        <w:jc w:val="both"/>
      </w:pPr>
      <w:r w:rsidRPr="006933A5">
        <w:rPr>
          <w:sz w:val="18"/>
          <w:szCs w:val="18"/>
        </w:rPr>
        <w:t>3</w:t>
      </w:r>
      <w:r w:rsidR="0057449C" w:rsidRPr="006933A5">
        <w:rPr>
          <w:sz w:val="18"/>
          <w:szCs w:val="18"/>
        </w:rPr>
        <w:t>8</w:t>
      </w:r>
      <w:r w:rsidRPr="006933A5">
        <w:rPr>
          <w:sz w:val="18"/>
          <w:szCs w:val="18"/>
        </w:rPr>
        <w:t>. Osborne CK, Schiff R. (2011). Mechanisms of endocrine resistance in breast cancer. Annual Review of Medicine, 62, 233–247.</w:t>
      </w:r>
    </w:p>
    <w:p w14:paraId="75351CD3" w14:textId="50D27B15" w:rsidR="00694C2A" w:rsidRPr="006933A5" w:rsidRDefault="00694C2A" w:rsidP="00694C2A">
      <w:pPr>
        <w:spacing w:before="30" w:after="30"/>
        <w:ind w:left="560" w:hanging="560"/>
        <w:jc w:val="both"/>
      </w:pPr>
      <w:r w:rsidRPr="006933A5">
        <w:rPr>
          <w:sz w:val="18"/>
          <w:szCs w:val="18"/>
        </w:rPr>
        <w:t>3</w:t>
      </w:r>
      <w:r w:rsidR="0057449C" w:rsidRPr="006933A5">
        <w:rPr>
          <w:sz w:val="18"/>
          <w:szCs w:val="18"/>
        </w:rPr>
        <w:t>9</w:t>
      </w:r>
      <w:r w:rsidRPr="006933A5">
        <w:rPr>
          <w:sz w:val="18"/>
          <w:szCs w:val="18"/>
        </w:rPr>
        <w:t>. Peng J, Sun BF, Chen CY, Zhou JY, Chen YS, Chen H, et al. (2019). Single-cell RNA-seq highlights intra-tumoral heterogeneity and malignant progression in pancreatic ductal adenocarcinoma. Cell Research, 29(9), 725–738.</w:t>
      </w:r>
    </w:p>
    <w:p w14:paraId="119FD20D" w14:textId="53AC07AB" w:rsidR="00694C2A" w:rsidRPr="006933A5" w:rsidRDefault="0057449C" w:rsidP="00694C2A">
      <w:pPr>
        <w:spacing w:before="30" w:after="30"/>
        <w:ind w:left="560" w:hanging="560"/>
        <w:jc w:val="both"/>
      </w:pPr>
      <w:r w:rsidRPr="006933A5">
        <w:rPr>
          <w:sz w:val="18"/>
          <w:szCs w:val="18"/>
        </w:rPr>
        <w:t>40</w:t>
      </w:r>
      <w:r w:rsidR="00694C2A" w:rsidRPr="006933A5">
        <w:rPr>
          <w:sz w:val="18"/>
          <w:szCs w:val="18"/>
        </w:rPr>
        <w:t>. Pietras RJ, Szego CM. (1977). Specific binding sites for oestrogen at the outer surfaces of isolated endometrial cells. Nature, 265(5589), 69–72.</w:t>
      </w:r>
    </w:p>
    <w:p w14:paraId="3B49F8E4" w14:textId="1B4F982E" w:rsidR="00694C2A" w:rsidRPr="006933A5" w:rsidRDefault="001257BF" w:rsidP="00694C2A">
      <w:pPr>
        <w:spacing w:before="30" w:after="30"/>
        <w:ind w:left="560" w:hanging="560"/>
        <w:jc w:val="both"/>
      </w:pPr>
      <w:r w:rsidRPr="006933A5">
        <w:rPr>
          <w:sz w:val="18"/>
          <w:szCs w:val="18"/>
        </w:rPr>
        <w:t>4</w:t>
      </w:r>
      <w:r w:rsidR="0057449C" w:rsidRPr="006933A5">
        <w:rPr>
          <w:sz w:val="18"/>
          <w:szCs w:val="18"/>
        </w:rPr>
        <w:t>1</w:t>
      </w:r>
      <w:r w:rsidR="00694C2A" w:rsidRPr="006933A5">
        <w:rPr>
          <w:sz w:val="18"/>
          <w:szCs w:val="18"/>
        </w:rPr>
        <w:t>. Plottel CS, Blaser MJ. (2011). Microbiome and malignancy. Cell Host and Microbe, 10(4), 324–335.</w:t>
      </w:r>
    </w:p>
    <w:p w14:paraId="1FDE1733" w14:textId="7644D56F" w:rsidR="00694C2A" w:rsidRPr="006933A5" w:rsidRDefault="001257BF" w:rsidP="00694C2A">
      <w:pPr>
        <w:spacing w:before="30" w:after="30"/>
        <w:ind w:left="560" w:hanging="560"/>
        <w:jc w:val="both"/>
      </w:pPr>
      <w:r w:rsidRPr="006933A5">
        <w:rPr>
          <w:sz w:val="18"/>
          <w:szCs w:val="18"/>
        </w:rPr>
        <w:t>4</w:t>
      </w:r>
      <w:r w:rsidR="0057449C" w:rsidRPr="006933A5">
        <w:rPr>
          <w:sz w:val="18"/>
          <w:szCs w:val="18"/>
        </w:rPr>
        <w:t>2</w:t>
      </w:r>
      <w:r w:rsidR="00694C2A" w:rsidRPr="006933A5">
        <w:rPr>
          <w:sz w:val="18"/>
          <w:szCs w:val="18"/>
        </w:rPr>
        <w:t>. Rajkomar A, Dean J, Kohane I. (2019). Machine learning in medicine. New England Journal of Medicine, 380(14), 1347–1358.</w:t>
      </w:r>
    </w:p>
    <w:p w14:paraId="262CC73C" w14:textId="72CA28F6" w:rsidR="00694C2A" w:rsidRPr="006933A5" w:rsidRDefault="00694C2A" w:rsidP="00694C2A">
      <w:pPr>
        <w:spacing w:before="30" w:after="30"/>
        <w:ind w:left="560" w:hanging="560"/>
        <w:jc w:val="both"/>
      </w:pPr>
      <w:r w:rsidRPr="006933A5">
        <w:rPr>
          <w:sz w:val="18"/>
          <w:szCs w:val="18"/>
        </w:rPr>
        <w:t>4</w:t>
      </w:r>
      <w:r w:rsidR="0057449C" w:rsidRPr="006933A5">
        <w:rPr>
          <w:sz w:val="18"/>
          <w:szCs w:val="18"/>
        </w:rPr>
        <w:t>3</w:t>
      </w:r>
      <w:r w:rsidRPr="006933A5">
        <w:rPr>
          <w:sz w:val="18"/>
          <w:szCs w:val="18"/>
        </w:rPr>
        <w:t xml:space="preserve">. Reiter RJ, Rosales-Corral SA, Tan DX, Acuna-Castroviejo D, Qin L, Yang SF, et al. (2017). Melatonin, a </w:t>
      </w:r>
      <w:r w:rsidR="001257BF" w:rsidRPr="006933A5">
        <w:rPr>
          <w:sz w:val="18"/>
          <w:szCs w:val="18"/>
        </w:rPr>
        <w:t>full-service</w:t>
      </w:r>
      <w:r w:rsidRPr="006933A5">
        <w:rPr>
          <w:sz w:val="18"/>
          <w:szCs w:val="18"/>
        </w:rPr>
        <w:t xml:space="preserve"> anti-cancer agent: inhibition of initiation, progression and metastasis. International Journal of Molecular Sciences, 18(4), 843.</w:t>
      </w:r>
    </w:p>
    <w:p w14:paraId="1EE41C1F" w14:textId="183EA72B" w:rsidR="00694C2A" w:rsidRPr="006933A5" w:rsidRDefault="00694C2A" w:rsidP="00694C2A">
      <w:pPr>
        <w:spacing w:before="30" w:after="30"/>
        <w:ind w:left="560" w:hanging="560"/>
        <w:jc w:val="both"/>
      </w:pPr>
      <w:r w:rsidRPr="006933A5">
        <w:rPr>
          <w:sz w:val="18"/>
          <w:szCs w:val="18"/>
        </w:rPr>
        <w:t>4</w:t>
      </w:r>
      <w:r w:rsidR="0057449C" w:rsidRPr="006933A5">
        <w:rPr>
          <w:sz w:val="18"/>
          <w:szCs w:val="18"/>
        </w:rPr>
        <w:t>4</w:t>
      </w:r>
      <w:r w:rsidRPr="006933A5">
        <w:rPr>
          <w:sz w:val="18"/>
          <w:szCs w:val="18"/>
        </w:rPr>
        <w:t>. Rossouw JE, Anderson GL, Prentice RL, LaCroix AZ, Kooperberg C, Stefanick ML, et al. (2002). Risks and benefits of estrogen plus progestin in healthy postmenopausal women: principal results from the Women's Health Initiative randomized controlled trial. JAMA, 288(3), 321–333.</w:t>
      </w:r>
    </w:p>
    <w:p w14:paraId="30178424" w14:textId="2FE493E1" w:rsidR="00694C2A" w:rsidRPr="006933A5" w:rsidRDefault="00694C2A" w:rsidP="00694C2A">
      <w:pPr>
        <w:spacing w:before="30" w:after="30"/>
        <w:ind w:left="560" w:hanging="560"/>
        <w:jc w:val="both"/>
      </w:pPr>
      <w:r w:rsidRPr="006933A5">
        <w:rPr>
          <w:sz w:val="18"/>
          <w:szCs w:val="18"/>
        </w:rPr>
        <w:t>4</w:t>
      </w:r>
      <w:r w:rsidR="0057449C" w:rsidRPr="006933A5">
        <w:rPr>
          <w:sz w:val="18"/>
          <w:szCs w:val="18"/>
        </w:rPr>
        <w:t>5</w:t>
      </w:r>
      <w:r w:rsidRPr="006933A5">
        <w:rPr>
          <w:sz w:val="18"/>
          <w:szCs w:val="18"/>
        </w:rPr>
        <w:t>. Ruth KS, Day FR, Tyrrell J, Thompson DJ, Wood AR, Mahajan A, et al. (2020). Using human genetics to understand the disease impacts of testosterone in men and women. Nature Medicine, 26(2), 252–258.</w:t>
      </w:r>
    </w:p>
    <w:p w14:paraId="1135195F" w14:textId="6AEB8A72" w:rsidR="00694C2A" w:rsidRPr="006933A5" w:rsidRDefault="00694C2A" w:rsidP="00694C2A">
      <w:pPr>
        <w:spacing w:before="30" w:after="30"/>
        <w:ind w:left="560" w:hanging="560"/>
        <w:jc w:val="both"/>
      </w:pPr>
      <w:r w:rsidRPr="006933A5">
        <w:rPr>
          <w:sz w:val="18"/>
          <w:szCs w:val="18"/>
        </w:rPr>
        <w:t>4</w:t>
      </w:r>
      <w:r w:rsidR="0057449C" w:rsidRPr="006933A5">
        <w:rPr>
          <w:sz w:val="18"/>
          <w:szCs w:val="18"/>
        </w:rPr>
        <w:t>6</w:t>
      </w:r>
      <w:r w:rsidRPr="006933A5">
        <w:rPr>
          <w:sz w:val="18"/>
          <w:szCs w:val="18"/>
        </w:rPr>
        <w:t>. Ryan CJ, Smith MR, de Bono JS, Molina A, Logothetis CJ, de Souza P, et al. (2013). Abiraterone in metastatic prostate cancer without previous chemotherapy. New England Journal of Medicine, 368(2), 138–148.</w:t>
      </w:r>
    </w:p>
    <w:p w14:paraId="3D1AFF25" w14:textId="38BF88A1" w:rsidR="00694C2A" w:rsidRPr="006933A5" w:rsidRDefault="00694C2A" w:rsidP="00694C2A">
      <w:pPr>
        <w:spacing w:before="30" w:after="30"/>
        <w:ind w:left="560" w:hanging="560"/>
        <w:jc w:val="both"/>
      </w:pPr>
      <w:r w:rsidRPr="006933A5">
        <w:rPr>
          <w:sz w:val="18"/>
          <w:szCs w:val="18"/>
        </w:rPr>
        <w:t>4</w:t>
      </w:r>
      <w:r w:rsidR="0057449C" w:rsidRPr="006933A5">
        <w:rPr>
          <w:sz w:val="18"/>
          <w:szCs w:val="18"/>
        </w:rPr>
        <w:t>7</w:t>
      </w:r>
      <w:r w:rsidRPr="006933A5">
        <w:rPr>
          <w:sz w:val="18"/>
          <w:szCs w:val="18"/>
        </w:rPr>
        <w:t>. Sampson JN, Falk RT, Schairer C, Moore SC, Fuhrman BJ, Dallal CM, et al. (2017). Association of estrogen metabolism with breast cancer risk in different cohorts of postmenopausal women. Cancer Research, 77(4), 918–925.</w:t>
      </w:r>
    </w:p>
    <w:p w14:paraId="4FBAF9AB" w14:textId="639614DD" w:rsidR="00694C2A" w:rsidRPr="006933A5" w:rsidRDefault="00694C2A" w:rsidP="00694C2A">
      <w:pPr>
        <w:spacing w:before="30" w:after="30"/>
        <w:ind w:left="560" w:hanging="560"/>
        <w:jc w:val="both"/>
      </w:pPr>
      <w:r w:rsidRPr="006933A5">
        <w:rPr>
          <w:sz w:val="18"/>
          <w:szCs w:val="18"/>
        </w:rPr>
        <w:t>4</w:t>
      </w:r>
      <w:r w:rsidR="0057449C" w:rsidRPr="006933A5">
        <w:rPr>
          <w:sz w:val="18"/>
          <w:szCs w:val="18"/>
        </w:rPr>
        <w:t>8</w:t>
      </w:r>
      <w:r w:rsidRPr="006933A5">
        <w:rPr>
          <w:sz w:val="18"/>
          <w:szCs w:val="18"/>
        </w:rPr>
        <w:t xml:space="preserve">. Schernhammer ES, Laden F, Speizer FE, Willett WC, Hunter DJ, Kawachi I, et al. (2013). Night-shift work and risk of colorectal cancer in the </w:t>
      </w:r>
      <w:r w:rsidR="001257BF" w:rsidRPr="006933A5">
        <w:rPr>
          <w:sz w:val="18"/>
          <w:szCs w:val="18"/>
        </w:rPr>
        <w:t>Nurses'</w:t>
      </w:r>
      <w:r w:rsidRPr="006933A5">
        <w:rPr>
          <w:sz w:val="18"/>
          <w:szCs w:val="18"/>
        </w:rPr>
        <w:t xml:space="preserve"> </w:t>
      </w:r>
      <w:r w:rsidR="001257BF" w:rsidRPr="006933A5">
        <w:rPr>
          <w:sz w:val="18"/>
          <w:szCs w:val="18"/>
        </w:rPr>
        <w:t>Health Study</w:t>
      </w:r>
      <w:r w:rsidRPr="006933A5">
        <w:rPr>
          <w:sz w:val="18"/>
          <w:szCs w:val="18"/>
        </w:rPr>
        <w:t>. Journal of the National Cancer Institute, 95(11), 825–828.</w:t>
      </w:r>
    </w:p>
    <w:p w14:paraId="5308FD0C" w14:textId="3C7E0C20" w:rsidR="00694C2A" w:rsidRPr="006933A5" w:rsidRDefault="00694C2A" w:rsidP="00694C2A">
      <w:pPr>
        <w:spacing w:before="30" w:after="30"/>
        <w:ind w:left="560" w:hanging="560"/>
        <w:jc w:val="both"/>
      </w:pPr>
      <w:r w:rsidRPr="006933A5">
        <w:rPr>
          <w:sz w:val="18"/>
          <w:szCs w:val="18"/>
        </w:rPr>
        <w:t>4</w:t>
      </w:r>
      <w:r w:rsidR="0057449C" w:rsidRPr="006933A5">
        <w:rPr>
          <w:sz w:val="18"/>
          <w:szCs w:val="18"/>
        </w:rPr>
        <w:t>9</w:t>
      </w:r>
      <w:r w:rsidRPr="006933A5">
        <w:rPr>
          <w:sz w:val="18"/>
          <w:szCs w:val="18"/>
        </w:rPr>
        <w:t>. Sparano JA, Gray RJ, Makower DF, Pritchard KI, Albain KS, Hayes DF, et al. (2018). Adjuvant chemotherapy guided by a 21-gene expression assay in breast cancer. New England Journal of Medicine, 379(2), 111–121.</w:t>
      </w:r>
    </w:p>
    <w:p w14:paraId="1AE08CBA" w14:textId="61BBBD60" w:rsidR="00694C2A" w:rsidRPr="006933A5" w:rsidRDefault="0057449C" w:rsidP="00694C2A">
      <w:pPr>
        <w:spacing w:before="30" w:after="30"/>
        <w:ind w:left="560" w:hanging="560"/>
        <w:jc w:val="both"/>
      </w:pPr>
      <w:r w:rsidRPr="006933A5">
        <w:rPr>
          <w:sz w:val="18"/>
          <w:szCs w:val="18"/>
        </w:rPr>
        <w:t>50</w:t>
      </w:r>
      <w:r w:rsidR="00694C2A" w:rsidRPr="006933A5">
        <w:rPr>
          <w:sz w:val="18"/>
          <w:szCs w:val="18"/>
        </w:rPr>
        <w:t>. Sung H, Ferlay J, Siegel RL, Laversanne M, Soerjomataram I, Jemal A, et al. (2021). Global cancer statistics 2020: GLOBOCAN estimates of incidence and mortality worldwide for 36 cancers in 185 countries. CA: A Cancer Journal for Clinicians, 71(3), 209–249.</w:t>
      </w:r>
    </w:p>
    <w:p w14:paraId="33838D78" w14:textId="5A807CA8" w:rsidR="00694C2A" w:rsidRPr="006933A5" w:rsidRDefault="001257BF" w:rsidP="00694C2A">
      <w:pPr>
        <w:spacing w:before="30" w:after="30"/>
        <w:ind w:left="560" w:hanging="560"/>
        <w:jc w:val="both"/>
      </w:pPr>
      <w:r w:rsidRPr="006933A5">
        <w:rPr>
          <w:sz w:val="18"/>
          <w:szCs w:val="18"/>
        </w:rPr>
        <w:lastRenderedPageBreak/>
        <w:t>5</w:t>
      </w:r>
      <w:r w:rsidR="0057449C" w:rsidRPr="006933A5">
        <w:rPr>
          <w:sz w:val="18"/>
          <w:szCs w:val="18"/>
        </w:rPr>
        <w:t>1</w:t>
      </w:r>
      <w:r w:rsidR="00694C2A" w:rsidRPr="006933A5">
        <w:rPr>
          <w:sz w:val="18"/>
          <w:szCs w:val="18"/>
        </w:rPr>
        <w:t>. Toledo E, Salas-Salvadó J, Donat-Vargas C, Buil-Cosiales P, Estruch R, Ros E, et al. (2015). Mediterranean diet and invasive breast cancer risk among women at high cardiovascular risk in the PREDIMED trial: a randomized clinical trial. JAMA Internal Medicine, 175(11), 1752–1760.</w:t>
      </w:r>
    </w:p>
    <w:p w14:paraId="58D6FC86" w14:textId="0EED5D0B" w:rsidR="00694C2A" w:rsidRPr="006933A5" w:rsidRDefault="001257BF" w:rsidP="00694C2A">
      <w:pPr>
        <w:spacing w:before="30" w:after="30"/>
        <w:ind w:left="560" w:hanging="560"/>
        <w:jc w:val="both"/>
      </w:pPr>
      <w:r w:rsidRPr="006933A5">
        <w:rPr>
          <w:sz w:val="18"/>
          <w:szCs w:val="18"/>
        </w:rPr>
        <w:t>5</w:t>
      </w:r>
      <w:r w:rsidR="0057449C" w:rsidRPr="006933A5">
        <w:rPr>
          <w:sz w:val="18"/>
          <w:szCs w:val="18"/>
        </w:rPr>
        <w:t>2</w:t>
      </w:r>
      <w:r w:rsidR="00694C2A" w:rsidRPr="006933A5">
        <w:rPr>
          <w:sz w:val="18"/>
          <w:szCs w:val="18"/>
        </w:rPr>
        <w:t>. Turner NC, Slamon DJ, Ro J, Bondarenko I, Im SA, Masuda N, et al. (2018). Overall survival with palbociclib and fulvestrant in advanced breast cancer. New England Journal of Medicine, 379(20), 1926–1936.</w:t>
      </w:r>
    </w:p>
    <w:p w14:paraId="4AA288E8" w14:textId="6BDCB33E" w:rsidR="00694C2A" w:rsidRPr="006933A5" w:rsidRDefault="00694C2A" w:rsidP="00694C2A">
      <w:pPr>
        <w:spacing w:before="30" w:after="30"/>
        <w:ind w:left="560" w:hanging="560"/>
        <w:jc w:val="both"/>
      </w:pPr>
      <w:r w:rsidRPr="006933A5">
        <w:rPr>
          <w:sz w:val="18"/>
          <w:szCs w:val="18"/>
        </w:rPr>
        <w:t>5</w:t>
      </w:r>
      <w:r w:rsidR="0057449C" w:rsidRPr="006933A5">
        <w:rPr>
          <w:sz w:val="18"/>
          <w:szCs w:val="18"/>
        </w:rPr>
        <w:t>3</w:t>
      </w:r>
      <w:r w:rsidRPr="006933A5">
        <w:rPr>
          <w:sz w:val="18"/>
          <w:szCs w:val="18"/>
        </w:rPr>
        <w:t>. Watson PA, Arora VK, Sawyers CL. (2015). Emerging mechanisms of resistance to androgen receptor inhibitors in prostate cancer. Nature Reviews Cancer, 15(12), 701–711.</w:t>
      </w:r>
    </w:p>
    <w:p w14:paraId="586AF928" w14:textId="6F1A5966" w:rsidR="00694C2A" w:rsidRPr="006933A5" w:rsidRDefault="00694C2A" w:rsidP="00694C2A">
      <w:pPr>
        <w:spacing w:before="30" w:after="30"/>
        <w:ind w:left="560" w:hanging="560"/>
        <w:jc w:val="both"/>
      </w:pPr>
      <w:r w:rsidRPr="006933A5">
        <w:rPr>
          <w:sz w:val="18"/>
          <w:szCs w:val="18"/>
        </w:rPr>
        <w:t>5</w:t>
      </w:r>
      <w:r w:rsidR="0057449C" w:rsidRPr="006933A5">
        <w:rPr>
          <w:sz w:val="18"/>
          <w:szCs w:val="18"/>
        </w:rPr>
        <w:t>4</w:t>
      </w:r>
      <w:r w:rsidRPr="006933A5">
        <w:rPr>
          <w:sz w:val="18"/>
          <w:szCs w:val="18"/>
        </w:rPr>
        <w:t>. Wegrzyn LR, Tamimi RM, Rosner BA, Brown SB, Stevens RG, Eliassen AH, et al. (2017). Rotating night-shift work and the risk of breast cancer in the nurses' health studies. American Journal of Epidemiology, 186(5), 532–540.</w:t>
      </w:r>
    </w:p>
    <w:p w14:paraId="1AE55B4F" w14:textId="3E1975D4" w:rsidR="00694C2A" w:rsidRPr="006933A5" w:rsidRDefault="00694C2A" w:rsidP="00694C2A">
      <w:pPr>
        <w:spacing w:before="30" w:after="30"/>
        <w:ind w:left="560" w:hanging="560"/>
        <w:jc w:val="both"/>
      </w:pPr>
      <w:r w:rsidRPr="006933A5">
        <w:rPr>
          <w:sz w:val="18"/>
          <w:szCs w:val="18"/>
        </w:rPr>
        <w:t>5</w:t>
      </w:r>
      <w:r w:rsidR="0057449C" w:rsidRPr="006933A5">
        <w:rPr>
          <w:sz w:val="18"/>
          <w:szCs w:val="18"/>
        </w:rPr>
        <w:t>5</w:t>
      </w:r>
      <w:r w:rsidRPr="006933A5">
        <w:rPr>
          <w:sz w:val="18"/>
          <w:szCs w:val="18"/>
        </w:rPr>
        <w:t>. Yager JD, Davidson NE. (2006). Estrogen carcinogenesis in breast cancer. New England Journal of Medicine, 354(3), 270–282.</w:t>
      </w:r>
    </w:p>
    <w:p w14:paraId="6BECAF20" w14:textId="7317FC03" w:rsidR="00694C2A" w:rsidRPr="006933A5" w:rsidRDefault="00694C2A" w:rsidP="00694C2A">
      <w:pPr>
        <w:spacing w:before="30" w:after="30"/>
        <w:ind w:left="560" w:hanging="560"/>
        <w:jc w:val="both"/>
      </w:pPr>
      <w:r w:rsidRPr="006933A5">
        <w:rPr>
          <w:sz w:val="18"/>
          <w:szCs w:val="18"/>
        </w:rPr>
        <w:t>5</w:t>
      </w:r>
      <w:r w:rsidR="0057449C" w:rsidRPr="006933A5">
        <w:rPr>
          <w:sz w:val="18"/>
          <w:szCs w:val="18"/>
        </w:rPr>
        <w:t>6</w:t>
      </w:r>
      <w:r w:rsidRPr="006933A5">
        <w:rPr>
          <w:sz w:val="18"/>
          <w:szCs w:val="18"/>
        </w:rPr>
        <w:t>. Yue W, Wang JP, Li Y, Fan P, Liu G, Zhang N, et al. (2013). Effects of estrogen on breast cancer development: role of estrogen receptor independent mechanisms. International Journal of Cancer, 132(8), 1722–1733.</w:t>
      </w:r>
    </w:p>
    <w:p w14:paraId="72075F20" w14:textId="021392D9" w:rsidR="00694C2A" w:rsidRDefault="00694C2A" w:rsidP="00694C2A">
      <w:pPr>
        <w:spacing w:before="30" w:after="30"/>
        <w:ind w:left="560" w:hanging="560"/>
        <w:jc w:val="both"/>
      </w:pPr>
      <w:r w:rsidRPr="006933A5">
        <w:rPr>
          <w:sz w:val="18"/>
          <w:szCs w:val="18"/>
        </w:rPr>
        <w:t>5</w:t>
      </w:r>
      <w:r w:rsidR="0057449C" w:rsidRPr="006933A5">
        <w:rPr>
          <w:sz w:val="18"/>
          <w:szCs w:val="18"/>
        </w:rPr>
        <w:t>7</w:t>
      </w:r>
      <w:r w:rsidRPr="006933A5">
        <w:rPr>
          <w:sz w:val="18"/>
          <w:szCs w:val="18"/>
        </w:rPr>
        <w:t>. Zhu J, Liao M, Yao Z, Liang W, Li Q, Liu J, et al. (2018). Breast cancer in postmenopausal women is associated with an altered gut metagenome. Microbiome, 6(1), 136.</w:t>
      </w:r>
    </w:p>
    <w:p w14:paraId="231912C3" w14:textId="77777777" w:rsidR="00A06503" w:rsidRDefault="00A06503" w:rsidP="00A06503">
      <w:pPr>
        <w:jc w:val="both"/>
      </w:pPr>
    </w:p>
    <w:sectPr w:rsidR="00A0650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B0CD2" w14:textId="77777777" w:rsidR="00C12D78" w:rsidRDefault="00C12D78" w:rsidP="00D452A4">
      <w:r>
        <w:separator/>
      </w:r>
    </w:p>
  </w:endnote>
  <w:endnote w:type="continuationSeparator" w:id="0">
    <w:p w14:paraId="258E73F9" w14:textId="77777777" w:rsidR="00C12D78" w:rsidRDefault="00C12D78" w:rsidP="00D4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54098" w14:textId="77777777" w:rsidR="00D452A4" w:rsidRDefault="00D4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7B2F" w14:textId="77777777" w:rsidR="00D452A4" w:rsidRDefault="00D4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3E8B" w14:textId="77777777" w:rsidR="00D452A4" w:rsidRDefault="00D4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32EC0" w14:textId="77777777" w:rsidR="00C12D78" w:rsidRDefault="00C12D78" w:rsidP="00D452A4">
      <w:r>
        <w:separator/>
      </w:r>
    </w:p>
  </w:footnote>
  <w:footnote w:type="continuationSeparator" w:id="0">
    <w:p w14:paraId="4EDC884B" w14:textId="77777777" w:rsidR="00C12D78" w:rsidRDefault="00C12D78" w:rsidP="00D4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9ECE" w14:textId="645478A7" w:rsidR="00D452A4" w:rsidRDefault="00D452A4">
    <w:pPr>
      <w:pStyle w:val="Header"/>
    </w:pPr>
    <w:r>
      <w:rPr>
        <w:noProof/>
      </w:rPr>
      <w:pict w14:anchorId="3F100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6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77F9" w14:textId="5450544E" w:rsidR="00D452A4" w:rsidRDefault="00D452A4">
    <w:pPr>
      <w:pStyle w:val="Header"/>
    </w:pPr>
    <w:r>
      <w:rPr>
        <w:noProof/>
      </w:rPr>
      <w:pict w14:anchorId="2B220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6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9449" w14:textId="7D946627" w:rsidR="00D452A4" w:rsidRDefault="00D452A4">
    <w:pPr>
      <w:pStyle w:val="Header"/>
    </w:pPr>
    <w:r>
      <w:rPr>
        <w:noProof/>
      </w:rPr>
      <w:pict w14:anchorId="11B59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6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1B"/>
    <w:rsid w:val="000C2762"/>
    <w:rsid w:val="000F55B8"/>
    <w:rsid w:val="0010786B"/>
    <w:rsid w:val="001257BF"/>
    <w:rsid w:val="001E3A1B"/>
    <w:rsid w:val="001F604A"/>
    <w:rsid w:val="002B6B5F"/>
    <w:rsid w:val="002E12F3"/>
    <w:rsid w:val="004630D5"/>
    <w:rsid w:val="00480235"/>
    <w:rsid w:val="0048281B"/>
    <w:rsid w:val="004B7C85"/>
    <w:rsid w:val="005527D2"/>
    <w:rsid w:val="0057449C"/>
    <w:rsid w:val="006933A5"/>
    <w:rsid w:val="00694C2A"/>
    <w:rsid w:val="006B7AFD"/>
    <w:rsid w:val="0072096F"/>
    <w:rsid w:val="007A586E"/>
    <w:rsid w:val="007F2EB1"/>
    <w:rsid w:val="0088298B"/>
    <w:rsid w:val="00951934"/>
    <w:rsid w:val="00A06503"/>
    <w:rsid w:val="00A35DC0"/>
    <w:rsid w:val="00A64B2A"/>
    <w:rsid w:val="00A64BFF"/>
    <w:rsid w:val="00AA2E79"/>
    <w:rsid w:val="00AA61AF"/>
    <w:rsid w:val="00B33AFF"/>
    <w:rsid w:val="00B4791A"/>
    <w:rsid w:val="00BD70DE"/>
    <w:rsid w:val="00C12D78"/>
    <w:rsid w:val="00D452A4"/>
    <w:rsid w:val="00DA7063"/>
    <w:rsid w:val="00DD3E3C"/>
    <w:rsid w:val="00E179CD"/>
    <w:rsid w:val="00E46204"/>
    <w:rsid w:val="00EA2B95"/>
    <w:rsid w:val="00EC296A"/>
    <w:rsid w:val="00F85CD7"/>
    <w:rsid w:val="00FB0A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D1A91"/>
  <w15:chartTrackingRefBased/>
  <w15:docId w15:val="{0E661B91-EDC0-4DFB-A1F5-930608FA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A1B"/>
    <w:pPr>
      <w:spacing w:after="0" w:line="240" w:lineRule="auto"/>
    </w:pPr>
    <w:rPr>
      <w:rFonts w:ascii="Arial" w:eastAsia="Arial" w:hAnsi="Arial" w:cs="Arial"/>
      <w:color w:val="1A1A1A"/>
      <w:kern w:val="0"/>
      <w:sz w:val="20"/>
      <w:szCs w:val="20"/>
      <w14:ligatures w14:val="none"/>
    </w:rPr>
  </w:style>
  <w:style w:type="paragraph" w:styleId="Heading1">
    <w:name w:val="heading 1"/>
    <w:basedOn w:val="Normal"/>
    <w:next w:val="Normal"/>
    <w:link w:val="Heading1Char"/>
    <w:uiPriority w:val="9"/>
    <w:qFormat/>
    <w:rsid w:val="001E3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A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1B"/>
    <w:rPr>
      <w:rFonts w:eastAsiaTheme="majorEastAsia" w:cstheme="majorBidi"/>
      <w:color w:val="272727" w:themeColor="text1" w:themeTint="D8"/>
    </w:rPr>
  </w:style>
  <w:style w:type="paragraph" w:styleId="Title">
    <w:name w:val="Title"/>
    <w:basedOn w:val="Normal"/>
    <w:next w:val="Normal"/>
    <w:link w:val="TitleChar"/>
    <w:uiPriority w:val="10"/>
    <w:qFormat/>
    <w:rsid w:val="001E3A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1B"/>
    <w:pPr>
      <w:spacing w:before="160"/>
      <w:jc w:val="center"/>
    </w:pPr>
    <w:rPr>
      <w:i/>
      <w:iCs/>
      <w:color w:val="404040" w:themeColor="text1" w:themeTint="BF"/>
    </w:rPr>
  </w:style>
  <w:style w:type="character" w:customStyle="1" w:styleId="QuoteChar">
    <w:name w:val="Quote Char"/>
    <w:basedOn w:val="DefaultParagraphFont"/>
    <w:link w:val="Quote"/>
    <w:uiPriority w:val="29"/>
    <w:rsid w:val="001E3A1B"/>
    <w:rPr>
      <w:i/>
      <w:iCs/>
      <w:color w:val="404040" w:themeColor="text1" w:themeTint="BF"/>
    </w:rPr>
  </w:style>
  <w:style w:type="paragraph" w:styleId="ListParagraph">
    <w:name w:val="List Paragraph"/>
    <w:basedOn w:val="Normal"/>
    <w:uiPriority w:val="34"/>
    <w:qFormat/>
    <w:rsid w:val="001E3A1B"/>
    <w:pPr>
      <w:ind w:left="720"/>
      <w:contextualSpacing/>
    </w:pPr>
  </w:style>
  <w:style w:type="character" w:styleId="IntenseEmphasis">
    <w:name w:val="Intense Emphasis"/>
    <w:basedOn w:val="DefaultParagraphFont"/>
    <w:uiPriority w:val="21"/>
    <w:qFormat/>
    <w:rsid w:val="001E3A1B"/>
    <w:rPr>
      <w:i/>
      <w:iCs/>
      <w:color w:val="2F5496" w:themeColor="accent1" w:themeShade="BF"/>
    </w:rPr>
  </w:style>
  <w:style w:type="paragraph" w:styleId="IntenseQuote">
    <w:name w:val="Intense Quote"/>
    <w:basedOn w:val="Normal"/>
    <w:next w:val="Normal"/>
    <w:link w:val="IntenseQuoteChar"/>
    <w:uiPriority w:val="30"/>
    <w:qFormat/>
    <w:rsid w:val="001E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A1B"/>
    <w:rPr>
      <w:i/>
      <w:iCs/>
      <w:color w:val="2F5496" w:themeColor="accent1" w:themeShade="BF"/>
    </w:rPr>
  </w:style>
  <w:style w:type="character" w:styleId="IntenseReference">
    <w:name w:val="Intense Reference"/>
    <w:basedOn w:val="DefaultParagraphFont"/>
    <w:uiPriority w:val="32"/>
    <w:qFormat/>
    <w:rsid w:val="001E3A1B"/>
    <w:rPr>
      <w:b/>
      <w:bCs/>
      <w:smallCaps/>
      <w:color w:val="2F5496" w:themeColor="accent1" w:themeShade="BF"/>
      <w:spacing w:val="5"/>
    </w:rPr>
  </w:style>
  <w:style w:type="character" w:styleId="Hyperlink">
    <w:name w:val="Hyperlink"/>
    <w:basedOn w:val="DefaultParagraphFont"/>
    <w:uiPriority w:val="99"/>
    <w:unhideWhenUsed/>
    <w:rsid w:val="000F55B8"/>
    <w:rPr>
      <w:color w:val="0563C1" w:themeColor="hyperlink"/>
      <w:u w:val="single"/>
    </w:rPr>
  </w:style>
  <w:style w:type="character" w:styleId="UnresolvedMention">
    <w:name w:val="Unresolved Mention"/>
    <w:basedOn w:val="DefaultParagraphFont"/>
    <w:uiPriority w:val="99"/>
    <w:semiHidden/>
    <w:unhideWhenUsed/>
    <w:rsid w:val="000F55B8"/>
    <w:rPr>
      <w:color w:val="605E5C"/>
      <w:shd w:val="clear" w:color="auto" w:fill="E1DFDD"/>
    </w:rPr>
  </w:style>
  <w:style w:type="paragraph" w:styleId="Header">
    <w:name w:val="header"/>
    <w:basedOn w:val="Normal"/>
    <w:link w:val="HeaderChar"/>
    <w:uiPriority w:val="99"/>
    <w:unhideWhenUsed/>
    <w:rsid w:val="00D452A4"/>
    <w:pPr>
      <w:tabs>
        <w:tab w:val="center" w:pos="4680"/>
        <w:tab w:val="right" w:pos="9360"/>
      </w:tabs>
    </w:pPr>
  </w:style>
  <w:style w:type="character" w:customStyle="1" w:styleId="HeaderChar">
    <w:name w:val="Header Char"/>
    <w:basedOn w:val="DefaultParagraphFont"/>
    <w:link w:val="Header"/>
    <w:uiPriority w:val="99"/>
    <w:rsid w:val="00D452A4"/>
    <w:rPr>
      <w:rFonts w:ascii="Arial" w:eastAsia="Arial" w:hAnsi="Arial" w:cs="Arial"/>
      <w:color w:val="1A1A1A"/>
      <w:kern w:val="0"/>
      <w:sz w:val="20"/>
      <w:szCs w:val="20"/>
      <w14:ligatures w14:val="none"/>
    </w:rPr>
  </w:style>
  <w:style w:type="paragraph" w:styleId="Footer">
    <w:name w:val="footer"/>
    <w:basedOn w:val="Normal"/>
    <w:link w:val="FooterChar"/>
    <w:uiPriority w:val="99"/>
    <w:unhideWhenUsed/>
    <w:rsid w:val="00D452A4"/>
    <w:pPr>
      <w:tabs>
        <w:tab w:val="center" w:pos="4680"/>
        <w:tab w:val="right" w:pos="9360"/>
      </w:tabs>
    </w:pPr>
  </w:style>
  <w:style w:type="character" w:customStyle="1" w:styleId="FooterChar">
    <w:name w:val="Footer Char"/>
    <w:basedOn w:val="DefaultParagraphFont"/>
    <w:link w:val="Footer"/>
    <w:uiPriority w:val="99"/>
    <w:rsid w:val="00D452A4"/>
    <w:rPr>
      <w:rFonts w:ascii="Arial" w:eastAsia="Arial" w:hAnsi="Arial" w:cs="Arial"/>
      <w:color w:val="1A1A1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8295/squmj.7.2023.04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2314</TotalTime>
  <Pages>11</Pages>
  <Words>6556</Words>
  <Characters>37375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Saheed Adekola</dc:creator>
  <cp:keywords/>
  <dc:description/>
  <cp:lastModifiedBy>SDI 1084</cp:lastModifiedBy>
  <cp:revision>11</cp:revision>
  <dcterms:created xsi:type="dcterms:W3CDTF">2026-03-19T16:49:00Z</dcterms:created>
  <dcterms:modified xsi:type="dcterms:W3CDTF">2026-03-21T13:40:00Z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0e20953e-7346-4bf4-b085-6e105a3c2270</vt:lpwstr>
  </property>
</Properties>
</file>