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E9C72" w14:textId="77777777" w:rsidR="000A02D0" w:rsidRPr="0018375A" w:rsidRDefault="00791CAF" w:rsidP="009E0A99">
      <w:pPr>
        <w:pStyle w:val="NoSpacing"/>
        <w:jc w:val="both"/>
        <w:rPr>
          <w:rFonts w:ascii="Times New Roman" w:hAnsi="Times New Roman" w:cs="Times New Roman"/>
          <w:b/>
          <w:sz w:val="24"/>
          <w:szCs w:val="24"/>
        </w:rPr>
      </w:pPr>
      <w:r w:rsidRPr="0018375A">
        <w:rPr>
          <w:rFonts w:ascii="Times New Roman" w:hAnsi="Times New Roman" w:cs="Times New Roman"/>
          <w:b/>
          <w:sz w:val="24"/>
          <w:szCs w:val="24"/>
        </w:rPr>
        <w:t xml:space="preserve">Pattern of </w:t>
      </w:r>
      <w:r w:rsidR="00830A77" w:rsidRPr="0018375A">
        <w:rPr>
          <w:rFonts w:ascii="Times New Roman" w:hAnsi="Times New Roman" w:cs="Times New Roman"/>
          <w:b/>
          <w:sz w:val="24"/>
          <w:szCs w:val="24"/>
        </w:rPr>
        <w:t>S</w:t>
      </w:r>
      <w:r w:rsidR="000A02D0" w:rsidRPr="0018375A">
        <w:rPr>
          <w:rFonts w:ascii="Times New Roman" w:hAnsi="Times New Roman" w:cs="Times New Roman"/>
          <w:b/>
          <w:sz w:val="24"/>
          <w:szCs w:val="24"/>
        </w:rPr>
        <w:t xml:space="preserve">erum </w:t>
      </w:r>
      <w:r w:rsidR="00A45976" w:rsidRPr="0018375A">
        <w:rPr>
          <w:rFonts w:ascii="Times New Roman" w:hAnsi="Times New Roman" w:cs="Times New Roman"/>
          <w:b/>
          <w:sz w:val="24"/>
          <w:szCs w:val="24"/>
        </w:rPr>
        <w:t>vitamin A</w:t>
      </w:r>
      <w:r w:rsidR="00830A77" w:rsidRPr="0018375A">
        <w:rPr>
          <w:rFonts w:ascii="Times New Roman" w:hAnsi="Times New Roman" w:cs="Times New Roman"/>
          <w:b/>
          <w:sz w:val="24"/>
          <w:szCs w:val="24"/>
        </w:rPr>
        <w:t>, Z</w:t>
      </w:r>
      <w:r w:rsidR="00772D82" w:rsidRPr="0018375A">
        <w:rPr>
          <w:rFonts w:ascii="Times New Roman" w:hAnsi="Times New Roman" w:cs="Times New Roman"/>
          <w:b/>
          <w:sz w:val="24"/>
          <w:szCs w:val="24"/>
        </w:rPr>
        <w:t>inc</w:t>
      </w:r>
      <w:r w:rsidR="00830A77" w:rsidRPr="0018375A">
        <w:rPr>
          <w:rFonts w:ascii="Times New Roman" w:hAnsi="Times New Roman" w:cs="Times New Roman"/>
          <w:b/>
          <w:sz w:val="24"/>
          <w:szCs w:val="24"/>
        </w:rPr>
        <w:t>, and M</w:t>
      </w:r>
      <w:r w:rsidR="00772D82" w:rsidRPr="0018375A">
        <w:rPr>
          <w:rFonts w:ascii="Times New Roman" w:hAnsi="Times New Roman" w:cs="Times New Roman"/>
          <w:b/>
          <w:sz w:val="24"/>
          <w:szCs w:val="24"/>
        </w:rPr>
        <w:t>agnesium in</w:t>
      </w:r>
      <w:r w:rsidR="00830A77" w:rsidRPr="0018375A">
        <w:rPr>
          <w:rFonts w:ascii="Times New Roman" w:hAnsi="Times New Roman" w:cs="Times New Roman"/>
          <w:b/>
          <w:sz w:val="24"/>
          <w:szCs w:val="24"/>
        </w:rPr>
        <w:t xml:space="preserve"> Patients with Abnormal Thyroid H</w:t>
      </w:r>
      <w:r w:rsidR="000A02D0" w:rsidRPr="0018375A">
        <w:rPr>
          <w:rFonts w:ascii="Times New Roman" w:hAnsi="Times New Roman" w:cs="Times New Roman"/>
          <w:b/>
          <w:sz w:val="24"/>
          <w:szCs w:val="24"/>
        </w:rPr>
        <w:t>ormones</w:t>
      </w:r>
    </w:p>
    <w:p w14:paraId="7C649A93" w14:textId="77777777" w:rsidR="000A02D0" w:rsidRDefault="000A02D0" w:rsidP="000A02D0">
      <w:pPr>
        <w:pStyle w:val="NoSpacing"/>
        <w:spacing w:line="480" w:lineRule="auto"/>
        <w:jc w:val="both"/>
        <w:rPr>
          <w:rFonts w:ascii="Times New Roman" w:hAnsi="Times New Roman" w:cs="Times New Roman"/>
          <w:b/>
          <w:sz w:val="24"/>
          <w:szCs w:val="24"/>
        </w:rPr>
      </w:pPr>
    </w:p>
    <w:p w14:paraId="399CA48E" w14:textId="77777777" w:rsidR="005D03B3" w:rsidRPr="007D4D5F" w:rsidRDefault="005D03B3" w:rsidP="001E5C3D">
      <w:pPr>
        <w:pStyle w:val="NoSpacing"/>
        <w:spacing w:line="480" w:lineRule="auto"/>
        <w:jc w:val="both"/>
        <w:rPr>
          <w:rFonts w:ascii="Times New Roman" w:hAnsi="Times New Roman" w:cs="Times New Roman"/>
          <w:sz w:val="24"/>
          <w:szCs w:val="24"/>
        </w:rPr>
      </w:pPr>
      <w:bookmarkStart w:id="0" w:name="_GoBack"/>
      <w:bookmarkEnd w:id="0"/>
    </w:p>
    <w:p w14:paraId="392DE3DC" w14:textId="77777777" w:rsidR="000A02D0" w:rsidRPr="008773B1" w:rsidRDefault="000A02D0" w:rsidP="000A02D0">
      <w:pPr>
        <w:pStyle w:val="NoSpacing"/>
        <w:spacing w:line="480" w:lineRule="auto"/>
        <w:jc w:val="both"/>
        <w:rPr>
          <w:rFonts w:ascii="Times New Roman" w:hAnsi="Times New Roman" w:cs="Times New Roman"/>
          <w:b/>
          <w:sz w:val="24"/>
          <w:szCs w:val="24"/>
        </w:rPr>
      </w:pPr>
      <w:r w:rsidRPr="008773B1">
        <w:rPr>
          <w:rFonts w:ascii="Times New Roman" w:hAnsi="Times New Roman" w:cs="Times New Roman"/>
          <w:b/>
          <w:sz w:val="24"/>
          <w:szCs w:val="24"/>
        </w:rPr>
        <w:t>Abstract</w:t>
      </w:r>
    </w:p>
    <w:p w14:paraId="308B507B" w14:textId="77777777" w:rsidR="00EC770B" w:rsidRPr="00A11514" w:rsidRDefault="00A11514" w:rsidP="000A02D0">
      <w:pPr>
        <w:spacing w:after="0" w:line="240" w:lineRule="auto"/>
        <w:jc w:val="both"/>
        <w:rPr>
          <w:rFonts w:ascii="Times New Roman" w:eastAsia="Times New Roman" w:hAnsi="Times New Roman"/>
          <w:b/>
          <w:sz w:val="24"/>
          <w:szCs w:val="24"/>
        </w:rPr>
      </w:pPr>
      <w:r w:rsidRPr="00A11514">
        <w:rPr>
          <w:rFonts w:ascii="Times New Roman" w:eastAsia="Times New Roman" w:hAnsi="Times New Roman"/>
          <w:sz w:val="24"/>
          <w:szCs w:val="24"/>
        </w:rPr>
        <w:t>Introduction:</w:t>
      </w:r>
      <w:r>
        <w:rPr>
          <w:rFonts w:ascii="Times New Roman" w:eastAsia="Times New Roman" w:hAnsi="Times New Roman"/>
          <w:b/>
          <w:sz w:val="24"/>
          <w:szCs w:val="24"/>
        </w:rPr>
        <w:t xml:space="preserve"> </w:t>
      </w:r>
      <w:r w:rsidR="000A02D0" w:rsidRPr="008773B1">
        <w:rPr>
          <w:rFonts w:ascii="Times New Roman" w:eastAsia="Times New Roman" w:hAnsi="Times New Roman"/>
          <w:sz w:val="24"/>
          <w:szCs w:val="24"/>
        </w:rPr>
        <w:t xml:space="preserve">Thyroid hormones perform </w:t>
      </w:r>
      <w:r w:rsidR="000D70E2" w:rsidRPr="008773B1">
        <w:rPr>
          <w:rFonts w:ascii="Times New Roman" w:eastAsia="Times New Roman" w:hAnsi="Times New Roman"/>
          <w:sz w:val="24"/>
          <w:szCs w:val="24"/>
        </w:rPr>
        <w:t xml:space="preserve">various </w:t>
      </w:r>
      <w:r w:rsidR="000A02D0" w:rsidRPr="008773B1">
        <w:rPr>
          <w:rFonts w:ascii="Times New Roman" w:eastAsia="Times New Roman" w:hAnsi="Times New Roman"/>
          <w:sz w:val="24"/>
          <w:szCs w:val="24"/>
        </w:rPr>
        <w:t>metabolic func</w:t>
      </w:r>
      <w:r w:rsidR="00A2541A" w:rsidRPr="008773B1">
        <w:rPr>
          <w:rFonts w:ascii="Times New Roman" w:eastAsia="Times New Roman" w:hAnsi="Times New Roman"/>
          <w:sz w:val="24"/>
          <w:szCs w:val="24"/>
        </w:rPr>
        <w:t>tions</w:t>
      </w:r>
      <w:r w:rsidR="00B74659" w:rsidRPr="008773B1">
        <w:rPr>
          <w:rFonts w:ascii="Times New Roman" w:eastAsia="Times New Roman" w:hAnsi="Times New Roman"/>
          <w:sz w:val="24"/>
          <w:szCs w:val="24"/>
        </w:rPr>
        <w:t xml:space="preserve">, including regulating lipids, carbohydrates, protein, electrolytes, and mineral metabolism. Some micronutrients, including zinc and magnesium, have been implicated in the accurate functioning of some enzymes involved in </w:t>
      </w:r>
      <w:r w:rsidR="00D60AF7" w:rsidRPr="008773B1">
        <w:rPr>
          <w:rFonts w:ascii="Times New Roman" w:hAnsi="Times New Roman"/>
          <w:sz w:val="24"/>
          <w:szCs w:val="24"/>
        </w:rPr>
        <w:t xml:space="preserve">thyroid metabolic function. </w:t>
      </w:r>
      <w:r w:rsidR="000A02D0" w:rsidRPr="008773B1">
        <w:rPr>
          <w:rFonts w:ascii="Times New Roman" w:hAnsi="Times New Roman"/>
          <w:sz w:val="24"/>
          <w:szCs w:val="24"/>
        </w:rPr>
        <w:t xml:space="preserve">The </w:t>
      </w:r>
      <w:r w:rsidR="00D60AF7" w:rsidRPr="008773B1">
        <w:rPr>
          <w:rFonts w:ascii="Times New Roman" w:hAnsi="Times New Roman"/>
          <w:sz w:val="24"/>
          <w:szCs w:val="24"/>
        </w:rPr>
        <w:t xml:space="preserve">primary </w:t>
      </w:r>
      <w:r w:rsidR="000A02D0" w:rsidRPr="008773B1">
        <w:rPr>
          <w:rFonts w:ascii="Times New Roman" w:hAnsi="Times New Roman"/>
          <w:sz w:val="24"/>
          <w:szCs w:val="24"/>
        </w:rPr>
        <w:t xml:space="preserve">aim of this study was to evaluate the </w:t>
      </w:r>
      <w:r w:rsidR="00D60AF7" w:rsidRPr="008773B1">
        <w:rPr>
          <w:rFonts w:ascii="Times New Roman" w:hAnsi="Times New Roman"/>
          <w:sz w:val="24"/>
          <w:szCs w:val="24"/>
        </w:rPr>
        <w:t xml:space="preserve">levels of </w:t>
      </w:r>
      <w:r w:rsidR="00FB4B54">
        <w:rPr>
          <w:rFonts w:ascii="Times New Roman" w:hAnsi="Times New Roman"/>
          <w:sz w:val="24"/>
          <w:szCs w:val="24"/>
        </w:rPr>
        <w:t>retinol (</w:t>
      </w:r>
      <w:r w:rsidR="00D60AF7" w:rsidRPr="008773B1">
        <w:rPr>
          <w:rFonts w:ascii="Times New Roman" w:hAnsi="Times New Roman"/>
          <w:sz w:val="24"/>
          <w:szCs w:val="24"/>
        </w:rPr>
        <w:t>vitamin A</w:t>
      </w:r>
      <w:r w:rsidR="00FB4B54">
        <w:rPr>
          <w:rFonts w:ascii="Times New Roman" w:hAnsi="Times New Roman"/>
          <w:sz w:val="24"/>
          <w:szCs w:val="24"/>
        </w:rPr>
        <w:t>)</w:t>
      </w:r>
      <w:r w:rsidR="00D60AF7" w:rsidRPr="008773B1">
        <w:rPr>
          <w:rFonts w:ascii="Times New Roman" w:hAnsi="Times New Roman"/>
          <w:sz w:val="24"/>
          <w:szCs w:val="24"/>
        </w:rPr>
        <w:t>, zinc</w:t>
      </w:r>
      <w:r w:rsidR="00753B8A" w:rsidRPr="008773B1">
        <w:rPr>
          <w:rFonts w:ascii="Times New Roman" w:hAnsi="Times New Roman"/>
          <w:sz w:val="24"/>
          <w:szCs w:val="24"/>
        </w:rPr>
        <w:t>,</w:t>
      </w:r>
      <w:r w:rsidR="00D60AF7" w:rsidRPr="008773B1">
        <w:rPr>
          <w:rFonts w:ascii="Times New Roman" w:hAnsi="Times New Roman"/>
          <w:sz w:val="24"/>
          <w:szCs w:val="24"/>
        </w:rPr>
        <w:t xml:space="preserve"> and m</w:t>
      </w:r>
      <w:r w:rsidR="000A02D0" w:rsidRPr="008773B1">
        <w:rPr>
          <w:rFonts w:ascii="Times New Roman" w:hAnsi="Times New Roman"/>
          <w:sz w:val="24"/>
          <w:szCs w:val="24"/>
        </w:rPr>
        <w:t>agnesium in</w:t>
      </w:r>
      <w:r w:rsidR="00AB2154" w:rsidRPr="008773B1">
        <w:rPr>
          <w:rFonts w:ascii="Times New Roman" w:hAnsi="Times New Roman"/>
          <w:sz w:val="24"/>
          <w:szCs w:val="24"/>
        </w:rPr>
        <w:t xml:space="preserve"> adult males</w:t>
      </w:r>
      <w:r w:rsidR="000A02D0" w:rsidRPr="008773B1">
        <w:rPr>
          <w:rFonts w:ascii="Times New Roman" w:hAnsi="Times New Roman"/>
          <w:sz w:val="24"/>
          <w:szCs w:val="24"/>
        </w:rPr>
        <w:t xml:space="preserve"> </w:t>
      </w:r>
      <w:r w:rsidR="00AB2154" w:rsidRPr="008773B1">
        <w:rPr>
          <w:rFonts w:ascii="Times New Roman" w:hAnsi="Times New Roman"/>
          <w:sz w:val="24"/>
          <w:szCs w:val="24"/>
        </w:rPr>
        <w:t>and females</w:t>
      </w:r>
      <w:r w:rsidR="000A02D0" w:rsidRPr="008773B1">
        <w:rPr>
          <w:rFonts w:ascii="Times New Roman" w:hAnsi="Times New Roman"/>
          <w:sz w:val="24"/>
          <w:szCs w:val="24"/>
        </w:rPr>
        <w:t xml:space="preserve"> wi</w:t>
      </w:r>
      <w:r w:rsidR="00AB2154" w:rsidRPr="008773B1">
        <w:rPr>
          <w:rFonts w:ascii="Times New Roman" w:hAnsi="Times New Roman"/>
          <w:sz w:val="24"/>
          <w:szCs w:val="24"/>
        </w:rPr>
        <w:t>th abnormal thyroid function</w:t>
      </w:r>
      <w:r w:rsidR="000A02D0" w:rsidRPr="008773B1">
        <w:rPr>
          <w:rFonts w:ascii="Times New Roman" w:hAnsi="Times New Roman"/>
          <w:sz w:val="24"/>
          <w:szCs w:val="24"/>
        </w:rPr>
        <w:t xml:space="preserve">. </w:t>
      </w:r>
      <w:r w:rsidR="00803175" w:rsidRPr="008773B1">
        <w:rPr>
          <w:rFonts w:ascii="Times New Roman" w:hAnsi="Times New Roman"/>
          <w:sz w:val="24"/>
          <w:szCs w:val="24"/>
        </w:rPr>
        <w:t>The secondary aim was to determine the correlation between thyroid hormones and vitamin A, zinc</w:t>
      </w:r>
      <w:r w:rsidR="00753B8A" w:rsidRPr="008773B1">
        <w:rPr>
          <w:rFonts w:ascii="Times New Roman" w:hAnsi="Times New Roman"/>
          <w:sz w:val="24"/>
          <w:szCs w:val="24"/>
        </w:rPr>
        <w:t>,</w:t>
      </w:r>
      <w:r w:rsidR="00803175" w:rsidRPr="008773B1">
        <w:rPr>
          <w:rFonts w:ascii="Times New Roman" w:hAnsi="Times New Roman"/>
          <w:sz w:val="24"/>
          <w:szCs w:val="24"/>
        </w:rPr>
        <w:t xml:space="preserve"> and magnesium in study </w:t>
      </w:r>
      <w:r w:rsidR="004265AD" w:rsidRPr="008773B1">
        <w:rPr>
          <w:rFonts w:ascii="Times New Roman" w:hAnsi="Times New Roman"/>
          <w:sz w:val="24"/>
          <w:szCs w:val="24"/>
        </w:rPr>
        <w:t>participants.</w:t>
      </w:r>
    </w:p>
    <w:p w14:paraId="6B9B4530" w14:textId="77777777" w:rsidR="00EC770B" w:rsidRPr="008773B1" w:rsidRDefault="00EC770B" w:rsidP="000A02D0">
      <w:pPr>
        <w:spacing w:after="0" w:line="240" w:lineRule="auto"/>
        <w:jc w:val="both"/>
        <w:rPr>
          <w:rFonts w:ascii="Times New Roman" w:hAnsi="Times New Roman"/>
          <w:sz w:val="24"/>
          <w:szCs w:val="24"/>
        </w:rPr>
      </w:pPr>
    </w:p>
    <w:p w14:paraId="3EBA3FB8" w14:textId="77777777" w:rsidR="00B02039" w:rsidRPr="00A11514" w:rsidRDefault="00433DBE" w:rsidP="000A02D0">
      <w:pPr>
        <w:spacing w:after="0" w:line="240" w:lineRule="auto"/>
        <w:jc w:val="both"/>
        <w:rPr>
          <w:rFonts w:ascii="Times New Roman" w:hAnsi="Times New Roman"/>
          <w:b/>
          <w:sz w:val="24"/>
          <w:szCs w:val="24"/>
        </w:rPr>
      </w:pPr>
      <w:r w:rsidRPr="00A11514">
        <w:rPr>
          <w:rFonts w:ascii="Times New Roman" w:hAnsi="Times New Roman"/>
          <w:sz w:val="24"/>
          <w:szCs w:val="24"/>
        </w:rPr>
        <w:t>Methods</w:t>
      </w:r>
      <w:r w:rsidR="00A11514" w:rsidRPr="00A11514">
        <w:rPr>
          <w:rFonts w:ascii="Times New Roman" w:hAnsi="Times New Roman"/>
          <w:sz w:val="24"/>
          <w:szCs w:val="24"/>
        </w:rPr>
        <w:t>:</w:t>
      </w:r>
      <w:r w:rsidR="00A11514">
        <w:rPr>
          <w:rFonts w:ascii="Times New Roman" w:hAnsi="Times New Roman"/>
          <w:b/>
          <w:sz w:val="24"/>
          <w:szCs w:val="24"/>
        </w:rPr>
        <w:t xml:space="preserve"> </w:t>
      </w:r>
      <w:r w:rsidR="00882FDD">
        <w:rPr>
          <w:rFonts w:ascii="Times New Roman" w:hAnsi="Times New Roman"/>
          <w:sz w:val="24"/>
          <w:szCs w:val="24"/>
        </w:rPr>
        <w:t>This case-control study</w:t>
      </w:r>
      <w:r w:rsidR="00B02039" w:rsidRPr="008773B1">
        <w:rPr>
          <w:rFonts w:ascii="Times New Roman" w:hAnsi="Times New Roman"/>
          <w:sz w:val="24"/>
          <w:szCs w:val="24"/>
        </w:rPr>
        <w:t xml:space="preserve"> </w:t>
      </w:r>
      <w:r w:rsidR="00882FDD">
        <w:rPr>
          <w:rFonts w:ascii="Times New Roman" w:hAnsi="Times New Roman"/>
          <w:sz w:val="24"/>
          <w:szCs w:val="24"/>
        </w:rPr>
        <w:t>involved</w:t>
      </w:r>
      <w:r w:rsidR="00B74659" w:rsidRPr="008773B1">
        <w:rPr>
          <w:rFonts w:ascii="Times New Roman" w:hAnsi="Times New Roman"/>
          <w:sz w:val="24"/>
          <w:szCs w:val="24"/>
        </w:rPr>
        <w:t xml:space="preserve"> male and female subjects with abnormal levels of thyroid-stimulating hormone (TSH), triiodothyronine (T3), and thyroxine (T4). TSH, T3, T4, Vitamin A, zinc, and magnesium</w:t>
      </w:r>
      <w:r w:rsidR="004265AD" w:rsidRPr="008773B1">
        <w:rPr>
          <w:rFonts w:ascii="Times New Roman" w:hAnsi="Times New Roman"/>
          <w:sz w:val="24"/>
          <w:szCs w:val="24"/>
        </w:rPr>
        <w:t xml:space="preserve"> were </w:t>
      </w:r>
      <w:r w:rsidR="00695FD7" w:rsidRPr="008773B1">
        <w:rPr>
          <w:rFonts w:ascii="Times New Roman" w:hAnsi="Times New Roman"/>
          <w:sz w:val="24"/>
          <w:szCs w:val="24"/>
        </w:rPr>
        <w:t>analyz</w:t>
      </w:r>
      <w:r w:rsidR="004265AD" w:rsidRPr="008773B1">
        <w:rPr>
          <w:rFonts w:ascii="Times New Roman" w:hAnsi="Times New Roman"/>
          <w:sz w:val="24"/>
          <w:szCs w:val="24"/>
        </w:rPr>
        <w:t xml:space="preserve">ed from the serum of test and control participants. </w:t>
      </w:r>
      <w:r w:rsidR="00695FD7" w:rsidRPr="008773B1">
        <w:rPr>
          <w:rFonts w:ascii="Times New Roman" w:hAnsi="Times New Roman"/>
          <w:sz w:val="24"/>
          <w:szCs w:val="24"/>
        </w:rPr>
        <w:t>The data was analyzed using the IBM Statistical Package for Social Sciences (SPSS) Statistics (version 22.0).</w:t>
      </w:r>
    </w:p>
    <w:p w14:paraId="0A2B444C" w14:textId="77777777" w:rsidR="00072C4D" w:rsidRPr="008773B1" w:rsidRDefault="00072C4D" w:rsidP="000A02D0">
      <w:pPr>
        <w:spacing w:after="0" w:line="240" w:lineRule="auto"/>
        <w:jc w:val="both"/>
        <w:rPr>
          <w:rFonts w:ascii="Times New Roman" w:hAnsi="Times New Roman"/>
          <w:sz w:val="24"/>
          <w:szCs w:val="24"/>
        </w:rPr>
      </w:pPr>
    </w:p>
    <w:p w14:paraId="38E7D1E8" w14:textId="77777777" w:rsidR="00E73AC5" w:rsidRPr="00A11514" w:rsidRDefault="00072C4D" w:rsidP="000A02D0">
      <w:pPr>
        <w:spacing w:after="0" w:line="240" w:lineRule="auto"/>
        <w:jc w:val="both"/>
        <w:rPr>
          <w:rFonts w:ascii="Times New Roman" w:hAnsi="Times New Roman"/>
          <w:b/>
          <w:sz w:val="24"/>
          <w:szCs w:val="24"/>
        </w:rPr>
      </w:pPr>
      <w:r w:rsidRPr="00A11514">
        <w:rPr>
          <w:rFonts w:ascii="Times New Roman" w:hAnsi="Times New Roman"/>
          <w:sz w:val="24"/>
          <w:szCs w:val="24"/>
        </w:rPr>
        <w:t>Result</w:t>
      </w:r>
      <w:r w:rsidR="00A11514" w:rsidRPr="00A11514">
        <w:rPr>
          <w:rFonts w:ascii="Times New Roman" w:hAnsi="Times New Roman"/>
          <w:sz w:val="24"/>
          <w:szCs w:val="24"/>
        </w:rPr>
        <w:t>s:</w:t>
      </w:r>
      <w:r w:rsidR="00A11514">
        <w:rPr>
          <w:rFonts w:ascii="Times New Roman" w:hAnsi="Times New Roman"/>
          <w:b/>
          <w:sz w:val="24"/>
          <w:szCs w:val="24"/>
        </w:rPr>
        <w:t xml:space="preserve"> </w:t>
      </w:r>
      <w:r w:rsidR="00882FDD">
        <w:rPr>
          <w:rFonts w:ascii="Times New Roman" w:hAnsi="Times New Roman"/>
          <w:sz w:val="24"/>
          <w:szCs w:val="24"/>
        </w:rPr>
        <w:t xml:space="preserve">This study included </w:t>
      </w:r>
      <w:r w:rsidR="00F548F5">
        <w:rPr>
          <w:rFonts w:ascii="Times New Roman" w:hAnsi="Times New Roman"/>
          <w:sz w:val="24"/>
          <w:szCs w:val="24"/>
        </w:rPr>
        <w:t>300</w:t>
      </w:r>
      <w:r w:rsidR="00D32229" w:rsidRPr="008773B1">
        <w:rPr>
          <w:rFonts w:ascii="Times New Roman" w:hAnsi="Times New Roman"/>
          <w:sz w:val="24"/>
          <w:szCs w:val="24"/>
        </w:rPr>
        <w:t xml:space="preserve"> male and female subjects.</w:t>
      </w:r>
      <w:r w:rsidR="0075153B" w:rsidRPr="008773B1">
        <w:rPr>
          <w:rFonts w:ascii="Times New Roman" w:hAnsi="Times New Roman"/>
          <w:sz w:val="24"/>
          <w:szCs w:val="24"/>
        </w:rPr>
        <w:t xml:space="preserve"> </w:t>
      </w:r>
      <w:r w:rsidR="00F548F5">
        <w:rPr>
          <w:rFonts w:ascii="Times New Roman" w:hAnsi="Times New Roman"/>
          <w:sz w:val="24"/>
          <w:szCs w:val="24"/>
        </w:rPr>
        <w:t>100</w:t>
      </w:r>
      <w:r w:rsidR="00D32229" w:rsidRPr="008773B1">
        <w:rPr>
          <w:rFonts w:ascii="Times New Roman" w:hAnsi="Times New Roman"/>
          <w:sz w:val="24"/>
          <w:szCs w:val="24"/>
        </w:rPr>
        <w:t xml:space="preserve"> </w:t>
      </w:r>
      <w:r w:rsidR="0075153B" w:rsidRPr="008773B1">
        <w:rPr>
          <w:rFonts w:ascii="Times New Roman" w:hAnsi="Times New Roman"/>
          <w:sz w:val="24"/>
          <w:szCs w:val="24"/>
        </w:rPr>
        <w:t xml:space="preserve">were </w:t>
      </w:r>
      <w:r w:rsidR="00D32229" w:rsidRPr="008773B1">
        <w:rPr>
          <w:rFonts w:ascii="Times New Roman" w:hAnsi="Times New Roman"/>
          <w:sz w:val="24"/>
          <w:szCs w:val="24"/>
        </w:rPr>
        <w:t xml:space="preserve">males </w:t>
      </w:r>
      <w:r w:rsidR="00B6152C" w:rsidRPr="008773B1">
        <w:rPr>
          <w:rFonts w:ascii="Times New Roman" w:hAnsi="Times New Roman"/>
          <w:sz w:val="24"/>
          <w:szCs w:val="24"/>
        </w:rPr>
        <w:t xml:space="preserve">with abnormal serum thyroid hormones, </w:t>
      </w:r>
      <w:r w:rsidR="00244ABD" w:rsidRPr="008773B1">
        <w:rPr>
          <w:rFonts w:ascii="Times New Roman" w:hAnsi="Times New Roman"/>
          <w:sz w:val="24"/>
          <w:szCs w:val="24"/>
        </w:rPr>
        <w:t xml:space="preserve">while </w:t>
      </w:r>
      <w:r w:rsidR="00F548F5">
        <w:rPr>
          <w:rFonts w:ascii="Times New Roman" w:hAnsi="Times New Roman"/>
          <w:sz w:val="24"/>
          <w:szCs w:val="24"/>
        </w:rPr>
        <w:t>100</w:t>
      </w:r>
      <w:r w:rsidR="00244ABD" w:rsidRPr="008773B1">
        <w:rPr>
          <w:rFonts w:ascii="Times New Roman" w:hAnsi="Times New Roman"/>
          <w:sz w:val="24"/>
          <w:szCs w:val="24"/>
        </w:rPr>
        <w:t xml:space="preserve"> were females with abnormal serum thyroid hormones. </w:t>
      </w:r>
      <w:r w:rsidR="000A02D0" w:rsidRPr="008773B1">
        <w:rPr>
          <w:rFonts w:ascii="Times New Roman" w:hAnsi="Times New Roman"/>
          <w:sz w:val="24"/>
          <w:szCs w:val="24"/>
        </w:rPr>
        <w:t xml:space="preserve">The results obtained showed that </w:t>
      </w:r>
      <w:r w:rsidR="00B6152C" w:rsidRPr="008773B1">
        <w:rPr>
          <w:rFonts w:ascii="Times New Roman" w:hAnsi="Times New Roman"/>
          <w:sz w:val="24"/>
          <w:szCs w:val="24"/>
        </w:rPr>
        <w:t>serum z</w:t>
      </w:r>
      <w:r w:rsidR="000A02D0" w:rsidRPr="008773B1">
        <w:rPr>
          <w:rFonts w:ascii="Times New Roman" w:hAnsi="Times New Roman"/>
          <w:sz w:val="24"/>
          <w:szCs w:val="24"/>
        </w:rPr>
        <w:t xml:space="preserve">inc </w:t>
      </w:r>
      <w:r w:rsidR="00B6152C" w:rsidRPr="008773B1">
        <w:rPr>
          <w:rFonts w:ascii="Times New Roman" w:hAnsi="Times New Roman"/>
          <w:sz w:val="24"/>
          <w:szCs w:val="24"/>
        </w:rPr>
        <w:t>levels in</w:t>
      </w:r>
      <w:r w:rsidR="000A02D0" w:rsidRPr="008773B1">
        <w:rPr>
          <w:rFonts w:ascii="Times New Roman" w:hAnsi="Times New Roman"/>
          <w:sz w:val="24"/>
          <w:szCs w:val="24"/>
        </w:rPr>
        <w:t xml:space="preserve"> </w:t>
      </w:r>
      <w:r w:rsidR="00B6152C" w:rsidRPr="008773B1">
        <w:rPr>
          <w:rFonts w:ascii="Times New Roman" w:hAnsi="Times New Roman"/>
          <w:sz w:val="24"/>
          <w:szCs w:val="24"/>
        </w:rPr>
        <w:t xml:space="preserve">Test </w:t>
      </w:r>
      <w:r w:rsidR="000A02D0" w:rsidRPr="008773B1">
        <w:rPr>
          <w:rFonts w:ascii="Times New Roman" w:hAnsi="Times New Roman"/>
          <w:sz w:val="24"/>
          <w:szCs w:val="24"/>
        </w:rPr>
        <w:t xml:space="preserve">subjects with hyperthyroidism (1.19 ± 0.6) </w:t>
      </w:r>
      <w:r w:rsidR="00B6152C" w:rsidRPr="008773B1">
        <w:rPr>
          <w:rFonts w:ascii="Times New Roman" w:hAnsi="Times New Roman"/>
          <w:sz w:val="24"/>
          <w:szCs w:val="24"/>
        </w:rPr>
        <w:t>were</w:t>
      </w:r>
      <w:r w:rsidR="000A02D0" w:rsidRPr="008773B1">
        <w:rPr>
          <w:rFonts w:ascii="Times New Roman" w:hAnsi="Times New Roman"/>
          <w:sz w:val="24"/>
          <w:szCs w:val="24"/>
        </w:rPr>
        <w:t xml:space="preserve"> significantly lower tha</w:t>
      </w:r>
      <w:r w:rsidR="00753B8A" w:rsidRPr="008773B1">
        <w:rPr>
          <w:rFonts w:ascii="Times New Roman" w:hAnsi="Times New Roman"/>
          <w:sz w:val="24"/>
          <w:szCs w:val="24"/>
        </w:rPr>
        <w:t xml:space="preserve">n </w:t>
      </w:r>
      <w:r w:rsidR="00201C12" w:rsidRPr="008773B1">
        <w:rPr>
          <w:rFonts w:ascii="Times New Roman" w:hAnsi="Times New Roman"/>
          <w:sz w:val="24"/>
          <w:szCs w:val="24"/>
        </w:rPr>
        <w:t>in control</w:t>
      </w:r>
      <w:r w:rsidR="00753B8A" w:rsidRPr="008773B1">
        <w:rPr>
          <w:rFonts w:ascii="Times New Roman" w:hAnsi="Times New Roman"/>
          <w:sz w:val="24"/>
          <w:szCs w:val="24"/>
        </w:rPr>
        <w:t xml:space="preserve"> (2.27 ± 0.7; </w:t>
      </w:r>
      <w:r w:rsidR="000A02D0" w:rsidRPr="008773B1">
        <w:rPr>
          <w:rFonts w:ascii="Times New Roman" w:hAnsi="Times New Roman"/>
          <w:sz w:val="24"/>
          <w:szCs w:val="24"/>
        </w:rPr>
        <w:t xml:space="preserve">p=0.00), but significantly higher than </w:t>
      </w:r>
      <w:r w:rsidR="00201C12" w:rsidRPr="008773B1">
        <w:rPr>
          <w:rFonts w:ascii="Times New Roman" w:hAnsi="Times New Roman"/>
          <w:sz w:val="24"/>
          <w:szCs w:val="24"/>
        </w:rPr>
        <w:t xml:space="preserve">in </w:t>
      </w:r>
      <w:r w:rsidR="000A02D0" w:rsidRPr="008773B1">
        <w:rPr>
          <w:rFonts w:ascii="Times New Roman" w:hAnsi="Times New Roman"/>
          <w:sz w:val="24"/>
          <w:szCs w:val="24"/>
        </w:rPr>
        <w:t>subjects wi</w:t>
      </w:r>
      <w:r w:rsidR="00753B8A" w:rsidRPr="008773B1">
        <w:rPr>
          <w:rFonts w:ascii="Times New Roman" w:hAnsi="Times New Roman"/>
          <w:sz w:val="24"/>
          <w:szCs w:val="24"/>
        </w:rPr>
        <w:t xml:space="preserve">th hypothyroidism (0.92 ± 0.4; </w:t>
      </w:r>
      <w:r w:rsidR="000A02D0" w:rsidRPr="008773B1">
        <w:rPr>
          <w:rFonts w:ascii="Times New Roman" w:hAnsi="Times New Roman"/>
          <w:sz w:val="24"/>
          <w:szCs w:val="24"/>
        </w:rPr>
        <w:t xml:space="preserve">p=0.00). </w:t>
      </w:r>
      <w:r w:rsidR="00B6152C" w:rsidRPr="008773B1">
        <w:rPr>
          <w:rFonts w:ascii="Times New Roman" w:hAnsi="Times New Roman"/>
          <w:sz w:val="24"/>
          <w:szCs w:val="24"/>
        </w:rPr>
        <w:t xml:space="preserve">Magnesium </w:t>
      </w:r>
      <w:r w:rsidR="000A02D0" w:rsidRPr="008773B1">
        <w:rPr>
          <w:rFonts w:ascii="Times New Roman" w:hAnsi="Times New Roman"/>
          <w:sz w:val="24"/>
          <w:szCs w:val="24"/>
        </w:rPr>
        <w:t xml:space="preserve">levels </w:t>
      </w:r>
      <w:r w:rsidR="009F4CC3" w:rsidRPr="008773B1">
        <w:rPr>
          <w:rFonts w:ascii="Times New Roman" w:hAnsi="Times New Roman"/>
          <w:sz w:val="24"/>
          <w:szCs w:val="24"/>
        </w:rPr>
        <w:t>in Test</w:t>
      </w:r>
      <w:r w:rsidR="000A02D0" w:rsidRPr="008773B1">
        <w:rPr>
          <w:rFonts w:ascii="Times New Roman" w:hAnsi="Times New Roman"/>
          <w:sz w:val="24"/>
          <w:szCs w:val="24"/>
        </w:rPr>
        <w:t xml:space="preserve"> subjects with hyperthyroidism (1.19±0.38) </w:t>
      </w:r>
      <w:r w:rsidR="00B6152C" w:rsidRPr="008773B1">
        <w:rPr>
          <w:rFonts w:ascii="Times New Roman" w:hAnsi="Times New Roman"/>
          <w:sz w:val="24"/>
          <w:szCs w:val="24"/>
        </w:rPr>
        <w:t>were</w:t>
      </w:r>
      <w:r w:rsidR="000A02D0" w:rsidRPr="008773B1">
        <w:rPr>
          <w:rFonts w:ascii="Times New Roman" w:hAnsi="Times New Roman"/>
          <w:sz w:val="24"/>
          <w:szCs w:val="24"/>
        </w:rPr>
        <w:t xml:space="preserve"> significantly lower th</w:t>
      </w:r>
      <w:r w:rsidR="00753B8A" w:rsidRPr="008773B1">
        <w:rPr>
          <w:rFonts w:ascii="Times New Roman" w:hAnsi="Times New Roman"/>
          <w:sz w:val="24"/>
          <w:szCs w:val="24"/>
        </w:rPr>
        <w:t xml:space="preserve">an </w:t>
      </w:r>
      <w:r w:rsidR="00201C12" w:rsidRPr="008773B1">
        <w:rPr>
          <w:rFonts w:ascii="Times New Roman" w:hAnsi="Times New Roman"/>
          <w:sz w:val="24"/>
          <w:szCs w:val="24"/>
        </w:rPr>
        <w:t>in control</w:t>
      </w:r>
      <w:r w:rsidR="00753B8A" w:rsidRPr="008773B1">
        <w:rPr>
          <w:rFonts w:ascii="Times New Roman" w:hAnsi="Times New Roman"/>
          <w:sz w:val="24"/>
          <w:szCs w:val="24"/>
        </w:rPr>
        <w:t xml:space="preserve"> (2.09±0.36; </w:t>
      </w:r>
      <w:r w:rsidR="000A02D0" w:rsidRPr="008773B1">
        <w:rPr>
          <w:rFonts w:ascii="Times New Roman" w:hAnsi="Times New Roman"/>
          <w:sz w:val="24"/>
          <w:szCs w:val="24"/>
        </w:rPr>
        <w:t xml:space="preserve">p=0.00), but significantly higher than </w:t>
      </w:r>
      <w:r w:rsidR="00201C12" w:rsidRPr="008773B1">
        <w:rPr>
          <w:rFonts w:ascii="Times New Roman" w:hAnsi="Times New Roman"/>
          <w:sz w:val="24"/>
          <w:szCs w:val="24"/>
        </w:rPr>
        <w:t xml:space="preserve">in Test </w:t>
      </w:r>
      <w:r w:rsidR="000A02D0" w:rsidRPr="008773B1">
        <w:rPr>
          <w:rFonts w:ascii="Times New Roman" w:hAnsi="Times New Roman"/>
          <w:sz w:val="24"/>
          <w:szCs w:val="24"/>
        </w:rPr>
        <w:t>subjects w</w:t>
      </w:r>
      <w:r w:rsidR="00201C12" w:rsidRPr="008773B1">
        <w:rPr>
          <w:rFonts w:ascii="Times New Roman" w:hAnsi="Times New Roman"/>
          <w:sz w:val="24"/>
          <w:szCs w:val="24"/>
        </w:rPr>
        <w:t xml:space="preserve">ith hypothyroidism (1.31±0.22; </w:t>
      </w:r>
      <w:r w:rsidR="000A02D0" w:rsidRPr="008773B1">
        <w:rPr>
          <w:rFonts w:ascii="Times New Roman" w:hAnsi="Times New Roman"/>
          <w:sz w:val="24"/>
          <w:szCs w:val="24"/>
        </w:rPr>
        <w:t xml:space="preserve">p=0.00). Vitamin A levels </w:t>
      </w:r>
      <w:r w:rsidR="009F4CC3" w:rsidRPr="008773B1">
        <w:rPr>
          <w:rFonts w:ascii="Times New Roman" w:hAnsi="Times New Roman"/>
          <w:sz w:val="24"/>
          <w:szCs w:val="24"/>
        </w:rPr>
        <w:t>in Test</w:t>
      </w:r>
      <w:r w:rsidR="000A02D0" w:rsidRPr="008773B1">
        <w:rPr>
          <w:rFonts w:ascii="Times New Roman" w:hAnsi="Times New Roman"/>
          <w:sz w:val="24"/>
          <w:szCs w:val="24"/>
        </w:rPr>
        <w:t xml:space="preserve"> subjects with hyperthyroidism (255.8±70.3) </w:t>
      </w:r>
      <w:r w:rsidR="00B6152C" w:rsidRPr="008773B1">
        <w:rPr>
          <w:rFonts w:ascii="Times New Roman" w:hAnsi="Times New Roman"/>
          <w:sz w:val="24"/>
          <w:szCs w:val="24"/>
        </w:rPr>
        <w:t>were</w:t>
      </w:r>
      <w:r w:rsidR="000A02D0" w:rsidRPr="008773B1">
        <w:rPr>
          <w:rFonts w:ascii="Times New Roman" w:hAnsi="Times New Roman"/>
          <w:sz w:val="24"/>
          <w:szCs w:val="24"/>
        </w:rPr>
        <w:t xml:space="preserve"> significantly lower than </w:t>
      </w:r>
      <w:r w:rsidR="00201C12" w:rsidRPr="008773B1">
        <w:rPr>
          <w:rFonts w:ascii="Times New Roman" w:hAnsi="Times New Roman"/>
          <w:sz w:val="24"/>
          <w:szCs w:val="24"/>
        </w:rPr>
        <w:t xml:space="preserve">in control (342.9±57.9; </w:t>
      </w:r>
      <w:r w:rsidR="000A02D0" w:rsidRPr="008773B1">
        <w:rPr>
          <w:rFonts w:ascii="Times New Roman" w:hAnsi="Times New Roman"/>
          <w:sz w:val="24"/>
          <w:szCs w:val="24"/>
        </w:rPr>
        <w:t>p=</w:t>
      </w:r>
      <w:r w:rsidR="009F4CC3" w:rsidRPr="008773B1">
        <w:rPr>
          <w:rFonts w:ascii="Times New Roman" w:hAnsi="Times New Roman"/>
          <w:sz w:val="24"/>
          <w:szCs w:val="24"/>
        </w:rPr>
        <w:t xml:space="preserve">in </w:t>
      </w:r>
      <w:r w:rsidR="000A02D0" w:rsidRPr="008773B1">
        <w:rPr>
          <w:rFonts w:ascii="Times New Roman" w:hAnsi="Times New Roman"/>
          <w:sz w:val="24"/>
          <w:szCs w:val="24"/>
        </w:rPr>
        <w:t>0.00), but significantly higher than subjects wi</w:t>
      </w:r>
      <w:r w:rsidR="00201C12" w:rsidRPr="008773B1">
        <w:rPr>
          <w:rFonts w:ascii="Times New Roman" w:hAnsi="Times New Roman"/>
          <w:sz w:val="24"/>
          <w:szCs w:val="24"/>
        </w:rPr>
        <w:t xml:space="preserve">th hypothyroidism (154.2±44.5; </w:t>
      </w:r>
      <w:r w:rsidR="000A02D0" w:rsidRPr="008773B1">
        <w:rPr>
          <w:rFonts w:ascii="Times New Roman" w:hAnsi="Times New Roman"/>
          <w:sz w:val="24"/>
          <w:szCs w:val="24"/>
        </w:rPr>
        <w:t xml:space="preserve">p=0.00). Subjects with hypothyroidism had significantly lower vitamin A than </w:t>
      </w:r>
      <w:r w:rsidR="00201C12" w:rsidRPr="008773B1">
        <w:rPr>
          <w:rFonts w:ascii="Times New Roman" w:hAnsi="Times New Roman"/>
          <w:sz w:val="24"/>
          <w:szCs w:val="24"/>
        </w:rPr>
        <w:t>in control</w:t>
      </w:r>
      <w:r w:rsidR="000A02D0" w:rsidRPr="008773B1">
        <w:rPr>
          <w:rFonts w:ascii="Times New Roman" w:hAnsi="Times New Roman"/>
          <w:sz w:val="24"/>
          <w:szCs w:val="24"/>
        </w:rPr>
        <w:t xml:space="preserve"> (p=0.00). </w:t>
      </w:r>
    </w:p>
    <w:p w14:paraId="306C70E6" w14:textId="77777777" w:rsidR="00E73AC5" w:rsidRPr="008773B1" w:rsidRDefault="00E73AC5" w:rsidP="000A02D0">
      <w:pPr>
        <w:spacing w:after="0" w:line="240" w:lineRule="auto"/>
        <w:jc w:val="both"/>
        <w:rPr>
          <w:rFonts w:ascii="Times New Roman" w:hAnsi="Times New Roman"/>
          <w:sz w:val="24"/>
          <w:szCs w:val="24"/>
        </w:rPr>
      </w:pPr>
      <w:r w:rsidRPr="008773B1">
        <w:rPr>
          <w:rFonts w:ascii="Times New Roman" w:hAnsi="Times New Roman"/>
          <w:sz w:val="24"/>
          <w:szCs w:val="24"/>
        </w:rPr>
        <w:t xml:space="preserve"> </w:t>
      </w:r>
    </w:p>
    <w:p w14:paraId="4B33E332" w14:textId="77777777" w:rsidR="000A02D0" w:rsidRPr="00A11514" w:rsidRDefault="00E73AC5" w:rsidP="000A02D0">
      <w:pPr>
        <w:spacing w:after="0" w:line="240" w:lineRule="auto"/>
        <w:jc w:val="both"/>
        <w:rPr>
          <w:rFonts w:ascii="Times New Roman" w:hAnsi="Times New Roman"/>
          <w:b/>
          <w:sz w:val="24"/>
          <w:szCs w:val="24"/>
        </w:rPr>
      </w:pPr>
      <w:r w:rsidRPr="00A11514">
        <w:rPr>
          <w:rFonts w:ascii="Times New Roman" w:hAnsi="Times New Roman"/>
          <w:sz w:val="24"/>
          <w:szCs w:val="24"/>
        </w:rPr>
        <w:t>Conclusion</w:t>
      </w:r>
      <w:r w:rsidR="00A11514" w:rsidRPr="00A11514">
        <w:rPr>
          <w:rFonts w:ascii="Times New Roman" w:hAnsi="Times New Roman"/>
          <w:sz w:val="24"/>
          <w:szCs w:val="24"/>
        </w:rPr>
        <w:t>:</w:t>
      </w:r>
      <w:r w:rsidR="00A11514">
        <w:rPr>
          <w:rFonts w:ascii="Times New Roman" w:hAnsi="Times New Roman"/>
          <w:b/>
          <w:sz w:val="24"/>
          <w:szCs w:val="24"/>
        </w:rPr>
        <w:t xml:space="preserve"> </w:t>
      </w:r>
      <w:r w:rsidR="00F521E2">
        <w:rPr>
          <w:rFonts w:ascii="Times New Roman" w:hAnsi="Times New Roman"/>
          <w:sz w:val="24"/>
          <w:szCs w:val="24"/>
        </w:rPr>
        <w:t>From our findings, i</w:t>
      </w:r>
      <w:r w:rsidR="000A02D0" w:rsidRPr="008773B1">
        <w:rPr>
          <w:rFonts w:ascii="Times New Roman" w:hAnsi="Times New Roman"/>
          <w:sz w:val="24"/>
          <w:szCs w:val="24"/>
        </w:rPr>
        <w:t xml:space="preserve">t </w:t>
      </w:r>
      <w:r w:rsidR="00F521E2">
        <w:rPr>
          <w:rFonts w:ascii="Times New Roman" w:hAnsi="Times New Roman"/>
          <w:sz w:val="24"/>
          <w:szCs w:val="24"/>
        </w:rPr>
        <w:t xml:space="preserve">could be seen </w:t>
      </w:r>
      <w:r w:rsidRPr="008773B1">
        <w:rPr>
          <w:rFonts w:ascii="Times New Roman" w:hAnsi="Times New Roman"/>
          <w:sz w:val="24"/>
          <w:szCs w:val="24"/>
        </w:rPr>
        <w:t>that def</w:t>
      </w:r>
      <w:r w:rsidR="000E4B33" w:rsidRPr="008773B1">
        <w:rPr>
          <w:rFonts w:ascii="Times New Roman" w:hAnsi="Times New Roman"/>
          <w:sz w:val="24"/>
          <w:szCs w:val="24"/>
        </w:rPr>
        <w:t xml:space="preserve">iciency of Zn Mg and Vitamin A </w:t>
      </w:r>
      <w:r w:rsidRPr="008773B1">
        <w:rPr>
          <w:rFonts w:ascii="Times New Roman" w:hAnsi="Times New Roman"/>
          <w:sz w:val="24"/>
          <w:szCs w:val="24"/>
        </w:rPr>
        <w:t>had minimal</w:t>
      </w:r>
      <w:r w:rsidR="000A02D0" w:rsidRPr="008773B1">
        <w:rPr>
          <w:rFonts w:ascii="Times New Roman" w:hAnsi="Times New Roman"/>
          <w:sz w:val="24"/>
          <w:szCs w:val="24"/>
        </w:rPr>
        <w:t xml:space="preserve"> involvement in hypothyroid and hyperthyroid </w:t>
      </w:r>
      <w:r w:rsidRPr="008773B1">
        <w:rPr>
          <w:rFonts w:ascii="Times New Roman" w:hAnsi="Times New Roman"/>
          <w:sz w:val="24"/>
          <w:szCs w:val="24"/>
        </w:rPr>
        <w:t>disorders</w:t>
      </w:r>
      <w:r w:rsidR="000A02D0" w:rsidRPr="008773B1">
        <w:rPr>
          <w:rFonts w:ascii="Times New Roman" w:hAnsi="Times New Roman"/>
          <w:sz w:val="24"/>
          <w:szCs w:val="24"/>
        </w:rPr>
        <w:t xml:space="preserve">. Further studies should be carried out with a large sample size to depict the exact roles of these trace elements and vitamins in the </w:t>
      </w:r>
      <w:r w:rsidR="00201C12" w:rsidRPr="008773B1">
        <w:rPr>
          <w:rFonts w:ascii="Times New Roman" w:hAnsi="Times New Roman"/>
          <w:sz w:val="24"/>
          <w:szCs w:val="24"/>
        </w:rPr>
        <w:t>disease-causing</w:t>
      </w:r>
      <w:r w:rsidR="000A02D0" w:rsidRPr="008773B1">
        <w:rPr>
          <w:rFonts w:ascii="Times New Roman" w:hAnsi="Times New Roman"/>
          <w:sz w:val="24"/>
          <w:szCs w:val="24"/>
        </w:rPr>
        <w:t xml:space="preserve"> mechanism of thyroid abnormalities.</w:t>
      </w:r>
    </w:p>
    <w:p w14:paraId="209FE57C" w14:textId="77777777" w:rsidR="000A02D0" w:rsidRPr="008773B1" w:rsidRDefault="000A02D0" w:rsidP="000A02D0">
      <w:pPr>
        <w:pStyle w:val="NoSpacing"/>
        <w:spacing w:line="480" w:lineRule="auto"/>
        <w:jc w:val="both"/>
        <w:rPr>
          <w:rFonts w:ascii="Times New Roman" w:hAnsi="Times New Roman" w:cs="Times New Roman"/>
          <w:sz w:val="24"/>
          <w:szCs w:val="24"/>
        </w:rPr>
      </w:pPr>
    </w:p>
    <w:p w14:paraId="3133843D" w14:textId="77777777" w:rsidR="00251050" w:rsidRPr="008773B1" w:rsidRDefault="00E73AC5" w:rsidP="000A02D0">
      <w:pPr>
        <w:jc w:val="both"/>
        <w:rPr>
          <w:rFonts w:ascii="Times New Roman" w:hAnsi="Times New Roman"/>
          <w:sz w:val="24"/>
          <w:szCs w:val="24"/>
        </w:rPr>
      </w:pPr>
      <w:r w:rsidRPr="008773B1">
        <w:rPr>
          <w:rFonts w:ascii="Times New Roman" w:hAnsi="Times New Roman"/>
          <w:sz w:val="24"/>
          <w:szCs w:val="24"/>
        </w:rPr>
        <w:t>Keywords:</w:t>
      </w:r>
      <w:r w:rsidR="004D1D69">
        <w:rPr>
          <w:rFonts w:ascii="Times New Roman" w:hAnsi="Times New Roman"/>
          <w:sz w:val="24"/>
          <w:szCs w:val="24"/>
        </w:rPr>
        <w:t xml:space="preserve"> </w:t>
      </w:r>
      <w:r w:rsidR="00DD64E0">
        <w:rPr>
          <w:rFonts w:ascii="Times New Roman" w:hAnsi="Times New Roman"/>
          <w:sz w:val="24"/>
          <w:szCs w:val="24"/>
        </w:rPr>
        <w:t>t</w:t>
      </w:r>
      <w:r w:rsidR="004D1D69">
        <w:rPr>
          <w:rFonts w:ascii="Times New Roman" w:hAnsi="Times New Roman"/>
          <w:sz w:val="24"/>
          <w:szCs w:val="24"/>
        </w:rPr>
        <w:t xml:space="preserve">hyroid, </w:t>
      </w:r>
      <w:r w:rsidR="004D1D69" w:rsidRPr="004D1D69">
        <w:rPr>
          <w:rFonts w:ascii="Times New Roman" w:hAnsi="Times New Roman"/>
          <w:sz w:val="24"/>
          <w:szCs w:val="24"/>
        </w:rPr>
        <w:t>vitamin A, zinc, magnesium</w:t>
      </w:r>
    </w:p>
    <w:p w14:paraId="2064E8DC" w14:textId="77777777" w:rsidR="00E73AC5" w:rsidRPr="008773B1" w:rsidRDefault="00E73AC5" w:rsidP="000A02D0">
      <w:pPr>
        <w:jc w:val="both"/>
        <w:rPr>
          <w:rFonts w:ascii="Times New Roman" w:hAnsi="Times New Roman"/>
          <w:b/>
          <w:sz w:val="24"/>
          <w:szCs w:val="24"/>
        </w:rPr>
      </w:pPr>
      <w:r w:rsidRPr="008773B1">
        <w:rPr>
          <w:rFonts w:ascii="Times New Roman" w:hAnsi="Times New Roman"/>
          <w:b/>
          <w:sz w:val="24"/>
          <w:szCs w:val="24"/>
        </w:rPr>
        <w:t xml:space="preserve">Introduction </w:t>
      </w:r>
    </w:p>
    <w:p w14:paraId="5A460B73" w14:textId="77777777" w:rsidR="00D85413" w:rsidRPr="008773B1" w:rsidRDefault="00C24D3E"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Variation in the TSH and thyroid hormone levels may indicate that normal thyroid function has been altered</w:t>
      </w:r>
      <w:r w:rsidR="00412235" w:rsidRPr="008773B1">
        <w:rPr>
          <w:rFonts w:ascii="Times New Roman" w:hAnsi="Times New Roman"/>
          <w:sz w:val="24"/>
          <w:szCs w:val="24"/>
        </w:rPr>
        <w:t xml:space="preserve"> [1]</w:t>
      </w:r>
      <w:r w:rsidRPr="008773B1">
        <w:rPr>
          <w:rFonts w:ascii="Times New Roman" w:hAnsi="Times New Roman"/>
          <w:sz w:val="24"/>
          <w:szCs w:val="24"/>
        </w:rPr>
        <w:t xml:space="preserve">. </w:t>
      </w:r>
      <w:r w:rsidRPr="008773B1">
        <w:rPr>
          <w:rFonts w:ascii="Times New Roman" w:eastAsia="Times New Roman" w:hAnsi="Times New Roman"/>
          <w:sz w:val="24"/>
          <w:szCs w:val="24"/>
        </w:rPr>
        <w:t>Mineral metabolisms like calcium, magnesium</w:t>
      </w:r>
      <w:r w:rsidR="00201C12" w:rsidRPr="008773B1">
        <w:rPr>
          <w:rFonts w:ascii="Times New Roman" w:eastAsia="Times New Roman" w:hAnsi="Times New Roman"/>
          <w:sz w:val="24"/>
          <w:szCs w:val="24"/>
        </w:rPr>
        <w:t>,</w:t>
      </w:r>
      <w:r w:rsidRPr="008773B1">
        <w:rPr>
          <w:rFonts w:ascii="Times New Roman" w:eastAsia="Times New Roman" w:hAnsi="Times New Roman"/>
          <w:sz w:val="24"/>
          <w:szCs w:val="24"/>
        </w:rPr>
        <w:t xml:space="preserve"> and phosphorous </w:t>
      </w:r>
      <w:r w:rsidR="00201C12" w:rsidRPr="008773B1">
        <w:rPr>
          <w:rFonts w:ascii="Times New Roman" w:eastAsia="Times New Roman" w:hAnsi="Times New Roman"/>
          <w:sz w:val="24"/>
          <w:szCs w:val="24"/>
        </w:rPr>
        <w:t>are</w:t>
      </w:r>
      <w:r w:rsidRPr="008773B1">
        <w:rPr>
          <w:rFonts w:ascii="Times New Roman" w:eastAsia="Times New Roman" w:hAnsi="Times New Roman"/>
          <w:sz w:val="24"/>
          <w:szCs w:val="24"/>
        </w:rPr>
        <w:t xml:space="preserve"> frequently disturbed in thyroid dysfunctions. </w:t>
      </w:r>
      <w:r w:rsidRPr="008773B1">
        <w:rPr>
          <w:rFonts w:ascii="Times New Roman" w:hAnsi="Times New Roman"/>
          <w:sz w:val="24"/>
          <w:szCs w:val="24"/>
        </w:rPr>
        <w:t xml:space="preserve">Zinc is a trace element, which is required for the activity of more than 300 enzymes </w:t>
      </w:r>
      <w:r w:rsidR="00412235" w:rsidRPr="008773B1">
        <w:rPr>
          <w:rFonts w:ascii="Times New Roman" w:hAnsi="Times New Roman"/>
          <w:sz w:val="24"/>
          <w:szCs w:val="24"/>
        </w:rPr>
        <w:t>[1]</w:t>
      </w:r>
      <w:r w:rsidRPr="008773B1">
        <w:rPr>
          <w:rFonts w:ascii="Times New Roman" w:hAnsi="Times New Roman"/>
          <w:sz w:val="24"/>
          <w:szCs w:val="24"/>
        </w:rPr>
        <w:t>. Zinc, which plays an important role in the endocrine system due to its above-</w:t>
      </w:r>
      <w:r w:rsidRPr="008773B1">
        <w:rPr>
          <w:rFonts w:ascii="Times New Roman" w:hAnsi="Times New Roman"/>
          <w:sz w:val="24"/>
          <w:szCs w:val="24"/>
        </w:rPr>
        <w:lastRenderedPageBreak/>
        <w:t>mentioned effects, is also necessary for optimal activity of many hormones, including thyroid hormones</w:t>
      </w:r>
      <w:r w:rsidR="00412235" w:rsidRPr="008773B1">
        <w:rPr>
          <w:rFonts w:ascii="Times New Roman" w:hAnsi="Times New Roman"/>
          <w:sz w:val="24"/>
          <w:szCs w:val="24"/>
        </w:rPr>
        <w:t xml:space="preserve"> [2]</w:t>
      </w:r>
      <w:r w:rsidRPr="008773B1">
        <w:rPr>
          <w:rFonts w:ascii="Times New Roman" w:hAnsi="Times New Roman"/>
          <w:sz w:val="24"/>
          <w:szCs w:val="24"/>
        </w:rPr>
        <w:t>. Low zinc concentrations have been reported in hypothyroidism and high zinc concentrations in hyperthyroi</w:t>
      </w:r>
      <w:r w:rsidR="00A43A18" w:rsidRPr="008773B1">
        <w:rPr>
          <w:rFonts w:ascii="Times New Roman" w:hAnsi="Times New Roman"/>
          <w:sz w:val="24"/>
          <w:szCs w:val="24"/>
        </w:rPr>
        <w:t xml:space="preserve">dism, </w:t>
      </w:r>
      <w:r w:rsidR="00024C47" w:rsidRPr="008773B1">
        <w:rPr>
          <w:rFonts w:ascii="Times New Roman" w:hAnsi="Times New Roman"/>
          <w:sz w:val="24"/>
          <w:szCs w:val="24"/>
        </w:rPr>
        <w:t>which are diseases</w:t>
      </w:r>
      <w:r w:rsidR="00A43A18" w:rsidRPr="008773B1">
        <w:rPr>
          <w:rFonts w:ascii="Times New Roman" w:hAnsi="Times New Roman"/>
          <w:sz w:val="24"/>
          <w:szCs w:val="24"/>
        </w:rPr>
        <w:t xml:space="preserve"> of the T</w:t>
      </w:r>
      <w:r w:rsidRPr="008773B1">
        <w:rPr>
          <w:rFonts w:ascii="Times New Roman" w:hAnsi="Times New Roman"/>
          <w:sz w:val="24"/>
          <w:szCs w:val="24"/>
        </w:rPr>
        <w:t>hyroid gland</w:t>
      </w:r>
      <w:r w:rsidR="0003153B" w:rsidRPr="008773B1">
        <w:rPr>
          <w:rFonts w:ascii="Times New Roman" w:hAnsi="Times New Roman"/>
          <w:sz w:val="24"/>
          <w:szCs w:val="24"/>
        </w:rPr>
        <w:t xml:space="preserve"> [3]</w:t>
      </w:r>
      <w:r w:rsidRPr="008773B1">
        <w:rPr>
          <w:rFonts w:ascii="Times New Roman" w:hAnsi="Times New Roman"/>
          <w:sz w:val="24"/>
          <w:szCs w:val="24"/>
        </w:rPr>
        <w:t>. Zinc acts on the hypothalamus and h</w:t>
      </w:r>
      <w:r w:rsidR="00B65AE4" w:rsidRPr="008773B1">
        <w:rPr>
          <w:rFonts w:ascii="Times New Roman" w:hAnsi="Times New Roman"/>
          <w:sz w:val="24"/>
          <w:szCs w:val="24"/>
        </w:rPr>
        <w:t>ypophysis, and is necessary for</w:t>
      </w:r>
      <w:r w:rsidR="00F521E2">
        <w:rPr>
          <w:rFonts w:ascii="Times New Roman" w:hAnsi="Times New Roman"/>
          <w:sz w:val="24"/>
          <w:szCs w:val="24"/>
        </w:rPr>
        <w:t xml:space="preserve"> t</w:t>
      </w:r>
      <w:r w:rsidRPr="008773B1">
        <w:rPr>
          <w:rFonts w:ascii="Times New Roman" w:hAnsi="Times New Roman"/>
          <w:sz w:val="24"/>
          <w:szCs w:val="24"/>
        </w:rPr>
        <w:t>hyrotropin-releasing hormone (TRH)</w:t>
      </w:r>
      <w:r w:rsidR="0003153B" w:rsidRPr="008773B1">
        <w:rPr>
          <w:rFonts w:ascii="Times New Roman" w:hAnsi="Times New Roman"/>
          <w:sz w:val="24"/>
          <w:szCs w:val="24"/>
        </w:rPr>
        <w:t xml:space="preserve"> </w:t>
      </w:r>
      <w:r w:rsidR="00B65AE4" w:rsidRPr="008773B1">
        <w:rPr>
          <w:rFonts w:ascii="Times New Roman" w:hAnsi="Times New Roman"/>
          <w:sz w:val="24"/>
          <w:szCs w:val="24"/>
        </w:rPr>
        <w:t xml:space="preserve">production </w:t>
      </w:r>
      <w:r w:rsidR="0003153B" w:rsidRPr="008773B1">
        <w:rPr>
          <w:rFonts w:ascii="Times New Roman" w:hAnsi="Times New Roman"/>
          <w:sz w:val="24"/>
          <w:szCs w:val="24"/>
        </w:rPr>
        <w:t>[2]</w:t>
      </w:r>
      <w:r w:rsidRPr="008773B1">
        <w:rPr>
          <w:rFonts w:ascii="Times New Roman" w:hAnsi="Times New Roman"/>
          <w:sz w:val="24"/>
          <w:szCs w:val="24"/>
        </w:rPr>
        <w:t>. It is also required for the activity of the enzyme 1,</w:t>
      </w:r>
      <w:r w:rsidR="009922CE">
        <w:rPr>
          <w:rFonts w:ascii="Times New Roman" w:hAnsi="Times New Roman"/>
          <w:sz w:val="24"/>
          <w:szCs w:val="24"/>
        </w:rPr>
        <w:t xml:space="preserve"> </w:t>
      </w:r>
      <w:r w:rsidRPr="008773B1">
        <w:rPr>
          <w:rFonts w:ascii="Times New Roman" w:hAnsi="Times New Roman"/>
          <w:sz w:val="24"/>
          <w:szCs w:val="24"/>
        </w:rPr>
        <w:t>5’-deiodinase, which converts biologically less active T4 (thyroxine) to its active form T3 (triiodothyronine)</w:t>
      </w:r>
      <w:r w:rsidR="0003153B" w:rsidRPr="008773B1">
        <w:rPr>
          <w:rFonts w:ascii="Times New Roman" w:hAnsi="Times New Roman"/>
          <w:sz w:val="24"/>
          <w:szCs w:val="24"/>
        </w:rPr>
        <w:t xml:space="preserve"> [4]</w:t>
      </w:r>
      <w:r w:rsidRPr="008773B1">
        <w:rPr>
          <w:rFonts w:ascii="Times New Roman" w:hAnsi="Times New Roman"/>
          <w:sz w:val="24"/>
          <w:szCs w:val="24"/>
        </w:rPr>
        <w:t>.</w:t>
      </w:r>
      <w:r w:rsidR="00211A15" w:rsidRPr="008773B1">
        <w:rPr>
          <w:rFonts w:ascii="Times New Roman" w:hAnsi="Times New Roman"/>
          <w:sz w:val="24"/>
          <w:szCs w:val="24"/>
        </w:rPr>
        <w:t xml:space="preserve"> Magnesium is an essential mineral involved in the functioning of more than 300 enzymes</w:t>
      </w:r>
      <w:r w:rsidR="00024C47" w:rsidRPr="008773B1">
        <w:rPr>
          <w:rFonts w:ascii="Times New Roman" w:hAnsi="Times New Roman"/>
          <w:sz w:val="24"/>
          <w:szCs w:val="24"/>
        </w:rPr>
        <w:t xml:space="preserve"> which are</w:t>
      </w:r>
      <w:r w:rsidR="00B65AE4" w:rsidRPr="008773B1">
        <w:rPr>
          <w:rFonts w:ascii="Times New Roman" w:hAnsi="Times New Roman"/>
          <w:sz w:val="24"/>
          <w:szCs w:val="24"/>
        </w:rPr>
        <w:t xml:space="preserve"> important for </w:t>
      </w:r>
      <w:r w:rsidR="00211A15" w:rsidRPr="008773B1">
        <w:rPr>
          <w:rFonts w:ascii="Times New Roman" w:hAnsi="Times New Roman"/>
          <w:sz w:val="24"/>
          <w:szCs w:val="24"/>
        </w:rPr>
        <w:t xml:space="preserve">thyroid </w:t>
      </w:r>
      <w:r w:rsidR="00B65AE4" w:rsidRPr="008773B1">
        <w:rPr>
          <w:rFonts w:ascii="Times New Roman" w:hAnsi="Times New Roman"/>
          <w:sz w:val="24"/>
          <w:szCs w:val="24"/>
        </w:rPr>
        <w:t>hormone production</w:t>
      </w:r>
      <w:r w:rsidR="0003153B" w:rsidRPr="008773B1">
        <w:rPr>
          <w:rFonts w:ascii="Times New Roman" w:hAnsi="Times New Roman"/>
          <w:sz w:val="24"/>
          <w:szCs w:val="24"/>
        </w:rPr>
        <w:t xml:space="preserve"> [5]</w:t>
      </w:r>
      <w:r w:rsidR="00211A15" w:rsidRPr="008773B1">
        <w:rPr>
          <w:rFonts w:ascii="Times New Roman" w:hAnsi="Times New Roman"/>
          <w:sz w:val="24"/>
          <w:szCs w:val="24"/>
        </w:rPr>
        <w:t>. Magnesium is absorbed mainly from magnesium-rich food such as leafy greens, nuts, whole grains</w:t>
      </w:r>
      <w:r w:rsidR="00201C12" w:rsidRPr="008773B1">
        <w:rPr>
          <w:rFonts w:ascii="Times New Roman" w:hAnsi="Times New Roman"/>
          <w:sz w:val="24"/>
          <w:szCs w:val="24"/>
        </w:rPr>
        <w:t>,</w:t>
      </w:r>
      <w:r w:rsidR="00211A15" w:rsidRPr="008773B1">
        <w:rPr>
          <w:rFonts w:ascii="Times New Roman" w:hAnsi="Times New Roman"/>
          <w:sz w:val="24"/>
          <w:szCs w:val="24"/>
        </w:rPr>
        <w:t xml:space="preserve"> and seeds</w:t>
      </w:r>
      <w:r w:rsidR="009E2158" w:rsidRPr="008773B1">
        <w:rPr>
          <w:rFonts w:ascii="Times New Roman" w:hAnsi="Times New Roman"/>
          <w:sz w:val="24"/>
          <w:szCs w:val="24"/>
        </w:rPr>
        <w:t xml:space="preserve"> [6]</w:t>
      </w:r>
      <w:r w:rsidR="00B65AE4" w:rsidRPr="008773B1">
        <w:rPr>
          <w:rFonts w:ascii="Times New Roman" w:hAnsi="Times New Roman"/>
          <w:sz w:val="24"/>
          <w:szCs w:val="24"/>
        </w:rPr>
        <w:t>. Following</w:t>
      </w:r>
      <w:r w:rsidR="00F521E2">
        <w:rPr>
          <w:rFonts w:ascii="Times New Roman" w:hAnsi="Times New Roman"/>
          <w:sz w:val="24"/>
          <w:szCs w:val="24"/>
        </w:rPr>
        <w:t xml:space="preserve"> the action of t</w:t>
      </w:r>
      <w:r w:rsidR="00A43A18" w:rsidRPr="008773B1">
        <w:rPr>
          <w:rFonts w:ascii="Times New Roman" w:hAnsi="Times New Roman"/>
          <w:sz w:val="24"/>
          <w:szCs w:val="24"/>
        </w:rPr>
        <w:t>hyrotropin on the T</w:t>
      </w:r>
      <w:r w:rsidR="00211A15" w:rsidRPr="008773B1">
        <w:rPr>
          <w:rFonts w:ascii="Times New Roman" w:hAnsi="Times New Roman"/>
          <w:sz w:val="24"/>
          <w:szCs w:val="24"/>
        </w:rPr>
        <w:t xml:space="preserve">hyroid gland </w:t>
      </w:r>
      <w:r w:rsidR="00B65AE4" w:rsidRPr="008773B1">
        <w:rPr>
          <w:rFonts w:ascii="Times New Roman" w:hAnsi="Times New Roman"/>
          <w:sz w:val="24"/>
          <w:szCs w:val="24"/>
        </w:rPr>
        <w:t xml:space="preserve">which </w:t>
      </w:r>
      <w:r w:rsidR="00211A15" w:rsidRPr="008773B1">
        <w:rPr>
          <w:rFonts w:ascii="Times New Roman" w:hAnsi="Times New Roman"/>
          <w:sz w:val="24"/>
          <w:szCs w:val="24"/>
        </w:rPr>
        <w:t>is mediated by the formation of cyclic AMP, the availability of magnesium could affect the response of the gland to the pituitary hormone</w:t>
      </w:r>
      <w:r w:rsidR="009E2158" w:rsidRPr="008773B1">
        <w:rPr>
          <w:rFonts w:ascii="Times New Roman" w:hAnsi="Times New Roman"/>
          <w:sz w:val="24"/>
          <w:szCs w:val="24"/>
        </w:rPr>
        <w:t xml:space="preserve"> [5]</w:t>
      </w:r>
      <w:r w:rsidR="00211A15" w:rsidRPr="008773B1">
        <w:rPr>
          <w:rFonts w:ascii="Times New Roman" w:hAnsi="Times New Roman"/>
          <w:sz w:val="24"/>
          <w:szCs w:val="24"/>
        </w:rPr>
        <w:t>.</w:t>
      </w:r>
      <w:r w:rsidR="00E54B81" w:rsidRPr="008773B1">
        <w:rPr>
          <w:rFonts w:ascii="Times New Roman" w:hAnsi="Times New Roman"/>
          <w:sz w:val="24"/>
          <w:szCs w:val="24"/>
        </w:rPr>
        <w:t xml:space="preserve"> </w:t>
      </w:r>
      <w:r w:rsidR="00D85413" w:rsidRPr="008773B1">
        <w:rPr>
          <w:rFonts w:ascii="Times New Roman" w:hAnsi="Times New Roman"/>
          <w:sz w:val="24"/>
          <w:szCs w:val="24"/>
        </w:rPr>
        <w:t xml:space="preserve"> </w:t>
      </w:r>
      <w:r w:rsidR="00E54B81" w:rsidRPr="008773B1">
        <w:rPr>
          <w:rFonts w:ascii="Times New Roman" w:hAnsi="Times New Roman"/>
          <w:sz w:val="24"/>
          <w:szCs w:val="24"/>
        </w:rPr>
        <w:t xml:space="preserve">Vitamin A is a group of </w:t>
      </w:r>
      <w:r w:rsidR="00024C47" w:rsidRPr="008773B1">
        <w:rPr>
          <w:rFonts w:ascii="Times New Roman" w:hAnsi="Times New Roman"/>
          <w:sz w:val="24"/>
          <w:szCs w:val="24"/>
        </w:rPr>
        <w:t>fat-soluble</w:t>
      </w:r>
      <w:r w:rsidR="00E54B81" w:rsidRPr="008773B1">
        <w:rPr>
          <w:rFonts w:ascii="Times New Roman" w:hAnsi="Times New Roman"/>
          <w:sz w:val="24"/>
          <w:szCs w:val="24"/>
        </w:rPr>
        <w:t xml:space="preserve"> compounds essential to human nutrition, which vary in their sources and bioavailability</w:t>
      </w:r>
      <w:r w:rsidR="009E2158" w:rsidRPr="008773B1">
        <w:rPr>
          <w:rFonts w:ascii="Times New Roman" w:hAnsi="Times New Roman"/>
          <w:sz w:val="24"/>
          <w:szCs w:val="24"/>
        </w:rPr>
        <w:t xml:space="preserve"> [7]</w:t>
      </w:r>
      <w:r w:rsidR="00E54B81" w:rsidRPr="008773B1">
        <w:rPr>
          <w:rFonts w:ascii="Times New Roman" w:hAnsi="Times New Roman"/>
          <w:sz w:val="24"/>
          <w:szCs w:val="24"/>
        </w:rPr>
        <w:t>. Vitamin A seems to play an especially significant role due to its ability to modulate thyroid homeostasi</w:t>
      </w:r>
      <w:r w:rsidR="00A43A18" w:rsidRPr="008773B1">
        <w:rPr>
          <w:rFonts w:ascii="Times New Roman" w:hAnsi="Times New Roman"/>
          <w:sz w:val="24"/>
          <w:szCs w:val="24"/>
        </w:rPr>
        <w:t>s alone or its</w:t>
      </w:r>
      <w:r w:rsidR="00E54B81" w:rsidRPr="008773B1">
        <w:rPr>
          <w:rFonts w:ascii="Times New Roman" w:hAnsi="Times New Roman"/>
          <w:sz w:val="24"/>
          <w:szCs w:val="24"/>
        </w:rPr>
        <w:t xml:space="preserve"> interaction</w:t>
      </w:r>
      <w:r w:rsidR="00A43A18" w:rsidRPr="008773B1">
        <w:rPr>
          <w:rFonts w:ascii="Times New Roman" w:hAnsi="Times New Roman"/>
          <w:sz w:val="24"/>
          <w:szCs w:val="24"/>
        </w:rPr>
        <w:t>s</w:t>
      </w:r>
      <w:r w:rsidR="00E54B81" w:rsidRPr="008773B1">
        <w:rPr>
          <w:rFonts w:ascii="Times New Roman" w:hAnsi="Times New Roman"/>
          <w:sz w:val="24"/>
          <w:szCs w:val="24"/>
        </w:rPr>
        <w:t xml:space="preserve"> with other micronutrients, particularly with iodine</w:t>
      </w:r>
      <w:r w:rsidR="00653D86" w:rsidRPr="008773B1">
        <w:rPr>
          <w:rFonts w:ascii="Times New Roman" w:hAnsi="Times New Roman"/>
          <w:sz w:val="24"/>
          <w:szCs w:val="24"/>
        </w:rPr>
        <w:t xml:space="preserve"> [8]</w:t>
      </w:r>
      <w:r w:rsidR="00E54B81" w:rsidRPr="008773B1">
        <w:rPr>
          <w:rFonts w:ascii="Times New Roman" w:hAnsi="Times New Roman"/>
          <w:sz w:val="24"/>
          <w:szCs w:val="24"/>
        </w:rPr>
        <w:t>. These compounds share a retinoid chemical structure and can be supplied in the diet via both animal (</w:t>
      </w:r>
      <w:r w:rsidR="00024C47" w:rsidRPr="008773B1">
        <w:rPr>
          <w:rFonts w:ascii="Times New Roman" w:hAnsi="Times New Roman"/>
          <w:sz w:val="24"/>
          <w:szCs w:val="24"/>
        </w:rPr>
        <w:t>all-trans-retinol</w:t>
      </w:r>
      <w:r w:rsidR="00E54B81" w:rsidRPr="008773B1">
        <w:rPr>
          <w:rFonts w:ascii="Times New Roman" w:hAnsi="Times New Roman"/>
          <w:sz w:val="24"/>
          <w:szCs w:val="24"/>
        </w:rPr>
        <w:t xml:space="preserve"> or retinyl esters) and vegetable (carotenoids) sources </w:t>
      </w:r>
      <w:r w:rsidR="00653D86" w:rsidRPr="008773B1">
        <w:rPr>
          <w:rFonts w:ascii="Times New Roman" w:hAnsi="Times New Roman"/>
          <w:sz w:val="24"/>
          <w:szCs w:val="24"/>
        </w:rPr>
        <w:t>[7]</w:t>
      </w:r>
      <w:r w:rsidR="00E54B81" w:rsidRPr="008773B1">
        <w:rPr>
          <w:rFonts w:ascii="Times New Roman" w:hAnsi="Times New Roman"/>
          <w:sz w:val="24"/>
          <w:szCs w:val="24"/>
        </w:rPr>
        <w:t>. The complex process of absorption, distribution</w:t>
      </w:r>
      <w:r w:rsidR="00024C47" w:rsidRPr="008773B1">
        <w:rPr>
          <w:rFonts w:ascii="Times New Roman" w:hAnsi="Times New Roman"/>
          <w:sz w:val="24"/>
          <w:szCs w:val="24"/>
        </w:rPr>
        <w:t>,</w:t>
      </w:r>
      <w:r w:rsidR="00E54B81" w:rsidRPr="008773B1">
        <w:rPr>
          <w:rFonts w:ascii="Times New Roman" w:hAnsi="Times New Roman"/>
          <w:sz w:val="24"/>
          <w:szCs w:val="24"/>
        </w:rPr>
        <w:t xml:space="preserve"> and metabolism of vitamin A, and its natural or synthetic derivatives shares characteristics</w:t>
      </w:r>
      <w:r w:rsidR="00024C47" w:rsidRPr="008773B1">
        <w:rPr>
          <w:rFonts w:ascii="Times New Roman" w:hAnsi="Times New Roman"/>
          <w:sz w:val="24"/>
          <w:szCs w:val="24"/>
        </w:rPr>
        <w:t xml:space="preserve"> with the corresponding processes </w:t>
      </w:r>
      <w:r w:rsidR="00E54B81" w:rsidRPr="008773B1">
        <w:rPr>
          <w:rFonts w:ascii="Times New Roman" w:hAnsi="Times New Roman"/>
          <w:sz w:val="24"/>
          <w:szCs w:val="24"/>
        </w:rPr>
        <w:t xml:space="preserve">for thyroid hormones </w:t>
      </w:r>
      <w:r w:rsidR="00653D86" w:rsidRPr="008773B1">
        <w:rPr>
          <w:rFonts w:ascii="Times New Roman" w:hAnsi="Times New Roman"/>
          <w:sz w:val="24"/>
          <w:szCs w:val="24"/>
        </w:rPr>
        <w:t>[8]</w:t>
      </w:r>
      <w:r w:rsidR="00E54B81" w:rsidRPr="008773B1">
        <w:rPr>
          <w:rFonts w:ascii="Times New Roman" w:hAnsi="Times New Roman"/>
          <w:sz w:val="24"/>
          <w:szCs w:val="24"/>
        </w:rPr>
        <w:t xml:space="preserve">. Moreover, the absorption of retinoids follows the pathway of lipids: due to their hydrophobicity, these compounds require a binding protein so that they can be transported within the bloodstream </w:t>
      </w:r>
      <w:r w:rsidR="00653D86" w:rsidRPr="008773B1">
        <w:rPr>
          <w:rFonts w:ascii="Times New Roman" w:hAnsi="Times New Roman"/>
          <w:sz w:val="24"/>
          <w:szCs w:val="24"/>
        </w:rPr>
        <w:t>[7]</w:t>
      </w:r>
      <w:r w:rsidR="00E54B81" w:rsidRPr="008773B1">
        <w:rPr>
          <w:rFonts w:ascii="Times New Roman" w:hAnsi="Times New Roman"/>
          <w:sz w:val="24"/>
          <w:szCs w:val="24"/>
        </w:rPr>
        <w:t>.</w:t>
      </w:r>
      <w:r w:rsidR="00D85413" w:rsidRPr="008773B1">
        <w:rPr>
          <w:rFonts w:ascii="Times New Roman" w:hAnsi="Times New Roman"/>
          <w:sz w:val="24"/>
          <w:szCs w:val="24"/>
        </w:rPr>
        <w:t xml:space="preserve"> Previous studies demonstrate that changes occur in serum levels of various elements in case of </w:t>
      </w:r>
      <w:r w:rsidR="00D85413" w:rsidRPr="008773B1">
        <w:rPr>
          <w:rFonts w:ascii="Times New Roman" w:hAnsi="Times New Roman"/>
          <w:sz w:val="24"/>
          <w:szCs w:val="24"/>
        </w:rPr>
        <w:lastRenderedPageBreak/>
        <w:t>impaired thyroid functioning</w:t>
      </w:r>
      <w:r w:rsidR="0097121D">
        <w:rPr>
          <w:rFonts w:ascii="Times New Roman" w:hAnsi="Times New Roman"/>
          <w:sz w:val="24"/>
          <w:szCs w:val="24"/>
        </w:rPr>
        <w:t xml:space="preserve"> [9-</w:t>
      </w:r>
      <w:r w:rsidR="008316D6" w:rsidRPr="008773B1">
        <w:rPr>
          <w:rFonts w:ascii="Times New Roman" w:hAnsi="Times New Roman"/>
          <w:sz w:val="24"/>
          <w:szCs w:val="24"/>
        </w:rPr>
        <w:t>10]</w:t>
      </w:r>
      <w:r w:rsidR="00D85413" w:rsidRPr="008773B1">
        <w:rPr>
          <w:rFonts w:ascii="Times New Roman" w:hAnsi="Times New Roman"/>
          <w:sz w:val="24"/>
          <w:szCs w:val="24"/>
        </w:rPr>
        <w:t xml:space="preserve">. Evaluating some of these micronutrients in this study area will contribute significantly to the management of thyroid abnormalities. </w:t>
      </w:r>
    </w:p>
    <w:p w14:paraId="4C321836" w14:textId="77777777" w:rsidR="000C72FD" w:rsidRDefault="000C72FD" w:rsidP="00D85413">
      <w:pPr>
        <w:autoSpaceDE w:val="0"/>
        <w:autoSpaceDN w:val="0"/>
        <w:adjustRightInd w:val="0"/>
        <w:spacing w:after="0" w:line="480" w:lineRule="auto"/>
        <w:jc w:val="both"/>
        <w:rPr>
          <w:rFonts w:ascii="Times New Roman" w:hAnsi="Times New Roman"/>
          <w:b/>
          <w:sz w:val="24"/>
          <w:szCs w:val="24"/>
        </w:rPr>
      </w:pPr>
    </w:p>
    <w:p w14:paraId="38D7BCDD" w14:textId="77777777" w:rsidR="00597672" w:rsidRPr="008773B1" w:rsidRDefault="00597672" w:rsidP="00D85413">
      <w:pPr>
        <w:autoSpaceDE w:val="0"/>
        <w:autoSpaceDN w:val="0"/>
        <w:adjustRightInd w:val="0"/>
        <w:spacing w:after="0" w:line="480" w:lineRule="auto"/>
        <w:jc w:val="both"/>
        <w:rPr>
          <w:rFonts w:ascii="Times New Roman" w:hAnsi="Times New Roman"/>
          <w:b/>
          <w:sz w:val="24"/>
          <w:szCs w:val="24"/>
        </w:rPr>
      </w:pPr>
      <w:r w:rsidRPr="008773B1">
        <w:rPr>
          <w:rFonts w:ascii="Times New Roman" w:hAnsi="Times New Roman"/>
          <w:b/>
          <w:sz w:val="24"/>
          <w:szCs w:val="24"/>
        </w:rPr>
        <w:t xml:space="preserve">Materials and Methods </w:t>
      </w:r>
    </w:p>
    <w:p w14:paraId="47753DAE" w14:textId="77777777" w:rsidR="00A70CEA" w:rsidRPr="008773B1" w:rsidRDefault="00A70CEA"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This study was a case-control study </w:t>
      </w:r>
      <w:r w:rsidR="0009249D" w:rsidRPr="008773B1">
        <w:rPr>
          <w:rFonts w:ascii="Times New Roman" w:hAnsi="Times New Roman"/>
          <w:sz w:val="24"/>
          <w:szCs w:val="24"/>
        </w:rPr>
        <w:t>carried out</w:t>
      </w:r>
      <w:r w:rsidRPr="008773B1">
        <w:rPr>
          <w:rFonts w:ascii="Times New Roman" w:hAnsi="Times New Roman"/>
          <w:sz w:val="24"/>
          <w:szCs w:val="24"/>
        </w:rPr>
        <w:t xml:space="preserve"> between December 2023 and July 2024</w:t>
      </w:r>
      <w:r w:rsidR="00307E26" w:rsidRPr="008773B1">
        <w:rPr>
          <w:rFonts w:ascii="Times New Roman" w:hAnsi="Times New Roman"/>
          <w:sz w:val="24"/>
          <w:szCs w:val="24"/>
        </w:rPr>
        <w:t xml:space="preserve"> at the Chemical Pathology L</w:t>
      </w:r>
      <w:r w:rsidR="00946058" w:rsidRPr="008773B1">
        <w:rPr>
          <w:rFonts w:ascii="Times New Roman" w:hAnsi="Times New Roman"/>
          <w:sz w:val="24"/>
          <w:szCs w:val="24"/>
        </w:rPr>
        <w:t xml:space="preserve">aboratory of the College of Medical Sciences of Ambrose Alli University, </w:t>
      </w:r>
      <w:proofErr w:type="spellStart"/>
      <w:r w:rsidR="00946058" w:rsidRPr="008773B1">
        <w:rPr>
          <w:rFonts w:ascii="Times New Roman" w:hAnsi="Times New Roman"/>
          <w:sz w:val="24"/>
          <w:szCs w:val="24"/>
        </w:rPr>
        <w:t>Ekpoma</w:t>
      </w:r>
      <w:proofErr w:type="spellEnd"/>
      <w:r w:rsidR="00946058" w:rsidRPr="008773B1">
        <w:rPr>
          <w:rFonts w:ascii="Times New Roman" w:hAnsi="Times New Roman"/>
          <w:sz w:val="24"/>
          <w:szCs w:val="24"/>
        </w:rPr>
        <w:t xml:space="preserve">, Nigeria. </w:t>
      </w:r>
      <w:r w:rsidR="00782E64" w:rsidRPr="008773B1">
        <w:rPr>
          <w:rFonts w:ascii="Times New Roman" w:hAnsi="Times New Roman"/>
          <w:sz w:val="24"/>
          <w:szCs w:val="24"/>
        </w:rPr>
        <w:t>Ethical approval was obtained from the Health Research Ethics Committee of Ambrose Alli</w:t>
      </w:r>
      <w:r w:rsidR="0009249D" w:rsidRPr="008773B1">
        <w:rPr>
          <w:rFonts w:ascii="Times New Roman" w:hAnsi="Times New Roman"/>
          <w:sz w:val="24"/>
          <w:szCs w:val="24"/>
        </w:rPr>
        <w:t xml:space="preserve"> University, </w:t>
      </w:r>
      <w:proofErr w:type="spellStart"/>
      <w:r w:rsidR="0009249D" w:rsidRPr="008773B1">
        <w:rPr>
          <w:rFonts w:ascii="Times New Roman" w:hAnsi="Times New Roman"/>
          <w:sz w:val="24"/>
          <w:szCs w:val="24"/>
        </w:rPr>
        <w:t>Ekpoma</w:t>
      </w:r>
      <w:proofErr w:type="spellEnd"/>
      <w:r w:rsidR="0009249D" w:rsidRPr="008773B1">
        <w:rPr>
          <w:rFonts w:ascii="Times New Roman" w:hAnsi="Times New Roman"/>
          <w:sz w:val="24"/>
          <w:szCs w:val="24"/>
        </w:rPr>
        <w:t xml:space="preserve">, Nigeria before the study commenced, and informed consent was also sought and obtained from all study </w:t>
      </w:r>
      <w:r w:rsidR="00412235" w:rsidRPr="008773B1">
        <w:rPr>
          <w:rFonts w:ascii="Times New Roman" w:hAnsi="Times New Roman"/>
          <w:sz w:val="24"/>
          <w:szCs w:val="24"/>
        </w:rPr>
        <w:t>participants</w:t>
      </w:r>
      <w:r w:rsidR="0009249D" w:rsidRPr="008773B1">
        <w:rPr>
          <w:rFonts w:ascii="Times New Roman" w:hAnsi="Times New Roman"/>
          <w:sz w:val="24"/>
          <w:szCs w:val="24"/>
        </w:rPr>
        <w:t xml:space="preserve">.  </w:t>
      </w:r>
    </w:p>
    <w:p w14:paraId="77CC1C6A" w14:textId="77777777" w:rsidR="00FA2E84" w:rsidRPr="008773B1" w:rsidRDefault="00FA2E84" w:rsidP="00B22148">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The study population consisted of 300 participants </w:t>
      </w:r>
      <w:r w:rsidR="00AA6160" w:rsidRPr="008773B1">
        <w:rPr>
          <w:rFonts w:ascii="Times New Roman" w:hAnsi="Times New Roman"/>
          <w:sz w:val="24"/>
          <w:szCs w:val="24"/>
        </w:rPr>
        <w:t xml:space="preserve">between the ages of </w:t>
      </w:r>
      <w:r w:rsidR="005F4EED" w:rsidRPr="008773B1">
        <w:rPr>
          <w:rFonts w:ascii="Times New Roman" w:hAnsi="Times New Roman"/>
          <w:sz w:val="24"/>
          <w:szCs w:val="24"/>
        </w:rPr>
        <w:t>30 to 80 years</w:t>
      </w:r>
      <w:r w:rsidR="00797263" w:rsidRPr="008773B1">
        <w:rPr>
          <w:rFonts w:ascii="Times New Roman" w:hAnsi="Times New Roman"/>
          <w:sz w:val="24"/>
          <w:szCs w:val="24"/>
        </w:rPr>
        <w:t xml:space="preserve">. </w:t>
      </w:r>
      <w:r w:rsidR="00F548F5">
        <w:rPr>
          <w:rFonts w:ascii="Times New Roman" w:hAnsi="Times New Roman"/>
          <w:sz w:val="24"/>
          <w:szCs w:val="24"/>
        </w:rPr>
        <w:t xml:space="preserve">100 </w:t>
      </w:r>
      <w:r w:rsidR="00797263" w:rsidRPr="008773B1">
        <w:rPr>
          <w:rFonts w:ascii="Times New Roman" w:hAnsi="Times New Roman"/>
          <w:sz w:val="24"/>
          <w:szCs w:val="24"/>
        </w:rPr>
        <w:t xml:space="preserve">were male subjects with abnormal serum thyroid hormones, </w:t>
      </w:r>
      <w:r w:rsidR="00F548F5">
        <w:rPr>
          <w:rFonts w:ascii="Times New Roman" w:hAnsi="Times New Roman"/>
          <w:sz w:val="24"/>
          <w:szCs w:val="24"/>
        </w:rPr>
        <w:t>100</w:t>
      </w:r>
      <w:r w:rsidR="00797263" w:rsidRPr="008773B1">
        <w:rPr>
          <w:rFonts w:ascii="Times New Roman" w:hAnsi="Times New Roman"/>
          <w:sz w:val="24"/>
          <w:szCs w:val="24"/>
        </w:rPr>
        <w:t xml:space="preserve"> were females with abnormal serum thyroid hormones</w:t>
      </w:r>
      <w:r w:rsidR="008B5BDC" w:rsidRPr="008773B1">
        <w:rPr>
          <w:rFonts w:ascii="Times New Roman" w:hAnsi="Times New Roman"/>
          <w:sz w:val="24"/>
          <w:szCs w:val="24"/>
        </w:rPr>
        <w:t xml:space="preserve"> (test groups)</w:t>
      </w:r>
      <w:r w:rsidR="00797263" w:rsidRPr="008773B1">
        <w:rPr>
          <w:rFonts w:ascii="Times New Roman" w:hAnsi="Times New Roman"/>
          <w:sz w:val="24"/>
          <w:szCs w:val="24"/>
        </w:rPr>
        <w:t xml:space="preserve">, </w:t>
      </w:r>
      <w:r w:rsidR="008B5BDC" w:rsidRPr="008773B1">
        <w:rPr>
          <w:rFonts w:ascii="Times New Roman" w:hAnsi="Times New Roman"/>
          <w:sz w:val="24"/>
          <w:szCs w:val="24"/>
        </w:rPr>
        <w:t>50 were healthy male subjects with normal thyroid function</w:t>
      </w:r>
      <w:r w:rsidR="00797263" w:rsidRPr="008773B1">
        <w:rPr>
          <w:rFonts w:ascii="Times New Roman" w:hAnsi="Times New Roman"/>
          <w:sz w:val="24"/>
          <w:szCs w:val="24"/>
        </w:rPr>
        <w:t xml:space="preserve"> </w:t>
      </w:r>
      <w:r w:rsidR="008B5BDC" w:rsidRPr="008773B1">
        <w:rPr>
          <w:rFonts w:ascii="Times New Roman" w:hAnsi="Times New Roman"/>
          <w:sz w:val="24"/>
          <w:szCs w:val="24"/>
        </w:rPr>
        <w:t>and 50 were healthy female subjects with normal thyroid function (control)</w:t>
      </w:r>
      <w:r w:rsidR="00797263" w:rsidRPr="008773B1">
        <w:rPr>
          <w:rFonts w:ascii="Times New Roman" w:hAnsi="Times New Roman"/>
          <w:sz w:val="24"/>
          <w:szCs w:val="24"/>
        </w:rPr>
        <w:t>.</w:t>
      </w:r>
    </w:p>
    <w:p w14:paraId="6C6B1766" w14:textId="77777777" w:rsidR="008F6CB2" w:rsidRPr="008773B1" w:rsidRDefault="00F10A72" w:rsidP="00B22148">
      <w:pPr>
        <w:pStyle w:val="NoSpacing"/>
        <w:jc w:val="both"/>
        <w:rPr>
          <w:rFonts w:ascii="Times New Roman" w:hAnsi="Times New Roman" w:cs="Times New Roman"/>
          <w:sz w:val="24"/>
          <w:szCs w:val="24"/>
          <w:lang w:eastAsia="en-GB"/>
        </w:rPr>
      </w:pPr>
      <w:r w:rsidRPr="008773B1">
        <w:rPr>
          <w:rFonts w:ascii="Times New Roman" w:hAnsi="Times New Roman" w:cs="Times New Roman"/>
          <w:sz w:val="24"/>
          <w:szCs w:val="24"/>
        </w:rPr>
        <w:t>The test group</w:t>
      </w:r>
      <w:r w:rsidR="00A43A18" w:rsidRPr="008773B1">
        <w:rPr>
          <w:rFonts w:ascii="Times New Roman" w:hAnsi="Times New Roman" w:cs="Times New Roman"/>
          <w:sz w:val="24"/>
          <w:szCs w:val="24"/>
        </w:rPr>
        <w:t>s</w:t>
      </w:r>
      <w:r w:rsidRPr="008773B1">
        <w:rPr>
          <w:rFonts w:ascii="Times New Roman" w:hAnsi="Times New Roman" w:cs="Times New Roman"/>
          <w:sz w:val="24"/>
          <w:szCs w:val="24"/>
        </w:rPr>
        <w:t xml:space="preserve"> </w:t>
      </w:r>
      <w:r w:rsidR="00A43A18" w:rsidRPr="008773B1">
        <w:rPr>
          <w:rFonts w:ascii="Times New Roman" w:hAnsi="Times New Roman" w:cs="Times New Roman"/>
          <w:sz w:val="24"/>
          <w:szCs w:val="24"/>
        </w:rPr>
        <w:t>were</w:t>
      </w:r>
      <w:r w:rsidRPr="008773B1">
        <w:rPr>
          <w:rFonts w:ascii="Times New Roman" w:hAnsi="Times New Roman" w:cs="Times New Roman"/>
          <w:sz w:val="24"/>
          <w:szCs w:val="24"/>
        </w:rPr>
        <w:t xml:space="preserve"> subjects with abnormal serum thyroid hormone levels attending</w:t>
      </w:r>
      <w:r w:rsidRPr="008773B1">
        <w:rPr>
          <w:rFonts w:ascii="Times New Roman" w:hAnsi="Times New Roman" w:cs="Times New Roman"/>
          <w:sz w:val="24"/>
          <w:szCs w:val="24"/>
          <w:lang w:eastAsia="en-GB"/>
        </w:rPr>
        <w:t xml:space="preserve"> </w:t>
      </w:r>
      <w:proofErr w:type="spellStart"/>
      <w:r w:rsidRPr="008773B1">
        <w:rPr>
          <w:rFonts w:ascii="Times New Roman" w:hAnsi="Times New Roman" w:cs="Times New Roman"/>
          <w:sz w:val="24"/>
          <w:szCs w:val="24"/>
          <w:lang w:eastAsia="en-GB"/>
        </w:rPr>
        <w:t>Irrua</w:t>
      </w:r>
      <w:proofErr w:type="spellEnd"/>
      <w:r w:rsidRPr="008773B1">
        <w:rPr>
          <w:rFonts w:ascii="Times New Roman" w:hAnsi="Times New Roman" w:cs="Times New Roman"/>
          <w:sz w:val="24"/>
          <w:szCs w:val="24"/>
          <w:lang w:eastAsia="en-GB"/>
        </w:rPr>
        <w:t xml:space="preserve"> Specialist Teaching Hospital (ISTH)</w:t>
      </w:r>
      <w:r w:rsidRPr="008773B1">
        <w:rPr>
          <w:rFonts w:ascii="Times New Roman" w:hAnsi="Times New Roman" w:cs="Times New Roman"/>
          <w:sz w:val="24"/>
          <w:szCs w:val="24"/>
        </w:rPr>
        <w:t>.</w:t>
      </w:r>
      <w:r w:rsidR="001A1243" w:rsidRPr="008773B1">
        <w:rPr>
          <w:rFonts w:ascii="Times New Roman" w:hAnsi="Times New Roman" w:cs="Times New Roman"/>
          <w:sz w:val="24"/>
          <w:szCs w:val="24"/>
        </w:rPr>
        <w:t xml:space="preserve"> </w:t>
      </w:r>
      <w:r w:rsidR="008F6CB2" w:rsidRPr="008773B1">
        <w:rPr>
          <w:rFonts w:ascii="Times New Roman" w:hAnsi="Times New Roman" w:cs="Times New Roman"/>
          <w:sz w:val="24"/>
          <w:szCs w:val="24"/>
        </w:rPr>
        <w:t xml:space="preserve">Male and female subjects </w:t>
      </w:r>
      <w:r w:rsidR="008F6CB2" w:rsidRPr="008773B1">
        <w:rPr>
          <w:rFonts w:ascii="Times New Roman" w:hAnsi="Times New Roman" w:cs="Times New Roman"/>
          <w:sz w:val="24"/>
          <w:szCs w:val="24"/>
          <w:lang w:eastAsia="en-GB"/>
        </w:rPr>
        <w:t xml:space="preserve">with other clinical illnesses, </w:t>
      </w:r>
      <w:r w:rsidR="002A12BC" w:rsidRPr="008773B1">
        <w:rPr>
          <w:rFonts w:ascii="Times New Roman" w:hAnsi="Times New Roman" w:cs="Times New Roman"/>
          <w:sz w:val="24"/>
          <w:szCs w:val="24"/>
        </w:rPr>
        <w:t xml:space="preserve">pregnant and lactating women, </w:t>
      </w:r>
      <w:r w:rsidR="008F6CB2" w:rsidRPr="008773B1">
        <w:rPr>
          <w:rFonts w:ascii="Times New Roman" w:hAnsi="Times New Roman" w:cs="Times New Roman"/>
          <w:sz w:val="24"/>
          <w:szCs w:val="24"/>
          <w:lang w:eastAsia="en-GB"/>
        </w:rPr>
        <w:t>were excluded</w:t>
      </w:r>
      <w:r w:rsidR="002A12BC" w:rsidRPr="008773B1">
        <w:rPr>
          <w:rFonts w:ascii="Times New Roman" w:hAnsi="Times New Roman" w:cs="Times New Roman"/>
          <w:sz w:val="24"/>
          <w:szCs w:val="24"/>
          <w:lang w:eastAsia="en-GB"/>
        </w:rPr>
        <w:t xml:space="preserve"> from this</w:t>
      </w:r>
      <w:r w:rsidR="008F6CB2" w:rsidRPr="008773B1">
        <w:rPr>
          <w:rFonts w:ascii="Times New Roman" w:hAnsi="Times New Roman" w:cs="Times New Roman"/>
          <w:sz w:val="24"/>
          <w:szCs w:val="24"/>
          <w:lang w:eastAsia="en-GB"/>
        </w:rPr>
        <w:t xml:space="preserve"> study.</w:t>
      </w:r>
    </w:p>
    <w:p w14:paraId="636D9EDC" w14:textId="77777777" w:rsidR="00673740" w:rsidRPr="008773B1" w:rsidRDefault="001C3C13" w:rsidP="00B22148">
      <w:pPr>
        <w:pStyle w:val="NoSpacing"/>
        <w:jc w:val="both"/>
        <w:rPr>
          <w:rFonts w:ascii="Times New Roman" w:hAnsi="Times New Roman" w:cs="Times New Roman"/>
          <w:sz w:val="24"/>
          <w:szCs w:val="24"/>
          <w:lang w:eastAsia="en-GB"/>
        </w:rPr>
      </w:pPr>
      <w:r w:rsidRPr="008773B1">
        <w:rPr>
          <w:rFonts w:ascii="Times New Roman" w:hAnsi="Times New Roman" w:cs="Times New Roman"/>
          <w:sz w:val="24"/>
          <w:szCs w:val="24"/>
          <w:lang w:eastAsia="en-GB"/>
        </w:rPr>
        <w:t>T</w:t>
      </w:r>
      <w:r w:rsidR="00673740" w:rsidRPr="008773B1">
        <w:rPr>
          <w:rFonts w:ascii="Times New Roman" w:hAnsi="Times New Roman" w:cs="Times New Roman"/>
          <w:sz w:val="24"/>
          <w:szCs w:val="24"/>
          <w:lang w:eastAsia="en-GB"/>
        </w:rPr>
        <w:t xml:space="preserve">hyroid function </w:t>
      </w:r>
      <w:r w:rsidR="00A43A18" w:rsidRPr="008773B1">
        <w:rPr>
          <w:rFonts w:ascii="Times New Roman" w:hAnsi="Times New Roman" w:cs="Times New Roman"/>
          <w:sz w:val="24"/>
          <w:szCs w:val="24"/>
          <w:lang w:eastAsia="en-GB"/>
        </w:rPr>
        <w:t>tests</w:t>
      </w:r>
      <w:r w:rsidRPr="008773B1">
        <w:rPr>
          <w:rFonts w:ascii="Times New Roman" w:hAnsi="Times New Roman" w:cs="Times New Roman"/>
          <w:sz w:val="24"/>
          <w:szCs w:val="24"/>
          <w:lang w:eastAsia="en-GB"/>
        </w:rPr>
        <w:t xml:space="preserve"> include Thyroid stimulating hormone, Triiodothyronine</w:t>
      </w:r>
      <w:r w:rsidR="00A43A18" w:rsidRPr="008773B1">
        <w:rPr>
          <w:rFonts w:ascii="Times New Roman" w:hAnsi="Times New Roman" w:cs="Times New Roman"/>
          <w:sz w:val="24"/>
          <w:szCs w:val="24"/>
          <w:lang w:eastAsia="en-GB"/>
        </w:rPr>
        <w:t>,</w:t>
      </w:r>
      <w:r w:rsidRPr="008773B1">
        <w:rPr>
          <w:rFonts w:ascii="Times New Roman" w:hAnsi="Times New Roman" w:cs="Times New Roman"/>
          <w:sz w:val="24"/>
          <w:szCs w:val="24"/>
          <w:lang w:eastAsia="en-GB"/>
        </w:rPr>
        <w:t xml:space="preserve"> and Thyroxine; </w:t>
      </w:r>
      <w:r w:rsidR="00A502E9" w:rsidRPr="008773B1">
        <w:rPr>
          <w:rFonts w:ascii="Times New Roman" w:hAnsi="Times New Roman" w:cs="Times New Roman"/>
          <w:sz w:val="24"/>
          <w:szCs w:val="24"/>
          <w:lang w:eastAsia="en-GB"/>
        </w:rPr>
        <w:t>Mi</w:t>
      </w:r>
      <w:r w:rsidR="008932E2" w:rsidRPr="008773B1">
        <w:rPr>
          <w:rFonts w:ascii="Times New Roman" w:hAnsi="Times New Roman" w:cs="Times New Roman"/>
          <w:sz w:val="24"/>
          <w:szCs w:val="24"/>
          <w:lang w:eastAsia="en-GB"/>
        </w:rPr>
        <w:t>cronutrients such as Vitamin A, Zinc</w:t>
      </w:r>
      <w:r w:rsidR="00A43A18" w:rsidRPr="008773B1">
        <w:rPr>
          <w:rFonts w:ascii="Times New Roman" w:hAnsi="Times New Roman" w:cs="Times New Roman"/>
          <w:sz w:val="24"/>
          <w:szCs w:val="24"/>
          <w:lang w:eastAsia="en-GB"/>
        </w:rPr>
        <w:t>,</w:t>
      </w:r>
      <w:r w:rsidR="008932E2" w:rsidRPr="008773B1">
        <w:rPr>
          <w:rFonts w:ascii="Times New Roman" w:hAnsi="Times New Roman" w:cs="Times New Roman"/>
          <w:sz w:val="24"/>
          <w:szCs w:val="24"/>
          <w:lang w:eastAsia="en-GB"/>
        </w:rPr>
        <w:t xml:space="preserve"> and Magnesium, were assessed. </w:t>
      </w:r>
      <w:r w:rsidR="00125DAC" w:rsidRPr="008773B1">
        <w:rPr>
          <w:rFonts w:ascii="Times New Roman" w:hAnsi="Times New Roman" w:cs="Times New Roman"/>
          <w:sz w:val="24"/>
          <w:szCs w:val="24"/>
          <w:lang w:eastAsia="en-GB"/>
        </w:rPr>
        <w:t>Thyroid stimulating hormone, Triiodothyronine</w:t>
      </w:r>
      <w:r w:rsidR="00A43A18" w:rsidRPr="008773B1">
        <w:rPr>
          <w:rFonts w:ascii="Times New Roman" w:hAnsi="Times New Roman" w:cs="Times New Roman"/>
          <w:sz w:val="24"/>
          <w:szCs w:val="24"/>
          <w:lang w:eastAsia="en-GB"/>
        </w:rPr>
        <w:t>,</w:t>
      </w:r>
      <w:r w:rsidR="00307E26" w:rsidRPr="008773B1">
        <w:rPr>
          <w:rFonts w:ascii="Times New Roman" w:hAnsi="Times New Roman" w:cs="Times New Roman"/>
          <w:sz w:val="24"/>
          <w:szCs w:val="24"/>
          <w:lang w:eastAsia="en-GB"/>
        </w:rPr>
        <w:t xml:space="preserve"> and Thyroxine were analyzed </w:t>
      </w:r>
      <w:r w:rsidR="00125DAC" w:rsidRPr="008773B1">
        <w:rPr>
          <w:rFonts w:ascii="Times New Roman" w:hAnsi="Times New Roman" w:cs="Times New Roman"/>
          <w:sz w:val="24"/>
          <w:szCs w:val="24"/>
          <w:lang w:eastAsia="en-GB"/>
        </w:rPr>
        <w:t xml:space="preserve">using </w:t>
      </w:r>
      <w:r w:rsidR="00E4792E" w:rsidRPr="008773B1">
        <w:rPr>
          <w:rFonts w:ascii="Times New Roman" w:hAnsi="Times New Roman" w:cs="Times New Roman"/>
          <w:sz w:val="24"/>
          <w:szCs w:val="24"/>
          <w:lang w:eastAsia="en-GB"/>
        </w:rPr>
        <w:t xml:space="preserve">the </w:t>
      </w:r>
      <w:r w:rsidR="009C652A" w:rsidRPr="008773B1">
        <w:rPr>
          <w:rFonts w:ascii="Times New Roman" w:hAnsi="Times New Roman" w:cs="Times New Roman"/>
          <w:sz w:val="24"/>
          <w:szCs w:val="24"/>
          <w:lang w:eastAsia="en-GB"/>
        </w:rPr>
        <w:t xml:space="preserve">Tecan </w:t>
      </w:r>
      <w:r w:rsidR="00A43A18" w:rsidRPr="008773B1">
        <w:rPr>
          <w:rFonts w:ascii="Times New Roman" w:hAnsi="Times New Roman" w:cs="Times New Roman"/>
          <w:sz w:val="24"/>
          <w:szCs w:val="24"/>
          <w:lang w:eastAsia="en-GB"/>
        </w:rPr>
        <w:t>Infinite</w:t>
      </w:r>
      <w:r w:rsidR="009C652A" w:rsidRPr="008773B1">
        <w:rPr>
          <w:rFonts w:ascii="Times New Roman" w:hAnsi="Times New Roman" w:cs="Times New Roman"/>
          <w:sz w:val="24"/>
          <w:szCs w:val="24"/>
          <w:lang w:eastAsia="en-GB"/>
        </w:rPr>
        <w:t xml:space="preserve"> F50 ELISA microplate reader </w:t>
      </w:r>
      <w:r w:rsidR="00C51268" w:rsidRPr="008773B1">
        <w:rPr>
          <w:rFonts w:ascii="Times New Roman" w:hAnsi="Times New Roman" w:cs="Times New Roman"/>
          <w:sz w:val="24"/>
          <w:szCs w:val="24"/>
          <w:lang w:eastAsia="en-GB"/>
        </w:rPr>
        <w:t xml:space="preserve">(Tecan Trading AG, Switzerland). </w:t>
      </w:r>
    </w:p>
    <w:p w14:paraId="7F745308" w14:textId="77777777" w:rsidR="00F10A72" w:rsidRPr="008773B1" w:rsidRDefault="00462403" w:rsidP="00B22148">
      <w:pPr>
        <w:pStyle w:val="NoSpacing"/>
        <w:jc w:val="both"/>
        <w:rPr>
          <w:rFonts w:ascii="Times New Roman" w:hAnsi="Times New Roman" w:cs="Times New Roman"/>
          <w:sz w:val="24"/>
          <w:szCs w:val="24"/>
          <w:lang w:eastAsia="en-GB"/>
        </w:rPr>
      </w:pPr>
      <w:r w:rsidRPr="008773B1">
        <w:rPr>
          <w:rFonts w:ascii="Times New Roman" w:hAnsi="Times New Roman" w:cs="Times New Roman"/>
          <w:sz w:val="24"/>
          <w:szCs w:val="24"/>
          <w:lang w:eastAsia="en-GB"/>
        </w:rPr>
        <w:t xml:space="preserve">The data obtained was analyzed with the commercially available IBM Statistical </w:t>
      </w:r>
      <w:r w:rsidR="00A43A18" w:rsidRPr="008773B1">
        <w:rPr>
          <w:rFonts w:ascii="Times New Roman" w:hAnsi="Times New Roman" w:cs="Times New Roman"/>
          <w:sz w:val="24"/>
          <w:szCs w:val="24"/>
          <w:lang w:eastAsia="en-GB"/>
        </w:rPr>
        <w:t>Package</w:t>
      </w:r>
      <w:r w:rsidRPr="008773B1">
        <w:rPr>
          <w:rFonts w:ascii="Times New Roman" w:hAnsi="Times New Roman" w:cs="Times New Roman"/>
          <w:sz w:val="24"/>
          <w:szCs w:val="24"/>
          <w:lang w:eastAsia="en-GB"/>
        </w:rPr>
        <w:t xml:space="preserve"> for Social Sci</w:t>
      </w:r>
      <w:r w:rsidR="00885C27">
        <w:rPr>
          <w:rFonts w:ascii="Times New Roman" w:hAnsi="Times New Roman" w:cs="Times New Roman"/>
          <w:sz w:val="24"/>
          <w:szCs w:val="24"/>
          <w:lang w:eastAsia="en-GB"/>
        </w:rPr>
        <w:t>ences (SPSS) Statistics (Released 2021. IBM</w:t>
      </w:r>
      <w:r w:rsidRPr="008773B1">
        <w:rPr>
          <w:rFonts w:ascii="Times New Roman" w:hAnsi="Times New Roman" w:cs="Times New Roman"/>
          <w:sz w:val="24"/>
          <w:szCs w:val="24"/>
          <w:lang w:eastAsia="en-GB"/>
        </w:rPr>
        <w:t xml:space="preserve"> SPSS Statistics </w:t>
      </w:r>
      <w:r w:rsidR="00885C27">
        <w:rPr>
          <w:rFonts w:ascii="Times New Roman" w:hAnsi="Times New Roman" w:cs="Times New Roman"/>
          <w:sz w:val="24"/>
          <w:szCs w:val="24"/>
          <w:lang w:eastAsia="en-GB"/>
        </w:rPr>
        <w:t xml:space="preserve">for Windows, Version 28.0. </w:t>
      </w:r>
      <w:r w:rsidRPr="008773B1">
        <w:rPr>
          <w:rFonts w:ascii="Times New Roman" w:hAnsi="Times New Roman" w:cs="Times New Roman"/>
          <w:sz w:val="24"/>
          <w:szCs w:val="24"/>
          <w:lang w:eastAsia="en-GB"/>
        </w:rPr>
        <w:t>Armonk, NY</w:t>
      </w:r>
      <w:r w:rsidR="00885C27">
        <w:rPr>
          <w:rFonts w:ascii="Times New Roman" w:hAnsi="Times New Roman" w:cs="Times New Roman"/>
          <w:sz w:val="24"/>
          <w:szCs w:val="24"/>
          <w:lang w:eastAsia="en-GB"/>
        </w:rPr>
        <w:t>: IBM Corp</w:t>
      </w:r>
      <w:r w:rsidRPr="008773B1">
        <w:rPr>
          <w:rFonts w:ascii="Times New Roman" w:hAnsi="Times New Roman" w:cs="Times New Roman"/>
          <w:sz w:val="24"/>
          <w:szCs w:val="24"/>
          <w:lang w:eastAsia="en-GB"/>
        </w:rPr>
        <w:t xml:space="preserve">) using a sample t-test. </w:t>
      </w:r>
      <w:r w:rsidR="0005595E" w:rsidRPr="008773B1">
        <w:rPr>
          <w:rFonts w:ascii="Times New Roman" w:hAnsi="Times New Roman" w:cs="Times New Roman"/>
          <w:sz w:val="24"/>
          <w:szCs w:val="24"/>
          <w:lang w:eastAsia="en-GB"/>
        </w:rPr>
        <w:t xml:space="preserve">Percentage </w:t>
      </w:r>
      <w:r w:rsidR="00A43A18" w:rsidRPr="008773B1">
        <w:rPr>
          <w:rFonts w:ascii="Times New Roman" w:hAnsi="Times New Roman" w:cs="Times New Roman"/>
          <w:sz w:val="24"/>
          <w:szCs w:val="24"/>
          <w:lang w:eastAsia="en-GB"/>
        </w:rPr>
        <w:t>was used</w:t>
      </w:r>
      <w:r w:rsidR="0005595E" w:rsidRPr="008773B1">
        <w:rPr>
          <w:rFonts w:ascii="Times New Roman" w:hAnsi="Times New Roman" w:cs="Times New Roman"/>
          <w:sz w:val="24"/>
          <w:szCs w:val="24"/>
          <w:lang w:eastAsia="en-GB"/>
        </w:rPr>
        <w:t xml:space="preserve"> </w:t>
      </w:r>
      <w:r w:rsidR="00307E26" w:rsidRPr="008773B1">
        <w:rPr>
          <w:rFonts w:ascii="Times New Roman" w:hAnsi="Times New Roman" w:cs="Times New Roman"/>
          <w:sz w:val="24"/>
          <w:szCs w:val="24"/>
          <w:lang w:eastAsia="en-GB"/>
        </w:rPr>
        <w:t xml:space="preserve">to describe </w:t>
      </w:r>
      <w:r w:rsidR="0005595E" w:rsidRPr="008773B1">
        <w:rPr>
          <w:rFonts w:ascii="Times New Roman" w:hAnsi="Times New Roman" w:cs="Times New Roman"/>
          <w:sz w:val="24"/>
          <w:szCs w:val="24"/>
          <w:lang w:eastAsia="en-GB"/>
        </w:rPr>
        <w:t xml:space="preserve">categorical demographic data.  Mean and standard deviation </w:t>
      </w:r>
      <w:r w:rsidR="00A43A18" w:rsidRPr="008773B1">
        <w:rPr>
          <w:rFonts w:ascii="Times New Roman" w:hAnsi="Times New Roman" w:cs="Times New Roman"/>
          <w:sz w:val="24"/>
          <w:szCs w:val="24"/>
          <w:lang w:eastAsia="en-GB"/>
        </w:rPr>
        <w:t>were</w:t>
      </w:r>
      <w:r w:rsidR="00307E26" w:rsidRPr="008773B1">
        <w:rPr>
          <w:rFonts w:ascii="Times New Roman" w:hAnsi="Times New Roman" w:cs="Times New Roman"/>
          <w:sz w:val="24"/>
          <w:szCs w:val="24"/>
          <w:lang w:eastAsia="en-GB"/>
        </w:rPr>
        <w:t xml:space="preserve"> applied to</w:t>
      </w:r>
      <w:r w:rsidR="0005595E" w:rsidRPr="008773B1">
        <w:rPr>
          <w:rFonts w:ascii="Times New Roman" w:hAnsi="Times New Roman" w:cs="Times New Roman"/>
          <w:sz w:val="24"/>
          <w:szCs w:val="24"/>
          <w:lang w:eastAsia="en-GB"/>
        </w:rPr>
        <w:t xml:space="preserve"> </w:t>
      </w:r>
      <w:r w:rsidR="00307E26" w:rsidRPr="008773B1">
        <w:rPr>
          <w:rFonts w:ascii="Times New Roman" w:hAnsi="Times New Roman" w:cs="Times New Roman"/>
          <w:sz w:val="24"/>
          <w:szCs w:val="24"/>
          <w:lang w:eastAsia="en-GB"/>
        </w:rPr>
        <w:t>describe</w:t>
      </w:r>
      <w:r w:rsidR="0005595E" w:rsidRPr="008773B1">
        <w:rPr>
          <w:rFonts w:ascii="Times New Roman" w:hAnsi="Times New Roman" w:cs="Times New Roman"/>
          <w:sz w:val="24"/>
          <w:szCs w:val="24"/>
          <w:lang w:eastAsia="en-GB"/>
        </w:rPr>
        <w:t xml:space="preserve"> continuous data</w:t>
      </w:r>
      <w:r w:rsidR="00FE34F3" w:rsidRPr="008773B1">
        <w:rPr>
          <w:rFonts w:ascii="Times New Roman" w:hAnsi="Times New Roman" w:cs="Times New Roman"/>
          <w:sz w:val="24"/>
          <w:szCs w:val="24"/>
          <w:lang w:eastAsia="en-GB"/>
        </w:rPr>
        <w:t xml:space="preserve">. Analysis of variance was used </w:t>
      </w:r>
      <w:r w:rsidR="0005595E" w:rsidRPr="008773B1">
        <w:rPr>
          <w:rFonts w:ascii="Times New Roman" w:hAnsi="Times New Roman" w:cs="Times New Roman"/>
          <w:sz w:val="24"/>
          <w:szCs w:val="24"/>
          <w:lang w:eastAsia="en-GB"/>
        </w:rPr>
        <w:t xml:space="preserve">to </w:t>
      </w:r>
      <w:r w:rsidR="00FE34F3" w:rsidRPr="008773B1">
        <w:rPr>
          <w:rFonts w:ascii="Times New Roman" w:hAnsi="Times New Roman" w:cs="Times New Roman"/>
          <w:sz w:val="24"/>
          <w:szCs w:val="24"/>
          <w:lang w:eastAsia="en-GB"/>
        </w:rPr>
        <w:t>analyze the differences in Serum Zinc, Magnesium</w:t>
      </w:r>
      <w:r w:rsidR="00A43A18" w:rsidRPr="008773B1">
        <w:rPr>
          <w:rFonts w:ascii="Times New Roman" w:hAnsi="Times New Roman" w:cs="Times New Roman"/>
          <w:sz w:val="24"/>
          <w:szCs w:val="24"/>
          <w:lang w:eastAsia="en-GB"/>
        </w:rPr>
        <w:t>,</w:t>
      </w:r>
      <w:r w:rsidR="00FE34F3" w:rsidRPr="008773B1">
        <w:rPr>
          <w:rFonts w:ascii="Times New Roman" w:hAnsi="Times New Roman" w:cs="Times New Roman"/>
          <w:sz w:val="24"/>
          <w:szCs w:val="24"/>
          <w:lang w:eastAsia="en-GB"/>
        </w:rPr>
        <w:t xml:space="preserve"> and Vitamin A</w:t>
      </w:r>
      <w:r w:rsidR="00EF7A48" w:rsidRPr="008773B1">
        <w:rPr>
          <w:rFonts w:ascii="Times New Roman" w:hAnsi="Times New Roman" w:cs="Times New Roman"/>
          <w:sz w:val="24"/>
          <w:szCs w:val="24"/>
          <w:lang w:eastAsia="en-GB"/>
        </w:rPr>
        <w:t xml:space="preserve"> levels between Normal thyroid function</w:t>
      </w:r>
      <w:r w:rsidR="00FE34F3" w:rsidRPr="008773B1">
        <w:rPr>
          <w:rFonts w:ascii="Times New Roman" w:hAnsi="Times New Roman" w:cs="Times New Roman"/>
          <w:sz w:val="24"/>
          <w:szCs w:val="24"/>
          <w:lang w:eastAsia="en-GB"/>
        </w:rPr>
        <w:t xml:space="preserve"> (TFT)</w:t>
      </w:r>
      <w:r w:rsidR="00EF7A48" w:rsidRPr="008773B1">
        <w:rPr>
          <w:rFonts w:ascii="Times New Roman" w:hAnsi="Times New Roman" w:cs="Times New Roman"/>
          <w:sz w:val="24"/>
          <w:szCs w:val="24"/>
          <w:lang w:eastAsia="en-GB"/>
        </w:rPr>
        <w:t>, Hyperthyroidism</w:t>
      </w:r>
      <w:r w:rsidR="00A43A18" w:rsidRPr="008773B1">
        <w:rPr>
          <w:rFonts w:ascii="Times New Roman" w:hAnsi="Times New Roman" w:cs="Times New Roman"/>
          <w:sz w:val="24"/>
          <w:szCs w:val="24"/>
          <w:lang w:eastAsia="en-GB"/>
        </w:rPr>
        <w:t>,</w:t>
      </w:r>
      <w:r w:rsidR="00EF7A48" w:rsidRPr="008773B1">
        <w:rPr>
          <w:rFonts w:ascii="Times New Roman" w:hAnsi="Times New Roman" w:cs="Times New Roman"/>
          <w:sz w:val="24"/>
          <w:szCs w:val="24"/>
          <w:lang w:eastAsia="en-GB"/>
        </w:rPr>
        <w:t xml:space="preserve"> and Hypothyroidism. Mean values were regarded as significant at </w:t>
      </w:r>
      <w:r w:rsidR="00172760" w:rsidRPr="008773B1">
        <w:rPr>
          <w:rFonts w:ascii="Times New Roman" w:hAnsi="Times New Roman" w:cs="Times New Roman"/>
          <w:sz w:val="24"/>
          <w:szCs w:val="24"/>
          <w:lang w:eastAsia="en-GB"/>
        </w:rPr>
        <w:t>P-value &lt;0.05.</w:t>
      </w:r>
    </w:p>
    <w:p w14:paraId="2CA25670" w14:textId="77777777" w:rsidR="006C3F06" w:rsidRPr="006C3F06" w:rsidRDefault="006C3F06" w:rsidP="00F10A72">
      <w:pPr>
        <w:pStyle w:val="NoSpacing"/>
        <w:spacing w:line="480" w:lineRule="auto"/>
        <w:jc w:val="both"/>
        <w:rPr>
          <w:rFonts w:ascii="Times New Roman" w:hAnsi="Times New Roman" w:cs="Times New Roman"/>
          <w:b/>
          <w:sz w:val="14"/>
          <w:szCs w:val="24"/>
          <w:lang w:eastAsia="en-GB"/>
        </w:rPr>
      </w:pPr>
    </w:p>
    <w:p w14:paraId="6ADADC54" w14:textId="77777777" w:rsidR="00975C40" w:rsidRPr="008773B1" w:rsidRDefault="00975C40" w:rsidP="00F10A72">
      <w:pPr>
        <w:pStyle w:val="NoSpacing"/>
        <w:spacing w:line="480" w:lineRule="auto"/>
        <w:jc w:val="both"/>
        <w:rPr>
          <w:rFonts w:ascii="Times New Roman" w:hAnsi="Times New Roman" w:cs="Times New Roman"/>
          <w:b/>
          <w:sz w:val="24"/>
          <w:szCs w:val="24"/>
          <w:lang w:eastAsia="en-GB"/>
        </w:rPr>
      </w:pPr>
      <w:r w:rsidRPr="008773B1">
        <w:rPr>
          <w:rFonts w:ascii="Times New Roman" w:hAnsi="Times New Roman" w:cs="Times New Roman"/>
          <w:b/>
          <w:sz w:val="24"/>
          <w:szCs w:val="24"/>
          <w:lang w:eastAsia="en-GB"/>
        </w:rPr>
        <w:t>Results</w:t>
      </w:r>
    </w:p>
    <w:p w14:paraId="694373F4" w14:textId="77777777" w:rsidR="00C55865" w:rsidRPr="008773B1" w:rsidRDefault="00F548F5" w:rsidP="00B2214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en-GB"/>
        </w:rPr>
        <w:t>300</w:t>
      </w:r>
      <w:r w:rsidR="00975C40" w:rsidRPr="008773B1">
        <w:rPr>
          <w:rFonts w:ascii="Times New Roman" w:hAnsi="Times New Roman"/>
          <w:sz w:val="24"/>
          <w:szCs w:val="24"/>
          <w:lang w:eastAsia="en-GB"/>
        </w:rPr>
        <w:t xml:space="preserve"> participants </w:t>
      </w:r>
      <w:r w:rsidR="0012498D" w:rsidRPr="008773B1">
        <w:rPr>
          <w:rFonts w:ascii="Times New Roman" w:hAnsi="Times New Roman"/>
          <w:sz w:val="24"/>
          <w:szCs w:val="24"/>
          <w:lang w:eastAsia="en-GB"/>
        </w:rPr>
        <w:t>from 2022 to 2024 were</w:t>
      </w:r>
      <w:r w:rsidR="004A5DB2" w:rsidRPr="008773B1">
        <w:rPr>
          <w:rFonts w:ascii="Times New Roman" w:hAnsi="Times New Roman"/>
          <w:sz w:val="24"/>
          <w:szCs w:val="24"/>
          <w:lang w:eastAsia="en-GB"/>
        </w:rPr>
        <w:t xml:space="preserve"> administered questionnaires. </w:t>
      </w:r>
      <w:r w:rsidR="004A5DB2" w:rsidRPr="008773B1">
        <w:rPr>
          <w:rFonts w:ascii="Times New Roman" w:hAnsi="Times New Roman"/>
          <w:sz w:val="24"/>
          <w:szCs w:val="24"/>
        </w:rPr>
        <w:t xml:space="preserve">100 </w:t>
      </w:r>
      <w:r w:rsidR="00282D71" w:rsidRPr="008773B1">
        <w:rPr>
          <w:rFonts w:ascii="Times New Roman" w:hAnsi="Times New Roman"/>
          <w:sz w:val="24"/>
          <w:szCs w:val="24"/>
        </w:rPr>
        <w:t>male S</w:t>
      </w:r>
      <w:r w:rsidR="0012498D" w:rsidRPr="008773B1">
        <w:rPr>
          <w:rFonts w:ascii="Times New Roman" w:hAnsi="Times New Roman"/>
          <w:sz w:val="24"/>
          <w:szCs w:val="24"/>
        </w:rPr>
        <w:t>ubjects with abnormal serum thyroid ho</w:t>
      </w:r>
      <w:r w:rsidR="004A5DB2" w:rsidRPr="008773B1">
        <w:rPr>
          <w:rFonts w:ascii="Times New Roman" w:hAnsi="Times New Roman"/>
          <w:sz w:val="24"/>
          <w:szCs w:val="24"/>
        </w:rPr>
        <w:t>rmones and 100</w:t>
      </w:r>
      <w:r w:rsidR="00282D71" w:rsidRPr="008773B1">
        <w:rPr>
          <w:rFonts w:ascii="Times New Roman" w:hAnsi="Times New Roman"/>
          <w:sz w:val="24"/>
          <w:szCs w:val="24"/>
        </w:rPr>
        <w:t xml:space="preserve"> female Subjects</w:t>
      </w:r>
      <w:r w:rsidR="0012498D" w:rsidRPr="008773B1">
        <w:rPr>
          <w:rFonts w:ascii="Times New Roman" w:hAnsi="Times New Roman"/>
          <w:sz w:val="24"/>
          <w:szCs w:val="24"/>
        </w:rPr>
        <w:t xml:space="preserve"> with abnormal seru</w:t>
      </w:r>
      <w:r w:rsidR="004A5DB2" w:rsidRPr="008773B1">
        <w:rPr>
          <w:rFonts w:ascii="Times New Roman" w:hAnsi="Times New Roman"/>
          <w:sz w:val="24"/>
          <w:szCs w:val="24"/>
        </w:rPr>
        <w:t>m thyroid hormones were sampled as test subjects</w:t>
      </w:r>
      <w:r w:rsidR="00AD53F7" w:rsidRPr="008773B1">
        <w:rPr>
          <w:rFonts w:ascii="Times New Roman" w:hAnsi="Times New Roman"/>
          <w:sz w:val="24"/>
          <w:szCs w:val="24"/>
        </w:rPr>
        <w:t xml:space="preserve"> (participants)</w:t>
      </w:r>
      <w:r w:rsidR="00307E26" w:rsidRPr="008773B1">
        <w:rPr>
          <w:rFonts w:ascii="Times New Roman" w:hAnsi="Times New Roman"/>
          <w:sz w:val="24"/>
          <w:szCs w:val="24"/>
        </w:rPr>
        <w:t>,</w:t>
      </w:r>
      <w:r w:rsidR="00282D71" w:rsidRPr="008773B1">
        <w:rPr>
          <w:rFonts w:ascii="Times New Roman" w:hAnsi="Times New Roman"/>
          <w:sz w:val="24"/>
          <w:szCs w:val="24"/>
        </w:rPr>
        <w:t xml:space="preserve"> 50 healthy male S</w:t>
      </w:r>
      <w:r w:rsidR="0012498D" w:rsidRPr="008773B1">
        <w:rPr>
          <w:rFonts w:ascii="Times New Roman" w:hAnsi="Times New Roman"/>
          <w:sz w:val="24"/>
          <w:szCs w:val="24"/>
        </w:rPr>
        <w:t>ubjects with normal thyroid function</w:t>
      </w:r>
      <w:r w:rsidR="00307E26" w:rsidRPr="008773B1">
        <w:rPr>
          <w:rFonts w:ascii="Times New Roman" w:hAnsi="Times New Roman"/>
          <w:sz w:val="24"/>
          <w:szCs w:val="24"/>
        </w:rPr>
        <w:t>,</w:t>
      </w:r>
      <w:r w:rsidR="0012498D" w:rsidRPr="008773B1">
        <w:rPr>
          <w:rFonts w:ascii="Times New Roman" w:hAnsi="Times New Roman"/>
          <w:sz w:val="24"/>
          <w:szCs w:val="24"/>
        </w:rPr>
        <w:t xml:space="preserve"> </w:t>
      </w:r>
      <w:r w:rsidR="00282D71" w:rsidRPr="008773B1">
        <w:rPr>
          <w:rFonts w:ascii="Times New Roman" w:hAnsi="Times New Roman"/>
          <w:sz w:val="24"/>
          <w:szCs w:val="24"/>
        </w:rPr>
        <w:t>and 50 healthy female S</w:t>
      </w:r>
      <w:r w:rsidR="0012498D" w:rsidRPr="008773B1">
        <w:rPr>
          <w:rFonts w:ascii="Times New Roman" w:hAnsi="Times New Roman"/>
          <w:sz w:val="24"/>
          <w:szCs w:val="24"/>
        </w:rPr>
        <w:t xml:space="preserve">ubjects with normal thyroid </w:t>
      </w:r>
      <w:r w:rsidR="00AD53F7" w:rsidRPr="008773B1">
        <w:rPr>
          <w:rFonts w:ascii="Times New Roman" w:hAnsi="Times New Roman"/>
          <w:sz w:val="24"/>
          <w:szCs w:val="24"/>
        </w:rPr>
        <w:t>function were used as normal control</w:t>
      </w:r>
      <w:r w:rsidR="00956CE1" w:rsidRPr="008773B1">
        <w:rPr>
          <w:rFonts w:ascii="Times New Roman" w:hAnsi="Times New Roman"/>
          <w:sz w:val="24"/>
          <w:szCs w:val="24"/>
        </w:rPr>
        <w:t>. From the demography,</w:t>
      </w:r>
      <w:r w:rsidR="00871729" w:rsidRPr="008773B1">
        <w:rPr>
          <w:rFonts w:ascii="Times New Roman" w:hAnsi="Times New Roman"/>
          <w:sz w:val="24"/>
          <w:szCs w:val="24"/>
        </w:rPr>
        <w:t xml:space="preserve"> males with hypothyroidism </w:t>
      </w:r>
      <w:r w:rsidR="00A43A18" w:rsidRPr="008773B1">
        <w:rPr>
          <w:rFonts w:ascii="Times New Roman" w:hAnsi="Times New Roman"/>
          <w:sz w:val="24"/>
          <w:szCs w:val="24"/>
        </w:rPr>
        <w:t>were</w:t>
      </w:r>
      <w:r w:rsidR="00871729" w:rsidRPr="008773B1">
        <w:rPr>
          <w:rFonts w:ascii="Times New Roman" w:hAnsi="Times New Roman"/>
          <w:sz w:val="24"/>
          <w:szCs w:val="24"/>
        </w:rPr>
        <w:t xml:space="preserve"> 16.66%</w:t>
      </w:r>
      <w:r w:rsidR="000455A3" w:rsidRPr="008773B1">
        <w:rPr>
          <w:rFonts w:ascii="Times New Roman" w:hAnsi="Times New Roman"/>
          <w:sz w:val="24"/>
          <w:szCs w:val="24"/>
        </w:rPr>
        <w:t xml:space="preserve"> of the study population</w:t>
      </w:r>
      <w:r w:rsidR="00871729" w:rsidRPr="008773B1">
        <w:rPr>
          <w:rFonts w:ascii="Times New Roman" w:hAnsi="Times New Roman"/>
          <w:sz w:val="24"/>
          <w:szCs w:val="24"/>
        </w:rPr>
        <w:t xml:space="preserve">, </w:t>
      </w:r>
      <w:r w:rsidR="00956CE1" w:rsidRPr="008773B1">
        <w:rPr>
          <w:rFonts w:ascii="Times New Roman" w:hAnsi="Times New Roman"/>
          <w:sz w:val="24"/>
          <w:szCs w:val="24"/>
        </w:rPr>
        <w:t xml:space="preserve">females with hypothyroidism </w:t>
      </w:r>
      <w:r w:rsidR="00A43A18" w:rsidRPr="008773B1">
        <w:rPr>
          <w:rFonts w:ascii="Times New Roman" w:hAnsi="Times New Roman"/>
          <w:sz w:val="24"/>
          <w:szCs w:val="24"/>
        </w:rPr>
        <w:t>were</w:t>
      </w:r>
      <w:r w:rsidR="00956CE1" w:rsidRPr="008773B1">
        <w:rPr>
          <w:rFonts w:ascii="Times New Roman" w:hAnsi="Times New Roman"/>
          <w:sz w:val="24"/>
          <w:szCs w:val="24"/>
        </w:rPr>
        <w:t xml:space="preserve"> 16.66%, </w:t>
      </w:r>
      <w:r w:rsidR="00871729" w:rsidRPr="008773B1">
        <w:rPr>
          <w:rFonts w:ascii="Times New Roman" w:hAnsi="Times New Roman"/>
          <w:sz w:val="24"/>
          <w:szCs w:val="24"/>
        </w:rPr>
        <w:t xml:space="preserve">males with hyperthyroidism </w:t>
      </w:r>
      <w:r w:rsidR="00A43A18" w:rsidRPr="008773B1">
        <w:rPr>
          <w:rFonts w:ascii="Times New Roman" w:hAnsi="Times New Roman"/>
          <w:sz w:val="24"/>
          <w:szCs w:val="24"/>
        </w:rPr>
        <w:t>were</w:t>
      </w:r>
      <w:r w:rsidR="00871729" w:rsidRPr="008773B1">
        <w:rPr>
          <w:rFonts w:ascii="Times New Roman" w:hAnsi="Times New Roman"/>
          <w:sz w:val="24"/>
          <w:szCs w:val="24"/>
        </w:rPr>
        <w:t xml:space="preserve"> 16.67%, females with hyperthyroidism </w:t>
      </w:r>
      <w:r w:rsidR="00A43A18" w:rsidRPr="008773B1">
        <w:rPr>
          <w:rFonts w:ascii="Times New Roman" w:hAnsi="Times New Roman"/>
          <w:sz w:val="24"/>
          <w:szCs w:val="24"/>
        </w:rPr>
        <w:t>were</w:t>
      </w:r>
      <w:r w:rsidR="00871729" w:rsidRPr="008773B1">
        <w:rPr>
          <w:rFonts w:ascii="Times New Roman" w:hAnsi="Times New Roman"/>
          <w:sz w:val="24"/>
          <w:szCs w:val="24"/>
        </w:rPr>
        <w:t xml:space="preserve"> 16.67%, </w:t>
      </w:r>
      <w:r w:rsidR="00FC7815" w:rsidRPr="008773B1">
        <w:rPr>
          <w:rFonts w:ascii="Times New Roman" w:hAnsi="Times New Roman"/>
          <w:sz w:val="24"/>
          <w:szCs w:val="24"/>
        </w:rPr>
        <w:t xml:space="preserve">males with normal </w:t>
      </w:r>
      <w:r w:rsidR="000455A3" w:rsidRPr="008773B1">
        <w:rPr>
          <w:rFonts w:ascii="Times New Roman" w:hAnsi="Times New Roman"/>
          <w:sz w:val="24"/>
          <w:szCs w:val="24"/>
        </w:rPr>
        <w:t xml:space="preserve">thyroid function </w:t>
      </w:r>
      <w:r w:rsidR="00790298" w:rsidRPr="008773B1">
        <w:rPr>
          <w:rFonts w:ascii="Times New Roman" w:hAnsi="Times New Roman"/>
          <w:sz w:val="24"/>
          <w:szCs w:val="24"/>
        </w:rPr>
        <w:t xml:space="preserve">(male control subjects) </w:t>
      </w:r>
      <w:r w:rsidR="000455A3" w:rsidRPr="008773B1">
        <w:rPr>
          <w:rFonts w:ascii="Times New Roman" w:hAnsi="Times New Roman"/>
          <w:sz w:val="24"/>
          <w:szCs w:val="24"/>
        </w:rPr>
        <w:t>was 16.67%, while females with</w:t>
      </w:r>
      <w:r w:rsidR="00790298" w:rsidRPr="008773B1">
        <w:rPr>
          <w:rFonts w:ascii="Times New Roman" w:hAnsi="Times New Roman"/>
          <w:sz w:val="24"/>
          <w:szCs w:val="24"/>
        </w:rPr>
        <w:t xml:space="preserve"> normal</w:t>
      </w:r>
      <w:r w:rsidR="000455A3" w:rsidRPr="008773B1">
        <w:rPr>
          <w:rFonts w:ascii="Times New Roman" w:hAnsi="Times New Roman"/>
          <w:sz w:val="24"/>
          <w:szCs w:val="24"/>
        </w:rPr>
        <w:t xml:space="preserve"> thyroid function</w:t>
      </w:r>
      <w:r w:rsidR="00790298" w:rsidRPr="008773B1">
        <w:rPr>
          <w:rFonts w:ascii="Times New Roman" w:hAnsi="Times New Roman"/>
          <w:sz w:val="24"/>
          <w:szCs w:val="24"/>
        </w:rPr>
        <w:t xml:space="preserve"> (female control subjects)</w:t>
      </w:r>
      <w:r w:rsidR="000455A3" w:rsidRPr="008773B1">
        <w:rPr>
          <w:rFonts w:ascii="Times New Roman" w:hAnsi="Times New Roman"/>
          <w:sz w:val="24"/>
          <w:szCs w:val="24"/>
        </w:rPr>
        <w:t xml:space="preserve"> </w:t>
      </w:r>
      <w:r w:rsidR="00307E26" w:rsidRPr="008773B1">
        <w:rPr>
          <w:rFonts w:ascii="Times New Roman" w:hAnsi="Times New Roman"/>
          <w:sz w:val="24"/>
          <w:szCs w:val="24"/>
        </w:rPr>
        <w:t>were</w:t>
      </w:r>
      <w:r w:rsidR="000455A3" w:rsidRPr="008773B1">
        <w:rPr>
          <w:rFonts w:ascii="Times New Roman" w:hAnsi="Times New Roman"/>
          <w:sz w:val="24"/>
          <w:szCs w:val="24"/>
        </w:rPr>
        <w:t xml:space="preserve"> 16.67% of the study population</w:t>
      </w:r>
      <w:r w:rsidR="004F6DF2" w:rsidRPr="008773B1">
        <w:rPr>
          <w:rFonts w:ascii="Times New Roman" w:hAnsi="Times New Roman"/>
          <w:sz w:val="24"/>
          <w:szCs w:val="24"/>
        </w:rPr>
        <w:t xml:space="preserve"> (Figure 1)</w:t>
      </w:r>
      <w:r w:rsidR="000455A3" w:rsidRPr="008773B1">
        <w:rPr>
          <w:rFonts w:ascii="Times New Roman" w:hAnsi="Times New Roman"/>
          <w:sz w:val="24"/>
          <w:szCs w:val="24"/>
        </w:rPr>
        <w:t xml:space="preserve">. </w:t>
      </w:r>
      <w:r w:rsidR="00C55865" w:rsidRPr="008773B1">
        <w:rPr>
          <w:rFonts w:ascii="Times New Roman" w:hAnsi="Times New Roman"/>
          <w:sz w:val="24"/>
          <w:szCs w:val="24"/>
        </w:rPr>
        <w:br w:type="page"/>
      </w:r>
    </w:p>
    <w:p w14:paraId="5BC45824" w14:textId="77777777" w:rsidR="00C55865" w:rsidRPr="008773B1" w:rsidRDefault="000B1A52" w:rsidP="00C55865">
      <w:pPr>
        <w:rPr>
          <w:rFonts w:ascii="Times New Roman" w:hAnsi="Times New Roman"/>
          <w:sz w:val="24"/>
          <w:szCs w:val="24"/>
        </w:rPr>
      </w:pPr>
      <w:r w:rsidRPr="008773B1">
        <w:rPr>
          <w:rFonts w:ascii="Times New Roman" w:hAnsi="Times New Roman"/>
          <w:noProof/>
          <w:sz w:val="24"/>
          <w:szCs w:val="24"/>
          <w:lang w:val="en-GB" w:eastAsia="en-GB"/>
        </w:rPr>
        <w:lastRenderedPageBreak/>
        <w:drawing>
          <wp:inline distT="0" distB="0" distL="0" distR="0" wp14:anchorId="6CCD8874" wp14:editId="23F8BA9C">
            <wp:extent cx="5852160" cy="4396740"/>
            <wp:effectExtent l="0" t="0" r="1524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764AA0" w14:textId="77777777" w:rsidR="00292C7D" w:rsidRPr="008773B1" w:rsidRDefault="00292C7D" w:rsidP="006C3F06">
      <w:pPr>
        <w:spacing w:after="0" w:line="240" w:lineRule="auto"/>
        <w:rPr>
          <w:rFonts w:ascii="Times New Roman" w:hAnsi="Times New Roman"/>
          <w:sz w:val="24"/>
          <w:szCs w:val="24"/>
        </w:rPr>
      </w:pPr>
      <w:r w:rsidRPr="008773B1">
        <w:rPr>
          <w:rFonts w:ascii="Times New Roman" w:hAnsi="Times New Roman"/>
          <w:b/>
          <w:sz w:val="24"/>
          <w:szCs w:val="24"/>
        </w:rPr>
        <w:t>Figure 1:</w:t>
      </w:r>
      <w:r w:rsidRPr="008773B1">
        <w:rPr>
          <w:rFonts w:ascii="Times New Roman" w:hAnsi="Times New Roman"/>
          <w:sz w:val="24"/>
          <w:szCs w:val="24"/>
        </w:rPr>
        <w:t xml:space="preserve"> Demographic </w:t>
      </w:r>
      <w:r w:rsidR="00D527ED" w:rsidRPr="008773B1">
        <w:rPr>
          <w:rFonts w:ascii="Times New Roman" w:hAnsi="Times New Roman"/>
          <w:sz w:val="24"/>
          <w:szCs w:val="24"/>
        </w:rPr>
        <w:t>characteristics</w:t>
      </w:r>
      <w:r w:rsidRPr="008773B1">
        <w:rPr>
          <w:rFonts w:ascii="Times New Roman" w:hAnsi="Times New Roman"/>
          <w:sz w:val="24"/>
          <w:szCs w:val="24"/>
        </w:rPr>
        <w:t xml:space="preserve"> of </w:t>
      </w:r>
      <w:r w:rsidR="00D527ED" w:rsidRPr="008773B1">
        <w:rPr>
          <w:rFonts w:ascii="Times New Roman" w:hAnsi="Times New Roman"/>
          <w:sz w:val="24"/>
          <w:szCs w:val="24"/>
        </w:rPr>
        <w:t xml:space="preserve">the </w:t>
      </w:r>
      <w:r w:rsidRPr="008773B1">
        <w:rPr>
          <w:rFonts w:ascii="Times New Roman" w:hAnsi="Times New Roman"/>
          <w:sz w:val="24"/>
          <w:szCs w:val="24"/>
        </w:rPr>
        <w:t xml:space="preserve">study population </w:t>
      </w:r>
    </w:p>
    <w:tbl>
      <w:tblPr>
        <w:tblW w:w="9708" w:type="dxa"/>
        <w:tblInd w:w="93" w:type="dxa"/>
        <w:tblLook w:val="04A0" w:firstRow="1" w:lastRow="0" w:firstColumn="1" w:lastColumn="0" w:noHBand="0" w:noVBand="1"/>
      </w:tblPr>
      <w:tblGrid>
        <w:gridCol w:w="9708"/>
      </w:tblGrid>
      <w:tr w:rsidR="00C55865" w:rsidRPr="008773B1" w14:paraId="310CF39A" w14:textId="77777777" w:rsidTr="00862223">
        <w:trPr>
          <w:trHeight w:val="300"/>
        </w:trPr>
        <w:tc>
          <w:tcPr>
            <w:tcW w:w="9708" w:type="dxa"/>
            <w:tcBorders>
              <w:top w:val="nil"/>
              <w:left w:val="nil"/>
              <w:bottom w:val="nil"/>
              <w:right w:val="nil"/>
            </w:tcBorders>
            <w:noWrap/>
            <w:vAlign w:val="center"/>
          </w:tcPr>
          <w:p w14:paraId="5319A508" w14:textId="77777777" w:rsidR="000E4531" w:rsidRPr="008773B1" w:rsidRDefault="00C55865" w:rsidP="006C3F06">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Normal Thyroid function test (TFT): TSH of 0.4-4.0, Total T3 of 0.9 – 2.8 nmol/L, Total T4 of 57-149 nmol/L.</w:t>
            </w:r>
          </w:p>
          <w:p w14:paraId="19DCF3A2" w14:textId="77777777" w:rsidR="000E4531" w:rsidRPr="008773B1" w:rsidRDefault="00C55865" w:rsidP="006C3F06">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Hypothyroidism: TSH &gt;10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normal T3 and T4.</w:t>
            </w:r>
          </w:p>
          <w:p w14:paraId="4C7B4B84" w14:textId="77777777" w:rsidR="00C55865" w:rsidRPr="008773B1" w:rsidRDefault="00C55865" w:rsidP="006C3F06">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Hyperthyroidism: TSH &lt;1.8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elevated T3 &gt; 2.8 nmol/L and/or T4 &gt; 150 nmol/L.</w:t>
            </w:r>
          </w:p>
        </w:tc>
      </w:tr>
    </w:tbl>
    <w:p w14:paraId="58EA1CF5" w14:textId="77777777" w:rsidR="006C3F06" w:rsidRDefault="006C3F06" w:rsidP="006C3F06">
      <w:pPr>
        <w:spacing w:line="240" w:lineRule="auto"/>
        <w:jc w:val="both"/>
        <w:rPr>
          <w:rFonts w:ascii="Times New Roman" w:hAnsi="Times New Roman"/>
          <w:sz w:val="24"/>
          <w:szCs w:val="24"/>
        </w:rPr>
      </w:pPr>
    </w:p>
    <w:p w14:paraId="2865BDD2" w14:textId="77777777" w:rsidR="00C55865" w:rsidRPr="008773B1" w:rsidRDefault="009407C6" w:rsidP="006C3F06">
      <w:pPr>
        <w:spacing w:line="240" w:lineRule="auto"/>
        <w:jc w:val="both"/>
        <w:rPr>
          <w:rFonts w:ascii="Times New Roman" w:hAnsi="Times New Roman"/>
          <w:sz w:val="24"/>
          <w:szCs w:val="24"/>
        </w:rPr>
      </w:pPr>
      <w:r w:rsidRPr="008773B1">
        <w:rPr>
          <w:rFonts w:ascii="Times New Roman" w:hAnsi="Times New Roman"/>
          <w:sz w:val="24"/>
          <w:szCs w:val="24"/>
        </w:rPr>
        <w:t>Thyro</w:t>
      </w:r>
      <w:r w:rsidR="00307E26" w:rsidRPr="008773B1">
        <w:rPr>
          <w:rFonts w:ascii="Times New Roman" w:hAnsi="Times New Roman"/>
          <w:sz w:val="24"/>
          <w:szCs w:val="24"/>
        </w:rPr>
        <w:t>id function test parameters of T</w:t>
      </w:r>
      <w:r w:rsidRPr="008773B1">
        <w:rPr>
          <w:rFonts w:ascii="Times New Roman" w:hAnsi="Times New Roman"/>
          <w:sz w:val="24"/>
          <w:szCs w:val="24"/>
        </w:rPr>
        <w:t xml:space="preserve">est subjects were compared with control. There was a significant </w:t>
      </w:r>
      <w:r w:rsidR="00F33E9A" w:rsidRPr="008773B1">
        <w:rPr>
          <w:rFonts w:ascii="Times New Roman" w:hAnsi="Times New Roman"/>
          <w:sz w:val="24"/>
          <w:szCs w:val="24"/>
        </w:rPr>
        <w:t xml:space="preserve">increase in serum TSH levels in test subjects </w:t>
      </w:r>
      <w:r w:rsidR="00C55865" w:rsidRPr="008773B1">
        <w:rPr>
          <w:rFonts w:ascii="Times New Roman" w:hAnsi="Times New Roman"/>
          <w:sz w:val="24"/>
          <w:szCs w:val="24"/>
        </w:rPr>
        <w:t xml:space="preserve">(5.34 ± 1.1) compared with normal subjects (1.32 ± 0.2) (p=0.019). </w:t>
      </w:r>
      <w:r w:rsidR="00D36899" w:rsidRPr="008773B1">
        <w:rPr>
          <w:rFonts w:ascii="Times New Roman" w:hAnsi="Times New Roman"/>
          <w:sz w:val="24"/>
          <w:szCs w:val="24"/>
        </w:rPr>
        <w:t>Serum</w:t>
      </w:r>
      <w:r w:rsidR="00C55865" w:rsidRPr="008773B1">
        <w:rPr>
          <w:rFonts w:ascii="Times New Roman" w:hAnsi="Times New Roman"/>
          <w:sz w:val="24"/>
          <w:szCs w:val="24"/>
        </w:rPr>
        <w:t xml:space="preserve"> T</w:t>
      </w:r>
      <w:r w:rsidR="00C55865" w:rsidRPr="008773B1">
        <w:rPr>
          <w:rFonts w:ascii="Times New Roman" w:hAnsi="Times New Roman"/>
          <w:sz w:val="24"/>
          <w:szCs w:val="24"/>
          <w:vertAlign w:val="subscript"/>
        </w:rPr>
        <w:t>3</w:t>
      </w:r>
      <w:r w:rsidR="00C55865" w:rsidRPr="008773B1">
        <w:rPr>
          <w:rFonts w:ascii="Times New Roman" w:hAnsi="Times New Roman"/>
          <w:sz w:val="24"/>
          <w:szCs w:val="24"/>
        </w:rPr>
        <w:t xml:space="preserve"> was significantly higher in test subjects (2.07 ± 0.2) </w:t>
      </w:r>
      <w:r w:rsidR="00F33E9A" w:rsidRPr="008773B1">
        <w:rPr>
          <w:rFonts w:ascii="Times New Roman" w:hAnsi="Times New Roman"/>
          <w:sz w:val="24"/>
          <w:szCs w:val="24"/>
        </w:rPr>
        <w:t xml:space="preserve">in comparison </w:t>
      </w:r>
      <w:r w:rsidR="00C55865" w:rsidRPr="008773B1">
        <w:rPr>
          <w:rFonts w:ascii="Times New Roman" w:hAnsi="Times New Roman"/>
          <w:sz w:val="24"/>
          <w:szCs w:val="24"/>
        </w:rPr>
        <w:t xml:space="preserve">with </w:t>
      </w:r>
      <w:r w:rsidR="00D36899" w:rsidRPr="008773B1">
        <w:rPr>
          <w:rFonts w:ascii="Times New Roman" w:hAnsi="Times New Roman"/>
          <w:sz w:val="24"/>
          <w:szCs w:val="24"/>
        </w:rPr>
        <w:t>control</w:t>
      </w:r>
      <w:r w:rsidR="006D63AD" w:rsidRPr="008773B1">
        <w:rPr>
          <w:rFonts w:ascii="Times New Roman" w:hAnsi="Times New Roman"/>
          <w:sz w:val="24"/>
          <w:szCs w:val="24"/>
        </w:rPr>
        <w:t xml:space="preserve"> (1.49 ± 0.1; </w:t>
      </w:r>
      <w:r w:rsidR="00C55865" w:rsidRPr="008773B1">
        <w:rPr>
          <w:rFonts w:ascii="Times New Roman" w:hAnsi="Times New Roman"/>
          <w:sz w:val="24"/>
          <w:szCs w:val="24"/>
        </w:rPr>
        <w:t>p=0.039)</w:t>
      </w:r>
      <w:r w:rsidR="004F6DF2" w:rsidRPr="008773B1">
        <w:rPr>
          <w:rFonts w:ascii="Times New Roman" w:hAnsi="Times New Roman"/>
          <w:sz w:val="24"/>
          <w:szCs w:val="24"/>
        </w:rPr>
        <w:t xml:space="preserve"> (Figure 2)</w:t>
      </w:r>
      <w:r w:rsidR="00C55865" w:rsidRPr="008773B1">
        <w:rPr>
          <w:rFonts w:ascii="Times New Roman" w:hAnsi="Times New Roman"/>
          <w:sz w:val="24"/>
          <w:szCs w:val="24"/>
        </w:rPr>
        <w:t>.</w:t>
      </w:r>
    </w:p>
    <w:p w14:paraId="622FDA75" w14:textId="77777777" w:rsidR="00C55865" w:rsidRPr="008773B1" w:rsidRDefault="00C55865" w:rsidP="00C55865">
      <w:pPr>
        <w:rPr>
          <w:rFonts w:ascii="Times New Roman" w:hAnsi="Times New Roman"/>
          <w:sz w:val="24"/>
          <w:szCs w:val="24"/>
        </w:rPr>
      </w:pPr>
    </w:p>
    <w:p w14:paraId="60DCAB0B" w14:textId="77777777" w:rsidR="00C55865" w:rsidRPr="008773B1" w:rsidRDefault="00C55865" w:rsidP="00C55865">
      <w:pPr>
        <w:rPr>
          <w:rFonts w:ascii="Times New Roman" w:hAnsi="Times New Roman"/>
          <w:sz w:val="24"/>
          <w:szCs w:val="24"/>
        </w:rPr>
      </w:pPr>
      <w:r w:rsidRPr="008773B1">
        <w:rPr>
          <w:rFonts w:ascii="Times New Roman" w:hAnsi="Times New Roman"/>
          <w:noProof/>
          <w:sz w:val="24"/>
          <w:szCs w:val="24"/>
          <w:lang w:val="en-GB" w:eastAsia="en-GB"/>
        </w:rPr>
        <w:lastRenderedPageBreak/>
        <w:drawing>
          <wp:inline distT="0" distB="0" distL="0" distR="0" wp14:anchorId="181BBEE0" wp14:editId="7B7666CC">
            <wp:extent cx="5755005" cy="421259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005" cy="4212590"/>
                    </a:xfrm>
                    <a:prstGeom prst="rect">
                      <a:avLst/>
                    </a:prstGeom>
                    <a:noFill/>
                  </pic:spPr>
                </pic:pic>
              </a:graphicData>
            </a:graphic>
          </wp:inline>
        </w:drawing>
      </w:r>
    </w:p>
    <w:p w14:paraId="0C9ABE75" w14:textId="77777777" w:rsidR="00C55865" w:rsidRPr="008773B1" w:rsidRDefault="00C55865" w:rsidP="00C55865">
      <w:pPr>
        <w:rPr>
          <w:rFonts w:ascii="Times New Roman" w:hAnsi="Times New Roman"/>
          <w:sz w:val="24"/>
          <w:szCs w:val="24"/>
        </w:rPr>
      </w:pPr>
    </w:p>
    <w:p w14:paraId="278952D7" w14:textId="77777777" w:rsidR="00C55865" w:rsidRPr="008773B1" w:rsidRDefault="00052B8C" w:rsidP="00C55865">
      <w:pPr>
        <w:spacing w:after="0"/>
        <w:rPr>
          <w:rFonts w:ascii="Times New Roman" w:hAnsi="Times New Roman"/>
          <w:sz w:val="24"/>
          <w:szCs w:val="24"/>
        </w:rPr>
      </w:pPr>
      <w:r w:rsidRPr="008773B1">
        <w:rPr>
          <w:rFonts w:ascii="Times New Roman" w:hAnsi="Times New Roman"/>
          <w:b/>
          <w:sz w:val="24"/>
          <w:szCs w:val="24"/>
        </w:rPr>
        <w:t xml:space="preserve">Figure </w:t>
      </w:r>
      <w:r w:rsidR="00C55865" w:rsidRPr="008773B1">
        <w:rPr>
          <w:rFonts w:ascii="Times New Roman" w:hAnsi="Times New Roman"/>
          <w:b/>
          <w:sz w:val="24"/>
          <w:szCs w:val="24"/>
        </w:rPr>
        <w:t xml:space="preserve">2: </w:t>
      </w:r>
      <w:r w:rsidR="00C55865" w:rsidRPr="008773B1">
        <w:rPr>
          <w:rFonts w:ascii="Times New Roman" w:hAnsi="Times New Roman"/>
          <w:sz w:val="24"/>
          <w:szCs w:val="24"/>
        </w:rPr>
        <w:t>Thyroid Stimulating Hormone (TSH) and Triiodothyronine (T</w:t>
      </w:r>
      <w:r w:rsidR="00C55865" w:rsidRPr="008773B1">
        <w:rPr>
          <w:rFonts w:ascii="Times New Roman" w:hAnsi="Times New Roman"/>
          <w:sz w:val="24"/>
          <w:szCs w:val="24"/>
          <w:vertAlign w:val="subscript"/>
        </w:rPr>
        <w:t>3</w:t>
      </w:r>
      <w:r w:rsidR="00C55865" w:rsidRPr="008773B1">
        <w:rPr>
          <w:rFonts w:ascii="Times New Roman" w:hAnsi="Times New Roman"/>
          <w:sz w:val="24"/>
          <w:szCs w:val="24"/>
        </w:rPr>
        <w:t>) levels in Tes</w:t>
      </w:r>
      <w:r w:rsidR="00CF4E0E">
        <w:rPr>
          <w:rFonts w:ascii="Times New Roman" w:hAnsi="Times New Roman"/>
          <w:sz w:val="24"/>
          <w:szCs w:val="24"/>
        </w:rPr>
        <w:t>t subjects and normal subjects</w:t>
      </w:r>
    </w:p>
    <w:p w14:paraId="5A3BCEC1"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w:t>
      </w:r>
      <w:r w:rsidR="00CF4E0E">
        <w:rPr>
          <w:rFonts w:ascii="Times New Roman" w:hAnsi="Times New Roman"/>
          <w:sz w:val="24"/>
          <w:szCs w:val="24"/>
        </w:rPr>
        <w:t>s are Mean ± Standard deviation</w:t>
      </w:r>
    </w:p>
    <w:p w14:paraId="4377BB59" w14:textId="77777777" w:rsidR="00C55865" w:rsidRPr="008773B1" w:rsidRDefault="00C55865" w:rsidP="00C55865">
      <w:pPr>
        <w:spacing w:line="240" w:lineRule="auto"/>
        <w:ind w:firstLine="720"/>
        <w:jc w:val="both"/>
        <w:rPr>
          <w:rFonts w:ascii="Times New Roman" w:hAnsi="Times New Roman"/>
          <w:sz w:val="24"/>
          <w:szCs w:val="24"/>
        </w:rPr>
      </w:pPr>
    </w:p>
    <w:p w14:paraId="635B1B20" w14:textId="77777777" w:rsidR="00C55865" w:rsidRPr="008773B1" w:rsidRDefault="00AC6D30" w:rsidP="006C3F06">
      <w:pPr>
        <w:spacing w:line="240" w:lineRule="auto"/>
        <w:jc w:val="both"/>
        <w:rPr>
          <w:rFonts w:ascii="Times New Roman" w:hAnsi="Times New Roman"/>
          <w:sz w:val="24"/>
          <w:szCs w:val="24"/>
        </w:rPr>
      </w:pPr>
      <w:r w:rsidRPr="008773B1">
        <w:rPr>
          <w:rFonts w:ascii="Times New Roman" w:hAnsi="Times New Roman"/>
          <w:sz w:val="24"/>
          <w:szCs w:val="24"/>
        </w:rPr>
        <w:t>Thyroxine (T</w:t>
      </w:r>
      <w:r w:rsidRPr="008773B1">
        <w:rPr>
          <w:rFonts w:ascii="Times New Roman" w:hAnsi="Times New Roman"/>
          <w:sz w:val="24"/>
          <w:szCs w:val="24"/>
          <w:vertAlign w:val="subscript"/>
        </w:rPr>
        <w:t>4</w:t>
      </w:r>
      <w:r w:rsidRPr="008773B1">
        <w:rPr>
          <w:rFonts w:ascii="Times New Roman" w:hAnsi="Times New Roman"/>
          <w:sz w:val="24"/>
          <w:szCs w:val="24"/>
        </w:rPr>
        <w:t xml:space="preserve">) levels of </w:t>
      </w:r>
      <w:r w:rsidR="00C55865" w:rsidRPr="008773B1">
        <w:rPr>
          <w:rFonts w:ascii="Times New Roman" w:hAnsi="Times New Roman"/>
          <w:sz w:val="24"/>
          <w:szCs w:val="24"/>
        </w:rPr>
        <w:t xml:space="preserve">Test subjects </w:t>
      </w:r>
      <w:r w:rsidR="00D527ED" w:rsidRPr="008773B1">
        <w:rPr>
          <w:rFonts w:ascii="Times New Roman" w:hAnsi="Times New Roman"/>
          <w:sz w:val="24"/>
          <w:szCs w:val="24"/>
        </w:rPr>
        <w:t>were</w:t>
      </w:r>
      <w:r w:rsidRPr="008773B1">
        <w:rPr>
          <w:rFonts w:ascii="Times New Roman" w:hAnsi="Times New Roman"/>
          <w:sz w:val="24"/>
          <w:szCs w:val="24"/>
        </w:rPr>
        <w:t xml:space="preserve"> compared with </w:t>
      </w:r>
      <w:r w:rsidR="00D527ED" w:rsidRPr="008773B1">
        <w:rPr>
          <w:rFonts w:ascii="Times New Roman" w:hAnsi="Times New Roman"/>
          <w:sz w:val="24"/>
          <w:szCs w:val="24"/>
        </w:rPr>
        <w:t xml:space="preserve">the </w:t>
      </w:r>
      <w:r w:rsidRPr="008773B1">
        <w:rPr>
          <w:rFonts w:ascii="Times New Roman" w:hAnsi="Times New Roman"/>
          <w:sz w:val="24"/>
          <w:szCs w:val="24"/>
        </w:rPr>
        <w:t>control</w:t>
      </w:r>
      <w:r w:rsidR="00C55865" w:rsidRPr="008773B1">
        <w:rPr>
          <w:rFonts w:ascii="Times New Roman" w:hAnsi="Times New Roman"/>
          <w:sz w:val="24"/>
          <w:szCs w:val="24"/>
        </w:rPr>
        <w:t xml:space="preserve">. The </w:t>
      </w:r>
      <w:r w:rsidRPr="008773B1">
        <w:rPr>
          <w:rFonts w:ascii="Times New Roman" w:hAnsi="Times New Roman"/>
          <w:sz w:val="24"/>
          <w:szCs w:val="24"/>
        </w:rPr>
        <w:t xml:space="preserve">serum </w:t>
      </w:r>
      <w:r w:rsidR="00C55865" w:rsidRPr="008773B1">
        <w:rPr>
          <w:rFonts w:ascii="Times New Roman" w:hAnsi="Times New Roman"/>
          <w:sz w:val="24"/>
          <w:szCs w:val="24"/>
        </w:rPr>
        <w:t>T</w:t>
      </w:r>
      <w:r w:rsidR="00C55865" w:rsidRPr="008773B1">
        <w:rPr>
          <w:rFonts w:ascii="Times New Roman" w:hAnsi="Times New Roman"/>
          <w:sz w:val="24"/>
          <w:szCs w:val="24"/>
          <w:vertAlign w:val="subscript"/>
        </w:rPr>
        <w:t>4</w:t>
      </w:r>
      <w:r w:rsidR="00C55865" w:rsidRPr="008773B1">
        <w:rPr>
          <w:rFonts w:ascii="Times New Roman" w:hAnsi="Times New Roman"/>
          <w:sz w:val="24"/>
          <w:szCs w:val="24"/>
        </w:rPr>
        <w:t xml:space="preserve"> was significantly higher in test subjects (166.8 ± 79.2) compared with </w:t>
      </w:r>
      <w:r w:rsidR="00C72A80" w:rsidRPr="008773B1">
        <w:rPr>
          <w:rFonts w:ascii="Times New Roman" w:hAnsi="Times New Roman"/>
          <w:sz w:val="24"/>
          <w:szCs w:val="24"/>
        </w:rPr>
        <w:t xml:space="preserve">the control </w:t>
      </w:r>
      <w:r w:rsidRPr="008773B1">
        <w:rPr>
          <w:rFonts w:ascii="Times New Roman" w:hAnsi="Times New Roman"/>
          <w:sz w:val="24"/>
          <w:szCs w:val="24"/>
        </w:rPr>
        <w:t xml:space="preserve">(102.6 ± 25.6; </w:t>
      </w:r>
      <w:r w:rsidR="00C55865" w:rsidRPr="008773B1">
        <w:rPr>
          <w:rFonts w:ascii="Times New Roman" w:hAnsi="Times New Roman"/>
          <w:sz w:val="24"/>
          <w:szCs w:val="24"/>
        </w:rPr>
        <w:t>p=0.003)</w:t>
      </w:r>
      <w:r w:rsidR="00C72A80" w:rsidRPr="008773B1">
        <w:rPr>
          <w:rFonts w:ascii="Times New Roman" w:hAnsi="Times New Roman"/>
          <w:sz w:val="24"/>
          <w:szCs w:val="24"/>
        </w:rPr>
        <w:t xml:space="preserve"> (Figure 3)</w:t>
      </w:r>
      <w:r w:rsidR="00C55865" w:rsidRPr="008773B1">
        <w:rPr>
          <w:rFonts w:ascii="Times New Roman" w:hAnsi="Times New Roman"/>
          <w:sz w:val="24"/>
          <w:szCs w:val="24"/>
        </w:rPr>
        <w:t xml:space="preserve">. </w:t>
      </w:r>
    </w:p>
    <w:p w14:paraId="392C73A4" w14:textId="77777777" w:rsidR="00C55865" w:rsidRPr="008773B1" w:rsidRDefault="00C55865" w:rsidP="00C55865">
      <w:pPr>
        <w:rPr>
          <w:rFonts w:ascii="Times New Roman" w:hAnsi="Times New Roman"/>
          <w:sz w:val="24"/>
          <w:szCs w:val="24"/>
        </w:rPr>
      </w:pPr>
      <w:r w:rsidRPr="008773B1">
        <w:rPr>
          <w:rFonts w:ascii="Times New Roman" w:hAnsi="Times New Roman"/>
          <w:sz w:val="24"/>
          <w:szCs w:val="24"/>
        </w:rPr>
        <w:br w:type="page"/>
      </w:r>
    </w:p>
    <w:p w14:paraId="795D2C52" w14:textId="77777777" w:rsidR="00C55865" w:rsidRPr="008773B1" w:rsidRDefault="00C55865" w:rsidP="00C55865">
      <w:pPr>
        <w:rPr>
          <w:rFonts w:ascii="Times New Roman" w:hAnsi="Times New Roman"/>
          <w:sz w:val="24"/>
          <w:szCs w:val="24"/>
        </w:rPr>
      </w:pPr>
      <w:r w:rsidRPr="008773B1">
        <w:rPr>
          <w:rFonts w:ascii="Times New Roman" w:hAnsi="Times New Roman"/>
          <w:noProof/>
          <w:sz w:val="24"/>
          <w:szCs w:val="24"/>
          <w:lang w:val="en-GB" w:eastAsia="en-GB"/>
        </w:rPr>
        <w:lastRenderedPageBreak/>
        <w:drawing>
          <wp:inline distT="0" distB="0" distL="0" distR="0" wp14:anchorId="08528EA2" wp14:editId="62368D54">
            <wp:extent cx="5779770" cy="374332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770" cy="3743325"/>
                    </a:xfrm>
                    <a:prstGeom prst="rect">
                      <a:avLst/>
                    </a:prstGeom>
                    <a:noFill/>
                  </pic:spPr>
                </pic:pic>
              </a:graphicData>
            </a:graphic>
          </wp:inline>
        </w:drawing>
      </w:r>
    </w:p>
    <w:p w14:paraId="067A4C84" w14:textId="77777777" w:rsidR="00C55865" w:rsidRPr="008773B1" w:rsidRDefault="00C55865" w:rsidP="00C55865">
      <w:pPr>
        <w:rPr>
          <w:rFonts w:ascii="Times New Roman" w:hAnsi="Times New Roman"/>
          <w:sz w:val="24"/>
          <w:szCs w:val="24"/>
        </w:rPr>
      </w:pPr>
    </w:p>
    <w:p w14:paraId="1CD607D9" w14:textId="77777777" w:rsidR="00C55865" w:rsidRPr="008773B1" w:rsidRDefault="00FE5023" w:rsidP="00C55865">
      <w:pPr>
        <w:rPr>
          <w:rFonts w:ascii="Times New Roman" w:hAnsi="Times New Roman"/>
          <w:sz w:val="24"/>
          <w:szCs w:val="24"/>
        </w:rPr>
      </w:pPr>
      <w:r w:rsidRPr="008773B1">
        <w:rPr>
          <w:rFonts w:ascii="Times New Roman" w:hAnsi="Times New Roman"/>
          <w:b/>
          <w:sz w:val="24"/>
          <w:szCs w:val="24"/>
        </w:rPr>
        <w:t xml:space="preserve">Figure </w:t>
      </w:r>
      <w:r w:rsidR="00C55865" w:rsidRPr="008773B1">
        <w:rPr>
          <w:rFonts w:ascii="Times New Roman" w:hAnsi="Times New Roman"/>
          <w:b/>
          <w:sz w:val="24"/>
          <w:szCs w:val="24"/>
        </w:rPr>
        <w:t xml:space="preserve">3: </w:t>
      </w:r>
      <w:r w:rsidR="00C55865" w:rsidRPr="008773B1">
        <w:rPr>
          <w:rFonts w:ascii="Times New Roman" w:hAnsi="Times New Roman"/>
          <w:sz w:val="24"/>
          <w:szCs w:val="24"/>
        </w:rPr>
        <w:t xml:space="preserve">Thyroxine (T4) levels in Test subjects and normal subjects. </w:t>
      </w:r>
    </w:p>
    <w:p w14:paraId="59F7C388" w14:textId="77777777" w:rsidR="00C55865" w:rsidRPr="008773B1" w:rsidRDefault="00C55865" w:rsidP="00C55865">
      <w:pPr>
        <w:spacing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11151EFC" w14:textId="77777777" w:rsidR="00C55865" w:rsidRPr="008773B1" w:rsidRDefault="00C55865" w:rsidP="00C55865">
      <w:pPr>
        <w:spacing w:line="240" w:lineRule="auto"/>
        <w:rPr>
          <w:rFonts w:ascii="Times New Roman" w:hAnsi="Times New Roman"/>
          <w:sz w:val="24"/>
          <w:szCs w:val="24"/>
        </w:rPr>
      </w:pPr>
    </w:p>
    <w:p w14:paraId="72527692" w14:textId="77777777" w:rsidR="00C55865" w:rsidRPr="008773B1" w:rsidRDefault="00C72A80" w:rsidP="008773B1">
      <w:pPr>
        <w:jc w:val="both"/>
        <w:rPr>
          <w:rFonts w:ascii="Times New Roman" w:hAnsi="Times New Roman"/>
          <w:sz w:val="24"/>
          <w:szCs w:val="24"/>
        </w:rPr>
      </w:pPr>
      <w:r w:rsidRPr="008773B1">
        <w:rPr>
          <w:rFonts w:ascii="Times New Roman" w:hAnsi="Times New Roman"/>
          <w:sz w:val="24"/>
          <w:szCs w:val="24"/>
        </w:rPr>
        <w:t xml:space="preserve">Serum Zinc (Zn) </w:t>
      </w:r>
      <w:r w:rsidR="00C55865" w:rsidRPr="008773B1">
        <w:rPr>
          <w:rFonts w:ascii="Times New Roman" w:hAnsi="Times New Roman"/>
          <w:sz w:val="24"/>
          <w:szCs w:val="24"/>
        </w:rPr>
        <w:t xml:space="preserve">levels </w:t>
      </w:r>
      <w:r w:rsidR="00FE5023" w:rsidRPr="008773B1">
        <w:rPr>
          <w:rFonts w:ascii="Times New Roman" w:hAnsi="Times New Roman"/>
          <w:sz w:val="24"/>
          <w:szCs w:val="24"/>
        </w:rPr>
        <w:t>in T</w:t>
      </w:r>
      <w:r w:rsidRPr="008773B1">
        <w:rPr>
          <w:rFonts w:ascii="Times New Roman" w:hAnsi="Times New Roman"/>
          <w:sz w:val="24"/>
          <w:szCs w:val="24"/>
        </w:rPr>
        <w:t xml:space="preserve">est subjects with hyperthyroidism </w:t>
      </w:r>
      <w:r w:rsidR="00C55865" w:rsidRPr="008773B1">
        <w:rPr>
          <w:rFonts w:ascii="Times New Roman" w:hAnsi="Times New Roman"/>
          <w:sz w:val="24"/>
          <w:szCs w:val="24"/>
        </w:rPr>
        <w:t xml:space="preserve">(1.19 ± 0.6)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Pr="008773B1">
        <w:rPr>
          <w:rFonts w:ascii="Times New Roman" w:hAnsi="Times New Roman"/>
          <w:sz w:val="24"/>
          <w:szCs w:val="24"/>
        </w:rPr>
        <w:t>decreased when compared with the control</w:t>
      </w:r>
      <w:r w:rsidR="00C55865" w:rsidRPr="008773B1">
        <w:rPr>
          <w:rFonts w:ascii="Times New Roman" w:hAnsi="Times New Roman"/>
          <w:sz w:val="24"/>
          <w:szCs w:val="24"/>
        </w:rPr>
        <w:t xml:space="preserve"> (2.27 ± 0.7</w:t>
      </w:r>
      <w:r w:rsidR="00405290" w:rsidRPr="008773B1">
        <w:rPr>
          <w:rFonts w:ascii="Times New Roman" w:hAnsi="Times New Roman"/>
          <w:sz w:val="24"/>
          <w:szCs w:val="24"/>
        </w:rPr>
        <w:t xml:space="preserve">; </w:t>
      </w:r>
      <w:r w:rsidR="00C55865" w:rsidRPr="008773B1">
        <w:rPr>
          <w:rFonts w:ascii="Times New Roman" w:hAnsi="Times New Roman"/>
          <w:sz w:val="24"/>
          <w:szCs w:val="24"/>
        </w:rPr>
        <w:t>p=0.00)</w:t>
      </w:r>
      <w:r w:rsidR="00FE5023" w:rsidRPr="008773B1">
        <w:rPr>
          <w:rFonts w:ascii="Times New Roman" w:hAnsi="Times New Roman"/>
          <w:sz w:val="24"/>
          <w:szCs w:val="24"/>
        </w:rPr>
        <w:t>. Serum Zn levels in T</w:t>
      </w:r>
      <w:r w:rsidRPr="008773B1">
        <w:rPr>
          <w:rFonts w:ascii="Times New Roman" w:hAnsi="Times New Roman"/>
          <w:sz w:val="24"/>
          <w:szCs w:val="24"/>
        </w:rPr>
        <w:t xml:space="preserve">est subjects with hyperthyroidism (1.19 ± 0.6) </w:t>
      </w:r>
      <w:r w:rsidR="00D527ED" w:rsidRPr="008773B1">
        <w:rPr>
          <w:rFonts w:ascii="Times New Roman" w:hAnsi="Times New Roman"/>
          <w:sz w:val="24"/>
          <w:szCs w:val="24"/>
        </w:rPr>
        <w:t>were</w:t>
      </w:r>
      <w:r w:rsidRPr="008773B1">
        <w:rPr>
          <w:rFonts w:ascii="Times New Roman" w:hAnsi="Times New Roman"/>
          <w:sz w:val="24"/>
          <w:szCs w:val="24"/>
        </w:rPr>
        <w:t xml:space="preserve"> </w:t>
      </w:r>
      <w:r w:rsidR="00C55865" w:rsidRPr="008773B1">
        <w:rPr>
          <w:rFonts w:ascii="Times New Roman" w:hAnsi="Times New Roman"/>
          <w:sz w:val="24"/>
          <w:szCs w:val="24"/>
        </w:rPr>
        <w:t xml:space="preserve">significantly </w:t>
      </w:r>
      <w:r w:rsidRPr="008773B1">
        <w:rPr>
          <w:rFonts w:ascii="Times New Roman" w:hAnsi="Times New Roman"/>
          <w:sz w:val="24"/>
          <w:szCs w:val="24"/>
        </w:rPr>
        <w:t>increased when compared</w:t>
      </w:r>
      <w:r w:rsidR="00C55865" w:rsidRPr="008773B1">
        <w:rPr>
          <w:rFonts w:ascii="Times New Roman" w:hAnsi="Times New Roman"/>
          <w:sz w:val="24"/>
          <w:szCs w:val="24"/>
        </w:rPr>
        <w:t xml:space="preserve"> with hypothyroidism (0.92 ± 0.4</w:t>
      </w:r>
      <w:r w:rsidR="00405290" w:rsidRPr="008773B1">
        <w:rPr>
          <w:rFonts w:ascii="Times New Roman" w:hAnsi="Times New Roman"/>
          <w:sz w:val="24"/>
          <w:szCs w:val="24"/>
        </w:rPr>
        <w:t xml:space="preserve">; </w:t>
      </w:r>
      <w:r w:rsidR="00C55865" w:rsidRPr="008773B1">
        <w:rPr>
          <w:rFonts w:ascii="Times New Roman" w:hAnsi="Times New Roman"/>
          <w:sz w:val="24"/>
          <w:szCs w:val="24"/>
        </w:rPr>
        <w:t xml:space="preserve">p=0.00). </w:t>
      </w:r>
      <w:r w:rsidR="00860680" w:rsidRPr="008773B1">
        <w:rPr>
          <w:rFonts w:ascii="Times New Roman" w:hAnsi="Times New Roman"/>
          <w:sz w:val="24"/>
          <w:szCs w:val="24"/>
        </w:rPr>
        <w:t xml:space="preserve">Serum </w:t>
      </w:r>
      <w:r w:rsidR="00C55865" w:rsidRPr="008773B1">
        <w:rPr>
          <w:rFonts w:ascii="Times New Roman" w:hAnsi="Times New Roman"/>
          <w:sz w:val="24"/>
          <w:szCs w:val="24"/>
        </w:rPr>
        <w:t xml:space="preserve">Magnesium </w:t>
      </w:r>
      <w:r w:rsidR="00FE5023" w:rsidRPr="008773B1">
        <w:rPr>
          <w:rFonts w:ascii="Times New Roman" w:hAnsi="Times New Roman"/>
          <w:sz w:val="24"/>
          <w:szCs w:val="24"/>
        </w:rPr>
        <w:t>levels in T</w:t>
      </w:r>
      <w:r w:rsidR="00405290" w:rsidRPr="008773B1">
        <w:rPr>
          <w:rFonts w:ascii="Times New Roman" w:hAnsi="Times New Roman"/>
          <w:sz w:val="24"/>
          <w:szCs w:val="24"/>
        </w:rPr>
        <w:t xml:space="preserve">est </w:t>
      </w:r>
      <w:r w:rsidR="00C55865" w:rsidRPr="008773B1">
        <w:rPr>
          <w:rFonts w:ascii="Times New Roman" w:hAnsi="Times New Roman"/>
          <w:sz w:val="24"/>
          <w:szCs w:val="24"/>
        </w:rPr>
        <w:t xml:space="preserve">subjects with hyperthyroidism (1.19±0.38)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lower </w:t>
      </w:r>
      <w:r w:rsidR="00405290" w:rsidRPr="008773B1">
        <w:rPr>
          <w:rFonts w:ascii="Times New Roman" w:hAnsi="Times New Roman"/>
          <w:sz w:val="24"/>
          <w:szCs w:val="24"/>
        </w:rPr>
        <w:t>when compared with the</w:t>
      </w:r>
      <w:r w:rsidR="00C55865" w:rsidRPr="008773B1">
        <w:rPr>
          <w:rFonts w:ascii="Times New Roman" w:hAnsi="Times New Roman"/>
          <w:sz w:val="24"/>
          <w:szCs w:val="24"/>
        </w:rPr>
        <w:t xml:space="preserve"> </w:t>
      </w:r>
      <w:r w:rsidR="00405290" w:rsidRPr="008773B1">
        <w:rPr>
          <w:rFonts w:ascii="Times New Roman" w:hAnsi="Times New Roman"/>
          <w:sz w:val="24"/>
          <w:szCs w:val="24"/>
        </w:rPr>
        <w:t>control</w:t>
      </w:r>
      <w:r w:rsidR="00C55865" w:rsidRPr="008773B1">
        <w:rPr>
          <w:rFonts w:ascii="Times New Roman" w:hAnsi="Times New Roman"/>
          <w:sz w:val="24"/>
          <w:szCs w:val="24"/>
        </w:rPr>
        <w:t xml:space="preserve"> (2.09±0.36) (p=0.00), </w:t>
      </w:r>
      <w:r w:rsidR="00405290" w:rsidRPr="008773B1">
        <w:rPr>
          <w:rFonts w:ascii="Times New Roman" w:hAnsi="Times New Roman"/>
          <w:sz w:val="24"/>
          <w:szCs w:val="24"/>
        </w:rPr>
        <w:t xml:space="preserve">while Magnesium </w:t>
      </w:r>
      <w:r w:rsidR="00FE5023" w:rsidRPr="008773B1">
        <w:rPr>
          <w:rFonts w:ascii="Times New Roman" w:hAnsi="Times New Roman"/>
          <w:sz w:val="24"/>
          <w:szCs w:val="24"/>
        </w:rPr>
        <w:t>levels in T</w:t>
      </w:r>
      <w:r w:rsidR="00405290" w:rsidRPr="008773B1">
        <w:rPr>
          <w:rFonts w:ascii="Times New Roman" w:hAnsi="Times New Roman"/>
          <w:sz w:val="24"/>
          <w:szCs w:val="24"/>
        </w:rPr>
        <w:t xml:space="preserve">est subjects with hyperthyroidism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higher than </w:t>
      </w:r>
      <w:r w:rsidR="00405290" w:rsidRPr="008773B1">
        <w:rPr>
          <w:rFonts w:ascii="Times New Roman" w:hAnsi="Times New Roman"/>
          <w:sz w:val="24"/>
          <w:szCs w:val="24"/>
        </w:rPr>
        <w:t xml:space="preserve">in </w:t>
      </w:r>
      <w:r w:rsidR="00FE5023" w:rsidRPr="008773B1">
        <w:rPr>
          <w:rFonts w:ascii="Times New Roman" w:hAnsi="Times New Roman"/>
          <w:sz w:val="24"/>
          <w:szCs w:val="24"/>
        </w:rPr>
        <w:t xml:space="preserve">Test </w:t>
      </w:r>
      <w:r w:rsidR="00C55865" w:rsidRPr="008773B1">
        <w:rPr>
          <w:rFonts w:ascii="Times New Roman" w:hAnsi="Times New Roman"/>
          <w:sz w:val="24"/>
          <w:szCs w:val="24"/>
        </w:rPr>
        <w:t>subjects with hypothyroidism (1.31±0.22</w:t>
      </w:r>
      <w:r w:rsidR="00405290" w:rsidRPr="008773B1">
        <w:rPr>
          <w:rFonts w:ascii="Times New Roman" w:hAnsi="Times New Roman"/>
          <w:sz w:val="24"/>
          <w:szCs w:val="24"/>
        </w:rPr>
        <w:t xml:space="preserve">; </w:t>
      </w:r>
      <w:r w:rsidR="00C55865" w:rsidRPr="008773B1">
        <w:rPr>
          <w:rFonts w:ascii="Times New Roman" w:hAnsi="Times New Roman"/>
          <w:sz w:val="24"/>
          <w:szCs w:val="24"/>
        </w:rPr>
        <w:t xml:space="preserve">p=0.00). </w:t>
      </w:r>
      <w:r w:rsidR="00860680" w:rsidRPr="008773B1">
        <w:rPr>
          <w:rFonts w:ascii="Times New Roman" w:hAnsi="Times New Roman"/>
          <w:sz w:val="24"/>
          <w:szCs w:val="24"/>
        </w:rPr>
        <w:t xml:space="preserve">Serum </w:t>
      </w:r>
      <w:r w:rsidR="00C55865" w:rsidRPr="008773B1">
        <w:rPr>
          <w:rFonts w:ascii="Times New Roman" w:hAnsi="Times New Roman"/>
          <w:sz w:val="24"/>
          <w:szCs w:val="24"/>
        </w:rPr>
        <w:t xml:space="preserve">Vitamin A levels </w:t>
      </w:r>
      <w:r w:rsidR="00FE5023" w:rsidRPr="008773B1">
        <w:rPr>
          <w:rFonts w:ascii="Times New Roman" w:hAnsi="Times New Roman"/>
          <w:sz w:val="24"/>
          <w:szCs w:val="24"/>
        </w:rPr>
        <w:t>in T</w:t>
      </w:r>
      <w:r w:rsidR="00860680" w:rsidRPr="008773B1">
        <w:rPr>
          <w:rFonts w:ascii="Times New Roman" w:hAnsi="Times New Roman"/>
          <w:sz w:val="24"/>
          <w:szCs w:val="24"/>
        </w:rPr>
        <w:t>est</w:t>
      </w:r>
      <w:r w:rsidR="00C55865" w:rsidRPr="008773B1">
        <w:rPr>
          <w:rFonts w:ascii="Times New Roman" w:hAnsi="Times New Roman"/>
          <w:sz w:val="24"/>
          <w:szCs w:val="24"/>
        </w:rPr>
        <w:t xml:space="preserve"> subjects with hyperthyroidism (255.8±70.3)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860680" w:rsidRPr="008773B1">
        <w:rPr>
          <w:rFonts w:ascii="Times New Roman" w:hAnsi="Times New Roman"/>
          <w:sz w:val="24"/>
          <w:szCs w:val="24"/>
        </w:rPr>
        <w:t>decreased when compared with control</w:t>
      </w:r>
      <w:r w:rsidR="00C55865" w:rsidRPr="008773B1">
        <w:rPr>
          <w:rFonts w:ascii="Times New Roman" w:hAnsi="Times New Roman"/>
          <w:sz w:val="24"/>
          <w:szCs w:val="24"/>
        </w:rPr>
        <w:t xml:space="preserve"> (342.9±57.9</w:t>
      </w:r>
      <w:r w:rsidR="00860680" w:rsidRPr="008773B1">
        <w:rPr>
          <w:rFonts w:ascii="Times New Roman" w:hAnsi="Times New Roman"/>
          <w:sz w:val="24"/>
          <w:szCs w:val="24"/>
        </w:rPr>
        <w:t xml:space="preserve">; </w:t>
      </w:r>
      <w:r w:rsidR="00C55865" w:rsidRPr="008773B1">
        <w:rPr>
          <w:rFonts w:ascii="Times New Roman" w:hAnsi="Times New Roman"/>
          <w:sz w:val="24"/>
          <w:szCs w:val="24"/>
        </w:rPr>
        <w:t>p=0.00),</w:t>
      </w:r>
      <w:r w:rsidR="00FE5023" w:rsidRPr="008773B1">
        <w:rPr>
          <w:rFonts w:ascii="Times New Roman" w:hAnsi="Times New Roman"/>
          <w:sz w:val="24"/>
          <w:szCs w:val="24"/>
        </w:rPr>
        <w:t xml:space="preserve"> while Vitamin A levels in Test subjects with hyperthyroidism</w:t>
      </w:r>
      <w:r w:rsidR="00C55865" w:rsidRPr="008773B1">
        <w:rPr>
          <w:rFonts w:ascii="Times New Roman" w:hAnsi="Times New Roman"/>
          <w:sz w:val="24"/>
          <w:szCs w:val="24"/>
        </w:rPr>
        <w:t xml:space="preserve"> </w:t>
      </w:r>
      <w:r w:rsidR="00D527ED" w:rsidRPr="008773B1">
        <w:rPr>
          <w:rFonts w:ascii="Times New Roman" w:hAnsi="Times New Roman"/>
          <w:sz w:val="24"/>
          <w:szCs w:val="24"/>
        </w:rPr>
        <w:t>were</w:t>
      </w:r>
      <w:r w:rsidR="00FE5023" w:rsidRPr="008773B1">
        <w:rPr>
          <w:rFonts w:ascii="Times New Roman" w:hAnsi="Times New Roman"/>
          <w:sz w:val="24"/>
          <w:szCs w:val="24"/>
        </w:rPr>
        <w:t xml:space="preserve"> significantly higher than in</w:t>
      </w:r>
      <w:r w:rsidR="00C55865" w:rsidRPr="008773B1">
        <w:rPr>
          <w:rFonts w:ascii="Times New Roman" w:hAnsi="Times New Roman"/>
          <w:sz w:val="24"/>
          <w:szCs w:val="24"/>
        </w:rPr>
        <w:t xml:space="preserve"> </w:t>
      </w:r>
      <w:r w:rsidR="00FE5023" w:rsidRPr="008773B1">
        <w:rPr>
          <w:rFonts w:ascii="Times New Roman" w:hAnsi="Times New Roman"/>
          <w:sz w:val="24"/>
          <w:szCs w:val="24"/>
        </w:rPr>
        <w:t xml:space="preserve">Test subjects with </w:t>
      </w:r>
      <w:r w:rsidR="00C55865" w:rsidRPr="008773B1">
        <w:rPr>
          <w:rFonts w:ascii="Times New Roman" w:hAnsi="Times New Roman"/>
          <w:sz w:val="24"/>
          <w:szCs w:val="24"/>
        </w:rPr>
        <w:t>hypothyroidism (154.2±44.5</w:t>
      </w:r>
      <w:r w:rsidR="00FE5023" w:rsidRPr="008773B1">
        <w:rPr>
          <w:rFonts w:ascii="Times New Roman" w:hAnsi="Times New Roman"/>
          <w:sz w:val="24"/>
          <w:szCs w:val="24"/>
        </w:rPr>
        <w:t xml:space="preserve">; </w:t>
      </w:r>
      <w:r w:rsidR="00C55865" w:rsidRPr="008773B1">
        <w:rPr>
          <w:rFonts w:ascii="Times New Roman" w:hAnsi="Times New Roman"/>
          <w:sz w:val="24"/>
          <w:szCs w:val="24"/>
        </w:rPr>
        <w:t xml:space="preserve">p=0.00). </w:t>
      </w:r>
      <w:r w:rsidR="00FE5023"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had significantly lower vitamin A than </w:t>
      </w:r>
      <w:r w:rsidR="00FE5023" w:rsidRPr="008773B1">
        <w:rPr>
          <w:rFonts w:ascii="Times New Roman" w:hAnsi="Times New Roman"/>
          <w:sz w:val="24"/>
          <w:szCs w:val="24"/>
        </w:rPr>
        <w:t>control</w:t>
      </w:r>
      <w:r w:rsidR="00C55865" w:rsidRPr="008773B1">
        <w:rPr>
          <w:rFonts w:ascii="Times New Roman" w:hAnsi="Times New Roman"/>
          <w:sz w:val="24"/>
          <w:szCs w:val="24"/>
        </w:rPr>
        <w:t xml:space="preserve"> (p=0.00)</w:t>
      </w:r>
      <w:r w:rsidR="00FE5023" w:rsidRPr="008773B1">
        <w:rPr>
          <w:rFonts w:ascii="Times New Roman" w:hAnsi="Times New Roman"/>
          <w:sz w:val="24"/>
          <w:szCs w:val="24"/>
        </w:rPr>
        <w:t xml:space="preserve"> (Table 1)</w:t>
      </w:r>
      <w:r w:rsidR="00C55865" w:rsidRPr="008773B1">
        <w:rPr>
          <w:rFonts w:ascii="Times New Roman" w:hAnsi="Times New Roman"/>
          <w:sz w:val="24"/>
          <w:szCs w:val="24"/>
        </w:rPr>
        <w:t>.</w:t>
      </w:r>
    </w:p>
    <w:p w14:paraId="609BB4C0" w14:textId="77777777" w:rsidR="00C55865" w:rsidRPr="008773B1" w:rsidRDefault="00C55865" w:rsidP="00C55865">
      <w:pPr>
        <w:rPr>
          <w:rFonts w:ascii="Times New Roman" w:hAnsi="Times New Roman"/>
          <w:b/>
          <w:sz w:val="24"/>
          <w:szCs w:val="24"/>
        </w:rPr>
      </w:pPr>
      <w:r w:rsidRPr="008773B1">
        <w:rPr>
          <w:rFonts w:ascii="Times New Roman" w:hAnsi="Times New Roman"/>
          <w:b/>
          <w:sz w:val="24"/>
          <w:szCs w:val="24"/>
        </w:rPr>
        <w:br w:type="page"/>
      </w:r>
    </w:p>
    <w:tbl>
      <w:tblPr>
        <w:tblStyle w:val="TableGrid"/>
        <w:tblpPr w:leftFromText="180" w:rightFromText="180" w:vertAnchor="text" w:horzAnchor="margin" w:tblpXSpec="center" w:tblpY="1037"/>
        <w:tblW w:w="110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1736"/>
        <w:gridCol w:w="2352"/>
        <w:gridCol w:w="2243"/>
        <w:gridCol w:w="1537"/>
        <w:gridCol w:w="1537"/>
      </w:tblGrid>
      <w:tr w:rsidR="00696C2D" w:rsidRPr="008773B1" w14:paraId="65A3B4E1" w14:textId="77777777" w:rsidTr="00BA25A5">
        <w:trPr>
          <w:trHeight w:val="1477"/>
        </w:trPr>
        <w:tc>
          <w:tcPr>
            <w:tcW w:w="1657" w:type="dxa"/>
            <w:tcBorders>
              <w:top w:val="single" w:sz="4" w:space="0" w:color="auto"/>
              <w:bottom w:val="single" w:sz="4" w:space="0" w:color="auto"/>
            </w:tcBorders>
          </w:tcPr>
          <w:p w14:paraId="50721160"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lastRenderedPageBreak/>
              <w:t>Parameters</w:t>
            </w:r>
          </w:p>
        </w:tc>
        <w:tc>
          <w:tcPr>
            <w:tcW w:w="1736" w:type="dxa"/>
            <w:tcBorders>
              <w:top w:val="single" w:sz="4" w:space="0" w:color="auto"/>
              <w:bottom w:val="single" w:sz="4" w:space="0" w:color="auto"/>
            </w:tcBorders>
          </w:tcPr>
          <w:p w14:paraId="431171BB"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Normal  TFT</w:t>
            </w:r>
          </w:p>
          <w:p w14:paraId="0F44F551"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(n=100)</w:t>
            </w:r>
          </w:p>
        </w:tc>
        <w:tc>
          <w:tcPr>
            <w:tcW w:w="2352" w:type="dxa"/>
            <w:tcBorders>
              <w:top w:val="single" w:sz="4" w:space="0" w:color="auto"/>
              <w:bottom w:val="single" w:sz="4" w:space="0" w:color="auto"/>
            </w:tcBorders>
          </w:tcPr>
          <w:p w14:paraId="6383EADB"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Hyperthyroidism</w:t>
            </w:r>
          </w:p>
          <w:p w14:paraId="56D5C9DF"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(n=100)</w:t>
            </w:r>
          </w:p>
        </w:tc>
        <w:tc>
          <w:tcPr>
            <w:tcW w:w="2243" w:type="dxa"/>
            <w:tcBorders>
              <w:top w:val="single" w:sz="4" w:space="0" w:color="auto"/>
              <w:bottom w:val="single" w:sz="4" w:space="0" w:color="auto"/>
            </w:tcBorders>
          </w:tcPr>
          <w:p w14:paraId="62AE4295"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Hypothyroidism</w:t>
            </w:r>
          </w:p>
          <w:p w14:paraId="523D2E69"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w:t>
            </w:r>
            <w:r>
              <w:rPr>
                <w:rFonts w:ascii="Times New Roman" w:hAnsi="Times New Roman"/>
                <w:b/>
                <w:sz w:val="24"/>
                <w:szCs w:val="24"/>
              </w:rPr>
              <w:t>n=</w:t>
            </w:r>
            <w:r w:rsidRPr="008773B1">
              <w:rPr>
                <w:rFonts w:ascii="Times New Roman" w:hAnsi="Times New Roman"/>
                <w:b/>
                <w:sz w:val="24"/>
                <w:szCs w:val="24"/>
              </w:rPr>
              <w:t>100)</w:t>
            </w:r>
          </w:p>
        </w:tc>
        <w:tc>
          <w:tcPr>
            <w:tcW w:w="1537" w:type="dxa"/>
            <w:tcBorders>
              <w:top w:val="single" w:sz="4" w:space="0" w:color="auto"/>
              <w:bottom w:val="single" w:sz="4" w:space="0" w:color="auto"/>
            </w:tcBorders>
          </w:tcPr>
          <w:p w14:paraId="102A5BA6"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f-value</w:t>
            </w:r>
          </w:p>
        </w:tc>
        <w:tc>
          <w:tcPr>
            <w:tcW w:w="1537" w:type="dxa"/>
            <w:tcBorders>
              <w:top w:val="single" w:sz="4" w:space="0" w:color="auto"/>
              <w:bottom w:val="single" w:sz="4" w:space="0" w:color="auto"/>
            </w:tcBorders>
          </w:tcPr>
          <w:p w14:paraId="440A9931"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p-value</w:t>
            </w:r>
          </w:p>
        </w:tc>
      </w:tr>
      <w:tr w:rsidR="00696C2D" w:rsidRPr="008773B1" w14:paraId="5328FE15" w14:textId="77777777" w:rsidTr="00BA25A5">
        <w:trPr>
          <w:trHeight w:val="745"/>
        </w:trPr>
        <w:tc>
          <w:tcPr>
            <w:tcW w:w="1657" w:type="dxa"/>
            <w:tcBorders>
              <w:top w:val="single" w:sz="4" w:space="0" w:color="auto"/>
            </w:tcBorders>
          </w:tcPr>
          <w:p w14:paraId="545F11E6"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Zn   (mg/l)</w:t>
            </w:r>
          </w:p>
        </w:tc>
        <w:tc>
          <w:tcPr>
            <w:tcW w:w="1736" w:type="dxa"/>
            <w:tcBorders>
              <w:top w:val="single" w:sz="4" w:space="0" w:color="auto"/>
            </w:tcBorders>
          </w:tcPr>
          <w:p w14:paraId="5E3E8F8D"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2.27 ± 0.7</w:t>
            </w:r>
            <w:r w:rsidRPr="008773B1">
              <w:rPr>
                <w:rFonts w:ascii="Times New Roman" w:hAnsi="Times New Roman"/>
                <w:sz w:val="24"/>
                <w:szCs w:val="24"/>
                <w:vertAlign w:val="superscript"/>
              </w:rPr>
              <w:t>a</w:t>
            </w:r>
          </w:p>
        </w:tc>
        <w:tc>
          <w:tcPr>
            <w:tcW w:w="2352" w:type="dxa"/>
            <w:tcBorders>
              <w:top w:val="single" w:sz="4" w:space="0" w:color="auto"/>
            </w:tcBorders>
          </w:tcPr>
          <w:p w14:paraId="2115FCC0"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1.19 ± 0.6</w:t>
            </w:r>
            <w:r w:rsidRPr="008773B1">
              <w:rPr>
                <w:rFonts w:ascii="Times New Roman" w:hAnsi="Times New Roman"/>
                <w:sz w:val="24"/>
                <w:szCs w:val="24"/>
                <w:vertAlign w:val="superscript"/>
              </w:rPr>
              <w:t>b</w:t>
            </w:r>
          </w:p>
        </w:tc>
        <w:tc>
          <w:tcPr>
            <w:tcW w:w="2243" w:type="dxa"/>
            <w:tcBorders>
              <w:top w:val="single" w:sz="4" w:space="0" w:color="auto"/>
            </w:tcBorders>
          </w:tcPr>
          <w:p w14:paraId="638E1422"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0.92 ± 0.4</w:t>
            </w:r>
            <w:r w:rsidRPr="008773B1">
              <w:rPr>
                <w:rFonts w:ascii="Times New Roman" w:hAnsi="Times New Roman"/>
                <w:sz w:val="24"/>
                <w:szCs w:val="24"/>
                <w:vertAlign w:val="superscript"/>
              </w:rPr>
              <w:t>b</w:t>
            </w:r>
          </w:p>
        </w:tc>
        <w:tc>
          <w:tcPr>
            <w:tcW w:w="1537" w:type="dxa"/>
            <w:tcBorders>
              <w:top w:val="single" w:sz="4" w:space="0" w:color="auto"/>
            </w:tcBorders>
          </w:tcPr>
          <w:p w14:paraId="5CA75A01"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22.3</w:t>
            </w:r>
          </w:p>
        </w:tc>
        <w:tc>
          <w:tcPr>
            <w:tcW w:w="1537" w:type="dxa"/>
            <w:tcBorders>
              <w:top w:val="single" w:sz="4" w:space="0" w:color="auto"/>
            </w:tcBorders>
          </w:tcPr>
          <w:p w14:paraId="1B34C9A8"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0.000*</w:t>
            </w:r>
          </w:p>
        </w:tc>
      </w:tr>
      <w:tr w:rsidR="00696C2D" w:rsidRPr="008773B1" w14:paraId="0A33ADDA" w14:textId="77777777" w:rsidTr="00BA25A5">
        <w:trPr>
          <w:trHeight w:val="771"/>
        </w:trPr>
        <w:tc>
          <w:tcPr>
            <w:tcW w:w="1657" w:type="dxa"/>
          </w:tcPr>
          <w:p w14:paraId="66A8537A"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Mg (mg/dl)</w:t>
            </w:r>
          </w:p>
        </w:tc>
        <w:tc>
          <w:tcPr>
            <w:tcW w:w="1736" w:type="dxa"/>
          </w:tcPr>
          <w:p w14:paraId="62976614"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2.09 ± 0.36a</w:t>
            </w:r>
          </w:p>
        </w:tc>
        <w:tc>
          <w:tcPr>
            <w:tcW w:w="2352" w:type="dxa"/>
          </w:tcPr>
          <w:p w14:paraId="653409A5"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1.19 ± 0.38</w:t>
            </w:r>
            <w:r w:rsidRPr="008773B1">
              <w:rPr>
                <w:rFonts w:ascii="Times New Roman" w:hAnsi="Times New Roman"/>
                <w:sz w:val="24"/>
                <w:szCs w:val="24"/>
                <w:vertAlign w:val="superscript"/>
              </w:rPr>
              <w:t>b</w:t>
            </w:r>
          </w:p>
        </w:tc>
        <w:tc>
          <w:tcPr>
            <w:tcW w:w="2243" w:type="dxa"/>
          </w:tcPr>
          <w:p w14:paraId="1862ECDD"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1.31 ± 0.22</w:t>
            </w:r>
            <w:r w:rsidRPr="008773B1">
              <w:rPr>
                <w:rFonts w:ascii="Times New Roman" w:hAnsi="Times New Roman"/>
                <w:sz w:val="24"/>
                <w:szCs w:val="24"/>
                <w:vertAlign w:val="superscript"/>
              </w:rPr>
              <w:t>b</w:t>
            </w:r>
          </w:p>
        </w:tc>
        <w:tc>
          <w:tcPr>
            <w:tcW w:w="1537" w:type="dxa"/>
          </w:tcPr>
          <w:p w14:paraId="26259FAC"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34.4</w:t>
            </w:r>
          </w:p>
        </w:tc>
        <w:tc>
          <w:tcPr>
            <w:tcW w:w="1537" w:type="dxa"/>
          </w:tcPr>
          <w:p w14:paraId="0C6B449B"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0.000*</w:t>
            </w:r>
          </w:p>
        </w:tc>
      </w:tr>
      <w:tr w:rsidR="00696C2D" w:rsidRPr="008773B1" w14:paraId="7A033974" w14:textId="77777777" w:rsidTr="00BA25A5">
        <w:trPr>
          <w:trHeight w:val="800"/>
        </w:trPr>
        <w:tc>
          <w:tcPr>
            <w:tcW w:w="1657" w:type="dxa"/>
          </w:tcPr>
          <w:p w14:paraId="7BA138DE" w14:textId="77777777" w:rsidR="00696C2D" w:rsidRPr="008773B1" w:rsidRDefault="00696C2D" w:rsidP="00BA25A5">
            <w:pPr>
              <w:jc w:val="center"/>
              <w:rPr>
                <w:rFonts w:ascii="Times New Roman" w:hAnsi="Times New Roman"/>
                <w:b/>
                <w:sz w:val="24"/>
                <w:szCs w:val="24"/>
              </w:rPr>
            </w:pPr>
            <w:r w:rsidRPr="008773B1">
              <w:rPr>
                <w:rFonts w:ascii="Times New Roman" w:hAnsi="Times New Roman"/>
                <w:b/>
                <w:sz w:val="24"/>
                <w:szCs w:val="24"/>
              </w:rPr>
              <w:t>Vitamin A (ng/ml)</w:t>
            </w:r>
          </w:p>
        </w:tc>
        <w:tc>
          <w:tcPr>
            <w:tcW w:w="1736" w:type="dxa"/>
          </w:tcPr>
          <w:p w14:paraId="730F9116"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342.9 ± 57.9</w:t>
            </w:r>
            <w:r w:rsidRPr="008773B1">
              <w:rPr>
                <w:rFonts w:ascii="Times New Roman" w:hAnsi="Times New Roman"/>
                <w:sz w:val="24"/>
                <w:szCs w:val="24"/>
                <w:vertAlign w:val="superscript"/>
              </w:rPr>
              <w:t>a</w:t>
            </w:r>
          </w:p>
        </w:tc>
        <w:tc>
          <w:tcPr>
            <w:tcW w:w="2352" w:type="dxa"/>
          </w:tcPr>
          <w:p w14:paraId="373DDD52"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255.8 ± 70.3</w:t>
            </w:r>
            <w:r w:rsidRPr="008773B1">
              <w:rPr>
                <w:rFonts w:ascii="Times New Roman" w:hAnsi="Times New Roman"/>
                <w:sz w:val="24"/>
                <w:szCs w:val="24"/>
                <w:vertAlign w:val="superscript"/>
              </w:rPr>
              <w:t>b</w:t>
            </w:r>
          </w:p>
        </w:tc>
        <w:tc>
          <w:tcPr>
            <w:tcW w:w="2243" w:type="dxa"/>
          </w:tcPr>
          <w:p w14:paraId="5B607505"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154.2 ± 44.5</w:t>
            </w:r>
            <w:r w:rsidRPr="008773B1">
              <w:rPr>
                <w:rFonts w:ascii="Times New Roman" w:hAnsi="Times New Roman"/>
                <w:sz w:val="24"/>
                <w:szCs w:val="24"/>
                <w:vertAlign w:val="superscript"/>
              </w:rPr>
              <w:t>c</w:t>
            </w:r>
          </w:p>
        </w:tc>
        <w:tc>
          <w:tcPr>
            <w:tcW w:w="1537" w:type="dxa"/>
          </w:tcPr>
          <w:p w14:paraId="1E761FAE"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34.5</w:t>
            </w:r>
          </w:p>
        </w:tc>
        <w:tc>
          <w:tcPr>
            <w:tcW w:w="1537" w:type="dxa"/>
          </w:tcPr>
          <w:p w14:paraId="34AA080A" w14:textId="77777777" w:rsidR="00696C2D" w:rsidRPr="008773B1" w:rsidRDefault="00696C2D" w:rsidP="00BA25A5">
            <w:pPr>
              <w:jc w:val="center"/>
              <w:rPr>
                <w:rFonts w:ascii="Times New Roman" w:hAnsi="Times New Roman"/>
                <w:sz w:val="24"/>
                <w:szCs w:val="24"/>
              </w:rPr>
            </w:pPr>
            <w:r w:rsidRPr="008773B1">
              <w:rPr>
                <w:rFonts w:ascii="Times New Roman" w:hAnsi="Times New Roman"/>
                <w:sz w:val="24"/>
                <w:szCs w:val="24"/>
              </w:rPr>
              <w:t>0.000*</w:t>
            </w:r>
          </w:p>
        </w:tc>
      </w:tr>
    </w:tbl>
    <w:p w14:paraId="68BFFE77" w14:textId="77777777" w:rsidR="00C55865" w:rsidRPr="008773B1" w:rsidRDefault="00FE5023" w:rsidP="00C55865">
      <w:pPr>
        <w:jc w:val="both"/>
        <w:rPr>
          <w:rFonts w:ascii="Times New Roman" w:hAnsi="Times New Roman"/>
          <w:sz w:val="24"/>
          <w:szCs w:val="24"/>
        </w:rPr>
      </w:pPr>
      <w:r w:rsidRPr="008773B1">
        <w:rPr>
          <w:rFonts w:ascii="Times New Roman" w:hAnsi="Times New Roman"/>
          <w:b/>
          <w:sz w:val="24"/>
          <w:szCs w:val="24"/>
        </w:rPr>
        <w:t xml:space="preserve">Table </w:t>
      </w:r>
      <w:r w:rsidR="00C55865" w:rsidRPr="008773B1">
        <w:rPr>
          <w:rFonts w:ascii="Times New Roman" w:hAnsi="Times New Roman"/>
          <w:b/>
          <w:sz w:val="24"/>
          <w:szCs w:val="24"/>
        </w:rPr>
        <w:t>1</w:t>
      </w:r>
      <w:r w:rsidR="00C55865" w:rsidRPr="008773B1">
        <w:rPr>
          <w:rFonts w:ascii="Times New Roman" w:hAnsi="Times New Roman"/>
          <w:sz w:val="24"/>
          <w:szCs w:val="24"/>
        </w:rPr>
        <w:t>: Zinc, Magnesium</w:t>
      </w:r>
      <w:r w:rsidR="00D527ED" w:rsidRPr="008773B1">
        <w:rPr>
          <w:rFonts w:ascii="Times New Roman" w:hAnsi="Times New Roman"/>
          <w:sz w:val="24"/>
          <w:szCs w:val="24"/>
        </w:rPr>
        <w:t>,</w:t>
      </w:r>
      <w:r w:rsidR="00C55865" w:rsidRPr="008773B1">
        <w:rPr>
          <w:rFonts w:ascii="Times New Roman" w:hAnsi="Times New Roman"/>
          <w:sz w:val="24"/>
          <w:szCs w:val="24"/>
        </w:rPr>
        <w:t xml:space="preserve"> and Vitamin A levels in study subjects with Hyperthyroidism and Hypothyroidism in comparison with subjects with normal Thyroid function, using ANOVA Statistics</w:t>
      </w:r>
    </w:p>
    <w:p w14:paraId="289207A7"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053C6524" w14:textId="77777777" w:rsidR="00C55865" w:rsidRPr="008773B1" w:rsidRDefault="008F0BDC" w:rsidP="00C55865">
      <w:pPr>
        <w:spacing w:after="0" w:line="240" w:lineRule="auto"/>
        <w:jc w:val="both"/>
        <w:rPr>
          <w:rFonts w:ascii="Times New Roman" w:hAnsi="Times New Roman"/>
          <w:sz w:val="24"/>
          <w:szCs w:val="24"/>
        </w:rPr>
      </w:pPr>
      <w:r>
        <w:rPr>
          <w:rFonts w:ascii="Times New Roman" w:hAnsi="Times New Roman"/>
          <w:sz w:val="24"/>
          <w:szCs w:val="24"/>
        </w:rPr>
        <w:t xml:space="preserve">  </w:t>
      </w:r>
      <w:r w:rsidR="00C55865" w:rsidRPr="008773B1">
        <w:rPr>
          <w:rFonts w:ascii="Times New Roman" w:hAnsi="Times New Roman"/>
          <w:sz w:val="24"/>
          <w:szCs w:val="24"/>
        </w:rPr>
        <w:t xml:space="preserve">Values with different </w:t>
      </w:r>
      <w:r w:rsidR="00D527ED" w:rsidRPr="008773B1">
        <w:rPr>
          <w:rFonts w:ascii="Times New Roman" w:hAnsi="Times New Roman"/>
          <w:sz w:val="24"/>
          <w:szCs w:val="24"/>
        </w:rPr>
        <w:t>superscripts</w:t>
      </w:r>
      <w:r w:rsidR="00C55865" w:rsidRPr="008773B1">
        <w:rPr>
          <w:rFonts w:ascii="Times New Roman" w:hAnsi="Times New Roman"/>
          <w:sz w:val="24"/>
          <w:szCs w:val="24"/>
        </w:rPr>
        <w:t xml:space="preserve"> </w:t>
      </w:r>
      <w:r w:rsidR="00C55865" w:rsidRPr="008773B1">
        <w:rPr>
          <w:rFonts w:ascii="Times New Roman" w:hAnsi="Times New Roman"/>
          <w:sz w:val="24"/>
          <w:szCs w:val="24"/>
          <w:vertAlign w:val="superscript"/>
        </w:rPr>
        <w:t xml:space="preserve">a, b, </w:t>
      </w:r>
      <w:r w:rsidR="00D527ED" w:rsidRPr="008773B1">
        <w:rPr>
          <w:rFonts w:ascii="Times New Roman" w:hAnsi="Times New Roman"/>
          <w:sz w:val="24"/>
          <w:szCs w:val="24"/>
          <w:vertAlign w:val="superscript"/>
        </w:rPr>
        <w:t xml:space="preserve">and </w:t>
      </w:r>
      <w:r w:rsidR="00C55865" w:rsidRPr="008773B1">
        <w:rPr>
          <w:rFonts w:ascii="Times New Roman" w:hAnsi="Times New Roman"/>
          <w:sz w:val="24"/>
          <w:szCs w:val="24"/>
          <w:vertAlign w:val="superscript"/>
        </w:rPr>
        <w:t xml:space="preserve">c </w:t>
      </w:r>
      <w:r w:rsidR="00C55865" w:rsidRPr="008773B1">
        <w:rPr>
          <w:rFonts w:ascii="Times New Roman" w:hAnsi="Times New Roman"/>
          <w:sz w:val="24"/>
          <w:szCs w:val="24"/>
        </w:rPr>
        <w:t xml:space="preserve">are statistically significant at p&lt;0.05. </w:t>
      </w:r>
    </w:p>
    <w:tbl>
      <w:tblPr>
        <w:tblW w:w="9708" w:type="dxa"/>
        <w:tblInd w:w="18" w:type="dxa"/>
        <w:tblLook w:val="04A0" w:firstRow="1" w:lastRow="0" w:firstColumn="1" w:lastColumn="0" w:noHBand="0" w:noVBand="1"/>
      </w:tblPr>
      <w:tblGrid>
        <w:gridCol w:w="9708"/>
      </w:tblGrid>
      <w:tr w:rsidR="00C55865" w:rsidRPr="008773B1" w14:paraId="63C1DF77" w14:textId="77777777" w:rsidTr="00862223">
        <w:trPr>
          <w:trHeight w:val="300"/>
        </w:trPr>
        <w:tc>
          <w:tcPr>
            <w:tcW w:w="9708" w:type="dxa"/>
            <w:tcBorders>
              <w:top w:val="nil"/>
              <w:left w:val="nil"/>
              <w:bottom w:val="nil"/>
              <w:right w:val="nil"/>
            </w:tcBorders>
            <w:noWrap/>
            <w:vAlign w:val="center"/>
          </w:tcPr>
          <w:p w14:paraId="7900D6E3"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Normal Thyroid function test (TFT): TSH of 0.4-4.0, Total T3 of 0.9 – 2.8 nmol/L, Total T4 of 57-149 nmol/L. </w:t>
            </w:r>
          </w:p>
          <w:p w14:paraId="3040C73D"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Hypothyroidism: TSH &gt;10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normal T3 and T4.</w:t>
            </w:r>
          </w:p>
          <w:p w14:paraId="402843E8"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Hyperthyroidism: TSH &lt;1.8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elevated T3 &gt; 2.8 nmol/L and/or T4 &gt; 150 nmol/L.</w:t>
            </w:r>
          </w:p>
        </w:tc>
      </w:tr>
    </w:tbl>
    <w:p w14:paraId="1FA6BD50" w14:textId="77777777" w:rsidR="00C55865" w:rsidRPr="008773B1" w:rsidRDefault="00C55865" w:rsidP="00C55865">
      <w:pPr>
        <w:rPr>
          <w:rFonts w:ascii="Times New Roman" w:hAnsi="Times New Roman"/>
          <w:sz w:val="24"/>
          <w:szCs w:val="24"/>
        </w:rPr>
      </w:pPr>
    </w:p>
    <w:p w14:paraId="5AB95AD0" w14:textId="77777777" w:rsidR="002E6DD3" w:rsidRPr="008773B1" w:rsidRDefault="002E6DD3" w:rsidP="002E6DD3">
      <w:pPr>
        <w:rPr>
          <w:rFonts w:ascii="Times New Roman" w:hAnsi="Times New Roman"/>
          <w:sz w:val="24"/>
          <w:szCs w:val="24"/>
        </w:rPr>
      </w:pPr>
    </w:p>
    <w:p w14:paraId="13DDB29C" w14:textId="77777777" w:rsidR="00C55865" w:rsidRPr="008773B1" w:rsidRDefault="00FE5023" w:rsidP="002E6DD3">
      <w:pPr>
        <w:jc w:val="both"/>
        <w:rPr>
          <w:rFonts w:ascii="Times New Roman" w:hAnsi="Times New Roman"/>
          <w:b/>
          <w:sz w:val="24"/>
          <w:szCs w:val="24"/>
        </w:rPr>
      </w:pPr>
      <w:r w:rsidRPr="008773B1">
        <w:rPr>
          <w:rFonts w:ascii="Times New Roman" w:hAnsi="Times New Roman"/>
          <w:sz w:val="24"/>
          <w:szCs w:val="24"/>
        </w:rPr>
        <w:t xml:space="preserve">Serum </w:t>
      </w:r>
      <w:r w:rsidR="00C55865" w:rsidRPr="008773B1">
        <w:rPr>
          <w:rFonts w:ascii="Times New Roman" w:hAnsi="Times New Roman"/>
          <w:sz w:val="24"/>
          <w:szCs w:val="24"/>
        </w:rPr>
        <w:t xml:space="preserve">Zinc levels </w:t>
      </w:r>
      <w:r w:rsidR="00B06B52" w:rsidRPr="008773B1">
        <w:rPr>
          <w:rFonts w:ascii="Times New Roman" w:hAnsi="Times New Roman"/>
          <w:sz w:val="24"/>
          <w:szCs w:val="24"/>
        </w:rPr>
        <w:t xml:space="preserve">in </w:t>
      </w:r>
      <w:r w:rsidR="00C55865" w:rsidRPr="008773B1">
        <w:rPr>
          <w:rFonts w:ascii="Times New Roman" w:hAnsi="Times New Roman"/>
          <w:sz w:val="24"/>
          <w:szCs w:val="24"/>
        </w:rPr>
        <w:t xml:space="preserve">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hyperthyroidism (1.2±0.7)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lower </w:t>
      </w:r>
      <w:r w:rsidR="00B06B52" w:rsidRPr="008773B1">
        <w:rPr>
          <w:rFonts w:ascii="Times New Roman" w:hAnsi="Times New Roman"/>
          <w:sz w:val="24"/>
          <w:szCs w:val="24"/>
        </w:rPr>
        <w:t xml:space="preserve">when compared with the </w:t>
      </w:r>
      <w:r w:rsidR="00C55865" w:rsidRPr="008773B1">
        <w:rPr>
          <w:rFonts w:ascii="Times New Roman" w:hAnsi="Times New Roman"/>
          <w:sz w:val="24"/>
          <w:szCs w:val="24"/>
        </w:rPr>
        <w:t xml:space="preserve">male </w:t>
      </w:r>
      <w:r w:rsidR="00B06B52" w:rsidRPr="008773B1">
        <w:rPr>
          <w:rFonts w:ascii="Times New Roman" w:hAnsi="Times New Roman"/>
          <w:sz w:val="24"/>
          <w:szCs w:val="24"/>
        </w:rPr>
        <w:t xml:space="preserve">control </w:t>
      </w:r>
      <w:r w:rsidR="00C55865" w:rsidRPr="008773B1">
        <w:rPr>
          <w:rFonts w:ascii="Times New Roman" w:hAnsi="Times New Roman"/>
          <w:sz w:val="24"/>
          <w:szCs w:val="24"/>
        </w:rPr>
        <w:t>(2.4±0.6</w:t>
      </w:r>
      <w:r w:rsidR="00B06B52" w:rsidRPr="008773B1">
        <w:rPr>
          <w:rFonts w:ascii="Times New Roman" w:hAnsi="Times New Roman"/>
          <w:sz w:val="24"/>
          <w:szCs w:val="24"/>
        </w:rPr>
        <w:t xml:space="preserve">; </w:t>
      </w:r>
      <w:r w:rsidR="00C55865" w:rsidRPr="008773B1">
        <w:rPr>
          <w:rFonts w:ascii="Times New Roman" w:hAnsi="Times New Roman"/>
          <w:sz w:val="24"/>
          <w:szCs w:val="24"/>
        </w:rPr>
        <w:t>p=0.00)</w:t>
      </w:r>
      <w:r w:rsidR="00B06B52" w:rsidRPr="008773B1">
        <w:rPr>
          <w:rFonts w:ascii="Times New Roman" w:hAnsi="Times New Roman"/>
          <w:sz w:val="24"/>
          <w:szCs w:val="24"/>
        </w:rPr>
        <w:t>. Serum Zinc levels in</w:t>
      </w:r>
      <w:r w:rsidR="00C55865" w:rsidRPr="008773B1">
        <w:rPr>
          <w:rFonts w:ascii="Times New Roman" w:hAnsi="Times New Roman"/>
          <w:sz w:val="24"/>
          <w:szCs w:val="24"/>
        </w:rPr>
        <w:t xml:space="preserve"> female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hyperthyroidism (1.2±0.6)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B06B52" w:rsidRPr="008773B1">
        <w:rPr>
          <w:rFonts w:ascii="Times New Roman" w:hAnsi="Times New Roman"/>
          <w:sz w:val="24"/>
          <w:szCs w:val="24"/>
        </w:rPr>
        <w:t>decreased when</w:t>
      </w:r>
      <w:r w:rsidR="00C55865" w:rsidRPr="008773B1">
        <w:rPr>
          <w:rFonts w:ascii="Times New Roman" w:hAnsi="Times New Roman"/>
          <w:sz w:val="24"/>
          <w:szCs w:val="24"/>
        </w:rPr>
        <w:t xml:space="preserve"> compared with female </w:t>
      </w:r>
      <w:r w:rsidR="00B06B52" w:rsidRPr="008773B1">
        <w:rPr>
          <w:rFonts w:ascii="Times New Roman" w:hAnsi="Times New Roman"/>
          <w:sz w:val="24"/>
          <w:szCs w:val="24"/>
        </w:rPr>
        <w:t xml:space="preserve">control (2.1±0.9; </w:t>
      </w:r>
      <w:r w:rsidR="00C55865" w:rsidRPr="008773B1">
        <w:rPr>
          <w:rFonts w:ascii="Times New Roman" w:hAnsi="Times New Roman"/>
          <w:sz w:val="24"/>
          <w:szCs w:val="24"/>
        </w:rPr>
        <w:t xml:space="preserve">p=0.033). There was no significant </w:t>
      </w:r>
      <w:r w:rsidR="00B06B52" w:rsidRPr="008773B1">
        <w:rPr>
          <w:rFonts w:ascii="Times New Roman" w:hAnsi="Times New Roman"/>
          <w:sz w:val="24"/>
          <w:szCs w:val="24"/>
        </w:rPr>
        <w:t>difference between serum Z</w:t>
      </w:r>
      <w:r w:rsidR="00C55865" w:rsidRPr="008773B1">
        <w:rPr>
          <w:rFonts w:ascii="Times New Roman" w:hAnsi="Times New Roman"/>
          <w:sz w:val="24"/>
          <w:szCs w:val="24"/>
        </w:rPr>
        <w:t xml:space="preserve">inc levels in 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003B080B" w:rsidRPr="008773B1">
        <w:rPr>
          <w:rFonts w:ascii="Times New Roman" w:hAnsi="Times New Roman"/>
          <w:sz w:val="24"/>
          <w:szCs w:val="24"/>
        </w:rPr>
        <w:t>and</w:t>
      </w:r>
      <w:r w:rsidR="00C55865" w:rsidRPr="008773B1">
        <w:rPr>
          <w:rFonts w:ascii="Times New Roman" w:hAnsi="Times New Roman"/>
          <w:sz w:val="24"/>
          <w:szCs w:val="24"/>
        </w:rPr>
        <w:t xml:space="preserve"> female </w:t>
      </w:r>
      <w:r w:rsidR="00085738"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(p=0.</w:t>
      </w:r>
      <w:r w:rsidR="003B080B" w:rsidRPr="008773B1">
        <w:rPr>
          <w:rFonts w:ascii="Times New Roman" w:hAnsi="Times New Roman"/>
          <w:sz w:val="24"/>
          <w:szCs w:val="24"/>
        </w:rPr>
        <w:t>935). Also, there was no significant difference between serum Zinc levels in male control</w:t>
      </w:r>
      <w:r w:rsidR="00C55865" w:rsidRPr="008773B1">
        <w:rPr>
          <w:rFonts w:ascii="Times New Roman" w:hAnsi="Times New Roman"/>
          <w:sz w:val="24"/>
          <w:szCs w:val="24"/>
        </w:rPr>
        <w:t xml:space="preserve"> and </w:t>
      </w:r>
      <w:r w:rsidR="003B080B" w:rsidRPr="008773B1">
        <w:rPr>
          <w:rFonts w:ascii="Times New Roman" w:hAnsi="Times New Roman"/>
          <w:sz w:val="24"/>
          <w:szCs w:val="24"/>
        </w:rPr>
        <w:t>female control</w:t>
      </w:r>
      <w:r w:rsidR="00C55865" w:rsidRPr="008773B1">
        <w:rPr>
          <w:rFonts w:ascii="Times New Roman" w:hAnsi="Times New Roman"/>
          <w:sz w:val="24"/>
          <w:szCs w:val="24"/>
        </w:rPr>
        <w:t xml:space="preserve"> (p=0.311). </w:t>
      </w:r>
      <w:r w:rsidR="002E6DD3" w:rsidRPr="008773B1">
        <w:rPr>
          <w:rFonts w:ascii="Times New Roman" w:hAnsi="Times New Roman"/>
          <w:sz w:val="24"/>
          <w:szCs w:val="24"/>
        </w:rPr>
        <w:t xml:space="preserve"> </w:t>
      </w:r>
      <w:r w:rsidR="001F7D33" w:rsidRPr="008773B1">
        <w:rPr>
          <w:rFonts w:ascii="Times New Roman" w:hAnsi="Times New Roman"/>
          <w:sz w:val="24"/>
          <w:szCs w:val="24"/>
        </w:rPr>
        <w:t xml:space="preserve">Serum </w:t>
      </w:r>
      <w:r w:rsidR="00C55865" w:rsidRPr="008773B1">
        <w:rPr>
          <w:rFonts w:ascii="Times New Roman" w:hAnsi="Times New Roman"/>
          <w:sz w:val="24"/>
          <w:szCs w:val="24"/>
        </w:rPr>
        <w:t xml:space="preserve">Magnesium </w:t>
      </w:r>
      <w:r w:rsidR="001F7D33" w:rsidRPr="008773B1">
        <w:rPr>
          <w:rFonts w:ascii="Times New Roman" w:hAnsi="Times New Roman"/>
          <w:sz w:val="24"/>
          <w:szCs w:val="24"/>
        </w:rPr>
        <w:t>levels in</w:t>
      </w:r>
      <w:r w:rsidR="00C55865" w:rsidRPr="008773B1">
        <w:rPr>
          <w:rFonts w:ascii="Times New Roman" w:hAnsi="Times New Roman"/>
          <w:sz w:val="24"/>
          <w:szCs w:val="24"/>
        </w:rPr>
        <w:t xml:space="preserve"> male </w:t>
      </w:r>
      <w:r w:rsidR="001F7D33"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hyperthyroidism (0.9±0.3)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w:t>
      </w:r>
      <w:r w:rsidR="001F7D33" w:rsidRPr="008773B1">
        <w:rPr>
          <w:rFonts w:ascii="Times New Roman" w:hAnsi="Times New Roman"/>
          <w:sz w:val="24"/>
          <w:szCs w:val="24"/>
        </w:rPr>
        <w:t>nificantly decreased when compared with</w:t>
      </w:r>
      <w:r w:rsidR="00C55865" w:rsidRPr="008773B1">
        <w:rPr>
          <w:rFonts w:ascii="Times New Roman" w:hAnsi="Times New Roman"/>
          <w:sz w:val="24"/>
          <w:szCs w:val="24"/>
        </w:rPr>
        <w:t xml:space="preserve"> </w:t>
      </w:r>
      <w:r w:rsidR="001F7D33" w:rsidRPr="008773B1">
        <w:rPr>
          <w:rFonts w:ascii="Times New Roman" w:hAnsi="Times New Roman"/>
          <w:sz w:val="24"/>
          <w:szCs w:val="24"/>
        </w:rPr>
        <w:t>male control</w:t>
      </w:r>
      <w:r w:rsidR="00C55865" w:rsidRPr="008773B1">
        <w:rPr>
          <w:rFonts w:ascii="Times New Roman" w:hAnsi="Times New Roman"/>
          <w:sz w:val="24"/>
          <w:szCs w:val="24"/>
        </w:rPr>
        <w:t xml:space="preserve"> (2.0±0.3</w:t>
      </w:r>
      <w:r w:rsidR="001F7D33" w:rsidRPr="008773B1">
        <w:rPr>
          <w:rFonts w:ascii="Times New Roman" w:hAnsi="Times New Roman"/>
          <w:sz w:val="24"/>
          <w:szCs w:val="24"/>
        </w:rPr>
        <w:t xml:space="preserve">; </w:t>
      </w:r>
      <w:r w:rsidR="00C55865" w:rsidRPr="008773B1">
        <w:rPr>
          <w:rFonts w:ascii="Times New Roman" w:hAnsi="Times New Roman"/>
          <w:sz w:val="24"/>
          <w:szCs w:val="24"/>
        </w:rPr>
        <w:t>p=0.00)</w:t>
      </w:r>
      <w:r w:rsidR="001D7944" w:rsidRPr="008773B1">
        <w:rPr>
          <w:rFonts w:ascii="Times New Roman" w:hAnsi="Times New Roman"/>
          <w:sz w:val="24"/>
          <w:szCs w:val="24"/>
        </w:rPr>
        <w:t>. Serum M</w:t>
      </w:r>
      <w:r w:rsidR="00C55865" w:rsidRPr="008773B1">
        <w:rPr>
          <w:rFonts w:ascii="Times New Roman" w:hAnsi="Times New Roman"/>
          <w:sz w:val="24"/>
          <w:szCs w:val="24"/>
        </w:rPr>
        <w:t xml:space="preserve">agnesium levels in female </w:t>
      </w:r>
      <w:r w:rsidR="001D7944"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(1.3±0.3)</w:t>
      </w:r>
      <w:r w:rsidR="001D7944" w:rsidRPr="008773B1">
        <w:rPr>
          <w:rFonts w:ascii="Times New Roman" w:hAnsi="Times New Roman"/>
          <w:sz w:val="24"/>
          <w:szCs w:val="24"/>
        </w:rPr>
        <w:t xml:space="preserve"> </w:t>
      </w:r>
      <w:r w:rsidR="00D527ED" w:rsidRPr="008773B1">
        <w:rPr>
          <w:rFonts w:ascii="Times New Roman" w:hAnsi="Times New Roman"/>
          <w:sz w:val="24"/>
          <w:szCs w:val="24"/>
        </w:rPr>
        <w:t>were</w:t>
      </w:r>
      <w:r w:rsidR="001D7944" w:rsidRPr="008773B1">
        <w:rPr>
          <w:rFonts w:ascii="Times New Roman" w:hAnsi="Times New Roman"/>
          <w:sz w:val="24"/>
          <w:szCs w:val="24"/>
        </w:rPr>
        <w:t xml:space="preserve"> significantly decreased when</w:t>
      </w:r>
      <w:r w:rsidR="00C55865" w:rsidRPr="008773B1">
        <w:rPr>
          <w:rFonts w:ascii="Times New Roman" w:hAnsi="Times New Roman"/>
          <w:sz w:val="24"/>
          <w:szCs w:val="24"/>
        </w:rPr>
        <w:t xml:space="preserve"> compared </w:t>
      </w:r>
      <w:r w:rsidR="001D7944" w:rsidRPr="008773B1">
        <w:rPr>
          <w:rFonts w:ascii="Times New Roman" w:hAnsi="Times New Roman"/>
          <w:sz w:val="24"/>
          <w:szCs w:val="24"/>
        </w:rPr>
        <w:t xml:space="preserve">with </w:t>
      </w:r>
      <w:r w:rsidR="00C55865" w:rsidRPr="008773B1">
        <w:rPr>
          <w:rFonts w:ascii="Times New Roman" w:hAnsi="Times New Roman"/>
          <w:sz w:val="24"/>
          <w:szCs w:val="24"/>
        </w:rPr>
        <w:t xml:space="preserve">female </w:t>
      </w:r>
      <w:r w:rsidR="001D7944" w:rsidRPr="008773B1">
        <w:rPr>
          <w:rFonts w:ascii="Times New Roman" w:hAnsi="Times New Roman"/>
          <w:sz w:val="24"/>
          <w:szCs w:val="24"/>
        </w:rPr>
        <w:t>control</w:t>
      </w:r>
      <w:r w:rsidR="00C55865" w:rsidRPr="008773B1">
        <w:rPr>
          <w:rFonts w:ascii="Times New Roman" w:hAnsi="Times New Roman"/>
          <w:sz w:val="24"/>
          <w:szCs w:val="24"/>
        </w:rPr>
        <w:t xml:space="preserve"> </w:t>
      </w:r>
      <w:r w:rsidR="001D7944" w:rsidRPr="008773B1">
        <w:rPr>
          <w:rFonts w:ascii="Times New Roman" w:hAnsi="Times New Roman"/>
          <w:sz w:val="24"/>
          <w:szCs w:val="24"/>
        </w:rPr>
        <w:t xml:space="preserve">(2.1±0.4; </w:t>
      </w:r>
      <w:r w:rsidR="00C55865" w:rsidRPr="008773B1">
        <w:rPr>
          <w:rFonts w:ascii="Times New Roman" w:hAnsi="Times New Roman"/>
          <w:sz w:val="24"/>
          <w:szCs w:val="24"/>
        </w:rPr>
        <w:t xml:space="preserve">p=0.00). </w:t>
      </w:r>
      <w:r w:rsidR="002E6DD3" w:rsidRPr="008773B1">
        <w:rPr>
          <w:rFonts w:ascii="Times New Roman" w:hAnsi="Times New Roman"/>
          <w:sz w:val="24"/>
          <w:szCs w:val="24"/>
        </w:rPr>
        <w:t xml:space="preserve"> </w:t>
      </w:r>
      <w:r w:rsidR="001D7944" w:rsidRPr="008773B1">
        <w:rPr>
          <w:rFonts w:ascii="Times New Roman" w:hAnsi="Times New Roman"/>
          <w:sz w:val="24"/>
          <w:szCs w:val="24"/>
        </w:rPr>
        <w:t xml:space="preserve">Serum </w:t>
      </w:r>
      <w:r w:rsidR="00C55865" w:rsidRPr="008773B1">
        <w:rPr>
          <w:rFonts w:ascii="Times New Roman" w:hAnsi="Times New Roman"/>
          <w:sz w:val="24"/>
          <w:szCs w:val="24"/>
        </w:rPr>
        <w:t xml:space="preserve">Vitamin A levels </w:t>
      </w:r>
      <w:r w:rsidR="001D7944" w:rsidRPr="008773B1">
        <w:rPr>
          <w:rFonts w:ascii="Times New Roman" w:hAnsi="Times New Roman"/>
          <w:sz w:val="24"/>
          <w:szCs w:val="24"/>
        </w:rPr>
        <w:t>in</w:t>
      </w:r>
      <w:r w:rsidR="00C55865" w:rsidRPr="008773B1">
        <w:rPr>
          <w:rFonts w:ascii="Times New Roman" w:hAnsi="Times New Roman"/>
          <w:sz w:val="24"/>
          <w:szCs w:val="24"/>
        </w:rPr>
        <w:t xml:space="preserve"> male </w:t>
      </w:r>
      <w:r w:rsidR="001D7944"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(343.8±64.7)</w:t>
      </w:r>
      <w:r w:rsidR="001D7944" w:rsidRPr="008773B1">
        <w:rPr>
          <w:rFonts w:ascii="Times New Roman" w:hAnsi="Times New Roman"/>
          <w:sz w:val="24"/>
          <w:szCs w:val="24"/>
        </w:rPr>
        <w:t xml:space="preserve"> </w:t>
      </w:r>
      <w:r w:rsidR="00D527ED" w:rsidRPr="008773B1">
        <w:rPr>
          <w:rFonts w:ascii="Times New Roman" w:hAnsi="Times New Roman"/>
          <w:sz w:val="24"/>
          <w:szCs w:val="24"/>
        </w:rPr>
        <w:t>were</w:t>
      </w:r>
      <w:r w:rsidR="001D7944" w:rsidRPr="008773B1">
        <w:rPr>
          <w:rFonts w:ascii="Times New Roman" w:hAnsi="Times New Roman"/>
          <w:sz w:val="24"/>
          <w:szCs w:val="24"/>
        </w:rPr>
        <w:t xml:space="preserve"> not significant when compared with male control</w:t>
      </w:r>
      <w:r w:rsidR="00C55865" w:rsidRPr="008773B1">
        <w:rPr>
          <w:rFonts w:ascii="Times New Roman" w:hAnsi="Times New Roman"/>
          <w:sz w:val="24"/>
          <w:szCs w:val="24"/>
        </w:rPr>
        <w:t xml:space="preserve"> (342.0±62.5</w:t>
      </w:r>
      <w:r w:rsidR="001D7944" w:rsidRPr="008773B1">
        <w:rPr>
          <w:rFonts w:ascii="Times New Roman" w:hAnsi="Times New Roman"/>
          <w:sz w:val="24"/>
          <w:szCs w:val="24"/>
        </w:rPr>
        <w:t xml:space="preserve">; </w:t>
      </w:r>
      <w:r w:rsidR="00C55865" w:rsidRPr="008773B1">
        <w:rPr>
          <w:rFonts w:ascii="Times New Roman" w:hAnsi="Times New Roman"/>
          <w:sz w:val="24"/>
          <w:szCs w:val="24"/>
        </w:rPr>
        <w:t>p=0.945)</w:t>
      </w:r>
      <w:r w:rsidR="00BF2C3B" w:rsidRPr="008773B1">
        <w:rPr>
          <w:rFonts w:ascii="Times New Roman" w:hAnsi="Times New Roman"/>
          <w:sz w:val="24"/>
          <w:szCs w:val="24"/>
        </w:rPr>
        <w:t>.</w:t>
      </w:r>
      <w:r w:rsidR="00C55865" w:rsidRPr="008773B1">
        <w:rPr>
          <w:rFonts w:ascii="Times New Roman" w:hAnsi="Times New Roman"/>
          <w:sz w:val="24"/>
          <w:szCs w:val="24"/>
        </w:rPr>
        <w:t xml:space="preserve"> </w:t>
      </w:r>
      <w:r w:rsidR="00BF2C3B" w:rsidRPr="008773B1">
        <w:rPr>
          <w:rFonts w:ascii="Times New Roman" w:hAnsi="Times New Roman"/>
          <w:sz w:val="24"/>
          <w:szCs w:val="24"/>
        </w:rPr>
        <w:t>Serum V</w:t>
      </w:r>
      <w:r w:rsidR="00C55865" w:rsidRPr="008773B1">
        <w:rPr>
          <w:rFonts w:ascii="Times New Roman" w:hAnsi="Times New Roman"/>
          <w:sz w:val="24"/>
          <w:szCs w:val="24"/>
        </w:rPr>
        <w:t xml:space="preserve">itamin A levels in female </w:t>
      </w:r>
      <w:r w:rsidR="00BF2C3B" w:rsidRPr="008773B1">
        <w:rPr>
          <w:rFonts w:ascii="Times New Roman" w:hAnsi="Times New Roman"/>
          <w:sz w:val="24"/>
          <w:szCs w:val="24"/>
        </w:rPr>
        <w:t xml:space="preserve">Test </w:t>
      </w:r>
      <w:r w:rsidR="00C55865" w:rsidRPr="008773B1">
        <w:rPr>
          <w:rFonts w:ascii="Times New Roman" w:hAnsi="Times New Roman"/>
          <w:sz w:val="24"/>
          <w:szCs w:val="24"/>
        </w:rPr>
        <w:t>subjects with hyperthyroidism (222.8±35.7)</w:t>
      </w:r>
      <w:r w:rsidR="00BF2C3B" w:rsidRPr="008773B1">
        <w:rPr>
          <w:rFonts w:ascii="Times New Roman" w:hAnsi="Times New Roman"/>
          <w:sz w:val="24"/>
          <w:szCs w:val="24"/>
        </w:rPr>
        <w:t xml:space="preserve"> </w:t>
      </w:r>
      <w:r w:rsidR="00D527ED" w:rsidRPr="008773B1">
        <w:rPr>
          <w:rFonts w:ascii="Times New Roman" w:hAnsi="Times New Roman"/>
          <w:sz w:val="24"/>
          <w:szCs w:val="24"/>
        </w:rPr>
        <w:t>were</w:t>
      </w:r>
      <w:r w:rsidR="00BF2C3B" w:rsidRPr="008773B1">
        <w:rPr>
          <w:rFonts w:ascii="Times New Roman" w:hAnsi="Times New Roman"/>
          <w:sz w:val="24"/>
          <w:szCs w:val="24"/>
        </w:rPr>
        <w:t xml:space="preserve"> significantly reduced when</w:t>
      </w:r>
      <w:r w:rsidR="00C55865" w:rsidRPr="008773B1">
        <w:rPr>
          <w:rFonts w:ascii="Times New Roman" w:hAnsi="Times New Roman"/>
          <w:sz w:val="24"/>
          <w:szCs w:val="24"/>
        </w:rPr>
        <w:t xml:space="preserve"> compared </w:t>
      </w:r>
      <w:r w:rsidR="00D527ED" w:rsidRPr="008773B1">
        <w:rPr>
          <w:rFonts w:ascii="Times New Roman" w:hAnsi="Times New Roman"/>
          <w:sz w:val="24"/>
          <w:szCs w:val="24"/>
        </w:rPr>
        <w:t xml:space="preserve">to </w:t>
      </w:r>
      <w:r w:rsidR="00BF2C3B" w:rsidRPr="008773B1">
        <w:rPr>
          <w:rFonts w:ascii="Times New Roman" w:hAnsi="Times New Roman"/>
          <w:sz w:val="24"/>
          <w:szCs w:val="24"/>
        </w:rPr>
        <w:t xml:space="preserve">female control (344.5±54.7; p=0.00) </w:t>
      </w:r>
      <w:r w:rsidR="00532039" w:rsidRPr="008773B1">
        <w:rPr>
          <w:rFonts w:ascii="Times New Roman" w:hAnsi="Times New Roman"/>
          <w:sz w:val="24"/>
          <w:szCs w:val="24"/>
        </w:rPr>
        <w:t>(Table 2)</w:t>
      </w:r>
      <w:r w:rsidR="00C55865" w:rsidRPr="008773B1">
        <w:rPr>
          <w:rFonts w:ascii="Times New Roman" w:hAnsi="Times New Roman"/>
          <w:sz w:val="24"/>
          <w:szCs w:val="24"/>
        </w:rPr>
        <w:t xml:space="preserve">. </w:t>
      </w:r>
    </w:p>
    <w:p w14:paraId="3B19C45E" w14:textId="77777777" w:rsidR="00C55865" w:rsidRPr="008773B1" w:rsidRDefault="00C55865" w:rsidP="00C55865">
      <w:pPr>
        <w:jc w:val="both"/>
        <w:rPr>
          <w:rFonts w:ascii="Times New Roman" w:hAnsi="Times New Roman"/>
          <w:sz w:val="24"/>
          <w:szCs w:val="24"/>
        </w:rPr>
      </w:pPr>
    </w:p>
    <w:tbl>
      <w:tblPr>
        <w:tblStyle w:val="TableGrid"/>
        <w:tblpPr w:leftFromText="180" w:rightFromText="180" w:vertAnchor="text" w:horzAnchor="margin" w:tblpXSpec="center" w:tblpY="765"/>
        <w:tblW w:w="114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4"/>
        <w:gridCol w:w="1812"/>
        <w:gridCol w:w="1851"/>
        <w:gridCol w:w="2004"/>
        <w:gridCol w:w="2241"/>
        <w:gridCol w:w="979"/>
        <w:gridCol w:w="1101"/>
      </w:tblGrid>
      <w:tr w:rsidR="00A447EC" w:rsidRPr="008773B1" w14:paraId="34D018CB" w14:textId="77777777" w:rsidTr="00A447EC">
        <w:trPr>
          <w:trHeight w:val="981"/>
        </w:trPr>
        <w:tc>
          <w:tcPr>
            <w:tcW w:w="1454" w:type="dxa"/>
            <w:tcBorders>
              <w:top w:val="single" w:sz="4" w:space="0" w:color="auto"/>
              <w:bottom w:val="single" w:sz="4" w:space="0" w:color="auto"/>
            </w:tcBorders>
          </w:tcPr>
          <w:p w14:paraId="668F1EBE"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lastRenderedPageBreak/>
              <w:t>Parameters</w:t>
            </w:r>
          </w:p>
        </w:tc>
        <w:tc>
          <w:tcPr>
            <w:tcW w:w="1812" w:type="dxa"/>
            <w:tcBorders>
              <w:top w:val="single" w:sz="4" w:space="0" w:color="auto"/>
              <w:bottom w:val="single" w:sz="4" w:space="0" w:color="auto"/>
            </w:tcBorders>
          </w:tcPr>
          <w:p w14:paraId="1B9B3BA3"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Normal</w:t>
            </w:r>
          </w:p>
          <w:p w14:paraId="2D4BA32C"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Males</w:t>
            </w:r>
          </w:p>
          <w:p w14:paraId="49BFA959"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1851" w:type="dxa"/>
            <w:tcBorders>
              <w:top w:val="single" w:sz="4" w:space="0" w:color="auto"/>
              <w:bottom w:val="single" w:sz="4" w:space="0" w:color="auto"/>
            </w:tcBorders>
          </w:tcPr>
          <w:p w14:paraId="58D0976B"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Normal</w:t>
            </w:r>
          </w:p>
          <w:p w14:paraId="554DC6C7"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Females</w:t>
            </w:r>
          </w:p>
          <w:p w14:paraId="23CF9125"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2004" w:type="dxa"/>
            <w:tcBorders>
              <w:top w:val="single" w:sz="4" w:space="0" w:color="auto"/>
              <w:bottom w:val="single" w:sz="4" w:space="0" w:color="auto"/>
            </w:tcBorders>
          </w:tcPr>
          <w:p w14:paraId="6CFFEB8A"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Male Hyperthyroidism</w:t>
            </w:r>
          </w:p>
          <w:p w14:paraId="30FC08B1"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2241" w:type="dxa"/>
            <w:tcBorders>
              <w:top w:val="single" w:sz="4" w:space="0" w:color="auto"/>
              <w:bottom w:val="single" w:sz="4" w:space="0" w:color="auto"/>
            </w:tcBorders>
          </w:tcPr>
          <w:p w14:paraId="4FE63602"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Female Hyperthyroidism</w:t>
            </w:r>
          </w:p>
          <w:p w14:paraId="4DB2BE0C"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(n=50)</w:t>
            </w:r>
          </w:p>
        </w:tc>
        <w:tc>
          <w:tcPr>
            <w:tcW w:w="979" w:type="dxa"/>
            <w:tcBorders>
              <w:top w:val="single" w:sz="4" w:space="0" w:color="auto"/>
              <w:bottom w:val="single" w:sz="4" w:space="0" w:color="auto"/>
            </w:tcBorders>
          </w:tcPr>
          <w:p w14:paraId="5D31AB99"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f-value</w:t>
            </w:r>
          </w:p>
        </w:tc>
        <w:tc>
          <w:tcPr>
            <w:tcW w:w="1101" w:type="dxa"/>
            <w:tcBorders>
              <w:top w:val="single" w:sz="4" w:space="0" w:color="auto"/>
              <w:bottom w:val="single" w:sz="4" w:space="0" w:color="auto"/>
            </w:tcBorders>
          </w:tcPr>
          <w:p w14:paraId="5590F33C" w14:textId="77777777" w:rsidR="00A447EC" w:rsidRPr="008773B1" w:rsidRDefault="00A447EC" w:rsidP="00A447EC">
            <w:pPr>
              <w:spacing w:after="0" w:line="240" w:lineRule="auto"/>
              <w:jc w:val="center"/>
              <w:rPr>
                <w:rFonts w:ascii="Times New Roman" w:hAnsi="Times New Roman"/>
                <w:b/>
                <w:sz w:val="24"/>
                <w:szCs w:val="24"/>
              </w:rPr>
            </w:pPr>
            <w:r w:rsidRPr="008773B1">
              <w:rPr>
                <w:rFonts w:ascii="Times New Roman" w:hAnsi="Times New Roman"/>
                <w:b/>
                <w:sz w:val="24"/>
                <w:szCs w:val="24"/>
              </w:rPr>
              <w:t>p-value</w:t>
            </w:r>
          </w:p>
        </w:tc>
      </w:tr>
      <w:tr w:rsidR="00A447EC" w:rsidRPr="008773B1" w14:paraId="36248CB5" w14:textId="77777777" w:rsidTr="00A447EC">
        <w:trPr>
          <w:trHeight w:val="603"/>
        </w:trPr>
        <w:tc>
          <w:tcPr>
            <w:tcW w:w="1454" w:type="dxa"/>
            <w:tcBorders>
              <w:top w:val="single" w:sz="4" w:space="0" w:color="auto"/>
            </w:tcBorders>
          </w:tcPr>
          <w:p w14:paraId="2E53EEFA" w14:textId="77777777" w:rsidR="00A447EC" w:rsidRPr="008773B1" w:rsidRDefault="00A447EC" w:rsidP="00A447EC">
            <w:pPr>
              <w:jc w:val="center"/>
              <w:rPr>
                <w:rFonts w:ascii="Times New Roman" w:hAnsi="Times New Roman"/>
                <w:b/>
                <w:sz w:val="24"/>
                <w:szCs w:val="24"/>
              </w:rPr>
            </w:pPr>
            <w:r w:rsidRPr="008773B1">
              <w:rPr>
                <w:rFonts w:ascii="Times New Roman" w:hAnsi="Times New Roman"/>
                <w:b/>
                <w:sz w:val="24"/>
                <w:szCs w:val="24"/>
              </w:rPr>
              <w:t>Zn (mg/l)</w:t>
            </w:r>
          </w:p>
        </w:tc>
        <w:tc>
          <w:tcPr>
            <w:tcW w:w="1812" w:type="dxa"/>
            <w:tcBorders>
              <w:top w:val="single" w:sz="4" w:space="0" w:color="auto"/>
            </w:tcBorders>
          </w:tcPr>
          <w:p w14:paraId="6503AE61"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2.4 ± 0.6</w:t>
            </w:r>
            <w:r w:rsidRPr="008773B1">
              <w:rPr>
                <w:rFonts w:ascii="Times New Roman" w:hAnsi="Times New Roman"/>
                <w:sz w:val="24"/>
                <w:szCs w:val="24"/>
                <w:vertAlign w:val="superscript"/>
              </w:rPr>
              <w:t>a</w:t>
            </w:r>
          </w:p>
        </w:tc>
        <w:tc>
          <w:tcPr>
            <w:tcW w:w="1851" w:type="dxa"/>
            <w:tcBorders>
              <w:top w:val="single" w:sz="4" w:space="0" w:color="auto"/>
            </w:tcBorders>
          </w:tcPr>
          <w:p w14:paraId="5945BCF7"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2.1 ± 0.9</w:t>
            </w:r>
            <w:r w:rsidRPr="008773B1">
              <w:rPr>
                <w:rFonts w:ascii="Times New Roman" w:hAnsi="Times New Roman"/>
                <w:sz w:val="24"/>
                <w:szCs w:val="24"/>
                <w:vertAlign w:val="superscript"/>
              </w:rPr>
              <w:t>a</w:t>
            </w:r>
          </w:p>
        </w:tc>
        <w:tc>
          <w:tcPr>
            <w:tcW w:w="2004" w:type="dxa"/>
            <w:tcBorders>
              <w:top w:val="single" w:sz="4" w:space="0" w:color="auto"/>
            </w:tcBorders>
          </w:tcPr>
          <w:p w14:paraId="636F47FD"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1.2 ± 0.7</w:t>
            </w:r>
            <w:r w:rsidRPr="008773B1">
              <w:rPr>
                <w:rFonts w:ascii="Times New Roman" w:hAnsi="Times New Roman"/>
                <w:sz w:val="24"/>
                <w:szCs w:val="24"/>
                <w:vertAlign w:val="superscript"/>
              </w:rPr>
              <w:t>b</w:t>
            </w:r>
          </w:p>
        </w:tc>
        <w:tc>
          <w:tcPr>
            <w:tcW w:w="2241" w:type="dxa"/>
            <w:tcBorders>
              <w:top w:val="single" w:sz="4" w:space="0" w:color="auto"/>
            </w:tcBorders>
          </w:tcPr>
          <w:p w14:paraId="3F29A334"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1.2 ± 0.6</w:t>
            </w:r>
            <w:r w:rsidRPr="008773B1">
              <w:rPr>
                <w:rFonts w:ascii="Times New Roman" w:hAnsi="Times New Roman"/>
                <w:sz w:val="24"/>
                <w:szCs w:val="24"/>
                <w:vertAlign w:val="superscript"/>
              </w:rPr>
              <w:t>b</w:t>
            </w:r>
          </w:p>
        </w:tc>
        <w:tc>
          <w:tcPr>
            <w:tcW w:w="979" w:type="dxa"/>
            <w:tcBorders>
              <w:top w:val="single" w:sz="4" w:space="0" w:color="auto"/>
            </w:tcBorders>
          </w:tcPr>
          <w:p w14:paraId="3B66EA1E"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8.72</w:t>
            </w:r>
          </w:p>
        </w:tc>
        <w:tc>
          <w:tcPr>
            <w:tcW w:w="1101" w:type="dxa"/>
            <w:tcBorders>
              <w:top w:val="single" w:sz="4" w:space="0" w:color="auto"/>
            </w:tcBorders>
          </w:tcPr>
          <w:p w14:paraId="76304DC6"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0.000</w:t>
            </w:r>
          </w:p>
        </w:tc>
      </w:tr>
      <w:tr w:rsidR="00A447EC" w:rsidRPr="008773B1" w14:paraId="3898FA0B" w14:textId="77777777" w:rsidTr="00A447EC">
        <w:trPr>
          <w:trHeight w:val="792"/>
        </w:trPr>
        <w:tc>
          <w:tcPr>
            <w:tcW w:w="1454" w:type="dxa"/>
          </w:tcPr>
          <w:p w14:paraId="3336C542" w14:textId="77777777" w:rsidR="00A447EC" w:rsidRPr="008773B1" w:rsidRDefault="00A447EC" w:rsidP="00A447EC">
            <w:pPr>
              <w:jc w:val="center"/>
              <w:rPr>
                <w:rFonts w:ascii="Times New Roman" w:hAnsi="Times New Roman"/>
                <w:b/>
                <w:sz w:val="24"/>
                <w:szCs w:val="24"/>
              </w:rPr>
            </w:pPr>
            <w:r w:rsidRPr="008773B1">
              <w:rPr>
                <w:rFonts w:ascii="Times New Roman" w:hAnsi="Times New Roman"/>
                <w:b/>
                <w:sz w:val="24"/>
                <w:szCs w:val="24"/>
              </w:rPr>
              <w:t>Mg (mg/dl)</w:t>
            </w:r>
          </w:p>
        </w:tc>
        <w:tc>
          <w:tcPr>
            <w:tcW w:w="1812" w:type="dxa"/>
          </w:tcPr>
          <w:p w14:paraId="573A5615"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2.0 ± 0.3</w:t>
            </w:r>
            <w:r w:rsidRPr="008773B1">
              <w:rPr>
                <w:rFonts w:ascii="Times New Roman" w:hAnsi="Times New Roman"/>
                <w:sz w:val="24"/>
                <w:szCs w:val="24"/>
                <w:vertAlign w:val="superscript"/>
              </w:rPr>
              <w:t>a</w:t>
            </w:r>
          </w:p>
        </w:tc>
        <w:tc>
          <w:tcPr>
            <w:tcW w:w="1851" w:type="dxa"/>
          </w:tcPr>
          <w:p w14:paraId="74054D0D"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2.1 ± 0.4</w:t>
            </w:r>
            <w:r w:rsidRPr="008773B1">
              <w:rPr>
                <w:rFonts w:ascii="Times New Roman" w:hAnsi="Times New Roman"/>
                <w:sz w:val="24"/>
                <w:szCs w:val="24"/>
                <w:vertAlign w:val="superscript"/>
              </w:rPr>
              <w:t>a</w:t>
            </w:r>
          </w:p>
        </w:tc>
        <w:tc>
          <w:tcPr>
            <w:tcW w:w="2004" w:type="dxa"/>
          </w:tcPr>
          <w:p w14:paraId="0A69DB5F"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0.9 ± 0.3</w:t>
            </w:r>
            <w:r w:rsidRPr="008773B1">
              <w:rPr>
                <w:rFonts w:ascii="Times New Roman" w:hAnsi="Times New Roman"/>
                <w:sz w:val="24"/>
                <w:szCs w:val="24"/>
                <w:vertAlign w:val="superscript"/>
              </w:rPr>
              <w:t>b</w:t>
            </w:r>
          </w:p>
        </w:tc>
        <w:tc>
          <w:tcPr>
            <w:tcW w:w="2241" w:type="dxa"/>
          </w:tcPr>
          <w:p w14:paraId="1A117181"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1.3 ± 0.3</w:t>
            </w:r>
            <w:r w:rsidRPr="008773B1">
              <w:rPr>
                <w:rFonts w:ascii="Times New Roman" w:hAnsi="Times New Roman"/>
                <w:sz w:val="24"/>
                <w:szCs w:val="24"/>
                <w:vertAlign w:val="superscript"/>
              </w:rPr>
              <w:t>c</w:t>
            </w:r>
          </w:p>
        </w:tc>
        <w:tc>
          <w:tcPr>
            <w:tcW w:w="979" w:type="dxa"/>
          </w:tcPr>
          <w:p w14:paraId="2A3C18DD"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22.6</w:t>
            </w:r>
          </w:p>
        </w:tc>
        <w:tc>
          <w:tcPr>
            <w:tcW w:w="1101" w:type="dxa"/>
          </w:tcPr>
          <w:p w14:paraId="5E929633"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0.000</w:t>
            </w:r>
          </w:p>
        </w:tc>
      </w:tr>
      <w:tr w:rsidR="00A447EC" w:rsidRPr="008773B1" w14:paraId="508C1F61" w14:textId="77777777" w:rsidTr="00A447EC">
        <w:trPr>
          <w:trHeight w:val="933"/>
        </w:trPr>
        <w:tc>
          <w:tcPr>
            <w:tcW w:w="1454" w:type="dxa"/>
          </w:tcPr>
          <w:p w14:paraId="5FBD57D4" w14:textId="77777777" w:rsidR="00A447EC" w:rsidRPr="008773B1" w:rsidRDefault="00A447EC" w:rsidP="00A447EC">
            <w:pPr>
              <w:jc w:val="center"/>
              <w:rPr>
                <w:rFonts w:ascii="Times New Roman" w:hAnsi="Times New Roman"/>
                <w:b/>
                <w:sz w:val="24"/>
                <w:szCs w:val="24"/>
              </w:rPr>
            </w:pPr>
            <w:r w:rsidRPr="008773B1">
              <w:rPr>
                <w:rFonts w:ascii="Times New Roman" w:hAnsi="Times New Roman"/>
                <w:b/>
                <w:sz w:val="24"/>
                <w:szCs w:val="24"/>
              </w:rPr>
              <w:t>Vitamin A (ng/ml)</w:t>
            </w:r>
          </w:p>
        </w:tc>
        <w:tc>
          <w:tcPr>
            <w:tcW w:w="1812" w:type="dxa"/>
          </w:tcPr>
          <w:p w14:paraId="7DDF4611"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342.0 ±62.5</w:t>
            </w:r>
            <w:r w:rsidRPr="008773B1">
              <w:rPr>
                <w:rFonts w:ascii="Times New Roman" w:hAnsi="Times New Roman"/>
                <w:sz w:val="24"/>
                <w:szCs w:val="24"/>
                <w:vertAlign w:val="superscript"/>
              </w:rPr>
              <w:t>a</w:t>
            </w:r>
          </w:p>
        </w:tc>
        <w:tc>
          <w:tcPr>
            <w:tcW w:w="1851" w:type="dxa"/>
          </w:tcPr>
          <w:p w14:paraId="798FE326"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344.5 ± 54.7</w:t>
            </w:r>
            <w:r w:rsidRPr="008773B1">
              <w:rPr>
                <w:rFonts w:ascii="Times New Roman" w:hAnsi="Times New Roman"/>
                <w:sz w:val="24"/>
                <w:szCs w:val="24"/>
                <w:vertAlign w:val="superscript"/>
              </w:rPr>
              <w:t>a</w:t>
            </w:r>
          </w:p>
        </w:tc>
        <w:tc>
          <w:tcPr>
            <w:tcW w:w="2004" w:type="dxa"/>
          </w:tcPr>
          <w:p w14:paraId="200A1514"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343.8 ± 64.7</w:t>
            </w:r>
            <w:r w:rsidRPr="008773B1">
              <w:rPr>
                <w:rFonts w:ascii="Times New Roman" w:hAnsi="Times New Roman"/>
                <w:sz w:val="24"/>
                <w:szCs w:val="24"/>
                <w:vertAlign w:val="superscript"/>
              </w:rPr>
              <w:t>a</w:t>
            </w:r>
          </w:p>
        </w:tc>
        <w:tc>
          <w:tcPr>
            <w:tcW w:w="2241" w:type="dxa"/>
          </w:tcPr>
          <w:p w14:paraId="3DD765E0"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222.8 ± 35.7</w:t>
            </w:r>
            <w:r w:rsidRPr="008773B1">
              <w:rPr>
                <w:rFonts w:ascii="Times New Roman" w:hAnsi="Times New Roman"/>
                <w:sz w:val="24"/>
                <w:szCs w:val="24"/>
                <w:vertAlign w:val="superscript"/>
              </w:rPr>
              <w:t>b</w:t>
            </w:r>
          </w:p>
        </w:tc>
        <w:tc>
          <w:tcPr>
            <w:tcW w:w="979" w:type="dxa"/>
          </w:tcPr>
          <w:p w14:paraId="0B6C1267"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16.9</w:t>
            </w:r>
          </w:p>
        </w:tc>
        <w:tc>
          <w:tcPr>
            <w:tcW w:w="1101" w:type="dxa"/>
          </w:tcPr>
          <w:p w14:paraId="4C0AAC98" w14:textId="77777777" w:rsidR="00A447EC" w:rsidRPr="008773B1" w:rsidRDefault="00A447EC" w:rsidP="00A447EC">
            <w:pPr>
              <w:jc w:val="center"/>
              <w:rPr>
                <w:rFonts w:ascii="Times New Roman" w:hAnsi="Times New Roman"/>
                <w:sz w:val="24"/>
                <w:szCs w:val="24"/>
              </w:rPr>
            </w:pPr>
            <w:r w:rsidRPr="008773B1">
              <w:rPr>
                <w:rFonts w:ascii="Times New Roman" w:hAnsi="Times New Roman"/>
                <w:sz w:val="24"/>
                <w:szCs w:val="24"/>
              </w:rPr>
              <w:t>0.000</w:t>
            </w:r>
          </w:p>
        </w:tc>
      </w:tr>
    </w:tbl>
    <w:p w14:paraId="2A9CB61D" w14:textId="77777777" w:rsidR="00C55865" w:rsidRPr="008773B1" w:rsidRDefault="00FE5023" w:rsidP="00C55865">
      <w:pPr>
        <w:jc w:val="both"/>
        <w:rPr>
          <w:rFonts w:ascii="Times New Roman" w:hAnsi="Times New Roman"/>
          <w:sz w:val="24"/>
          <w:szCs w:val="24"/>
        </w:rPr>
      </w:pPr>
      <w:r w:rsidRPr="008773B1">
        <w:rPr>
          <w:rFonts w:ascii="Times New Roman" w:hAnsi="Times New Roman"/>
          <w:b/>
          <w:sz w:val="24"/>
          <w:szCs w:val="24"/>
        </w:rPr>
        <w:t xml:space="preserve">Table </w:t>
      </w:r>
      <w:r w:rsidR="00C55865" w:rsidRPr="008773B1">
        <w:rPr>
          <w:rFonts w:ascii="Times New Roman" w:hAnsi="Times New Roman"/>
          <w:b/>
          <w:sz w:val="24"/>
          <w:szCs w:val="24"/>
        </w:rPr>
        <w:t>2</w:t>
      </w:r>
      <w:r w:rsidR="00C55865" w:rsidRPr="008773B1">
        <w:rPr>
          <w:rFonts w:ascii="Times New Roman" w:hAnsi="Times New Roman"/>
          <w:sz w:val="24"/>
          <w:szCs w:val="24"/>
        </w:rPr>
        <w:t xml:space="preserve">: </w:t>
      </w:r>
      <w:r w:rsidR="0078232F" w:rsidRPr="008773B1">
        <w:rPr>
          <w:rFonts w:ascii="Times New Roman" w:hAnsi="Times New Roman"/>
          <w:sz w:val="24"/>
          <w:szCs w:val="24"/>
        </w:rPr>
        <w:t xml:space="preserve">Mean serum </w:t>
      </w:r>
      <w:r w:rsidR="00C55865" w:rsidRPr="008773B1">
        <w:rPr>
          <w:rFonts w:ascii="Times New Roman" w:hAnsi="Times New Roman"/>
          <w:sz w:val="24"/>
          <w:szCs w:val="24"/>
        </w:rPr>
        <w:t>Zinc, Magnesium</w:t>
      </w:r>
      <w:r w:rsidR="00D527ED" w:rsidRPr="008773B1">
        <w:rPr>
          <w:rFonts w:ascii="Times New Roman" w:hAnsi="Times New Roman"/>
          <w:sz w:val="24"/>
          <w:szCs w:val="24"/>
        </w:rPr>
        <w:t>,</w:t>
      </w:r>
      <w:r w:rsidR="00C55865" w:rsidRPr="008773B1">
        <w:rPr>
          <w:rFonts w:ascii="Times New Roman" w:hAnsi="Times New Roman"/>
          <w:sz w:val="24"/>
          <w:szCs w:val="24"/>
        </w:rPr>
        <w:t xml:space="preserve"> and Vitamin A levels in Male and Female subjects with Hyperthyroidism </w:t>
      </w:r>
    </w:p>
    <w:p w14:paraId="59034343"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6D383B2D" w14:textId="77777777" w:rsidR="00C55865" w:rsidRPr="008773B1" w:rsidRDefault="008F0BDC" w:rsidP="00C55865">
      <w:pPr>
        <w:spacing w:after="0" w:line="240" w:lineRule="auto"/>
        <w:jc w:val="both"/>
        <w:rPr>
          <w:rFonts w:ascii="Times New Roman" w:hAnsi="Times New Roman"/>
          <w:sz w:val="24"/>
          <w:szCs w:val="24"/>
        </w:rPr>
      </w:pPr>
      <w:r>
        <w:rPr>
          <w:rFonts w:ascii="Times New Roman" w:hAnsi="Times New Roman"/>
          <w:sz w:val="24"/>
          <w:szCs w:val="24"/>
        </w:rPr>
        <w:t xml:space="preserve">  </w:t>
      </w:r>
      <w:r w:rsidR="00C55865" w:rsidRPr="008773B1">
        <w:rPr>
          <w:rFonts w:ascii="Times New Roman" w:hAnsi="Times New Roman"/>
          <w:sz w:val="24"/>
          <w:szCs w:val="24"/>
        </w:rPr>
        <w:t xml:space="preserve">Values with different </w:t>
      </w:r>
      <w:r w:rsidR="00D527ED" w:rsidRPr="008773B1">
        <w:rPr>
          <w:rFonts w:ascii="Times New Roman" w:hAnsi="Times New Roman"/>
          <w:sz w:val="24"/>
          <w:szCs w:val="24"/>
        </w:rPr>
        <w:t>superscripts</w:t>
      </w:r>
      <w:r w:rsidR="00C55865" w:rsidRPr="008773B1">
        <w:rPr>
          <w:rFonts w:ascii="Times New Roman" w:hAnsi="Times New Roman"/>
          <w:sz w:val="24"/>
          <w:szCs w:val="24"/>
        </w:rPr>
        <w:t xml:space="preserve"> </w:t>
      </w:r>
      <w:r w:rsidR="00C55865" w:rsidRPr="008773B1">
        <w:rPr>
          <w:rFonts w:ascii="Times New Roman" w:hAnsi="Times New Roman"/>
          <w:sz w:val="24"/>
          <w:szCs w:val="24"/>
          <w:vertAlign w:val="superscript"/>
        </w:rPr>
        <w:t xml:space="preserve">a, b, </w:t>
      </w:r>
      <w:r w:rsidR="00D527ED" w:rsidRPr="008773B1">
        <w:rPr>
          <w:rFonts w:ascii="Times New Roman" w:hAnsi="Times New Roman"/>
          <w:sz w:val="24"/>
          <w:szCs w:val="24"/>
          <w:vertAlign w:val="superscript"/>
        </w:rPr>
        <w:t xml:space="preserve">and </w:t>
      </w:r>
      <w:r w:rsidR="00C55865" w:rsidRPr="008773B1">
        <w:rPr>
          <w:rFonts w:ascii="Times New Roman" w:hAnsi="Times New Roman"/>
          <w:sz w:val="24"/>
          <w:szCs w:val="24"/>
          <w:vertAlign w:val="superscript"/>
        </w:rPr>
        <w:t xml:space="preserve">c </w:t>
      </w:r>
      <w:r w:rsidR="00C55865" w:rsidRPr="008773B1">
        <w:rPr>
          <w:rFonts w:ascii="Times New Roman" w:hAnsi="Times New Roman"/>
          <w:sz w:val="24"/>
          <w:szCs w:val="24"/>
        </w:rPr>
        <w:t xml:space="preserve">are statistically significant at p&lt;0.05. </w:t>
      </w:r>
    </w:p>
    <w:tbl>
      <w:tblPr>
        <w:tblW w:w="9708" w:type="dxa"/>
        <w:tblInd w:w="18" w:type="dxa"/>
        <w:tblLook w:val="04A0" w:firstRow="1" w:lastRow="0" w:firstColumn="1" w:lastColumn="0" w:noHBand="0" w:noVBand="1"/>
      </w:tblPr>
      <w:tblGrid>
        <w:gridCol w:w="9708"/>
      </w:tblGrid>
      <w:tr w:rsidR="00C55865" w:rsidRPr="008773B1" w14:paraId="5572133D" w14:textId="77777777" w:rsidTr="00862223">
        <w:trPr>
          <w:trHeight w:val="300"/>
        </w:trPr>
        <w:tc>
          <w:tcPr>
            <w:tcW w:w="9708" w:type="dxa"/>
            <w:tcBorders>
              <w:top w:val="nil"/>
              <w:left w:val="nil"/>
              <w:bottom w:val="nil"/>
              <w:right w:val="nil"/>
            </w:tcBorders>
            <w:noWrap/>
            <w:vAlign w:val="center"/>
          </w:tcPr>
          <w:p w14:paraId="21432563"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Normal Thyroid function test (TFT): TSH of 0.4-4.0, Total T3 of 0.9 – 2.8 nmol/L, Total T4 of 57-149 nmol/L. </w:t>
            </w:r>
          </w:p>
          <w:p w14:paraId="27FDFA25"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Hyperthyroidism: TSH &lt;1.8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elevated T3 &gt; 2.8 nmol/L and/or T4 &gt; 150 nmol/L.</w:t>
            </w:r>
          </w:p>
        </w:tc>
      </w:tr>
    </w:tbl>
    <w:p w14:paraId="1458F509" w14:textId="77777777" w:rsidR="00C55865" w:rsidRPr="008773B1" w:rsidRDefault="00C55865" w:rsidP="00C55865">
      <w:pPr>
        <w:rPr>
          <w:rFonts w:ascii="Times New Roman" w:hAnsi="Times New Roman"/>
          <w:sz w:val="24"/>
          <w:szCs w:val="24"/>
        </w:rPr>
      </w:pPr>
    </w:p>
    <w:p w14:paraId="33BD26FF" w14:textId="77777777" w:rsidR="009C5131" w:rsidRPr="008773B1" w:rsidRDefault="009C5131" w:rsidP="009C5131">
      <w:pPr>
        <w:rPr>
          <w:rFonts w:ascii="Times New Roman" w:hAnsi="Times New Roman"/>
          <w:sz w:val="24"/>
          <w:szCs w:val="24"/>
        </w:rPr>
      </w:pPr>
    </w:p>
    <w:p w14:paraId="7A8DDE79" w14:textId="77777777" w:rsidR="00C55865" w:rsidRPr="008773B1" w:rsidRDefault="00FD1F1B" w:rsidP="009C5131">
      <w:pPr>
        <w:jc w:val="both"/>
        <w:rPr>
          <w:rFonts w:ascii="Times New Roman" w:hAnsi="Times New Roman"/>
          <w:b/>
          <w:sz w:val="24"/>
          <w:szCs w:val="24"/>
        </w:rPr>
      </w:pPr>
      <w:r w:rsidRPr="008773B1">
        <w:rPr>
          <w:rFonts w:ascii="Times New Roman" w:hAnsi="Times New Roman"/>
          <w:sz w:val="24"/>
          <w:szCs w:val="24"/>
        </w:rPr>
        <w:t>Serum</w:t>
      </w:r>
      <w:r w:rsidR="00C55865" w:rsidRPr="008773B1">
        <w:rPr>
          <w:rFonts w:ascii="Times New Roman" w:hAnsi="Times New Roman"/>
          <w:sz w:val="24"/>
          <w:szCs w:val="24"/>
        </w:rPr>
        <w:t xml:space="preserve"> Zinc </w:t>
      </w:r>
      <w:r w:rsidRPr="008773B1">
        <w:rPr>
          <w:rFonts w:ascii="Times New Roman" w:hAnsi="Times New Roman"/>
          <w:sz w:val="24"/>
          <w:szCs w:val="24"/>
        </w:rPr>
        <w:t xml:space="preserve">levels in </w:t>
      </w:r>
      <w:r w:rsidR="00C55865" w:rsidRPr="008773B1">
        <w:rPr>
          <w:rFonts w:ascii="Times New Roman" w:hAnsi="Times New Roman"/>
          <w:sz w:val="24"/>
          <w:szCs w:val="24"/>
        </w:rPr>
        <w:t>male</w:t>
      </w:r>
      <w:r w:rsidRPr="008773B1">
        <w:rPr>
          <w:rFonts w:ascii="Times New Roman" w:hAnsi="Times New Roman"/>
          <w:sz w:val="24"/>
          <w:szCs w:val="24"/>
        </w:rPr>
        <w:t xml:space="preserve"> Test</w:t>
      </w:r>
      <w:r w:rsidR="00C55865" w:rsidRPr="008773B1">
        <w:rPr>
          <w:rFonts w:ascii="Times New Roman" w:hAnsi="Times New Roman"/>
          <w:sz w:val="24"/>
          <w:szCs w:val="24"/>
        </w:rPr>
        <w:t xml:space="preserve"> subjects with hypothyroidism (1.0±0.4)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Pr="008773B1">
        <w:rPr>
          <w:rFonts w:ascii="Times New Roman" w:hAnsi="Times New Roman"/>
          <w:sz w:val="24"/>
          <w:szCs w:val="24"/>
        </w:rPr>
        <w:t>reduced</w:t>
      </w:r>
      <w:r w:rsidR="00C55865" w:rsidRPr="008773B1">
        <w:rPr>
          <w:rFonts w:ascii="Times New Roman" w:hAnsi="Times New Roman"/>
          <w:sz w:val="24"/>
          <w:szCs w:val="24"/>
        </w:rPr>
        <w:t xml:space="preserve"> </w:t>
      </w:r>
      <w:r w:rsidRPr="008773B1">
        <w:rPr>
          <w:rFonts w:ascii="Times New Roman" w:hAnsi="Times New Roman"/>
          <w:sz w:val="24"/>
          <w:szCs w:val="24"/>
        </w:rPr>
        <w:t>in comparison with</w:t>
      </w:r>
      <w:r w:rsidR="00C55865" w:rsidRPr="008773B1">
        <w:rPr>
          <w:rFonts w:ascii="Times New Roman" w:hAnsi="Times New Roman"/>
          <w:sz w:val="24"/>
          <w:szCs w:val="24"/>
        </w:rPr>
        <w:t xml:space="preserve"> male </w:t>
      </w:r>
      <w:r w:rsidRPr="008773B1">
        <w:rPr>
          <w:rFonts w:ascii="Times New Roman" w:hAnsi="Times New Roman"/>
          <w:sz w:val="24"/>
          <w:szCs w:val="24"/>
        </w:rPr>
        <w:t>control</w:t>
      </w:r>
      <w:r w:rsidR="00C55865" w:rsidRPr="008773B1">
        <w:rPr>
          <w:rFonts w:ascii="Times New Roman" w:hAnsi="Times New Roman"/>
          <w:sz w:val="24"/>
          <w:szCs w:val="24"/>
        </w:rPr>
        <w:t xml:space="preserve"> (2.4±0.6</w:t>
      </w:r>
      <w:r w:rsidRPr="008773B1">
        <w:rPr>
          <w:rFonts w:ascii="Times New Roman" w:hAnsi="Times New Roman"/>
          <w:sz w:val="24"/>
          <w:szCs w:val="24"/>
        </w:rPr>
        <w:t xml:space="preserve">; </w:t>
      </w:r>
      <w:r w:rsidR="00762E55" w:rsidRPr="008773B1">
        <w:rPr>
          <w:rFonts w:ascii="Times New Roman" w:hAnsi="Times New Roman"/>
          <w:sz w:val="24"/>
          <w:szCs w:val="24"/>
        </w:rPr>
        <w:t xml:space="preserve">p &lt; </w:t>
      </w:r>
      <w:r w:rsidR="00C55865" w:rsidRPr="008773B1">
        <w:rPr>
          <w:rFonts w:ascii="Times New Roman" w:hAnsi="Times New Roman"/>
          <w:sz w:val="24"/>
          <w:szCs w:val="24"/>
        </w:rPr>
        <w:t>0.00). Similarly</w:t>
      </w:r>
      <w:r w:rsidRPr="008773B1">
        <w:rPr>
          <w:rFonts w:ascii="Times New Roman" w:hAnsi="Times New Roman"/>
          <w:sz w:val="24"/>
          <w:szCs w:val="24"/>
        </w:rPr>
        <w:t>, serum Z</w:t>
      </w:r>
      <w:r w:rsidR="00C55865" w:rsidRPr="008773B1">
        <w:rPr>
          <w:rFonts w:ascii="Times New Roman" w:hAnsi="Times New Roman"/>
          <w:sz w:val="24"/>
          <w:szCs w:val="24"/>
        </w:rPr>
        <w:t xml:space="preserve">inc levels in female </w:t>
      </w:r>
      <w:r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Pr="008773B1">
        <w:rPr>
          <w:rFonts w:ascii="Times New Roman" w:hAnsi="Times New Roman"/>
          <w:sz w:val="24"/>
          <w:szCs w:val="24"/>
        </w:rPr>
        <w:t xml:space="preserve">(0.8±0.3) </w:t>
      </w:r>
      <w:r w:rsidR="00D527ED" w:rsidRPr="008773B1">
        <w:rPr>
          <w:rFonts w:ascii="Times New Roman" w:hAnsi="Times New Roman"/>
          <w:sz w:val="24"/>
          <w:szCs w:val="24"/>
        </w:rPr>
        <w:t>were</w:t>
      </w:r>
      <w:r w:rsidRPr="008773B1">
        <w:rPr>
          <w:rFonts w:ascii="Times New Roman" w:hAnsi="Times New Roman"/>
          <w:sz w:val="24"/>
          <w:szCs w:val="24"/>
        </w:rPr>
        <w:t xml:space="preserve"> significantly decreased when</w:t>
      </w:r>
      <w:r w:rsidR="00C55865" w:rsidRPr="008773B1">
        <w:rPr>
          <w:rFonts w:ascii="Times New Roman" w:hAnsi="Times New Roman"/>
          <w:sz w:val="24"/>
          <w:szCs w:val="24"/>
        </w:rPr>
        <w:t xml:space="preserve"> compared with </w:t>
      </w:r>
      <w:r w:rsidRPr="008773B1">
        <w:rPr>
          <w:rFonts w:ascii="Times New Roman" w:hAnsi="Times New Roman"/>
          <w:sz w:val="24"/>
          <w:szCs w:val="24"/>
        </w:rPr>
        <w:t xml:space="preserve">female control (2.1±0.9; </w:t>
      </w:r>
      <w:r w:rsidR="00762E55" w:rsidRPr="008773B1">
        <w:rPr>
          <w:rFonts w:ascii="Times New Roman" w:hAnsi="Times New Roman"/>
          <w:sz w:val="24"/>
          <w:szCs w:val="24"/>
        </w:rPr>
        <w:t xml:space="preserve">p &lt; </w:t>
      </w:r>
      <w:r w:rsidR="00C55865" w:rsidRPr="008773B1">
        <w:rPr>
          <w:rFonts w:ascii="Times New Roman" w:hAnsi="Times New Roman"/>
          <w:sz w:val="24"/>
          <w:szCs w:val="24"/>
        </w:rPr>
        <w:t>0.00</w:t>
      </w:r>
      <w:r w:rsidR="00762E55" w:rsidRPr="008773B1">
        <w:rPr>
          <w:rFonts w:ascii="Times New Roman" w:hAnsi="Times New Roman"/>
          <w:sz w:val="24"/>
          <w:szCs w:val="24"/>
        </w:rPr>
        <w:t>1</w:t>
      </w:r>
      <w:r w:rsidR="00C55865" w:rsidRPr="008773B1">
        <w:rPr>
          <w:rFonts w:ascii="Times New Roman" w:hAnsi="Times New Roman"/>
          <w:sz w:val="24"/>
          <w:szCs w:val="24"/>
        </w:rPr>
        <w:t xml:space="preserve">). </w:t>
      </w:r>
      <w:r w:rsidR="00762E55" w:rsidRPr="008773B1">
        <w:rPr>
          <w:rFonts w:ascii="Times New Roman" w:hAnsi="Times New Roman"/>
          <w:sz w:val="24"/>
          <w:szCs w:val="24"/>
        </w:rPr>
        <w:t xml:space="preserve">Serum </w:t>
      </w:r>
      <w:r w:rsidR="00C55865" w:rsidRPr="008773B1">
        <w:rPr>
          <w:rFonts w:ascii="Times New Roman" w:hAnsi="Times New Roman"/>
          <w:sz w:val="24"/>
          <w:szCs w:val="24"/>
        </w:rPr>
        <w:t xml:space="preserve">Magnesium levels </w:t>
      </w:r>
      <w:r w:rsidR="00762E55" w:rsidRPr="008773B1">
        <w:rPr>
          <w:rFonts w:ascii="Times New Roman" w:hAnsi="Times New Roman"/>
          <w:sz w:val="24"/>
          <w:szCs w:val="24"/>
        </w:rPr>
        <w:t xml:space="preserve">in </w:t>
      </w:r>
      <w:r w:rsidR="00C55865" w:rsidRPr="008773B1">
        <w:rPr>
          <w:rFonts w:ascii="Times New Roman" w:hAnsi="Times New Roman"/>
          <w:sz w:val="24"/>
          <w:szCs w:val="24"/>
        </w:rPr>
        <w:t xml:space="preserve">male </w:t>
      </w:r>
      <w:r w:rsidR="00762E55"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(1.5±0.2)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762E55" w:rsidRPr="008773B1">
        <w:rPr>
          <w:rFonts w:ascii="Times New Roman" w:hAnsi="Times New Roman"/>
          <w:sz w:val="24"/>
          <w:szCs w:val="24"/>
        </w:rPr>
        <w:t>reduced</w:t>
      </w:r>
      <w:r w:rsidR="00C55865" w:rsidRPr="008773B1">
        <w:rPr>
          <w:rFonts w:ascii="Times New Roman" w:hAnsi="Times New Roman"/>
          <w:sz w:val="24"/>
          <w:szCs w:val="24"/>
        </w:rPr>
        <w:t xml:space="preserve"> </w:t>
      </w:r>
      <w:r w:rsidR="00762E55" w:rsidRPr="008773B1">
        <w:rPr>
          <w:rFonts w:ascii="Times New Roman" w:hAnsi="Times New Roman"/>
          <w:sz w:val="24"/>
          <w:szCs w:val="24"/>
        </w:rPr>
        <w:t>when compared with male control</w:t>
      </w:r>
      <w:r w:rsidR="00C55865" w:rsidRPr="008773B1">
        <w:rPr>
          <w:rFonts w:ascii="Times New Roman" w:hAnsi="Times New Roman"/>
          <w:sz w:val="24"/>
          <w:szCs w:val="24"/>
        </w:rPr>
        <w:t xml:space="preserve"> (2.0±0.3</w:t>
      </w:r>
      <w:r w:rsidR="00762E55" w:rsidRPr="008773B1">
        <w:rPr>
          <w:rFonts w:ascii="Times New Roman" w:hAnsi="Times New Roman"/>
          <w:sz w:val="24"/>
          <w:szCs w:val="24"/>
        </w:rPr>
        <w:t xml:space="preserve">; p &lt; </w:t>
      </w:r>
      <w:r w:rsidR="00C55865" w:rsidRPr="008773B1">
        <w:rPr>
          <w:rFonts w:ascii="Times New Roman" w:hAnsi="Times New Roman"/>
          <w:sz w:val="24"/>
          <w:szCs w:val="24"/>
        </w:rPr>
        <w:t>0.00</w:t>
      </w:r>
      <w:r w:rsidR="00762E55" w:rsidRPr="008773B1">
        <w:rPr>
          <w:rFonts w:ascii="Times New Roman" w:hAnsi="Times New Roman"/>
          <w:sz w:val="24"/>
          <w:szCs w:val="24"/>
        </w:rPr>
        <w:t>1</w:t>
      </w:r>
      <w:r w:rsidR="00C55865" w:rsidRPr="008773B1">
        <w:rPr>
          <w:rFonts w:ascii="Times New Roman" w:hAnsi="Times New Roman"/>
          <w:sz w:val="24"/>
          <w:szCs w:val="24"/>
        </w:rPr>
        <w:t>)</w:t>
      </w:r>
      <w:r w:rsidR="000F6A69" w:rsidRPr="008773B1">
        <w:rPr>
          <w:rFonts w:ascii="Times New Roman" w:hAnsi="Times New Roman"/>
          <w:sz w:val="24"/>
          <w:szCs w:val="24"/>
        </w:rPr>
        <w:t>. Similarly, serum M</w:t>
      </w:r>
      <w:r w:rsidR="00C55865" w:rsidRPr="008773B1">
        <w:rPr>
          <w:rFonts w:ascii="Times New Roman" w:hAnsi="Times New Roman"/>
          <w:sz w:val="24"/>
          <w:szCs w:val="24"/>
        </w:rPr>
        <w:t xml:space="preserve">agnesium levels in female </w:t>
      </w:r>
      <w:r w:rsidR="000F6A69"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00762E55" w:rsidRPr="008773B1">
        <w:rPr>
          <w:rFonts w:ascii="Times New Roman" w:hAnsi="Times New Roman"/>
          <w:sz w:val="24"/>
          <w:szCs w:val="24"/>
        </w:rPr>
        <w:t xml:space="preserve">(1.2±0.2) </w:t>
      </w:r>
      <w:r w:rsidR="00D527ED" w:rsidRPr="008773B1">
        <w:rPr>
          <w:rFonts w:ascii="Times New Roman" w:hAnsi="Times New Roman"/>
          <w:sz w:val="24"/>
          <w:szCs w:val="24"/>
        </w:rPr>
        <w:t>were</w:t>
      </w:r>
      <w:r w:rsidR="00762E55" w:rsidRPr="008773B1">
        <w:rPr>
          <w:rFonts w:ascii="Times New Roman" w:hAnsi="Times New Roman"/>
          <w:sz w:val="24"/>
          <w:szCs w:val="24"/>
        </w:rPr>
        <w:t xml:space="preserve"> significantly reduced</w:t>
      </w:r>
      <w:r w:rsidR="00C55865" w:rsidRPr="008773B1">
        <w:rPr>
          <w:rFonts w:ascii="Times New Roman" w:hAnsi="Times New Roman"/>
          <w:sz w:val="24"/>
          <w:szCs w:val="24"/>
        </w:rPr>
        <w:t xml:space="preserve"> </w:t>
      </w:r>
      <w:r w:rsidR="000F6A69" w:rsidRPr="008773B1">
        <w:rPr>
          <w:rFonts w:ascii="Times New Roman" w:hAnsi="Times New Roman"/>
          <w:sz w:val="24"/>
          <w:szCs w:val="24"/>
        </w:rPr>
        <w:t xml:space="preserve">when </w:t>
      </w:r>
      <w:r w:rsidR="00C55865" w:rsidRPr="008773B1">
        <w:rPr>
          <w:rFonts w:ascii="Times New Roman" w:hAnsi="Times New Roman"/>
          <w:sz w:val="24"/>
          <w:szCs w:val="24"/>
        </w:rPr>
        <w:t xml:space="preserve">compared with </w:t>
      </w:r>
      <w:r w:rsidR="000F6A69" w:rsidRPr="008773B1">
        <w:rPr>
          <w:rFonts w:ascii="Times New Roman" w:hAnsi="Times New Roman"/>
          <w:sz w:val="24"/>
          <w:szCs w:val="24"/>
        </w:rPr>
        <w:t xml:space="preserve">female control (2.1±0.4; p &lt; </w:t>
      </w:r>
      <w:r w:rsidR="00C55865" w:rsidRPr="008773B1">
        <w:rPr>
          <w:rFonts w:ascii="Times New Roman" w:hAnsi="Times New Roman"/>
          <w:sz w:val="24"/>
          <w:szCs w:val="24"/>
        </w:rPr>
        <w:t>0.00</w:t>
      </w:r>
      <w:r w:rsidR="000F6A69" w:rsidRPr="008773B1">
        <w:rPr>
          <w:rFonts w:ascii="Times New Roman" w:hAnsi="Times New Roman"/>
          <w:sz w:val="24"/>
          <w:szCs w:val="24"/>
        </w:rPr>
        <w:t>1</w:t>
      </w:r>
      <w:r w:rsidR="00C55865" w:rsidRPr="008773B1">
        <w:rPr>
          <w:rFonts w:ascii="Times New Roman" w:hAnsi="Times New Roman"/>
          <w:sz w:val="24"/>
          <w:szCs w:val="24"/>
        </w:rPr>
        <w:t xml:space="preserve">). </w:t>
      </w:r>
      <w:r w:rsidR="000F6A69" w:rsidRPr="008773B1">
        <w:rPr>
          <w:rFonts w:ascii="Times New Roman" w:hAnsi="Times New Roman"/>
          <w:sz w:val="24"/>
          <w:szCs w:val="24"/>
        </w:rPr>
        <w:t xml:space="preserve">Serum Vitamin A </w:t>
      </w:r>
      <w:r w:rsidR="00C55865" w:rsidRPr="008773B1">
        <w:rPr>
          <w:rFonts w:ascii="Times New Roman" w:hAnsi="Times New Roman"/>
          <w:sz w:val="24"/>
          <w:szCs w:val="24"/>
        </w:rPr>
        <w:t xml:space="preserve">levels </w:t>
      </w:r>
      <w:r w:rsidR="000F6A69" w:rsidRPr="008773B1">
        <w:rPr>
          <w:rFonts w:ascii="Times New Roman" w:hAnsi="Times New Roman"/>
          <w:sz w:val="24"/>
          <w:szCs w:val="24"/>
        </w:rPr>
        <w:t>in</w:t>
      </w:r>
      <w:r w:rsidR="00C55865" w:rsidRPr="008773B1">
        <w:rPr>
          <w:rFonts w:ascii="Times New Roman" w:hAnsi="Times New Roman"/>
          <w:sz w:val="24"/>
          <w:szCs w:val="24"/>
        </w:rPr>
        <w:t xml:space="preserve"> male </w:t>
      </w:r>
      <w:r w:rsidR="00641E4F"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(147.2±44.9) </w:t>
      </w:r>
      <w:r w:rsidR="00D527ED" w:rsidRPr="008773B1">
        <w:rPr>
          <w:rFonts w:ascii="Times New Roman" w:hAnsi="Times New Roman"/>
          <w:sz w:val="24"/>
          <w:szCs w:val="24"/>
        </w:rPr>
        <w:t>were</w:t>
      </w:r>
      <w:r w:rsidR="00C55865" w:rsidRPr="008773B1">
        <w:rPr>
          <w:rFonts w:ascii="Times New Roman" w:hAnsi="Times New Roman"/>
          <w:sz w:val="24"/>
          <w:szCs w:val="24"/>
        </w:rPr>
        <w:t xml:space="preserve"> significantly </w:t>
      </w:r>
      <w:r w:rsidR="00641E4F" w:rsidRPr="008773B1">
        <w:rPr>
          <w:rFonts w:ascii="Times New Roman" w:hAnsi="Times New Roman"/>
          <w:sz w:val="24"/>
          <w:szCs w:val="24"/>
        </w:rPr>
        <w:t>reduced than in male control</w:t>
      </w:r>
      <w:r w:rsidR="00C55865" w:rsidRPr="008773B1">
        <w:rPr>
          <w:rFonts w:ascii="Times New Roman" w:hAnsi="Times New Roman"/>
          <w:sz w:val="24"/>
          <w:szCs w:val="24"/>
        </w:rPr>
        <w:t xml:space="preserve"> (342.0±62.5</w:t>
      </w:r>
      <w:r w:rsidR="00641E4F" w:rsidRPr="008773B1">
        <w:rPr>
          <w:rFonts w:ascii="Times New Roman" w:hAnsi="Times New Roman"/>
          <w:sz w:val="24"/>
          <w:szCs w:val="24"/>
        </w:rPr>
        <w:t>; p&lt;</w:t>
      </w:r>
      <w:r w:rsidR="00C55865" w:rsidRPr="008773B1">
        <w:rPr>
          <w:rFonts w:ascii="Times New Roman" w:hAnsi="Times New Roman"/>
          <w:sz w:val="24"/>
          <w:szCs w:val="24"/>
        </w:rPr>
        <w:t>0.00</w:t>
      </w:r>
      <w:r w:rsidR="00641E4F" w:rsidRPr="008773B1">
        <w:rPr>
          <w:rFonts w:ascii="Times New Roman" w:hAnsi="Times New Roman"/>
          <w:sz w:val="24"/>
          <w:szCs w:val="24"/>
        </w:rPr>
        <w:t>1</w:t>
      </w:r>
      <w:r w:rsidR="00C55865" w:rsidRPr="008773B1">
        <w:rPr>
          <w:rFonts w:ascii="Times New Roman" w:hAnsi="Times New Roman"/>
          <w:sz w:val="24"/>
          <w:szCs w:val="24"/>
        </w:rPr>
        <w:t>)</w:t>
      </w:r>
      <w:r w:rsidR="00641E4F" w:rsidRPr="008773B1">
        <w:rPr>
          <w:rFonts w:ascii="Times New Roman" w:hAnsi="Times New Roman"/>
          <w:sz w:val="24"/>
          <w:szCs w:val="24"/>
        </w:rPr>
        <w:t>, while the V</w:t>
      </w:r>
      <w:r w:rsidR="00C55865" w:rsidRPr="008773B1">
        <w:rPr>
          <w:rFonts w:ascii="Times New Roman" w:hAnsi="Times New Roman"/>
          <w:sz w:val="24"/>
          <w:szCs w:val="24"/>
        </w:rPr>
        <w:t xml:space="preserve">itamin A levels in female </w:t>
      </w:r>
      <w:r w:rsidR="00641E4F" w:rsidRPr="008773B1">
        <w:rPr>
          <w:rFonts w:ascii="Times New Roman" w:hAnsi="Times New Roman"/>
          <w:sz w:val="24"/>
          <w:szCs w:val="24"/>
        </w:rPr>
        <w:t xml:space="preserve">Test </w:t>
      </w:r>
      <w:r w:rsidR="00C55865" w:rsidRPr="008773B1">
        <w:rPr>
          <w:rFonts w:ascii="Times New Roman" w:hAnsi="Times New Roman"/>
          <w:sz w:val="24"/>
          <w:szCs w:val="24"/>
        </w:rPr>
        <w:t xml:space="preserve">subjects with hypothyroidism </w:t>
      </w:r>
      <w:r w:rsidR="00641E4F" w:rsidRPr="008773B1">
        <w:rPr>
          <w:rFonts w:ascii="Times New Roman" w:hAnsi="Times New Roman"/>
          <w:sz w:val="24"/>
          <w:szCs w:val="24"/>
        </w:rPr>
        <w:t xml:space="preserve">(160.1±47.5) </w:t>
      </w:r>
      <w:r w:rsidR="00C55865" w:rsidRPr="008773B1">
        <w:rPr>
          <w:rFonts w:ascii="Times New Roman" w:hAnsi="Times New Roman"/>
          <w:sz w:val="24"/>
          <w:szCs w:val="24"/>
        </w:rPr>
        <w:t xml:space="preserve">was significantly </w:t>
      </w:r>
      <w:r w:rsidR="00641E4F" w:rsidRPr="008773B1">
        <w:rPr>
          <w:rFonts w:ascii="Times New Roman" w:hAnsi="Times New Roman"/>
          <w:sz w:val="24"/>
          <w:szCs w:val="24"/>
        </w:rPr>
        <w:t>decreased than in female control (344.5±54.7; p &lt;</w:t>
      </w:r>
      <w:r w:rsidR="00C55865" w:rsidRPr="008773B1">
        <w:rPr>
          <w:rFonts w:ascii="Times New Roman" w:hAnsi="Times New Roman"/>
          <w:sz w:val="24"/>
          <w:szCs w:val="24"/>
        </w:rPr>
        <w:t>0.00</w:t>
      </w:r>
      <w:r w:rsidR="00641E4F" w:rsidRPr="008773B1">
        <w:rPr>
          <w:rFonts w:ascii="Times New Roman" w:hAnsi="Times New Roman"/>
          <w:sz w:val="24"/>
          <w:szCs w:val="24"/>
        </w:rPr>
        <w:t>1</w:t>
      </w:r>
      <w:r w:rsidR="00C55865" w:rsidRPr="008773B1">
        <w:rPr>
          <w:rFonts w:ascii="Times New Roman" w:hAnsi="Times New Roman"/>
          <w:sz w:val="24"/>
          <w:szCs w:val="24"/>
        </w:rPr>
        <w:t xml:space="preserve">) </w:t>
      </w:r>
      <w:r w:rsidR="002E6DD3" w:rsidRPr="008773B1">
        <w:rPr>
          <w:rFonts w:ascii="Times New Roman" w:hAnsi="Times New Roman"/>
          <w:sz w:val="24"/>
          <w:szCs w:val="24"/>
        </w:rPr>
        <w:t>(Table 3).</w:t>
      </w:r>
    </w:p>
    <w:p w14:paraId="2F9CBFFE" w14:textId="77777777" w:rsidR="00C55865" w:rsidRPr="008773B1" w:rsidRDefault="00C55865" w:rsidP="00C55865">
      <w:pPr>
        <w:rPr>
          <w:rFonts w:ascii="Times New Roman" w:hAnsi="Times New Roman"/>
          <w:sz w:val="24"/>
          <w:szCs w:val="24"/>
        </w:rPr>
      </w:pPr>
      <w:r w:rsidRPr="008773B1">
        <w:rPr>
          <w:rFonts w:ascii="Times New Roman" w:hAnsi="Times New Roman"/>
          <w:sz w:val="24"/>
          <w:szCs w:val="24"/>
        </w:rPr>
        <w:br w:type="page"/>
      </w:r>
    </w:p>
    <w:p w14:paraId="2B7E4CD0" w14:textId="77777777" w:rsidR="00C55865" w:rsidRPr="008773B1" w:rsidRDefault="002E6DD3" w:rsidP="00C55865">
      <w:pPr>
        <w:spacing w:line="240" w:lineRule="auto"/>
        <w:jc w:val="both"/>
        <w:rPr>
          <w:rFonts w:ascii="Times New Roman" w:hAnsi="Times New Roman"/>
          <w:sz w:val="24"/>
          <w:szCs w:val="24"/>
        </w:rPr>
      </w:pPr>
      <w:r w:rsidRPr="008773B1">
        <w:rPr>
          <w:rFonts w:ascii="Times New Roman" w:hAnsi="Times New Roman"/>
          <w:b/>
          <w:sz w:val="24"/>
          <w:szCs w:val="24"/>
        </w:rPr>
        <w:lastRenderedPageBreak/>
        <w:t xml:space="preserve">Table </w:t>
      </w:r>
      <w:r w:rsidR="00C55865" w:rsidRPr="008773B1">
        <w:rPr>
          <w:rFonts w:ascii="Times New Roman" w:hAnsi="Times New Roman"/>
          <w:b/>
          <w:sz w:val="24"/>
          <w:szCs w:val="24"/>
        </w:rPr>
        <w:t>3</w:t>
      </w:r>
      <w:r w:rsidR="00C55865" w:rsidRPr="008773B1">
        <w:rPr>
          <w:rFonts w:ascii="Times New Roman" w:hAnsi="Times New Roman"/>
          <w:sz w:val="24"/>
          <w:szCs w:val="24"/>
        </w:rPr>
        <w:t>: Zinc, Magnesium</w:t>
      </w:r>
      <w:r w:rsidR="00A23549" w:rsidRPr="008773B1">
        <w:rPr>
          <w:rFonts w:ascii="Times New Roman" w:hAnsi="Times New Roman"/>
          <w:sz w:val="24"/>
          <w:szCs w:val="24"/>
        </w:rPr>
        <w:t>,</w:t>
      </w:r>
      <w:r w:rsidR="00C55865" w:rsidRPr="008773B1">
        <w:rPr>
          <w:rFonts w:ascii="Times New Roman" w:hAnsi="Times New Roman"/>
          <w:sz w:val="24"/>
          <w:szCs w:val="24"/>
        </w:rPr>
        <w:t xml:space="preserve"> and Vitamin A levels in Male and Female subjects with Hypothyroidism in comparison with Male and Female subjects with normal Thyroid function</w:t>
      </w:r>
    </w:p>
    <w:tbl>
      <w:tblPr>
        <w:tblStyle w:val="TableGrid"/>
        <w:tblW w:w="11569" w:type="dxa"/>
        <w:tblInd w:w="-1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1"/>
        <w:gridCol w:w="1853"/>
        <w:gridCol w:w="1876"/>
        <w:gridCol w:w="2085"/>
        <w:gridCol w:w="1888"/>
        <w:gridCol w:w="1030"/>
        <w:gridCol w:w="1146"/>
      </w:tblGrid>
      <w:tr w:rsidR="00C55865" w:rsidRPr="008773B1" w14:paraId="15725861" w14:textId="77777777" w:rsidTr="004B0621">
        <w:trPr>
          <w:trHeight w:val="845"/>
        </w:trPr>
        <w:tc>
          <w:tcPr>
            <w:tcW w:w="1691" w:type="dxa"/>
            <w:tcBorders>
              <w:top w:val="single" w:sz="4" w:space="0" w:color="auto"/>
              <w:bottom w:val="single" w:sz="4" w:space="0" w:color="auto"/>
            </w:tcBorders>
          </w:tcPr>
          <w:p w14:paraId="2755A3BA"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Parameters</w:t>
            </w:r>
          </w:p>
        </w:tc>
        <w:tc>
          <w:tcPr>
            <w:tcW w:w="1853" w:type="dxa"/>
            <w:tcBorders>
              <w:top w:val="single" w:sz="4" w:space="0" w:color="auto"/>
              <w:bottom w:val="single" w:sz="4" w:space="0" w:color="auto"/>
            </w:tcBorders>
          </w:tcPr>
          <w:p w14:paraId="1B76DA15"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Normal</w:t>
            </w:r>
          </w:p>
          <w:p w14:paraId="3999245B" w14:textId="77777777" w:rsidR="00301D8D"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Males</w:t>
            </w:r>
          </w:p>
          <w:p w14:paraId="431490E6"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1876" w:type="dxa"/>
            <w:tcBorders>
              <w:top w:val="single" w:sz="4" w:space="0" w:color="auto"/>
              <w:bottom w:val="single" w:sz="4" w:space="0" w:color="auto"/>
            </w:tcBorders>
          </w:tcPr>
          <w:p w14:paraId="0707993B"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 xml:space="preserve">Normal </w:t>
            </w:r>
          </w:p>
          <w:p w14:paraId="498E1F76" w14:textId="77777777" w:rsidR="00301D8D"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Females</w:t>
            </w:r>
          </w:p>
          <w:p w14:paraId="6C59C017"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2085" w:type="dxa"/>
            <w:tcBorders>
              <w:top w:val="single" w:sz="4" w:space="0" w:color="auto"/>
              <w:bottom w:val="single" w:sz="4" w:space="0" w:color="auto"/>
            </w:tcBorders>
          </w:tcPr>
          <w:p w14:paraId="4A2B2479" w14:textId="77777777" w:rsidR="008F0BDC" w:rsidRPr="004B062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Male Hypothyroidism</w:t>
            </w:r>
          </w:p>
          <w:p w14:paraId="74230202"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1888" w:type="dxa"/>
            <w:tcBorders>
              <w:top w:val="single" w:sz="4" w:space="0" w:color="auto"/>
              <w:bottom w:val="single" w:sz="4" w:space="0" w:color="auto"/>
            </w:tcBorders>
          </w:tcPr>
          <w:p w14:paraId="7E10EE93" w14:textId="77777777" w:rsidR="001B613A" w:rsidRPr="004B062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Female hypothyroidism</w:t>
            </w:r>
          </w:p>
          <w:p w14:paraId="6A9D7450" w14:textId="77777777" w:rsidR="00301D8D" w:rsidRPr="008773B1" w:rsidRDefault="00301D8D" w:rsidP="004B0621">
            <w:pPr>
              <w:spacing w:after="0" w:line="240" w:lineRule="auto"/>
              <w:rPr>
                <w:rFonts w:ascii="Times New Roman" w:hAnsi="Times New Roman"/>
                <w:b/>
                <w:sz w:val="24"/>
                <w:szCs w:val="24"/>
              </w:rPr>
            </w:pPr>
            <w:r w:rsidRPr="008773B1">
              <w:rPr>
                <w:rFonts w:ascii="Times New Roman" w:hAnsi="Times New Roman"/>
                <w:b/>
                <w:sz w:val="24"/>
                <w:szCs w:val="24"/>
              </w:rPr>
              <w:t>(n=50)</w:t>
            </w:r>
          </w:p>
        </w:tc>
        <w:tc>
          <w:tcPr>
            <w:tcW w:w="1030" w:type="dxa"/>
            <w:tcBorders>
              <w:top w:val="single" w:sz="4" w:space="0" w:color="auto"/>
              <w:bottom w:val="single" w:sz="4" w:space="0" w:color="auto"/>
            </w:tcBorders>
          </w:tcPr>
          <w:p w14:paraId="35840518"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f-value</w:t>
            </w:r>
          </w:p>
        </w:tc>
        <w:tc>
          <w:tcPr>
            <w:tcW w:w="1146" w:type="dxa"/>
            <w:tcBorders>
              <w:top w:val="single" w:sz="4" w:space="0" w:color="auto"/>
              <w:bottom w:val="single" w:sz="4" w:space="0" w:color="auto"/>
            </w:tcBorders>
          </w:tcPr>
          <w:p w14:paraId="24C43001" w14:textId="77777777" w:rsidR="00C55865" w:rsidRPr="008773B1" w:rsidRDefault="00C55865" w:rsidP="004B0621">
            <w:pPr>
              <w:spacing w:after="0" w:line="240" w:lineRule="auto"/>
              <w:rPr>
                <w:rFonts w:ascii="Times New Roman" w:hAnsi="Times New Roman"/>
                <w:b/>
                <w:sz w:val="24"/>
                <w:szCs w:val="24"/>
              </w:rPr>
            </w:pPr>
            <w:r w:rsidRPr="008773B1">
              <w:rPr>
                <w:rFonts w:ascii="Times New Roman" w:hAnsi="Times New Roman"/>
                <w:b/>
                <w:sz w:val="24"/>
                <w:szCs w:val="24"/>
              </w:rPr>
              <w:t>p-value</w:t>
            </w:r>
          </w:p>
        </w:tc>
      </w:tr>
      <w:tr w:rsidR="00C55865" w:rsidRPr="008773B1" w14:paraId="75F07B82" w14:textId="77777777" w:rsidTr="004B0621">
        <w:trPr>
          <w:trHeight w:val="496"/>
        </w:trPr>
        <w:tc>
          <w:tcPr>
            <w:tcW w:w="1691" w:type="dxa"/>
            <w:tcBorders>
              <w:top w:val="single" w:sz="4" w:space="0" w:color="auto"/>
            </w:tcBorders>
          </w:tcPr>
          <w:p w14:paraId="5EB535B0" w14:textId="77777777" w:rsidR="00C55865" w:rsidRPr="008773B1" w:rsidRDefault="00C55865" w:rsidP="00862223">
            <w:pPr>
              <w:rPr>
                <w:rFonts w:ascii="Times New Roman" w:hAnsi="Times New Roman"/>
                <w:b/>
                <w:sz w:val="24"/>
                <w:szCs w:val="24"/>
              </w:rPr>
            </w:pPr>
            <w:r w:rsidRPr="008773B1">
              <w:rPr>
                <w:rFonts w:ascii="Times New Roman" w:hAnsi="Times New Roman"/>
                <w:b/>
                <w:sz w:val="24"/>
                <w:szCs w:val="24"/>
              </w:rPr>
              <w:t>Zn (mg/l)</w:t>
            </w:r>
          </w:p>
        </w:tc>
        <w:tc>
          <w:tcPr>
            <w:tcW w:w="1853" w:type="dxa"/>
            <w:tcBorders>
              <w:top w:val="single" w:sz="4" w:space="0" w:color="auto"/>
            </w:tcBorders>
          </w:tcPr>
          <w:p w14:paraId="68D9807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2.4 ± 0.6</w:t>
            </w:r>
            <w:r w:rsidRPr="008773B1">
              <w:rPr>
                <w:rFonts w:ascii="Times New Roman" w:hAnsi="Times New Roman"/>
                <w:sz w:val="24"/>
                <w:szCs w:val="24"/>
                <w:vertAlign w:val="superscript"/>
              </w:rPr>
              <w:t>a</w:t>
            </w:r>
          </w:p>
        </w:tc>
        <w:tc>
          <w:tcPr>
            <w:tcW w:w="1876" w:type="dxa"/>
            <w:tcBorders>
              <w:top w:val="single" w:sz="4" w:space="0" w:color="auto"/>
            </w:tcBorders>
          </w:tcPr>
          <w:p w14:paraId="7B226C22"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2.1 ± 0.9</w:t>
            </w:r>
            <w:r w:rsidRPr="008773B1">
              <w:rPr>
                <w:rFonts w:ascii="Times New Roman" w:hAnsi="Times New Roman"/>
                <w:sz w:val="24"/>
                <w:szCs w:val="24"/>
                <w:vertAlign w:val="superscript"/>
              </w:rPr>
              <w:t>a</w:t>
            </w:r>
          </w:p>
        </w:tc>
        <w:tc>
          <w:tcPr>
            <w:tcW w:w="2085" w:type="dxa"/>
            <w:tcBorders>
              <w:top w:val="single" w:sz="4" w:space="0" w:color="auto"/>
            </w:tcBorders>
          </w:tcPr>
          <w:p w14:paraId="729B4DCF"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1.0 ± 0.4</w:t>
            </w:r>
            <w:r w:rsidRPr="008773B1">
              <w:rPr>
                <w:rFonts w:ascii="Times New Roman" w:hAnsi="Times New Roman"/>
                <w:sz w:val="24"/>
                <w:szCs w:val="24"/>
                <w:vertAlign w:val="superscript"/>
              </w:rPr>
              <w:t>b</w:t>
            </w:r>
          </w:p>
        </w:tc>
        <w:tc>
          <w:tcPr>
            <w:tcW w:w="1888" w:type="dxa"/>
            <w:tcBorders>
              <w:top w:val="single" w:sz="4" w:space="0" w:color="auto"/>
            </w:tcBorders>
          </w:tcPr>
          <w:p w14:paraId="4B04E8F9"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0.8 ± 0.3</w:t>
            </w:r>
            <w:r w:rsidRPr="008773B1">
              <w:rPr>
                <w:rFonts w:ascii="Times New Roman" w:hAnsi="Times New Roman"/>
                <w:sz w:val="24"/>
                <w:szCs w:val="24"/>
                <w:vertAlign w:val="superscript"/>
              </w:rPr>
              <w:t>b</w:t>
            </w:r>
          </w:p>
        </w:tc>
        <w:tc>
          <w:tcPr>
            <w:tcW w:w="1030" w:type="dxa"/>
            <w:tcBorders>
              <w:top w:val="single" w:sz="4" w:space="0" w:color="auto"/>
            </w:tcBorders>
          </w:tcPr>
          <w:p w14:paraId="166A6C2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12.27</w:t>
            </w:r>
          </w:p>
        </w:tc>
        <w:tc>
          <w:tcPr>
            <w:tcW w:w="1146" w:type="dxa"/>
            <w:tcBorders>
              <w:top w:val="single" w:sz="4" w:space="0" w:color="auto"/>
            </w:tcBorders>
          </w:tcPr>
          <w:p w14:paraId="0BC3E9E4"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0.00</w:t>
            </w:r>
            <w:r w:rsidR="00F1706C" w:rsidRPr="008773B1">
              <w:rPr>
                <w:rFonts w:ascii="Times New Roman" w:hAnsi="Times New Roman"/>
                <w:sz w:val="24"/>
                <w:szCs w:val="24"/>
              </w:rPr>
              <w:t>0</w:t>
            </w:r>
          </w:p>
        </w:tc>
      </w:tr>
      <w:tr w:rsidR="00C55865" w:rsidRPr="008773B1" w14:paraId="31A14DD1" w14:textId="77777777" w:rsidTr="004B0621">
        <w:trPr>
          <w:trHeight w:val="510"/>
        </w:trPr>
        <w:tc>
          <w:tcPr>
            <w:tcW w:w="1691" w:type="dxa"/>
          </w:tcPr>
          <w:p w14:paraId="25BF2676" w14:textId="77777777" w:rsidR="00C55865" w:rsidRPr="008773B1" w:rsidRDefault="00C55865" w:rsidP="00862223">
            <w:pPr>
              <w:rPr>
                <w:rFonts w:ascii="Times New Roman" w:hAnsi="Times New Roman"/>
                <w:b/>
                <w:sz w:val="24"/>
                <w:szCs w:val="24"/>
              </w:rPr>
            </w:pPr>
            <w:r w:rsidRPr="008773B1">
              <w:rPr>
                <w:rFonts w:ascii="Times New Roman" w:hAnsi="Times New Roman"/>
                <w:b/>
                <w:sz w:val="24"/>
                <w:szCs w:val="24"/>
              </w:rPr>
              <w:t>Mg (mg/dl)</w:t>
            </w:r>
          </w:p>
        </w:tc>
        <w:tc>
          <w:tcPr>
            <w:tcW w:w="1853" w:type="dxa"/>
          </w:tcPr>
          <w:p w14:paraId="313336A3"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2.0 ± 0.3</w:t>
            </w:r>
            <w:r w:rsidRPr="008773B1">
              <w:rPr>
                <w:rFonts w:ascii="Times New Roman" w:hAnsi="Times New Roman"/>
                <w:sz w:val="24"/>
                <w:szCs w:val="24"/>
                <w:vertAlign w:val="superscript"/>
              </w:rPr>
              <w:t>a</w:t>
            </w:r>
          </w:p>
        </w:tc>
        <w:tc>
          <w:tcPr>
            <w:tcW w:w="1876" w:type="dxa"/>
          </w:tcPr>
          <w:p w14:paraId="14C3E6C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2.1 ± 0.4</w:t>
            </w:r>
            <w:r w:rsidRPr="008773B1">
              <w:rPr>
                <w:rFonts w:ascii="Times New Roman" w:hAnsi="Times New Roman"/>
                <w:sz w:val="24"/>
                <w:szCs w:val="24"/>
                <w:vertAlign w:val="superscript"/>
              </w:rPr>
              <w:t>a</w:t>
            </w:r>
          </w:p>
        </w:tc>
        <w:tc>
          <w:tcPr>
            <w:tcW w:w="2085" w:type="dxa"/>
          </w:tcPr>
          <w:p w14:paraId="3A7938C9"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1.5 ± 0.2</w:t>
            </w:r>
            <w:r w:rsidRPr="008773B1">
              <w:rPr>
                <w:rFonts w:ascii="Times New Roman" w:hAnsi="Times New Roman"/>
                <w:sz w:val="24"/>
                <w:szCs w:val="24"/>
                <w:vertAlign w:val="superscript"/>
              </w:rPr>
              <w:t>b</w:t>
            </w:r>
          </w:p>
        </w:tc>
        <w:tc>
          <w:tcPr>
            <w:tcW w:w="1888" w:type="dxa"/>
          </w:tcPr>
          <w:p w14:paraId="57843E5A"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1.2 ± 0.2</w:t>
            </w:r>
            <w:r w:rsidRPr="008773B1">
              <w:rPr>
                <w:rFonts w:ascii="Times New Roman" w:hAnsi="Times New Roman"/>
                <w:sz w:val="24"/>
                <w:szCs w:val="24"/>
                <w:vertAlign w:val="superscript"/>
              </w:rPr>
              <w:t>b</w:t>
            </w:r>
          </w:p>
        </w:tc>
        <w:tc>
          <w:tcPr>
            <w:tcW w:w="1030" w:type="dxa"/>
          </w:tcPr>
          <w:p w14:paraId="0758D98A"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17.17</w:t>
            </w:r>
          </w:p>
        </w:tc>
        <w:tc>
          <w:tcPr>
            <w:tcW w:w="1146" w:type="dxa"/>
          </w:tcPr>
          <w:p w14:paraId="769E4A9D"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0.00</w:t>
            </w:r>
            <w:r w:rsidR="00F1706C" w:rsidRPr="008773B1">
              <w:rPr>
                <w:rFonts w:ascii="Times New Roman" w:hAnsi="Times New Roman"/>
                <w:sz w:val="24"/>
                <w:szCs w:val="24"/>
              </w:rPr>
              <w:t>0</w:t>
            </w:r>
          </w:p>
        </w:tc>
      </w:tr>
      <w:tr w:rsidR="00C55865" w:rsidRPr="008773B1" w14:paraId="44CD8EB5" w14:textId="77777777" w:rsidTr="004B0621">
        <w:trPr>
          <w:trHeight w:val="766"/>
        </w:trPr>
        <w:tc>
          <w:tcPr>
            <w:tcW w:w="1691" w:type="dxa"/>
          </w:tcPr>
          <w:p w14:paraId="14330A3E" w14:textId="77777777" w:rsidR="00C55865" w:rsidRPr="008773B1" w:rsidRDefault="00C55865" w:rsidP="00862223">
            <w:pPr>
              <w:rPr>
                <w:rFonts w:ascii="Times New Roman" w:hAnsi="Times New Roman"/>
                <w:b/>
                <w:sz w:val="24"/>
                <w:szCs w:val="24"/>
              </w:rPr>
            </w:pPr>
            <w:r w:rsidRPr="008773B1">
              <w:rPr>
                <w:rFonts w:ascii="Times New Roman" w:hAnsi="Times New Roman"/>
                <w:b/>
                <w:sz w:val="24"/>
                <w:szCs w:val="24"/>
              </w:rPr>
              <w:t>Vitamin A (ng/ml)</w:t>
            </w:r>
          </w:p>
        </w:tc>
        <w:tc>
          <w:tcPr>
            <w:tcW w:w="1853" w:type="dxa"/>
          </w:tcPr>
          <w:p w14:paraId="051CB2A9"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342.0 ± 62.5</w:t>
            </w:r>
            <w:r w:rsidRPr="008773B1">
              <w:rPr>
                <w:rFonts w:ascii="Times New Roman" w:hAnsi="Times New Roman"/>
                <w:sz w:val="24"/>
                <w:szCs w:val="24"/>
                <w:vertAlign w:val="superscript"/>
              </w:rPr>
              <w:t>a</w:t>
            </w:r>
          </w:p>
        </w:tc>
        <w:tc>
          <w:tcPr>
            <w:tcW w:w="1876" w:type="dxa"/>
          </w:tcPr>
          <w:p w14:paraId="38FEB178"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344.5 ± 54.7</w:t>
            </w:r>
            <w:r w:rsidRPr="008773B1">
              <w:rPr>
                <w:rFonts w:ascii="Times New Roman" w:hAnsi="Times New Roman"/>
                <w:sz w:val="24"/>
                <w:szCs w:val="24"/>
                <w:vertAlign w:val="superscript"/>
              </w:rPr>
              <w:t>a</w:t>
            </w:r>
          </w:p>
        </w:tc>
        <w:tc>
          <w:tcPr>
            <w:tcW w:w="2085" w:type="dxa"/>
          </w:tcPr>
          <w:p w14:paraId="1DEB2BA7"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147.2 ± 44. 9</w:t>
            </w:r>
            <w:r w:rsidRPr="008773B1">
              <w:rPr>
                <w:rFonts w:ascii="Times New Roman" w:hAnsi="Times New Roman"/>
                <w:sz w:val="24"/>
                <w:szCs w:val="24"/>
                <w:vertAlign w:val="superscript"/>
              </w:rPr>
              <w:t>b</w:t>
            </w:r>
          </w:p>
        </w:tc>
        <w:tc>
          <w:tcPr>
            <w:tcW w:w="1888" w:type="dxa"/>
          </w:tcPr>
          <w:p w14:paraId="61F65E16"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160.1 ± 47.5</w:t>
            </w:r>
            <w:r w:rsidRPr="008773B1">
              <w:rPr>
                <w:rFonts w:ascii="Times New Roman" w:hAnsi="Times New Roman"/>
                <w:sz w:val="24"/>
                <w:szCs w:val="24"/>
                <w:vertAlign w:val="superscript"/>
              </w:rPr>
              <w:t>b</w:t>
            </w:r>
          </w:p>
        </w:tc>
        <w:tc>
          <w:tcPr>
            <w:tcW w:w="1030" w:type="dxa"/>
          </w:tcPr>
          <w:p w14:paraId="43846994"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29.10</w:t>
            </w:r>
          </w:p>
        </w:tc>
        <w:tc>
          <w:tcPr>
            <w:tcW w:w="1146" w:type="dxa"/>
          </w:tcPr>
          <w:p w14:paraId="49D328B5" w14:textId="77777777" w:rsidR="00C55865" w:rsidRPr="008773B1" w:rsidRDefault="00C55865" w:rsidP="00862223">
            <w:pPr>
              <w:rPr>
                <w:rFonts w:ascii="Times New Roman" w:hAnsi="Times New Roman"/>
                <w:sz w:val="24"/>
                <w:szCs w:val="24"/>
              </w:rPr>
            </w:pPr>
            <w:r w:rsidRPr="008773B1">
              <w:rPr>
                <w:rFonts w:ascii="Times New Roman" w:hAnsi="Times New Roman"/>
                <w:sz w:val="24"/>
                <w:szCs w:val="24"/>
              </w:rPr>
              <w:t>0.00</w:t>
            </w:r>
            <w:r w:rsidR="00F1706C" w:rsidRPr="008773B1">
              <w:rPr>
                <w:rFonts w:ascii="Times New Roman" w:hAnsi="Times New Roman"/>
                <w:sz w:val="24"/>
                <w:szCs w:val="24"/>
              </w:rPr>
              <w:t>0</w:t>
            </w:r>
          </w:p>
        </w:tc>
      </w:tr>
    </w:tbl>
    <w:p w14:paraId="1CE87F43" w14:textId="77777777" w:rsidR="00C55865" w:rsidRPr="008773B1" w:rsidRDefault="00C55865" w:rsidP="00C55865">
      <w:pPr>
        <w:spacing w:after="0" w:line="240" w:lineRule="auto"/>
        <w:jc w:val="both"/>
        <w:rPr>
          <w:rFonts w:ascii="Times New Roman" w:hAnsi="Times New Roman"/>
          <w:sz w:val="24"/>
          <w:szCs w:val="24"/>
        </w:rPr>
      </w:pPr>
      <w:r w:rsidRPr="008773B1">
        <w:rPr>
          <w:rFonts w:ascii="Times New Roman" w:hAnsi="Times New Roman"/>
          <w:sz w:val="24"/>
          <w:szCs w:val="24"/>
        </w:rPr>
        <w:t>*: Values are statistically significant at p&lt; 0.05. Values are Mean ± Standard deviation.</w:t>
      </w:r>
    </w:p>
    <w:p w14:paraId="1E66E816" w14:textId="77777777" w:rsidR="00C55865" w:rsidRPr="008773B1" w:rsidRDefault="008F0BDC" w:rsidP="00C55865">
      <w:pPr>
        <w:spacing w:after="0" w:line="240" w:lineRule="auto"/>
        <w:jc w:val="both"/>
        <w:rPr>
          <w:rFonts w:ascii="Times New Roman" w:hAnsi="Times New Roman"/>
          <w:sz w:val="24"/>
          <w:szCs w:val="24"/>
        </w:rPr>
      </w:pPr>
      <w:r>
        <w:rPr>
          <w:rFonts w:ascii="Times New Roman" w:hAnsi="Times New Roman"/>
          <w:sz w:val="24"/>
          <w:szCs w:val="24"/>
        </w:rPr>
        <w:t xml:space="preserve">   </w:t>
      </w:r>
      <w:r w:rsidR="00C55865" w:rsidRPr="008773B1">
        <w:rPr>
          <w:rFonts w:ascii="Times New Roman" w:hAnsi="Times New Roman"/>
          <w:sz w:val="24"/>
          <w:szCs w:val="24"/>
        </w:rPr>
        <w:t xml:space="preserve">Values with different </w:t>
      </w:r>
      <w:r w:rsidR="00D527ED" w:rsidRPr="008773B1">
        <w:rPr>
          <w:rFonts w:ascii="Times New Roman" w:hAnsi="Times New Roman"/>
          <w:sz w:val="24"/>
          <w:szCs w:val="24"/>
        </w:rPr>
        <w:t>superscripts</w:t>
      </w:r>
      <w:r w:rsidR="00C55865" w:rsidRPr="008773B1">
        <w:rPr>
          <w:rFonts w:ascii="Times New Roman" w:hAnsi="Times New Roman"/>
          <w:sz w:val="24"/>
          <w:szCs w:val="24"/>
        </w:rPr>
        <w:t xml:space="preserve"> </w:t>
      </w:r>
      <w:r w:rsidR="00C55865" w:rsidRPr="008773B1">
        <w:rPr>
          <w:rFonts w:ascii="Times New Roman" w:hAnsi="Times New Roman"/>
          <w:sz w:val="24"/>
          <w:szCs w:val="24"/>
          <w:vertAlign w:val="superscript"/>
        </w:rPr>
        <w:t>a, b, c</w:t>
      </w:r>
      <w:r w:rsidR="00C55865" w:rsidRPr="008773B1">
        <w:rPr>
          <w:rFonts w:ascii="Times New Roman" w:hAnsi="Times New Roman"/>
          <w:sz w:val="24"/>
          <w:szCs w:val="24"/>
        </w:rPr>
        <w:t xml:space="preserve">are statistically significant at p&lt;0.05. </w:t>
      </w:r>
    </w:p>
    <w:tbl>
      <w:tblPr>
        <w:tblW w:w="9708" w:type="dxa"/>
        <w:tblInd w:w="18" w:type="dxa"/>
        <w:tblLook w:val="04A0" w:firstRow="1" w:lastRow="0" w:firstColumn="1" w:lastColumn="0" w:noHBand="0" w:noVBand="1"/>
      </w:tblPr>
      <w:tblGrid>
        <w:gridCol w:w="9708"/>
      </w:tblGrid>
      <w:tr w:rsidR="00C55865" w:rsidRPr="008773B1" w14:paraId="26004B81" w14:textId="77777777" w:rsidTr="00862223">
        <w:trPr>
          <w:trHeight w:val="300"/>
        </w:trPr>
        <w:tc>
          <w:tcPr>
            <w:tcW w:w="9708" w:type="dxa"/>
            <w:tcBorders>
              <w:top w:val="nil"/>
              <w:left w:val="nil"/>
              <w:bottom w:val="nil"/>
              <w:right w:val="nil"/>
            </w:tcBorders>
            <w:noWrap/>
            <w:vAlign w:val="center"/>
          </w:tcPr>
          <w:p w14:paraId="6CE2570D"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Normal Thyroid function test (TFT): TSH of 0.4-4.0, Total T3 of 0.9 – 2.8 nmol/L, Total T4 of 57-149 nmol/L. </w:t>
            </w:r>
          </w:p>
          <w:p w14:paraId="42327D5E" w14:textId="77777777" w:rsidR="00C55865" w:rsidRPr="008773B1" w:rsidRDefault="00C55865" w:rsidP="00862223">
            <w:pPr>
              <w:spacing w:after="0" w:line="240" w:lineRule="auto"/>
              <w:rPr>
                <w:rFonts w:ascii="Times New Roman" w:eastAsia="Times New Roman" w:hAnsi="Times New Roman"/>
                <w:color w:val="000000"/>
                <w:sz w:val="24"/>
                <w:szCs w:val="24"/>
                <w:lang w:eastAsia="en-GB"/>
              </w:rPr>
            </w:pPr>
            <w:r w:rsidRPr="008773B1">
              <w:rPr>
                <w:rFonts w:ascii="Times New Roman" w:eastAsia="Times New Roman" w:hAnsi="Times New Roman"/>
                <w:color w:val="000000"/>
                <w:sz w:val="24"/>
                <w:szCs w:val="24"/>
                <w:lang w:eastAsia="en-GB"/>
              </w:rPr>
              <w:t xml:space="preserve">Hypothyroidism: TSH &gt;10 </w:t>
            </w:r>
            <w:proofErr w:type="spellStart"/>
            <w:r w:rsidRPr="008773B1">
              <w:rPr>
                <w:rFonts w:ascii="Times New Roman" w:eastAsia="Times New Roman" w:hAnsi="Times New Roman"/>
                <w:color w:val="000000"/>
                <w:sz w:val="24"/>
                <w:szCs w:val="24"/>
                <w:lang w:eastAsia="en-GB"/>
              </w:rPr>
              <w:t>mIU</w:t>
            </w:r>
            <w:proofErr w:type="spellEnd"/>
            <w:r w:rsidRPr="008773B1">
              <w:rPr>
                <w:rFonts w:ascii="Times New Roman" w:eastAsia="Times New Roman" w:hAnsi="Times New Roman"/>
                <w:color w:val="000000"/>
                <w:sz w:val="24"/>
                <w:szCs w:val="24"/>
                <w:lang w:eastAsia="en-GB"/>
              </w:rPr>
              <w:t>/L with normal T3 and T4.</w:t>
            </w:r>
          </w:p>
        </w:tc>
      </w:tr>
    </w:tbl>
    <w:p w14:paraId="745D4ADC" w14:textId="77777777" w:rsidR="006C3F06" w:rsidRDefault="006C3F06" w:rsidP="00FF4007">
      <w:pPr>
        <w:autoSpaceDE w:val="0"/>
        <w:autoSpaceDN w:val="0"/>
        <w:adjustRightInd w:val="0"/>
        <w:spacing w:after="0" w:line="320" w:lineRule="atLeast"/>
        <w:ind w:left="60" w:right="60"/>
        <w:jc w:val="both"/>
        <w:rPr>
          <w:rFonts w:ascii="Times New Roman" w:hAnsi="Times New Roman"/>
          <w:sz w:val="24"/>
          <w:szCs w:val="24"/>
        </w:rPr>
      </w:pPr>
    </w:p>
    <w:p w14:paraId="3A0DC033" w14:textId="77777777" w:rsidR="00FF4007" w:rsidRPr="008773B1" w:rsidRDefault="00FF4007" w:rsidP="00FF4007">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color w:val="000000"/>
          <w:sz w:val="24"/>
          <w:szCs w:val="24"/>
        </w:rPr>
        <w:t xml:space="preserve">Scattered plot showing </w:t>
      </w:r>
      <w:r w:rsidR="00D527ED" w:rsidRPr="008773B1">
        <w:rPr>
          <w:rFonts w:ascii="Times New Roman" w:hAnsi="Times New Roman"/>
          <w:color w:val="000000"/>
          <w:sz w:val="24"/>
          <w:szCs w:val="24"/>
        </w:rPr>
        <w:t xml:space="preserve">a </w:t>
      </w:r>
      <w:r w:rsidRPr="008773B1">
        <w:rPr>
          <w:rFonts w:ascii="Times New Roman" w:hAnsi="Times New Roman"/>
          <w:color w:val="000000"/>
          <w:sz w:val="24"/>
          <w:szCs w:val="24"/>
        </w:rPr>
        <w:t xml:space="preserve">significant negative Pearson’s Correlation between Thyroid stimulating Hormone (TSH) and </w:t>
      </w:r>
      <w:r w:rsidR="00C2182D" w:rsidRPr="008773B1">
        <w:rPr>
          <w:rFonts w:ascii="Times New Roman" w:hAnsi="Times New Roman"/>
          <w:color w:val="000000"/>
          <w:sz w:val="24"/>
          <w:szCs w:val="24"/>
        </w:rPr>
        <w:t xml:space="preserve">Serum </w:t>
      </w:r>
      <w:r w:rsidRPr="008773B1">
        <w:rPr>
          <w:rFonts w:ascii="Times New Roman" w:hAnsi="Times New Roman"/>
          <w:color w:val="000000"/>
          <w:sz w:val="24"/>
          <w:szCs w:val="24"/>
        </w:rPr>
        <w:t xml:space="preserve">Vitamin A in the </w:t>
      </w:r>
      <w:r w:rsidR="00C2182D" w:rsidRPr="008773B1">
        <w:rPr>
          <w:rFonts w:ascii="Times New Roman" w:hAnsi="Times New Roman"/>
          <w:color w:val="000000"/>
          <w:sz w:val="24"/>
          <w:szCs w:val="24"/>
        </w:rPr>
        <w:t>Test subjects (Figure 4).</w:t>
      </w:r>
    </w:p>
    <w:p w14:paraId="3C933C1E" w14:textId="77777777" w:rsidR="00C55865" w:rsidRPr="008773B1" w:rsidRDefault="00C55865" w:rsidP="00FF4007">
      <w:pPr>
        <w:jc w:val="both"/>
        <w:rPr>
          <w:rFonts w:ascii="Times New Roman" w:hAnsi="Times New Roman"/>
          <w:b/>
          <w:sz w:val="24"/>
          <w:szCs w:val="24"/>
        </w:rPr>
      </w:pPr>
    </w:p>
    <w:p w14:paraId="777631B2"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noProof/>
          <w:sz w:val="24"/>
          <w:szCs w:val="24"/>
          <w:lang w:val="en-GB" w:eastAsia="en-GB"/>
        </w:rPr>
        <w:drawing>
          <wp:inline distT="0" distB="0" distL="0" distR="0" wp14:anchorId="61D8BD5C" wp14:editId="52E55733">
            <wp:extent cx="5743575" cy="3879273"/>
            <wp:effectExtent l="0" t="0" r="0" b="6985"/>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5"/>
      </w:tblGrid>
      <w:tr w:rsidR="00C55865" w:rsidRPr="008773B1" w14:paraId="47A84CE0" w14:textId="77777777" w:rsidTr="00862223">
        <w:trPr>
          <w:cantSplit/>
        </w:trPr>
        <w:tc>
          <w:tcPr>
            <w:tcW w:w="8765" w:type="dxa"/>
            <w:tcBorders>
              <w:top w:val="nil"/>
              <w:left w:val="nil"/>
              <w:bottom w:val="nil"/>
              <w:right w:val="nil"/>
            </w:tcBorders>
            <w:shd w:val="clear" w:color="auto" w:fill="FFFFFF"/>
          </w:tcPr>
          <w:p w14:paraId="0C5D81F6" w14:textId="77777777" w:rsidR="00C2182D" w:rsidRDefault="00FF4007" w:rsidP="006C3F06">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b/>
                <w:color w:val="000000"/>
                <w:sz w:val="24"/>
                <w:szCs w:val="24"/>
              </w:rPr>
              <w:lastRenderedPageBreak/>
              <w:t>Figure 4</w:t>
            </w:r>
            <w:r w:rsidR="00C55865" w:rsidRPr="008773B1">
              <w:rPr>
                <w:rFonts w:ascii="Times New Roman" w:hAnsi="Times New Roman"/>
                <w:b/>
                <w:color w:val="000000"/>
                <w:sz w:val="24"/>
                <w:szCs w:val="24"/>
              </w:rPr>
              <w:t>:</w:t>
            </w:r>
            <w:r w:rsidR="00C55865" w:rsidRPr="008773B1">
              <w:rPr>
                <w:rFonts w:ascii="Times New Roman" w:hAnsi="Times New Roman"/>
                <w:color w:val="000000"/>
                <w:sz w:val="24"/>
                <w:szCs w:val="24"/>
              </w:rPr>
              <w:t xml:space="preserve"> </w:t>
            </w:r>
            <w:r w:rsidR="00C2182D" w:rsidRPr="008773B1">
              <w:rPr>
                <w:rFonts w:ascii="Times New Roman" w:hAnsi="Times New Roman"/>
                <w:color w:val="000000"/>
                <w:sz w:val="24"/>
                <w:szCs w:val="24"/>
              </w:rPr>
              <w:t xml:space="preserve"> </w:t>
            </w:r>
            <w:r w:rsidR="008F0BDC">
              <w:rPr>
                <w:rFonts w:ascii="Times New Roman" w:hAnsi="Times New Roman"/>
                <w:color w:val="000000"/>
                <w:sz w:val="24"/>
                <w:szCs w:val="24"/>
              </w:rPr>
              <w:t>Correlation between thyroid stimulating h</w:t>
            </w:r>
            <w:r w:rsidR="00C55865" w:rsidRPr="008773B1">
              <w:rPr>
                <w:rFonts w:ascii="Times New Roman" w:hAnsi="Times New Roman"/>
                <w:color w:val="000000"/>
                <w:sz w:val="24"/>
                <w:szCs w:val="24"/>
              </w:rPr>
              <w:t xml:space="preserve">ormone (TSH) and </w:t>
            </w:r>
            <w:r w:rsidR="008F0BDC">
              <w:rPr>
                <w:rFonts w:ascii="Times New Roman" w:hAnsi="Times New Roman"/>
                <w:color w:val="000000"/>
                <w:sz w:val="24"/>
                <w:szCs w:val="24"/>
              </w:rPr>
              <w:t>serum v</w:t>
            </w:r>
            <w:r w:rsidR="00C2182D" w:rsidRPr="008773B1">
              <w:rPr>
                <w:rFonts w:ascii="Times New Roman" w:hAnsi="Times New Roman"/>
                <w:color w:val="000000"/>
                <w:sz w:val="24"/>
                <w:szCs w:val="24"/>
              </w:rPr>
              <w:t>itamin A in the Test subjects</w:t>
            </w:r>
            <w:r w:rsidR="00C55865" w:rsidRPr="008773B1">
              <w:rPr>
                <w:rFonts w:ascii="Times New Roman" w:hAnsi="Times New Roman"/>
                <w:color w:val="000000"/>
                <w:sz w:val="24"/>
                <w:szCs w:val="24"/>
              </w:rPr>
              <w:t xml:space="preserve">. </w:t>
            </w:r>
          </w:p>
          <w:p w14:paraId="7A4F7D6D" w14:textId="77777777" w:rsidR="00EF33C3" w:rsidRPr="006C3F06" w:rsidRDefault="00EF33C3" w:rsidP="006C3F06">
            <w:pPr>
              <w:autoSpaceDE w:val="0"/>
              <w:autoSpaceDN w:val="0"/>
              <w:adjustRightInd w:val="0"/>
              <w:spacing w:after="0" w:line="320" w:lineRule="atLeast"/>
              <w:ind w:left="60" w:right="60"/>
              <w:jc w:val="both"/>
              <w:rPr>
                <w:rFonts w:ascii="Times New Roman" w:hAnsi="Times New Roman"/>
                <w:color w:val="000000"/>
                <w:sz w:val="24"/>
                <w:szCs w:val="24"/>
              </w:rPr>
            </w:pPr>
          </w:p>
          <w:p w14:paraId="568BAE3D" w14:textId="77777777" w:rsidR="00C55865" w:rsidRPr="008773B1" w:rsidRDefault="00C55865" w:rsidP="00862223">
            <w:pPr>
              <w:autoSpaceDE w:val="0"/>
              <w:autoSpaceDN w:val="0"/>
              <w:adjustRightInd w:val="0"/>
              <w:spacing w:after="0" w:line="320" w:lineRule="atLeast"/>
              <w:ind w:left="60" w:right="60"/>
              <w:rPr>
                <w:rFonts w:ascii="Times New Roman" w:hAnsi="Times New Roman"/>
                <w:color w:val="000000"/>
                <w:sz w:val="24"/>
                <w:szCs w:val="24"/>
              </w:rPr>
            </w:pPr>
            <w:r w:rsidRPr="008773B1">
              <w:rPr>
                <w:rFonts w:ascii="Times New Roman" w:hAnsi="Times New Roman"/>
                <w:color w:val="000000"/>
                <w:sz w:val="24"/>
                <w:szCs w:val="24"/>
              </w:rPr>
              <w:t>**. Correlation is significant at the 0.01 level (2-tailed).</w:t>
            </w:r>
          </w:p>
        </w:tc>
      </w:tr>
      <w:tr w:rsidR="00C55865" w:rsidRPr="008773B1" w14:paraId="169AB494" w14:textId="77777777" w:rsidTr="00862223">
        <w:trPr>
          <w:cantSplit/>
        </w:trPr>
        <w:tc>
          <w:tcPr>
            <w:tcW w:w="8765" w:type="dxa"/>
            <w:tcBorders>
              <w:top w:val="nil"/>
              <w:left w:val="nil"/>
              <w:bottom w:val="nil"/>
              <w:right w:val="nil"/>
            </w:tcBorders>
            <w:shd w:val="clear" w:color="auto" w:fill="FFFFFF"/>
          </w:tcPr>
          <w:p w14:paraId="1E9A0ABD" w14:textId="77777777" w:rsidR="00C55865" w:rsidRPr="008773B1" w:rsidRDefault="00C55865" w:rsidP="00862223">
            <w:pPr>
              <w:autoSpaceDE w:val="0"/>
              <w:autoSpaceDN w:val="0"/>
              <w:adjustRightInd w:val="0"/>
              <w:spacing w:after="0" w:line="480" w:lineRule="auto"/>
              <w:ind w:left="60" w:right="60"/>
              <w:rPr>
                <w:rFonts w:ascii="Times New Roman" w:hAnsi="Times New Roman"/>
                <w:color w:val="000000"/>
                <w:sz w:val="24"/>
                <w:szCs w:val="24"/>
              </w:rPr>
            </w:pPr>
            <w:r w:rsidRPr="008773B1">
              <w:rPr>
                <w:rFonts w:ascii="Times New Roman" w:hAnsi="Times New Roman"/>
                <w:color w:val="000000"/>
                <w:sz w:val="24"/>
                <w:szCs w:val="24"/>
              </w:rPr>
              <w:t>*. Correlation is significant at the 0.05 level (2-tailed).</w:t>
            </w:r>
          </w:p>
        </w:tc>
      </w:tr>
    </w:tbl>
    <w:p w14:paraId="480E42EB" w14:textId="77777777" w:rsidR="00C55865" w:rsidRPr="006C3F06" w:rsidRDefault="00C2182D" w:rsidP="006C3F06">
      <w:pPr>
        <w:autoSpaceDE w:val="0"/>
        <w:autoSpaceDN w:val="0"/>
        <w:adjustRightInd w:val="0"/>
        <w:spacing w:after="0" w:line="320" w:lineRule="atLeast"/>
        <w:ind w:right="60"/>
        <w:jc w:val="both"/>
        <w:rPr>
          <w:rFonts w:ascii="Times New Roman" w:hAnsi="Times New Roman"/>
          <w:color w:val="000000"/>
          <w:sz w:val="24"/>
          <w:szCs w:val="24"/>
        </w:rPr>
      </w:pPr>
      <w:r w:rsidRPr="008773B1">
        <w:rPr>
          <w:rFonts w:ascii="Times New Roman" w:hAnsi="Times New Roman"/>
          <w:color w:val="000000"/>
          <w:sz w:val="24"/>
          <w:szCs w:val="24"/>
        </w:rPr>
        <w:t>Scattered plot showing a significant negative</w:t>
      </w:r>
      <w:r w:rsidR="008F0BDC">
        <w:rPr>
          <w:rFonts w:ascii="Times New Roman" w:hAnsi="Times New Roman"/>
          <w:color w:val="000000"/>
          <w:sz w:val="24"/>
          <w:szCs w:val="24"/>
        </w:rPr>
        <w:t xml:space="preserve"> Pearson’s Correlation between thyroid stimulating hormone (TSH) and serum z</w:t>
      </w:r>
      <w:r w:rsidRPr="008773B1">
        <w:rPr>
          <w:rFonts w:ascii="Times New Roman" w:hAnsi="Times New Roman"/>
          <w:color w:val="000000"/>
          <w:sz w:val="24"/>
          <w:szCs w:val="24"/>
        </w:rPr>
        <w:t xml:space="preserve">inc levels in Test subjects (Figure 5). </w:t>
      </w:r>
    </w:p>
    <w:p w14:paraId="662A1134"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noProof/>
          <w:sz w:val="24"/>
          <w:szCs w:val="24"/>
          <w:lang w:val="en-GB" w:eastAsia="en-GB"/>
        </w:rPr>
        <w:drawing>
          <wp:inline distT="0" distB="0" distL="0" distR="0" wp14:anchorId="434F2521" wp14:editId="4E504884">
            <wp:extent cx="5695950" cy="4686300"/>
            <wp:effectExtent l="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E2DDF1"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78694F86" w14:textId="77777777" w:rsidR="00C2182D" w:rsidRPr="006C3F06" w:rsidRDefault="00C2182D" w:rsidP="006C3F06">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b/>
          <w:color w:val="000000"/>
          <w:sz w:val="24"/>
          <w:szCs w:val="24"/>
        </w:rPr>
        <w:t xml:space="preserve">Figure </w:t>
      </w:r>
      <w:r w:rsidR="00C55865" w:rsidRPr="008773B1">
        <w:rPr>
          <w:rFonts w:ascii="Times New Roman" w:hAnsi="Times New Roman"/>
          <w:b/>
          <w:color w:val="000000"/>
          <w:sz w:val="24"/>
          <w:szCs w:val="24"/>
        </w:rPr>
        <w:t>5:</w:t>
      </w:r>
      <w:r w:rsidR="008F0BDC">
        <w:rPr>
          <w:rFonts w:ascii="Times New Roman" w:hAnsi="Times New Roman"/>
          <w:color w:val="000000"/>
          <w:sz w:val="24"/>
          <w:szCs w:val="24"/>
        </w:rPr>
        <w:t xml:space="preserve"> Pearson’s Correlation between t</w:t>
      </w:r>
      <w:r w:rsidR="00C55865" w:rsidRPr="008773B1">
        <w:rPr>
          <w:rFonts w:ascii="Times New Roman" w:hAnsi="Times New Roman"/>
          <w:color w:val="000000"/>
          <w:sz w:val="24"/>
          <w:szCs w:val="24"/>
        </w:rPr>
        <w:t>hyroid stimu</w:t>
      </w:r>
      <w:r w:rsidR="008F0BDC">
        <w:rPr>
          <w:rFonts w:ascii="Times New Roman" w:hAnsi="Times New Roman"/>
          <w:color w:val="000000"/>
          <w:sz w:val="24"/>
          <w:szCs w:val="24"/>
        </w:rPr>
        <w:t>lating hormone (TSH) and serum z</w:t>
      </w:r>
      <w:r w:rsidR="00C55865" w:rsidRPr="008773B1">
        <w:rPr>
          <w:rFonts w:ascii="Times New Roman" w:hAnsi="Times New Roman"/>
          <w:color w:val="000000"/>
          <w:sz w:val="24"/>
          <w:szCs w:val="24"/>
        </w:rPr>
        <w:t xml:space="preserve">inc levels in </w:t>
      </w:r>
      <w:r w:rsidRPr="008773B1">
        <w:rPr>
          <w:rFonts w:ascii="Times New Roman" w:hAnsi="Times New Roman"/>
          <w:color w:val="000000"/>
          <w:sz w:val="24"/>
          <w:szCs w:val="24"/>
        </w:rPr>
        <w:t>Test</w:t>
      </w:r>
      <w:r w:rsidR="00C55865" w:rsidRPr="008773B1">
        <w:rPr>
          <w:rFonts w:ascii="Times New Roman" w:hAnsi="Times New Roman"/>
          <w:color w:val="000000"/>
          <w:sz w:val="24"/>
          <w:szCs w:val="24"/>
        </w:rPr>
        <w:t xml:space="preserve"> subjects. </w:t>
      </w:r>
    </w:p>
    <w:p w14:paraId="7B1CB3F3"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0.01 level (2-tailed).</w:t>
      </w:r>
    </w:p>
    <w:p w14:paraId="17305D40"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0.05 level (2-tailed).</w:t>
      </w:r>
    </w:p>
    <w:p w14:paraId="35763059"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1229A6D8" w14:textId="77777777" w:rsidR="004E652E" w:rsidRPr="008773B1" w:rsidRDefault="004E652E" w:rsidP="004E652E">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color w:val="000000"/>
          <w:sz w:val="24"/>
          <w:szCs w:val="24"/>
        </w:rPr>
        <w:t>Scattered plot showing significant positive Pears</w:t>
      </w:r>
      <w:r w:rsidR="008F0BDC">
        <w:rPr>
          <w:rFonts w:ascii="Times New Roman" w:hAnsi="Times New Roman"/>
          <w:color w:val="000000"/>
          <w:sz w:val="24"/>
          <w:szCs w:val="24"/>
        </w:rPr>
        <w:t>on’s Correlation between serum zinc levels and serum v</w:t>
      </w:r>
      <w:r w:rsidRPr="008773B1">
        <w:rPr>
          <w:rFonts w:ascii="Times New Roman" w:hAnsi="Times New Roman"/>
          <w:color w:val="000000"/>
          <w:sz w:val="24"/>
          <w:szCs w:val="24"/>
        </w:rPr>
        <w:t xml:space="preserve">itamin A in Test subjects (Figure 6). </w:t>
      </w:r>
    </w:p>
    <w:p w14:paraId="62F25E25"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07129BB2"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6FEB9E81"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3D2CA676"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74FAD069"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551A3A4A"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6A3B0352"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noProof/>
          <w:sz w:val="24"/>
          <w:szCs w:val="24"/>
          <w:lang w:val="en-GB" w:eastAsia="en-GB"/>
        </w:rPr>
        <w:drawing>
          <wp:inline distT="0" distB="0" distL="0" distR="0" wp14:anchorId="78FACE82" wp14:editId="48D15A45">
            <wp:extent cx="5781675" cy="3803073"/>
            <wp:effectExtent l="0" t="0" r="9525" b="6985"/>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FB43D7"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p>
    <w:p w14:paraId="66669440" w14:textId="77777777" w:rsidR="004E652E" w:rsidRPr="006C3F06" w:rsidRDefault="007860FC" w:rsidP="006C3F06">
      <w:pPr>
        <w:autoSpaceDE w:val="0"/>
        <w:autoSpaceDN w:val="0"/>
        <w:adjustRightInd w:val="0"/>
        <w:spacing w:after="0" w:line="320" w:lineRule="atLeast"/>
        <w:ind w:left="60" w:right="60"/>
        <w:jc w:val="both"/>
        <w:rPr>
          <w:rFonts w:ascii="Times New Roman" w:hAnsi="Times New Roman"/>
          <w:color w:val="000000"/>
          <w:sz w:val="24"/>
          <w:szCs w:val="24"/>
        </w:rPr>
      </w:pPr>
      <w:r w:rsidRPr="008773B1">
        <w:rPr>
          <w:rFonts w:ascii="Times New Roman" w:hAnsi="Times New Roman"/>
          <w:b/>
          <w:color w:val="000000"/>
          <w:sz w:val="24"/>
          <w:szCs w:val="24"/>
        </w:rPr>
        <w:t xml:space="preserve">Figure </w:t>
      </w:r>
      <w:r w:rsidR="00C55865" w:rsidRPr="008773B1">
        <w:rPr>
          <w:rFonts w:ascii="Times New Roman" w:hAnsi="Times New Roman"/>
          <w:b/>
          <w:color w:val="000000"/>
          <w:sz w:val="24"/>
          <w:szCs w:val="24"/>
        </w:rPr>
        <w:t>6:</w:t>
      </w:r>
      <w:r w:rsidR="00C55865" w:rsidRPr="008773B1">
        <w:rPr>
          <w:rFonts w:ascii="Times New Roman" w:hAnsi="Times New Roman"/>
          <w:color w:val="000000"/>
          <w:sz w:val="24"/>
          <w:szCs w:val="24"/>
        </w:rPr>
        <w:t xml:space="preserve"> </w:t>
      </w:r>
      <w:r w:rsidR="00C46D5E" w:rsidRPr="008773B1">
        <w:rPr>
          <w:rFonts w:ascii="Times New Roman" w:hAnsi="Times New Roman"/>
          <w:color w:val="000000"/>
          <w:sz w:val="24"/>
          <w:szCs w:val="24"/>
        </w:rPr>
        <w:t xml:space="preserve">A scattered plot showing </w:t>
      </w:r>
      <w:r w:rsidR="008F0BDC">
        <w:rPr>
          <w:rFonts w:ascii="Times New Roman" w:hAnsi="Times New Roman"/>
          <w:color w:val="000000"/>
          <w:sz w:val="24"/>
          <w:szCs w:val="24"/>
        </w:rPr>
        <w:t>a significant positive Pearson’s C</w:t>
      </w:r>
      <w:r w:rsidR="00C46D5E" w:rsidRPr="008773B1">
        <w:rPr>
          <w:rFonts w:ascii="Times New Roman" w:hAnsi="Times New Roman"/>
          <w:color w:val="000000"/>
          <w:sz w:val="24"/>
          <w:szCs w:val="24"/>
        </w:rPr>
        <w:t>orrelation between serum zinc levels and serum vitamin</w:t>
      </w:r>
      <w:r w:rsidR="00C55865" w:rsidRPr="008773B1">
        <w:rPr>
          <w:rFonts w:ascii="Times New Roman" w:hAnsi="Times New Roman"/>
          <w:color w:val="000000"/>
          <w:sz w:val="24"/>
          <w:szCs w:val="24"/>
        </w:rPr>
        <w:t xml:space="preserve"> A in study subjects. </w:t>
      </w:r>
    </w:p>
    <w:p w14:paraId="085252EA" w14:textId="77777777" w:rsidR="00C55865" w:rsidRPr="008773B1" w:rsidRDefault="00C55865" w:rsidP="00C55865">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0.01 level (2-tailed).</w:t>
      </w:r>
    </w:p>
    <w:p w14:paraId="5943918E" w14:textId="77777777" w:rsidR="00F10A72" w:rsidRDefault="00C55865" w:rsidP="006C3F06">
      <w:pPr>
        <w:autoSpaceDE w:val="0"/>
        <w:autoSpaceDN w:val="0"/>
        <w:adjustRightInd w:val="0"/>
        <w:spacing w:after="0" w:line="240" w:lineRule="auto"/>
        <w:rPr>
          <w:rFonts w:ascii="Times New Roman" w:hAnsi="Times New Roman"/>
          <w:sz w:val="24"/>
          <w:szCs w:val="24"/>
        </w:rPr>
      </w:pPr>
      <w:r w:rsidRPr="008773B1">
        <w:rPr>
          <w:rFonts w:ascii="Times New Roman" w:hAnsi="Times New Roman"/>
          <w:sz w:val="24"/>
          <w:szCs w:val="24"/>
        </w:rPr>
        <w:t>*. Correlation is significant at the 0.05 level (2-tailed).</w:t>
      </w:r>
    </w:p>
    <w:p w14:paraId="1033D76B" w14:textId="77777777" w:rsidR="006C3F06" w:rsidRPr="008773B1" w:rsidRDefault="006C3F06" w:rsidP="006C3F06">
      <w:pPr>
        <w:autoSpaceDE w:val="0"/>
        <w:autoSpaceDN w:val="0"/>
        <w:adjustRightInd w:val="0"/>
        <w:spacing w:after="0" w:line="240" w:lineRule="auto"/>
        <w:rPr>
          <w:rFonts w:ascii="Times New Roman" w:hAnsi="Times New Roman"/>
          <w:sz w:val="24"/>
          <w:szCs w:val="24"/>
        </w:rPr>
      </w:pPr>
    </w:p>
    <w:p w14:paraId="2FDBEDC0" w14:textId="77777777" w:rsidR="00B45A36" w:rsidRPr="008773B1" w:rsidRDefault="00B45A36" w:rsidP="00B45A36">
      <w:pPr>
        <w:autoSpaceDE w:val="0"/>
        <w:autoSpaceDN w:val="0"/>
        <w:adjustRightInd w:val="0"/>
        <w:spacing w:after="0" w:line="480" w:lineRule="auto"/>
        <w:jc w:val="both"/>
        <w:rPr>
          <w:rFonts w:ascii="Times New Roman" w:hAnsi="Times New Roman"/>
          <w:b/>
          <w:sz w:val="24"/>
          <w:szCs w:val="24"/>
        </w:rPr>
      </w:pPr>
      <w:r w:rsidRPr="008773B1">
        <w:rPr>
          <w:rFonts w:ascii="Times New Roman" w:hAnsi="Times New Roman"/>
          <w:b/>
          <w:sz w:val="24"/>
          <w:szCs w:val="24"/>
        </w:rPr>
        <w:t>Discussion</w:t>
      </w:r>
    </w:p>
    <w:p w14:paraId="233CBC56" w14:textId="77777777" w:rsidR="00F86430"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Thyroid hormones perform a wide array of metabolic functions</w:t>
      </w:r>
      <w:r w:rsidR="00C46D5E" w:rsidRPr="008773B1">
        <w:rPr>
          <w:rFonts w:ascii="Times New Roman" w:hAnsi="Times New Roman"/>
          <w:sz w:val="24"/>
          <w:szCs w:val="24"/>
        </w:rPr>
        <w:t xml:space="preserve">, including regulating lipids, carbohydrates, protein, electrolytes, and mineral metabolism </w:t>
      </w:r>
      <w:r w:rsidR="00214A6C" w:rsidRPr="008773B1">
        <w:rPr>
          <w:rFonts w:ascii="Times New Roman" w:hAnsi="Times New Roman"/>
          <w:sz w:val="24"/>
          <w:szCs w:val="24"/>
        </w:rPr>
        <w:t>[11]</w:t>
      </w:r>
      <w:r w:rsidR="00C46D5E" w:rsidRPr="008773B1">
        <w:rPr>
          <w:rFonts w:ascii="Times New Roman" w:hAnsi="Times New Roman"/>
          <w:sz w:val="24"/>
          <w:szCs w:val="24"/>
        </w:rPr>
        <w:t>. Mineral</w:t>
      </w:r>
      <w:r w:rsidR="006357D9" w:rsidRPr="008773B1">
        <w:rPr>
          <w:rFonts w:ascii="Times New Roman" w:hAnsi="Times New Roman"/>
          <w:sz w:val="24"/>
          <w:szCs w:val="24"/>
        </w:rPr>
        <w:t xml:space="preserve"> metabolisms and vitamins are frequently dis</w:t>
      </w:r>
      <w:r w:rsidR="00F86430" w:rsidRPr="008773B1">
        <w:rPr>
          <w:rFonts w:ascii="Times New Roman" w:hAnsi="Times New Roman"/>
          <w:sz w:val="24"/>
          <w:szCs w:val="24"/>
        </w:rPr>
        <w:t>turbed in thyroid dysfunctions</w:t>
      </w:r>
      <w:r w:rsidRPr="008773B1">
        <w:rPr>
          <w:rFonts w:ascii="Times New Roman" w:hAnsi="Times New Roman"/>
          <w:sz w:val="24"/>
          <w:szCs w:val="24"/>
        </w:rPr>
        <w:t xml:space="preserve">. Both trace elements and thyroid hormones play important roles in the human body </w:t>
      </w:r>
      <w:r w:rsidR="005B58C2" w:rsidRPr="008773B1">
        <w:rPr>
          <w:rFonts w:ascii="Times New Roman" w:hAnsi="Times New Roman"/>
          <w:sz w:val="24"/>
          <w:szCs w:val="24"/>
        </w:rPr>
        <w:t>[6]</w:t>
      </w:r>
      <w:r w:rsidRPr="008773B1">
        <w:rPr>
          <w:rFonts w:ascii="Times New Roman" w:hAnsi="Times New Roman"/>
          <w:sz w:val="24"/>
          <w:szCs w:val="24"/>
        </w:rPr>
        <w:t xml:space="preserve">. </w:t>
      </w:r>
    </w:p>
    <w:p w14:paraId="6C12040F"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this study, zinc levels for </w:t>
      </w:r>
      <w:r w:rsidR="00F1706C" w:rsidRPr="008773B1">
        <w:rPr>
          <w:rFonts w:ascii="Times New Roman" w:hAnsi="Times New Roman"/>
          <w:sz w:val="24"/>
          <w:szCs w:val="24"/>
        </w:rPr>
        <w:t xml:space="preserve">Test </w:t>
      </w:r>
      <w:r w:rsidRPr="008773B1">
        <w:rPr>
          <w:rFonts w:ascii="Times New Roman" w:hAnsi="Times New Roman"/>
          <w:sz w:val="24"/>
          <w:szCs w:val="24"/>
        </w:rPr>
        <w:t xml:space="preserve">subjects with hyperthyroidism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w:t>
      </w:r>
      <w:r w:rsidR="00F1706C" w:rsidRPr="008773B1">
        <w:rPr>
          <w:rFonts w:ascii="Times New Roman" w:hAnsi="Times New Roman"/>
          <w:sz w:val="24"/>
          <w:szCs w:val="24"/>
        </w:rPr>
        <w:t xml:space="preserve">y lower than </w:t>
      </w:r>
      <w:r w:rsidR="0020558B" w:rsidRPr="008773B1">
        <w:rPr>
          <w:rFonts w:ascii="Times New Roman" w:hAnsi="Times New Roman"/>
          <w:sz w:val="24"/>
          <w:szCs w:val="24"/>
        </w:rPr>
        <w:t xml:space="preserve">for </w:t>
      </w:r>
      <w:r w:rsidR="00F1706C" w:rsidRPr="008773B1">
        <w:rPr>
          <w:rFonts w:ascii="Times New Roman" w:hAnsi="Times New Roman"/>
          <w:sz w:val="24"/>
          <w:szCs w:val="24"/>
        </w:rPr>
        <w:t>control (p &lt;</w:t>
      </w:r>
      <w:r w:rsidRPr="008773B1">
        <w:rPr>
          <w:rFonts w:ascii="Times New Roman" w:hAnsi="Times New Roman"/>
          <w:sz w:val="24"/>
          <w:szCs w:val="24"/>
        </w:rPr>
        <w:t>0.00</w:t>
      </w:r>
      <w:r w:rsidR="00F1706C" w:rsidRPr="008773B1">
        <w:rPr>
          <w:rFonts w:ascii="Times New Roman" w:hAnsi="Times New Roman"/>
          <w:sz w:val="24"/>
          <w:szCs w:val="24"/>
        </w:rPr>
        <w:t>1</w:t>
      </w:r>
      <w:r w:rsidRPr="008773B1">
        <w:rPr>
          <w:rFonts w:ascii="Times New Roman" w:hAnsi="Times New Roman"/>
          <w:sz w:val="24"/>
          <w:szCs w:val="24"/>
        </w:rPr>
        <w:t xml:space="preserve">), but significantly higher than </w:t>
      </w:r>
      <w:r w:rsidR="0020558B" w:rsidRPr="008773B1">
        <w:rPr>
          <w:rFonts w:ascii="Times New Roman" w:hAnsi="Times New Roman"/>
          <w:sz w:val="24"/>
          <w:szCs w:val="24"/>
        </w:rPr>
        <w:t xml:space="preserve">for </w:t>
      </w:r>
      <w:r w:rsidR="00F1706C" w:rsidRPr="008773B1">
        <w:rPr>
          <w:rFonts w:ascii="Times New Roman" w:hAnsi="Times New Roman"/>
          <w:sz w:val="24"/>
          <w:szCs w:val="24"/>
        </w:rPr>
        <w:t>Test subjects with hypothyroidism (p &lt;</w:t>
      </w:r>
      <w:r w:rsidRPr="008773B1">
        <w:rPr>
          <w:rFonts w:ascii="Times New Roman" w:hAnsi="Times New Roman"/>
          <w:sz w:val="24"/>
          <w:szCs w:val="24"/>
        </w:rPr>
        <w:t>0.00</w:t>
      </w:r>
      <w:r w:rsidR="00F1706C" w:rsidRPr="008773B1">
        <w:rPr>
          <w:rFonts w:ascii="Times New Roman" w:hAnsi="Times New Roman"/>
          <w:sz w:val="24"/>
          <w:szCs w:val="24"/>
        </w:rPr>
        <w:t>1).</w:t>
      </w:r>
      <w:r w:rsidRPr="008773B1">
        <w:rPr>
          <w:rFonts w:ascii="Times New Roman" w:hAnsi="Times New Roman"/>
          <w:sz w:val="24"/>
          <w:szCs w:val="24"/>
        </w:rPr>
        <w:t xml:space="preserve"> This finding is in agreement with </w:t>
      </w:r>
      <w:r w:rsidR="00C46D5E" w:rsidRPr="008773B1">
        <w:rPr>
          <w:rFonts w:ascii="Times New Roman" w:hAnsi="Times New Roman"/>
          <w:sz w:val="24"/>
          <w:szCs w:val="24"/>
        </w:rPr>
        <w:t xml:space="preserve">the </w:t>
      </w:r>
      <w:r w:rsidR="00F1706C" w:rsidRPr="008773B1">
        <w:rPr>
          <w:rFonts w:ascii="Times New Roman" w:hAnsi="Times New Roman"/>
          <w:sz w:val="24"/>
          <w:szCs w:val="24"/>
        </w:rPr>
        <w:t xml:space="preserve">previous study of </w:t>
      </w:r>
      <w:r w:rsidR="005B58C2" w:rsidRPr="008773B1">
        <w:rPr>
          <w:rFonts w:ascii="Times New Roman" w:hAnsi="Times New Roman"/>
          <w:sz w:val="24"/>
          <w:szCs w:val="24"/>
        </w:rPr>
        <w:t>Vargas-Uricoechea</w:t>
      </w:r>
      <w:r w:rsidR="00E508A8">
        <w:rPr>
          <w:rFonts w:ascii="Times New Roman" w:hAnsi="Times New Roman"/>
          <w:sz w:val="24"/>
          <w:szCs w:val="24"/>
        </w:rPr>
        <w:t>,</w:t>
      </w:r>
      <w:r w:rsidR="00F1706C" w:rsidRPr="008773B1">
        <w:rPr>
          <w:rFonts w:ascii="Times New Roman" w:hAnsi="Times New Roman"/>
          <w:sz w:val="24"/>
          <w:szCs w:val="24"/>
        </w:rPr>
        <w:t xml:space="preserve"> et al. </w:t>
      </w:r>
      <w:r w:rsidRPr="008773B1">
        <w:rPr>
          <w:rFonts w:ascii="Times New Roman" w:hAnsi="Times New Roman"/>
          <w:sz w:val="24"/>
          <w:szCs w:val="24"/>
        </w:rPr>
        <w:t>found decreased serum Zn levels in patients with hypothyroidism as compared to control subjects; they noted that gastrointestinal absorption of zinc is severely impaired in hypothyroidism subjects</w:t>
      </w:r>
      <w:r w:rsidR="00E508A8">
        <w:rPr>
          <w:rFonts w:ascii="Times New Roman" w:hAnsi="Times New Roman"/>
          <w:sz w:val="24"/>
          <w:szCs w:val="24"/>
        </w:rPr>
        <w:t xml:space="preserve"> </w:t>
      </w:r>
      <w:r w:rsidR="00E508A8" w:rsidRPr="008773B1">
        <w:rPr>
          <w:rFonts w:ascii="Times New Roman" w:hAnsi="Times New Roman"/>
          <w:sz w:val="24"/>
          <w:szCs w:val="24"/>
        </w:rPr>
        <w:t>[12]</w:t>
      </w:r>
      <w:r w:rsidRPr="008773B1">
        <w:rPr>
          <w:rFonts w:ascii="Times New Roman" w:hAnsi="Times New Roman"/>
          <w:sz w:val="24"/>
          <w:szCs w:val="24"/>
        </w:rPr>
        <w:t xml:space="preserve">. An alternative explanation would be a change in zinc distribution; the low zinc level may reflect </w:t>
      </w:r>
      <w:r w:rsidR="00C46D5E" w:rsidRPr="008773B1">
        <w:rPr>
          <w:rFonts w:ascii="Times New Roman" w:hAnsi="Times New Roman"/>
          <w:sz w:val="24"/>
          <w:szCs w:val="24"/>
        </w:rPr>
        <w:t xml:space="preserve">the </w:t>
      </w:r>
      <w:r w:rsidRPr="008773B1">
        <w:rPr>
          <w:rFonts w:ascii="Times New Roman" w:hAnsi="Times New Roman"/>
          <w:sz w:val="24"/>
          <w:szCs w:val="24"/>
        </w:rPr>
        <w:t xml:space="preserve">sequestration of zinc by the liver or other tissues. The reason for this decrease in serum Zn level is the decreased gastrointestinal absorption of zinc in subjects with hyper- and hypothyroidism. </w:t>
      </w:r>
      <w:r w:rsidRPr="008773B1">
        <w:rPr>
          <w:rFonts w:ascii="Times New Roman" w:hAnsi="Times New Roman"/>
          <w:sz w:val="24"/>
          <w:szCs w:val="24"/>
        </w:rPr>
        <w:lastRenderedPageBreak/>
        <w:t xml:space="preserve">Previously various studies have also depicted the decreased Zn levels in hypothyroidism. Many of these reports also highlighted the correlation of Zn deficiency with low levels of thyroid hormones </w:t>
      </w:r>
      <w:r w:rsidR="00670BA4">
        <w:rPr>
          <w:rFonts w:ascii="Times New Roman" w:hAnsi="Times New Roman"/>
          <w:sz w:val="24"/>
          <w:szCs w:val="24"/>
        </w:rPr>
        <w:t>[10, 13-</w:t>
      </w:r>
      <w:r w:rsidR="00B85A6A" w:rsidRPr="008773B1">
        <w:rPr>
          <w:rFonts w:ascii="Times New Roman" w:hAnsi="Times New Roman"/>
          <w:sz w:val="24"/>
          <w:szCs w:val="24"/>
        </w:rPr>
        <w:t>14]</w:t>
      </w:r>
      <w:r w:rsidRPr="008773B1">
        <w:rPr>
          <w:rFonts w:ascii="Times New Roman" w:hAnsi="Times New Roman"/>
          <w:sz w:val="24"/>
          <w:szCs w:val="24"/>
        </w:rPr>
        <w:t>. Contrary to the findin</w:t>
      </w:r>
      <w:r w:rsidR="00F1706C" w:rsidRPr="008773B1">
        <w:rPr>
          <w:rFonts w:ascii="Times New Roman" w:hAnsi="Times New Roman"/>
          <w:sz w:val="24"/>
          <w:szCs w:val="24"/>
        </w:rPr>
        <w:t>g of our</w:t>
      </w:r>
      <w:r w:rsidR="00550A80" w:rsidRPr="008773B1">
        <w:rPr>
          <w:rFonts w:ascii="Times New Roman" w:hAnsi="Times New Roman"/>
          <w:sz w:val="24"/>
          <w:szCs w:val="24"/>
        </w:rPr>
        <w:t xml:space="preserve"> study, </w:t>
      </w:r>
      <w:proofErr w:type="spellStart"/>
      <w:r w:rsidR="00550A80" w:rsidRPr="008773B1">
        <w:rPr>
          <w:rFonts w:ascii="Times New Roman" w:hAnsi="Times New Roman"/>
          <w:sz w:val="24"/>
          <w:szCs w:val="24"/>
        </w:rPr>
        <w:t>Aktuna</w:t>
      </w:r>
      <w:proofErr w:type="spellEnd"/>
      <w:r w:rsidR="00E508A8">
        <w:rPr>
          <w:rFonts w:ascii="Times New Roman" w:hAnsi="Times New Roman"/>
          <w:sz w:val="24"/>
          <w:szCs w:val="24"/>
        </w:rPr>
        <w:t>,</w:t>
      </w:r>
      <w:r w:rsidR="00550A80" w:rsidRPr="008773B1">
        <w:rPr>
          <w:rFonts w:ascii="Times New Roman" w:hAnsi="Times New Roman"/>
          <w:sz w:val="24"/>
          <w:szCs w:val="24"/>
        </w:rPr>
        <w:t xml:space="preserve"> et al. </w:t>
      </w:r>
      <w:r w:rsidRPr="008773B1">
        <w:rPr>
          <w:rFonts w:ascii="Times New Roman" w:hAnsi="Times New Roman"/>
          <w:sz w:val="24"/>
          <w:szCs w:val="24"/>
        </w:rPr>
        <w:t xml:space="preserve">stated that serum zinc levels in hyperthyroid </w:t>
      </w:r>
      <w:r w:rsidR="00DB6CB3">
        <w:rPr>
          <w:rFonts w:ascii="Times New Roman" w:hAnsi="Times New Roman"/>
          <w:sz w:val="24"/>
          <w:szCs w:val="24"/>
        </w:rPr>
        <w:t>subjects</w:t>
      </w:r>
      <w:r w:rsidR="00F1706C" w:rsidRPr="008773B1">
        <w:rPr>
          <w:rFonts w:ascii="Times New Roman" w:hAnsi="Times New Roman"/>
          <w:sz w:val="24"/>
          <w:szCs w:val="24"/>
        </w:rPr>
        <w:t xml:space="preserve"> </w:t>
      </w:r>
      <w:r w:rsidR="00DB6CB3">
        <w:rPr>
          <w:rFonts w:ascii="Times New Roman" w:hAnsi="Times New Roman"/>
          <w:sz w:val="24"/>
          <w:szCs w:val="24"/>
        </w:rPr>
        <w:t>were</w:t>
      </w:r>
      <w:r w:rsidR="004674A4" w:rsidRPr="008773B1">
        <w:rPr>
          <w:rFonts w:ascii="Times New Roman" w:hAnsi="Times New Roman"/>
          <w:sz w:val="24"/>
          <w:szCs w:val="24"/>
        </w:rPr>
        <w:t xml:space="preserve"> not significantly different from</w:t>
      </w:r>
      <w:r w:rsidRPr="008773B1">
        <w:rPr>
          <w:rFonts w:ascii="Times New Roman" w:hAnsi="Times New Roman"/>
          <w:sz w:val="24"/>
          <w:szCs w:val="24"/>
        </w:rPr>
        <w:t xml:space="preserve"> hypothyroid patients</w:t>
      </w:r>
      <w:r w:rsidR="00E508A8">
        <w:rPr>
          <w:rFonts w:ascii="Times New Roman" w:hAnsi="Times New Roman"/>
          <w:sz w:val="24"/>
          <w:szCs w:val="24"/>
        </w:rPr>
        <w:t xml:space="preserve"> </w:t>
      </w:r>
      <w:r w:rsidR="00E508A8" w:rsidRPr="008773B1">
        <w:rPr>
          <w:rFonts w:ascii="Times New Roman" w:hAnsi="Times New Roman"/>
          <w:sz w:val="24"/>
          <w:szCs w:val="24"/>
        </w:rPr>
        <w:t>[15]</w:t>
      </w:r>
      <w:r w:rsidRPr="008773B1">
        <w:rPr>
          <w:rFonts w:ascii="Times New Roman" w:hAnsi="Times New Roman"/>
          <w:sz w:val="24"/>
          <w:szCs w:val="24"/>
        </w:rPr>
        <w:t xml:space="preserve">, </w:t>
      </w:r>
      <w:r w:rsidR="00550A80" w:rsidRPr="008773B1">
        <w:rPr>
          <w:rFonts w:ascii="Times New Roman" w:hAnsi="Times New Roman"/>
          <w:sz w:val="24"/>
          <w:szCs w:val="24"/>
        </w:rPr>
        <w:t>while Nishi</w:t>
      </w:r>
      <w:r w:rsidR="00E508A8">
        <w:rPr>
          <w:rFonts w:ascii="Times New Roman" w:hAnsi="Times New Roman"/>
          <w:sz w:val="24"/>
          <w:szCs w:val="24"/>
        </w:rPr>
        <w:t>,</w:t>
      </w:r>
      <w:r w:rsidR="00550A80" w:rsidRPr="008773B1">
        <w:rPr>
          <w:rFonts w:ascii="Times New Roman" w:hAnsi="Times New Roman"/>
          <w:sz w:val="24"/>
          <w:szCs w:val="24"/>
        </w:rPr>
        <w:t xml:space="preserve"> et al. </w:t>
      </w:r>
      <w:r w:rsidRPr="008773B1">
        <w:rPr>
          <w:rFonts w:ascii="Times New Roman" w:hAnsi="Times New Roman"/>
          <w:sz w:val="24"/>
          <w:szCs w:val="24"/>
        </w:rPr>
        <w:t>observed no significant difference in serum Zn concentrations between patients with hypothyroidism and control</w:t>
      </w:r>
      <w:r w:rsidR="00E508A8">
        <w:rPr>
          <w:rFonts w:ascii="Times New Roman" w:hAnsi="Times New Roman"/>
          <w:sz w:val="24"/>
          <w:szCs w:val="24"/>
        </w:rPr>
        <w:t xml:space="preserve"> </w:t>
      </w:r>
      <w:r w:rsidR="00E508A8" w:rsidRPr="008773B1">
        <w:rPr>
          <w:rFonts w:ascii="Times New Roman" w:hAnsi="Times New Roman"/>
          <w:sz w:val="24"/>
          <w:szCs w:val="24"/>
        </w:rPr>
        <w:t>[16]</w:t>
      </w:r>
      <w:r w:rsidRPr="008773B1">
        <w:rPr>
          <w:rFonts w:ascii="Times New Roman" w:hAnsi="Times New Roman"/>
          <w:sz w:val="24"/>
          <w:szCs w:val="24"/>
        </w:rPr>
        <w:t xml:space="preserve">. Although low Zn status was associated with decreased thyroid hormone levels, the biochemical basis of such changes </w:t>
      </w:r>
      <w:r w:rsidR="00C46D5E" w:rsidRPr="008773B1">
        <w:rPr>
          <w:rFonts w:ascii="Times New Roman" w:hAnsi="Times New Roman"/>
          <w:sz w:val="24"/>
          <w:szCs w:val="24"/>
        </w:rPr>
        <w:t>has</w:t>
      </w:r>
      <w:r w:rsidRPr="008773B1">
        <w:rPr>
          <w:rFonts w:ascii="Times New Roman" w:hAnsi="Times New Roman"/>
          <w:sz w:val="24"/>
          <w:szCs w:val="24"/>
        </w:rPr>
        <w:t xml:space="preserve"> yet to be established </w:t>
      </w:r>
      <w:r w:rsidR="00B85A6A" w:rsidRPr="008773B1">
        <w:rPr>
          <w:rFonts w:ascii="Times New Roman" w:hAnsi="Times New Roman"/>
          <w:sz w:val="24"/>
          <w:szCs w:val="24"/>
        </w:rPr>
        <w:t>[10]</w:t>
      </w:r>
      <w:r w:rsidR="00DB6CB3">
        <w:rPr>
          <w:rFonts w:ascii="Times New Roman" w:hAnsi="Times New Roman"/>
          <w:sz w:val="24"/>
          <w:szCs w:val="24"/>
        </w:rPr>
        <w:t>.</w:t>
      </w:r>
    </w:p>
    <w:p w14:paraId="0A32A4F8"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this study, there was a significant negative Pearson’s Correlation between </w:t>
      </w:r>
      <w:r w:rsidR="000D70E2" w:rsidRPr="008773B1">
        <w:rPr>
          <w:rFonts w:ascii="Times New Roman" w:hAnsi="Times New Roman"/>
          <w:sz w:val="24"/>
          <w:szCs w:val="24"/>
        </w:rPr>
        <w:t>Thyroid Stimulating</w:t>
      </w:r>
      <w:r w:rsidRPr="008773B1">
        <w:rPr>
          <w:rFonts w:ascii="Times New Roman" w:hAnsi="Times New Roman"/>
          <w:sz w:val="24"/>
          <w:szCs w:val="24"/>
        </w:rPr>
        <w:t xml:space="preserve"> Hormone (TSH) and serum Zinc levels in </w:t>
      </w:r>
      <w:r w:rsidR="00F1706C" w:rsidRPr="008773B1">
        <w:rPr>
          <w:rFonts w:ascii="Times New Roman" w:hAnsi="Times New Roman"/>
          <w:sz w:val="24"/>
          <w:szCs w:val="24"/>
        </w:rPr>
        <w:t>Test</w:t>
      </w:r>
      <w:r w:rsidRPr="008773B1">
        <w:rPr>
          <w:rFonts w:ascii="Times New Roman" w:hAnsi="Times New Roman"/>
          <w:sz w:val="24"/>
          <w:szCs w:val="24"/>
        </w:rPr>
        <w:t xml:space="preserve"> subjects. Similar findings have been reported b</w:t>
      </w:r>
      <w:r w:rsidR="00550A80" w:rsidRPr="008773B1">
        <w:rPr>
          <w:rFonts w:ascii="Times New Roman" w:hAnsi="Times New Roman"/>
          <w:sz w:val="24"/>
          <w:szCs w:val="24"/>
        </w:rPr>
        <w:t>y Dhawan</w:t>
      </w:r>
      <w:r w:rsidR="00E508A8">
        <w:rPr>
          <w:rFonts w:ascii="Times New Roman" w:hAnsi="Times New Roman"/>
          <w:sz w:val="24"/>
          <w:szCs w:val="24"/>
        </w:rPr>
        <w:t>,</w:t>
      </w:r>
      <w:r w:rsidR="00550A80" w:rsidRPr="008773B1">
        <w:rPr>
          <w:rFonts w:ascii="Times New Roman" w:hAnsi="Times New Roman"/>
          <w:sz w:val="24"/>
          <w:szCs w:val="24"/>
        </w:rPr>
        <w:t xml:space="preserve"> et al. [17]</w:t>
      </w:r>
      <w:r w:rsidRPr="008773B1">
        <w:rPr>
          <w:rFonts w:ascii="Times New Roman" w:hAnsi="Times New Roman"/>
          <w:sz w:val="24"/>
          <w:szCs w:val="24"/>
        </w:rPr>
        <w:t xml:space="preserve">. One of the endocrine functions associated with zinc </w:t>
      </w:r>
      <w:r w:rsidR="00C46D5E" w:rsidRPr="008773B1">
        <w:rPr>
          <w:rFonts w:ascii="Times New Roman" w:hAnsi="Times New Roman"/>
          <w:sz w:val="24"/>
          <w:szCs w:val="24"/>
        </w:rPr>
        <w:t>is</w:t>
      </w:r>
      <w:r w:rsidRPr="008773B1">
        <w:rPr>
          <w:rFonts w:ascii="Times New Roman" w:hAnsi="Times New Roman"/>
          <w:sz w:val="24"/>
          <w:szCs w:val="24"/>
        </w:rPr>
        <w:t xml:space="preserve"> changes in thyroid hormone metabolism and energy consumption </w:t>
      </w:r>
      <w:r w:rsidR="000D70E2" w:rsidRPr="008773B1">
        <w:rPr>
          <w:rFonts w:ascii="Times New Roman" w:hAnsi="Times New Roman"/>
          <w:sz w:val="24"/>
          <w:szCs w:val="24"/>
        </w:rPr>
        <w:t>in humans</w:t>
      </w:r>
      <w:r w:rsidRPr="008773B1">
        <w:rPr>
          <w:rFonts w:ascii="Times New Roman" w:hAnsi="Times New Roman"/>
          <w:sz w:val="24"/>
          <w:szCs w:val="24"/>
        </w:rPr>
        <w:t xml:space="preserve"> on a </w:t>
      </w:r>
      <w:r w:rsidR="00D527ED" w:rsidRPr="008773B1">
        <w:rPr>
          <w:rFonts w:ascii="Times New Roman" w:hAnsi="Times New Roman"/>
          <w:sz w:val="24"/>
          <w:szCs w:val="24"/>
        </w:rPr>
        <w:t>low-zinc</w:t>
      </w:r>
      <w:r w:rsidRPr="008773B1">
        <w:rPr>
          <w:rFonts w:ascii="Times New Roman" w:hAnsi="Times New Roman"/>
          <w:sz w:val="24"/>
          <w:szCs w:val="24"/>
        </w:rPr>
        <w:t xml:space="preserve"> diet </w:t>
      </w:r>
      <w:r w:rsidR="00F22F1E" w:rsidRPr="008773B1">
        <w:rPr>
          <w:rFonts w:ascii="Times New Roman" w:hAnsi="Times New Roman"/>
          <w:sz w:val="24"/>
          <w:szCs w:val="24"/>
        </w:rPr>
        <w:t>[3</w:t>
      </w:r>
      <w:r w:rsidR="00862223" w:rsidRPr="008773B1">
        <w:rPr>
          <w:rFonts w:ascii="Times New Roman" w:hAnsi="Times New Roman"/>
          <w:sz w:val="24"/>
          <w:szCs w:val="24"/>
        </w:rPr>
        <w:t>]</w:t>
      </w:r>
      <w:r w:rsidRPr="008773B1">
        <w:rPr>
          <w:rFonts w:ascii="Times New Roman" w:hAnsi="Times New Roman"/>
          <w:sz w:val="24"/>
          <w:szCs w:val="24"/>
        </w:rPr>
        <w:t>. In contrast to our study</w:t>
      </w:r>
      <w:r w:rsidR="00C46D5E" w:rsidRPr="008773B1">
        <w:rPr>
          <w:rFonts w:ascii="Times New Roman" w:hAnsi="Times New Roman"/>
          <w:sz w:val="24"/>
          <w:szCs w:val="24"/>
        </w:rPr>
        <w:t>,</w:t>
      </w:r>
      <w:r w:rsidRPr="008773B1">
        <w:rPr>
          <w:rFonts w:ascii="Times New Roman" w:hAnsi="Times New Roman"/>
          <w:sz w:val="24"/>
          <w:szCs w:val="24"/>
        </w:rPr>
        <w:t xml:space="preserve"> some studies highlighted differences in </w:t>
      </w:r>
      <w:r w:rsidR="00C46D5E" w:rsidRPr="008773B1">
        <w:rPr>
          <w:rFonts w:ascii="Times New Roman" w:hAnsi="Times New Roman"/>
          <w:sz w:val="24"/>
          <w:szCs w:val="24"/>
        </w:rPr>
        <w:t xml:space="preserve">the </w:t>
      </w:r>
      <w:r w:rsidRPr="008773B1">
        <w:rPr>
          <w:rFonts w:ascii="Times New Roman" w:hAnsi="Times New Roman"/>
          <w:sz w:val="24"/>
          <w:szCs w:val="24"/>
        </w:rPr>
        <w:t>correlation between Zn and thyroi</w:t>
      </w:r>
      <w:r w:rsidR="00DA4D07" w:rsidRPr="008773B1">
        <w:rPr>
          <w:rFonts w:ascii="Times New Roman" w:hAnsi="Times New Roman"/>
          <w:sz w:val="24"/>
          <w:szCs w:val="24"/>
        </w:rPr>
        <w:t xml:space="preserve">d hormones. </w:t>
      </w:r>
      <w:r w:rsidR="002C5225" w:rsidRPr="008773B1">
        <w:rPr>
          <w:rFonts w:ascii="Times New Roman" w:hAnsi="Times New Roman"/>
          <w:sz w:val="24"/>
          <w:szCs w:val="24"/>
        </w:rPr>
        <w:t>Rashid</w:t>
      </w:r>
      <w:r w:rsidR="00E508A8">
        <w:rPr>
          <w:rFonts w:ascii="Times New Roman" w:hAnsi="Times New Roman"/>
          <w:sz w:val="24"/>
          <w:szCs w:val="24"/>
        </w:rPr>
        <w:t>,</w:t>
      </w:r>
      <w:r w:rsidR="00F22F1E" w:rsidRPr="008773B1">
        <w:rPr>
          <w:rFonts w:ascii="Times New Roman" w:hAnsi="Times New Roman"/>
          <w:sz w:val="24"/>
          <w:szCs w:val="24"/>
        </w:rPr>
        <w:t xml:space="preserve"> et al. </w:t>
      </w:r>
      <w:r w:rsidRPr="008773B1">
        <w:rPr>
          <w:rFonts w:ascii="Times New Roman" w:hAnsi="Times New Roman"/>
          <w:sz w:val="24"/>
          <w:szCs w:val="24"/>
        </w:rPr>
        <w:t xml:space="preserve">found a positive correlation between plasma T3 and Zn </w:t>
      </w:r>
      <w:r w:rsidR="005D15BD">
        <w:rPr>
          <w:rFonts w:ascii="Times New Roman" w:hAnsi="Times New Roman"/>
          <w:sz w:val="24"/>
          <w:szCs w:val="24"/>
        </w:rPr>
        <w:t>levels</w:t>
      </w:r>
      <w:r w:rsidRPr="008773B1">
        <w:rPr>
          <w:rFonts w:ascii="Times New Roman" w:hAnsi="Times New Roman"/>
          <w:sz w:val="24"/>
          <w:szCs w:val="24"/>
        </w:rPr>
        <w:t xml:space="preserve"> </w:t>
      </w:r>
      <w:r w:rsidR="005D15BD">
        <w:rPr>
          <w:rFonts w:ascii="Times New Roman" w:hAnsi="Times New Roman"/>
          <w:sz w:val="24"/>
          <w:szCs w:val="24"/>
        </w:rPr>
        <w:t>[</w:t>
      </w:r>
      <w:r w:rsidR="00E508A8">
        <w:rPr>
          <w:rFonts w:ascii="Times New Roman" w:hAnsi="Times New Roman"/>
          <w:sz w:val="24"/>
          <w:szCs w:val="24"/>
        </w:rPr>
        <w:t>18</w:t>
      </w:r>
      <w:r w:rsidR="005D15BD">
        <w:rPr>
          <w:rFonts w:ascii="Times New Roman" w:hAnsi="Times New Roman"/>
          <w:sz w:val="24"/>
          <w:szCs w:val="24"/>
        </w:rPr>
        <w:t>]</w:t>
      </w:r>
      <w:r w:rsidR="00F71597" w:rsidRPr="008773B1">
        <w:rPr>
          <w:rFonts w:ascii="Times New Roman" w:hAnsi="Times New Roman"/>
          <w:sz w:val="24"/>
          <w:szCs w:val="24"/>
        </w:rPr>
        <w:t xml:space="preserve">. </w:t>
      </w:r>
      <w:proofErr w:type="spellStart"/>
      <w:r w:rsidR="00F71597" w:rsidRPr="008773B1">
        <w:rPr>
          <w:rFonts w:ascii="Times New Roman" w:hAnsi="Times New Roman"/>
          <w:sz w:val="24"/>
          <w:szCs w:val="24"/>
        </w:rPr>
        <w:t>Ertek</w:t>
      </w:r>
      <w:proofErr w:type="spellEnd"/>
      <w:r w:rsidR="00E508A8">
        <w:rPr>
          <w:rFonts w:ascii="Times New Roman" w:hAnsi="Times New Roman"/>
          <w:sz w:val="24"/>
          <w:szCs w:val="24"/>
        </w:rPr>
        <w:t>,</w:t>
      </w:r>
      <w:r w:rsidR="00F22F1E" w:rsidRPr="008773B1">
        <w:rPr>
          <w:rFonts w:ascii="Times New Roman" w:hAnsi="Times New Roman"/>
          <w:sz w:val="24"/>
          <w:szCs w:val="24"/>
        </w:rPr>
        <w:t xml:space="preserve"> et al. </w:t>
      </w:r>
      <w:r w:rsidR="00C46D5E" w:rsidRPr="008773B1">
        <w:rPr>
          <w:rFonts w:ascii="Times New Roman" w:hAnsi="Times New Roman"/>
          <w:sz w:val="24"/>
          <w:szCs w:val="24"/>
        </w:rPr>
        <w:t>reported that Zn deficiency had</w:t>
      </w:r>
      <w:r w:rsidRPr="008773B1">
        <w:rPr>
          <w:rFonts w:ascii="Times New Roman" w:hAnsi="Times New Roman"/>
          <w:sz w:val="24"/>
          <w:szCs w:val="24"/>
        </w:rPr>
        <w:t xml:space="preserve"> a synergi</w:t>
      </w:r>
      <w:r w:rsidR="00DA4D07" w:rsidRPr="008773B1">
        <w:rPr>
          <w:rFonts w:ascii="Times New Roman" w:hAnsi="Times New Roman"/>
          <w:sz w:val="24"/>
          <w:szCs w:val="24"/>
        </w:rPr>
        <w:t>stic effect on goiter formation</w:t>
      </w:r>
      <w:r w:rsidR="00E508A8">
        <w:rPr>
          <w:rFonts w:ascii="Times New Roman" w:hAnsi="Times New Roman"/>
          <w:sz w:val="24"/>
          <w:szCs w:val="24"/>
        </w:rPr>
        <w:t xml:space="preserve"> </w:t>
      </w:r>
      <w:r w:rsidR="00E508A8" w:rsidRPr="008773B1">
        <w:rPr>
          <w:rFonts w:ascii="Times New Roman" w:hAnsi="Times New Roman"/>
          <w:sz w:val="24"/>
          <w:szCs w:val="24"/>
        </w:rPr>
        <w:t>[19]</w:t>
      </w:r>
      <w:r w:rsidR="00DA4D07" w:rsidRPr="008773B1">
        <w:rPr>
          <w:rFonts w:ascii="Times New Roman" w:hAnsi="Times New Roman"/>
          <w:sz w:val="24"/>
          <w:szCs w:val="24"/>
        </w:rPr>
        <w:t>,</w:t>
      </w:r>
      <w:r w:rsidR="00546679" w:rsidRPr="008773B1">
        <w:rPr>
          <w:rFonts w:ascii="Times New Roman" w:hAnsi="Times New Roman"/>
          <w:sz w:val="24"/>
          <w:szCs w:val="24"/>
        </w:rPr>
        <w:t xml:space="preserve"> Gustin</w:t>
      </w:r>
      <w:r w:rsidR="00E508A8">
        <w:rPr>
          <w:rFonts w:ascii="Times New Roman" w:hAnsi="Times New Roman"/>
          <w:sz w:val="24"/>
          <w:szCs w:val="24"/>
        </w:rPr>
        <w:t>,</w:t>
      </w:r>
      <w:r w:rsidR="007F2934" w:rsidRPr="008773B1">
        <w:rPr>
          <w:rFonts w:ascii="Times New Roman" w:hAnsi="Times New Roman"/>
          <w:sz w:val="24"/>
          <w:szCs w:val="24"/>
        </w:rPr>
        <w:t xml:space="preserve"> et al. </w:t>
      </w:r>
      <w:r w:rsidRPr="008773B1">
        <w:rPr>
          <w:rFonts w:ascii="Times New Roman" w:hAnsi="Times New Roman"/>
          <w:sz w:val="24"/>
          <w:szCs w:val="24"/>
        </w:rPr>
        <w:t>reported that zinc deficiency could directly influence thyroid hormone synthesis</w:t>
      </w:r>
      <w:r w:rsidR="00E508A8">
        <w:rPr>
          <w:rFonts w:ascii="Times New Roman" w:hAnsi="Times New Roman"/>
          <w:sz w:val="24"/>
          <w:szCs w:val="24"/>
        </w:rPr>
        <w:t xml:space="preserve"> </w:t>
      </w:r>
      <w:r w:rsidR="00E508A8" w:rsidRPr="008773B1">
        <w:rPr>
          <w:rFonts w:ascii="Times New Roman" w:hAnsi="Times New Roman"/>
          <w:sz w:val="24"/>
          <w:szCs w:val="24"/>
        </w:rPr>
        <w:t>[20]</w:t>
      </w:r>
      <w:r w:rsidRPr="008773B1">
        <w:rPr>
          <w:rFonts w:ascii="Times New Roman" w:hAnsi="Times New Roman"/>
          <w:sz w:val="24"/>
          <w:szCs w:val="24"/>
        </w:rPr>
        <w:t>.</w:t>
      </w:r>
      <w:r w:rsidR="007F2934" w:rsidRPr="008773B1">
        <w:rPr>
          <w:rFonts w:ascii="Times New Roman" w:hAnsi="Times New Roman"/>
          <w:sz w:val="24"/>
          <w:szCs w:val="24"/>
        </w:rPr>
        <w:t xml:space="preserve"> Likewise, </w:t>
      </w:r>
      <w:r w:rsidR="00C64050" w:rsidRPr="008773B1">
        <w:rPr>
          <w:rFonts w:ascii="Times New Roman" w:hAnsi="Times New Roman"/>
          <w:sz w:val="24"/>
          <w:szCs w:val="24"/>
        </w:rPr>
        <w:t xml:space="preserve">El </w:t>
      </w:r>
      <w:r w:rsidR="00E12183" w:rsidRPr="008773B1">
        <w:rPr>
          <w:rFonts w:ascii="Times New Roman" w:hAnsi="Times New Roman"/>
          <w:sz w:val="24"/>
          <w:szCs w:val="24"/>
        </w:rPr>
        <w:t>Hendy</w:t>
      </w:r>
      <w:r w:rsidR="00E508A8">
        <w:rPr>
          <w:rFonts w:ascii="Times New Roman" w:hAnsi="Times New Roman"/>
          <w:sz w:val="24"/>
          <w:szCs w:val="24"/>
        </w:rPr>
        <w:t>,</w:t>
      </w:r>
      <w:r w:rsidR="007F2934" w:rsidRPr="008773B1">
        <w:rPr>
          <w:rFonts w:ascii="Times New Roman" w:hAnsi="Times New Roman"/>
          <w:sz w:val="24"/>
          <w:szCs w:val="24"/>
        </w:rPr>
        <w:t xml:space="preserve"> et al. </w:t>
      </w:r>
      <w:r w:rsidRPr="008773B1">
        <w:rPr>
          <w:rFonts w:ascii="Times New Roman" w:hAnsi="Times New Roman"/>
          <w:sz w:val="24"/>
          <w:szCs w:val="24"/>
        </w:rPr>
        <w:t>argued that zinc could direc</w:t>
      </w:r>
      <w:r w:rsidR="00C46D5E" w:rsidRPr="008773B1">
        <w:rPr>
          <w:rFonts w:ascii="Times New Roman" w:hAnsi="Times New Roman"/>
          <w:sz w:val="24"/>
          <w:szCs w:val="24"/>
        </w:rPr>
        <w:t>tly affect thyroid function which</w:t>
      </w:r>
      <w:r w:rsidRPr="008773B1">
        <w:rPr>
          <w:rFonts w:ascii="Times New Roman" w:hAnsi="Times New Roman"/>
          <w:sz w:val="24"/>
          <w:szCs w:val="24"/>
        </w:rPr>
        <w:t xml:space="preserve"> </w:t>
      </w:r>
      <w:r w:rsidR="00C46D5E" w:rsidRPr="008773B1">
        <w:rPr>
          <w:rFonts w:ascii="Times New Roman" w:hAnsi="Times New Roman"/>
          <w:sz w:val="24"/>
          <w:szCs w:val="24"/>
        </w:rPr>
        <w:t xml:space="preserve">could </w:t>
      </w:r>
      <w:r w:rsidRPr="008773B1">
        <w:rPr>
          <w:rFonts w:ascii="Times New Roman" w:hAnsi="Times New Roman"/>
          <w:sz w:val="24"/>
          <w:szCs w:val="24"/>
        </w:rPr>
        <w:t xml:space="preserve">play a role in thyroid hormone metabolism by increasing the production of thyroxin-binding </w:t>
      </w:r>
      <w:r w:rsidR="00C92391" w:rsidRPr="008773B1">
        <w:rPr>
          <w:rFonts w:ascii="Times New Roman" w:hAnsi="Times New Roman"/>
          <w:sz w:val="24"/>
          <w:szCs w:val="24"/>
        </w:rPr>
        <w:t>proteins</w:t>
      </w:r>
      <w:r w:rsidR="00E508A8">
        <w:rPr>
          <w:rFonts w:ascii="Times New Roman" w:hAnsi="Times New Roman"/>
          <w:sz w:val="24"/>
          <w:szCs w:val="24"/>
        </w:rPr>
        <w:t xml:space="preserve"> </w:t>
      </w:r>
      <w:r w:rsidR="00E508A8" w:rsidRPr="008773B1">
        <w:rPr>
          <w:rFonts w:ascii="Times New Roman" w:hAnsi="Times New Roman"/>
          <w:sz w:val="24"/>
          <w:szCs w:val="24"/>
        </w:rPr>
        <w:t>[21]</w:t>
      </w:r>
      <w:r w:rsidR="00C92391" w:rsidRPr="008773B1">
        <w:rPr>
          <w:rFonts w:ascii="Times New Roman" w:hAnsi="Times New Roman"/>
          <w:sz w:val="24"/>
          <w:szCs w:val="24"/>
        </w:rPr>
        <w:t>. Olivieri</w:t>
      </w:r>
      <w:r w:rsidR="00E508A8">
        <w:rPr>
          <w:rFonts w:ascii="Times New Roman" w:hAnsi="Times New Roman"/>
          <w:sz w:val="24"/>
          <w:szCs w:val="24"/>
        </w:rPr>
        <w:t>,</w:t>
      </w:r>
      <w:r w:rsidR="00C92391" w:rsidRPr="008773B1">
        <w:rPr>
          <w:rFonts w:ascii="Times New Roman" w:hAnsi="Times New Roman"/>
          <w:sz w:val="24"/>
          <w:szCs w:val="24"/>
        </w:rPr>
        <w:t xml:space="preserve"> et al. </w:t>
      </w:r>
      <w:r w:rsidRPr="008773B1">
        <w:rPr>
          <w:rFonts w:ascii="Times New Roman" w:hAnsi="Times New Roman"/>
          <w:sz w:val="24"/>
          <w:szCs w:val="24"/>
        </w:rPr>
        <w:t xml:space="preserve">showed that Zn deficiency has led to </w:t>
      </w:r>
      <w:r w:rsidR="00C46D5E" w:rsidRPr="008773B1">
        <w:rPr>
          <w:rFonts w:ascii="Times New Roman" w:hAnsi="Times New Roman"/>
          <w:sz w:val="24"/>
          <w:szCs w:val="24"/>
        </w:rPr>
        <w:t>decreased</w:t>
      </w:r>
      <w:r w:rsidRPr="008773B1">
        <w:rPr>
          <w:rFonts w:ascii="Times New Roman" w:hAnsi="Times New Roman"/>
          <w:sz w:val="24"/>
          <w:szCs w:val="24"/>
        </w:rPr>
        <w:t xml:space="preserve"> iodothyronine levels and they also found a strong posit</w:t>
      </w:r>
      <w:r w:rsidR="00C46D5E" w:rsidRPr="008773B1">
        <w:rPr>
          <w:rFonts w:ascii="Times New Roman" w:hAnsi="Times New Roman"/>
          <w:sz w:val="24"/>
          <w:szCs w:val="24"/>
        </w:rPr>
        <w:t xml:space="preserve">ive association between Zn and free </w:t>
      </w:r>
      <w:r w:rsidRPr="008773B1">
        <w:rPr>
          <w:rFonts w:ascii="Times New Roman" w:hAnsi="Times New Roman"/>
          <w:sz w:val="24"/>
          <w:szCs w:val="24"/>
        </w:rPr>
        <w:t>T3 levels</w:t>
      </w:r>
      <w:r w:rsidR="00E508A8">
        <w:rPr>
          <w:rFonts w:ascii="Times New Roman" w:hAnsi="Times New Roman"/>
          <w:sz w:val="24"/>
          <w:szCs w:val="24"/>
        </w:rPr>
        <w:t xml:space="preserve"> </w:t>
      </w:r>
      <w:r w:rsidR="00E508A8" w:rsidRPr="008773B1">
        <w:rPr>
          <w:rFonts w:ascii="Times New Roman" w:hAnsi="Times New Roman"/>
          <w:sz w:val="24"/>
          <w:szCs w:val="24"/>
        </w:rPr>
        <w:t>[22]</w:t>
      </w:r>
      <w:r w:rsidRPr="008773B1">
        <w:rPr>
          <w:rFonts w:ascii="Times New Roman" w:hAnsi="Times New Roman"/>
          <w:sz w:val="24"/>
          <w:szCs w:val="24"/>
        </w:rPr>
        <w:t>.</w:t>
      </w:r>
    </w:p>
    <w:p w14:paraId="53EF78C3"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Zinc levels for male</w:t>
      </w:r>
      <w:r w:rsidR="00C92391" w:rsidRPr="008773B1">
        <w:rPr>
          <w:rFonts w:ascii="Times New Roman" w:hAnsi="Times New Roman"/>
          <w:sz w:val="24"/>
          <w:szCs w:val="24"/>
        </w:rPr>
        <w:t xml:space="preserve"> Test</w:t>
      </w:r>
      <w:r w:rsidRPr="008773B1">
        <w:rPr>
          <w:rFonts w:ascii="Times New Roman" w:hAnsi="Times New Roman"/>
          <w:sz w:val="24"/>
          <w:szCs w:val="24"/>
        </w:rPr>
        <w:t xml:space="preserve"> subjects with hypothyroidism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C92391" w:rsidRPr="008773B1">
        <w:rPr>
          <w:rFonts w:ascii="Times New Roman" w:hAnsi="Times New Roman"/>
          <w:sz w:val="24"/>
          <w:szCs w:val="24"/>
        </w:rPr>
        <w:t>male control (p&lt;</w:t>
      </w:r>
      <w:r w:rsidRPr="008773B1">
        <w:rPr>
          <w:rFonts w:ascii="Times New Roman" w:hAnsi="Times New Roman"/>
          <w:sz w:val="24"/>
          <w:szCs w:val="24"/>
        </w:rPr>
        <w:t>0.00</w:t>
      </w:r>
      <w:r w:rsidR="00C92391" w:rsidRPr="008773B1">
        <w:rPr>
          <w:rFonts w:ascii="Times New Roman" w:hAnsi="Times New Roman"/>
          <w:sz w:val="24"/>
          <w:szCs w:val="24"/>
        </w:rPr>
        <w:t>1</w:t>
      </w:r>
      <w:r w:rsidRPr="008773B1">
        <w:rPr>
          <w:rFonts w:ascii="Times New Roman" w:hAnsi="Times New Roman"/>
          <w:sz w:val="24"/>
          <w:szCs w:val="24"/>
        </w:rPr>
        <w:t>). Furthermore, zinc levels in female</w:t>
      </w:r>
      <w:r w:rsidR="00550A80" w:rsidRPr="008773B1">
        <w:rPr>
          <w:rFonts w:ascii="Times New Roman" w:hAnsi="Times New Roman"/>
          <w:sz w:val="24"/>
          <w:szCs w:val="24"/>
        </w:rPr>
        <w:t xml:space="preserve"> Test</w:t>
      </w:r>
      <w:r w:rsidRPr="008773B1">
        <w:rPr>
          <w:rFonts w:ascii="Times New Roman" w:hAnsi="Times New Roman"/>
          <w:sz w:val="24"/>
          <w:szCs w:val="24"/>
        </w:rPr>
        <w:t xml:space="preserve"> subjects with hypothyroidism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w:t>
      </w:r>
      <w:r w:rsidR="00550A80" w:rsidRPr="008773B1">
        <w:rPr>
          <w:rFonts w:ascii="Times New Roman" w:hAnsi="Times New Roman"/>
          <w:sz w:val="24"/>
          <w:szCs w:val="24"/>
        </w:rPr>
        <w:t>y lower compared to</w:t>
      </w:r>
      <w:r w:rsidRPr="008773B1">
        <w:rPr>
          <w:rFonts w:ascii="Times New Roman" w:hAnsi="Times New Roman"/>
          <w:sz w:val="24"/>
          <w:szCs w:val="24"/>
        </w:rPr>
        <w:t xml:space="preserve"> female </w:t>
      </w:r>
      <w:r w:rsidR="00C92391" w:rsidRPr="008773B1">
        <w:rPr>
          <w:rFonts w:ascii="Times New Roman" w:hAnsi="Times New Roman"/>
          <w:sz w:val="24"/>
          <w:szCs w:val="24"/>
        </w:rPr>
        <w:t xml:space="preserve">control </w:t>
      </w:r>
      <w:r w:rsidR="00550A80" w:rsidRPr="008773B1">
        <w:rPr>
          <w:rFonts w:ascii="Times New Roman" w:hAnsi="Times New Roman"/>
          <w:sz w:val="24"/>
          <w:szCs w:val="24"/>
        </w:rPr>
        <w:t>(p &lt; 0.001)</w:t>
      </w:r>
      <w:r w:rsidRPr="008773B1">
        <w:rPr>
          <w:rFonts w:ascii="Times New Roman" w:hAnsi="Times New Roman"/>
          <w:sz w:val="24"/>
          <w:szCs w:val="24"/>
        </w:rPr>
        <w:t>. Similar results were obtained in patients with hyperthyroidism. A decrease in thyroid hormones leads to the suppression of zinc</w:t>
      </w:r>
      <w:r w:rsidR="00C92391" w:rsidRPr="008773B1">
        <w:rPr>
          <w:rFonts w:ascii="Times New Roman" w:hAnsi="Times New Roman"/>
          <w:sz w:val="24"/>
          <w:szCs w:val="24"/>
        </w:rPr>
        <w:t xml:space="preserve"> levels [14]</w:t>
      </w:r>
      <w:r w:rsidRPr="008773B1">
        <w:rPr>
          <w:rFonts w:ascii="Times New Roman" w:hAnsi="Times New Roman"/>
          <w:sz w:val="24"/>
          <w:szCs w:val="24"/>
        </w:rPr>
        <w:t xml:space="preserve">. In a study including 34 hypothyroid patients, serum zinc content was shown to be remarkably decreased in both male and female subjects compared with </w:t>
      </w:r>
      <w:r w:rsidR="00C92391" w:rsidRPr="008773B1">
        <w:rPr>
          <w:rFonts w:ascii="Times New Roman" w:hAnsi="Times New Roman"/>
          <w:sz w:val="24"/>
          <w:szCs w:val="24"/>
        </w:rPr>
        <w:t>control [14]</w:t>
      </w:r>
      <w:r w:rsidRPr="008773B1">
        <w:rPr>
          <w:rFonts w:ascii="Times New Roman" w:hAnsi="Times New Roman"/>
          <w:sz w:val="24"/>
          <w:szCs w:val="24"/>
        </w:rPr>
        <w:t xml:space="preserve">. </w:t>
      </w:r>
    </w:p>
    <w:p w14:paraId="24F8B34C"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w:t>
      </w:r>
      <w:r w:rsidR="00D777B6" w:rsidRPr="008773B1">
        <w:rPr>
          <w:rFonts w:ascii="Times New Roman" w:hAnsi="Times New Roman"/>
          <w:sz w:val="24"/>
          <w:szCs w:val="24"/>
        </w:rPr>
        <w:t>this study, magnesium levels of Test</w:t>
      </w:r>
      <w:r w:rsidRPr="008773B1">
        <w:rPr>
          <w:rFonts w:ascii="Times New Roman" w:hAnsi="Times New Roman"/>
          <w:sz w:val="24"/>
          <w:szCs w:val="24"/>
        </w:rPr>
        <w:t xml:space="preserve"> subjects with hyperthyroidism </w:t>
      </w:r>
      <w:r w:rsidR="00C46D5E"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550A80" w:rsidRPr="008773B1">
        <w:rPr>
          <w:rFonts w:ascii="Times New Roman" w:hAnsi="Times New Roman"/>
          <w:sz w:val="24"/>
          <w:szCs w:val="24"/>
        </w:rPr>
        <w:t>control</w:t>
      </w:r>
      <w:r w:rsidRPr="008773B1">
        <w:rPr>
          <w:rFonts w:ascii="Times New Roman" w:hAnsi="Times New Roman"/>
          <w:sz w:val="24"/>
          <w:szCs w:val="24"/>
        </w:rPr>
        <w:t xml:space="preserve">, but significantly higher than </w:t>
      </w:r>
      <w:r w:rsidR="00D777B6" w:rsidRPr="008773B1">
        <w:rPr>
          <w:rFonts w:ascii="Times New Roman" w:hAnsi="Times New Roman"/>
          <w:sz w:val="24"/>
          <w:szCs w:val="24"/>
        </w:rPr>
        <w:t>subjects with hypothyroidism (p&lt;</w:t>
      </w:r>
      <w:r w:rsidRPr="008773B1">
        <w:rPr>
          <w:rFonts w:ascii="Times New Roman" w:hAnsi="Times New Roman"/>
          <w:sz w:val="24"/>
          <w:szCs w:val="24"/>
        </w:rPr>
        <w:t>0.00</w:t>
      </w:r>
      <w:r w:rsidR="00D777B6" w:rsidRPr="008773B1">
        <w:rPr>
          <w:rFonts w:ascii="Times New Roman" w:hAnsi="Times New Roman"/>
          <w:sz w:val="24"/>
          <w:szCs w:val="24"/>
        </w:rPr>
        <w:t>1</w:t>
      </w:r>
      <w:r w:rsidRPr="008773B1">
        <w:rPr>
          <w:rFonts w:ascii="Times New Roman" w:hAnsi="Times New Roman"/>
          <w:sz w:val="24"/>
          <w:szCs w:val="24"/>
        </w:rPr>
        <w:t xml:space="preserve">). </w:t>
      </w:r>
      <w:r w:rsidR="00550A80" w:rsidRPr="008773B1">
        <w:rPr>
          <w:rFonts w:ascii="Times New Roman" w:hAnsi="Times New Roman"/>
          <w:sz w:val="24"/>
          <w:szCs w:val="24"/>
        </w:rPr>
        <w:t xml:space="preserve">Test </w:t>
      </w:r>
      <w:r w:rsidRPr="008773B1">
        <w:rPr>
          <w:rFonts w:ascii="Times New Roman" w:hAnsi="Times New Roman"/>
          <w:sz w:val="24"/>
          <w:szCs w:val="24"/>
        </w:rPr>
        <w:t>Subjects with hypothyroidism had non-significantly lower magnesium</w:t>
      </w:r>
      <w:r w:rsidR="00D777B6" w:rsidRPr="008773B1">
        <w:rPr>
          <w:rFonts w:ascii="Times New Roman" w:hAnsi="Times New Roman"/>
          <w:sz w:val="24"/>
          <w:szCs w:val="24"/>
        </w:rPr>
        <w:t xml:space="preserve"> levels</w:t>
      </w:r>
      <w:r w:rsidRPr="008773B1">
        <w:rPr>
          <w:rFonts w:ascii="Times New Roman" w:hAnsi="Times New Roman"/>
          <w:sz w:val="24"/>
          <w:szCs w:val="24"/>
        </w:rPr>
        <w:t xml:space="preserve"> than </w:t>
      </w:r>
      <w:r w:rsidR="00D777B6" w:rsidRPr="008773B1">
        <w:rPr>
          <w:rFonts w:ascii="Times New Roman" w:hAnsi="Times New Roman"/>
          <w:sz w:val="24"/>
          <w:szCs w:val="24"/>
        </w:rPr>
        <w:t>control (p&gt;0.05</w:t>
      </w:r>
      <w:r w:rsidR="00C46D5E" w:rsidRPr="008773B1">
        <w:rPr>
          <w:rFonts w:ascii="Times New Roman" w:hAnsi="Times New Roman"/>
          <w:sz w:val="24"/>
          <w:szCs w:val="24"/>
        </w:rPr>
        <w:t>). T</w:t>
      </w:r>
      <w:r w:rsidRPr="008773B1">
        <w:rPr>
          <w:rFonts w:ascii="Times New Roman" w:hAnsi="Times New Roman"/>
          <w:sz w:val="24"/>
          <w:szCs w:val="24"/>
        </w:rPr>
        <w:t>hese findings might be due to the major influence of thyroid glands on Mg levels. Heightened thyroid activity increases Mg requirements due to increased oxidative phosphorylation. Therefore hypomagnesemia is found in hypothyroid and hyperthyroi</w:t>
      </w:r>
      <w:r w:rsidR="004B6B8B" w:rsidRPr="008773B1">
        <w:rPr>
          <w:rFonts w:ascii="Times New Roman" w:hAnsi="Times New Roman"/>
          <w:sz w:val="24"/>
          <w:szCs w:val="24"/>
        </w:rPr>
        <w:t>d states [2]</w:t>
      </w:r>
      <w:r w:rsidRPr="008773B1">
        <w:rPr>
          <w:rFonts w:ascii="Times New Roman" w:hAnsi="Times New Roman"/>
          <w:sz w:val="24"/>
          <w:szCs w:val="24"/>
        </w:rPr>
        <w:t>. In hypothyroidism</w:t>
      </w:r>
      <w:r w:rsidR="00C46D5E" w:rsidRPr="008773B1">
        <w:rPr>
          <w:rFonts w:ascii="Times New Roman" w:hAnsi="Times New Roman"/>
          <w:sz w:val="24"/>
          <w:szCs w:val="24"/>
        </w:rPr>
        <w:t>,</w:t>
      </w:r>
      <w:r w:rsidRPr="008773B1">
        <w:rPr>
          <w:rFonts w:ascii="Times New Roman" w:hAnsi="Times New Roman"/>
          <w:sz w:val="24"/>
          <w:szCs w:val="24"/>
        </w:rPr>
        <w:t xml:space="preserve"> there is </w:t>
      </w:r>
      <w:r w:rsidR="00C46D5E" w:rsidRPr="008773B1">
        <w:rPr>
          <w:rFonts w:ascii="Times New Roman" w:hAnsi="Times New Roman"/>
          <w:sz w:val="24"/>
          <w:szCs w:val="24"/>
        </w:rPr>
        <w:t>hypomagnesemia</w:t>
      </w:r>
      <w:r w:rsidRPr="008773B1">
        <w:rPr>
          <w:rFonts w:ascii="Times New Roman" w:hAnsi="Times New Roman"/>
          <w:sz w:val="24"/>
          <w:szCs w:val="24"/>
        </w:rPr>
        <w:t xml:space="preserve"> because of urinary output and fractional excretion of magnesium through urine. Magnesium level is reduced due to influence on GFR and decreased clearance. In hypothyroidism</w:t>
      </w:r>
      <w:r w:rsidR="00C46D5E" w:rsidRPr="008773B1">
        <w:rPr>
          <w:rFonts w:ascii="Times New Roman" w:hAnsi="Times New Roman"/>
          <w:sz w:val="24"/>
          <w:szCs w:val="24"/>
        </w:rPr>
        <w:t xml:space="preserve">, </w:t>
      </w:r>
      <w:r w:rsidRPr="008773B1">
        <w:rPr>
          <w:rFonts w:ascii="Times New Roman" w:hAnsi="Times New Roman"/>
          <w:sz w:val="24"/>
          <w:szCs w:val="24"/>
        </w:rPr>
        <w:t>renal blood flow</w:t>
      </w:r>
      <w:r w:rsidR="00926623" w:rsidRPr="008773B1">
        <w:rPr>
          <w:rFonts w:ascii="Times New Roman" w:hAnsi="Times New Roman"/>
          <w:sz w:val="24"/>
          <w:szCs w:val="24"/>
        </w:rPr>
        <w:t xml:space="preserve"> is increased causing</w:t>
      </w:r>
      <w:r w:rsidRPr="008773B1">
        <w:rPr>
          <w:rFonts w:ascii="Times New Roman" w:hAnsi="Times New Roman"/>
          <w:sz w:val="24"/>
          <w:szCs w:val="24"/>
        </w:rPr>
        <w:t xml:space="preserve"> high clearance of magnesium from the kidneys. Lower serum magnesium </w:t>
      </w:r>
      <w:r w:rsidR="00926623" w:rsidRPr="008773B1">
        <w:rPr>
          <w:rFonts w:ascii="Times New Roman" w:hAnsi="Times New Roman"/>
          <w:sz w:val="24"/>
          <w:szCs w:val="24"/>
        </w:rPr>
        <w:t>levels</w:t>
      </w:r>
      <w:r w:rsidRPr="008773B1">
        <w:rPr>
          <w:rFonts w:ascii="Times New Roman" w:hAnsi="Times New Roman"/>
          <w:sz w:val="24"/>
          <w:szCs w:val="24"/>
        </w:rPr>
        <w:t xml:space="preserve"> in hypothyroid patients </w:t>
      </w:r>
      <w:r w:rsidR="00D527ED" w:rsidRPr="008773B1">
        <w:rPr>
          <w:rFonts w:ascii="Times New Roman" w:hAnsi="Times New Roman"/>
          <w:sz w:val="24"/>
          <w:szCs w:val="24"/>
        </w:rPr>
        <w:t>are</w:t>
      </w:r>
      <w:r w:rsidRPr="008773B1">
        <w:rPr>
          <w:rFonts w:ascii="Times New Roman" w:hAnsi="Times New Roman"/>
          <w:sz w:val="24"/>
          <w:szCs w:val="24"/>
        </w:rPr>
        <w:t xml:space="preserve"> due to impaire</w:t>
      </w:r>
      <w:r w:rsidR="008039E7" w:rsidRPr="008773B1">
        <w:rPr>
          <w:rFonts w:ascii="Times New Roman" w:hAnsi="Times New Roman"/>
          <w:sz w:val="24"/>
          <w:szCs w:val="24"/>
        </w:rPr>
        <w:t>d magnesium homeostasis [23]</w:t>
      </w:r>
      <w:r w:rsidRPr="008773B1">
        <w:rPr>
          <w:rFonts w:ascii="Times New Roman" w:hAnsi="Times New Roman"/>
          <w:sz w:val="24"/>
          <w:szCs w:val="24"/>
        </w:rPr>
        <w:t>. Erdal</w:t>
      </w:r>
      <w:r w:rsidR="00530139">
        <w:rPr>
          <w:rFonts w:ascii="Times New Roman" w:hAnsi="Times New Roman"/>
          <w:sz w:val="24"/>
          <w:szCs w:val="24"/>
        </w:rPr>
        <w:t>,</w:t>
      </w:r>
      <w:r w:rsidRPr="008773B1">
        <w:rPr>
          <w:rFonts w:ascii="Times New Roman" w:hAnsi="Times New Roman"/>
          <w:sz w:val="24"/>
          <w:szCs w:val="24"/>
        </w:rPr>
        <w:t xml:space="preserve"> </w:t>
      </w:r>
      <w:r w:rsidR="00ED3A66" w:rsidRPr="008773B1">
        <w:rPr>
          <w:rFonts w:ascii="Times New Roman" w:hAnsi="Times New Roman"/>
          <w:sz w:val="24"/>
          <w:szCs w:val="24"/>
        </w:rPr>
        <w:t xml:space="preserve">et al. </w:t>
      </w:r>
      <w:r w:rsidR="00907B9C" w:rsidRPr="008773B1">
        <w:rPr>
          <w:rFonts w:ascii="Times New Roman" w:hAnsi="Times New Roman"/>
          <w:sz w:val="24"/>
          <w:szCs w:val="24"/>
        </w:rPr>
        <w:t>showed that serum Mg level was</w:t>
      </w:r>
      <w:r w:rsidRPr="008773B1">
        <w:rPr>
          <w:rFonts w:ascii="Times New Roman" w:hAnsi="Times New Roman"/>
          <w:sz w:val="24"/>
          <w:szCs w:val="24"/>
        </w:rPr>
        <w:t xml:space="preserve"> significantly lower in pat</w:t>
      </w:r>
      <w:r w:rsidR="00907B9C" w:rsidRPr="008773B1">
        <w:rPr>
          <w:rFonts w:ascii="Times New Roman" w:hAnsi="Times New Roman"/>
          <w:sz w:val="24"/>
          <w:szCs w:val="24"/>
        </w:rPr>
        <w:t>ients with hypothyroidism than in</w:t>
      </w:r>
      <w:r w:rsidRPr="008773B1">
        <w:rPr>
          <w:rFonts w:ascii="Times New Roman" w:hAnsi="Times New Roman"/>
          <w:sz w:val="24"/>
          <w:szCs w:val="24"/>
        </w:rPr>
        <w:t xml:space="preserve"> control</w:t>
      </w:r>
      <w:r w:rsidR="00530139">
        <w:rPr>
          <w:rFonts w:ascii="Times New Roman" w:hAnsi="Times New Roman"/>
          <w:sz w:val="24"/>
          <w:szCs w:val="24"/>
        </w:rPr>
        <w:t xml:space="preserve"> </w:t>
      </w:r>
      <w:r w:rsidR="00530139" w:rsidRPr="008773B1">
        <w:rPr>
          <w:rFonts w:ascii="Times New Roman" w:hAnsi="Times New Roman"/>
          <w:sz w:val="24"/>
          <w:szCs w:val="24"/>
        </w:rPr>
        <w:t>[24]</w:t>
      </w:r>
      <w:r w:rsidRPr="008773B1">
        <w:rPr>
          <w:rFonts w:ascii="Times New Roman" w:hAnsi="Times New Roman"/>
          <w:sz w:val="24"/>
          <w:szCs w:val="24"/>
        </w:rPr>
        <w:t>. Results of studies on how magnesium values are affected in hypothyroidism seem contradictory and are focused on changes in tissues.</w:t>
      </w:r>
    </w:p>
    <w:p w14:paraId="74033802" w14:textId="77777777" w:rsidR="00B45A36"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The results of this st</w:t>
      </w:r>
      <w:r w:rsidR="00ED3A66" w:rsidRPr="008773B1">
        <w:rPr>
          <w:rFonts w:ascii="Times New Roman" w:hAnsi="Times New Roman"/>
          <w:sz w:val="24"/>
          <w:szCs w:val="24"/>
        </w:rPr>
        <w:t>udy showed that the mean magnesium level of</w:t>
      </w:r>
      <w:r w:rsidRPr="008773B1">
        <w:rPr>
          <w:rFonts w:ascii="Times New Roman" w:hAnsi="Times New Roman"/>
          <w:sz w:val="24"/>
          <w:szCs w:val="24"/>
        </w:rPr>
        <w:t xml:space="preserve"> male </w:t>
      </w:r>
      <w:r w:rsidR="00ED3A66"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ED3A66" w:rsidRPr="008773B1">
        <w:rPr>
          <w:rFonts w:ascii="Times New Roman" w:hAnsi="Times New Roman"/>
          <w:sz w:val="24"/>
          <w:szCs w:val="24"/>
        </w:rPr>
        <w:t>was</w:t>
      </w:r>
      <w:r w:rsidRPr="008773B1">
        <w:rPr>
          <w:rFonts w:ascii="Times New Roman" w:hAnsi="Times New Roman"/>
          <w:sz w:val="24"/>
          <w:szCs w:val="24"/>
        </w:rPr>
        <w:t xml:space="preserve"> significantly low</w:t>
      </w:r>
      <w:r w:rsidR="00ED3A66" w:rsidRPr="008773B1">
        <w:rPr>
          <w:rFonts w:ascii="Times New Roman" w:hAnsi="Times New Roman"/>
          <w:sz w:val="24"/>
          <w:szCs w:val="24"/>
        </w:rPr>
        <w:t>er than control (p&lt;</w:t>
      </w:r>
      <w:r w:rsidRPr="008773B1">
        <w:rPr>
          <w:rFonts w:ascii="Times New Roman" w:hAnsi="Times New Roman"/>
          <w:sz w:val="24"/>
          <w:szCs w:val="24"/>
        </w:rPr>
        <w:t>0.00</w:t>
      </w:r>
      <w:r w:rsidR="00ED3A66" w:rsidRPr="008773B1">
        <w:rPr>
          <w:rFonts w:ascii="Times New Roman" w:hAnsi="Times New Roman"/>
          <w:sz w:val="24"/>
          <w:szCs w:val="24"/>
        </w:rPr>
        <w:t>1</w:t>
      </w:r>
      <w:r w:rsidRPr="008773B1">
        <w:rPr>
          <w:rFonts w:ascii="Times New Roman" w:hAnsi="Times New Roman"/>
          <w:sz w:val="24"/>
          <w:szCs w:val="24"/>
        </w:rPr>
        <w:t>). Similarly</w:t>
      </w:r>
      <w:r w:rsidR="00926623" w:rsidRPr="008773B1">
        <w:rPr>
          <w:rFonts w:ascii="Times New Roman" w:hAnsi="Times New Roman"/>
          <w:sz w:val="24"/>
          <w:szCs w:val="24"/>
        </w:rPr>
        <w:t>,</w:t>
      </w:r>
      <w:r w:rsidRPr="008773B1">
        <w:rPr>
          <w:rFonts w:ascii="Times New Roman" w:hAnsi="Times New Roman"/>
          <w:sz w:val="24"/>
          <w:szCs w:val="24"/>
        </w:rPr>
        <w:t xml:space="preserve"> </w:t>
      </w:r>
      <w:r w:rsidR="00ED3A66" w:rsidRPr="008773B1">
        <w:rPr>
          <w:rFonts w:ascii="Times New Roman" w:hAnsi="Times New Roman"/>
          <w:sz w:val="24"/>
          <w:szCs w:val="24"/>
        </w:rPr>
        <w:t>mean serum magnesium level</w:t>
      </w:r>
      <w:r w:rsidRPr="008773B1">
        <w:rPr>
          <w:rFonts w:ascii="Times New Roman" w:hAnsi="Times New Roman"/>
          <w:sz w:val="24"/>
          <w:szCs w:val="24"/>
        </w:rPr>
        <w:t xml:space="preserve"> in female </w:t>
      </w:r>
      <w:r w:rsidR="00ED3A66"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ED3A66" w:rsidRPr="008773B1">
        <w:rPr>
          <w:rFonts w:ascii="Times New Roman" w:hAnsi="Times New Roman"/>
          <w:sz w:val="24"/>
          <w:szCs w:val="24"/>
        </w:rPr>
        <w:t>was</w:t>
      </w:r>
      <w:r w:rsidRPr="008773B1">
        <w:rPr>
          <w:rFonts w:ascii="Times New Roman" w:hAnsi="Times New Roman"/>
          <w:sz w:val="24"/>
          <w:szCs w:val="24"/>
        </w:rPr>
        <w:t xml:space="preserve"> significantly lower</w:t>
      </w:r>
      <w:r w:rsidR="00ED3A66" w:rsidRPr="008773B1">
        <w:rPr>
          <w:rFonts w:ascii="Times New Roman" w:hAnsi="Times New Roman"/>
          <w:sz w:val="24"/>
          <w:szCs w:val="24"/>
        </w:rPr>
        <w:t xml:space="preserve"> when</w:t>
      </w:r>
      <w:r w:rsidRPr="008773B1">
        <w:rPr>
          <w:rFonts w:ascii="Times New Roman" w:hAnsi="Times New Roman"/>
          <w:sz w:val="24"/>
          <w:szCs w:val="24"/>
        </w:rPr>
        <w:t xml:space="preserve"> compared with </w:t>
      </w:r>
      <w:r w:rsidR="00ED3A66" w:rsidRPr="008773B1">
        <w:rPr>
          <w:rFonts w:ascii="Times New Roman" w:hAnsi="Times New Roman"/>
          <w:sz w:val="24"/>
          <w:szCs w:val="24"/>
        </w:rPr>
        <w:t>female control (p&lt;</w:t>
      </w:r>
      <w:r w:rsidRPr="008773B1">
        <w:rPr>
          <w:rFonts w:ascii="Times New Roman" w:hAnsi="Times New Roman"/>
          <w:sz w:val="24"/>
          <w:szCs w:val="24"/>
        </w:rPr>
        <w:t>0.00</w:t>
      </w:r>
      <w:r w:rsidR="00ED3A66" w:rsidRPr="008773B1">
        <w:rPr>
          <w:rFonts w:ascii="Times New Roman" w:hAnsi="Times New Roman"/>
          <w:sz w:val="24"/>
          <w:szCs w:val="24"/>
        </w:rPr>
        <w:t>1</w:t>
      </w:r>
      <w:r w:rsidRPr="008773B1">
        <w:rPr>
          <w:rFonts w:ascii="Times New Roman" w:hAnsi="Times New Roman"/>
          <w:sz w:val="24"/>
          <w:szCs w:val="24"/>
        </w:rPr>
        <w:t xml:space="preserve">) respectively. This finding is </w:t>
      </w:r>
      <w:r w:rsidR="00926623" w:rsidRPr="008773B1">
        <w:rPr>
          <w:rFonts w:ascii="Times New Roman" w:hAnsi="Times New Roman"/>
          <w:sz w:val="24"/>
          <w:szCs w:val="24"/>
        </w:rPr>
        <w:t xml:space="preserve">in </w:t>
      </w:r>
      <w:r w:rsidRPr="008773B1">
        <w:rPr>
          <w:rFonts w:ascii="Times New Roman" w:hAnsi="Times New Roman"/>
          <w:sz w:val="24"/>
          <w:szCs w:val="24"/>
        </w:rPr>
        <w:t xml:space="preserve">agreement with previous studies which reported significantly lower magnesium levels in male and female subjects with hypothyroidism compared with male and female control </w:t>
      </w:r>
      <w:r w:rsidR="00ED3A66" w:rsidRPr="008773B1">
        <w:rPr>
          <w:rFonts w:ascii="Times New Roman" w:hAnsi="Times New Roman"/>
          <w:sz w:val="24"/>
          <w:szCs w:val="24"/>
        </w:rPr>
        <w:t>[2]</w:t>
      </w:r>
      <w:r w:rsidRPr="008773B1">
        <w:rPr>
          <w:rFonts w:ascii="Times New Roman" w:hAnsi="Times New Roman"/>
          <w:sz w:val="24"/>
          <w:szCs w:val="24"/>
        </w:rPr>
        <w:t xml:space="preserve">. Magnesium is an incredibly vital mineral found in the human body. Magnesium plays an important role in a wide range of body functions. Not only does magnesium stimulate the thyroid gland to produce more T4, but it </w:t>
      </w:r>
      <w:r w:rsidRPr="008773B1">
        <w:rPr>
          <w:rFonts w:ascii="Times New Roman" w:hAnsi="Times New Roman"/>
          <w:sz w:val="24"/>
          <w:szCs w:val="24"/>
        </w:rPr>
        <w:lastRenderedPageBreak/>
        <w:t>simultaneously changes T4 into T3. This is a huge reason why magnesium is so vital. Magnesium helps the body to make more T4 in the thyroid gland. Thyroid hormone is a central regulator of body hemodynamics, thermoregulation</w:t>
      </w:r>
      <w:r w:rsidR="00926623" w:rsidRPr="008773B1">
        <w:rPr>
          <w:rFonts w:ascii="Times New Roman" w:hAnsi="Times New Roman"/>
          <w:sz w:val="24"/>
          <w:szCs w:val="24"/>
        </w:rPr>
        <w:t>,</w:t>
      </w:r>
      <w:r w:rsidRPr="008773B1">
        <w:rPr>
          <w:rFonts w:ascii="Times New Roman" w:hAnsi="Times New Roman"/>
          <w:sz w:val="24"/>
          <w:szCs w:val="24"/>
        </w:rPr>
        <w:t xml:space="preserve"> and metabolism. Therefore, it </w:t>
      </w:r>
      <w:r w:rsidR="00926623" w:rsidRPr="008773B1">
        <w:rPr>
          <w:rFonts w:ascii="Times New Roman" w:hAnsi="Times New Roman"/>
          <w:sz w:val="24"/>
          <w:szCs w:val="24"/>
        </w:rPr>
        <w:t>influences</w:t>
      </w:r>
      <w:r w:rsidRPr="008773B1">
        <w:rPr>
          <w:rFonts w:ascii="Times New Roman" w:hAnsi="Times New Roman"/>
          <w:sz w:val="24"/>
          <w:szCs w:val="24"/>
        </w:rPr>
        <w:t xml:space="preserve"> renal hemodynamics, glomerular filtration</w:t>
      </w:r>
      <w:r w:rsidR="00A655AD" w:rsidRPr="008773B1">
        <w:rPr>
          <w:rFonts w:ascii="Times New Roman" w:hAnsi="Times New Roman"/>
          <w:sz w:val="24"/>
          <w:szCs w:val="24"/>
        </w:rPr>
        <w:t>,</w:t>
      </w:r>
      <w:r w:rsidRPr="008773B1">
        <w:rPr>
          <w:rFonts w:ascii="Times New Roman" w:hAnsi="Times New Roman"/>
          <w:sz w:val="24"/>
          <w:szCs w:val="24"/>
        </w:rPr>
        <w:t xml:space="preserve"> and electrolyte </w:t>
      </w:r>
      <w:r w:rsidR="00ED3A66" w:rsidRPr="008773B1">
        <w:rPr>
          <w:rFonts w:ascii="Times New Roman" w:hAnsi="Times New Roman"/>
          <w:sz w:val="24"/>
          <w:szCs w:val="24"/>
        </w:rPr>
        <w:t>handling [25]</w:t>
      </w:r>
      <w:r w:rsidRPr="008773B1">
        <w:rPr>
          <w:rFonts w:ascii="Times New Roman" w:hAnsi="Times New Roman"/>
          <w:sz w:val="24"/>
          <w:szCs w:val="24"/>
        </w:rPr>
        <w:t xml:space="preserve">. </w:t>
      </w:r>
    </w:p>
    <w:p w14:paraId="3A8896EB" w14:textId="77777777" w:rsidR="006C3F06"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 xml:space="preserve">In this study, vitamin A levels in </w:t>
      </w:r>
      <w:r w:rsidR="009B4E8B" w:rsidRPr="008773B1">
        <w:rPr>
          <w:rFonts w:ascii="Times New Roman" w:hAnsi="Times New Roman"/>
          <w:sz w:val="24"/>
          <w:szCs w:val="24"/>
        </w:rPr>
        <w:t xml:space="preserve">Test </w:t>
      </w:r>
      <w:r w:rsidRPr="008773B1">
        <w:rPr>
          <w:rFonts w:ascii="Times New Roman" w:hAnsi="Times New Roman"/>
          <w:sz w:val="24"/>
          <w:szCs w:val="24"/>
        </w:rPr>
        <w:t xml:space="preserve">subjects with hyperthyroidism </w:t>
      </w:r>
      <w:r w:rsidR="00926623"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926623" w:rsidRPr="008773B1">
        <w:rPr>
          <w:rFonts w:ascii="Times New Roman" w:hAnsi="Times New Roman"/>
          <w:sz w:val="24"/>
          <w:szCs w:val="24"/>
        </w:rPr>
        <w:t xml:space="preserve">in </w:t>
      </w:r>
      <w:r w:rsidR="009B4E8B" w:rsidRPr="008773B1">
        <w:rPr>
          <w:rFonts w:ascii="Times New Roman" w:hAnsi="Times New Roman"/>
          <w:sz w:val="24"/>
          <w:szCs w:val="24"/>
        </w:rPr>
        <w:t>control (p&lt;</w:t>
      </w:r>
      <w:r w:rsidRPr="008773B1">
        <w:rPr>
          <w:rFonts w:ascii="Times New Roman" w:hAnsi="Times New Roman"/>
          <w:sz w:val="24"/>
          <w:szCs w:val="24"/>
        </w:rPr>
        <w:t>0.00</w:t>
      </w:r>
      <w:r w:rsidR="009B4E8B" w:rsidRPr="008773B1">
        <w:rPr>
          <w:rFonts w:ascii="Times New Roman" w:hAnsi="Times New Roman"/>
          <w:sz w:val="24"/>
          <w:szCs w:val="24"/>
        </w:rPr>
        <w:t>1</w:t>
      </w:r>
      <w:r w:rsidRPr="008773B1">
        <w:rPr>
          <w:rFonts w:ascii="Times New Roman" w:hAnsi="Times New Roman"/>
          <w:sz w:val="24"/>
          <w:szCs w:val="24"/>
        </w:rPr>
        <w:t xml:space="preserve">), but significantly higher than </w:t>
      </w:r>
      <w:r w:rsidR="00926623" w:rsidRPr="008773B1">
        <w:rPr>
          <w:rFonts w:ascii="Times New Roman" w:hAnsi="Times New Roman"/>
          <w:sz w:val="24"/>
          <w:szCs w:val="24"/>
        </w:rPr>
        <w:t xml:space="preserve">in </w:t>
      </w:r>
      <w:r w:rsidR="009B4E8B" w:rsidRPr="008773B1">
        <w:rPr>
          <w:rFonts w:ascii="Times New Roman" w:hAnsi="Times New Roman"/>
          <w:sz w:val="24"/>
          <w:szCs w:val="24"/>
        </w:rPr>
        <w:t>Test subjects with hypothyroidism (p&lt;</w:t>
      </w:r>
      <w:r w:rsidRPr="008773B1">
        <w:rPr>
          <w:rFonts w:ascii="Times New Roman" w:hAnsi="Times New Roman"/>
          <w:sz w:val="24"/>
          <w:szCs w:val="24"/>
        </w:rPr>
        <w:t>0.00</w:t>
      </w:r>
      <w:r w:rsidR="009B4E8B" w:rsidRPr="008773B1">
        <w:rPr>
          <w:rFonts w:ascii="Times New Roman" w:hAnsi="Times New Roman"/>
          <w:sz w:val="24"/>
          <w:szCs w:val="24"/>
        </w:rPr>
        <w:t>1</w:t>
      </w:r>
      <w:r w:rsidRPr="008773B1">
        <w:rPr>
          <w:rFonts w:ascii="Times New Roman" w:hAnsi="Times New Roman"/>
          <w:sz w:val="24"/>
          <w:szCs w:val="24"/>
        </w:rPr>
        <w:t xml:space="preserve">). </w:t>
      </w:r>
      <w:r w:rsidR="009B4E8B" w:rsidRPr="008773B1">
        <w:rPr>
          <w:rFonts w:ascii="Times New Roman" w:hAnsi="Times New Roman"/>
          <w:sz w:val="24"/>
          <w:szCs w:val="24"/>
        </w:rPr>
        <w:t>Test s</w:t>
      </w:r>
      <w:r w:rsidRPr="008773B1">
        <w:rPr>
          <w:rFonts w:ascii="Times New Roman" w:hAnsi="Times New Roman"/>
          <w:sz w:val="24"/>
          <w:szCs w:val="24"/>
        </w:rPr>
        <w:t xml:space="preserve">ubjects with hypothyroidism had significantly lower vitamin A than </w:t>
      </w:r>
      <w:r w:rsidR="009B4E8B" w:rsidRPr="008773B1">
        <w:rPr>
          <w:rFonts w:ascii="Times New Roman" w:hAnsi="Times New Roman"/>
          <w:sz w:val="24"/>
          <w:szCs w:val="24"/>
        </w:rPr>
        <w:t>control (p&lt;</w:t>
      </w:r>
      <w:r w:rsidRPr="008773B1">
        <w:rPr>
          <w:rFonts w:ascii="Times New Roman" w:hAnsi="Times New Roman"/>
          <w:sz w:val="24"/>
          <w:szCs w:val="24"/>
        </w:rPr>
        <w:t>0.00</w:t>
      </w:r>
      <w:r w:rsidR="009B4E8B" w:rsidRPr="008773B1">
        <w:rPr>
          <w:rFonts w:ascii="Times New Roman" w:hAnsi="Times New Roman"/>
          <w:sz w:val="24"/>
          <w:szCs w:val="24"/>
        </w:rPr>
        <w:t>1</w:t>
      </w:r>
      <w:r w:rsidRPr="008773B1">
        <w:rPr>
          <w:rFonts w:ascii="Times New Roman" w:hAnsi="Times New Roman"/>
          <w:sz w:val="24"/>
          <w:szCs w:val="24"/>
        </w:rPr>
        <w:t xml:space="preserve">). Vitamin A deficiency affects thyroid hormones resulting in iodine deficiency disorders. Vitamin A deficiency appears to be closely related to thyroid gland impairment, </w:t>
      </w:r>
      <w:r w:rsidR="00A655AD" w:rsidRPr="008773B1">
        <w:rPr>
          <w:rFonts w:ascii="Times New Roman" w:hAnsi="Times New Roman"/>
          <w:sz w:val="24"/>
          <w:szCs w:val="24"/>
        </w:rPr>
        <w:t>from</w:t>
      </w:r>
      <w:r w:rsidRPr="008773B1">
        <w:rPr>
          <w:rFonts w:ascii="Times New Roman" w:hAnsi="Times New Roman"/>
          <w:sz w:val="24"/>
          <w:szCs w:val="24"/>
        </w:rPr>
        <w:t xml:space="preserve"> its frequent asso</w:t>
      </w:r>
      <w:r w:rsidR="009B4E8B" w:rsidRPr="008773B1">
        <w:rPr>
          <w:rFonts w:ascii="Times New Roman" w:hAnsi="Times New Roman"/>
          <w:sz w:val="24"/>
          <w:szCs w:val="24"/>
        </w:rPr>
        <w:t>ciation with iodine deficiency. D</w:t>
      </w:r>
      <w:r w:rsidRPr="008773B1">
        <w:rPr>
          <w:rFonts w:ascii="Times New Roman" w:hAnsi="Times New Roman"/>
          <w:sz w:val="24"/>
          <w:szCs w:val="24"/>
        </w:rPr>
        <w:t xml:space="preserve">eficiency of vitamin A has been observed in thyroid diseases </w:t>
      </w:r>
      <w:r w:rsidR="00670BA4">
        <w:rPr>
          <w:rFonts w:ascii="Times New Roman" w:hAnsi="Times New Roman"/>
          <w:sz w:val="24"/>
          <w:szCs w:val="24"/>
        </w:rPr>
        <w:t>[26-</w:t>
      </w:r>
      <w:r w:rsidR="00CB02AB" w:rsidRPr="008773B1">
        <w:rPr>
          <w:rFonts w:ascii="Times New Roman" w:hAnsi="Times New Roman"/>
          <w:sz w:val="24"/>
          <w:szCs w:val="24"/>
        </w:rPr>
        <w:t>27]</w:t>
      </w:r>
      <w:r w:rsidRPr="008773B1">
        <w:rPr>
          <w:rFonts w:ascii="Times New Roman" w:hAnsi="Times New Roman"/>
          <w:sz w:val="24"/>
          <w:szCs w:val="24"/>
        </w:rPr>
        <w:t xml:space="preserve">. Similarly, the influence of a deficiency of this vitamin on TSH and thyroid hormone levels in individuals with abnormal thyroid </w:t>
      </w:r>
      <w:r w:rsidR="00A655AD" w:rsidRPr="008773B1">
        <w:rPr>
          <w:rFonts w:ascii="Times New Roman" w:hAnsi="Times New Roman"/>
          <w:sz w:val="24"/>
          <w:szCs w:val="24"/>
        </w:rPr>
        <w:t>hormones</w:t>
      </w:r>
      <w:r w:rsidRPr="008773B1">
        <w:rPr>
          <w:rFonts w:ascii="Times New Roman" w:hAnsi="Times New Roman"/>
          <w:sz w:val="24"/>
          <w:szCs w:val="24"/>
        </w:rPr>
        <w:t xml:space="preserve"> </w:t>
      </w:r>
      <w:r w:rsidR="00A655AD" w:rsidRPr="008773B1">
        <w:rPr>
          <w:rFonts w:ascii="Times New Roman" w:hAnsi="Times New Roman"/>
          <w:sz w:val="24"/>
          <w:szCs w:val="24"/>
        </w:rPr>
        <w:t>has</w:t>
      </w:r>
      <w:r w:rsidR="00CB02AB" w:rsidRPr="008773B1">
        <w:rPr>
          <w:rFonts w:ascii="Times New Roman" w:hAnsi="Times New Roman"/>
          <w:sz w:val="24"/>
          <w:szCs w:val="24"/>
        </w:rPr>
        <w:t xml:space="preserve"> also been reported [27]</w:t>
      </w:r>
      <w:r w:rsidRPr="008773B1">
        <w:rPr>
          <w:rFonts w:ascii="Times New Roman" w:hAnsi="Times New Roman"/>
          <w:sz w:val="24"/>
          <w:szCs w:val="24"/>
        </w:rPr>
        <w:t xml:space="preserve">. Vitamin A levels in male </w:t>
      </w:r>
      <w:r w:rsidR="00CB02AB"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A655AD" w:rsidRPr="008773B1">
        <w:rPr>
          <w:rFonts w:ascii="Times New Roman" w:hAnsi="Times New Roman"/>
          <w:sz w:val="24"/>
          <w:szCs w:val="24"/>
        </w:rPr>
        <w:t>were</w:t>
      </w:r>
      <w:r w:rsidRPr="008773B1">
        <w:rPr>
          <w:rFonts w:ascii="Times New Roman" w:hAnsi="Times New Roman"/>
          <w:sz w:val="24"/>
          <w:szCs w:val="24"/>
        </w:rPr>
        <w:t xml:space="preserve"> significantly lower than </w:t>
      </w:r>
      <w:r w:rsidR="00A655AD" w:rsidRPr="008773B1">
        <w:rPr>
          <w:rFonts w:ascii="Times New Roman" w:hAnsi="Times New Roman"/>
          <w:sz w:val="24"/>
          <w:szCs w:val="24"/>
        </w:rPr>
        <w:t xml:space="preserve">in </w:t>
      </w:r>
      <w:r w:rsidR="00CB02AB" w:rsidRPr="008773B1">
        <w:rPr>
          <w:rFonts w:ascii="Times New Roman" w:hAnsi="Times New Roman"/>
          <w:sz w:val="24"/>
          <w:szCs w:val="24"/>
        </w:rPr>
        <w:t>control (p&lt;</w:t>
      </w:r>
      <w:r w:rsidRPr="008773B1">
        <w:rPr>
          <w:rFonts w:ascii="Times New Roman" w:hAnsi="Times New Roman"/>
          <w:sz w:val="24"/>
          <w:szCs w:val="24"/>
        </w:rPr>
        <w:t>0.00</w:t>
      </w:r>
      <w:r w:rsidR="00CB02AB" w:rsidRPr="008773B1">
        <w:rPr>
          <w:rFonts w:ascii="Times New Roman" w:hAnsi="Times New Roman"/>
          <w:sz w:val="24"/>
          <w:szCs w:val="24"/>
        </w:rPr>
        <w:t xml:space="preserve">1). </w:t>
      </w:r>
      <w:r w:rsidRPr="008773B1">
        <w:rPr>
          <w:rFonts w:ascii="Times New Roman" w:hAnsi="Times New Roman"/>
          <w:sz w:val="24"/>
          <w:szCs w:val="24"/>
        </w:rPr>
        <w:t>Similarly</w:t>
      </w:r>
      <w:r w:rsidR="00A655AD" w:rsidRPr="008773B1">
        <w:rPr>
          <w:rFonts w:ascii="Times New Roman" w:hAnsi="Times New Roman"/>
          <w:sz w:val="24"/>
          <w:szCs w:val="24"/>
        </w:rPr>
        <w:t>,</w:t>
      </w:r>
      <w:r w:rsidRPr="008773B1">
        <w:rPr>
          <w:rFonts w:ascii="Times New Roman" w:hAnsi="Times New Roman"/>
          <w:sz w:val="24"/>
          <w:szCs w:val="24"/>
        </w:rPr>
        <w:t xml:space="preserve"> </w:t>
      </w:r>
      <w:r w:rsidR="00001AA2">
        <w:rPr>
          <w:rFonts w:ascii="Times New Roman" w:hAnsi="Times New Roman"/>
          <w:sz w:val="24"/>
          <w:szCs w:val="24"/>
        </w:rPr>
        <w:t xml:space="preserve">the </w:t>
      </w:r>
      <w:r w:rsidR="001476CB" w:rsidRPr="008773B1">
        <w:rPr>
          <w:rFonts w:ascii="Times New Roman" w:hAnsi="Times New Roman"/>
          <w:sz w:val="24"/>
          <w:szCs w:val="24"/>
        </w:rPr>
        <w:t>mean vitamin A level</w:t>
      </w:r>
      <w:r w:rsidRPr="008773B1">
        <w:rPr>
          <w:rFonts w:ascii="Times New Roman" w:hAnsi="Times New Roman"/>
          <w:sz w:val="24"/>
          <w:szCs w:val="24"/>
        </w:rPr>
        <w:t xml:space="preserve"> in female </w:t>
      </w:r>
      <w:r w:rsidR="00CB02AB" w:rsidRPr="008773B1">
        <w:rPr>
          <w:rFonts w:ascii="Times New Roman" w:hAnsi="Times New Roman"/>
          <w:sz w:val="24"/>
          <w:szCs w:val="24"/>
        </w:rPr>
        <w:t xml:space="preserve">Test </w:t>
      </w:r>
      <w:r w:rsidRPr="008773B1">
        <w:rPr>
          <w:rFonts w:ascii="Times New Roman" w:hAnsi="Times New Roman"/>
          <w:sz w:val="24"/>
          <w:szCs w:val="24"/>
        </w:rPr>
        <w:t xml:space="preserve">subjects with hypothyroidism </w:t>
      </w:r>
      <w:r w:rsidR="001476CB" w:rsidRPr="008773B1">
        <w:rPr>
          <w:rFonts w:ascii="Times New Roman" w:hAnsi="Times New Roman"/>
          <w:sz w:val="24"/>
          <w:szCs w:val="24"/>
        </w:rPr>
        <w:t>was</w:t>
      </w:r>
      <w:r w:rsidRPr="008773B1">
        <w:rPr>
          <w:rFonts w:ascii="Times New Roman" w:hAnsi="Times New Roman"/>
          <w:sz w:val="24"/>
          <w:szCs w:val="24"/>
        </w:rPr>
        <w:t xml:space="preserve"> significantly lower </w:t>
      </w:r>
      <w:r w:rsidR="001476CB" w:rsidRPr="008773B1">
        <w:rPr>
          <w:rFonts w:ascii="Times New Roman" w:hAnsi="Times New Roman"/>
          <w:sz w:val="24"/>
          <w:szCs w:val="24"/>
        </w:rPr>
        <w:t>than the</w:t>
      </w:r>
      <w:r w:rsidRPr="008773B1">
        <w:rPr>
          <w:rFonts w:ascii="Times New Roman" w:hAnsi="Times New Roman"/>
          <w:sz w:val="24"/>
          <w:szCs w:val="24"/>
        </w:rPr>
        <w:t xml:space="preserve"> </w:t>
      </w:r>
      <w:r w:rsidR="00CB02AB" w:rsidRPr="008773B1">
        <w:rPr>
          <w:rFonts w:ascii="Times New Roman" w:hAnsi="Times New Roman"/>
          <w:sz w:val="24"/>
          <w:szCs w:val="24"/>
        </w:rPr>
        <w:t>female control (p&lt;</w:t>
      </w:r>
      <w:r w:rsidRPr="008773B1">
        <w:rPr>
          <w:rFonts w:ascii="Times New Roman" w:hAnsi="Times New Roman"/>
          <w:sz w:val="24"/>
          <w:szCs w:val="24"/>
        </w:rPr>
        <w:t>0.00</w:t>
      </w:r>
      <w:r w:rsidR="00CB02AB" w:rsidRPr="008773B1">
        <w:rPr>
          <w:rFonts w:ascii="Times New Roman" w:hAnsi="Times New Roman"/>
          <w:sz w:val="24"/>
          <w:szCs w:val="24"/>
        </w:rPr>
        <w:t>1</w:t>
      </w:r>
      <w:r w:rsidRPr="008773B1">
        <w:rPr>
          <w:rFonts w:ascii="Times New Roman" w:hAnsi="Times New Roman"/>
          <w:sz w:val="24"/>
          <w:szCs w:val="24"/>
        </w:rPr>
        <w:t xml:space="preserve">). In this study, there was a negative </w:t>
      </w:r>
      <w:r w:rsidR="001476CB" w:rsidRPr="008773B1">
        <w:rPr>
          <w:rFonts w:ascii="Times New Roman" w:hAnsi="Times New Roman"/>
          <w:sz w:val="24"/>
          <w:szCs w:val="24"/>
        </w:rPr>
        <w:t>c</w:t>
      </w:r>
      <w:r w:rsidRPr="008773B1">
        <w:rPr>
          <w:rFonts w:ascii="Times New Roman" w:hAnsi="Times New Roman"/>
          <w:sz w:val="24"/>
          <w:szCs w:val="24"/>
        </w:rPr>
        <w:t>orrelation between Thyroid stimulating Hormone (TSH) and</w:t>
      </w:r>
      <w:r w:rsidR="001476CB" w:rsidRPr="008773B1">
        <w:rPr>
          <w:rFonts w:ascii="Times New Roman" w:hAnsi="Times New Roman"/>
          <w:sz w:val="24"/>
          <w:szCs w:val="24"/>
        </w:rPr>
        <w:t xml:space="preserve"> serum vitamin A levels in Test subjects and a </w:t>
      </w:r>
      <w:r w:rsidR="00A655AD" w:rsidRPr="008773B1">
        <w:rPr>
          <w:rFonts w:ascii="Times New Roman" w:hAnsi="Times New Roman"/>
          <w:sz w:val="24"/>
          <w:szCs w:val="24"/>
        </w:rPr>
        <w:t>positive correlation between serum zinc levels and serum v</w:t>
      </w:r>
      <w:r w:rsidRPr="008773B1">
        <w:rPr>
          <w:rFonts w:ascii="Times New Roman" w:hAnsi="Times New Roman"/>
          <w:sz w:val="24"/>
          <w:szCs w:val="24"/>
        </w:rPr>
        <w:t xml:space="preserve">itamin A in </w:t>
      </w:r>
      <w:r w:rsidR="001476CB" w:rsidRPr="008773B1">
        <w:rPr>
          <w:rFonts w:ascii="Times New Roman" w:hAnsi="Times New Roman"/>
          <w:sz w:val="24"/>
          <w:szCs w:val="24"/>
        </w:rPr>
        <w:t>Test</w:t>
      </w:r>
      <w:r w:rsidRPr="008773B1">
        <w:rPr>
          <w:rFonts w:ascii="Times New Roman" w:hAnsi="Times New Roman"/>
          <w:sz w:val="24"/>
          <w:szCs w:val="24"/>
        </w:rPr>
        <w:t xml:space="preserve"> subjects. </w:t>
      </w:r>
      <w:r w:rsidR="003B4094" w:rsidRPr="008773B1">
        <w:rPr>
          <w:rFonts w:ascii="Times New Roman" w:hAnsi="Times New Roman"/>
          <w:sz w:val="24"/>
          <w:szCs w:val="24"/>
        </w:rPr>
        <w:t>The impact of thyroid dysfunction on vitamin A as well as magnesium and zinc levels is significant enough to suggest clinical trials of their supplementation in improvin</w:t>
      </w:r>
      <w:r w:rsidR="00001AA2">
        <w:rPr>
          <w:rFonts w:ascii="Times New Roman" w:hAnsi="Times New Roman"/>
          <w:sz w:val="24"/>
          <w:szCs w:val="24"/>
        </w:rPr>
        <w:t>g treatment outcomes and improving</w:t>
      </w:r>
      <w:r w:rsidR="003B4094" w:rsidRPr="008773B1">
        <w:rPr>
          <w:rFonts w:ascii="Times New Roman" w:hAnsi="Times New Roman"/>
          <w:sz w:val="24"/>
          <w:szCs w:val="24"/>
        </w:rPr>
        <w:t xml:space="preserve"> </w:t>
      </w:r>
      <w:r w:rsidR="00001AA2">
        <w:rPr>
          <w:rFonts w:ascii="Times New Roman" w:hAnsi="Times New Roman"/>
          <w:sz w:val="24"/>
          <w:szCs w:val="24"/>
        </w:rPr>
        <w:t>patients’</w:t>
      </w:r>
      <w:r w:rsidR="003B4094" w:rsidRPr="008773B1">
        <w:rPr>
          <w:rFonts w:ascii="Times New Roman" w:hAnsi="Times New Roman"/>
          <w:sz w:val="24"/>
          <w:szCs w:val="24"/>
        </w:rPr>
        <w:t xml:space="preserve"> immune function. This is in addition to the already existing iodination of salt and some foods </w:t>
      </w:r>
      <w:r w:rsidR="00001AA2">
        <w:rPr>
          <w:rFonts w:ascii="Times New Roman" w:hAnsi="Times New Roman"/>
          <w:sz w:val="24"/>
          <w:szCs w:val="24"/>
        </w:rPr>
        <w:t xml:space="preserve">to prevent </w:t>
      </w:r>
      <w:proofErr w:type="spellStart"/>
      <w:r w:rsidR="003B4094" w:rsidRPr="008773B1">
        <w:rPr>
          <w:rFonts w:ascii="Times New Roman" w:hAnsi="Times New Roman"/>
          <w:sz w:val="24"/>
          <w:szCs w:val="24"/>
        </w:rPr>
        <w:t>goitre</w:t>
      </w:r>
      <w:proofErr w:type="spellEnd"/>
      <w:r w:rsidR="003B4094" w:rsidRPr="008773B1">
        <w:rPr>
          <w:rFonts w:ascii="Times New Roman" w:hAnsi="Times New Roman"/>
          <w:sz w:val="24"/>
          <w:szCs w:val="24"/>
        </w:rPr>
        <w:t xml:space="preserve">.  </w:t>
      </w:r>
    </w:p>
    <w:p w14:paraId="25128852" w14:textId="77777777" w:rsidR="006C3F06" w:rsidRPr="006C3F06" w:rsidRDefault="006C3F06" w:rsidP="006C3F06">
      <w:pPr>
        <w:autoSpaceDE w:val="0"/>
        <w:autoSpaceDN w:val="0"/>
        <w:adjustRightInd w:val="0"/>
        <w:spacing w:after="0" w:line="240" w:lineRule="auto"/>
        <w:jc w:val="both"/>
        <w:rPr>
          <w:rFonts w:ascii="Times New Roman" w:hAnsi="Times New Roman"/>
          <w:sz w:val="24"/>
          <w:szCs w:val="24"/>
        </w:rPr>
      </w:pPr>
    </w:p>
    <w:p w14:paraId="53046830" w14:textId="77777777" w:rsidR="00B45A36" w:rsidRPr="008773B1" w:rsidRDefault="00B45A36" w:rsidP="00B45A36">
      <w:pPr>
        <w:autoSpaceDE w:val="0"/>
        <w:autoSpaceDN w:val="0"/>
        <w:adjustRightInd w:val="0"/>
        <w:spacing w:after="0" w:line="480" w:lineRule="auto"/>
        <w:jc w:val="both"/>
        <w:rPr>
          <w:rFonts w:ascii="Times New Roman" w:hAnsi="Times New Roman"/>
          <w:b/>
          <w:sz w:val="24"/>
          <w:szCs w:val="24"/>
        </w:rPr>
      </w:pPr>
      <w:r w:rsidRPr="008773B1">
        <w:rPr>
          <w:rFonts w:ascii="Times New Roman" w:hAnsi="Times New Roman"/>
          <w:b/>
          <w:sz w:val="24"/>
          <w:szCs w:val="24"/>
        </w:rPr>
        <w:t>Conclusion</w:t>
      </w:r>
    </w:p>
    <w:p w14:paraId="6B1DCE54" w14:textId="77777777" w:rsidR="00597672" w:rsidRPr="008773B1" w:rsidRDefault="00B45A36" w:rsidP="006C3F06">
      <w:pPr>
        <w:autoSpaceDE w:val="0"/>
        <w:autoSpaceDN w:val="0"/>
        <w:adjustRightInd w:val="0"/>
        <w:spacing w:after="0" w:line="240" w:lineRule="auto"/>
        <w:jc w:val="both"/>
        <w:rPr>
          <w:rFonts w:ascii="Times New Roman" w:hAnsi="Times New Roman"/>
          <w:sz w:val="24"/>
          <w:szCs w:val="24"/>
        </w:rPr>
      </w:pPr>
      <w:r w:rsidRPr="008773B1">
        <w:rPr>
          <w:rFonts w:ascii="Times New Roman" w:hAnsi="Times New Roman"/>
          <w:sz w:val="24"/>
          <w:szCs w:val="24"/>
        </w:rPr>
        <w:t>It is concluded from the results that there is involvement of Zn, Mg</w:t>
      </w:r>
      <w:r w:rsidR="00753B8A" w:rsidRPr="008773B1">
        <w:rPr>
          <w:rFonts w:ascii="Times New Roman" w:hAnsi="Times New Roman"/>
          <w:sz w:val="24"/>
          <w:szCs w:val="24"/>
        </w:rPr>
        <w:t>,</w:t>
      </w:r>
      <w:r w:rsidRPr="008773B1">
        <w:rPr>
          <w:rFonts w:ascii="Times New Roman" w:hAnsi="Times New Roman"/>
          <w:sz w:val="24"/>
          <w:szCs w:val="24"/>
        </w:rPr>
        <w:t xml:space="preserve"> and Vitamin A deficiencies in hypothyroid</w:t>
      </w:r>
      <w:r w:rsidR="008B5F60">
        <w:rPr>
          <w:rFonts w:ascii="Times New Roman" w:hAnsi="Times New Roman"/>
          <w:sz w:val="24"/>
          <w:szCs w:val="24"/>
        </w:rPr>
        <w:t>ism and hyperthyroidism</w:t>
      </w:r>
      <w:r w:rsidRPr="008773B1">
        <w:rPr>
          <w:rFonts w:ascii="Times New Roman" w:hAnsi="Times New Roman"/>
          <w:sz w:val="24"/>
          <w:szCs w:val="24"/>
        </w:rPr>
        <w:t>. Zinc, Magnesium</w:t>
      </w:r>
      <w:r w:rsidR="00753B8A" w:rsidRPr="008773B1">
        <w:rPr>
          <w:rFonts w:ascii="Times New Roman" w:hAnsi="Times New Roman"/>
          <w:sz w:val="24"/>
          <w:szCs w:val="24"/>
        </w:rPr>
        <w:t>,</w:t>
      </w:r>
      <w:r w:rsidRPr="008773B1">
        <w:rPr>
          <w:rFonts w:ascii="Times New Roman" w:hAnsi="Times New Roman"/>
          <w:sz w:val="24"/>
          <w:szCs w:val="24"/>
        </w:rPr>
        <w:t xml:space="preserve"> and Vitamin</w:t>
      </w:r>
      <w:r w:rsidR="008B5F60">
        <w:rPr>
          <w:rFonts w:ascii="Times New Roman" w:hAnsi="Times New Roman"/>
          <w:sz w:val="24"/>
          <w:szCs w:val="24"/>
        </w:rPr>
        <w:t xml:space="preserve"> A</w:t>
      </w:r>
      <w:r w:rsidRPr="008773B1">
        <w:rPr>
          <w:rFonts w:ascii="Times New Roman" w:hAnsi="Times New Roman"/>
          <w:sz w:val="24"/>
          <w:szCs w:val="24"/>
        </w:rPr>
        <w:t xml:space="preserve"> were significantly decreased in hyperthyroid and hypothyroid subjects compared to normal subjects. </w:t>
      </w:r>
      <w:r w:rsidR="00753B8A" w:rsidRPr="008773B1">
        <w:rPr>
          <w:rFonts w:ascii="Times New Roman" w:hAnsi="Times New Roman"/>
          <w:sz w:val="24"/>
          <w:szCs w:val="24"/>
        </w:rPr>
        <w:t>Concerning</w:t>
      </w:r>
      <w:r w:rsidRPr="008773B1">
        <w:rPr>
          <w:rFonts w:ascii="Times New Roman" w:hAnsi="Times New Roman"/>
          <w:sz w:val="24"/>
          <w:szCs w:val="24"/>
        </w:rPr>
        <w:t xml:space="preserve"> gender, Zinc, Magnesium</w:t>
      </w:r>
      <w:r w:rsidR="00753B8A" w:rsidRPr="008773B1">
        <w:rPr>
          <w:rFonts w:ascii="Times New Roman" w:hAnsi="Times New Roman"/>
          <w:sz w:val="24"/>
          <w:szCs w:val="24"/>
        </w:rPr>
        <w:t>,</w:t>
      </w:r>
      <w:r w:rsidRPr="008773B1">
        <w:rPr>
          <w:rFonts w:ascii="Times New Roman" w:hAnsi="Times New Roman"/>
          <w:sz w:val="24"/>
          <w:szCs w:val="24"/>
        </w:rPr>
        <w:t xml:space="preserve"> and </w:t>
      </w:r>
      <w:r w:rsidR="00753B8A" w:rsidRPr="008773B1">
        <w:rPr>
          <w:rFonts w:ascii="Times New Roman" w:hAnsi="Times New Roman"/>
          <w:sz w:val="24"/>
          <w:szCs w:val="24"/>
        </w:rPr>
        <w:t xml:space="preserve">Vitamins </w:t>
      </w:r>
      <w:r w:rsidR="00D527ED" w:rsidRPr="008773B1">
        <w:rPr>
          <w:rFonts w:ascii="Times New Roman" w:hAnsi="Times New Roman"/>
          <w:sz w:val="24"/>
          <w:szCs w:val="24"/>
        </w:rPr>
        <w:t>were</w:t>
      </w:r>
      <w:r w:rsidR="00753B8A" w:rsidRPr="008773B1">
        <w:rPr>
          <w:rFonts w:ascii="Times New Roman" w:hAnsi="Times New Roman"/>
          <w:sz w:val="24"/>
          <w:szCs w:val="24"/>
        </w:rPr>
        <w:t xml:space="preserve"> decreased significantly </w:t>
      </w:r>
      <w:r w:rsidRPr="008773B1">
        <w:rPr>
          <w:rFonts w:ascii="Times New Roman" w:hAnsi="Times New Roman"/>
          <w:sz w:val="24"/>
          <w:szCs w:val="24"/>
        </w:rPr>
        <w:t xml:space="preserve">in male and female hyperthyroid and hypothyroid subjects compared to male and female </w:t>
      </w:r>
      <w:r w:rsidR="00B573EE" w:rsidRPr="008773B1">
        <w:rPr>
          <w:rFonts w:ascii="Times New Roman" w:hAnsi="Times New Roman"/>
          <w:sz w:val="24"/>
          <w:szCs w:val="24"/>
        </w:rPr>
        <w:t>control</w:t>
      </w:r>
      <w:r w:rsidRPr="008773B1">
        <w:rPr>
          <w:rFonts w:ascii="Times New Roman" w:hAnsi="Times New Roman"/>
          <w:sz w:val="24"/>
          <w:szCs w:val="24"/>
        </w:rPr>
        <w:t xml:space="preserve"> respectively.</w:t>
      </w:r>
    </w:p>
    <w:p w14:paraId="718164FF" w14:textId="77777777" w:rsidR="00E54B81" w:rsidRPr="008773B1" w:rsidRDefault="00E54B81" w:rsidP="00E54B81">
      <w:pPr>
        <w:autoSpaceDE w:val="0"/>
        <w:autoSpaceDN w:val="0"/>
        <w:adjustRightInd w:val="0"/>
        <w:spacing w:after="0" w:line="480" w:lineRule="auto"/>
        <w:ind w:firstLine="720"/>
        <w:jc w:val="both"/>
        <w:rPr>
          <w:rFonts w:ascii="Times New Roman" w:hAnsi="Times New Roman"/>
          <w:sz w:val="24"/>
          <w:szCs w:val="24"/>
        </w:rPr>
      </w:pPr>
    </w:p>
    <w:p w14:paraId="0C0C8DD7" w14:textId="77777777" w:rsidR="00E54B81" w:rsidRPr="008773B1" w:rsidRDefault="00E54B81" w:rsidP="00211A15">
      <w:pPr>
        <w:autoSpaceDE w:val="0"/>
        <w:autoSpaceDN w:val="0"/>
        <w:adjustRightInd w:val="0"/>
        <w:spacing w:after="0" w:line="480" w:lineRule="auto"/>
        <w:jc w:val="both"/>
        <w:rPr>
          <w:rFonts w:ascii="Times New Roman" w:hAnsi="Times New Roman"/>
          <w:sz w:val="24"/>
          <w:szCs w:val="24"/>
        </w:rPr>
      </w:pPr>
    </w:p>
    <w:p w14:paraId="58AA26AE" w14:textId="77777777" w:rsidR="00C8791B" w:rsidRPr="003776CF" w:rsidRDefault="00C8791B" w:rsidP="00C8791B">
      <w:pPr>
        <w:jc w:val="both"/>
        <w:rPr>
          <w:rFonts w:ascii="Times New Roman" w:hAnsi="Times New Roman"/>
          <w:b/>
        </w:rPr>
      </w:pPr>
      <w:r w:rsidRPr="007B61F9">
        <w:rPr>
          <w:rFonts w:ascii="Times New Roman" w:hAnsi="Times New Roman"/>
        </w:rPr>
        <w:t xml:space="preserve">              </w:t>
      </w:r>
      <w:r w:rsidRPr="003776CF">
        <w:rPr>
          <w:rFonts w:ascii="Times New Roman" w:hAnsi="Times New Roman"/>
          <w:b/>
        </w:rPr>
        <w:t>References</w:t>
      </w:r>
    </w:p>
    <w:p w14:paraId="129AB62F" w14:textId="77777777" w:rsidR="00C8791B" w:rsidRPr="00AE3349" w:rsidRDefault="00C8791B" w:rsidP="00C8791B">
      <w:pPr>
        <w:pStyle w:val="ListParagraph"/>
        <w:numPr>
          <w:ilvl w:val="0"/>
          <w:numId w:val="2"/>
        </w:numPr>
        <w:jc w:val="both"/>
        <w:rPr>
          <w:rFonts w:ascii="Times New Roman" w:hAnsi="Times New Roman" w:cs="Times New Roman"/>
        </w:rPr>
      </w:pPr>
      <w:proofErr w:type="spellStart"/>
      <w:r w:rsidRPr="00AE3349">
        <w:rPr>
          <w:rFonts w:ascii="Times New Roman" w:hAnsi="Times New Roman" w:cs="Times New Roman"/>
        </w:rPr>
        <w:t>Dhungana</w:t>
      </w:r>
      <w:proofErr w:type="spellEnd"/>
      <w:r w:rsidRPr="00AE3349">
        <w:rPr>
          <w:rFonts w:ascii="Times New Roman" w:hAnsi="Times New Roman" w:cs="Times New Roman"/>
        </w:rPr>
        <w:t xml:space="preserve"> A, </w:t>
      </w:r>
      <w:proofErr w:type="spellStart"/>
      <w:r w:rsidRPr="00AE3349">
        <w:rPr>
          <w:rFonts w:ascii="Times New Roman" w:hAnsi="Times New Roman" w:cs="Times New Roman"/>
        </w:rPr>
        <w:t>Shreevastva</w:t>
      </w:r>
      <w:proofErr w:type="spellEnd"/>
      <w:r w:rsidRPr="00AE3349">
        <w:rPr>
          <w:rFonts w:ascii="Times New Roman" w:hAnsi="Times New Roman" w:cs="Times New Roman"/>
        </w:rPr>
        <w:t xml:space="preserve"> NK, Pant S, Pokharel BR. A study of serum calcium,</w:t>
      </w:r>
      <w:r>
        <w:rPr>
          <w:rFonts w:ascii="Times New Roman" w:hAnsi="Times New Roman" w:cs="Times New Roman"/>
        </w:rPr>
        <w:t xml:space="preserve"> </w:t>
      </w:r>
      <w:r w:rsidRPr="00AE3349">
        <w:rPr>
          <w:rFonts w:ascii="Times New Roman" w:hAnsi="Times New Roman" w:cs="Times New Roman"/>
        </w:rPr>
        <w:t xml:space="preserve">phosphorous and magnesium level in hypothyroid cases. J </w:t>
      </w:r>
      <w:proofErr w:type="spellStart"/>
      <w:r w:rsidRPr="00AE3349">
        <w:rPr>
          <w:rFonts w:ascii="Times New Roman" w:hAnsi="Times New Roman" w:cs="Times New Roman"/>
        </w:rPr>
        <w:t>P</w:t>
      </w:r>
      <w:r>
        <w:rPr>
          <w:rFonts w:ascii="Times New Roman" w:hAnsi="Times New Roman" w:cs="Times New Roman"/>
        </w:rPr>
        <w:t>athol</w:t>
      </w:r>
      <w:proofErr w:type="spellEnd"/>
      <w:r>
        <w:rPr>
          <w:rFonts w:ascii="Times New Roman" w:hAnsi="Times New Roman" w:cs="Times New Roman"/>
        </w:rPr>
        <w:t xml:space="preserve"> Nep 2022;12(1):1933-7. </w:t>
      </w:r>
      <w:r w:rsidRPr="00AE3349">
        <w:rPr>
          <w:rFonts w:ascii="Times New Roman" w:hAnsi="Times New Roman" w:cs="Times New Roman"/>
        </w:rPr>
        <w:t>10.3126/jpn.v12i1.40422</w:t>
      </w:r>
      <w:r>
        <w:rPr>
          <w:rFonts w:ascii="Times New Roman" w:hAnsi="Times New Roman" w:cs="Times New Roman"/>
        </w:rPr>
        <w:t>.</w:t>
      </w:r>
    </w:p>
    <w:p w14:paraId="544BDBCD" w14:textId="77777777" w:rsidR="00C8791B" w:rsidRPr="00F459EF"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Maxwell C, Volpe SL. Effect of zinc supplementation on thyroid hormone function. A case study of two college females. A</w:t>
      </w:r>
      <w:r>
        <w:rPr>
          <w:rFonts w:ascii="Times New Roman" w:hAnsi="Times New Roman" w:cs="Times New Roman"/>
        </w:rPr>
        <w:t xml:space="preserve">nn </w:t>
      </w:r>
      <w:proofErr w:type="spellStart"/>
      <w:r>
        <w:rPr>
          <w:rFonts w:ascii="Times New Roman" w:hAnsi="Times New Roman" w:cs="Times New Roman"/>
        </w:rPr>
        <w:t>Nutr</w:t>
      </w:r>
      <w:proofErr w:type="spellEnd"/>
      <w:r>
        <w:rPr>
          <w:rFonts w:ascii="Times New Roman" w:hAnsi="Times New Roman" w:cs="Times New Roman"/>
        </w:rPr>
        <w:t xml:space="preserve"> </w:t>
      </w:r>
      <w:proofErr w:type="spellStart"/>
      <w:r>
        <w:rPr>
          <w:rFonts w:ascii="Times New Roman" w:hAnsi="Times New Roman" w:cs="Times New Roman"/>
        </w:rPr>
        <w:t>Metab</w:t>
      </w:r>
      <w:proofErr w:type="spellEnd"/>
      <w:r w:rsidRPr="007B61F9">
        <w:rPr>
          <w:rFonts w:ascii="Times New Roman" w:hAnsi="Times New Roman" w:cs="Times New Roman"/>
        </w:rPr>
        <w:t xml:space="preserve">. </w:t>
      </w:r>
      <w:r>
        <w:rPr>
          <w:rFonts w:ascii="Times New Roman" w:hAnsi="Times New Roman" w:cs="Times New Roman"/>
        </w:rPr>
        <w:t>200</w:t>
      </w:r>
      <w:r w:rsidRPr="007B61F9">
        <w:rPr>
          <w:rFonts w:ascii="Times New Roman" w:hAnsi="Times New Roman" w:cs="Times New Roman"/>
        </w:rPr>
        <w:t xml:space="preserve">7, 51 (7): </w:t>
      </w:r>
      <w:r w:rsidRPr="00F459EF">
        <w:rPr>
          <w:rFonts w:ascii="Times New Roman" w:hAnsi="Times New Roman" w:cs="Times New Roman"/>
        </w:rPr>
        <w:t xml:space="preserve">188-194. </w:t>
      </w:r>
      <w:r w:rsidRPr="00F459EF">
        <w:rPr>
          <w:rFonts w:ascii="Times New Roman" w:hAnsi="Times New Roman" w:cs="Times New Roman"/>
          <w:color w:val="212121"/>
          <w:shd w:val="clear" w:color="auto" w:fill="FFFFFF"/>
        </w:rPr>
        <w:t xml:space="preserve">10.1159/000103324. </w:t>
      </w:r>
    </w:p>
    <w:p w14:paraId="7D3C202F" w14:textId="77777777" w:rsidR="00C8791B" w:rsidRPr="00FD0B86" w:rsidRDefault="00C8791B" w:rsidP="00C8791B">
      <w:pPr>
        <w:pStyle w:val="ListParagraph"/>
        <w:numPr>
          <w:ilvl w:val="0"/>
          <w:numId w:val="2"/>
        </w:numPr>
        <w:rPr>
          <w:rFonts w:ascii="Times New Roman" w:hAnsi="Times New Roman" w:cs="Times New Roman"/>
        </w:rPr>
      </w:pPr>
      <w:r w:rsidRPr="00FD0B86">
        <w:rPr>
          <w:rFonts w:ascii="Times New Roman" w:hAnsi="Times New Roman" w:cs="Times New Roman"/>
        </w:rPr>
        <w:t>Ganapathy S, Volpe SL. Zinc, exercise, and th</w:t>
      </w:r>
      <w:r>
        <w:rPr>
          <w:rFonts w:ascii="Times New Roman" w:hAnsi="Times New Roman" w:cs="Times New Roman"/>
        </w:rPr>
        <w:t xml:space="preserve">yroid hormone function. Crit Rev Food Sci </w:t>
      </w:r>
      <w:proofErr w:type="spellStart"/>
      <w:r>
        <w:rPr>
          <w:rFonts w:ascii="Times New Roman" w:hAnsi="Times New Roman" w:cs="Times New Roman"/>
        </w:rPr>
        <w:t>Nutr</w:t>
      </w:r>
      <w:proofErr w:type="spellEnd"/>
      <w:r w:rsidRPr="00FD0B86">
        <w:rPr>
          <w:rFonts w:ascii="Times New Roman" w:hAnsi="Times New Roman" w:cs="Times New Roman"/>
        </w:rPr>
        <w:t>. 1999, 39 (9): 369-390. 10.1080/10408699991279213</w:t>
      </w:r>
      <w:r>
        <w:rPr>
          <w:rFonts w:ascii="Times New Roman" w:hAnsi="Times New Roman" w:cs="Times New Roman"/>
        </w:rPr>
        <w:t xml:space="preserve">. </w:t>
      </w:r>
    </w:p>
    <w:p w14:paraId="06ABADAE" w14:textId="77777777" w:rsidR="00C8791B" w:rsidRPr="00770DB4" w:rsidRDefault="00C8791B" w:rsidP="00C8791B">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rPr>
      </w:pPr>
      <w:proofErr w:type="spellStart"/>
      <w:r w:rsidRPr="0069377B">
        <w:rPr>
          <w:rFonts w:ascii="Times New Roman" w:eastAsia="Times New Roman" w:hAnsi="Times New Roman" w:cs="Times New Roman"/>
          <w:color w:val="000000"/>
        </w:rPr>
        <w:t>Aphamis</w:t>
      </w:r>
      <w:proofErr w:type="spellEnd"/>
      <w:r w:rsidRPr="0069377B">
        <w:rPr>
          <w:rFonts w:ascii="Times New Roman" w:eastAsia="Times New Roman" w:hAnsi="Times New Roman" w:cs="Times New Roman"/>
          <w:color w:val="000000"/>
        </w:rPr>
        <w:t xml:space="preserve"> G, </w:t>
      </w:r>
      <w:proofErr w:type="spellStart"/>
      <w:r w:rsidRPr="0069377B">
        <w:rPr>
          <w:rFonts w:ascii="Times New Roman" w:eastAsia="Times New Roman" w:hAnsi="Times New Roman" w:cs="Times New Roman"/>
          <w:color w:val="000000"/>
        </w:rPr>
        <w:t>Bogdanis</w:t>
      </w:r>
      <w:proofErr w:type="spellEnd"/>
      <w:r w:rsidRPr="0069377B">
        <w:rPr>
          <w:rFonts w:ascii="Times New Roman" w:eastAsia="Times New Roman" w:hAnsi="Times New Roman" w:cs="Times New Roman"/>
          <w:color w:val="000000"/>
        </w:rPr>
        <w:t xml:space="preserve"> GC, </w:t>
      </w:r>
      <w:proofErr w:type="spellStart"/>
      <w:r w:rsidRPr="0069377B">
        <w:rPr>
          <w:rFonts w:ascii="Times New Roman" w:eastAsia="Times New Roman" w:hAnsi="Times New Roman" w:cs="Times New Roman"/>
          <w:color w:val="000000"/>
        </w:rPr>
        <w:t>Sakkas</w:t>
      </w:r>
      <w:proofErr w:type="spellEnd"/>
      <w:r w:rsidRPr="0069377B">
        <w:rPr>
          <w:rFonts w:ascii="Times New Roman" w:eastAsia="Times New Roman" w:hAnsi="Times New Roman" w:cs="Times New Roman"/>
          <w:color w:val="000000"/>
        </w:rPr>
        <w:t xml:space="preserve"> GK, </w:t>
      </w:r>
      <w:proofErr w:type="spellStart"/>
      <w:r w:rsidRPr="0069377B">
        <w:rPr>
          <w:rFonts w:ascii="Times New Roman" w:eastAsia="Times New Roman" w:hAnsi="Times New Roman" w:cs="Times New Roman"/>
          <w:color w:val="000000"/>
        </w:rPr>
        <w:t>Roupa</w:t>
      </w:r>
      <w:proofErr w:type="spellEnd"/>
      <w:r w:rsidRPr="0069377B">
        <w:rPr>
          <w:rFonts w:ascii="Times New Roman" w:eastAsia="Times New Roman" w:hAnsi="Times New Roman" w:cs="Times New Roman"/>
          <w:color w:val="000000"/>
        </w:rPr>
        <w:t xml:space="preserve"> Z, </w:t>
      </w:r>
      <w:proofErr w:type="spellStart"/>
      <w:r w:rsidRPr="0069377B">
        <w:rPr>
          <w:rFonts w:ascii="Times New Roman" w:eastAsia="Times New Roman" w:hAnsi="Times New Roman" w:cs="Times New Roman"/>
          <w:color w:val="000000"/>
        </w:rPr>
        <w:t>Giannaki</w:t>
      </w:r>
      <w:proofErr w:type="spellEnd"/>
      <w:r w:rsidRPr="0069377B">
        <w:rPr>
          <w:rFonts w:ascii="Times New Roman" w:eastAsia="Times New Roman" w:hAnsi="Times New Roman" w:cs="Times New Roman"/>
          <w:color w:val="000000"/>
        </w:rPr>
        <w:t xml:space="preserve"> CD. The Effects of Zinc and Selenium</w:t>
      </w:r>
      <w:r>
        <w:rPr>
          <w:rFonts w:ascii="Times New Roman" w:eastAsia="Times New Roman" w:hAnsi="Times New Roman" w:cs="Times New Roman"/>
          <w:color w:val="000000"/>
        </w:rPr>
        <w:t xml:space="preserve"> </w:t>
      </w:r>
      <w:r w:rsidRPr="0069377B">
        <w:rPr>
          <w:rFonts w:ascii="Times New Roman" w:eastAsia="Times New Roman" w:hAnsi="Times New Roman" w:cs="Times New Roman"/>
          <w:color w:val="000000"/>
        </w:rPr>
        <w:t xml:space="preserve">Co-Supplementation on Resting Metabolic Rate, Thyroid Function, Physical Fitness, and Functional Capacity in Overweight and Obese People under a Hypocaloric Diet: A Randomized, Double-Blind, and Placebo-Controlled Trial. Nutrients. </w:t>
      </w:r>
      <w:r w:rsidRPr="0069377B">
        <w:rPr>
          <w:rFonts w:ascii="Times New Roman" w:hAnsi="Times New Roman" w:cs="Times New Roman"/>
        </w:rPr>
        <w:t xml:space="preserve">2023,15; 3133. </w:t>
      </w:r>
      <w:r>
        <w:rPr>
          <w:rFonts w:ascii="Times New Roman" w:hAnsi="Times New Roman" w:cs="Times New Roman"/>
        </w:rPr>
        <w:t>10.3390/nu15143133.</w:t>
      </w:r>
    </w:p>
    <w:p w14:paraId="03329068" w14:textId="77777777" w:rsidR="00C8791B" w:rsidRPr="00D8242C" w:rsidRDefault="00C8791B" w:rsidP="00C8791B">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rPr>
      </w:pPr>
      <w:r w:rsidRPr="00770DB4">
        <w:rPr>
          <w:rFonts w:ascii="Times New Roman" w:hAnsi="Times New Roman" w:cs="Times New Roman"/>
        </w:rPr>
        <w:lastRenderedPageBreak/>
        <w:t>Dündar İ, Akıncı A. The frequency of subclinical hypothyroidism in obese children and adolescents and its relationship with metabolic parameters and atherogenic</w:t>
      </w:r>
      <w:r>
        <w:rPr>
          <w:rFonts w:ascii="Times New Roman" w:hAnsi="Times New Roman" w:cs="Times New Roman"/>
        </w:rPr>
        <w:t xml:space="preserve"> index. Turk Arch Pediatr. 2022, 57(3);</w:t>
      </w:r>
      <w:r w:rsidRPr="00770DB4">
        <w:rPr>
          <w:rFonts w:ascii="Times New Roman" w:hAnsi="Times New Roman" w:cs="Times New Roman"/>
        </w:rPr>
        <w:t>316-322. 10.</w:t>
      </w:r>
      <w:r>
        <w:rPr>
          <w:rFonts w:ascii="Times New Roman" w:hAnsi="Times New Roman" w:cs="Times New Roman"/>
        </w:rPr>
        <w:t>5152/TurkArchPediatr.2022.21264.</w:t>
      </w:r>
    </w:p>
    <w:p w14:paraId="45DA8EFE" w14:textId="77777777" w:rsidR="00C8791B" w:rsidRPr="00392FCB" w:rsidRDefault="00C8791B" w:rsidP="00C8791B">
      <w:pPr>
        <w:pStyle w:val="ListParagraph"/>
        <w:numPr>
          <w:ilvl w:val="0"/>
          <w:numId w:val="2"/>
        </w:numPr>
        <w:jc w:val="both"/>
        <w:rPr>
          <w:rFonts w:ascii="Times New Roman" w:hAnsi="Times New Roman" w:cs="Times New Roman"/>
        </w:rPr>
      </w:pPr>
      <w:r w:rsidRPr="00D8242C">
        <w:rPr>
          <w:rFonts w:ascii="Times New Roman" w:hAnsi="Times New Roman" w:cs="Times New Roman"/>
        </w:rPr>
        <w:t xml:space="preserve">Panahi Y, </w:t>
      </w:r>
      <w:proofErr w:type="spellStart"/>
      <w:r w:rsidRPr="00D8242C">
        <w:rPr>
          <w:rFonts w:ascii="Times New Roman" w:hAnsi="Times New Roman" w:cs="Times New Roman"/>
        </w:rPr>
        <w:t>Mojtahedzadeh</w:t>
      </w:r>
      <w:proofErr w:type="spellEnd"/>
      <w:r w:rsidRPr="00D8242C">
        <w:rPr>
          <w:rFonts w:ascii="Times New Roman" w:hAnsi="Times New Roman" w:cs="Times New Roman"/>
        </w:rPr>
        <w:t xml:space="preserve"> M, Najafi A, </w:t>
      </w:r>
      <w:proofErr w:type="spellStart"/>
      <w:r w:rsidRPr="00D8242C">
        <w:rPr>
          <w:rFonts w:ascii="Times New Roman" w:hAnsi="Times New Roman" w:cs="Times New Roman"/>
        </w:rPr>
        <w:t>Ghaini</w:t>
      </w:r>
      <w:proofErr w:type="spellEnd"/>
      <w:r w:rsidRPr="00D8242C">
        <w:rPr>
          <w:rFonts w:ascii="Times New Roman" w:hAnsi="Times New Roman" w:cs="Times New Roman"/>
        </w:rPr>
        <w:t xml:space="preserve"> MR, </w:t>
      </w:r>
      <w:proofErr w:type="spellStart"/>
      <w:r w:rsidRPr="00D8242C">
        <w:rPr>
          <w:rFonts w:ascii="Times New Roman" w:hAnsi="Times New Roman" w:cs="Times New Roman"/>
        </w:rPr>
        <w:t>Abdollahi</w:t>
      </w:r>
      <w:proofErr w:type="spellEnd"/>
      <w:r w:rsidRPr="00D8242C">
        <w:rPr>
          <w:rFonts w:ascii="Times New Roman" w:hAnsi="Times New Roman" w:cs="Times New Roman"/>
        </w:rPr>
        <w:t xml:space="preserve"> M, Sharifzadeh M, Ahmadi A, </w:t>
      </w:r>
      <w:proofErr w:type="spellStart"/>
      <w:r w:rsidRPr="00D8242C">
        <w:rPr>
          <w:rFonts w:ascii="Times New Roman" w:hAnsi="Times New Roman" w:cs="Times New Roman"/>
        </w:rPr>
        <w:t>Rajaee</w:t>
      </w:r>
      <w:proofErr w:type="spellEnd"/>
      <w:r w:rsidRPr="00D8242C">
        <w:rPr>
          <w:rFonts w:ascii="Times New Roman" w:hAnsi="Times New Roman" w:cs="Times New Roman"/>
        </w:rPr>
        <w:t xml:space="preserve"> SM, </w:t>
      </w:r>
      <w:proofErr w:type="spellStart"/>
      <w:r w:rsidRPr="00D8242C">
        <w:rPr>
          <w:rFonts w:ascii="Times New Roman" w:hAnsi="Times New Roman" w:cs="Times New Roman"/>
        </w:rPr>
        <w:t>Sahebkar</w:t>
      </w:r>
      <w:proofErr w:type="spellEnd"/>
      <w:r w:rsidRPr="00D8242C">
        <w:rPr>
          <w:rFonts w:ascii="Times New Roman" w:hAnsi="Times New Roman" w:cs="Times New Roman"/>
        </w:rPr>
        <w:t xml:space="preserve"> A. The role of magnesium sulfate in the intensive care unit. EXCLI J. 2017 </w:t>
      </w:r>
      <w:r>
        <w:rPr>
          <w:rFonts w:ascii="Times New Roman" w:hAnsi="Times New Roman" w:cs="Times New Roman"/>
        </w:rPr>
        <w:t>16:464-482.</w:t>
      </w:r>
      <w:r w:rsidRPr="00D8242C">
        <w:rPr>
          <w:rFonts w:ascii="Times New Roman" w:hAnsi="Times New Roman" w:cs="Times New Roman"/>
        </w:rPr>
        <w:t>10.17179/excli2017-182.</w:t>
      </w:r>
    </w:p>
    <w:p w14:paraId="6CAC7C5E"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 xml:space="preserve">Carazo A, </w:t>
      </w:r>
      <w:proofErr w:type="spellStart"/>
      <w:r w:rsidRPr="007B61F9">
        <w:rPr>
          <w:rFonts w:ascii="Times New Roman" w:hAnsi="Times New Roman" w:cs="Times New Roman"/>
        </w:rPr>
        <w:t>Macaakovaa</w:t>
      </w:r>
      <w:proofErr w:type="spellEnd"/>
      <w:r w:rsidRPr="007B61F9">
        <w:rPr>
          <w:rFonts w:ascii="Times New Roman" w:hAnsi="Times New Roman" w:cs="Times New Roman"/>
        </w:rPr>
        <w:t xml:space="preserve"> K, </w:t>
      </w:r>
      <w:proofErr w:type="spellStart"/>
      <w:r w:rsidRPr="007B61F9">
        <w:rPr>
          <w:rFonts w:ascii="Times New Roman" w:hAnsi="Times New Roman" w:cs="Times New Roman"/>
        </w:rPr>
        <w:t>Matoussova</w:t>
      </w:r>
      <w:proofErr w:type="spellEnd"/>
      <w:r w:rsidRPr="007B61F9">
        <w:rPr>
          <w:rFonts w:ascii="Times New Roman" w:hAnsi="Times New Roman" w:cs="Times New Roman"/>
        </w:rPr>
        <w:t xml:space="preserve"> K, </w:t>
      </w:r>
      <w:proofErr w:type="spellStart"/>
      <w:r w:rsidRPr="007B61F9">
        <w:rPr>
          <w:rFonts w:ascii="Times New Roman" w:hAnsi="Times New Roman" w:cs="Times New Roman"/>
        </w:rPr>
        <w:t>Krccmovaa</w:t>
      </w:r>
      <w:proofErr w:type="spellEnd"/>
      <w:r w:rsidRPr="007B61F9">
        <w:rPr>
          <w:rFonts w:ascii="Times New Roman" w:hAnsi="Times New Roman" w:cs="Times New Roman"/>
        </w:rPr>
        <w:t xml:space="preserve"> LK, </w:t>
      </w:r>
      <w:proofErr w:type="spellStart"/>
      <w:r w:rsidRPr="007B61F9">
        <w:rPr>
          <w:rFonts w:ascii="Times New Roman" w:hAnsi="Times New Roman" w:cs="Times New Roman"/>
        </w:rPr>
        <w:t>Protti</w:t>
      </w:r>
      <w:proofErr w:type="spellEnd"/>
      <w:r w:rsidRPr="007B61F9">
        <w:rPr>
          <w:rFonts w:ascii="Times New Roman" w:hAnsi="Times New Roman" w:cs="Times New Roman"/>
        </w:rPr>
        <w:t xml:space="preserve"> M, </w:t>
      </w:r>
      <w:proofErr w:type="spellStart"/>
      <w:r w:rsidRPr="007B61F9">
        <w:rPr>
          <w:rFonts w:ascii="Times New Roman" w:hAnsi="Times New Roman" w:cs="Times New Roman"/>
        </w:rPr>
        <w:t>Mladeenka</w:t>
      </w:r>
      <w:proofErr w:type="spellEnd"/>
      <w:r w:rsidRPr="007B61F9">
        <w:rPr>
          <w:rFonts w:ascii="Times New Roman" w:hAnsi="Times New Roman" w:cs="Times New Roman"/>
        </w:rPr>
        <w:t xml:space="preserve"> P. Vitamin A update: Forms, sources, kinetics, detection, function, deficiency, therapeutic use and toxicity. Nutrients, 2021, 13(5):</w:t>
      </w:r>
      <w:r>
        <w:rPr>
          <w:rFonts w:ascii="Times New Roman" w:hAnsi="Times New Roman" w:cs="Times New Roman"/>
        </w:rPr>
        <w:t xml:space="preserve"> 1703</w:t>
      </w:r>
      <w:r w:rsidRPr="007B61F9">
        <w:rPr>
          <w:rFonts w:ascii="Times New Roman" w:hAnsi="Times New Roman" w:cs="Times New Roman"/>
        </w:rPr>
        <w:t>.</w:t>
      </w:r>
      <w:r w:rsidRPr="00392FCB">
        <w:t xml:space="preserve"> </w:t>
      </w:r>
      <w:proofErr w:type="spellStart"/>
      <w:r w:rsidRPr="00392FCB">
        <w:rPr>
          <w:rFonts w:ascii="Times New Roman" w:hAnsi="Times New Roman" w:cs="Times New Roman"/>
        </w:rPr>
        <w:t>doi</w:t>
      </w:r>
      <w:proofErr w:type="spellEnd"/>
      <w:r w:rsidRPr="00392FCB">
        <w:rPr>
          <w:rFonts w:ascii="Times New Roman" w:hAnsi="Times New Roman" w:cs="Times New Roman"/>
        </w:rPr>
        <w:t>: 10.3390/nu13051703.</w:t>
      </w:r>
    </w:p>
    <w:p w14:paraId="302C07AD" w14:textId="77777777" w:rsidR="00C8791B" w:rsidRPr="007B61F9" w:rsidRDefault="00C8791B" w:rsidP="00C8791B">
      <w:pPr>
        <w:pStyle w:val="ListParagraph"/>
        <w:numPr>
          <w:ilvl w:val="0"/>
          <w:numId w:val="2"/>
        </w:numPr>
        <w:jc w:val="both"/>
        <w:rPr>
          <w:rFonts w:ascii="Times New Roman" w:hAnsi="Times New Roman" w:cs="Times New Roman"/>
        </w:rPr>
      </w:pPr>
      <w:proofErr w:type="spellStart"/>
      <w:r w:rsidRPr="007B61F9">
        <w:rPr>
          <w:rFonts w:ascii="Times New Roman" w:hAnsi="Times New Roman" w:cs="Times New Roman"/>
        </w:rPr>
        <w:t>Brossaud</w:t>
      </w:r>
      <w:proofErr w:type="spellEnd"/>
      <w:r w:rsidRPr="007B61F9">
        <w:rPr>
          <w:rFonts w:ascii="Times New Roman" w:hAnsi="Times New Roman" w:cs="Times New Roman"/>
        </w:rPr>
        <w:t xml:space="preserve"> J, Pallet V, </w:t>
      </w:r>
      <w:proofErr w:type="spellStart"/>
      <w:r w:rsidRPr="007B61F9">
        <w:rPr>
          <w:rFonts w:ascii="Times New Roman" w:hAnsi="Times New Roman" w:cs="Times New Roman"/>
        </w:rPr>
        <w:t>Corcuff</w:t>
      </w:r>
      <w:proofErr w:type="spellEnd"/>
      <w:r w:rsidRPr="007B61F9">
        <w:rPr>
          <w:rFonts w:ascii="Times New Roman" w:hAnsi="Times New Roman" w:cs="Times New Roman"/>
        </w:rPr>
        <w:t xml:space="preserve"> JB. Vitamin a, endocrine tissues and hormones: interplay</w:t>
      </w:r>
      <w:r>
        <w:rPr>
          <w:rFonts w:ascii="Times New Roman" w:hAnsi="Times New Roman" w:cs="Times New Roman"/>
        </w:rPr>
        <w:t xml:space="preserve"> and interactions. </w:t>
      </w:r>
      <w:proofErr w:type="spellStart"/>
      <w:r>
        <w:rPr>
          <w:rFonts w:ascii="Times New Roman" w:hAnsi="Times New Roman" w:cs="Times New Roman"/>
        </w:rPr>
        <w:t>Endocr</w:t>
      </w:r>
      <w:proofErr w:type="spellEnd"/>
      <w:r>
        <w:rPr>
          <w:rFonts w:ascii="Times New Roman" w:hAnsi="Times New Roman" w:cs="Times New Roman"/>
        </w:rPr>
        <w:t>.</w:t>
      </w:r>
      <w:r w:rsidRPr="007B61F9">
        <w:rPr>
          <w:rFonts w:ascii="Times New Roman" w:hAnsi="Times New Roman" w:cs="Times New Roman"/>
        </w:rPr>
        <w:t xml:space="preserve"> Connect, 2017, 6(7): 121–130.</w:t>
      </w:r>
      <w:r w:rsidRPr="00392FCB">
        <w:t xml:space="preserve"> </w:t>
      </w:r>
      <w:r w:rsidRPr="00392FCB">
        <w:rPr>
          <w:rFonts w:ascii="Times New Roman" w:hAnsi="Times New Roman" w:cs="Times New Roman"/>
        </w:rPr>
        <w:t>10.1530/EC-17-0101.</w:t>
      </w:r>
    </w:p>
    <w:p w14:paraId="242F567C" w14:textId="77777777" w:rsidR="00C8791B" w:rsidRPr="00B335DE"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 xml:space="preserve">Ucal Y, Serdar M, Akın-Levi C, Yıldırım-Keles ZZ, </w:t>
      </w:r>
      <w:proofErr w:type="spellStart"/>
      <w:r>
        <w:rPr>
          <w:rFonts w:ascii="Times New Roman" w:hAnsi="Times New Roman" w:cs="Times New Roman"/>
        </w:rPr>
        <w:t>Turam</w:t>
      </w:r>
      <w:proofErr w:type="spellEnd"/>
      <w:r>
        <w:rPr>
          <w:rFonts w:ascii="Times New Roman" w:hAnsi="Times New Roman" w:cs="Times New Roman"/>
        </w:rPr>
        <w:t xml:space="preserve"> C, </w:t>
      </w:r>
      <w:proofErr w:type="spellStart"/>
      <w:r>
        <w:rPr>
          <w:rFonts w:ascii="Times New Roman" w:hAnsi="Times New Roman" w:cs="Times New Roman"/>
        </w:rPr>
        <w:t>Kumru</w:t>
      </w:r>
      <w:proofErr w:type="spellEnd"/>
      <w:r>
        <w:rPr>
          <w:rFonts w:ascii="Times New Roman" w:hAnsi="Times New Roman" w:cs="Times New Roman"/>
        </w:rPr>
        <w:t xml:space="preserve"> P, M</w:t>
      </w:r>
      <w:r w:rsidRPr="00B335DE">
        <w:rPr>
          <w:rFonts w:ascii="Times New Roman" w:hAnsi="Times New Roman" w:cs="Times New Roman"/>
        </w:rPr>
        <w:t xml:space="preserve">, </w:t>
      </w:r>
      <w:proofErr w:type="spellStart"/>
      <w:r>
        <w:rPr>
          <w:rFonts w:ascii="Times New Roman" w:hAnsi="Times New Roman" w:cs="Times New Roman"/>
        </w:rPr>
        <w:t>Ozpinar</w:t>
      </w:r>
      <w:proofErr w:type="spellEnd"/>
      <w:r>
        <w:rPr>
          <w:rFonts w:ascii="Times New Roman" w:hAnsi="Times New Roman" w:cs="Times New Roman"/>
        </w:rPr>
        <w:t xml:space="preserve"> A</w:t>
      </w:r>
      <w:r w:rsidRPr="00B335DE">
        <w:rPr>
          <w:rFonts w:ascii="Times New Roman" w:hAnsi="Times New Roman" w:cs="Times New Roman"/>
        </w:rPr>
        <w:t>. "Association of maternal serum trace elements with newborn screening-thyr</w:t>
      </w:r>
      <w:r>
        <w:rPr>
          <w:rFonts w:ascii="Times New Roman" w:hAnsi="Times New Roman" w:cs="Times New Roman"/>
        </w:rPr>
        <w:t xml:space="preserve">oid stimulating hormone" </w:t>
      </w:r>
      <w:proofErr w:type="spellStart"/>
      <w:r>
        <w:rPr>
          <w:rFonts w:ascii="Times New Roman" w:hAnsi="Times New Roman" w:cs="Times New Roman"/>
        </w:rPr>
        <w:t>turk</w:t>
      </w:r>
      <w:proofErr w:type="spellEnd"/>
      <w:r>
        <w:rPr>
          <w:rFonts w:ascii="Times New Roman" w:hAnsi="Times New Roman" w:cs="Times New Roman"/>
        </w:rPr>
        <w:t xml:space="preserve"> j </w:t>
      </w:r>
      <w:proofErr w:type="spellStart"/>
      <w:r>
        <w:rPr>
          <w:rFonts w:ascii="Times New Roman" w:hAnsi="Times New Roman" w:cs="Times New Roman"/>
        </w:rPr>
        <w:t>biochem</w:t>
      </w:r>
      <w:proofErr w:type="spellEnd"/>
      <w:r w:rsidRPr="00B335DE">
        <w:rPr>
          <w:rFonts w:ascii="Times New Roman" w:hAnsi="Times New Roman" w:cs="Times New Roman"/>
        </w:rPr>
        <w:t xml:space="preserve">, </w:t>
      </w:r>
      <w:r>
        <w:rPr>
          <w:rFonts w:ascii="Times New Roman" w:hAnsi="Times New Roman" w:cs="Times New Roman"/>
        </w:rPr>
        <w:t>2020, 45(5);</w:t>
      </w:r>
      <w:r w:rsidRPr="00B335DE">
        <w:rPr>
          <w:rFonts w:ascii="Times New Roman" w:hAnsi="Times New Roman" w:cs="Times New Roman"/>
        </w:rPr>
        <w:t xml:space="preserve"> 507-514. 10.1515/tjb-2019-0372</w:t>
      </w:r>
      <w:r>
        <w:rPr>
          <w:rFonts w:ascii="Times New Roman" w:hAnsi="Times New Roman" w:cs="Times New Roman"/>
        </w:rPr>
        <w:t>.</w:t>
      </w:r>
    </w:p>
    <w:p w14:paraId="47159655" w14:textId="77777777" w:rsidR="00C8791B" w:rsidRPr="007B61F9" w:rsidRDefault="00C8791B" w:rsidP="00C8791B">
      <w:pPr>
        <w:pStyle w:val="ListParagraph"/>
        <w:numPr>
          <w:ilvl w:val="0"/>
          <w:numId w:val="2"/>
        </w:numPr>
        <w:jc w:val="both"/>
        <w:rPr>
          <w:rFonts w:ascii="Times New Roman" w:hAnsi="Times New Roman" w:cs="Times New Roman"/>
        </w:rPr>
      </w:pPr>
      <w:r w:rsidRPr="00DC5003">
        <w:rPr>
          <w:rFonts w:ascii="Times New Roman" w:hAnsi="Times New Roman" w:cs="Times New Roman"/>
        </w:rPr>
        <w:t xml:space="preserve">Zhou Q, Xue S, Zhang L, Chen G. Trace elements and the thyroid. Front </w:t>
      </w:r>
      <w:r>
        <w:rPr>
          <w:rFonts w:ascii="Times New Roman" w:hAnsi="Times New Roman" w:cs="Times New Roman"/>
        </w:rPr>
        <w:t xml:space="preserve">Endocrinol (Lausanne). 2022, 24;13:904889. </w:t>
      </w:r>
      <w:r w:rsidRPr="00DC5003">
        <w:rPr>
          <w:rFonts w:ascii="Times New Roman" w:hAnsi="Times New Roman" w:cs="Times New Roman"/>
        </w:rPr>
        <w:t>10.3389/fendo.2022.9048</w:t>
      </w:r>
      <w:r>
        <w:rPr>
          <w:rFonts w:ascii="Times New Roman" w:hAnsi="Times New Roman" w:cs="Times New Roman"/>
        </w:rPr>
        <w:t>8</w:t>
      </w:r>
      <w:r w:rsidRPr="007B61F9">
        <w:rPr>
          <w:rFonts w:ascii="Times New Roman" w:hAnsi="Times New Roman" w:cs="Times New Roman"/>
        </w:rPr>
        <w:t>.</w:t>
      </w:r>
    </w:p>
    <w:p w14:paraId="22351911" w14:textId="77777777" w:rsidR="00C8791B" w:rsidRDefault="00C8791B" w:rsidP="00C8791B">
      <w:pPr>
        <w:pStyle w:val="ListParagraph"/>
        <w:numPr>
          <w:ilvl w:val="0"/>
          <w:numId w:val="2"/>
        </w:numPr>
        <w:jc w:val="both"/>
        <w:rPr>
          <w:rFonts w:ascii="Times New Roman" w:hAnsi="Times New Roman" w:cs="Times New Roman"/>
        </w:rPr>
      </w:pPr>
      <w:r w:rsidRPr="00DC5003">
        <w:rPr>
          <w:rFonts w:ascii="Times New Roman" w:hAnsi="Times New Roman" w:cs="Times New Roman"/>
        </w:rPr>
        <w:t xml:space="preserve">Pearce EN. Update in lipid alterations in subclinical hypothyroidism. J </w:t>
      </w:r>
      <w:r>
        <w:rPr>
          <w:rFonts w:ascii="Times New Roman" w:hAnsi="Times New Roman" w:cs="Times New Roman"/>
        </w:rPr>
        <w:t xml:space="preserve">Clin Endocrinol </w:t>
      </w:r>
      <w:proofErr w:type="spellStart"/>
      <w:r>
        <w:rPr>
          <w:rFonts w:ascii="Times New Roman" w:hAnsi="Times New Roman" w:cs="Times New Roman"/>
        </w:rPr>
        <w:t>Metab</w:t>
      </w:r>
      <w:proofErr w:type="spellEnd"/>
      <w:r>
        <w:rPr>
          <w:rFonts w:ascii="Times New Roman" w:hAnsi="Times New Roman" w:cs="Times New Roman"/>
        </w:rPr>
        <w:t>. 2012, 97(2):326-33.10.1210/jc.2011-2532.</w:t>
      </w:r>
    </w:p>
    <w:p w14:paraId="6A0F6103"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Vargas-</w:t>
      </w:r>
      <w:proofErr w:type="spellStart"/>
      <w:r w:rsidRPr="007B61F9">
        <w:rPr>
          <w:rFonts w:ascii="Times New Roman" w:hAnsi="Times New Roman" w:cs="Times New Roman"/>
        </w:rPr>
        <w:t>Uricoechea</w:t>
      </w:r>
      <w:proofErr w:type="spellEnd"/>
      <w:r w:rsidRPr="007B61F9">
        <w:rPr>
          <w:rFonts w:ascii="Times New Roman" w:hAnsi="Times New Roman" w:cs="Times New Roman"/>
        </w:rPr>
        <w:t xml:space="preserve"> H, </w:t>
      </w:r>
      <w:proofErr w:type="spellStart"/>
      <w:r w:rsidRPr="007B61F9">
        <w:rPr>
          <w:rFonts w:ascii="Times New Roman" w:hAnsi="Times New Roman" w:cs="Times New Roman"/>
        </w:rPr>
        <w:t>Urrego-Noguera</w:t>
      </w:r>
      <w:proofErr w:type="spellEnd"/>
      <w:r w:rsidRPr="007B61F9">
        <w:rPr>
          <w:rFonts w:ascii="Times New Roman" w:hAnsi="Times New Roman" w:cs="Times New Roman"/>
        </w:rPr>
        <w:t xml:space="preserve"> K, Vargas-Sierra H, Pinzón-Fernández M. Zinc and Ferritin Levels and Their Associations with Functional Disorders and/or Thyroid Autoimmunity: A Population-Based Case-Control Study. Int J Mol Sci. 2024,</w:t>
      </w:r>
      <w:r>
        <w:rPr>
          <w:rFonts w:ascii="Times New Roman" w:hAnsi="Times New Roman" w:cs="Times New Roman"/>
        </w:rPr>
        <w:t xml:space="preserve"> </w:t>
      </w:r>
      <w:r w:rsidRPr="007B61F9">
        <w:rPr>
          <w:rFonts w:ascii="Times New Roman" w:hAnsi="Times New Roman" w:cs="Times New Roman"/>
        </w:rPr>
        <w:t xml:space="preserve">23;25(18):10217. </w:t>
      </w:r>
      <w:proofErr w:type="spellStart"/>
      <w:r w:rsidRPr="007B61F9">
        <w:rPr>
          <w:rFonts w:ascii="Times New Roman" w:hAnsi="Times New Roman" w:cs="Times New Roman"/>
        </w:rPr>
        <w:t>doi</w:t>
      </w:r>
      <w:proofErr w:type="spellEnd"/>
      <w:r w:rsidRPr="007B61F9">
        <w:rPr>
          <w:rFonts w:ascii="Times New Roman" w:hAnsi="Times New Roman" w:cs="Times New Roman"/>
        </w:rPr>
        <w:t xml:space="preserve">: 10.3390/ijms251810217. </w:t>
      </w:r>
    </w:p>
    <w:p w14:paraId="6B09A700" w14:textId="77777777" w:rsidR="00C8791B" w:rsidRPr="007B61F9" w:rsidRDefault="00C8791B" w:rsidP="00C8791B">
      <w:pPr>
        <w:pStyle w:val="ListParagraph"/>
        <w:numPr>
          <w:ilvl w:val="0"/>
          <w:numId w:val="2"/>
        </w:numPr>
        <w:jc w:val="both"/>
        <w:rPr>
          <w:rFonts w:ascii="Times New Roman" w:hAnsi="Times New Roman" w:cs="Times New Roman"/>
        </w:rPr>
      </w:pPr>
      <w:proofErr w:type="spellStart"/>
      <w:r w:rsidRPr="00175B8B">
        <w:rPr>
          <w:rFonts w:ascii="Times New Roman" w:hAnsi="Times New Roman" w:cs="Times New Roman"/>
        </w:rPr>
        <w:t>Padoan</w:t>
      </w:r>
      <w:proofErr w:type="spellEnd"/>
      <w:r w:rsidRPr="00175B8B">
        <w:rPr>
          <w:rFonts w:ascii="Times New Roman" w:hAnsi="Times New Roman" w:cs="Times New Roman"/>
        </w:rPr>
        <w:t xml:space="preserve"> F, </w:t>
      </w:r>
      <w:proofErr w:type="spellStart"/>
      <w:r w:rsidRPr="00175B8B">
        <w:rPr>
          <w:rFonts w:ascii="Times New Roman" w:hAnsi="Times New Roman" w:cs="Times New Roman"/>
        </w:rPr>
        <w:t>Piccoli</w:t>
      </w:r>
      <w:proofErr w:type="spellEnd"/>
      <w:r w:rsidRPr="00175B8B">
        <w:rPr>
          <w:rFonts w:ascii="Times New Roman" w:hAnsi="Times New Roman" w:cs="Times New Roman"/>
        </w:rPr>
        <w:t xml:space="preserve"> E, </w:t>
      </w:r>
      <w:proofErr w:type="spellStart"/>
      <w:r w:rsidRPr="00175B8B">
        <w:rPr>
          <w:rFonts w:ascii="Times New Roman" w:hAnsi="Times New Roman" w:cs="Times New Roman"/>
        </w:rPr>
        <w:t>Pietrobelli</w:t>
      </w:r>
      <w:proofErr w:type="spellEnd"/>
      <w:r w:rsidRPr="00175B8B">
        <w:rPr>
          <w:rFonts w:ascii="Times New Roman" w:hAnsi="Times New Roman" w:cs="Times New Roman"/>
        </w:rPr>
        <w:t xml:space="preserve"> A, Moreno LA, Piacentini G, Pecoraro L. The Role of Zinc in Developed Countries in Pediatric Patients: A 360-Degr</w:t>
      </w:r>
      <w:r>
        <w:rPr>
          <w:rFonts w:ascii="Times New Roman" w:hAnsi="Times New Roman" w:cs="Times New Roman"/>
        </w:rPr>
        <w:t xml:space="preserve">ee View. Biomolecules. 2024, </w:t>
      </w:r>
      <w:r w:rsidRPr="00175B8B">
        <w:rPr>
          <w:rFonts w:ascii="Times New Roman" w:hAnsi="Times New Roman" w:cs="Times New Roman"/>
        </w:rPr>
        <w:t xml:space="preserve">17;14(6):718. </w:t>
      </w:r>
      <w:proofErr w:type="spellStart"/>
      <w:r w:rsidRPr="00175B8B">
        <w:rPr>
          <w:rFonts w:ascii="Times New Roman" w:hAnsi="Times New Roman" w:cs="Times New Roman"/>
        </w:rPr>
        <w:t>doi</w:t>
      </w:r>
      <w:proofErr w:type="spellEnd"/>
      <w:r w:rsidRPr="00175B8B">
        <w:rPr>
          <w:rFonts w:ascii="Times New Roman" w:hAnsi="Times New Roman" w:cs="Times New Roman"/>
        </w:rPr>
        <w:t>: 10.3390/biom14060718.</w:t>
      </w:r>
      <w:r w:rsidRPr="007B61F9">
        <w:rPr>
          <w:rFonts w:ascii="Times New Roman" w:hAnsi="Times New Roman" w:cs="Times New Roman"/>
        </w:rPr>
        <w:t>.</w:t>
      </w:r>
    </w:p>
    <w:p w14:paraId="6C588EF4" w14:textId="77777777" w:rsidR="00C8791B" w:rsidRPr="00175B8B" w:rsidRDefault="00C8791B" w:rsidP="00C8791B">
      <w:pPr>
        <w:pStyle w:val="ListParagraph"/>
        <w:numPr>
          <w:ilvl w:val="0"/>
          <w:numId w:val="2"/>
        </w:numPr>
        <w:jc w:val="both"/>
        <w:rPr>
          <w:rFonts w:ascii="Times New Roman" w:hAnsi="Times New Roman" w:cs="Times New Roman"/>
        </w:rPr>
      </w:pPr>
      <w:r w:rsidRPr="00175B8B">
        <w:rPr>
          <w:rFonts w:ascii="Times New Roman" w:hAnsi="Times New Roman" w:cs="Times New Roman"/>
          <w:color w:val="1B1B1B"/>
          <w:shd w:val="clear" w:color="auto" w:fill="FFFFFF"/>
        </w:rPr>
        <w:t xml:space="preserve">Ye Y, Li Y, Ma Q, Li Y, Zeng H, Luo Y, Liang Y, Liu L, Liu L, Lin X, Yu G, Song C, Wan H, Shen J. Association of multiple blood metals with thyroid function in general adults: A cross-sectional study. Front </w:t>
      </w:r>
      <w:r>
        <w:rPr>
          <w:rFonts w:ascii="Times New Roman" w:hAnsi="Times New Roman" w:cs="Times New Roman"/>
          <w:color w:val="1B1B1B"/>
          <w:shd w:val="clear" w:color="auto" w:fill="FFFFFF"/>
        </w:rPr>
        <w:t xml:space="preserve">Endocrinol (Lausanne). 2023, </w:t>
      </w:r>
      <w:r w:rsidRPr="00175B8B">
        <w:rPr>
          <w:rFonts w:ascii="Times New Roman" w:hAnsi="Times New Roman" w:cs="Times New Roman"/>
          <w:color w:val="1B1B1B"/>
          <w:shd w:val="clear" w:color="auto" w:fill="FFFFFF"/>
        </w:rPr>
        <w:t>27;14:1134208. 10.3389/fendo.2023.1134208.</w:t>
      </w:r>
    </w:p>
    <w:p w14:paraId="1C710C78" w14:textId="77777777" w:rsidR="00C8791B" w:rsidRPr="007B61F9" w:rsidRDefault="00C8791B" w:rsidP="00C8791B">
      <w:pPr>
        <w:pStyle w:val="ListParagraph"/>
        <w:numPr>
          <w:ilvl w:val="0"/>
          <w:numId w:val="2"/>
        </w:numPr>
        <w:jc w:val="both"/>
        <w:rPr>
          <w:rFonts w:ascii="Times New Roman" w:hAnsi="Times New Roman" w:cs="Times New Roman"/>
        </w:rPr>
      </w:pPr>
      <w:proofErr w:type="spellStart"/>
      <w:r w:rsidRPr="007B61F9">
        <w:rPr>
          <w:rFonts w:ascii="Times New Roman" w:hAnsi="Times New Roman" w:cs="Times New Roman"/>
        </w:rPr>
        <w:t>Aktuna</w:t>
      </w:r>
      <w:proofErr w:type="spellEnd"/>
      <w:r w:rsidRPr="007B61F9">
        <w:rPr>
          <w:rFonts w:ascii="Times New Roman" w:hAnsi="Times New Roman" w:cs="Times New Roman"/>
        </w:rPr>
        <w:t xml:space="preserve"> D, </w:t>
      </w:r>
      <w:proofErr w:type="spellStart"/>
      <w:r w:rsidRPr="007B61F9">
        <w:rPr>
          <w:rFonts w:ascii="Times New Roman" w:hAnsi="Times New Roman" w:cs="Times New Roman"/>
        </w:rPr>
        <w:t>Buchinger</w:t>
      </w:r>
      <w:proofErr w:type="spellEnd"/>
      <w:r w:rsidRPr="007B61F9">
        <w:rPr>
          <w:rFonts w:ascii="Times New Roman" w:hAnsi="Times New Roman" w:cs="Times New Roman"/>
        </w:rPr>
        <w:t xml:space="preserve"> W, </w:t>
      </w:r>
      <w:proofErr w:type="spellStart"/>
      <w:r w:rsidRPr="007B61F9">
        <w:rPr>
          <w:rFonts w:ascii="Times New Roman" w:hAnsi="Times New Roman" w:cs="Times New Roman"/>
        </w:rPr>
        <w:t>Langsteger</w:t>
      </w:r>
      <w:proofErr w:type="spellEnd"/>
      <w:r w:rsidRPr="007B61F9">
        <w:rPr>
          <w:rFonts w:ascii="Times New Roman" w:hAnsi="Times New Roman" w:cs="Times New Roman"/>
        </w:rPr>
        <w:t xml:space="preserve"> W, Meister E, Sternad H, Lorenz O, Eber, O. Beta-carotene, vitamin A and carrier proteins in thyroid diseases. Acta of Medicine, 2019, 20 (2): 17-20.</w:t>
      </w:r>
    </w:p>
    <w:p w14:paraId="37F82BBD"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 xml:space="preserve">Nishi Y, Kawate R, Usui T. Zinc metabolism </w:t>
      </w:r>
      <w:r>
        <w:rPr>
          <w:rFonts w:ascii="Times New Roman" w:hAnsi="Times New Roman" w:cs="Times New Roman"/>
        </w:rPr>
        <w:t>in thyroid disease. Postgrad. Med. J</w:t>
      </w:r>
      <w:r w:rsidRPr="007B61F9">
        <w:rPr>
          <w:rFonts w:ascii="Times New Roman" w:hAnsi="Times New Roman" w:cs="Times New Roman"/>
        </w:rPr>
        <w:t>, 2018,  56 (9): 833-837.</w:t>
      </w:r>
      <w:r w:rsidRPr="000C0E1E">
        <w:t xml:space="preserve"> </w:t>
      </w:r>
      <w:r w:rsidRPr="000C0E1E">
        <w:rPr>
          <w:rFonts w:ascii="Times New Roman" w:hAnsi="Times New Roman" w:cs="Times New Roman"/>
        </w:rPr>
        <w:t>PMID: 8475673</w:t>
      </w:r>
      <w:r>
        <w:rPr>
          <w:rFonts w:ascii="Times New Roman" w:hAnsi="Times New Roman" w:cs="Times New Roman"/>
        </w:rPr>
        <w:t xml:space="preserve">. </w:t>
      </w:r>
    </w:p>
    <w:p w14:paraId="46B2CAD3"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Dhawan D, Singh BM, Dani V. Zinc sulphate following the administration of iodine-131 on the regulation of thyroi</w:t>
      </w:r>
      <w:r>
        <w:rPr>
          <w:rFonts w:ascii="Times New Roman" w:hAnsi="Times New Roman" w:cs="Times New Roman"/>
        </w:rPr>
        <w:t>d function in rats. Hell J Nucl Med</w:t>
      </w:r>
      <w:r w:rsidRPr="007B61F9">
        <w:rPr>
          <w:rFonts w:ascii="Times New Roman" w:hAnsi="Times New Roman" w:cs="Times New Roman"/>
        </w:rPr>
        <w:t>, 2017, 10 (3); 167-171.</w:t>
      </w:r>
      <w:r w:rsidRPr="000C0E1E">
        <w:t xml:space="preserve"> </w:t>
      </w:r>
      <w:r w:rsidRPr="000C0E1E">
        <w:rPr>
          <w:rFonts w:ascii="Times New Roman" w:hAnsi="Times New Roman" w:cs="Times New Roman"/>
        </w:rPr>
        <w:t>PMID: 18084658</w:t>
      </w:r>
      <w:r>
        <w:rPr>
          <w:rFonts w:ascii="Times New Roman" w:hAnsi="Times New Roman" w:cs="Times New Roman"/>
        </w:rPr>
        <w:t>.</w:t>
      </w:r>
    </w:p>
    <w:p w14:paraId="541BE056" w14:textId="77777777" w:rsidR="00C8791B" w:rsidRPr="008B2380"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Rashid</w:t>
      </w:r>
      <w:r w:rsidRPr="008B2380">
        <w:rPr>
          <w:rFonts w:ascii="Times New Roman" w:hAnsi="Times New Roman" w:cs="Times New Roman"/>
        </w:rPr>
        <w:t xml:space="preserve"> </w:t>
      </w:r>
      <w:r>
        <w:rPr>
          <w:rFonts w:ascii="Times New Roman" w:hAnsi="Times New Roman" w:cs="Times New Roman"/>
        </w:rPr>
        <w:t>N</w:t>
      </w:r>
      <w:r w:rsidRPr="008B2380">
        <w:rPr>
          <w:rFonts w:ascii="Times New Roman" w:hAnsi="Times New Roman" w:cs="Times New Roman"/>
        </w:rPr>
        <w:t>F</w:t>
      </w:r>
      <w:r>
        <w:rPr>
          <w:rFonts w:ascii="Times New Roman" w:hAnsi="Times New Roman" w:cs="Times New Roman"/>
        </w:rPr>
        <w:t>, Abed BA, Abas T</w:t>
      </w:r>
      <w:r w:rsidRPr="008B2380">
        <w:rPr>
          <w:rFonts w:ascii="Times New Roman" w:hAnsi="Times New Roman" w:cs="Times New Roman"/>
        </w:rPr>
        <w:t>A. Relationship between Some Trace Elements, Lipid profile and Hypothyroidism</w:t>
      </w:r>
      <w:r>
        <w:rPr>
          <w:rFonts w:ascii="Times New Roman" w:hAnsi="Times New Roman" w:cs="Times New Roman"/>
        </w:rPr>
        <w:t xml:space="preserve">. Al </w:t>
      </w:r>
      <w:proofErr w:type="spellStart"/>
      <w:r>
        <w:rPr>
          <w:rFonts w:ascii="Times New Roman" w:hAnsi="Times New Roman" w:cs="Times New Roman"/>
        </w:rPr>
        <w:t>Mustansiriyah</w:t>
      </w:r>
      <w:proofErr w:type="spellEnd"/>
      <w:r>
        <w:rPr>
          <w:rFonts w:ascii="Times New Roman" w:hAnsi="Times New Roman" w:cs="Times New Roman"/>
        </w:rPr>
        <w:t xml:space="preserve"> J Pharma Sci. 2010, </w:t>
      </w:r>
      <w:proofErr w:type="spellStart"/>
      <w:r>
        <w:rPr>
          <w:rFonts w:ascii="Times New Roman" w:hAnsi="Times New Roman" w:cs="Times New Roman"/>
        </w:rPr>
        <w:t>n.pag</w:t>
      </w:r>
      <w:proofErr w:type="spellEnd"/>
      <w:r>
        <w:rPr>
          <w:rFonts w:ascii="Times New Roman" w:hAnsi="Times New Roman" w:cs="Times New Roman"/>
        </w:rPr>
        <w:t xml:space="preserve">. </w:t>
      </w:r>
      <w:r w:rsidRPr="008B2380">
        <w:rPr>
          <w:rFonts w:ascii="Times New Roman" w:hAnsi="Times New Roman" w:cs="Times New Roman"/>
        </w:rPr>
        <w:t>10.32947/ajps.v8i2.346</w:t>
      </w:r>
      <w:r w:rsidRPr="007B61F9">
        <w:rPr>
          <w:rFonts w:ascii="Times New Roman" w:hAnsi="Times New Roman" w:cs="Times New Roman"/>
        </w:rPr>
        <w:t>.</w:t>
      </w:r>
    </w:p>
    <w:p w14:paraId="4C7A1B5C" w14:textId="77777777" w:rsidR="00C8791B" w:rsidRDefault="00C8791B" w:rsidP="00C8791B">
      <w:pPr>
        <w:pStyle w:val="ListParagraph"/>
        <w:numPr>
          <w:ilvl w:val="0"/>
          <w:numId w:val="2"/>
        </w:numPr>
        <w:jc w:val="both"/>
        <w:rPr>
          <w:rFonts w:ascii="Times New Roman" w:hAnsi="Times New Roman" w:cs="Times New Roman"/>
        </w:rPr>
      </w:pPr>
      <w:proofErr w:type="spellStart"/>
      <w:r w:rsidRPr="00120B77">
        <w:rPr>
          <w:rFonts w:ascii="Times New Roman" w:hAnsi="Times New Roman" w:cs="Times New Roman"/>
        </w:rPr>
        <w:t>Ertek</w:t>
      </w:r>
      <w:proofErr w:type="spellEnd"/>
      <w:r w:rsidRPr="00120B77">
        <w:rPr>
          <w:rFonts w:ascii="Times New Roman" w:hAnsi="Times New Roman" w:cs="Times New Roman"/>
        </w:rPr>
        <w:t xml:space="preserve"> S, Cicero AF, Caglar O, Erdogan G. Relationship between serum zinc levels, thyroid hormones and thyroid volume following successful iodine s</w:t>
      </w:r>
      <w:r>
        <w:rPr>
          <w:rFonts w:ascii="Times New Roman" w:hAnsi="Times New Roman" w:cs="Times New Roman"/>
        </w:rPr>
        <w:t>upplementation. Hormones (ATH</w:t>
      </w:r>
      <w:r w:rsidRPr="00120B77">
        <w:rPr>
          <w:rFonts w:ascii="Times New Roman" w:hAnsi="Times New Roman" w:cs="Times New Roman"/>
        </w:rPr>
        <w:t>)</w:t>
      </w:r>
      <w:r>
        <w:rPr>
          <w:rFonts w:ascii="Times New Roman" w:hAnsi="Times New Roman" w:cs="Times New Roman"/>
        </w:rPr>
        <w:t xml:space="preserve">. 2010, 9(3):263-8. </w:t>
      </w:r>
      <w:r w:rsidRPr="00120B77">
        <w:rPr>
          <w:rFonts w:ascii="Times New Roman" w:hAnsi="Times New Roman" w:cs="Times New Roman"/>
        </w:rPr>
        <w:t xml:space="preserve">10.14310/horm.2002.1276. </w:t>
      </w:r>
    </w:p>
    <w:p w14:paraId="03786347" w14:textId="77777777" w:rsidR="00C8791B" w:rsidRDefault="00C8791B" w:rsidP="00C8791B">
      <w:pPr>
        <w:pStyle w:val="ListParagraph"/>
        <w:numPr>
          <w:ilvl w:val="0"/>
          <w:numId w:val="2"/>
        </w:numPr>
        <w:jc w:val="both"/>
        <w:rPr>
          <w:rFonts w:ascii="Times New Roman" w:hAnsi="Times New Roman" w:cs="Times New Roman"/>
        </w:rPr>
      </w:pPr>
      <w:proofErr w:type="spellStart"/>
      <w:r>
        <w:rPr>
          <w:rFonts w:ascii="Times New Roman" w:hAnsi="Times New Roman" w:cs="Times New Roman"/>
        </w:rPr>
        <w:t>Gustin</w:t>
      </w:r>
      <w:proofErr w:type="spellEnd"/>
      <w:r>
        <w:rPr>
          <w:rFonts w:ascii="Times New Roman" w:hAnsi="Times New Roman" w:cs="Times New Roman"/>
        </w:rPr>
        <w:t xml:space="preserve"> K, </w:t>
      </w:r>
      <w:proofErr w:type="spellStart"/>
      <w:r>
        <w:rPr>
          <w:rFonts w:ascii="Times New Roman" w:hAnsi="Times New Roman" w:cs="Times New Roman"/>
        </w:rPr>
        <w:t>Vahter</w:t>
      </w:r>
      <w:proofErr w:type="spellEnd"/>
      <w:r>
        <w:rPr>
          <w:rFonts w:ascii="Times New Roman" w:hAnsi="Times New Roman" w:cs="Times New Roman"/>
        </w:rPr>
        <w:t xml:space="preserve"> M, Barman M, </w:t>
      </w:r>
      <w:proofErr w:type="spellStart"/>
      <w:r>
        <w:rPr>
          <w:rFonts w:ascii="Times New Roman" w:hAnsi="Times New Roman" w:cs="Times New Roman"/>
        </w:rPr>
        <w:t>Jacobsson</w:t>
      </w:r>
      <w:proofErr w:type="spellEnd"/>
      <w:r>
        <w:rPr>
          <w:rFonts w:ascii="Times New Roman" w:hAnsi="Times New Roman" w:cs="Times New Roman"/>
        </w:rPr>
        <w:t xml:space="preserve"> B, </w:t>
      </w:r>
      <w:proofErr w:type="spellStart"/>
      <w:r>
        <w:rPr>
          <w:rFonts w:ascii="Times New Roman" w:hAnsi="Times New Roman" w:cs="Times New Roman"/>
        </w:rPr>
        <w:t>Skroder</w:t>
      </w:r>
      <w:proofErr w:type="spellEnd"/>
      <w:r>
        <w:rPr>
          <w:rFonts w:ascii="Times New Roman" w:hAnsi="Times New Roman" w:cs="Times New Roman"/>
        </w:rPr>
        <w:t xml:space="preserve"> H, </w:t>
      </w:r>
      <w:proofErr w:type="spellStart"/>
      <w:r>
        <w:rPr>
          <w:rFonts w:ascii="Times New Roman" w:hAnsi="Times New Roman" w:cs="Times New Roman"/>
        </w:rPr>
        <w:t>Filipsson</w:t>
      </w:r>
      <w:proofErr w:type="spellEnd"/>
      <w:r>
        <w:rPr>
          <w:rFonts w:ascii="Times New Roman" w:hAnsi="Times New Roman" w:cs="Times New Roman"/>
        </w:rPr>
        <w:t xml:space="preserve"> H, Sandin A, Sandberg AS, </w:t>
      </w:r>
      <w:proofErr w:type="spellStart"/>
      <w:r>
        <w:rPr>
          <w:rFonts w:ascii="Times New Roman" w:hAnsi="Times New Roman" w:cs="Times New Roman"/>
        </w:rPr>
        <w:t>Wold</w:t>
      </w:r>
      <w:proofErr w:type="spellEnd"/>
      <w:r>
        <w:rPr>
          <w:rFonts w:ascii="Times New Roman" w:hAnsi="Times New Roman" w:cs="Times New Roman"/>
        </w:rPr>
        <w:t xml:space="preserve"> AE, </w:t>
      </w:r>
      <w:proofErr w:type="spellStart"/>
      <w:r>
        <w:rPr>
          <w:rFonts w:ascii="Times New Roman" w:hAnsi="Times New Roman" w:cs="Times New Roman"/>
        </w:rPr>
        <w:t>Kippler</w:t>
      </w:r>
      <w:proofErr w:type="spellEnd"/>
      <w:r>
        <w:rPr>
          <w:rFonts w:ascii="Times New Roman" w:hAnsi="Times New Roman" w:cs="Times New Roman"/>
        </w:rPr>
        <w:t xml:space="preserve"> M. Assessment of Joint Impact of Iodine, Selenium, Zinc Status on Women’s Third-Trimester Plasma Thyroid Hormone Concentrations. J Nutr. 2022, 152(7); 1737-1746. 10.1093/</w:t>
      </w:r>
      <w:proofErr w:type="spellStart"/>
      <w:r>
        <w:rPr>
          <w:rFonts w:ascii="Times New Roman" w:hAnsi="Times New Roman" w:cs="Times New Roman"/>
        </w:rPr>
        <w:t>jn</w:t>
      </w:r>
      <w:proofErr w:type="spellEnd"/>
      <w:r>
        <w:rPr>
          <w:rFonts w:ascii="Times New Roman" w:hAnsi="Times New Roman" w:cs="Times New Roman"/>
        </w:rPr>
        <w:t>/nxac081.</w:t>
      </w:r>
    </w:p>
    <w:p w14:paraId="3C855FE1" w14:textId="77777777" w:rsidR="00C8791B"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 xml:space="preserve">El Hendy HA, Yousef MI, Abo El-Naga NI. Effect of dietary zinc deficiency on hematological and biochemical parameters and concentrations of zinc, copper, and iron in growing rats. J </w:t>
      </w:r>
      <w:proofErr w:type="spellStart"/>
      <w:r>
        <w:rPr>
          <w:rFonts w:ascii="Times New Roman" w:hAnsi="Times New Roman" w:cs="Times New Roman"/>
        </w:rPr>
        <w:t>Toxicol</w:t>
      </w:r>
      <w:proofErr w:type="spellEnd"/>
      <w:r>
        <w:rPr>
          <w:rFonts w:ascii="Times New Roman" w:hAnsi="Times New Roman" w:cs="Times New Roman"/>
        </w:rPr>
        <w:t>, 2001. 167(2); 163-70. 10.1016/s0300-483x(01)00373-0.</w:t>
      </w:r>
    </w:p>
    <w:p w14:paraId="63BC0058" w14:textId="77777777" w:rsidR="00C8791B" w:rsidRPr="00131A7F" w:rsidRDefault="00C8791B" w:rsidP="00C8791B">
      <w:pPr>
        <w:pStyle w:val="ListParagraph"/>
        <w:numPr>
          <w:ilvl w:val="0"/>
          <w:numId w:val="2"/>
        </w:numPr>
        <w:jc w:val="both"/>
        <w:rPr>
          <w:rFonts w:ascii="Times New Roman" w:hAnsi="Times New Roman" w:cs="Times New Roman"/>
        </w:rPr>
      </w:pPr>
      <w:proofErr w:type="spellStart"/>
      <w:r w:rsidRPr="00131A7F">
        <w:rPr>
          <w:rFonts w:ascii="Times New Roman" w:hAnsi="Times New Roman" w:cs="Times New Roman"/>
        </w:rPr>
        <w:lastRenderedPageBreak/>
        <w:t>Olivieri</w:t>
      </w:r>
      <w:proofErr w:type="spellEnd"/>
      <w:r w:rsidRPr="00131A7F">
        <w:rPr>
          <w:rFonts w:ascii="Times New Roman" w:hAnsi="Times New Roman" w:cs="Times New Roman"/>
        </w:rPr>
        <w:t xml:space="preserve"> O, </w:t>
      </w:r>
      <w:proofErr w:type="spellStart"/>
      <w:r w:rsidRPr="00131A7F">
        <w:rPr>
          <w:rFonts w:ascii="Times New Roman" w:hAnsi="Times New Roman" w:cs="Times New Roman"/>
        </w:rPr>
        <w:t>Girelli</w:t>
      </w:r>
      <w:proofErr w:type="spellEnd"/>
      <w:r w:rsidRPr="00131A7F">
        <w:rPr>
          <w:rFonts w:ascii="Times New Roman" w:hAnsi="Times New Roman" w:cs="Times New Roman"/>
        </w:rPr>
        <w:t xml:space="preserve"> D, </w:t>
      </w:r>
      <w:proofErr w:type="spellStart"/>
      <w:r w:rsidRPr="00131A7F">
        <w:rPr>
          <w:rFonts w:ascii="Times New Roman" w:hAnsi="Times New Roman" w:cs="Times New Roman"/>
        </w:rPr>
        <w:t>Stanzial</w:t>
      </w:r>
      <w:proofErr w:type="spellEnd"/>
      <w:r w:rsidRPr="00131A7F">
        <w:rPr>
          <w:rFonts w:ascii="Times New Roman" w:hAnsi="Times New Roman" w:cs="Times New Roman"/>
        </w:rPr>
        <w:t xml:space="preserve"> AM, Rossi L, </w:t>
      </w:r>
      <w:proofErr w:type="spellStart"/>
      <w:r w:rsidRPr="00131A7F">
        <w:rPr>
          <w:rFonts w:ascii="Times New Roman" w:hAnsi="Times New Roman" w:cs="Times New Roman"/>
        </w:rPr>
        <w:t>Bassi</w:t>
      </w:r>
      <w:proofErr w:type="spellEnd"/>
      <w:r w:rsidRPr="00131A7F">
        <w:rPr>
          <w:rFonts w:ascii="Times New Roman" w:hAnsi="Times New Roman" w:cs="Times New Roman"/>
        </w:rPr>
        <w:t xml:space="preserve"> A, </w:t>
      </w:r>
      <w:proofErr w:type="spellStart"/>
      <w:r w:rsidRPr="00131A7F">
        <w:rPr>
          <w:rFonts w:ascii="Times New Roman" w:hAnsi="Times New Roman" w:cs="Times New Roman"/>
        </w:rPr>
        <w:t>Corrocher</w:t>
      </w:r>
      <w:proofErr w:type="spellEnd"/>
      <w:r w:rsidRPr="00131A7F">
        <w:rPr>
          <w:rFonts w:ascii="Times New Roman" w:hAnsi="Times New Roman" w:cs="Times New Roman"/>
        </w:rPr>
        <w:t xml:space="preserve"> R. Selenium, zinc, and thyroid hormones in healthy subjects: low T3/T4 ratio in the elderly is related to imp</w:t>
      </w:r>
      <w:r>
        <w:rPr>
          <w:rFonts w:ascii="Times New Roman" w:hAnsi="Times New Roman" w:cs="Times New Roman"/>
        </w:rPr>
        <w:t>aired selenium status. Biol Trace Elem Res</w:t>
      </w:r>
      <w:r w:rsidRPr="00131A7F">
        <w:rPr>
          <w:rFonts w:ascii="Times New Roman" w:hAnsi="Times New Roman" w:cs="Times New Roman"/>
        </w:rPr>
        <w:t xml:space="preserve">, </w:t>
      </w:r>
      <w:r>
        <w:rPr>
          <w:rFonts w:ascii="Times New Roman" w:hAnsi="Times New Roman" w:cs="Times New Roman"/>
        </w:rPr>
        <w:t>199</w:t>
      </w:r>
      <w:r w:rsidRPr="00131A7F">
        <w:rPr>
          <w:rFonts w:ascii="Times New Roman" w:hAnsi="Times New Roman" w:cs="Times New Roman"/>
        </w:rPr>
        <w:t>6, 51 (9); 31-41.</w:t>
      </w:r>
      <w:r>
        <w:rPr>
          <w:rFonts w:ascii="Times New Roman" w:hAnsi="Times New Roman" w:cs="Times New Roman"/>
        </w:rPr>
        <w:t xml:space="preserve"> 10.1007/BF02790145. </w:t>
      </w:r>
    </w:p>
    <w:p w14:paraId="3E66265B" w14:textId="77777777" w:rsidR="00C8791B" w:rsidRPr="000406D1" w:rsidRDefault="00C8791B" w:rsidP="00C8791B">
      <w:pPr>
        <w:pStyle w:val="ListParagraph"/>
        <w:numPr>
          <w:ilvl w:val="0"/>
          <w:numId w:val="2"/>
        </w:numPr>
        <w:rPr>
          <w:rFonts w:ascii="Times New Roman" w:hAnsi="Times New Roman" w:cs="Times New Roman"/>
        </w:rPr>
      </w:pPr>
      <w:r w:rsidRPr="000406D1">
        <w:rPr>
          <w:rFonts w:ascii="Times New Roman" w:hAnsi="Times New Roman" w:cs="Times New Roman"/>
        </w:rPr>
        <w:t xml:space="preserve">Mane AY, Bhagwat VR. Assessment of some biochemical markers of bone turnover in thyroid </w:t>
      </w:r>
      <w:r>
        <w:rPr>
          <w:rFonts w:ascii="Times New Roman" w:hAnsi="Times New Roman" w:cs="Times New Roman"/>
        </w:rPr>
        <w:t>dysfunction state. Int J Pharma Bio Sci</w:t>
      </w:r>
      <w:r w:rsidRPr="000406D1">
        <w:rPr>
          <w:rFonts w:ascii="Times New Roman" w:hAnsi="Times New Roman" w:cs="Times New Roman"/>
        </w:rPr>
        <w:t>, 2020, 3 (3); 126–133. Corpus ID: 159496277</w:t>
      </w:r>
    </w:p>
    <w:p w14:paraId="6FDA4A98" w14:textId="77777777" w:rsidR="00C8791B" w:rsidRDefault="00C8791B" w:rsidP="00C8791B">
      <w:pPr>
        <w:pStyle w:val="ListParagraph"/>
        <w:numPr>
          <w:ilvl w:val="0"/>
          <w:numId w:val="2"/>
        </w:numPr>
        <w:jc w:val="both"/>
        <w:rPr>
          <w:rFonts w:ascii="Times New Roman" w:hAnsi="Times New Roman" w:cs="Times New Roman"/>
        </w:rPr>
      </w:pPr>
      <w:r>
        <w:rPr>
          <w:rFonts w:ascii="Times New Roman" w:hAnsi="Times New Roman" w:cs="Times New Roman"/>
        </w:rPr>
        <w:t xml:space="preserve">Chatterjee S, Chakrabarti P., </w:t>
      </w:r>
      <w:proofErr w:type="spellStart"/>
      <w:r>
        <w:rPr>
          <w:rFonts w:ascii="Times New Roman" w:hAnsi="Times New Roman" w:cs="Times New Roman"/>
        </w:rPr>
        <w:t>Lokanathan</w:t>
      </w:r>
      <w:proofErr w:type="spellEnd"/>
      <w:r>
        <w:rPr>
          <w:rFonts w:ascii="Times New Roman" w:hAnsi="Times New Roman" w:cs="Times New Roman"/>
        </w:rPr>
        <w:t xml:space="preserve"> V. Calcium and Magnesium levels in Subclinical and Overt Hypothyroidism: A Cross-sectional Study. j clin </w:t>
      </w:r>
      <w:proofErr w:type="spellStart"/>
      <w:r>
        <w:rPr>
          <w:rFonts w:ascii="Times New Roman" w:hAnsi="Times New Roman" w:cs="Times New Roman"/>
        </w:rPr>
        <w:t>diagn</w:t>
      </w:r>
      <w:proofErr w:type="spellEnd"/>
      <w:r>
        <w:rPr>
          <w:rFonts w:ascii="Times New Roman" w:hAnsi="Times New Roman" w:cs="Times New Roman"/>
        </w:rPr>
        <w:t xml:space="preserve"> res. 2023, 17(9); BC15-BC17. 10.7860/JCDR/2023/63791.18465</w:t>
      </w:r>
    </w:p>
    <w:p w14:paraId="246CABBF"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Laura HM, Jeffrey SB. The Renal Manifestation</w:t>
      </w:r>
      <w:r>
        <w:rPr>
          <w:rFonts w:ascii="Times New Roman" w:hAnsi="Times New Roman" w:cs="Times New Roman"/>
        </w:rPr>
        <w:t>s of Thyroid Disease. J Am Soc Nephrol</w:t>
      </w:r>
      <w:r w:rsidRPr="007B61F9">
        <w:rPr>
          <w:rFonts w:ascii="Times New Roman" w:hAnsi="Times New Roman" w:cs="Times New Roman"/>
        </w:rPr>
        <w:t xml:space="preserve">, </w:t>
      </w:r>
      <w:r>
        <w:rPr>
          <w:rFonts w:ascii="Times New Roman" w:hAnsi="Times New Roman" w:cs="Times New Roman"/>
        </w:rPr>
        <w:t>2012</w:t>
      </w:r>
      <w:r w:rsidRPr="007B61F9">
        <w:rPr>
          <w:rFonts w:ascii="Times New Roman" w:hAnsi="Times New Roman" w:cs="Times New Roman"/>
        </w:rPr>
        <w:t>, 23 (5); 22–26.</w:t>
      </w:r>
      <w:r>
        <w:rPr>
          <w:rFonts w:ascii="Times New Roman" w:hAnsi="Times New Roman" w:cs="Times New Roman"/>
        </w:rPr>
        <w:t xml:space="preserve"> 10.1681/ASN.2010070766.</w:t>
      </w:r>
    </w:p>
    <w:p w14:paraId="7805820B"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Hess SY. The impact of common micronutrient deficiencies on iodine and thyroid metabolism: The evidence f</w:t>
      </w:r>
      <w:r>
        <w:rPr>
          <w:rFonts w:ascii="Times New Roman" w:hAnsi="Times New Roman" w:cs="Times New Roman"/>
        </w:rPr>
        <w:t xml:space="preserve">rom human studies. Best </w:t>
      </w:r>
      <w:proofErr w:type="spellStart"/>
      <w:r>
        <w:rPr>
          <w:rFonts w:ascii="Times New Roman" w:hAnsi="Times New Roman" w:cs="Times New Roman"/>
        </w:rPr>
        <w:t>Pract</w:t>
      </w:r>
      <w:proofErr w:type="spellEnd"/>
      <w:r>
        <w:rPr>
          <w:rFonts w:ascii="Times New Roman" w:hAnsi="Times New Roman" w:cs="Times New Roman"/>
        </w:rPr>
        <w:t xml:space="preserve"> Res Clin </w:t>
      </w:r>
      <w:r w:rsidRPr="007B61F9">
        <w:rPr>
          <w:rFonts w:ascii="Times New Roman" w:hAnsi="Times New Roman" w:cs="Times New Roman"/>
        </w:rPr>
        <w:t>Endo</w:t>
      </w:r>
      <w:r>
        <w:rPr>
          <w:rFonts w:ascii="Times New Roman" w:hAnsi="Times New Roman" w:cs="Times New Roman"/>
        </w:rPr>
        <w:t xml:space="preserve">crinol </w:t>
      </w:r>
      <w:proofErr w:type="spellStart"/>
      <w:r>
        <w:rPr>
          <w:rFonts w:ascii="Times New Roman" w:hAnsi="Times New Roman" w:cs="Times New Roman"/>
        </w:rPr>
        <w:t>Metab</w:t>
      </w:r>
      <w:proofErr w:type="spellEnd"/>
      <w:r w:rsidRPr="007B61F9">
        <w:rPr>
          <w:rFonts w:ascii="Times New Roman" w:hAnsi="Times New Roman" w:cs="Times New Roman"/>
        </w:rPr>
        <w:t>, 2010, 24 (1); 117–132.</w:t>
      </w:r>
      <w:r>
        <w:rPr>
          <w:rFonts w:ascii="Times New Roman" w:hAnsi="Times New Roman" w:cs="Times New Roman"/>
        </w:rPr>
        <w:t xml:space="preserve"> 10.1016/j.beem.2009.08.012.</w:t>
      </w:r>
    </w:p>
    <w:p w14:paraId="065AE107" w14:textId="77777777" w:rsidR="00C8791B" w:rsidRPr="007B61F9" w:rsidRDefault="00C8791B" w:rsidP="00C8791B">
      <w:pPr>
        <w:pStyle w:val="ListParagraph"/>
        <w:numPr>
          <w:ilvl w:val="0"/>
          <w:numId w:val="2"/>
        </w:numPr>
        <w:jc w:val="both"/>
        <w:rPr>
          <w:rFonts w:ascii="Times New Roman" w:hAnsi="Times New Roman" w:cs="Times New Roman"/>
        </w:rPr>
      </w:pPr>
      <w:r w:rsidRPr="007B61F9">
        <w:rPr>
          <w:rFonts w:ascii="Times New Roman" w:hAnsi="Times New Roman" w:cs="Times New Roman"/>
        </w:rPr>
        <w:t xml:space="preserve">Zimmermann MB, </w:t>
      </w:r>
      <w:proofErr w:type="spellStart"/>
      <w:r w:rsidRPr="007B61F9">
        <w:rPr>
          <w:rFonts w:ascii="Times New Roman" w:hAnsi="Times New Roman" w:cs="Times New Roman"/>
        </w:rPr>
        <w:t>Wegmüller</w:t>
      </w:r>
      <w:proofErr w:type="spellEnd"/>
      <w:r w:rsidRPr="007B61F9">
        <w:rPr>
          <w:rFonts w:ascii="Times New Roman" w:hAnsi="Times New Roman" w:cs="Times New Roman"/>
        </w:rPr>
        <w:t xml:space="preserve"> R, </w:t>
      </w:r>
      <w:proofErr w:type="spellStart"/>
      <w:r w:rsidRPr="007B61F9">
        <w:rPr>
          <w:rFonts w:ascii="Times New Roman" w:hAnsi="Times New Roman" w:cs="Times New Roman"/>
        </w:rPr>
        <w:t>Zeder</w:t>
      </w:r>
      <w:proofErr w:type="spellEnd"/>
      <w:r w:rsidRPr="007B61F9">
        <w:rPr>
          <w:rFonts w:ascii="Times New Roman" w:hAnsi="Times New Roman" w:cs="Times New Roman"/>
        </w:rPr>
        <w:t xml:space="preserve"> C, </w:t>
      </w:r>
      <w:proofErr w:type="spellStart"/>
      <w:r w:rsidRPr="007B61F9">
        <w:rPr>
          <w:rFonts w:ascii="Times New Roman" w:hAnsi="Times New Roman" w:cs="Times New Roman"/>
        </w:rPr>
        <w:t>Chaouki</w:t>
      </w:r>
      <w:proofErr w:type="spellEnd"/>
      <w:r w:rsidRPr="007B61F9">
        <w:rPr>
          <w:rFonts w:ascii="Times New Roman" w:hAnsi="Times New Roman" w:cs="Times New Roman"/>
        </w:rPr>
        <w:t xml:space="preserve"> N, </w:t>
      </w:r>
      <w:proofErr w:type="spellStart"/>
      <w:r w:rsidRPr="007B61F9">
        <w:rPr>
          <w:rFonts w:ascii="Times New Roman" w:hAnsi="Times New Roman" w:cs="Times New Roman"/>
        </w:rPr>
        <w:t>Torresani</w:t>
      </w:r>
      <w:proofErr w:type="spellEnd"/>
      <w:r w:rsidRPr="007B61F9">
        <w:rPr>
          <w:rFonts w:ascii="Times New Roman" w:hAnsi="Times New Roman" w:cs="Times New Roman"/>
        </w:rPr>
        <w:t xml:space="preserve"> T. The effects of vitamin A deficiency and vitamin A supplementation on thyroid function </w:t>
      </w:r>
      <w:r>
        <w:rPr>
          <w:rFonts w:ascii="Times New Roman" w:hAnsi="Times New Roman" w:cs="Times New Roman"/>
        </w:rPr>
        <w:t>in goitrous children. J Clin Endocrinol &amp;</w:t>
      </w:r>
      <w:r w:rsidRPr="007B61F9">
        <w:rPr>
          <w:rFonts w:ascii="Times New Roman" w:hAnsi="Times New Roman" w:cs="Times New Roman"/>
        </w:rPr>
        <w:t xml:space="preserve">Metabolism, </w:t>
      </w:r>
      <w:r>
        <w:rPr>
          <w:rFonts w:ascii="Times New Roman" w:hAnsi="Times New Roman" w:cs="Times New Roman"/>
        </w:rPr>
        <w:t>200</w:t>
      </w:r>
      <w:r w:rsidRPr="007B61F9">
        <w:rPr>
          <w:rFonts w:ascii="Times New Roman" w:hAnsi="Times New Roman" w:cs="Times New Roman"/>
        </w:rPr>
        <w:t>4, 89 (4); 5441–5447.</w:t>
      </w:r>
      <w:r>
        <w:rPr>
          <w:rFonts w:ascii="Times New Roman" w:hAnsi="Times New Roman" w:cs="Times New Roman"/>
        </w:rPr>
        <w:t xml:space="preserve"> 10.1210/jc.2004-0862.</w:t>
      </w:r>
    </w:p>
    <w:p w14:paraId="677774ED" w14:textId="77777777" w:rsidR="00E73AC5" w:rsidRPr="008773B1" w:rsidRDefault="00E73AC5" w:rsidP="000A02D0">
      <w:pPr>
        <w:jc w:val="both"/>
        <w:rPr>
          <w:rFonts w:ascii="Times New Roman" w:hAnsi="Times New Roman"/>
          <w:sz w:val="24"/>
          <w:szCs w:val="24"/>
        </w:rPr>
      </w:pPr>
    </w:p>
    <w:sectPr w:rsidR="00E73AC5" w:rsidRPr="008773B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041AF" w14:textId="77777777" w:rsidR="006E5E52" w:rsidRDefault="006E5E52" w:rsidP="00B65AE4">
      <w:pPr>
        <w:spacing w:after="0" w:line="240" w:lineRule="auto"/>
      </w:pPr>
      <w:r>
        <w:separator/>
      </w:r>
    </w:p>
  </w:endnote>
  <w:endnote w:type="continuationSeparator" w:id="0">
    <w:p w14:paraId="6795BC08" w14:textId="77777777" w:rsidR="006E5E52" w:rsidRDefault="006E5E52" w:rsidP="00B6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FF701" w14:textId="77777777" w:rsidR="006B4391" w:rsidRDefault="006B4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BF59" w14:textId="77777777" w:rsidR="006B4391" w:rsidRDefault="006B4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47775" w14:textId="77777777" w:rsidR="006B4391" w:rsidRDefault="006B4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CD990" w14:textId="77777777" w:rsidR="006E5E52" w:rsidRDefault="006E5E52" w:rsidP="00B65AE4">
      <w:pPr>
        <w:spacing w:after="0" w:line="240" w:lineRule="auto"/>
      </w:pPr>
      <w:r>
        <w:separator/>
      </w:r>
    </w:p>
  </w:footnote>
  <w:footnote w:type="continuationSeparator" w:id="0">
    <w:p w14:paraId="41B3C086" w14:textId="77777777" w:rsidR="006E5E52" w:rsidRDefault="006E5E52" w:rsidP="00B65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9CD3" w14:textId="7078BE73" w:rsidR="006B4391" w:rsidRDefault="006B4391">
    <w:pPr>
      <w:pStyle w:val="Header"/>
    </w:pPr>
    <w:r>
      <w:rPr>
        <w:noProof/>
      </w:rPr>
      <w:pict w14:anchorId="0999E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91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0BBC" w14:textId="2DEBBAEC" w:rsidR="006B4391" w:rsidRDefault="006B4391">
    <w:pPr>
      <w:pStyle w:val="Header"/>
    </w:pPr>
    <w:r>
      <w:rPr>
        <w:noProof/>
      </w:rPr>
      <w:pict w14:anchorId="065CB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91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9498" w14:textId="7CA9425E" w:rsidR="006B4391" w:rsidRDefault="006B4391">
    <w:pPr>
      <w:pStyle w:val="Header"/>
    </w:pPr>
    <w:r>
      <w:rPr>
        <w:noProof/>
      </w:rPr>
      <w:pict w14:anchorId="0F990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91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A5238"/>
    <w:multiLevelType w:val="hybridMultilevel"/>
    <w:tmpl w:val="5F5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75751"/>
    <w:multiLevelType w:val="hybridMultilevel"/>
    <w:tmpl w:val="5E462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2D0"/>
    <w:rsid w:val="00001AA2"/>
    <w:rsid w:val="00010B69"/>
    <w:rsid w:val="00024C47"/>
    <w:rsid w:val="0003153B"/>
    <w:rsid w:val="000455A3"/>
    <w:rsid w:val="00052B8C"/>
    <w:rsid w:val="000547DE"/>
    <w:rsid w:val="0005595E"/>
    <w:rsid w:val="00072C4D"/>
    <w:rsid w:val="00085738"/>
    <w:rsid w:val="0009249D"/>
    <w:rsid w:val="000A02D0"/>
    <w:rsid w:val="000B1A52"/>
    <w:rsid w:val="000C72FD"/>
    <w:rsid w:val="000D70E2"/>
    <w:rsid w:val="000E07A0"/>
    <w:rsid w:val="000E4531"/>
    <w:rsid w:val="000E4B33"/>
    <w:rsid w:val="000E7CB3"/>
    <w:rsid w:val="000F6A69"/>
    <w:rsid w:val="0012498D"/>
    <w:rsid w:val="00125DAC"/>
    <w:rsid w:val="00146BAC"/>
    <w:rsid w:val="001476CB"/>
    <w:rsid w:val="00172760"/>
    <w:rsid w:val="001819AC"/>
    <w:rsid w:val="0018375A"/>
    <w:rsid w:val="00194090"/>
    <w:rsid w:val="001A1243"/>
    <w:rsid w:val="001B613A"/>
    <w:rsid w:val="001C3C13"/>
    <w:rsid w:val="001D7944"/>
    <w:rsid w:val="001E5C3D"/>
    <w:rsid w:val="001E7D39"/>
    <w:rsid w:val="001F7D33"/>
    <w:rsid w:val="00201C12"/>
    <w:rsid w:val="0020558B"/>
    <w:rsid w:val="00211A15"/>
    <w:rsid w:val="00214A6C"/>
    <w:rsid w:val="00244ABD"/>
    <w:rsid w:val="00251050"/>
    <w:rsid w:val="00254EAF"/>
    <w:rsid w:val="00256D7D"/>
    <w:rsid w:val="00282D71"/>
    <w:rsid w:val="00292C7D"/>
    <w:rsid w:val="002A12BC"/>
    <w:rsid w:val="002C5225"/>
    <w:rsid w:val="002E6DD3"/>
    <w:rsid w:val="002F7A47"/>
    <w:rsid w:val="00301D8D"/>
    <w:rsid w:val="00307E26"/>
    <w:rsid w:val="003B080B"/>
    <w:rsid w:val="003B4094"/>
    <w:rsid w:val="003D02D0"/>
    <w:rsid w:val="00405290"/>
    <w:rsid w:val="00412235"/>
    <w:rsid w:val="004158D7"/>
    <w:rsid w:val="004239A1"/>
    <w:rsid w:val="004265AD"/>
    <w:rsid w:val="00433DBE"/>
    <w:rsid w:val="00457B60"/>
    <w:rsid w:val="00462403"/>
    <w:rsid w:val="004674A4"/>
    <w:rsid w:val="004A5DB2"/>
    <w:rsid w:val="004B0621"/>
    <w:rsid w:val="004B0925"/>
    <w:rsid w:val="004B6B8B"/>
    <w:rsid w:val="004D1D69"/>
    <w:rsid w:val="004E652E"/>
    <w:rsid w:val="004F6DF2"/>
    <w:rsid w:val="00524696"/>
    <w:rsid w:val="00530139"/>
    <w:rsid w:val="00532039"/>
    <w:rsid w:val="00546679"/>
    <w:rsid w:val="00550A80"/>
    <w:rsid w:val="005660ED"/>
    <w:rsid w:val="005815A7"/>
    <w:rsid w:val="00597672"/>
    <w:rsid w:val="005B58C2"/>
    <w:rsid w:val="005D03B3"/>
    <w:rsid w:val="005D15BD"/>
    <w:rsid w:val="005F4EED"/>
    <w:rsid w:val="006149E6"/>
    <w:rsid w:val="00617F3E"/>
    <w:rsid w:val="006357D9"/>
    <w:rsid w:val="00641E4F"/>
    <w:rsid w:val="00653D86"/>
    <w:rsid w:val="00670BA4"/>
    <w:rsid w:val="00673740"/>
    <w:rsid w:val="00695FD7"/>
    <w:rsid w:val="00696C2D"/>
    <w:rsid w:val="006B4391"/>
    <w:rsid w:val="006C3F06"/>
    <w:rsid w:val="006D63AD"/>
    <w:rsid w:val="006E1844"/>
    <w:rsid w:val="006E5E52"/>
    <w:rsid w:val="007066E0"/>
    <w:rsid w:val="0075153B"/>
    <w:rsid w:val="00753B8A"/>
    <w:rsid w:val="00762E55"/>
    <w:rsid w:val="00772D82"/>
    <w:rsid w:val="0078232F"/>
    <w:rsid w:val="00782E64"/>
    <w:rsid w:val="007860FC"/>
    <w:rsid w:val="00790298"/>
    <w:rsid w:val="00791CAF"/>
    <w:rsid w:val="00797263"/>
    <w:rsid w:val="007A1203"/>
    <w:rsid w:val="007B5AED"/>
    <w:rsid w:val="007D4D5F"/>
    <w:rsid w:val="007F2934"/>
    <w:rsid w:val="00803175"/>
    <w:rsid w:val="008039E7"/>
    <w:rsid w:val="0082736E"/>
    <w:rsid w:val="00830A77"/>
    <w:rsid w:val="008316D6"/>
    <w:rsid w:val="00860680"/>
    <w:rsid w:val="00862223"/>
    <w:rsid w:val="00871729"/>
    <w:rsid w:val="008773B1"/>
    <w:rsid w:val="00882FDD"/>
    <w:rsid w:val="00885C27"/>
    <w:rsid w:val="008932E2"/>
    <w:rsid w:val="00894431"/>
    <w:rsid w:val="008B2310"/>
    <w:rsid w:val="008B5BDC"/>
    <w:rsid w:val="008B5F60"/>
    <w:rsid w:val="008F0BDC"/>
    <w:rsid w:val="008F6CB2"/>
    <w:rsid w:val="00907B9C"/>
    <w:rsid w:val="00926623"/>
    <w:rsid w:val="009407C6"/>
    <w:rsid w:val="00946058"/>
    <w:rsid w:val="00956CE1"/>
    <w:rsid w:val="0097121D"/>
    <w:rsid w:val="00975625"/>
    <w:rsid w:val="00975C40"/>
    <w:rsid w:val="009922CE"/>
    <w:rsid w:val="009B4E8B"/>
    <w:rsid w:val="009C5131"/>
    <w:rsid w:val="009C652A"/>
    <w:rsid w:val="009E0A99"/>
    <w:rsid w:val="009E2158"/>
    <w:rsid w:val="009F4CC3"/>
    <w:rsid w:val="00A11514"/>
    <w:rsid w:val="00A13768"/>
    <w:rsid w:val="00A154C5"/>
    <w:rsid w:val="00A23549"/>
    <w:rsid w:val="00A2541A"/>
    <w:rsid w:val="00A43A18"/>
    <w:rsid w:val="00A447EC"/>
    <w:rsid w:val="00A45976"/>
    <w:rsid w:val="00A502E9"/>
    <w:rsid w:val="00A655AD"/>
    <w:rsid w:val="00A70CEA"/>
    <w:rsid w:val="00AA4027"/>
    <w:rsid w:val="00AA6160"/>
    <w:rsid w:val="00AA6D8D"/>
    <w:rsid w:val="00AB021B"/>
    <w:rsid w:val="00AB2154"/>
    <w:rsid w:val="00AC6D30"/>
    <w:rsid w:val="00AD53F7"/>
    <w:rsid w:val="00AE1DAA"/>
    <w:rsid w:val="00AF16EE"/>
    <w:rsid w:val="00B02039"/>
    <w:rsid w:val="00B038B1"/>
    <w:rsid w:val="00B06B52"/>
    <w:rsid w:val="00B17418"/>
    <w:rsid w:val="00B22148"/>
    <w:rsid w:val="00B3400B"/>
    <w:rsid w:val="00B45A36"/>
    <w:rsid w:val="00B549A2"/>
    <w:rsid w:val="00B573EE"/>
    <w:rsid w:val="00B6152C"/>
    <w:rsid w:val="00B65AE4"/>
    <w:rsid w:val="00B74659"/>
    <w:rsid w:val="00B85A6A"/>
    <w:rsid w:val="00BA25A5"/>
    <w:rsid w:val="00BF2C3B"/>
    <w:rsid w:val="00C2182D"/>
    <w:rsid w:val="00C23178"/>
    <w:rsid w:val="00C24D3E"/>
    <w:rsid w:val="00C45CC9"/>
    <w:rsid w:val="00C46D5E"/>
    <w:rsid w:val="00C51268"/>
    <w:rsid w:val="00C55865"/>
    <w:rsid w:val="00C64050"/>
    <w:rsid w:val="00C728D9"/>
    <w:rsid w:val="00C72A80"/>
    <w:rsid w:val="00C76C84"/>
    <w:rsid w:val="00C8791B"/>
    <w:rsid w:val="00C92391"/>
    <w:rsid w:val="00CB02AB"/>
    <w:rsid w:val="00CB1638"/>
    <w:rsid w:val="00CC2471"/>
    <w:rsid w:val="00CC611A"/>
    <w:rsid w:val="00CF4E0E"/>
    <w:rsid w:val="00D071B1"/>
    <w:rsid w:val="00D17B2A"/>
    <w:rsid w:val="00D32229"/>
    <w:rsid w:val="00D36899"/>
    <w:rsid w:val="00D42A94"/>
    <w:rsid w:val="00D527ED"/>
    <w:rsid w:val="00D60AF7"/>
    <w:rsid w:val="00D7749A"/>
    <w:rsid w:val="00D777B6"/>
    <w:rsid w:val="00D85413"/>
    <w:rsid w:val="00DA4D07"/>
    <w:rsid w:val="00DA5BFC"/>
    <w:rsid w:val="00DB6CB3"/>
    <w:rsid w:val="00DD5E64"/>
    <w:rsid w:val="00DD64E0"/>
    <w:rsid w:val="00E05CAA"/>
    <w:rsid w:val="00E12183"/>
    <w:rsid w:val="00E4792E"/>
    <w:rsid w:val="00E508A8"/>
    <w:rsid w:val="00E54B81"/>
    <w:rsid w:val="00E73AC5"/>
    <w:rsid w:val="00EB370B"/>
    <w:rsid w:val="00EC58A0"/>
    <w:rsid w:val="00EC770B"/>
    <w:rsid w:val="00ED3A66"/>
    <w:rsid w:val="00EF33C3"/>
    <w:rsid w:val="00EF7A48"/>
    <w:rsid w:val="00F10A72"/>
    <w:rsid w:val="00F1706C"/>
    <w:rsid w:val="00F17120"/>
    <w:rsid w:val="00F22F1E"/>
    <w:rsid w:val="00F25675"/>
    <w:rsid w:val="00F33E9A"/>
    <w:rsid w:val="00F51EF5"/>
    <w:rsid w:val="00F521E2"/>
    <w:rsid w:val="00F548F5"/>
    <w:rsid w:val="00F71597"/>
    <w:rsid w:val="00F86430"/>
    <w:rsid w:val="00FA2E84"/>
    <w:rsid w:val="00FB4B54"/>
    <w:rsid w:val="00FC7815"/>
    <w:rsid w:val="00FD1F1B"/>
    <w:rsid w:val="00FE34F3"/>
    <w:rsid w:val="00FE5023"/>
    <w:rsid w:val="00FF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470155"/>
  <w15:chartTrackingRefBased/>
  <w15:docId w15:val="{FD8CFF7F-C33C-4F43-847F-65546164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2D0"/>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5D03B3"/>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2D0"/>
    <w:pPr>
      <w:spacing w:after="0" w:line="240" w:lineRule="auto"/>
    </w:pPr>
    <w:rPr>
      <w:lang w:bidi="en-US"/>
    </w:rPr>
  </w:style>
  <w:style w:type="table" w:styleId="TableGrid">
    <w:name w:val="Table Grid"/>
    <w:basedOn w:val="TableNormal"/>
    <w:uiPriority w:val="59"/>
    <w:rsid w:val="00C55865"/>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65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AE4"/>
    <w:rPr>
      <w:rFonts w:ascii="Calibri" w:eastAsia="Calibri" w:hAnsi="Calibri" w:cs="Times New Roman"/>
    </w:rPr>
  </w:style>
  <w:style w:type="paragraph" w:styleId="Footer">
    <w:name w:val="footer"/>
    <w:basedOn w:val="Normal"/>
    <w:link w:val="FooterChar"/>
    <w:uiPriority w:val="99"/>
    <w:unhideWhenUsed/>
    <w:rsid w:val="00B65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AE4"/>
    <w:rPr>
      <w:rFonts w:ascii="Calibri" w:eastAsia="Calibri" w:hAnsi="Calibri" w:cs="Times New Roman"/>
    </w:rPr>
  </w:style>
  <w:style w:type="paragraph" w:styleId="ListParagraph">
    <w:name w:val="List Paragraph"/>
    <w:basedOn w:val="Normal"/>
    <w:uiPriority w:val="34"/>
    <w:qFormat/>
    <w:rsid w:val="00C8791B"/>
    <w:pPr>
      <w:spacing w:after="160" w:line="259"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5D03B3"/>
    <w:rPr>
      <w:rFonts w:ascii="Times New Roman" w:eastAsia="Times New Roman" w:hAnsi="Times New Roman" w:cs="Times New Roman"/>
      <w:b/>
      <w:bCs/>
      <w:sz w:val="27"/>
      <w:szCs w:val="27"/>
      <w:lang w:val="en-GB" w:eastAsia="en-GB"/>
    </w:rPr>
  </w:style>
  <w:style w:type="character" w:customStyle="1" w:styleId="go">
    <w:name w:val="go"/>
    <w:basedOn w:val="DefaultParagraphFont"/>
    <w:rsid w:val="005D03B3"/>
  </w:style>
  <w:style w:type="character" w:styleId="Hyperlink">
    <w:name w:val="Hyperlink"/>
    <w:basedOn w:val="DefaultParagraphFont"/>
    <w:uiPriority w:val="99"/>
    <w:unhideWhenUsed/>
    <w:rsid w:val="005D03B3"/>
    <w:rPr>
      <w:color w:val="0563C1" w:themeColor="hyperlink"/>
      <w:u w:val="single"/>
    </w:rPr>
  </w:style>
  <w:style w:type="character" w:styleId="UnresolvedMention">
    <w:name w:val="Unresolved Mention"/>
    <w:basedOn w:val="DefaultParagraphFont"/>
    <w:uiPriority w:val="99"/>
    <w:semiHidden/>
    <w:unhideWhenUsed/>
    <w:rsid w:val="005D0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aper%20for%20cureu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VIDENCE%20EKPOMA\Desktop\work\Faith%20mls%20project%20student%20data.doc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VIDENCE%20EKPOMA\Desktop\work\Faith%20mls%20project%20student%20data.doc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VIDENCE%20EKPOMA\Desktop\work\Faith%20mls%20project%20student%20data.doc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57DD-47B8-95DF-58ADEA74D875}"/>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57DD-47B8-95DF-58ADEA74D875}"/>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57DD-47B8-95DF-58ADEA74D875}"/>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57DD-47B8-95DF-58ADEA74D875}"/>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57DD-47B8-95DF-58ADEA74D875}"/>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57DD-47B8-95DF-58ADEA74D875}"/>
              </c:ext>
            </c:extLst>
          </c:dPt>
          <c:dLbls>
            <c:dLbl>
              <c:idx val="0"/>
              <c:layout>
                <c:manualLayout>
                  <c:x val="-0.15454840605861767"/>
                  <c:y val="0.12654853368632213"/>
                </c:manualLayout>
              </c:layout>
              <c:numFmt formatCode="0.00%" sourceLinked="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7DD-47B8-95DF-58ADEA74D875}"/>
                </c:ext>
              </c:extLst>
            </c:dLbl>
            <c:dLbl>
              <c:idx val="1"/>
              <c:layout>
                <c:manualLayout>
                  <c:x val="-0.14249200295275583"/>
                  <c:y val="-6.4224857508062838E-2"/>
                </c:manualLayout>
              </c:layout>
              <c:numFmt formatCode="0.00%" sourceLinked="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7DD-47B8-95DF-58ADEA74D875}"/>
                </c:ext>
              </c:extLst>
            </c:dLbl>
            <c:dLbl>
              <c:idx val="2"/>
              <c:layout>
                <c:manualLayout>
                  <c:x val="-0.12883960793963262"/>
                  <c:y val="-0.2331873160568968"/>
                </c:manualLayout>
              </c:layout>
              <c:numFmt formatCode="0.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7DD-47B8-95DF-58ADEA74D875}"/>
                </c:ext>
              </c:extLst>
            </c:dLbl>
            <c:dLbl>
              <c:idx val="3"/>
              <c:layout>
                <c:manualLayout>
                  <c:x val="0.12879500902230967"/>
                  <c:y val="-0.2331873160568968"/>
                </c:manualLayout>
              </c:layout>
              <c:numFmt formatCode="0.00%" sourceLinked="0"/>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7DD-47B8-95DF-58ADEA74D875}"/>
                </c:ext>
              </c:extLst>
            </c:dLbl>
            <c:dLbl>
              <c:idx val="4"/>
              <c:numFmt formatCode="0.00%" sourceLinked="0"/>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9-57DD-47B8-95DF-58ADEA74D875}"/>
                </c:ext>
              </c:extLst>
            </c:dLbl>
            <c:dLbl>
              <c:idx val="5"/>
              <c:layout>
                <c:manualLayout>
                  <c:x val="0.13216128745625547"/>
                  <c:y val="0.11499451866610261"/>
                </c:manualLayout>
              </c:layout>
              <c:numFmt formatCode="0.00%" sourceLinked="0"/>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7DD-47B8-95DF-58ADEA74D875}"/>
                </c:ext>
              </c:extLst>
            </c:dLbl>
            <c:numFmt formatCode="0.00%" sourceLinked="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Sheet1!$A$1:$A$6</c:f>
              <c:strCache>
                <c:ptCount val="6"/>
                <c:pt idx="0">
                  <c:v>Males with Normal Thyroid Function</c:v>
                </c:pt>
                <c:pt idx="1">
                  <c:v>Females with Normal Thyroid Function</c:v>
                </c:pt>
                <c:pt idx="2">
                  <c:v>Males with Hyperthyroidism </c:v>
                </c:pt>
                <c:pt idx="3">
                  <c:v>Females with Hyperthyroidism</c:v>
                </c:pt>
                <c:pt idx="4">
                  <c:v>Males with Hypothyroidism </c:v>
                </c:pt>
                <c:pt idx="5">
                  <c:v>Females with Hypothyroidism</c:v>
                </c:pt>
              </c:strCache>
            </c:strRef>
          </c:cat>
          <c:val>
            <c:numRef>
              <c:f>Sheet1!$F$1:$F$6</c:f>
              <c:numCache>
                <c:formatCode>0.00%</c:formatCode>
                <c:ptCount val="6"/>
                <c:pt idx="0">
                  <c:v>0.16669999999999999</c:v>
                </c:pt>
                <c:pt idx="1">
                  <c:v>0.16669999999999999</c:v>
                </c:pt>
                <c:pt idx="2">
                  <c:v>0.16669999999999999</c:v>
                </c:pt>
                <c:pt idx="3">
                  <c:v>0.16669999999999999</c:v>
                </c:pt>
                <c:pt idx="4">
                  <c:v>0.1666</c:v>
                </c:pt>
                <c:pt idx="5">
                  <c:v>0.1666</c:v>
                </c:pt>
              </c:numCache>
            </c:numRef>
          </c:val>
          <c:extLst>
            <c:ext xmlns:c16="http://schemas.microsoft.com/office/drawing/2014/chart" uri="{C3380CC4-5D6E-409C-BE32-E72D297353CC}">
              <c16:uniqueId val="{0000000C-57DD-47B8-95DF-58ADEA74D875}"/>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Vitamin A vs TSH</c:v>
          </c:tx>
          <c:spPr>
            <a:ln w="28575">
              <a:noFill/>
            </a:ln>
          </c:spPr>
          <c:marker>
            <c:symbol val="circle"/>
            <c:size val="5"/>
          </c:marker>
          <c:trendline>
            <c:spPr>
              <a:ln>
                <a:solidFill>
                  <a:schemeClr val="accent1"/>
                </a:solidFill>
                <a:prstDash val="sysDash"/>
              </a:ln>
            </c:spPr>
            <c:trendlineType val="linear"/>
            <c:dispRSqr val="0"/>
            <c:dispEq val="0"/>
          </c:trendline>
          <c:trendline>
            <c:spPr>
              <a:ln>
                <a:solidFill>
                  <a:schemeClr val="accent1"/>
                </a:solidFill>
                <a:prstDash val="sysDash"/>
              </a:ln>
            </c:spPr>
            <c:trendlineType val="linear"/>
            <c:dispRSqr val="1"/>
            <c:dispEq val="1"/>
            <c:trendlineLbl>
              <c:layout>
                <c:manualLayout>
                  <c:x val="-0.18926635894651123"/>
                  <c:y val="-0.2776624395634758"/>
                </c:manualLayout>
              </c:layout>
              <c:tx>
                <c:rich>
                  <a:bodyPr/>
                  <a:lstStyle/>
                  <a:p>
                    <a:pPr>
                      <a:defRPr lang="en-GB"/>
                    </a:pPr>
                    <a:r>
                      <a:rPr lang="en-US" sz="1050" b="1" baseline="0">
                        <a:latin typeface="Times New Roman" panose="02020603050405020304" pitchFamily="18" charset="0"/>
                        <a:cs typeface="Times New Roman" panose="02020603050405020304" pitchFamily="18" charset="0"/>
                      </a:rPr>
                      <a:t>y = -0.0357x + 13.274
pearson's = </a:t>
                    </a:r>
                    <a:r>
                      <a:rPr lang="en-US" sz="1800" b="1" baseline="0">
                        <a:latin typeface="Times New Roman" panose="02020603050405020304" pitchFamily="18" charset="0"/>
                        <a:cs typeface="Times New Roman" panose="02020603050405020304" pitchFamily="18" charset="0"/>
                      </a:rPr>
                      <a:t>-</a:t>
                    </a:r>
                    <a:r>
                      <a:rPr lang="en-US" sz="1050" b="1" baseline="0">
                        <a:latin typeface="Times New Roman" panose="02020603050405020304" pitchFamily="18" charset="0"/>
                        <a:cs typeface="Times New Roman" panose="02020603050405020304" pitchFamily="18" charset="0"/>
                      </a:rPr>
                      <a:t>0.6**</a:t>
                    </a:r>
                    <a:endParaRPr lang="en-US" sz="1050" b="1">
                      <a:latin typeface="Times New Roman" panose="02020603050405020304" pitchFamily="18" charset="0"/>
                      <a:cs typeface="Times New Roman" panose="02020603050405020304" pitchFamily="18" charset="0"/>
                    </a:endParaRPr>
                  </a:p>
                </c:rich>
              </c:tx>
              <c:numFmt formatCode="General" sourceLinked="0"/>
            </c:trendlineLbl>
          </c:trendline>
          <c:xVal>
            <c:numRef>
              <c:f>Sheet2!$I$4:$I$54</c:f>
              <c:numCache>
                <c:formatCode>General</c:formatCode>
                <c:ptCount val="51"/>
                <c:pt idx="0">
                  <c:v>199</c:v>
                </c:pt>
                <c:pt idx="1">
                  <c:v>204</c:v>
                </c:pt>
                <c:pt idx="2">
                  <c:v>278</c:v>
                </c:pt>
                <c:pt idx="3">
                  <c:v>211</c:v>
                </c:pt>
                <c:pt idx="4">
                  <c:v>199</c:v>
                </c:pt>
                <c:pt idx="5">
                  <c:v>213</c:v>
                </c:pt>
                <c:pt idx="6">
                  <c:v>196</c:v>
                </c:pt>
                <c:pt idx="7">
                  <c:v>198</c:v>
                </c:pt>
                <c:pt idx="8">
                  <c:v>279</c:v>
                </c:pt>
                <c:pt idx="9">
                  <c:v>213</c:v>
                </c:pt>
                <c:pt idx="10">
                  <c:v>285</c:v>
                </c:pt>
                <c:pt idx="11">
                  <c:v>202</c:v>
                </c:pt>
                <c:pt idx="12">
                  <c:v>194</c:v>
                </c:pt>
                <c:pt idx="13">
                  <c:v>199</c:v>
                </c:pt>
                <c:pt idx="14">
                  <c:v>285</c:v>
                </c:pt>
                <c:pt idx="15">
                  <c:v>210</c:v>
                </c:pt>
                <c:pt idx="16">
                  <c:v>312</c:v>
                </c:pt>
                <c:pt idx="17">
                  <c:v>354</c:v>
                </c:pt>
                <c:pt idx="18">
                  <c:v>298</c:v>
                </c:pt>
                <c:pt idx="19">
                  <c:v>345</c:v>
                </c:pt>
                <c:pt idx="20">
                  <c:v>465</c:v>
                </c:pt>
                <c:pt idx="21">
                  <c:v>289</c:v>
                </c:pt>
                <c:pt idx="22">
                  <c:v>89</c:v>
                </c:pt>
                <c:pt idx="23">
                  <c:v>123</c:v>
                </c:pt>
                <c:pt idx="24">
                  <c:v>156</c:v>
                </c:pt>
                <c:pt idx="25">
                  <c:v>189</c:v>
                </c:pt>
                <c:pt idx="26">
                  <c:v>204</c:v>
                </c:pt>
                <c:pt idx="27">
                  <c:v>122</c:v>
                </c:pt>
                <c:pt idx="28">
                  <c:v>119</c:v>
                </c:pt>
                <c:pt idx="29">
                  <c:v>199</c:v>
                </c:pt>
                <c:pt idx="30">
                  <c:v>192</c:v>
                </c:pt>
                <c:pt idx="31">
                  <c:v>143</c:v>
                </c:pt>
                <c:pt idx="32">
                  <c:v>189</c:v>
                </c:pt>
                <c:pt idx="33">
                  <c:v>79</c:v>
                </c:pt>
                <c:pt idx="34">
                  <c:v>200</c:v>
                </c:pt>
                <c:pt idx="35">
                  <c:v>301</c:v>
                </c:pt>
                <c:pt idx="36">
                  <c:v>420</c:v>
                </c:pt>
                <c:pt idx="37">
                  <c:v>311</c:v>
                </c:pt>
                <c:pt idx="38">
                  <c:v>289</c:v>
                </c:pt>
                <c:pt idx="39">
                  <c:v>345</c:v>
                </c:pt>
                <c:pt idx="40">
                  <c:v>401</c:v>
                </c:pt>
                <c:pt idx="41">
                  <c:v>279</c:v>
                </c:pt>
                <c:pt idx="42">
                  <c:v>321</c:v>
                </c:pt>
                <c:pt idx="43">
                  <c:v>345</c:v>
                </c:pt>
                <c:pt idx="44">
                  <c:v>267</c:v>
                </c:pt>
                <c:pt idx="45">
                  <c:v>456</c:v>
                </c:pt>
                <c:pt idx="46">
                  <c:v>432</c:v>
                </c:pt>
                <c:pt idx="47">
                  <c:v>376</c:v>
                </c:pt>
                <c:pt idx="48">
                  <c:v>312</c:v>
                </c:pt>
                <c:pt idx="49">
                  <c:v>298</c:v>
                </c:pt>
                <c:pt idx="50">
                  <c:v>334</c:v>
                </c:pt>
              </c:numCache>
            </c:numRef>
          </c:xVal>
          <c:yVal>
            <c:numRef>
              <c:f>Sheet2!$D$4:$D$54</c:f>
              <c:numCache>
                <c:formatCode>General</c:formatCode>
                <c:ptCount val="51"/>
                <c:pt idx="0">
                  <c:v>0</c:v>
                </c:pt>
                <c:pt idx="1">
                  <c:v>0</c:v>
                </c:pt>
                <c:pt idx="2">
                  <c:v>0</c:v>
                </c:pt>
                <c:pt idx="3">
                  <c:v>0.1</c:v>
                </c:pt>
                <c:pt idx="4">
                  <c:v>0.2</c:v>
                </c:pt>
                <c:pt idx="5">
                  <c:v>0.2</c:v>
                </c:pt>
                <c:pt idx="6">
                  <c:v>0.2</c:v>
                </c:pt>
                <c:pt idx="7">
                  <c:v>0.2</c:v>
                </c:pt>
                <c:pt idx="8">
                  <c:v>0.70000000000000062</c:v>
                </c:pt>
                <c:pt idx="9">
                  <c:v>1</c:v>
                </c:pt>
                <c:pt idx="10">
                  <c:v>0.70000000000000062</c:v>
                </c:pt>
                <c:pt idx="11">
                  <c:v>1.1000000000000001</c:v>
                </c:pt>
                <c:pt idx="12">
                  <c:v>1.3</c:v>
                </c:pt>
                <c:pt idx="13">
                  <c:v>1.5</c:v>
                </c:pt>
                <c:pt idx="14">
                  <c:v>1.5</c:v>
                </c:pt>
                <c:pt idx="15">
                  <c:v>1.4</c:v>
                </c:pt>
                <c:pt idx="16">
                  <c:v>0</c:v>
                </c:pt>
                <c:pt idx="17">
                  <c:v>0.1</c:v>
                </c:pt>
                <c:pt idx="18">
                  <c:v>1.7</c:v>
                </c:pt>
                <c:pt idx="19">
                  <c:v>1.7</c:v>
                </c:pt>
                <c:pt idx="20">
                  <c:v>2.2000000000000002</c:v>
                </c:pt>
                <c:pt idx="21">
                  <c:v>2.4</c:v>
                </c:pt>
                <c:pt idx="22">
                  <c:v>10.8</c:v>
                </c:pt>
                <c:pt idx="23">
                  <c:v>10.9</c:v>
                </c:pt>
                <c:pt idx="24">
                  <c:v>9.8000000000000007</c:v>
                </c:pt>
                <c:pt idx="25">
                  <c:v>13</c:v>
                </c:pt>
                <c:pt idx="26">
                  <c:v>12.1</c:v>
                </c:pt>
                <c:pt idx="27">
                  <c:v>9</c:v>
                </c:pt>
                <c:pt idx="28">
                  <c:v>14.8</c:v>
                </c:pt>
                <c:pt idx="29">
                  <c:v>14.9</c:v>
                </c:pt>
                <c:pt idx="30">
                  <c:v>9.1</c:v>
                </c:pt>
                <c:pt idx="31">
                  <c:v>9.1</c:v>
                </c:pt>
                <c:pt idx="32">
                  <c:v>22.4</c:v>
                </c:pt>
                <c:pt idx="33">
                  <c:v>22.6</c:v>
                </c:pt>
                <c:pt idx="34">
                  <c:v>10.200000000000001</c:v>
                </c:pt>
                <c:pt idx="35">
                  <c:v>1.3</c:v>
                </c:pt>
                <c:pt idx="36">
                  <c:v>0.9</c:v>
                </c:pt>
                <c:pt idx="37">
                  <c:v>2.6</c:v>
                </c:pt>
                <c:pt idx="38">
                  <c:v>3.2</c:v>
                </c:pt>
                <c:pt idx="39">
                  <c:v>0.60000000000000064</c:v>
                </c:pt>
                <c:pt idx="40">
                  <c:v>2.4</c:v>
                </c:pt>
                <c:pt idx="41">
                  <c:v>0.4</c:v>
                </c:pt>
                <c:pt idx="42">
                  <c:v>0.4</c:v>
                </c:pt>
                <c:pt idx="43">
                  <c:v>0.9</c:v>
                </c:pt>
                <c:pt idx="44">
                  <c:v>1</c:v>
                </c:pt>
                <c:pt idx="45">
                  <c:v>1.1000000000000001</c:v>
                </c:pt>
                <c:pt idx="46">
                  <c:v>1.2</c:v>
                </c:pt>
                <c:pt idx="47">
                  <c:v>1.2</c:v>
                </c:pt>
                <c:pt idx="48">
                  <c:v>1.2</c:v>
                </c:pt>
                <c:pt idx="49">
                  <c:v>1.3</c:v>
                </c:pt>
                <c:pt idx="50">
                  <c:v>1.4</c:v>
                </c:pt>
              </c:numCache>
            </c:numRef>
          </c:yVal>
          <c:smooth val="0"/>
          <c:extLst>
            <c:ext xmlns:c16="http://schemas.microsoft.com/office/drawing/2014/chart" uri="{C3380CC4-5D6E-409C-BE32-E72D297353CC}">
              <c16:uniqueId val="{00000002-0484-47DD-A457-C559151BB214}"/>
            </c:ext>
          </c:extLst>
        </c:ser>
        <c:dLbls>
          <c:showLegendKey val="0"/>
          <c:showVal val="0"/>
          <c:showCatName val="0"/>
          <c:showSerName val="0"/>
          <c:showPercent val="0"/>
          <c:showBubbleSize val="0"/>
        </c:dLbls>
        <c:axId val="450042920"/>
        <c:axId val="450044096"/>
      </c:scatterChart>
      <c:valAx>
        <c:axId val="450042920"/>
        <c:scaling>
          <c:orientation val="minMax"/>
        </c:scaling>
        <c:delete val="0"/>
        <c:axPos val="b"/>
        <c:majorGridlines/>
        <c:minorGridlines>
          <c:spPr>
            <a:ln w="3175">
              <a:solidFill>
                <a:schemeClr val="bg1">
                  <a:lumMod val="85000"/>
                </a:schemeClr>
              </a:solidFill>
            </a:ln>
          </c:spPr>
        </c:minorGridlines>
        <c:title>
          <c:tx>
            <c:rich>
              <a:bodyPr/>
              <a:lstStyle/>
              <a:p>
                <a:pPr>
                  <a:defRPr lang="en-GB" sz="1200">
                    <a:latin typeface="Times New Roman" panose="02020603050405020304" pitchFamily="18" charset="0"/>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Vitamin A (ng/ml)</a:t>
                </a:r>
                <a:endParaRPr lang="en-GB" sz="1200">
                  <a:latin typeface="Times New Roman" panose="02020603050405020304" pitchFamily="18" charset="0"/>
                  <a:cs typeface="Times New Roman" panose="02020603050405020304" pitchFamily="18" charset="0"/>
                </a:endParaRPr>
              </a:p>
            </c:rich>
          </c:tx>
          <c:layout>
            <c:manualLayout>
              <c:xMode val="edge"/>
              <c:yMode val="edge"/>
              <c:x val="0.35815358901032895"/>
              <c:y val="0.94430625783824818"/>
            </c:manualLayout>
          </c:layout>
          <c:overlay val="0"/>
        </c:title>
        <c:numFmt formatCode="#,##0.0" sourceLinked="0"/>
        <c:majorTickMark val="out"/>
        <c:minorTickMark val="none"/>
        <c:tickLblPos val="nextTo"/>
        <c:txPr>
          <a:bodyPr/>
          <a:lstStyle/>
          <a:p>
            <a:pPr>
              <a:defRPr lang="en-GB" sz="1050">
                <a:latin typeface="Times New Roman" panose="02020603050405020304" pitchFamily="18" charset="0"/>
                <a:cs typeface="Times New Roman" panose="02020603050405020304" pitchFamily="18" charset="0"/>
              </a:defRPr>
            </a:pPr>
            <a:endParaRPr lang="en-US"/>
          </a:p>
        </c:txPr>
        <c:crossAx val="450044096"/>
        <c:crosses val="autoZero"/>
        <c:crossBetween val="midCat"/>
      </c:valAx>
      <c:valAx>
        <c:axId val="450044096"/>
        <c:scaling>
          <c:orientation val="minMax"/>
        </c:scaling>
        <c:delete val="0"/>
        <c:axPos val="l"/>
        <c:majorGridlines/>
        <c:minorGridlines/>
        <c:title>
          <c:tx>
            <c:rich>
              <a:bodyPr/>
              <a:lstStyle/>
              <a:p>
                <a:pPr>
                  <a:defRPr lang="en-GB" sz="1200">
                    <a:latin typeface="Times New Roman" panose="02020603050405020304" pitchFamily="18" charset="0"/>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TSH (mIU/L)</a:t>
                </a:r>
                <a:endParaRPr lang="en-GB" sz="1200">
                  <a:latin typeface="Times New Roman" panose="02020603050405020304" pitchFamily="18" charset="0"/>
                  <a:cs typeface="Times New Roman" panose="02020603050405020304" pitchFamily="18" charset="0"/>
                </a:endParaRPr>
              </a:p>
            </c:rich>
          </c:tx>
          <c:layout>
            <c:manualLayout>
              <c:xMode val="edge"/>
              <c:yMode val="edge"/>
              <c:x val="6.7906597882161409E-3"/>
              <c:y val="0.33791230832988084"/>
            </c:manualLayout>
          </c:layout>
          <c:overlay val="0"/>
        </c:title>
        <c:numFmt formatCode="#,##0.0" sourceLinked="0"/>
        <c:majorTickMark val="out"/>
        <c:minorTickMark val="none"/>
        <c:tickLblPos val="nextTo"/>
        <c:txPr>
          <a:bodyPr/>
          <a:lstStyle/>
          <a:p>
            <a:pPr>
              <a:defRPr lang="en-GB" sz="1050">
                <a:latin typeface="Times New Roman" panose="02020603050405020304" pitchFamily="18" charset="0"/>
                <a:cs typeface="Times New Roman" panose="02020603050405020304" pitchFamily="18" charset="0"/>
              </a:defRPr>
            </a:pPr>
            <a:endParaRPr lang="en-US"/>
          </a:p>
        </c:txPr>
        <c:crossAx val="450042920"/>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Zn vs TSH</c:v>
          </c:tx>
          <c:spPr>
            <a:ln w="28575">
              <a:noFill/>
            </a:ln>
          </c:spPr>
          <c:marker>
            <c:symbol val="circle"/>
            <c:size val="5"/>
            <c:spPr>
              <a:solidFill>
                <a:srgbClr val="C00000"/>
              </a:solidFill>
              <a:ln>
                <a:solidFill>
                  <a:srgbClr val="C00000"/>
                </a:solidFill>
              </a:ln>
            </c:spPr>
          </c:marker>
          <c:trendline>
            <c:spPr>
              <a:ln w="12700">
                <a:solidFill>
                  <a:srgbClr val="C00000"/>
                </a:solidFill>
                <a:prstDash val="sysDash"/>
              </a:ln>
            </c:spPr>
            <c:trendlineType val="linear"/>
            <c:dispRSqr val="0"/>
            <c:dispEq val="0"/>
          </c:trendline>
          <c:trendline>
            <c:spPr>
              <a:ln w="12700">
                <a:solidFill>
                  <a:srgbClr val="C00000"/>
                </a:solidFill>
                <a:prstDash val="sysDash"/>
              </a:ln>
            </c:spPr>
            <c:trendlineType val="linear"/>
            <c:dispRSqr val="1"/>
            <c:dispEq val="1"/>
            <c:trendlineLbl>
              <c:layout>
                <c:manualLayout>
                  <c:x val="-0.1656557729614902"/>
                  <c:y val="-0.1651006124234469"/>
                </c:manualLayout>
              </c:layout>
              <c:tx>
                <c:rich>
                  <a:bodyPr/>
                  <a:lstStyle/>
                  <a:p>
                    <a:pPr>
                      <a:defRPr lang="en-GB" b="1">
                        <a:latin typeface="Times New Roman" panose="02020603050405020304" pitchFamily="18" charset="0"/>
                        <a:cs typeface="Times New Roman" panose="02020603050405020304" pitchFamily="18" charset="0"/>
                      </a:defRPr>
                    </a:pPr>
                    <a:r>
                      <a:rPr lang="en-US" baseline="0"/>
                      <a:t>y = -2.2806x + 7.4121
Pearson's= </a:t>
                    </a:r>
                    <a:r>
                      <a:rPr lang="en-US" sz="1400" b="0" baseline="0"/>
                      <a:t>-</a:t>
                    </a:r>
                    <a:r>
                      <a:rPr lang="en-US" baseline="0"/>
                      <a:t>0.3*</a:t>
                    </a:r>
                    <a:endParaRPr lang="en-US"/>
                  </a:p>
                </c:rich>
              </c:tx>
              <c:numFmt formatCode="General" sourceLinked="0"/>
            </c:trendlineLbl>
          </c:trendline>
          <c:xVal>
            <c:numRef>
              <c:f>Sheet2!$G$4:$G$54</c:f>
              <c:numCache>
                <c:formatCode>General</c:formatCode>
                <c:ptCount val="51"/>
                <c:pt idx="0">
                  <c:v>2.1</c:v>
                </c:pt>
                <c:pt idx="1">
                  <c:v>0.97000000000000064</c:v>
                </c:pt>
                <c:pt idx="2">
                  <c:v>1.22</c:v>
                </c:pt>
                <c:pt idx="3">
                  <c:v>1.56</c:v>
                </c:pt>
                <c:pt idx="4">
                  <c:v>1.72</c:v>
                </c:pt>
                <c:pt idx="5">
                  <c:v>0.56000000000000005</c:v>
                </c:pt>
                <c:pt idx="6">
                  <c:v>0.72000000000000064</c:v>
                </c:pt>
                <c:pt idx="7">
                  <c:v>0.48000000000000032</c:v>
                </c:pt>
                <c:pt idx="8">
                  <c:v>1.24</c:v>
                </c:pt>
                <c:pt idx="9">
                  <c:v>1.02</c:v>
                </c:pt>
                <c:pt idx="10">
                  <c:v>0.55000000000000004</c:v>
                </c:pt>
                <c:pt idx="11">
                  <c:v>2.2999999999999998</c:v>
                </c:pt>
                <c:pt idx="12">
                  <c:v>2</c:v>
                </c:pt>
                <c:pt idx="13">
                  <c:v>1.01</c:v>
                </c:pt>
                <c:pt idx="14">
                  <c:v>0.73000000000000065</c:v>
                </c:pt>
                <c:pt idx="15">
                  <c:v>0.71000000000000063</c:v>
                </c:pt>
                <c:pt idx="16">
                  <c:v>1.1399999999999986</c:v>
                </c:pt>
                <c:pt idx="17">
                  <c:v>0.42000000000000032</c:v>
                </c:pt>
                <c:pt idx="18">
                  <c:v>2.2599999999999998</c:v>
                </c:pt>
                <c:pt idx="19">
                  <c:v>1.6400000000000001</c:v>
                </c:pt>
                <c:pt idx="20">
                  <c:v>0.93</c:v>
                </c:pt>
                <c:pt idx="21">
                  <c:v>0.85000000000000064</c:v>
                </c:pt>
                <c:pt idx="22">
                  <c:v>0.89</c:v>
                </c:pt>
                <c:pt idx="23">
                  <c:v>0.77000000000000079</c:v>
                </c:pt>
                <c:pt idx="24">
                  <c:v>0.61000000000000065</c:v>
                </c:pt>
                <c:pt idx="25">
                  <c:v>1.22</c:v>
                </c:pt>
                <c:pt idx="26">
                  <c:v>0.81</c:v>
                </c:pt>
                <c:pt idx="27">
                  <c:v>1.9000000000000001</c:v>
                </c:pt>
                <c:pt idx="28">
                  <c:v>0.59</c:v>
                </c:pt>
                <c:pt idx="29">
                  <c:v>0.56000000000000005</c:v>
                </c:pt>
                <c:pt idx="30">
                  <c:v>0.68</c:v>
                </c:pt>
                <c:pt idx="31">
                  <c:v>0.91</c:v>
                </c:pt>
                <c:pt idx="32">
                  <c:v>1.43</c:v>
                </c:pt>
                <c:pt idx="33">
                  <c:v>1.1100000000000001</c:v>
                </c:pt>
                <c:pt idx="34">
                  <c:v>0.52</c:v>
                </c:pt>
                <c:pt idx="35">
                  <c:v>2.3299999999999987</c:v>
                </c:pt>
                <c:pt idx="36">
                  <c:v>1.87</c:v>
                </c:pt>
                <c:pt idx="37">
                  <c:v>2.67</c:v>
                </c:pt>
                <c:pt idx="38">
                  <c:v>1.45</c:v>
                </c:pt>
                <c:pt idx="39">
                  <c:v>3.23</c:v>
                </c:pt>
                <c:pt idx="40">
                  <c:v>0.79</c:v>
                </c:pt>
                <c:pt idx="41">
                  <c:v>1.9800000000000013</c:v>
                </c:pt>
                <c:pt idx="42">
                  <c:v>2.7600000000000002</c:v>
                </c:pt>
                <c:pt idx="43">
                  <c:v>1.9300000000000013</c:v>
                </c:pt>
                <c:pt idx="44">
                  <c:v>2.11</c:v>
                </c:pt>
                <c:pt idx="45">
                  <c:v>2.88</c:v>
                </c:pt>
                <c:pt idx="46">
                  <c:v>2.0499999999999998</c:v>
                </c:pt>
                <c:pt idx="47">
                  <c:v>2.57</c:v>
                </c:pt>
                <c:pt idx="48">
                  <c:v>1.8</c:v>
                </c:pt>
                <c:pt idx="49">
                  <c:v>3.9</c:v>
                </c:pt>
                <c:pt idx="50">
                  <c:v>2.1</c:v>
                </c:pt>
              </c:numCache>
            </c:numRef>
          </c:xVal>
          <c:yVal>
            <c:numRef>
              <c:f>Sheet2!$D$4:$D$54</c:f>
              <c:numCache>
                <c:formatCode>General</c:formatCode>
                <c:ptCount val="51"/>
                <c:pt idx="0">
                  <c:v>0</c:v>
                </c:pt>
                <c:pt idx="1">
                  <c:v>0</c:v>
                </c:pt>
                <c:pt idx="2">
                  <c:v>0</c:v>
                </c:pt>
                <c:pt idx="3">
                  <c:v>0.1</c:v>
                </c:pt>
                <c:pt idx="4">
                  <c:v>0.2</c:v>
                </c:pt>
                <c:pt idx="5">
                  <c:v>0.2</c:v>
                </c:pt>
                <c:pt idx="6">
                  <c:v>0.2</c:v>
                </c:pt>
                <c:pt idx="7">
                  <c:v>0.2</c:v>
                </c:pt>
                <c:pt idx="8">
                  <c:v>0.70000000000000062</c:v>
                </c:pt>
                <c:pt idx="9">
                  <c:v>1</c:v>
                </c:pt>
                <c:pt idx="10">
                  <c:v>0.70000000000000062</c:v>
                </c:pt>
                <c:pt idx="11">
                  <c:v>1.1000000000000001</c:v>
                </c:pt>
                <c:pt idx="12">
                  <c:v>1.3</c:v>
                </c:pt>
                <c:pt idx="13">
                  <c:v>1.5</c:v>
                </c:pt>
                <c:pt idx="14">
                  <c:v>1.5</c:v>
                </c:pt>
                <c:pt idx="15">
                  <c:v>1.4</c:v>
                </c:pt>
                <c:pt idx="16">
                  <c:v>0</c:v>
                </c:pt>
                <c:pt idx="17">
                  <c:v>0.1</c:v>
                </c:pt>
                <c:pt idx="18">
                  <c:v>1.7</c:v>
                </c:pt>
                <c:pt idx="19">
                  <c:v>1.7</c:v>
                </c:pt>
                <c:pt idx="20">
                  <c:v>2.2000000000000002</c:v>
                </c:pt>
                <c:pt idx="21">
                  <c:v>2.4</c:v>
                </c:pt>
                <c:pt idx="22">
                  <c:v>10.8</c:v>
                </c:pt>
                <c:pt idx="23">
                  <c:v>10.9</c:v>
                </c:pt>
                <c:pt idx="24">
                  <c:v>9.8000000000000007</c:v>
                </c:pt>
                <c:pt idx="25">
                  <c:v>13</c:v>
                </c:pt>
                <c:pt idx="26">
                  <c:v>12.1</c:v>
                </c:pt>
                <c:pt idx="27">
                  <c:v>9</c:v>
                </c:pt>
                <c:pt idx="28">
                  <c:v>14.8</c:v>
                </c:pt>
                <c:pt idx="29">
                  <c:v>14.9</c:v>
                </c:pt>
                <c:pt idx="30">
                  <c:v>9.1</c:v>
                </c:pt>
                <c:pt idx="31">
                  <c:v>9.1</c:v>
                </c:pt>
                <c:pt idx="32">
                  <c:v>22.4</c:v>
                </c:pt>
                <c:pt idx="33">
                  <c:v>22.6</c:v>
                </c:pt>
                <c:pt idx="34">
                  <c:v>10.200000000000001</c:v>
                </c:pt>
                <c:pt idx="35">
                  <c:v>1.3</c:v>
                </c:pt>
                <c:pt idx="36">
                  <c:v>0.9</c:v>
                </c:pt>
                <c:pt idx="37">
                  <c:v>2.6</c:v>
                </c:pt>
                <c:pt idx="38">
                  <c:v>3.2</c:v>
                </c:pt>
                <c:pt idx="39">
                  <c:v>0.60000000000000064</c:v>
                </c:pt>
                <c:pt idx="40">
                  <c:v>2.4</c:v>
                </c:pt>
                <c:pt idx="41">
                  <c:v>0.4</c:v>
                </c:pt>
                <c:pt idx="42">
                  <c:v>0.4</c:v>
                </c:pt>
                <c:pt idx="43">
                  <c:v>0.9</c:v>
                </c:pt>
                <c:pt idx="44">
                  <c:v>1</c:v>
                </c:pt>
                <c:pt idx="45">
                  <c:v>1.1000000000000001</c:v>
                </c:pt>
                <c:pt idx="46">
                  <c:v>1.2</c:v>
                </c:pt>
                <c:pt idx="47">
                  <c:v>1.2</c:v>
                </c:pt>
                <c:pt idx="48">
                  <c:v>1.2</c:v>
                </c:pt>
                <c:pt idx="49">
                  <c:v>1.3</c:v>
                </c:pt>
                <c:pt idx="50">
                  <c:v>1.4</c:v>
                </c:pt>
              </c:numCache>
            </c:numRef>
          </c:yVal>
          <c:smooth val="0"/>
          <c:extLst>
            <c:ext xmlns:c16="http://schemas.microsoft.com/office/drawing/2014/chart" uri="{C3380CC4-5D6E-409C-BE32-E72D297353CC}">
              <c16:uniqueId val="{00000002-E58B-4F15-851D-109EC74DFD9C}"/>
            </c:ext>
          </c:extLst>
        </c:ser>
        <c:dLbls>
          <c:showLegendKey val="0"/>
          <c:showVal val="0"/>
          <c:showCatName val="0"/>
          <c:showSerName val="0"/>
          <c:showPercent val="0"/>
          <c:showBubbleSize val="0"/>
        </c:dLbls>
        <c:axId val="449941752"/>
        <c:axId val="449943320"/>
      </c:scatterChart>
      <c:valAx>
        <c:axId val="449941752"/>
        <c:scaling>
          <c:orientation val="minMax"/>
        </c:scaling>
        <c:delete val="0"/>
        <c:axPos val="b"/>
        <c:majorGridlines>
          <c:spPr>
            <a:ln w="3175">
              <a:solidFill>
                <a:schemeClr val="tx1">
                  <a:tint val="50000"/>
                  <a:shade val="95000"/>
                  <a:satMod val="105000"/>
                </a:schemeClr>
              </a:solidFill>
            </a:ln>
            <a:effectLst>
              <a:outerShdw blurRad="50800" dist="50800" dir="5400000" algn="ctr" rotWithShape="0">
                <a:schemeClr val="bg2"/>
              </a:outerShdw>
            </a:effectLst>
          </c:spPr>
        </c:majorGridlines>
        <c:minorGridlines/>
        <c:title>
          <c:tx>
            <c:rich>
              <a:bodyPr/>
              <a:lstStyle/>
              <a:p>
                <a:pPr>
                  <a:defRPr lang="en-GB" sz="1200"/>
                </a:pPr>
                <a:r>
                  <a:rPr lang="en-GB" sz="1200" b="1" i="0" u="none" strike="noStrike" baseline="0">
                    <a:effectLst/>
                    <a:latin typeface="Times New Roman" panose="02020603050405020304" pitchFamily="18" charset="0"/>
                    <a:cs typeface="Times New Roman" panose="02020603050405020304" pitchFamily="18" charset="0"/>
                  </a:rPr>
                  <a:t>Zn (mg/l)</a:t>
                </a:r>
                <a:endParaRPr lang="en-GB" sz="1200">
                  <a:latin typeface="Times New Roman" panose="02020603050405020304" pitchFamily="18" charset="0"/>
                  <a:cs typeface="Times New Roman" panose="02020603050405020304" pitchFamily="18" charset="0"/>
                </a:endParaRPr>
              </a:p>
            </c:rich>
          </c:tx>
          <c:overlay val="0"/>
        </c:title>
        <c:numFmt formatCode="#,##0.0" sourceLinked="0"/>
        <c:majorTickMark val="out"/>
        <c:minorTickMark val="none"/>
        <c:tickLblPos val="nextTo"/>
        <c:txPr>
          <a:bodyPr/>
          <a:lstStyle/>
          <a:p>
            <a:pPr>
              <a:defRPr lang="en-GB" sz="1050" b="1">
                <a:latin typeface="Times New Roman" panose="02020603050405020304" pitchFamily="18" charset="0"/>
                <a:cs typeface="Times New Roman" panose="02020603050405020304" pitchFamily="18" charset="0"/>
              </a:defRPr>
            </a:pPr>
            <a:endParaRPr lang="en-US"/>
          </a:p>
        </c:txPr>
        <c:crossAx val="449943320"/>
        <c:crosses val="autoZero"/>
        <c:crossBetween val="midCat"/>
      </c:valAx>
      <c:valAx>
        <c:axId val="449943320"/>
        <c:scaling>
          <c:orientation val="minMax"/>
        </c:scaling>
        <c:delete val="0"/>
        <c:axPos val="l"/>
        <c:majorGridlines/>
        <c:minorGridlines/>
        <c:title>
          <c:tx>
            <c:rich>
              <a:bodyPr/>
              <a:lstStyle/>
              <a:p>
                <a:pPr>
                  <a:defRPr lang="en-GB" sz="1200">
                    <a:latin typeface="Times New Roman" panose="02020603050405020304" pitchFamily="18" charset="0"/>
                    <a:cs typeface="Times New Roman" panose="02020603050405020304" pitchFamily="18" charset="0"/>
                  </a:defRPr>
                </a:pPr>
                <a:r>
                  <a:rPr lang="en-GB" sz="1200" b="1" i="0" u="none" strike="noStrike" baseline="0">
                    <a:effectLst/>
                    <a:latin typeface="Times New Roman" panose="02020603050405020304" pitchFamily="18" charset="0"/>
                    <a:cs typeface="Times New Roman" panose="02020603050405020304" pitchFamily="18" charset="0"/>
                  </a:rPr>
                  <a:t>TSH (mIU/L)</a:t>
                </a:r>
                <a:endParaRPr lang="en-GB" sz="1200">
                  <a:latin typeface="Times New Roman" panose="02020603050405020304" pitchFamily="18" charset="0"/>
                  <a:cs typeface="Times New Roman" panose="02020603050405020304" pitchFamily="18" charset="0"/>
                </a:endParaRPr>
              </a:p>
            </c:rich>
          </c:tx>
          <c:overlay val="0"/>
        </c:title>
        <c:numFmt formatCode="#,##0.0" sourceLinked="0"/>
        <c:majorTickMark val="out"/>
        <c:minorTickMark val="none"/>
        <c:tickLblPos val="nextTo"/>
        <c:txPr>
          <a:bodyPr/>
          <a:lstStyle/>
          <a:p>
            <a:pPr>
              <a:defRPr lang="en-GB" sz="1050" b="1">
                <a:latin typeface="Times New Roman" panose="02020603050405020304" pitchFamily="18" charset="0"/>
                <a:cs typeface="Times New Roman" panose="02020603050405020304" pitchFamily="18" charset="0"/>
              </a:defRPr>
            </a:pPr>
            <a:endParaRPr lang="en-US"/>
          </a:p>
        </c:txPr>
        <c:crossAx val="449941752"/>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Zinc vs Vitamin A </c:v>
          </c:tx>
          <c:spPr>
            <a:ln w="28575">
              <a:noFill/>
            </a:ln>
          </c:spPr>
          <c:marker>
            <c:symbol val="circle"/>
            <c:size val="5"/>
            <c:spPr>
              <a:solidFill>
                <a:srgbClr val="002060"/>
              </a:solidFill>
              <a:ln>
                <a:solidFill>
                  <a:schemeClr val="accent5">
                    <a:lumMod val="50000"/>
                  </a:schemeClr>
                </a:solidFill>
              </a:ln>
            </c:spPr>
          </c:marker>
          <c:trendline>
            <c:spPr>
              <a:ln w="12700">
                <a:solidFill>
                  <a:schemeClr val="accent5">
                    <a:lumMod val="50000"/>
                  </a:schemeClr>
                </a:solidFill>
                <a:prstDash val="sysDash"/>
              </a:ln>
            </c:spPr>
            <c:trendlineType val="linear"/>
            <c:dispRSqr val="1"/>
            <c:dispEq val="1"/>
            <c:trendlineLbl>
              <c:layout>
                <c:manualLayout>
                  <c:x val="1.7867313538031799E-2"/>
                  <c:y val="-1.2901376257857092E-2"/>
                </c:manualLayout>
              </c:layout>
              <c:tx>
                <c:rich>
                  <a:bodyPr/>
                  <a:lstStyle/>
                  <a:p>
                    <a:pPr>
                      <a:defRPr lang="en-GB"/>
                    </a:pPr>
                    <a:r>
                      <a:rPr lang="en-US" sz="1050" b="1" baseline="0">
                        <a:latin typeface="Times New Roman" panose="02020603050405020304" pitchFamily="18" charset="0"/>
                        <a:cs typeface="Times New Roman" panose="02020603050405020304" pitchFamily="18" charset="0"/>
                      </a:rPr>
                      <a:t>y = 0.0037x + 0.5221
pearson's = 0.4**</a:t>
                    </a:r>
                    <a:endParaRPr lang="en-US" sz="1050" b="1">
                      <a:latin typeface="Times New Roman" panose="02020603050405020304" pitchFamily="18" charset="0"/>
                      <a:cs typeface="Times New Roman" panose="02020603050405020304" pitchFamily="18" charset="0"/>
                    </a:endParaRPr>
                  </a:p>
                </c:rich>
              </c:tx>
              <c:numFmt formatCode="General" sourceLinked="0"/>
            </c:trendlineLbl>
          </c:trendline>
          <c:xVal>
            <c:numRef>
              <c:f>Sheet2!$I$4:$I$54</c:f>
              <c:numCache>
                <c:formatCode>General</c:formatCode>
                <c:ptCount val="51"/>
                <c:pt idx="0">
                  <c:v>199</c:v>
                </c:pt>
                <c:pt idx="1">
                  <c:v>204</c:v>
                </c:pt>
                <c:pt idx="2">
                  <c:v>278</c:v>
                </c:pt>
                <c:pt idx="3">
                  <c:v>211</c:v>
                </c:pt>
                <c:pt idx="4">
                  <c:v>199</c:v>
                </c:pt>
                <c:pt idx="5">
                  <c:v>213</c:v>
                </c:pt>
                <c:pt idx="6">
                  <c:v>196</c:v>
                </c:pt>
                <c:pt idx="7">
                  <c:v>198</c:v>
                </c:pt>
                <c:pt idx="8">
                  <c:v>279</c:v>
                </c:pt>
                <c:pt idx="9">
                  <c:v>213</c:v>
                </c:pt>
                <c:pt idx="10">
                  <c:v>285</c:v>
                </c:pt>
                <c:pt idx="11">
                  <c:v>202</c:v>
                </c:pt>
                <c:pt idx="12">
                  <c:v>194</c:v>
                </c:pt>
                <c:pt idx="13">
                  <c:v>199</c:v>
                </c:pt>
                <c:pt idx="14">
                  <c:v>285</c:v>
                </c:pt>
                <c:pt idx="15">
                  <c:v>210</c:v>
                </c:pt>
                <c:pt idx="16">
                  <c:v>312</c:v>
                </c:pt>
                <c:pt idx="17">
                  <c:v>354</c:v>
                </c:pt>
                <c:pt idx="18">
                  <c:v>298</c:v>
                </c:pt>
                <c:pt idx="19">
                  <c:v>345</c:v>
                </c:pt>
                <c:pt idx="20">
                  <c:v>465</c:v>
                </c:pt>
                <c:pt idx="21">
                  <c:v>289</c:v>
                </c:pt>
                <c:pt idx="22">
                  <c:v>89</c:v>
                </c:pt>
                <c:pt idx="23">
                  <c:v>123</c:v>
                </c:pt>
                <c:pt idx="24">
                  <c:v>156</c:v>
                </c:pt>
                <c:pt idx="25">
                  <c:v>189</c:v>
                </c:pt>
                <c:pt idx="26">
                  <c:v>204</c:v>
                </c:pt>
                <c:pt idx="27">
                  <c:v>122</c:v>
                </c:pt>
                <c:pt idx="28">
                  <c:v>119</c:v>
                </c:pt>
                <c:pt idx="29">
                  <c:v>199</c:v>
                </c:pt>
                <c:pt idx="30">
                  <c:v>192</c:v>
                </c:pt>
                <c:pt idx="31">
                  <c:v>143</c:v>
                </c:pt>
                <c:pt idx="32">
                  <c:v>189</c:v>
                </c:pt>
                <c:pt idx="33">
                  <c:v>79</c:v>
                </c:pt>
                <c:pt idx="34">
                  <c:v>200</c:v>
                </c:pt>
                <c:pt idx="35">
                  <c:v>301</c:v>
                </c:pt>
                <c:pt idx="36">
                  <c:v>420</c:v>
                </c:pt>
                <c:pt idx="37">
                  <c:v>311</c:v>
                </c:pt>
                <c:pt idx="38">
                  <c:v>289</c:v>
                </c:pt>
                <c:pt idx="39">
                  <c:v>345</c:v>
                </c:pt>
                <c:pt idx="40">
                  <c:v>401</c:v>
                </c:pt>
                <c:pt idx="41">
                  <c:v>279</c:v>
                </c:pt>
                <c:pt idx="42">
                  <c:v>321</c:v>
                </c:pt>
                <c:pt idx="43">
                  <c:v>345</c:v>
                </c:pt>
                <c:pt idx="44">
                  <c:v>267</c:v>
                </c:pt>
                <c:pt idx="45">
                  <c:v>456</c:v>
                </c:pt>
                <c:pt idx="46">
                  <c:v>432</c:v>
                </c:pt>
                <c:pt idx="47">
                  <c:v>376</c:v>
                </c:pt>
                <c:pt idx="48">
                  <c:v>312</c:v>
                </c:pt>
                <c:pt idx="49">
                  <c:v>298</c:v>
                </c:pt>
                <c:pt idx="50">
                  <c:v>334</c:v>
                </c:pt>
              </c:numCache>
            </c:numRef>
          </c:xVal>
          <c:yVal>
            <c:numRef>
              <c:f>Sheet2!$G$4:$G$54</c:f>
              <c:numCache>
                <c:formatCode>General</c:formatCode>
                <c:ptCount val="51"/>
                <c:pt idx="0">
                  <c:v>2.1</c:v>
                </c:pt>
                <c:pt idx="1">
                  <c:v>0.97000000000000064</c:v>
                </c:pt>
                <c:pt idx="2">
                  <c:v>1.22</c:v>
                </c:pt>
                <c:pt idx="3">
                  <c:v>1.56</c:v>
                </c:pt>
                <c:pt idx="4">
                  <c:v>1.72</c:v>
                </c:pt>
                <c:pt idx="5">
                  <c:v>0.56000000000000005</c:v>
                </c:pt>
                <c:pt idx="6">
                  <c:v>0.72000000000000064</c:v>
                </c:pt>
                <c:pt idx="7">
                  <c:v>0.48000000000000032</c:v>
                </c:pt>
                <c:pt idx="8">
                  <c:v>1.24</c:v>
                </c:pt>
                <c:pt idx="9">
                  <c:v>1.02</c:v>
                </c:pt>
                <c:pt idx="10">
                  <c:v>0.55000000000000004</c:v>
                </c:pt>
                <c:pt idx="11">
                  <c:v>2.2999999999999998</c:v>
                </c:pt>
                <c:pt idx="12">
                  <c:v>2</c:v>
                </c:pt>
                <c:pt idx="13">
                  <c:v>1.01</c:v>
                </c:pt>
                <c:pt idx="14">
                  <c:v>0.73000000000000065</c:v>
                </c:pt>
                <c:pt idx="15">
                  <c:v>0.71000000000000063</c:v>
                </c:pt>
                <c:pt idx="16">
                  <c:v>1.1399999999999986</c:v>
                </c:pt>
                <c:pt idx="17">
                  <c:v>0.42000000000000032</c:v>
                </c:pt>
                <c:pt idx="18">
                  <c:v>2.2599999999999998</c:v>
                </c:pt>
                <c:pt idx="19">
                  <c:v>1.6400000000000001</c:v>
                </c:pt>
                <c:pt idx="20">
                  <c:v>0.93</c:v>
                </c:pt>
                <c:pt idx="21">
                  <c:v>0.85000000000000064</c:v>
                </c:pt>
                <c:pt idx="22">
                  <c:v>0.89</c:v>
                </c:pt>
                <c:pt idx="23">
                  <c:v>0.77000000000000079</c:v>
                </c:pt>
                <c:pt idx="24">
                  <c:v>0.61000000000000065</c:v>
                </c:pt>
                <c:pt idx="25">
                  <c:v>1.22</c:v>
                </c:pt>
                <c:pt idx="26">
                  <c:v>0.81</c:v>
                </c:pt>
                <c:pt idx="27">
                  <c:v>1.9000000000000001</c:v>
                </c:pt>
                <c:pt idx="28">
                  <c:v>0.59</c:v>
                </c:pt>
                <c:pt idx="29">
                  <c:v>0.56000000000000005</c:v>
                </c:pt>
                <c:pt idx="30">
                  <c:v>0.68</c:v>
                </c:pt>
                <c:pt idx="31">
                  <c:v>0.91</c:v>
                </c:pt>
                <c:pt idx="32">
                  <c:v>1.43</c:v>
                </c:pt>
                <c:pt idx="33">
                  <c:v>1.1100000000000001</c:v>
                </c:pt>
                <c:pt idx="34">
                  <c:v>0.52</c:v>
                </c:pt>
                <c:pt idx="35">
                  <c:v>2.3299999999999987</c:v>
                </c:pt>
                <c:pt idx="36">
                  <c:v>1.87</c:v>
                </c:pt>
                <c:pt idx="37">
                  <c:v>2.67</c:v>
                </c:pt>
                <c:pt idx="38">
                  <c:v>1.45</c:v>
                </c:pt>
                <c:pt idx="39">
                  <c:v>3.23</c:v>
                </c:pt>
                <c:pt idx="40">
                  <c:v>0.79</c:v>
                </c:pt>
                <c:pt idx="41">
                  <c:v>1.9800000000000013</c:v>
                </c:pt>
                <c:pt idx="42">
                  <c:v>2.7600000000000002</c:v>
                </c:pt>
                <c:pt idx="43">
                  <c:v>1.9300000000000013</c:v>
                </c:pt>
                <c:pt idx="44">
                  <c:v>2.11</c:v>
                </c:pt>
                <c:pt idx="45">
                  <c:v>2.88</c:v>
                </c:pt>
                <c:pt idx="46">
                  <c:v>2.0499999999999998</c:v>
                </c:pt>
                <c:pt idx="47">
                  <c:v>2.57</c:v>
                </c:pt>
                <c:pt idx="48">
                  <c:v>1.8</c:v>
                </c:pt>
                <c:pt idx="49">
                  <c:v>3.9</c:v>
                </c:pt>
                <c:pt idx="50">
                  <c:v>2.1</c:v>
                </c:pt>
              </c:numCache>
            </c:numRef>
          </c:yVal>
          <c:smooth val="0"/>
          <c:extLst>
            <c:ext xmlns:c16="http://schemas.microsoft.com/office/drawing/2014/chart" uri="{C3380CC4-5D6E-409C-BE32-E72D297353CC}">
              <c16:uniqueId val="{00000001-5517-48DB-A334-20ED4506510B}"/>
            </c:ext>
          </c:extLst>
        </c:ser>
        <c:dLbls>
          <c:showLegendKey val="0"/>
          <c:showVal val="0"/>
          <c:showCatName val="0"/>
          <c:showSerName val="0"/>
          <c:showPercent val="0"/>
          <c:showBubbleSize val="0"/>
        </c:dLbls>
        <c:axId val="449943712"/>
        <c:axId val="449940184"/>
      </c:scatterChart>
      <c:valAx>
        <c:axId val="449943712"/>
        <c:scaling>
          <c:orientation val="minMax"/>
        </c:scaling>
        <c:delete val="0"/>
        <c:axPos val="b"/>
        <c:majorGridlines>
          <c:spPr>
            <a:ln w="3175">
              <a:solidFill>
                <a:schemeClr val="tx1">
                  <a:tint val="50000"/>
                  <a:shade val="95000"/>
                  <a:satMod val="105000"/>
                </a:schemeClr>
              </a:solidFill>
            </a:ln>
          </c:spPr>
        </c:majorGridlines>
        <c:minorGridlines>
          <c:spPr>
            <a:ln w="3175" cmpd="dbl"/>
          </c:spPr>
        </c:minorGridlines>
        <c:title>
          <c:tx>
            <c:rich>
              <a:bodyPr/>
              <a:lstStyle/>
              <a:p>
                <a:pPr>
                  <a:defRPr lang="en-GB"/>
                </a:pPr>
                <a:r>
                  <a:rPr lang="en-GB" sz="1050" b="1" i="0" u="none" strike="noStrike" baseline="0">
                    <a:effectLst/>
                    <a:latin typeface="Times New Roman" panose="02020603050405020304" pitchFamily="18" charset="0"/>
                    <a:cs typeface="Times New Roman" panose="02020603050405020304" pitchFamily="18" charset="0"/>
                  </a:rPr>
                  <a:t>Vitamin A (ng/ml)</a:t>
                </a:r>
                <a:endParaRPr lang="en-GB" sz="105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lang="en-GB"/>
            </a:pPr>
            <a:endParaRPr lang="en-US"/>
          </a:p>
        </c:txPr>
        <c:crossAx val="449940184"/>
        <c:crosses val="autoZero"/>
        <c:crossBetween val="midCat"/>
      </c:valAx>
      <c:valAx>
        <c:axId val="449940184"/>
        <c:scaling>
          <c:orientation val="minMax"/>
        </c:scaling>
        <c:delete val="0"/>
        <c:axPos val="l"/>
        <c:majorGridlines/>
        <c:minorGridlines/>
        <c:title>
          <c:tx>
            <c:rich>
              <a:bodyPr/>
              <a:lstStyle/>
              <a:p>
                <a:pPr>
                  <a:defRPr lang="en-GB"/>
                </a:pPr>
                <a:r>
                  <a:rPr lang="en-GB" sz="1100" b="1" i="0" u="none" strike="noStrike" baseline="0">
                    <a:effectLst/>
                    <a:latin typeface="Times New Roman" panose="02020603050405020304" pitchFamily="18" charset="0"/>
                    <a:cs typeface="Times New Roman" panose="02020603050405020304" pitchFamily="18" charset="0"/>
                  </a:rPr>
                  <a:t>Zn (mg/l)</a:t>
                </a:r>
                <a:endParaRPr lang="en-GB" sz="1100">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txPr>
          <a:bodyPr/>
          <a:lstStyle/>
          <a:p>
            <a:pPr>
              <a:defRPr lang="en-GB"/>
            </a:pPr>
            <a:endParaRPr lang="en-US"/>
          </a:p>
        </c:txPr>
        <c:crossAx val="449943712"/>
        <c:crosses val="autoZero"/>
        <c:crossBetween val="midCat"/>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2845</TotalTime>
  <Pages>15</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174</cp:revision>
  <dcterms:created xsi:type="dcterms:W3CDTF">2024-12-30T17:11:00Z</dcterms:created>
  <dcterms:modified xsi:type="dcterms:W3CDTF">2026-02-27T10:49:00Z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1bddf3e6cf28193692a77680b7190c67ab4bf87b73624fbb000e14145c876f67</vt:lpwstr>
  </property>
</Properties>
</file>