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10E3416" w14:textId="78F11238" w:rsidR="005727F6" w:rsidRDefault="005727F6" w:rsidP="00CE1C7B">
      <w:pPr>
        <w:ind w:left="90"/>
        <w:rPr>
          <w:b/>
          <w:bCs/>
          <w:i/>
          <w:iCs/>
          <w:sz w:val="24"/>
          <w:szCs w:val="24"/>
        </w:rPr>
      </w:pPr>
      <w:r w:rsidRPr="005727F6">
        <w:rPr>
          <w:b/>
          <w:bCs/>
          <w:sz w:val="24"/>
          <w:szCs w:val="24"/>
        </w:rPr>
        <w:t>Toxicological Impact of Silver Oxide (</w:t>
      </w:r>
      <w:proofErr w:type="spellStart"/>
      <w:r w:rsidRPr="005727F6">
        <w:rPr>
          <w:b/>
          <w:bCs/>
          <w:sz w:val="24"/>
          <w:szCs w:val="24"/>
        </w:rPr>
        <w:t>Ag₂O</w:t>
      </w:r>
      <w:proofErr w:type="spellEnd"/>
      <w:r w:rsidRPr="005727F6">
        <w:rPr>
          <w:b/>
          <w:bCs/>
          <w:sz w:val="24"/>
          <w:szCs w:val="24"/>
        </w:rPr>
        <w:t xml:space="preserve">) Nanomaterials on Brain Histological Alterations in </w:t>
      </w:r>
      <w:proofErr w:type="spellStart"/>
      <w:r w:rsidRPr="005727F6">
        <w:rPr>
          <w:b/>
          <w:bCs/>
          <w:i/>
          <w:iCs/>
          <w:sz w:val="24"/>
          <w:szCs w:val="24"/>
        </w:rPr>
        <w:t>Lissachatina</w:t>
      </w:r>
      <w:proofErr w:type="spellEnd"/>
      <w:r w:rsidRPr="005727F6">
        <w:rPr>
          <w:b/>
          <w:bCs/>
          <w:i/>
          <w:iCs/>
          <w:sz w:val="24"/>
          <w:szCs w:val="24"/>
        </w:rPr>
        <w:t xml:space="preserve"> </w:t>
      </w:r>
      <w:proofErr w:type="spellStart"/>
      <w:r w:rsidRPr="005727F6">
        <w:rPr>
          <w:b/>
          <w:bCs/>
          <w:i/>
          <w:iCs/>
          <w:sz w:val="24"/>
          <w:szCs w:val="24"/>
        </w:rPr>
        <w:t>fulica</w:t>
      </w:r>
      <w:proofErr w:type="spellEnd"/>
    </w:p>
    <w:p w14:paraId="39A5A08D" w14:textId="77777777" w:rsidR="00A2495B" w:rsidRDefault="00A2495B" w:rsidP="00CE1C7B">
      <w:pPr>
        <w:ind w:left="90"/>
        <w:rPr>
          <w:b/>
          <w:bCs/>
          <w:sz w:val="28"/>
          <w:szCs w:val="28"/>
        </w:rPr>
      </w:pPr>
    </w:p>
    <w:p w14:paraId="747E1C87" w14:textId="0371A3CD" w:rsidR="00CE1C7B" w:rsidRDefault="00CE1C7B" w:rsidP="00CE1C7B">
      <w:pPr>
        <w:ind w:left="90"/>
        <w:rPr>
          <w:b/>
          <w:bCs/>
          <w:sz w:val="28"/>
          <w:szCs w:val="28"/>
        </w:rPr>
      </w:pPr>
      <w:r w:rsidRPr="00EB7ACB">
        <w:rPr>
          <w:b/>
          <w:bCs/>
          <w:sz w:val="28"/>
          <w:szCs w:val="28"/>
        </w:rPr>
        <w:t>Abstract-</w:t>
      </w:r>
    </w:p>
    <w:p w14:paraId="561D8E26" w14:textId="210728FE" w:rsidR="000C18B3" w:rsidRPr="000C18B3" w:rsidRDefault="000C18B3" w:rsidP="000C18B3">
      <w:pPr>
        <w:ind w:left="90"/>
        <w:rPr>
          <w:sz w:val="24"/>
          <w:szCs w:val="24"/>
        </w:rPr>
      </w:pPr>
      <w:r w:rsidRPr="000C18B3">
        <w:rPr>
          <w:sz w:val="24"/>
          <w:szCs w:val="24"/>
        </w:rPr>
        <w:t>This study investigated the neurotoxic effects of silver oxide nanoparticles (</w:t>
      </w:r>
      <w:proofErr w:type="spellStart"/>
      <w:r w:rsidRPr="000C18B3">
        <w:rPr>
          <w:sz w:val="24"/>
          <w:szCs w:val="24"/>
        </w:rPr>
        <w:t>Ag₂O</w:t>
      </w:r>
      <w:proofErr w:type="spellEnd"/>
      <w:r w:rsidRPr="000C18B3">
        <w:rPr>
          <w:sz w:val="24"/>
          <w:szCs w:val="24"/>
        </w:rPr>
        <w:t xml:space="preserve"> NPs) on the cerebral ganglia of snails using histological analysis. Control animals showed normal architecture with well-defined</w:t>
      </w:r>
      <w:r w:rsidR="00253149">
        <w:rPr>
          <w:sz w:val="24"/>
          <w:szCs w:val="24"/>
        </w:rPr>
        <w:t xml:space="preserve"> </w:t>
      </w:r>
      <w:r w:rsidR="00D746F7">
        <w:rPr>
          <w:sz w:val="24"/>
          <w:szCs w:val="24"/>
        </w:rPr>
        <w:t>giant nerve</w:t>
      </w:r>
      <w:r w:rsidR="00253149">
        <w:rPr>
          <w:sz w:val="24"/>
          <w:szCs w:val="24"/>
        </w:rPr>
        <w:t xml:space="preserve"> cell</w:t>
      </w:r>
      <w:r w:rsidR="00D746F7">
        <w:rPr>
          <w:sz w:val="24"/>
          <w:szCs w:val="24"/>
        </w:rPr>
        <w:t xml:space="preserve">, white matter, Gray matter lacuna, dorsal medium </w:t>
      </w:r>
      <w:r w:rsidR="001F41A2">
        <w:rPr>
          <w:sz w:val="24"/>
          <w:szCs w:val="24"/>
        </w:rPr>
        <w:t>tissue, ventral</w:t>
      </w:r>
      <w:r w:rsidR="00D746F7">
        <w:rPr>
          <w:sz w:val="24"/>
          <w:szCs w:val="24"/>
        </w:rPr>
        <w:t xml:space="preserve"> medium tissue, cerebrum ganglion</w:t>
      </w:r>
      <w:r w:rsidRPr="000C18B3">
        <w:rPr>
          <w:sz w:val="24"/>
          <w:szCs w:val="24"/>
        </w:rPr>
        <w:t xml:space="preserve">. </w:t>
      </w:r>
      <w:proofErr w:type="spellStart"/>
      <w:r w:rsidRPr="000C18B3">
        <w:rPr>
          <w:sz w:val="24"/>
          <w:szCs w:val="24"/>
        </w:rPr>
        <w:t>Globuli</w:t>
      </w:r>
      <w:proofErr w:type="spellEnd"/>
      <w:r w:rsidRPr="000C18B3">
        <w:rPr>
          <w:sz w:val="24"/>
          <w:szCs w:val="24"/>
        </w:rPr>
        <w:t xml:space="preserve"> cells had distinct nuclei, giant neurons were prominent, and the neuropil was compact and organized.</w:t>
      </w:r>
    </w:p>
    <w:p w14:paraId="46E31BA6" w14:textId="565CF853" w:rsidR="000C18B3" w:rsidRPr="000C18B3" w:rsidRDefault="000C18B3" w:rsidP="000C18B3">
      <w:pPr>
        <w:ind w:left="90"/>
        <w:rPr>
          <w:sz w:val="24"/>
          <w:szCs w:val="24"/>
        </w:rPr>
      </w:pPr>
      <w:r w:rsidRPr="000C18B3">
        <w:rPr>
          <w:sz w:val="24"/>
          <w:szCs w:val="24"/>
        </w:rPr>
        <w:t xml:space="preserve">Exposure to </w:t>
      </w:r>
      <w:r w:rsidR="001F41A2">
        <w:rPr>
          <w:sz w:val="24"/>
          <w:szCs w:val="24"/>
        </w:rPr>
        <w:t>Silver oxide (</w:t>
      </w:r>
      <w:proofErr w:type="spellStart"/>
      <w:r w:rsidRPr="000C18B3">
        <w:rPr>
          <w:sz w:val="24"/>
          <w:szCs w:val="24"/>
        </w:rPr>
        <w:t>Ag₂O</w:t>
      </w:r>
      <w:proofErr w:type="spellEnd"/>
      <w:r w:rsidR="001F41A2">
        <w:rPr>
          <w:sz w:val="24"/>
          <w:szCs w:val="24"/>
        </w:rPr>
        <w:t>)</w:t>
      </w:r>
      <w:r w:rsidRPr="000C18B3">
        <w:rPr>
          <w:sz w:val="24"/>
          <w:szCs w:val="24"/>
        </w:rPr>
        <w:t xml:space="preserve"> nanoparticles caused</w:t>
      </w:r>
      <w:r w:rsidR="00D746F7">
        <w:rPr>
          <w:sz w:val="24"/>
          <w:szCs w:val="24"/>
        </w:rPr>
        <w:t xml:space="preserve"> different</w:t>
      </w:r>
      <w:r w:rsidRPr="000C18B3">
        <w:rPr>
          <w:sz w:val="24"/>
          <w:szCs w:val="24"/>
        </w:rPr>
        <w:t xml:space="preserve"> </w:t>
      </w:r>
      <w:r w:rsidR="00A01280" w:rsidRPr="000C18B3">
        <w:rPr>
          <w:sz w:val="24"/>
          <w:szCs w:val="24"/>
        </w:rPr>
        <w:t>concentration</w:t>
      </w:r>
      <w:r w:rsidR="00A01280">
        <w:rPr>
          <w:sz w:val="24"/>
          <w:szCs w:val="24"/>
        </w:rPr>
        <w:t xml:space="preserve"> (</w:t>
      </w:r>
      <w:r w:rsidR="00D746F7">
        <w:rPr>
          <w:sz w:val="24"/>
          <w:szCs w:val="24"/>
        </w:rPr>
        <w:t>5ppm, 10ppm, 15</w:t>
      </w:r>
      <w:r w:rsidR="001F41A2">
        <w:rPr>
          <w:sz w:val="24"/>
          <w:szCs w:val="24"/>
        </w:rPr>
        <w:t>ppm) duration</w:t>
      </w:r>
      <w:r w:rsidRPr="000C18B3">
        <w:rPr>
          <w:sz w:val="24"/>
          <w:szCs w:val="24"/>
        </w:rPr>
        <w:t xml:space="preserve">-dependent </w:t>
      </w:r>
      <w:r w:rsidR="00D746F7">
        <w:rPr>
          <w:sz w:val="24"/>
          <w:szCs w:val="24"/>
        </w:rPr>
        <w:t xml:space="preserve">(24h. 48h. 72h) </w:t>
      </w:r>
      <w:r w:rsidRPr="000C18B3">
        <w:rPr>
          <w:sz w:val="24"/>
          <w:szCs w:val="24"/>
        </w:rPr>
        <w:t>damage. Early changes included perineurial disruption, vacuolization, swelling of the neuropil, and reduced clarity between cerebral regions. At higher exposure levels, necrosis, neuronal degeneration, hyperplasia, and abnormal fusion of brain regions were observed. Severe exposure led to fragmentation of neuropil, pyknotic nuclei in giant neurons, loss of small and medium neurons, and collapse of overall ganglionic structure.</w:t>
      </w:r>
    </w:p>
    <w:p w14:paraId="11A892F6" w14:textId="77777777" w:rsidR="000C18B3" w:rsidRPr="000C18B3" w:rsidRDefault="000C18B3" w:rsidP="000C18B3">
      <w:pPr>
        <w:ind w:left="90"/>
        <w:rPr>
          <w:sz w:val="24"/>
          <w:szCs w:val="24"/>
        </w:rPr>
      </w:pPr>
      <w:r w:rsidRPr="000C18B3">
        <w:rPr>
          <w:sz w:val="24"/>
          <w:szCs w:val="24"/>
        </w:rPr>
        <w:t xml:space="preserve">The results confirm that </w:t>
      </w:r>
      <w:proofErr w:type="spellStart"/>
      <w:r w:rsidRPr="000C18B3">
        <w:rPr>
          <w:sz w:val="24"/>
          <w:szCs w:val="24"/>
        </w:rPr>
        <w:t>Ag₂O</w:t>
      </w:r>
      <w:proofErr w:type="spellEnd"/>
      <w:r w:rsidRPr="000C18B3">
        <w:rPr>
          <w:sz w:val="24"/>
          <w:szCs w:val="24"/>
        </w:rPr>
        <w:t xml:space="preserve"> nanoparticles induce progressive neurodegeneration in snail cerebral tissue.</w:t>
      </w:r>
    </w:p>
    <w:p w14:paraId="5105D96B" w14:textId="220D1A17" w:rsidR="000C18B3" w:rsidRDefault="000C18B3" w:rsidP="00CE1C7B">
      <w:pPr>
        <w:ind w:left="90"/>
        <w:rPr>
          <w:b/>
          <w:bCs/>
          <w:sz w:val="28"/>
          <w:szCs w:val="28"/>
        </w:rPr>
      </w:pPr>
    </w:p>
    <w:p w14:paraId="6BAEA82A" w14:textId="26763BDC" w:rsidR="00A2495B" w:rsidRDefault="00A2495B" w:rsidP="00CE1C7B">
      <w:pPr>
        <w:ind w:left="90"/>
        <w:rPr>
          <w:b/>
          <w:bCs/>
          <w:sz w:val="28"/>
          <w:szCs w:val="28"/>
        </w:rPr>
      </w:pPr>
    </w:p>
    <w:p w14:paraId="20E33047" w14:textId="46BFE6F7" w:rsidR="00A2495B" w:rsidRDefault="00A2495B" w:rsidP="00CE1C7B">
      <w:pPr>
        <w:ind w:left="90"/>
        <w:rPr>
          <w:b/>
          <w:bCs/>
          <w:sz w:val="28"/>
          <w:szCs w:val="28"/>
        </w:rPr>
      </w:pPr>
    </w:p>
    <w:p w14:paraId="4B0C5D08" w14:textId="3459EACD" w:rsidR="00A2495B" w:rsidRDefault="00A2495B" w:rsidP="00CE1C7B">
      <w:pPr>
        <w:ind w:left="90"/>
        <w:rPr>
          <w:b/>
          <w:bCs/>
          <w:sz w:val="28"/>
          <w:szCs w:val="28"/>
        </w:rPr>
      </w:pPr>
    </w:p>
    <w:p w14:paraId="78918DB7" w14:textId="02F69E1E" w:rsidR="00A2495B" w:rsidRDefault="00A2495B" w:rsidP="00CE1C7B">
      <w:pPr>
        <w:ind w:left="90"/>
        <w:rPr>
          <w:b/>
          <w:bCs/>
          <w:sz w:val="28"/>
          <w:szCs w:val="28"/>
        </w:rPr>
      </w:pPr>
    </w:p>
    <w:p w14:paraId="4A1CA975" w14:textId="489DCF10" w:rsidR="00A2495B" w:rsidRDefault="00A2495B" w:rsidP="00CE1C7B">
      <w:pPr>
        <w:ind w:left="90"/>
        <w:rPr>
          <w:b/>
          <w:bCs/>
          <w:sz w:val="28"/>
          <w:szCs w:val="28"/>
        </w:rPr>
      </w:pPr>
    </w:p>
    <w:p w14:paraId="691D7652" w14:textId="2A511C01" w:rsidR="00A2495B" w:rsidRDefault="00A2495B" w:rsidP="00CE1C7B">
      <w:pPr>
        <w:ind w:left="90"/>
        <w:rPr>
          <w:b/>
          <w:bCs/>
          <w:sz w:val="28"/>
          <w:szCs w:val="28"/>
        </w:rPr>
      </w:pPr>
    </w:p>
    <w:p w14:paraId="04AC21A4" w14:textId="77777777" w:rsidR="00A2495B" w:rsidRPr="00EB7ACB" w:rsidRDefault="00A2495B" w:rsidP="00CE1C7B">
      <w:pPr>
        <w:ind w:left="90"/>
        <w:rPr>
          <w:b/>
          <w:bCs/>
          <w:sz w:val="28"/>
          <w:szCs w:val="28"/>
        </w:rPr>
      </w:pPr>
    </w:p>
    <w:p w14:paraId="4C2ED750" w14:textId="77777777" w:rsidR="000C18B3" w:rsidRDefault="000C18B3" w:rsidP="002E0EE4">
      <w:pPr>
        <w:ind w:left="0"/>
      </w:pPr>
    </w:p>
    <w:p w14:paraId="70F6C289" w14:textId="77777777" w:rsidR="000C18B3" w:rsidRDefault="000C18B3" w:rsidP="002E0EE4">
      <w:pPr>
        <w:ind w:left="0"/>
      </w:pPr>
    </w:p>
    <w:p w14:paraId="3D3D0170" w14:textId="3C06EE75" w:rsidR="00DA1851" w:rsidRPr="000C18B3" w:rsidRDefault="006E5B8C" w:rsidP="002E0EE4">
      <w:pPr>
        <w:ind w:left="0"/>
        <w:rPr>
          <w:b/>
          <w:bCs/>
        </w:rPr>
      </w:pPr>
      <w:r w:rsidRPr="000C18B3">
        <w:rPr>
          <w:b/>
          <w:bCs/>
        </w:rPr>
        <w:t xml:space="preserve">  </w:t>
      </w:r>
      <w:r w:rsidR="002E0EE4" w:rsidRPr="000C18B3">
        <w:rPr>
          <w:b/>
          <w:bCs/>
        </w:rPr>
        <w:t xml:space="preserve">Graphical Abstract </w:t>
      </w:r>
      <w:r w:rsidRPr="000C18B3">
        <w:rPr>
          <w:b/>
          <w:bCs/>
        </w:rPr>
        <w:t>–</w:t>
      </w:r>
    </w:p>
    <w:p w14:paraId="0F34A830" w14:textId="78D5EEA7" w:rsidR="006E5B8C" w:rsidRDefault="006E5B8C" w:rsidP="002E0EE4">
      <w:pPr>
        <w:ind w:left="0"/>
      </w:pPr>
      <w:r>
        <w:rPr>
          <w:noProof/>
        </w:rPr>
        <w:drawing>
          <wp:inline distT="0" distB="0" distL="0" distR="0" wp14:anchorId="2E3DB7C2" wp14:editId="2A10D0D3">
            <wp:extent cx="6245225" cy="2898986"/>
            <wp:effectExtent l="0" t="0" r="3175" b="0"/>
            <wp:docPr id="3414550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65115" cy="2908219"/>
                    </a:xfrm>
                    <a:prstGeom prst="rect">
                      <a:avLst/>
                    </a:prstGeom>
                    <a:noFill/>
                    <a:ln>
                      <a:noFill/>
                    </a:ln>
                  </pic:spPr>
                </pic:pic>
              </a:graphicData>
            </a:graphic>
          </wp:inline>
        </w:drawing>
      </w:r>
    </w:p>
    <w:p w14:paraId="6AD67EEC" w14:textId="381D07B1" w:rsidR="006E5B8C" w:rsidRDefault="006E5B8C" w:rsidP="006E5B8C">
      <w:pPr>
        <w:ind w:left="0"/>
        <w:jc w:val="center"/>
      </w:pPr>
      <w:r>
        <w:t>Fig-1. Representation of regular paraffin embedding method</w:t>
      </w:r>
    </w:p>
    <w:p w14:paraId="40934385" w14:textId="6227F9CE" w:rsidR="004E5CEA" w:rsidRPr="00D746F7" w:rsidRDefault="00466AD9" w:rsidP="004E5CEA">
      <w:pPr>
        <w:ind w:left="0"/>
      </w:pPr>
      <w:r w:rsidRPr="004E5CEA">
        <w:rPr>
          <w:b/>
          <w:bCs/>
          <w:sz w:val="24"/>
          <w:szCs w:val="24"/>
        </w:rPr>
        <w:t>Keyword</w:t>
      </w:r>
      <w:r w:rsidRPr="004E5CEA">
        <w:rPr>
          <w:b/>
          <w:bCs/>
        </w:rPr>
        <w:t>-</w:t>
      </w:r>
      <w:r w:rsidR="004E5CEA">
        <w:t xml:space="preserve"> </w:t>
      </w:r>
      <w:r w:rsidR="004E5CEA" w:rsidRPr="004E5CEA">
        <w:rPr>
          <w:i/>
          <w:iCs/>
        </w:rPr>
        <w:t>Lissachatina fulica</w:t>
      </w:r>
      <w:r w:rsidR="004E5CEA">
        <w:rPr>
          <w:i/>
          <w:iCs/>
        </w:rPr>
        <w:t xml:space="preserve">, </w:t>
      </w:r>
      <w:r w:rsidR="004E5CEA" w:rsidRPr="004E5CEA">
        <w:t>Silver Oxide (Ag2O</w:t>
      </w:r>
      <w:r w:rsidR="000B4D82" w:rsidRPr="004E5CEA">
        <w:t>), Brain</w:t>
      </w:r>
      <w:r w:rsidR="004E5CEA" w:rsidRPr="004E5CEA">
        <w:t xml:space="preserve"> histology, Cellular changes </w:t>
      </w:r>
    </w:p>
    <w:p w14:paraId="3DD30566" w14:textId="77777777" w:rsidR="000B0462" w:rsidRPr="00F83D14" w:rsidRDefault="000B0462" w:rsidP="000B0462">
      <w:pPr>
        <w:pStyle w:val="ListParagraph"/>
        <w:ind w:left="837"/>
        <w:rPr>
          <w:sz w:val="24"/>
          <w:szCs w:val="24"/>
        </w:rPr>
      </w:pPr>
    </w:p>
    <w:p w14:paraId="0338BE5E" w14:textId="39C7C9BE" w:rsidR="004E5CEA" w:rsidRPr="000B0462" w:rsidRDefault="004E5CEA" w:rsidP="000B0462">
      <w:pPr>
        <w:pStyle w:val="ListParagraph"/>
        <w:numPr>
          <w:ilvl w:val="0"/>
          <w:numId w:val="5"/>
        </w:numPr>
        <w:rPr>
          <w:b/>
          <w:bCs/>
          <w:sz w:val="24"/>
          <w:szCs w:val="24"/>
        </w:rPr>
      </w:pPr>
      <w:r w:rsidRPr="000B0462">
        <w:rPr>
          <w:b/>
          <w:bCs/>
          <w:sz w:val="24"/>
          <w:szCs w:val="24"/>
        </w:rPr>
        <w:t>Introduction-</w:t>
      </w:r>
    </w:p>
    <w:p w14:paraId="5C7757DF" w14:textId="2210B581" w:rsidR="0093579B" w:rsidRPr="0093579B" w:rsidRDefault="0093579B" w:rsidP="0093579B">
      <w:pPr>
        <w:ind w:left="0"/>
        <w:rPr>
          <w:sz w:val="24"/>
          <w:szCs w:val="24"/>
        </w:rPr>
      </w:pPr>
      <w:r w:rsidRPr="0093579B">
        <w:rPr>
          <w:sz w:val="24"/>
          <w:szCs w:val="24"/>
        </w:rPr>
        <w:t xml:space="preserve">The giant African snail, </w:t>
      </w:r>
      <w:r w:rsidRPr="0093579B">
        <w:rPr>
          <w:i/>
          <w:iCs/>
          <w:sz w:val="24"/>
          <w:szCs w:val="24"/>
        </w:rPr>
        <w:t>Achatina fulica</w:t>
      </w:r>
      <w:r w:rsidRPr="0093579B">
        <w:rPr>
          <w:sz w:val="24"/>
          <w:szCs w:val="24"/>
        </w:rPr>
        <w:t xml:space="preserve">, is listed among the world’s 100 worst invasive alien species by the International Union for Conservation of Nature (International Union for Conservation of Nature) (Lowe et al., 2000). Native to East Africa, the species has been widely introduced across many parts of the globe (Lowe et al., 2000). Its invasion success is largely attributed to its high reproductive potential, voracious feeding </w:t>
      </w:r>
      <w:r w:rsidR="001F41A2" w:rsidRPr="0093579B">
        <w:rPr>
          <w:sz w:val="24"/>
          <w:szCs w:val="24"/>
        </w:rPr>
        <w:t>behaviour</w:t>
      </w:r>
      <w:r w:rsidRPr="0093579B">
        <w:rPr>
          <w:sz w:val="24"/>
          <w:szCs w:val="24"/>
        </w:rPr>
        <w:t xml:space="preserve"> on nearly 500 plant species, poor quarantine measures, and human-mediated dispersal (Fontanilla et al., 2007).</w:t>
      </w:r>
    </w:p>
    <w:p w14:paraId="6972EE29" w14:textId="69046E51" w:rsidR="0093579B" w:rsidRPr="0093579B" w:rsidRDefault="0093579B" w:rsidP="0093579B">
      <w:pPr>
        <w:ind w:left="0"/>
        <w:rPr>
          <w:sz w:val="24"/>
          <w:szCs w:val="24"/>
        </w:rPr>
      </w:pPr>
      <w:r w:rsidRPr="0093579B">
        <w:rPr>
          <w:sz w:val="24"/>
          <w:szCs w:val="24"/>
        </w:rPr>
        <w:t xml:space="preserve">The snail is of considerable public-health importance because it serves as an intermediate host of </w:t>
      </w:r>
      <w:proofErr w:type="spellStart"/>
      <w:r w:rsidRPr="0093579B">
        <w:rPr>
          <w:sz w:val="24"/>
          <w:szCs w:val="24"/>
        </w:rPr>
        <w:t>Angiostrongylus</w:t>
      </w:r>
      <w:proofErr w:type="spellEnd"/>
      <w:r w:rsidRPr="0093579B">
        <w:rPr>
          <w:sz w:val="24"/>
          <w:szCs w:val="24"/>
        </w:rPr>
        <w:t xml:space="preserve"> </w:t>
      </w:r>
      <w:proofErr w:type="spellStart"/>
      <w:r w:rsidRPr="0093579B">
        <w:rPr>
          <w:sz w:val="24"/>
          <w:szCs w:val="24"/>
        </w:rPr>
        <w:t>cantonensis</w:t>
      </w:r>
      <w:proofErr w:type="spellEnd"/>
      <w:r w:rsidRPr="0093579B">
        <w:rPr>
          <w:sz w:val="24"/>
          <w:szCs w:val="24"/>
        </w:rPr>
        <w:t xml:space="preserve">, the causative agent of </w:t>
      </w:r>
      <w:proofErr w:type="spellStart"/>
      <w:r w:rsidRPr="0093579B">
        <w:rPr>
          <w:sz w:val="24"/>
          <w:szCs w:val="24"/>
        </w:rPr>
        <w:t>angiostrongylosis</w:t>
      </w:r>
      <w:proofErr w:type="spellEnd"/>
      <w:r w:rsidRPr="0093579B">
        <w:rPr>
          <w:sz w:val="24"/>
          <w:szCs w:val="24"/>
        </w:rPr>
        <w:t xml:space="preserve"> and eosinophilic meningoencephalitis in humans</w:t>
      </w:r>
      <w:r w:rsidR="000E6F5A">
        <w:rPr>
          <w:sz w:val="24"/>
          <w:szCs w:val="24"/>
        </w:rPr>
        <w:t xml:space="preserve">. </w:t>
      </w:r>
      <w:r w:rsidRPr="0093579B">
        <w:rPr>
          <w:sz w:val="24"/>
          <w:szCs w:val="24"/>
        </w:rPr>
        <w:t xml:space="preserve">Furthermore, the </w:t>
      </w:r>
      <w:r w:rsidR="00D746F7" w:rsidRPr="0093579B">
        <w:rPr>
          <w:sz w:val="24"/>
          <w:szCs w:val="24"/>
        </w:rPr>
        <w:t>faecal</w:t>
      </w:r>
      <w:r w:rsidRPr="0093579B">
        <w:rPr>
          <w:sz w:val="24"/>
          <w:szCs w:val="24"/>
        </w:rPr>
        <w:t xml:space="preserve"> matter of the snail aids in spreading black pod disease caused by Phytophthora </w:t>
      </w:r>
      <w:proofErr w:type="spellStart"/>
      <w:r w:rsidRPr="0093579B">
        <w:rPr>
          <w:sz w:val="24"/>
          <w:szCs w:val="24"/>
        </w:rPr>
        <w:t>palmivora</w:t>
      </w:r>
      <w:proofErr w:type="spellEnd"/>
      <w:r w:rsidRPr="0093579B">
        <w:rPr>
          <w:sz w:val="24"/>
          <w:szCs w:val="24"/>
        </w:rPr>
        <w:t xml:space="preserve"> (Raut &amp; Barker, 2002).</w:t>
      </w:r>
    </w:p>
    <w:p w14:paraId="7927872A" w14:textId="2BFC5B42" w:rsidR="0093579B" w:rsidRPr="0093579B" w:rsidRDefault="0093579B" w:rsidP="0093579B">
      <w:pPr>
        <w:ind w:left="0"/>
        <w:rPr>
          <w:sz w:val="24"/>
          <w:szCs w:val="24"/>
        </w:rPr>
      </w:pPr>
      <w:r w:rsidRPr="0093579B">
        <w:rPr>
          <w:i/>
          <w:iCs/>
          <w:sz w:val="24"/>
          <w:szCs w:val="24"/>
        </w:rPr>
        <w:t>A. fulica</w:t>
      </w:r>
      <w:r w:rsidRPr="0093579B">
        <w:rPr>
          <w:sz w:val="24"/>
          <w:szCs w:val="24"/>
        </w:rPr>
        <w:t xml:space="preserve"> is regarded as one of the most destructive pests in tropical and subtropical regions, producing extensive damage to agricultural fields, commercial plantations, and home gardens (Vasconcellos &amp; Pile, 2001). The species is commonly associated with trees, decomposing </w:t>
      </w:r>
      <w:r w:rsidRPr="0093579B">
        <w:rPr>
          <w:sz w:val="24"/>
          <w:szCs w:val="24"/>
        </w:rPr>
        <w:lastRenderedPageBreak/>
        <w:t>organic substrates, and garbage accumulation sites. Climate-based predictive models have been developed to understand and forecast its invasion pattern in India, which may support management planning (Sarma et al., 2015).</w:t>
      </w:r>
    </w:p>
    <w:p w14:paraId="7C794227" w14:textId="77777777" w:rsidR="0093579B" w:rsidRPr="0093579B" w:rsidRDefault="0093579B" w:rsidP="0093579B">
      <w:pPr>
        <w:ind w:left="0"/>
        <w:rPr>
          <w:sz w:val="24"/>
          <w:szCs w:val="24"/>
        </w:rPr>
      </w:pPr>
      <w:r w:rsidRPr="0093579B">
        <w:rPr>
          <w:sz w:val="24"/>
          <w:szCs w:val="24"/>
        </w:rPr>
        <w:t xml:space="preserve">Historically, control of </w:t>
      </w:r>
      <w:r w:rsidRPr="0093579B">
        <w:rPr>
          <w:i/>
          <w:iCs/>
          <w:sz w:val="24"/>
          <w:szCs w:val="24"/>
        </w:rPr>
        <w:t>A. fulica</w:t>
      </w:r>
      <w:r w:rsidRPr="0093579B">
        <w:rPr>
          <w:sz w:val="24"/>
          <w:szCs w:val="24"/>
        </w:rPr>
        <w:t xml:space="preserve"> has relied on non-specific molluscicides (Panigrahi &amp; Raut, 1994). In recent years, there has been a shift toward safer and more selective plant-based products to minimize environmental hazards (Panigrahi &amp; Raut, 1994). A variety of botanical compounds have proven effective against snails such as </w:t>
      </w:r>
      <w:proofErr w:type="spellStart"/>
      <w:r w:rsidRPr="0093579B">
        <w:rPr>
          <w:i/>
          <w:iCs/>
          <w:sz w:val="24"/>
          <w:szCs w:val="24"/>
        </w:rPr>
        <w:t>Lymnaea</w:t>
      </w:r>
      <w:proofErr w:type="spellEnd"/>
      <w:r w:rsidRPr="0093579B">
        <w:rPr>
          <w:i/>
          <w:iCs/>
          <w:sz w:val="24"/>
          <w:szCs w:val="24"/>
        </w:rPr>
        <w:t xml:space="preserve"> </w:t>
      </w:r>
      <w:proofErr w:type="spellStart"/>
      <w:r w:rsidRPr="0093579B">
        <w:rPr>
          <w:i/>
          <w:iCs/>
          <w:sz w:val="24"/>
          <w:szCs w:val="24"/>
        </w:rPr>
        <w:t>acuminata</w:t>
      </w:r>
      <w:proofErr w:type="spellEnd"/>
      <w:r w:rsidRPr="0093579B">
        <w:rPr>
          <w:sz w:val="24"/>
          <w:szCs w:val="24"/>
        </w:rPr>
        <w:t xml:space="preserve"> (Chauhan et al., 2011), </w:t>
      </w:r>
      <w:proofErr w:type="spellStart"/>
      <w:r w:rsidRPr="0093579B">
        <w:rPr>
          <w:i/>
          <w:iCs/>
          <w:sz w:val="24"/>
          <w:szCs w:val="24"/>
        </w:rPr>
        <w:t>Subulina</w:t>
      </w:r>
      <w:proofErr w:type="spellEnd"/>
      <w:r w:rsidRPr="0093579B">
        <w:rPr>
          <w:i/>
          <w:iCs/>
          <w:sz w:val="24"/>
          <w:szCs w:val="24"/>
        </w:rPr>
        <w:t xml:space="preserve"> </w:t>
      </w:r>
      <w:proofErr w:type="spellStart"/>
      <w:r w:rsidRPr="0093579B">
        <w:rPr>
          <w:i/>
          <w:iCs/>
          <w:sz w:val="24"/>
          <w:szCs w:val="24"/>
        </w:rPr>
        <w:t>octona</w:t>
      </w:r>
      <w:proofErr w:type="spellEnd"/>
      <w:r w:rsidRPr="0093579B">
        <w:rPr>
          <w:sz w:val="24"/>
          <w:szCs w:val="24"/>
        </w:rPr>
        <w:t xml:space="preserve"> (Silva et al., 2012), </w:t>
      </w:r>
      <w:proofErr w:type="spellStart"/>
      <w:r w:rsidRPr="0093579B">
        <w:rPr>
          <w:i/>
          <w:iCs/>
          <w:sz w:val="24"/>
          <w:szCs w:val="24"/>
        </w:rPr>
        <w:t>Indoplanorbis</w:t>
      </w:r>
      <w:proofErr w:type="spellEnd"/>
      <w:r w:rsidRPr="0093579B">
        <w:rPr>
          <w:i/>
          <w:iCs/>
          <w:sz w:val="24"/>
          <w:szCs w:val="24"/>
        </w:rPr>
        <w:t xml:space="preserve"> </w:t>
      </w:r>
      <w:proofErr w:type="spellStart"/>
      <w:r w:rsidRPr="0093579B">
        <w:rPr>
          <w:i/>
          <w:iCs/>
          <w:sz w:val="24"/>
          <w:szCs w:val="24"/>
        </w:rPr>
        <w:t>exustus</w:t>
      </w:r>
      <w:proofErr w:type="spellEnd"/>
      <w:r w:rsidRPr="0093579B">
        <w:rPr>
          <w:sz w:val="24"/>
          <w:szCs w:val="24"/>
        </w:rPr>
        <w:t xml:space="preserve"> (Pandey &amp; Singh, 2009), </w:t>
      </w:r>
      <w:proofErr w:type="spellStart"/>
      <w:r w:rsidRPr="0093579B">
        <w:rPr>
          <w:i/>
          <w:iCs/>
          <w:sz w:val="24"/>
          <w:szCs w:val="24"/>
        </w:rPr>
        <w:t>Eobania</w:t>
      </w:r>
      <w:proofErr w:type="spellEnd"/>
      <w:r w:rsidRPr="0093579B">
        <w:rPr>
          <w:i/>
          <w:iCs/>
          <w:sz w:val="24"/>
          <w:szCs w:val="24"/>
        </w:rPr>
        <w:t xml:space="preserve"> </w:t>
      </w:r>
      <w:proofErr w:type="spellStart"/>
      <w:r w:rsidRPr="0093579B">
        <w:rPr>
          <w:i/>
          <w:iCs/>
          <w:sz w:val="24"/>
          <w:szCs w:val="24"/>
        </w:rPr>
        <w:t>vermiculata</w:t>
      </w:r>
      <w:proofErr w:type="spellEnd"/>
      <w:r w:rsidRPr="0093579B">
        <w:rPr>
          <w:sz w:val="24"/>
          <w:szCs w:val="24"/>
        </w:rPr>
        <w:t xml:space="preserve">, and </w:t>
      </w:r>
      <w:proofErr w:type="spellStart"/>
      <w:r w:rsidRPr="0093579B">
        <w:rPr>
          <w:i/>
          <w:iCs/>
          <w:sz w:val="24"/>
          <w:szCs w:val="24"/>
        </w:rPr>
        <w:t>Monacha</w:t>
      </w:r>
      <w:proofErr w:type="spellEnd"/>
      <w:r w:rsidRPr="0093579B">
        <w:rPr>
          <w:i/>
          <w:iCs/>
          <w:sz w:val="24"/>
          <w:szCs w:val="24"/>
        </w:rPr>
        <w:t xml:space="preserve"> </w:t>
      </w:r>
      <w:proofErr w:type="spellStart"/>
      <w:r w:rsidRPr="0093579B">
        <w:rPr>
          <w:i/>
          <w:iCs/>
          <w:sz w:val="24"/>
          <w:szCs w:val="24"/>
        </w:rPr>
        <w:t>cartusiana</w:t>
      </w:r>
      <w:proofErr w:type="spellEnd"/>
      <w:r w:rsidRPr="0093579B">
        <w:rPr>
          <w:sz w:val="24"/>
          <w:szCs w:val="24"/>
        </w:rPr>
        <w:t xml:space="preserve"> (</w:t>
      </w:r>
      <w:proofErr w:type="spellStart"/>
      <w:r w:rsidRPr="0093579B">
        <w:rPr>
          <w:sz w:val="24"/>
          <w:szCs w:val="24"/>
        </w:rPr>
        <w:t>Aal</w:t>
      </w:r>
      <w:proofErr w:type="spellEnd"/>
      <w:r w:rsidRPr="0093579B">
        <w:rPr>
          <w:sz w:val="24"/>
          <w:szCs w:val="24"/>
        </w:rPr>
        <w:t xml:space="preserve"> &amp; Hamed, 2010). However, only limited natural compounds have been evaluated specifically against </w:t>
      </w:r>
      <w:r w:rsidRPr="0093579B">
        <w:rPr>
          <w:i/>
          <w:iCs/>
          <w:sz w:val="24"/>
          <w:szCs w:val="24"/>
        </w:rPr>
        <w:t>A. fulica</w:t>
      </w:r>
      <w:r w:rsidRPr="0093579B">
        <w:rPr>
          <w:sz w:val="24"/>
          <w:szCs w:val="24"/>
        </w:rPr>
        <w:t xml:space="preserve"> (Panigrahi &amp; Raut, 1994; Justin et al., 2008; Rao &amp; Singh, 2002).</w:t>
      </w:r>
    </w:p>
    <w:p w14:paraId="16988745" w14:textId="77777777" w:rsidR="00E56870" w:rsidRPr="00E56870" w:rsidRDefault="00E56870" w:rsidP="00E56870">
      <w:pPr>
        <w:ind w:left="0"/>
        <w:rPr>
          <w:sz w:val="24"/>
          <w:szCs w:val="24"/>
        </w:rPr>
      </w:pPr>
      <w:r w:rsidRPr="00E56870">
        <w:rPr>
          <w:sz w:val="24"/>
          <w:szCs w:val="24"/>
        </w:rPr>
        <w:t xml:space="preserve">Several investigations have demonstrated that metal-based nanoparticles can be transferred along terrestrial food chains, highlighting the importance of dietary exposure in nanoparticle accumulation (Hawthorne et al., 2014; </w:t>
      </w:r>
      <w:proofErr w:type="spellStart"/>
      <w:r w:rsidRPr="00E56870">
        <w:rPr>
          <w:sz w:val="24"/>
          <w:szCs w:val="24"/>
        </w:rPr>
        <w:t>Unrine</w:t>
      </w:r>
      <w:proofErr w:type="spellEnd"/>
      <w:r w:rsidRPr="00E56870">
        <w:rPr>
          <w:sz w:val="24"/>
          <w:szCs w:val="24"/>
        </w:rPr>
        <w:t xml:space="preserve"> et al., 2012). Nevertheless, the quantitative contribution of dietary intake to silver nanoparticle (</w:t>
      </w:r>
      <w:proofErr w:type="spellStart"/>
      <w:r w:rsidRPr="00E56870">
        <w:rPr>
          <w:sz w:val="24"/>
          <w:szCs w:val="24"/>
        </w:rPr>
        <w:t>AgNP</w:t>
      </w:r>
      <w:proofErr w:type="spellEnd"/>
      <w:r w:rsidRPr="00E56870">
        <w:rPr>
          <w:sz w:val="24"/>
          <w:szCs w:val="24"/>
        </w:rPr>
        <w:t>) bioaccumulation remains unclear.</w:t>
      </w:r>
    </w:p>
    <w:p w14:paraId="748A196F" w14:textId="5E351E46" w:rsidR="00E56870" w:rsidRPr="00E56870" w:rsidRDefault="00E56870" w:rsidP="00E56870">
      <w:pPr>
        <w:ind w:left="0"/>
        <w:rPr>
          <w:sz w:val="24"/>
          <w:szCs w:val="24"/>
        </w:rPr>
      </w:pPr>
      <w:r w:rsidRPr="00E56870">
        <w:rPr>
          <w:sz w:val="24"/>
          <w:szCs w:val="24"/>
        </w:rPr>
        <w:t xml:space="preserve">In aquatic organisms, dietary exposure is widely regarded as the dominant pathway for metal uptake according to biodynamic </w:t>
      </w:r>
      <w:r w:rsidR="00D746F7" w:rsidRPr="00E56870">
        <w:rPr>
          <w:sz w:val="24"/>
          <w:szCs w:val="24"/>
        </w:rPr>
        <w:t>modelling</w:t>
      </w:r>
      <w:r w:rsidRPr="00E56870">
        <w:rPr>
          <w:sz w:val="24"/>
          <w:szCs w:val="24"/>
        </w:rPr>
        <w:t xml:space="preserve"> based on metal-uptake kinetics (Luoma &amp; Rainbow, 2005; Dang et al., 2009). Partitioning total accumulation into individual processes, such as dietary versus waterborne routes, may therefore enhance the mechanistic understanding of nanoparticle bioavailability. Recent research has confirmed that biodynamic models are powerful tools for evaluating </w:t>
      </w:r>
      <w:proofErr w:type="spellStart"/>
      <w:r w:rsidRPr="00E56870">
        <w:rPr>
          <w:sz w:val="24"/>
          <w:szCs w:val="24"/>
        </w:rPr>
        <w:t>AgNP</w:t>
      </w:r>
      <w:proofErr w:type="spellEnd"/>
      <w:r w:rsidRPr="00E56870">
        <w:rPr>
          <w:sz w:val="24"/>
          <w:szCs w:val="24"/>
        </w:rPr>
        <w:t xml:space="preserve"> uptake through both food and water in estuarine and freshwater snails, as well as for elucidating the mechanisms governing this process (Khan et al., 2012, 2015; Croteau et al., 2011, 2014; Oliver et al., 2014). Despite these advances, distinguishing the specific contribution of dietary exposure to overall </w:t>
      </w:r>
      <w:proofErr w:type="spellStart"/>
      <w:r w:rsidRPr="00E56870">
        <w:rPr>
          <w:sz w:val="24"/>
          <w:szCs w:val="24"/>
        </w:rPr>
        <w:t>AgNP</w:t>
      </w:r>
      <w:proofErr w:type="spellEnd"/>
      <w:r w:rsidRPr="00E56870">
        <w:rPr>
          <w:sz w:val="24"/>
          <w:szCs w:val="24"/>
        </w:rPr>
        <w:t xml:space="preserve"> accumulation remains unresolved.</w:t>
      </w:r>
    </w:p>
    <w:p w14:paraId="70FEC071" w14:textId="5BD7EA35" w:rsidR="00E56870" w:rsidRPr="00D746F7" w:rsidRDefault="00E56870" w:rsidP="00E56870">
      <w:pPr>
        <w:ind w:left="0"/>
        <w:rPr>
          <w:i/>
          <w:iCs/>
          <w:sz w:val="24"/>
          <w:szCs w:val="24"/>
        </w:rPr>
      </w:pPr>
      <w:r w:rsidRPr="00E56870">
        <w:rPr>
          <w:sz w:val="24"/>
          <w:szCs w:val="24"/>
        </w:rPr>
        <w:t xml:space="preserve">Accordingly, the present study aimed to </w:t>
      </w:r>
      <w:r w:rsidR="00D746F7">
        <w:rPr>
          <w:sz w:val="24"/>
          <w:szCs w:val="24"/>
        </w:rPr>
        <w:t>change histological</w:t>
      </w:r>
      <w:r w:rsidRPr="00E56870">
        <w:rPr>
          <w:sz w:val="24"/>
          <w:szCs w:val="24"/>
        </w:rPr>
        <w:t xml:space="preserve"> </w:t>
      </w:r>
      <w:proofErr w:type="spellStart"/>
      <w:r w:rsidRPr="00E56870">
        <w:rPr>
          <w:sz w:val="24"/>
          <w:szCs w:val="24"/>
        </w:rPr>
        <w:t>behavior</w:t>
      </w:r>
      <w:proofErr w:type="spellEnd"/>
      <w:r w:rsidRPr="00E56870">
        <w:rPr>
          <w:sz w:val="24"/>
          <w:szCs w:val="24"/>
        </w:rPr>
        <w:t xml:space="preserve"> of </w:t>
      </w:r>
      <w:proofErr w:type="spellStart"/>
      <w:r w:rsidRPr="00E56870">
        <w:rPr>
          <w:sz w:val="24"/>
          <w:szCs w:val="24"/>
        </w:rPr>
        <w:t>AgNPs</w:t>
      </w:r>
      <w:proofErr w:type="spellEnd"/>
      <w:r w:rsidRPr="00E56870">
        <w:rPr>
          <w:sz w:val="24"/>
          <w:szCs w:val="24"/>
        </w:rPr>
        <w:t xml:space="preserve"> in the land snail </w:t>
      </w:r>
      <w:proofErr w:type="spellStart"/>
      <w:r w:rsidR="00D746F7">
        <w:rPr>
          <w:i/>
          <w:iCs/>
          <w:sz w:val="24"/>
          <w:szCs w:val="24"/>
        </w:rPr>
        <w:t>lissa</w:t>
      </w:r>
      <w:r w:rsidRPr="00E56870">
        <w:rPr>
          <w:i/>
          <w:iCs/>
          <w:sz w:val="24"/>
          <w:szCs w:val="24"/>
        </w:rPr>
        <w:t>chatina</w:t>
      </w:r>
      <w:proofErr w:type="spellEnd"/>
      <w:r w:rsidRPr="00E56870">
        <w:rPr>
          <w:i/>
          <w:iCs/>
          <w:sz w:val="24"/>
          <w:szCs w:val="24"/>
        </w:rPr>
        <w:t xml:space="preserve"> </w:t>
      </w:r>
      <w:proofErr w:type="spellStart"/>
      <w:r w:rsidRPr="00E56870">
        <w:rPr>
          <w:i/>
          <w:iCs/>
          <w:sz w:val="24"/>
          <w:szCs w:val="24"/>
        </w:rPr>
        <w:t>fulica</w:t>
      </w:r>
      <w:proofErr w:type="spellEnd"/>
      <w:r w:rsidRPr="00E56870">
        <w:rPr>
          <w:sz w:val="24"/>
          <w:szCs w:val="24"/>
        </w:rPr>
        <w:t xml:space="preserve"> under both waterborne and dietary exposure scenarios and to determine the relative importance of each pathway in bioaccumulation. In addition, silver nitrate (</w:t>
      </w:r>
      <w:proofErr w:type="spellStart"/>
      <w:r w:rsidRPr="00E56870">
        <w:rPr>
          <w:sz w:val="24"/>
          <w:szCs w:val="24"/>
        </w:rPr>
        <w:t>AgNO</w:t>
      </w:r>
      <w:proofErr w:type="spellEnd"/>
      <w:r w:rsidRPr="00E56870">
        <w:rPr>
          <w:sz w:val="24"/>
          <w:szCs w:val="24"/>
        </w:rPr>
        <w:t xml:space="preserve">₃) was included for direct comparison with nanoparticulate silver, providing further insight into </w:t>
      </w:r>
      <w:proofErr w:type="spellStart"/>
      <w:r w:rsidRPr="00E56870">
        <w:rPr>
          <w:sz w:val="24"/>
          <w:szCs w:val="24"/>
        </w:rPr>
        <w:t>AgNP</w:t>
      </w:r>
      <w:proofErr w:type="spellEnd"/>
      <w:r w:rsidRPr="00E56870">
        <w:rPr>
          <w:sz w:val="24"/>
          <w:szCs w:val="24"/>
        </w:rPr>
        <w:t xml:space="preserve"> bioaccumulation patterns in</w:t>
      </w:r>
      <w:r w:rsidR="00D746F7">
        <w:rPr>
          <w:sz w:val="24"/>
          <w:szCs w:val="24"/>
        </w:rPr>
        <w:t xml:space="preserve"> </w:t>
      </w:r>
      <w:proofErr w:type="spellStart"/>
      <w:r w:rsidR="00D746F7" w:rsidRPr="00D746F7">
        <w:rPr>
          <w:i/>
          <w:iCs/>
          <w:sz w:val="24"/>
          <w:szCs w:val="24"/>
        </w:rPr>
        <w:t>lissachatina</w:t>
      </w:r>
      <w:proofErr w:type="spellEnd"/>
      <w:r w:rsidRPr="00D746F7">
        <w:rPr>
          <w:i/>
          <w:iCs/>
          <w:sz w:val="24"/>
          <w:szCs w:val="24"/>
        </w:rPr>
        <w:t xml:space="preserve"> </w:t>
      </w:r>
      <w:proofErr w:type="spellStart"/>
      <w:r w:rsidRPr="00D746F7">
        <w:rPr>
          <w:i/>
          <w:iCs/>
          <w:sz w:val="24"/>
          <w:szCs w:val="24"/>
        </w:rPr>
        <w:t>fulica</w:t>
      </w:r>
      <w:proofErr w:type="spellEnd"/>
      <w:r w:rsidRPr="00D746F7">
        <w:rPr>
          <w:i/>
          <w:iCs/>
          <w:sz w:val="24"/>
          <w:szCs w:val="24"/>
        </w:rPr>
        <w:t>.</w:t>
      </w:r>
    </w:p>
    <w:p w14:paraId="4206DE65" w14:textId="77777777" w:rsidR="00E56870" w:rsidRDefault="00E56870" w:rsidP="0093579B">
      <w:pPr>
        <w:ind w:left="0"/>
        <w:rPr>
          <w:sz w:val="24"/>
          <w:szCs w:val="24"/>
        </w:rPr>
      </w:pPr>
    </w:p>
    <w:p w14:paraId="24FA0182" w14:textId="77777777" w:rsidR="00D746F7" w:rsidRPr="0093579B" w:rsidRDefault="00D746F7" w:rsidP="0093579B">
      <w:pPr>
        <w:ind w:left="0"/>
        <w:rPr>
          <w:sz w:val="24"/>
          <w:szCs w:val="24"/>
        </w:rPr>
      </w:pPr>
    </w:p>
    <w:p w14:paraId="3C96F525" w14:textId="102B3BF0" w:rsidR="004E5CEA" w:rsidRPr="000B0462" w:rsidRDefault="004E5CEA" w:rsidP="000B0462">
      <w:pPr>
        <w:pStyle w:val="ListParagraph"/>
        <w:numPr>
          <w:ilvl w:val="0"/>
          <w:numId w:val="5"/>
        </w:numPr>
        <w:rPr>
          <w:b/>
          <w:bCs/>
          <w:sz w:val="24"/>
          <w:szCs w:val="24"/>
        </w:rPr>
      </w:pPr>
      <w:r w:rsidRPr="000B0462">
        <w:rPr>
          <w:b/>
          <w:bCs/>
          <w:sz w:val="24"/>
          <w:szCs w:val="24"/>
        </w:rPr>
        <w:t>Material and Method-</w:t>
      </w:r>
    </w:p>
    <w:p w14:paraId="0D770C81" w14:textId="62719EBC" w:rsidR="00764865" w:rsidRPr="000B0462" w:rsidRDefault="00764865" w:rsidP="000B0462">
      <w:pPr>
        <w:pStyle w:val="ListParagraph"/>
        <w:numPr>
          <w:ilvl w:val="1"/>
          <w:numId w:val="5"/>
        </w:numPr>
        <w:rPr>
          <w:b/>
          <w:bCs/>
          <w:sz w:val="24"/>
          <w:szCs w:val="24"/>
        </w:rPr>
      </w:pPr>
      <w:r w:rsidRPr="000B0462">
        <w:rPr>
          <w:b/>
          <w:bCs/>
          <w:sz w:val="24"/>
          <w:szCs w:val="24"/>
        </w:rPr>
        <w:t xml:space="preserve">Materials- </w:t>
      </w:r>
    </w:p>
    <w:p w14:paraId="32E16F49" w14:textId="08856FAB" w:rsidR="00764865" w:rsidRPr="003F3460" w:rsidRDefault="00764865" w:rsidP="003F3460">
      <w:pPr>
        <w:ind w:left="90"/>
        <w:rPr>
          <w:sz w:val="24"/>
          <w:szCs w:val="24"/>
        </w:rPr>
      </w:pPr>
      <w:r w:rsidRPr="00A7015F">
        <w:rPr>
          <w:sz w:val="24"/>
          <w:szCs w:val="24"/>
        </w:rPr>
        <w:t>All chemicals and reagents used in this study were of analytical grade and used without further purification. Silver Oxide NPs (Ag2O, 99%), was purchased from Sigma-Aldrich.</w:t>
      </w:r>
    </w:p>
    <w:p w14:paraId="686BEB93" w14:textId="7CC18A7F" w:rsidR="00253149" w:rsidRPr="002B0D81" w:rsidRDefault="000B0462" w:rsidP="000B0462">
      <w:pPr>
        <w:ind w:left="0" w:firstLine="720"/>
        <w:rPr>
          <w:b/>
          <w:sz w:val="24"/>
          <w:szCs w:val="24"/>
          <w:lang w:val="en-US"/>
        </w:rPr>
      </w:pPr>
      <w:r>
        <w:rPr>
          <w:b/>
          <w:sz w:val="24"/>
          <w:szCs w:val="24"/>
          <w:lang w:val="en-US"/>
        </w:rPr>
        <w:t xml:space="preserve">2.2 </w:t>
      </w:r>
      <w:r w:rsidR="00253149" w:rsidRPr="002B0D81">
        <w:rPr>
          <w:b/>
          <w:sz w:val="24"/>
          <w:szCs w:val="24"/>
          <w:lang w:val="en-US"/>
        </w:rPr>
        <w:t>Collection and maintenance of snails</w:t>
      </w:r>
    </w:p>
    <w:p w14:paraId="0F3961D0" w14:textId="26414980" w:rsidR="00253149" w:rsidRPr="002B0D81" w:rsidRDefault="00253149" w:rsidP="00253149">
      <w:pPr>
        <w:ind w:left="0"/>
        <w:rPr>
          <w:sz w:val="24"/>
          <w:szCs w:val="24"/>
          <w:lang w:val="en-US"/>
        </w:rPr>
      </w:pPr>
      <w:r w:rsidRPr="002B0D81">
        <w:rPr>
          <w:sz w:val="24"/>
          <w:szCs w:val="24"/>
          <w:lang w:val="en-US"/>
        </w:rPr>
        <w:t xml:space="preserve">Adult snails of </w:t>
      </w:r>
      <w:proofErr w:type="spellStart"/>
      <w:r w:rsidR="00D746F7">
        <w:rPr>
          <w:i/>
          <w:sz w:val="24"/>
          <w:szCs w:val="24"/>
          <w:lang w:val="en-US"/>
        </w:rPr>
        <w:t>Lissachatina</w:t>
      </w:r>
      <w:proofErr w:type="spellEnd"/>
      <w:r w:rsidR="00D746F7">
        <w:rPr>
          <w:i/>
          <w:sz w:val="24"/>
          <w:szCs w:val="24"/>
          <w:lang w:val="en-US"/>
        </w:rPr>
        <w:t xml:space="preserve"> </w:t>
      </w:r>
      <w:proofErr w:type="spellStart"/>
      <w:r w:rsidRPr="002B0D81">
        <w:rPr>
          <w:i/>
          <w:sz w:val="24"/>
          <w:szCs w:val="24"/>
          <w:lang w:val="en-US"/>
        </w:rPr>
        <w:t>fulica</w:t>
      </w:r>
      <w:proofErr w:type="spellEnd"/>
      <w:r w:rsidRPr="002B0D81">
        <w:rPr>
          <w:i/>
          <w:sz w:val="24"/>
          <w:szCs w:val="24"/>
          <w:lang w:val="en-US"/>
        </w:rPr>
        <w:t xml:space="preserve"> </w:t>
      </w:r>
      <w:r w:rsidRPr="002B0D81">
        <w:rPr>
          <w:sz w:val="24"/>
          <w:szCs w:val="24"/>
          <w:lang w:val="en-US"/>
        </w:rPr>
        <w:t xml:space="preserve">were collected from local </w:t>
      </w:r>
      <w:r>
        <w:rPr>
          <w:sz w:val="24"/>
          <w:szCs w:val="24"/>
          <w:lang w:val="en-US"/>
        </w:rPr>
        <w:t>grapes garden Nashik Maharashtra</w:t>
      </w:r>
      <w:r w:rsidRPr="002B0D81">
        <w:rPr>
          <w:sz w:val="24"/>
          <w:szCs w:val="24"/>
          <w:lang w:val="en-US"/>
        </w:rPr>
        <w:t>, India. Healthy snails in the weight range of 6</w:t>
      </w:r>
      <w:r>
        <w:rPr>
          <w:sz w:val="24"/>
          <w:szCs w:val="24"/>
          <w:lang w:val="en-US"/>
        </w:rPr>
        <w:t>2</w:t>
      </w:r>
      <w:r w:rsidRPr="002B0D81">
        <w:rPr>
          <w:sz w:val="24"/>
          <w:szCs w:val="24"/>
          <w:lang w:val="en-US"/>
        </w:rPr>
        <w:t xml:space="preserve"> </w:t>
      </w:r>
      <w:proofErr w:type="spellStart"/>
      <w:r w:rsidRPr="002B0D81">
        <w:rPr>
          <w:sz w:val="24"/>
          <w:szCs w:val="24"/>
          <w:lang w:val="en-US"/>
        </w:rPr>
        <w:t>gms</w:t>
      </w:r>
      <w:proofErr w:type="spellEnd"/>
      <w:r w:rsidRPr="002B0D81">
        <w:rPr>
          <w:sz w:val="24"/>
          <w:szCs w:val="24"/>
          <w:lang w:val="en-US"/>
        </w:rPr>
        <w:t xml:space="preserve"> ± 2</w:t>
      </w:r>
      <w:r>
        <w:rPr>
          <w:sz w:val="24"/>
          <w:szCs w:val="24"/>
          <w:lang w:val="en-US"/>
        </w:rPr>
        <w:t>2</w:t>
      </w:r>
      <w:r w:rsidRPr="002B0D81">
        <w:rPr>
          <w:sz w:val="24"/>
          <w:szCs w:val="24"/>
          <w:lang w:val="en-US"/>
        </w:rPr>
        <w:t xml:space="preserve"> </w:t>
      </w:r>
      <w:proofErr w:type="spellStart"/>
      <w:r w:rsidRPr="002B0D81">
        <w:rPr>
          <w:sz w:val="24"/>
          <w:szCs w:val="24"/>
          <w:lang w:val="en-US"/>
        </w:rPr>
        <w:t>gms</w:t>
      </w:r>
      <w:proofErr w:type="spellEnd"/>
      <w:r w:rsidRPr="002B0D81">
        <w:rPr>
          <w:sz w:val="24"/>
          <w:szCs w:val="24"/>
          <w:lang w:val="en-US"/>
        </w:rPr>
        <w:t xml:space="preserve"> were used for the current studies. They were maintained at a temperature of 25˚C ± 2˚C in transparent plastic boxes </w:t>
      </w:r>
      <w:proofErr w:type="gramStart"/>
      <w:r w:rsidRPr="002B0D81">
        <w:rPr>
          <w:sz w:val="24"/>
          <w:szCs w:val="24"/>
          <w:lang w:val="en-US"/>
        </w:rPr>
        <w:t>( 14</w:t>
      </w:r>
      <w:proofErr w:type="gramEnd"/>
      <w:r w:rsidRPr="002B0D81">
        <w:rPr>
          <w:sz w:val="24"/>
          <w:szCs w:val="24"/>
          <w:lang w:val="en-US"/>
        </w:rPr>
        <w:t xml:space="preserve">’’ x 10.5’’x 10’’). These boxes were laden with garden soil at the bottom forming a 4 cm layer. The open ends of the boxes were </w:t>
      </w:r>
      <w:r>
        <w:rPr>
          <w:sz w:val="24"/>
          <w:szCs w:val="24"/>
          <w:lang w:val="en-US"/>
        </w:rPr>
        <w:t>small holes</w:t>
      </w:r>
      <w:r w:rsidRPr="002B0D81">
        <w:rPr>
          <w:sz w:val="24"/>
          <w:szCs w:val="24"/>
          <w:lang w:val="en-US"/>
        </w:rPr>
        <w:t xml:space="preserve"> to facilitate free flow of air. The snails were fed on </w:t>
      </w:r>
      <w:r>
        <w:rPr>
          <w:sz w:val="24"/>
          <w:szCs w:val="24"/>
          <w:lang w:val="en-US"/>
        </w:rPr>
        <w:t xml:space="preserve">grapes </w:t>
      </w:r>
      <w:r w:rsidRPr="002B0D81">
        <w:rPr>
          <w:sz w:val="24"/>
          <w:szCs w:val="24"/>
          <w:lang w:val="en-US"/>
        </w:rPr>
        <w:t>leaves on a daily basis and appropriate humidity was maintained by sprinkling water on the soil layer intermittently.</w:t>
      </w:r>
    </w:p>
    <w:p w14:paraId="05CB72BF" w14:textId="00F5EDEA" w:rsidR="004E5CEA" w:rsidRPr="00864BDE" w:rsidRDefault="000B0462" w:rsidP="000B0462">
      <w:pPr>
        <w:ind w:left="0" w:firstLine="720"/>
        <w:rPr>
          <w:b/>
          <w:bCs/>
          <w:sz w:val="24"/>
          <w:szCs w:val="24"/>
        </w:rPr>
      </w:pPr>
      <w:r>
        <w:rPr>
          <w:b/>
          <w:bCs/>
          <w:sz w:val="24"/>
          <w:szCs w:val="24"/>
        </w:rPr>
        <w:t xml:space="preserve">2.3 </w:t>
      </w:r>
      <w:r w:rsidR="004E5CEA" w:rsidRPr="00864BDE">
        <w:rPr>
          <w:b/>
          <w:bCs/>
          <w:sz w:val="24"/>
          <w:szCs w:val="24"/>
        </w:rPr>
        <w:t>Experimental Design</w:t>
      </w:r>
    </w:p>
    <w:p w14:paraId="045C0C87" w14:textId="624F1AEA" w:rsidR="000C18B3" w:rsidRDefault="004E5CEA" w:rsidP="00253149">
      <w:pPr>
        <w:ind w:left="0"/>
        <w:rPr>
          <w:sz w:val="24"/>
          <w:szCs w:val="24"/>
        </w:rPr>
      </w:pPr>
      <w:r w:rsidRPr="00864BDE">
        <w:rPr>
          <w:sz w:val="24"/>
          <w:szCs w:val="24"/>
        </w:rPr>
        <w:t xml:space="preserve">For histological, adult specimens of </w:t>
      </w:r>
      <w:proofErr w:type="spellStart"/>
      <w:r w:rsidR="00D746F7">
        <w:rPr>
          <w:i/>
          <w:iCs/>
          <w:sz w:val="24"/>
          <w:szCs w:val="24"/>
        </w:rPr>
        <w:t>Lissa</w:t>
      </w:r>
      <w:r w:rsidRPr="00864BDE">
        <w:rPr>
          <w:i/>
          <w:iCs/>
          <w:sz w:val="24"/>
          <w:szCs w:val="24"/>
        </w:rPr>
        <w:t>chatina</w:t>
      </w:r>
      <w:proofErr w:type="spellEnd"/>
      <w:r w:rsidRPr="00864BDE">
        <w:rPr>
          <w:i/>
          <w:iCs/>
          <w:sz w:val="24"/>
          <w:szCs w:val="24"/>
        </w:rPr>
        <w:t xml:space="preserve"> </w:t>
      </w:r>
      <w:proofErr w:type="spellStart"/>
      <w:r w:rsidRPr="00864BDE">
        <w:rPr>
          <w:i/>
          <w:iCs/>
          <w:sz w:val="24"/>
          <w:szCs w:val="24"/>
        </w:rPr>
        <w:t>fulica</w:t>
      </w:r>
      <w:proofErr w:type="spellEnd"/>
      <w:r w:rsidRPr="00864BDE">
        <w:rPr>
          <w:sz w:val="24"/>
          <w:szCs w:val="24"/>
        </w:rPr>
        <w:t xml:space="preserve"> were randomly allocated into</w:t>
      </w:r>
      <w:r>
        <w:rPr>
          <w:sz w:val="24"/>
          <w:szCs w:val="24"/>
        </w:rPr>
        <w:t xml:space="preserve"> 4</w:t>
      </w:r>
      <w:r w:rsidRPr="00864BDE">
        <w:rPr>
          <w:sz w:val="24"/>
          <w:szCs w:val="24"/>
        </w:rPr>
        <w:t xml:space="preserve"> groups: All treatments were applied topically using a </w:t>
      </w:r>
      <w:r>
        <w:rPr>
          <w:sz w:val="24"/>
          <w:szCs w:val="24"/>
        </w:rPr>
        <w:t>stainless stell needle</w:t>
      </w:r>
      <w:r w:rsidRPr="00864BDE">
        <w:rPr>
          <w:sz w:val="24"/>
          <w:szCs w:val="24"/>
        </w:rPr>
        <w:t xml:space="preserve">, following the method described by Hussein et al. (1994). After </w:t>
      </w:r>
      <w:r w:rsidR="00D746F7">
        <w:rPr>
          <w:sz w:val="24"/>
          <w:szCs w:val="24"/>
        </w:rPr>
        <w:t xml:space="preserve">24h. 48h. </w:t>
      </w:r>
      <w:r>
        <w:rPr>
          <w:sz w:val="24"/>
          <w:szCs w:val="24"/>
        </w:rPr>
        <w:t xml:space="preserve"> and </w:t>
      </w:r>
      <w:r w:rsidR="00D746F7">
        <w:rPr>
          <w:sz w:val="24"/>
          <w:szCs w:val="24"/>
        </w:rPr>
        <w:t>72</w:t>
      </w:r>
      <w:r w:rsidRPr="00864BDE">
        <w:rPr>
          <w:sz w:val="24"/>
          <w:szCs w:val="24"/>
        </w:rPr>
        <w:t xml:space="preserve"> h</w:t>
      </w:r>
      <w:r w:rsidR="00D746F7">
        <w:rPr>
          <w:sz w:val="24"/>
          <w:szCs w:val="24"/>
        </w:rPr>
        <w:t>.</w:t>
      </w:r>
      <w:r w:rsidRPr="00864BDE">
        <w:rPr>
          <w:sz w:val="24"/>
          <w:szCs w:val="24"/>
        </w:rPr>
        <w:t xml:space="preserve"> of exposure, the snails were dissected. Relevant tissues </w:t>
      </w:r>
      <w:r w:rsidR="000B4D82">
        <w:rPr>
          <w:sz w:val="24"/>
          <w:szCs w:val="24"/>
        </w:rPr>
        <w:t xml:space="preserve">brain </w:t>
      </w:r>
      <w:proofErr w:type="gramStart"/>
      <w:r w:rsidRPr="00864BDE">
        <w:rPr>
          <w:sz w:val="24"/>
          <w:szCs w:val="24"/>
        </w:rPr>
        <w:t>were</w:t>
      </w:r>
      <w:proofErr w:type="gramEnd"/>
      <w:r w:rsidRPr="00864BDE">
        <w:rPr>
          <w:sz w:val="24"/>
          <w:szCs w:val="24"/>
        </w:rPr>
        <w:t xml:space="preserve"> carefully excised, rinsed with phosphate-buffered saline (PBS), and weighed</w:t>
      </w:r>
      <w:r w:rsidR="00D746F7">
        <w:rPr>
          <w:sz w:val="24"/>
          <w:szCs w:val="24"/>
        </w:rPr>
        <w:t xml:space="preserve"> </w:t>
      </w:r>
      <w:r>
        <w:rPr>
          <w:sz w:val="24"/>
          <w:szCs w:val="24"/>
        </w:rPr>
        <w:t>to further investigation</w:t>
      </w:r>
      <w:r w:rsidR="00D746F7">
        <w:rPr>
          <w:sz w:val="24"/>
          <w:szCs w:val="24"/>
        </w:rPr>
        <w:t>.</w:t>
      </w:r>
    </w:p>
    <w:p w14:paraId="4B1BA8CD" w14:textId="77777777" w:rsidR="000B0462" w:rsidRDefault="000B0462" w:rsidP="000B0462">
      <w:pPr>
        <w:ind w:left="0"/>
        <w:rPr>
          <w:b/>
          <w:bCs/>
          <w:sz w:val="24"/>
          <w:szCs w:val="24"/>
        </w:rPr>
      </w:pPr>
      <w:r>
        <w:rPr>
          <w:b/>
          <w:bCs/>
          <w:sz w:val="24"/>
          <w:szCs w:val="24"/>
        </w:rPr>
        <w:t xml:space="preserve">          </w:t>
      </w:r>
    </w:p>
    <w:p w14:paraId="2CD6668E" w14:textId="77777777" w:rsidR="000B0462" w:rsidRDefault="000B0462" w:rsidP="000B0462">
      <w:pPr>
        <w:ind w:left="0"/>
        <w:rPr>
          <w:b/>
          <w:bCs/>
          <w:sz w:val="24"/>
          <w:szCs w:val="24"/>
        </w:rPr>
      </w:pPr>
    </w:p>
    <w:p w14:paraId="1CEAE426" w14:textId="7F2796F0" w:rsidR="00720ABE" w:rsidRPr="00720ABE" w:rsidRDefault="000B0462" w:rsidP="000B0462">
      <w:pPr>
        <w:ind w:left="0" w:firstLine="720"/>
        <w:rPr>
          <w:b/>
          <w:bCs/>
          <w:sz w:val="24"/>
          <w:szCs w:val="24"/>
        </w:rPr>
      </w:pPr>
      <w:r>
        <w:rPr>
          <w:b/>
          <w:bCs/>
          <w:sz w:val="24"/>
          <w:szCs w:val="24"/>
        </w:rPr>
        <w:t xml:space="preserve">2.4 </w:t>
      </w:r>
      <w:r w:rsidR="00720ABE" w:rsidRPr="00720ABE">
        <w:rPr>
          <w:b/>
          <w:bCs/>
          <w:sz w:val="24"/>
          <w:szCs w:val="24"/>
        </w:rPr>
        <w:t>Toxicity test</w:t>
      </w:r>
    </w:p>
    <w:p w14:paraId="1E18E712" w14:textId="5D4A1144" w:rsidR="000C18B3" w:rsidRPr="000C18B3" w:rsidRDefault="00720ABE" w:rsidP="006C3663">
      <w:pPr>
        <w:ind w:left="0"/>
        <w:rPr>
          <w:sz w:val="24"/>
          <w:szCs w:val="24"/>
        </w:rPr>
      </w:pPr>
      <w:r w:rsidRPr="00720ABE">
        <w:rPr>
          <w:sz w:val="24"/>
          <w:szCs w:val="24"/>
        </w:rPr>
        <w:t>A series of concentrations were prepared</w:t>
      </w:r>
      <w:r w:rsidR="00A01280">
        <w:rPr>
          <w:sz w:val="24"/>
          <w:szCs w:val="24"/>
        </w:rPr>
        <w:t xml:space="preserve"> (5ppm, 10ppm, 15ppm).</w:t>
      </w:r>
      <w:r w:rsidRPr="00720ABE">
        <w:rPr>
          <w:sz w:val="24"/>
          <w:szCs w:val="24"/>
        </w:rPr>
        <w:t xml:space="preserve"> Three replicates</w:t>
      </w:r>
      <w:r>
        <w:rPr>
          <w:sz w:val="24"/>
          <w:szCs w:val="24"/>
        </w:rPr>
        <w:t xml:space="preserve"> </w:t>
      </w:r>
      <w:r w:rsidRPr="00720ABE">
        <w:rPr>
          <w:sz w:val="24"/>
          <w:szCs w:val="24"/>
        </w:rPr>
        <w:t>with ten snails for each were exposed. After</w:t>
      </w:r>
      <w:r>
        <w:rPr>
          <w:sz w:val="24"/>
          <w:szCs w:val="24"/>
        </w:rPr>
        <w:t xml:space="preserve"> </w:t>
      </w:r>
      <w:r w:rsidRPr="00720ABE">
        <w:rPr>
          <w:sz w:val="24"/>
          <w:szCs w:val="24"/>
        </w:rPr>
        <w:t xml:space="preserve">24 hrs of exposure, dead snails were counted, removed, </w:t>
      </w:r>
      <w:r w:rsidR="000C18B3" w:rsidRPr="000C18B3">
        <w:rPr>
          <w:sz w:val="24"/>
          <w:szCs w:val="24"/>
        </w:rPr>
        <w:t xml:space="preserve">Toxicity assessment was carried out according to the method described by Hussein et al. (1994). Adult </w:t>
      </w:r>
      <w:proofErr w:type="spellStart"/>
      <w:r w:rsidR="00A01280">
        <w:rPr>
          <w:i/>
          <w:iCs/>
          <w:sz w:val="24"/>
          <w:szCs w:val="24"/>
        </w:rPr>
        <w:t>Lissa</w:t>
      </w:r>
      <w:r w:rsidR="000C18B3" w:rsidRPr="000C18B3">
        <w:rPr>
          <w:i/>
          <w:iCs/>
          <w:sz w:val="24"/>
          <w:szCs w:val="24"/>
        </w:rPr>
        <w:t>chatina</w:t>
      </w:r>
      <w:proofErr w:type="spellEnd"/>
      <w:r w:rsidR="000C18B3" w:rsidRPr="000C18B3">
        <w:rPr>
          <w:i/>
          <w:iCs/>
          <w:sz w:val="24"/>
          <w:szCs w:val="24"/>
        </w:rPr>
        <w:t xml:space="preserve"> </w:t>
      </w:r>
      <w:proofErr w:type="spellStart"/>
      <w:r w:rsidR="000C18B3" w:rsidRPr="000C18B3">
        <w:rPr>
          <w:i/>
          <w:iCs/>
          <w:sz w:val="24"/>
          <w:szCs w:val="24"/>
        </w:rPr>
        <w:t>fulica</w:t>
      </w:r>
      <w:proofErr w:type="spellEnd"/>
      <w:r w:rsidR="000C18B3" w:rsidRPr="000C18B3">
        <w:rPr>
          <w:sz w:val="24"/>
          <w:szCs w:val="24"/>
        </w:rPr>
        <w:t xml:space="preserve"> snails were randomly assigned into experimental groups (n = 10 per group), including a control and treatment groups receiving silver oxide </w:t>
      </w:r>
      <w:r w:rsidR="00A01280">
        <w:rPr>
          <w:sz w:val="24"/>
          <w:szCs w:val="24"/>
        </w:rPr>
        <w:t xml:space="preserve">(Ag2O NP’s) </w:t>
      </w:r>
      <w:r w:rsidR="000C18B3" w:rsidRPr="000C18B3">
        <w:rPr>
          <w:sz w:val="24"/>
          <w:szCs w:val="24"/>
        </w:rPr>
        <w:t>nanoparticles at concentrations of 5 ppm</w:t>
      </w:r>
      <w:r w:rsidR="00A01280">
        <w:rPr>
          <w:sz w:val="24"/>
          <w:szCs w:val="24"/>
        </w:rPr>
        <w:t xml:space="preserve">, </w:t>
      </w:r>
      <w:r w:rsidR="000C18B3" w:rsidRPr="000C18B3">
        <w:rPr>
          <w:sz w:val="24"/>
          <w:szCs w:val="24"/>
        </w:rPr>
        <w:t>10 ppm</w:t>
      </w:r>
      <w:r w:rsidR="00A01280">
        <w:rPr>
          <w:sz w:val="24"/>
          <w:szCs w:val="24"/>
        </w:rPr>
        <w:t xml:space="preserve"> and 15 PPM</w:t>
      </w:r>
      <w:r w:rsidR="000C18B3" w:rsidRPr="000C18B3">
        <w:rPr>
          <w:sz w:val="24"/>
          <w:szCs w:val="24"/>
        </w:rPr>
        <w:t xml:space="preserve"> respectively. The nanoparticle suspensions were administered by injection. Mortality was monitored at </w:t>
      </w:r>
      <w:r w:rsidR="006C3663">
        <w:rPr>
          <w:sz w:val="24"/>
          <w:szCs w:val="24"/>
        </w:rPr>
        <w:t>24h. 48h.</w:t>
      </w:r>
      <w:r w:rsidR="000C18B3" w:rsidRPr="000C18B3">
        <w:rPr>
          <w:sz w:val="24"/>
          <w:szCs w:val="24"/>
        </w:rPr>
        <w:t xml:space="preserve"> and </w:t>
      </w:r>
      <w:r w:rsidR="006C3663">
        <w:rPr>
          <w:sz w:val="24"/>
          <w:szCs w:val="24"/>
        </w:rPr>
        <w:t>72h.</w:t>
      </w:r>
      <w:r w:rsidR="000C18B3" w:rsidRPr="000C18B3">
        <w:rPr>
          <w:sz w:val="24"/>
          <w:szCs w:val="24"/>
        </w:rPr>
        <w:t xml:space="preserve"> hours after exposure. Snails were considered dead when they failed to exhibit any response to </w:t>
      </w:r>
      <w:r w:rsidR="000C18B3" w:rsidRPr="000C18B3">
        <w:rPr>
          <w:sz w:val="24"/>
          <w:szCs w:val="24"/>
        </w:rPr>
        <w:lastRenderedPageBreak/>
        <w:t>gentle tactile stimulation with a fine stainless-steel needle, in accordance with WHO guidelines (1965).</w:t>
      </w:r>
    </w:p>
    <w:p w14:paraId="5A5955D5" w14:textId="7F95E8C7" w:rsidR="000C18B3" w:rsidRPr="000C18B3" w:rsidRDefault="000C18B3" w:rsidP="00253149">
      <w:pPr>
        <w:ind w:left="0"/>
        <w:rPr>
          <w:sz w:val="24"/>
          <w:szCs w:val="24"/>
        </w:rPr>
      </w:pPr>
      <w:r w:rsidRPr="000C18B3">
        <w:rPr>
          <w:sz w:val="24"/>
          <w:szCs w:val="24"/>
        </w:rPr>
        <w:t xml:space="preserve">For histological examination, brain tissues were carefully dissected and immediately fixed in 10% neutral buffered formalin to preserve cellular architecture. The fixative was prepared by mixing 10 ml of formalin (40% formaldehyde) with 90 ml of distilled water, and tissues were kept in the solution for 24–48 hours. After fixation, the specimens were rinsed under running tap water to remove excess fixative. The tissues were then subjected to dehydration through ascending grades of ethanol (30%, 50%, 70%, 90%, and two changes of absolute alcohol), with each step lasting approximately one hour to ensure complete removal of water. Clearing was performed by transferring the tissues into a 1:1 mixture of absolute alcohol and xylene for 30 minutes, followed by immersion in pure xylene for two hours, rendering the tissues transparent and preparing them for wax impregnation. Infiltration was carried out using a 1:1 mixture of xylene and paraffin wax at 58 °C for 30 minutes, after which the tissues were kept overnight in molten paraffin wax. For embedding, L-shaped metal moulds were used; a base layer of melted wax was allowed to solidify slightly, the tissue was positioned at the </w:t>
      </w:r>
      <w:r w:rsidR="006C3663" w:rsidRPr="000C18B3">
        <w:rPr>
          <w:sz w:val="24"/>
          <w:szCs w:val="24"/>
        </w:rPr>
        <w:t>centre</w:t>
      </w:r>
      <w:r w:rsidRPr="000C18B3">
        <w:rPr>
          <w:sz w:val="24"/>
          <w:szCs w:val="24"/>
        </w:rPr>
        <w:t xml:space="preserve"> with heated forceps, and additional molten wax was poured to form a block. The paraffin blocks were trimmed and mounted on a Leica semi-automatic microtome, and sections of approximately 4–7 µm thickness were cut. Glass slides were coated with egg albumin to improve adhesion, and the sections were placed on the slides, gently warmed, and dried overnight. Finally, the prepared sections were stained with </w:t>
      </w:r>
      <w:proofErr w:type="spellStart"/>
      <w:r w:rsidRPr="000C18B3">
        <w:rPr>
          <w:sz w:val="24"/>
          <w:szCs w:val="24"/>
        </w:rPr>
        <w:t>hematoxylin</w:t>
      </w:r>
      <w:proofErr w:type="spellEnd"/>
      <w:r w:rsidRPr="000C18B3">
        <w:rPr>
          <w:sz w:val="24"/>
          <w:szCs w:val="24"/>
        </w:rPr>
        <w:t xml:space="preserve"> and eosin (H&amp;E) and examined under a light microscope for detailed histological analysis.</w:t>
      </w:r>
    </w:p>
    <w:p w14:paraId="0F736357" w14:textId="77777777" w:rsidR="000B0462" w:rsidRDefault="000B0462" w:rsidP="000B0462">
      <w:pPr>
        <w:ind w:left="0" w:firstLine="720"/>
        <w:rPr>
          <w:b/>
          <w:bCs/>
          <w:sz w:val="24"/>
          <w:szCs w:val="24"/>
        </w:rPr>
      </w:pPr>
    </w:p>
    <w:p w14:paraId="72F0E944" w14:textId="77777777" w:rsidR="000B0462" w:rsidRDefault="000B0462" w:rsidP="000B0462">
      <w:pPr>
        <w:ind w:left="0" w:firstLine="720"/>
        <w:rPr>
          <w:b/>
          <w:bCs/>
          <w:sz w:val="24"/>
          <w:szCs w:val="24"/>
        </w:rPr>
      </w:pPr>
    </w:p>
    <w:p w14:paraId="61B4ACF5" w14:textId="58B6ABFD" w:rsidR="004E5CEA" w:rsidRPr="00864BDE" w:rsidRDefault="000B0462" w:rsidP="000B0462">
      <w:pPr>
        <w:ind w:left="0" w:firstLine="720"/>
        <w:rPr>
          <w:b/>
          <w:bCs/>
          <w:sz w:val="24"/>
          <w:szCs w:val="24"/>
        </w:rPr>
      </w:pPr>
      <w:r>
        <w:rPr>
          <w:b/>
          <w:bCs/>
          <w:sz w:val="24"/>
          <w:szCs w:val="24"/>
        </w:rPr>
        <w:t xml:space="preserve">2.5 </w:t>
      </w:r>
      <w:r w:rsidR="004E5CEA" w:rsidRPr="00864BDE">
        <w:rPr>
          <w:b/>
          <w:bCs/>
          <w:sz w:val="24"/>
          <w:szCs w:val="24"/>
        </w:rPr>
        <w:t>Histological Staining Procedure (Haematoxylin and Eosin Stain)</w:t>
      </w:r>
    </w:p>
    <w:p w14:paraId="053D2CE2" w14:textId="77777777" w:rsidR="000B4D82" w:rsidRDefault="004E5CEA" w:rsidP="00253149">
      <w:pPr>
        <w:ind w:left="0"/>
        <w:rPr>
          <w:sz w:val="24"/>
          <w:szCs w:val="24"/>
        </w:rPr>
      </w:pPr>
      <w:r w:rsidRPr="003435D0">
        <w:rPr>
          <w:sz w:val="24"/>
          <w:szCs w:val="24"/>
        </w:rPr>
        <w:t xml:space="preserve">Paraffin-embedded tissue sections mounted on glass slides were processed for Haematoxylin and Eosin (H&amp;E) staining following a standard histological procedure. Slides were first gently warmed and immersed in xylene for 2–3 minutes, then placed in fresh xylene until the tissues became fully transparent. The sections were subsequently rehydrated through a descending ethanol series, beginning with two changes of absolute alcohol (1 minute each), followed by brief dips in 95%, 70%, 50%, and 30% ethanol. After thorough washing in distilled water, the slides were stained in haematoxylin for 2–20 minutes depending on the type used (Harris’ haematoxylin: 3–5 minutes; Ehrlich’s haematoxylin: 15–20 minutes). The slides were rinsed </w:t>
      </w:r>
      <w:r w:rsidRPr="003435D0">
        <w:rPr>
          <w:sz w:val="24"/>
          <w:szCs w:val="24"/>
        </w:rPr>
        <w:lastRenderedPageBreak/>
        <w:t>in distilled water and examined under low magnification to assess staining intensity, with additional staining or washing performed as needed. Differentiation was carried out using acidified alcohol, and the slides were then “blued” in either alkaline tap water or 1% lithium carbonate solution. Following another rinse in distilled water, the sections were dehydrated through an ascending ethanol series (30%, 50%, 70%, and 95%), and counterstained with 0.5–1.0% eosin in 90% ethanol for 30 seconds to 1 minute. Final dehydration was completed with 95% ethanol, followed by two changes of absolute alcohol (3 minutes each). The sections were cleared in two successive xylene baths until fully transparent and finally mounted using DPX</w:t>
      </w:r>
      <w:r>
        <w:rPr>
          <w:sz w:val="24"/>
          <w:szCs w:val="24"/>
        </w:rPr>
        <w:t>.</w:t>
      </w:r>
      <w:r w:rsidRPr="003435D0">
        <w:rPr>
          <w:sz w:val="24"/>
          <w:szCs w:val="24"/>
        </w:rPr>
        <w:t xml:space="preserve"> </w:t>
      </w:r>
      <w:r w:rsidRPr="00864BDE">
        <w:rPr>
          <w:sz w:val="24"/>
          <w:szCs w:val="24"/>
        </w:rPr>
        <w:t>Prepared slides examined under a light microscope. Histological lesions and severity assessed and documented.</w:t>
      </w:r>
    </w:p>
    <w:p w14:paraId="6F0012C7" w14:textId="77777777" w:rsidR="000C18B3" w:rsidRDefault="000C18B3" w:rsidP="000B4D82">
      <w:pPr>
        <w:ind w:left="720"/>
        <w:rPr>
          <w:sz w:val="24"/>
          <w:szCs w:val="24"/>
        </w:rPr>
      </w:pPr>
    </w:p>
    <w:p w14:paraId="194F7814" w14:textId="77777777" w:rsidR="000B0462" w:rsidRDefault="000B0462" w:rsidP="000B4D82">
      <w:pPr>
        <w:ind w:left="720"/>
        <w:rPr>
          <w:sz w:val="24"/>
          <w:szCs w:val="24"/>
        </w:rPr>
      </w:pPr>
    </w:p>
    <w:p w14:paraId="5A3D0A8D" w14:textId="77777777" w:rsidR="000B0462" w:rsidRDefault="000B0462" w:rsidP="000B4D82">
      <w:pPr>
        <w:ind w:left="720"/>
        <w:rPr>
          <w:sz w:val="24"/>
          <w:szCs w:val="24"/>
        </w:rPr>
      </w:pPr>
    </w:p>
    <w:p w14:paraId="6595D6D7" w14:textId="77777777" w:rsidR="000B0462" w:rsidRDefault="000B0462" w:rsidP="000B4D82">
      <w:pPr>
        <w:ind w:left="720"/>
        <w:rPr>
          <w:sz w:val="24"/>
          <w:szCs w:val="24"/>
        </w:rPr>
      </w:pPr>
    </w:p>
    <w:p w14:paraId="3903AE34" w14:textId="77777777" w:rsidR="000B0462" w:rsidRDefault="000B0462" w:rsidP="000B4D82">
      <w:pPr>
        <w:ind w:left="720"/>
        <w:rPr>
          <w:sz w:val="24"/>
          <w:szCs w:val="24"/>
        </w:rPr>
      </w:pPr>
    </w:p>
    <w:p w14:paraId="4FC744B1" w14:textId="77777777" w:rsidR="000B0462" w:rsidRDefault="000B0462" w:rsidP="000B4D82">
      <w:pPr>
        <w:ind w:left="720"/>
        <w:rPr>
          <w:sz w:val="24"/>
          <w:szCs w:val="24"/>
        </w:rPr>
      </w:pPr>
    </w:p>
    <w:p w14:paraId="4CBE80F5" w14:textId="77777777" w:rsidR="000B0462" w:rsidRDefault="000B0462" w:rsidP="000B4D82">
      <w:pPr>
        <w:ind w:left="720"/>
        <w:rPr>
          <w:sz w:val="24"/>
          <w:szCs w:val="24"/>
        </w:rPr>
      </w:pPr>
    </w:p>
    <w:p w14:paraId="3E75B692" w14:textId="77777777" w:rsidR="000B0462" w:rsidRDefault="000B0462" w:rsidP="000B4D82">
      <w:pPr>
        <w:ind w:left="720"/>
        <w:rPr>
          <w:sz w:val="24"/>
          <w:szCs w:val="24"/>
        </w:rPr>
      </w:pPr>
    </w:p>
    <w:p w14:paraId="5A6B7ED3" w14:textId="77777777" w:rsidR="000B0462" w:rsidRDefault="000B0462" w:rsidP="000B4D82">
      <w:pPr>
        <w:ind w:left="720"/>
        <w:rPr>
          <w:sz w:val="24"/>
          <w:szCs w:val="24"/>
        </w:rPr>
      </w:pPr>
    </w:p>
    <w:p w14:paraId="6F97840C" w14:textId="77777777" w:rsidR="000B0462" w:rsidRDefault="000B0462" w:rsidP="000B4D82">
      <w:pPr>
        <w:ind w:left="720"/>
        <w:rPr>
          <w:sz w:val="24"/>
          <w:szCs w:val="24"/>
        </w:rPr>
      </w:pPr>
    </w:p>
    <w:p w14:paraId="7F7C75D1" w14:textId="290AB7A0" w:rsidR="000B4D82" w:rsidRPr="000B0462" w:rsidRDefault="000B0462" w:rsidP="000B0462">
      <w:pPr>
        <w:pStyle w:val="ListParagraph"/>
        <w:numPr>
          <w:ilvl w:val="0"/>
          <w:numId w:val="7"/>
        </w:numPr>
        <w:jc w:val="left"/>
        <w:rPr>
          <w:sz w:val="24"/>
          <w:szCs w:val="24"/>
        </w:rPr>
      </w:pPr>
      <w:r>
        <w:rPr>
          <w:b/>
          <w:bCs/>
          <w:noProof/>
          <w:sz w:val="28"/>
          <w:szCs w:val="28"/>
        </w:rPr>
        <w:t xml:space="preserve"> </w:t>
      </w:r>
      <w:r w:rsidR="000B4D82" w:rsidRPr="000B0462">
        <w:rPr>
          <w:b/>
          <w:bCs/>
          <w:noProof/>
          <w:sz w:val="28"/>
          <w:szCs w:val="28"/>
        </w:rPr>
        <w:t>Result</w:t>
      </w:r>
      <w:r w:rsidR="00E916C7" w:rsidRPr="000B0462">
        <w:rPr>
          <w:b/>
          <w:bCs/>
          <w:noProof/>
          <w:sz w:val="28"/>
          <w:szCs w:val="28"/>
        </w:rPr>
        <w:t xml:space="preserve"> and Discussion-</w:t>
      </w:r>
    </w:p>
    <w:p w14:paraId="64C0DAD8" w14:textId="7F99C7F9" w:rsidR="000B4D82" w:rsidRDefault="000B4D82" w:rsidP="000B4D82">
      <w:pPr>
        <w:ind w:left="0"/>
        <w:jc w:val="left"/>
        <w:rPr>
          <w:b/>
          <w:bCs/>
          <w:sz w:val="28"/>
          <w:szCs w:val="28"/>
        </w:rPr>
      </w:pPr>
      <w:r>
        <w:rPr>
          <w:noProof/>
        </w:rPr>
        <w:lastRenderedPageBreak/>
        <mc:AlternateContent>
          <mc:Choice Requires="wps">
            <w:drawing>
              <wp:anchor distT="0" distB="0" distL="114300" distR="114300" simplePos="0" relativeHeight="251674624" behindDoc="0" locked="0" layoutInCell="1" allowOverlap="1" wp14:anchorId="34A23B0D" wp14:editId="4EC040A8">
                <wp:simplePos x="0" y="0"/>
                <wp:positionH relativeFrom="column">
                  <wp:posOffset>3629087</wp:posOffset>
                </wp:positionH>
                <wp:positionV relativeFrom="paragraph">
                  <wp:posOffset>941172</wp:posOffset>
                </wp:positionV>
                <wp:extent cx="45719" cy="669208"/>
                <wp:effectExtent l="76200" t="38100" r="50165" b="17145"/>
                <wp:wrapNone/>
                <wp:docPr id="1758638865" name="Straight Arrow Connector 132"/>
                <wp:cNvGraphicFramePr/>
                <a:graphic xmlns:a="http://schemas.openxmlformats.org/drawingml/2006/main">
                  <a:graphicData uri="http://schemas.microsoft.com/office/word/2010/wordprocessingShape">
                    <wps:wsp>
                      <wps:cNvCnPr/>
                      <wps:spPr>
                        <a:xfrm flipH="1" flipV="1">
                          <a:off x="0" y="0"/>
                          <a:ext cx="45719" cy="66920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7E1DF6F6" id="_x0000_t32" coordsize="21600,21600" o:spt="32" o:oned="t" path="m,l21600,21600e" filled="f">
                <v:path arrowok="t" fillok="f" o:connecttype="none"/>
                <o:lock v:ext="edit" shapetype="t"/>
              </v:shapetype>
              <v:shape id="Straight Arrow Connector 132" o:spid="_x0000_s1026" type="#_x0000_t32" style="position:absolute;margin-left:285.75pt;margin-top:74.1pt;width:3.6pt;height:52.7pt;flip:x 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" strokecolor="black [3200]" strokeweight=".5pt">
                <v:stroke endarrow="block" joinstyle="miter"/>
              </v:shape>
            </w:pict>
          </mc:Fallback>
        </mc:AlternateContent>
      </w:r>
      <w:r>
        <w:rPr>
          <w:noProof/>
        </w:rPr>
        <mc:AlternateContent>
          <mc:Choice Requires="wps">
            <w:drawing>
              <wp:anchor distT="0" distB="0" distL="114300" distR="114300" simplePos="0" relativeHeight="251673600" behindDoc="0" locked="0" layoutInCell="1" allowOverlap="1" wp14:anchorId="407D4C31" wp14:editId="21E0C181">
                <wp:simplePos x="0" y="0"/>
                <wp:positionH relativeFrom="column">
                  <wp:posOffset>4152899</wp:posOffset>
                </wp:positionH>
                <wp:positionV relativeFrom="paragraph">
                  <wp:posOffset>380489</wp:posOffset>
                </wp:positionV>
                <wp:extent cx="386899" cy="45719"/>
                <wp:effectExtent l="38100" t="38100" r="13335" b="88265"/>
                <wp:wrapNone/>
                <wp:docPr id="865013575" name="Straight Arrow Connector 132"/>
                <wp:cNvGraphicFramePr/>
                <a:graphic xmlns:a="http://schemas.openxmlformats.org/drawingml/2006/main">
                  <a:graphicData uri="http://schemas.microsoft.com/office/word/2010/wordprocessingShape">
                    <wps:wsp>
                      <wps:cNvCnPr/>
                      <wps:spPr>
                        <a:xfrm flipH="1">
                          <a:off x="0" y="0"/>
                          <a:ext cx="386899" cy="4571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A380381" id="Straight Arrow Connector 132" o:spid="_x0000_s1026" type="#_x0000_t32" style="position:absolute;margin-left:327pt;margin-top:29.95pt;width:30.45pt;height:3.6pt;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" strokecolor="black [3200]" strokeweight=".5pt">
                <v:stroke endarrow="block" joinstyle="miter"/>
              </v:shape>
            </w:pict>
          </mc:Fallback>
        </mc:AlternateContent>
      </w:r>
      <w:r>
        <w:rPr>
          <w:noProof/>
        </w:rPr>
        <mc:AlternateContent>
          <mc:Choice Requires="wps">
            <w:drawing>
              <wp:anchor distT="0" distB="0" distL="114300" distR="114300" simplePos="0" relativeHeight="251665408" behindDoc="0" locked="0" layoutInCell="1" allowOverlap="1" wp14:anchorId="466C3333" wp14:editId="3FF5145A">
                <wp:simplePos x="0" y="0"/>
                <wp:positionH relativeFrom="column">
                  <wp:posOffset>3473143</wp:posOffset>
                </wp:positionH>
                <wp:positionV relativeFrom="paragraph">
                  <wp:posOffset>1648890</wp:posOffset>
                </wp:positionV>
                <wp:extent cx="601980" cy="251460"/>
                <wp:effectExtent l="0" t="0" r="26670" b="15240"/>
                <wp:wrapNone/>
                <wp:docPr id="1857501196" name="Text Box 14"/>
                <wp:cNvGraphicFramePr/>
                <a:graphic xmlns:a="http://schemas.openxmlformats.org/drawingml/2006/main">
                  <a:graphicData uri="http://schemas.microsoft.com/office/word/2010/wordprocessingShape">
                    <wps:wsp>
                      <wps:cNvSpPr txBox="1"/>
                      <wps:spPr>
                        <a:xfrm>
                          <a:off x="0" y="0"/>
                          <a:ext cx="601980" cy="251460"/>
                        </a:xfrm>
                        <a:prstGeom prst="rect">
                          <a:avLst/>
                        </a:prstGeom>
                        <a:noFill/>
                        <a:ln w="6350">
                          <a:solidFill>
                            <a:prstClr val="black"/>
                          </a:solidFill>
                        </a:ln>
                      </wps:spPr>
                      <wps:txbx>
                        <w:txbxContent>
                          <w:p w14:paraId="7E4F7185" w14:textId="77777777" w:rsidR="000B4D82" w:rsidRPr="001C5449" w:rsidRDefault="000B4D82" w:rsidP="000B4D82">
                            <w:pPr>
                              <w:ind w:left="0"/>
                              <w:rPr>
                                <w:b/>
                                <w:bCs/>
                                <w:color w:val="000000" w:themeColor="text1"/>
                                <w:lang w:val="en-US"/>
                              </w:rPr>
                            </w:pPr>
                            <w:r>
                              <w:rPr>
                                <w:b/>
                                <w:bCs/>
                                <w:color w:val="000000" w:themeColor="text1"/>
                                <w:lang w:val="en-US"/>
                              </w:rPr>
                              <w:t>CTC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466C3333" id="_x0000_t202" coordsize="21600,21600" o:spt="202" path="m,l,21600r21600,l21600,xe">
                <v:stroke joinstyle="miter"/>
                <v:path gradientshapeok="t" o:connecttype="rect"/>
              </v:shapetype>
              <v:shape id="Text Box 14" o:spid="_x0000_s1026" type="#_x0000_t202" style="position:absolute;margin-left:273.5pt;margin-top:129.85pt;width:47.4pt;height:19.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" filled="f" strokeweight=".5pt">
                <v:textbox>
                  <w:txbxContent>
                    <w:p w14:paraId="7E4F7185" w14:textId="77777777" w:rsidR="000B4D82" w:rsidRPr="001C5449" w:rsidRDefault="000B4D82" w:rsidP="000B4D82">
                      <w:pPr>
                        <w:ind w:left="0"/>
                        <w:rPr>
                          <w:b/>
                          <w:bCs/>
                          <w:color w:val="000000" w:themeColor="text1"/>
                          <w:lang w:val="en-US"/>
                        </w:rPr>
                      </w:pPr>
                      <w:r>
                        <w:rPr>
                          <w:b/>
                          <w:bCs/>
                          <w:color w:val="000000" w:themeColor="text1"/>
                          <w:lang w:val="en-US"/>
                        </w:rPr>
                        <w:t>CTC</w:t>
                      </w:r>
                    </w:p>
                  </w:txbxContent>
                </v:textbox>
              </v:shape>
            </w:pict>
          </mc:Fallback>
        </mc:AlternateContent>
      </w:r>
      <w:r>
        <w:rPr>
          <w:noProof/>
        </w:rPr>
        <mc:AlternateContent>
          <mc:Choice Requires="wps">
            <w:drawing>
              <wp:anchor distT="0" distB="0" distL="114300" distR="114300" simplePos="0" relativeHeight="251664384" behindDoc="0" locked="0" layoutInCell="1" allowOverlap="1" wp14:anchorId="381A9EF5" wp14:editId="7050E3CF">
                <wp:simplePos x="0" y="0"/>
                <wp:positionH relativeFrom="column">
                  <wp:posOffset>4638265</wp:posOffset>
                </wp:positionH>
                <wp:positionV relativeFrom="paragraph">
                  <wp:posOffset>271883</wp:posOffset>
                </wp:positionV>
                <wp:extent cx="601980" cy="251460"/>
                <wp:effectExtent l="0" t="0" r="26670" b="15240"/>
                <wp:wrapNone/>
                <wp:docPr id="406588726" name="Text Box 14"/>
                <wp:cNvGraphicFramePr/>
                <a:graphic xmlns:a="http://schemas.openxmlformats.org/drawingml/2006/main">
                  <a:graphicData uri="http://schemas.microsoft.com/office/word/2010/wordprocessingShape">
                    <wps:wsp>
                      <wps:cNvSpPr txBox="1"/>
                      <wps:spPr>
                        <a:xfrm>
                          <a:off x="0" y="0"/>
                          <a:ext cx="601980" cy="251460"/>
                        </a:xfrm>
                        <a:prstGeom prst="rect">
                          <a:avLst/>
                        </a:prstGeom>
                        <a:noFill/>
                        <a:ln w="6350">
                          <a:solidFill>
                            <a:prstClr val="black"/>
                          </a:solidFill>
                        </a:ln>
                      </wps:spPr>
                      <wps:txbx>
                        <w:txbxContent>
                          <w:p w14:paraId="48C2EA5C" w14:textId="77777777" w:rsidR="000B4D82" w:rsidRPr="001C5449" w:rsidRDefault="000B4D82" w:rsidP="000B4D82">
                            <w:pPr>
                              <w:ind w:left="0"/>
                              <w:rPr>
                                <w:b/>
                                <w:bCs/>
                                <w:color w:val="000000" w:themeColor="text1"/>
                                <w:lang w:val="en-US"/>
                              </w:rPr>
                            </w:pPr>
                            <w:r>
                              <w:rPr>
                                <w:b/>
                                <w:bCs/>
                                <w:color w:val="000000" w:themeColor="text1"/>
                                <w:lang w:val="en-US"/>
                              </w:rPr>
                              <w:t>GNC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81A9EF5" id="_x0000_s1027" type="#_x0000_t202" style="position:absolute;margin-left:365.2pt;margin-top:21.4pt;width:47.4pt;height:19.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" filled="f" strokeweight=".5pt">
                <v:textbox>
                  <w:txbxContent>
                    <w:p w14:paraId="48C2EA5C" w14:textId="77777777" w:rsidR="000B4D82" w:rsidRPr="001C5449" w:rsidRDefault="000B4D82" w:rsidP="000B4D82">
                      <w:pPr>
                        <w:ind w:left="0"/>
                        <w:rPr>
                          <w:b/>
                          <w:bCs/>
                          <w:color w:val="000000" w:themeColor="text1"/>
                          <w:lang w:val="en-US"/>
                        </w:rPr>
                      </w:pPr>
                      <w:r>
                        <w:rPr>
                          <w:b/>
                          <w:bCs/>
                          <w:color w:val="000000" w:themeColor="text1"/>
                          <w:lang w:val="en-US"/>
                        </w:rPr>
                        <w:t>GNC</w:t>
                      </w:r>
                    </w:p>
                  </w:txbxContent>
                </v:textbox>
              </v:shape>
            </w:pict>
          </mc:Fallback>
        </mc:AlternateContent>
      </w:r>
      <w:r w:rsidRPr="00787E4F">
        <w:rPr>
          <w:b/>
          <w:bCs/>
          <w:noProof/>
          <w:sz w:val="24"/>
          <w:szCs w:val="24"/>
        </w:rPr>
        <mc:AlternateContent>
          <mc:Choice Requires="wps">
            <w:drawing>
              <wp:anchor distT="0" distB="0" distL="114300" distR="114300" simplePos="0" relativeHeight="251660288" behindDoc="0" locked="0" layoutInCell="1" allowOverlap="1" wp14:anchorId="6A406EFD" wp14:editId="44EEC43D">
                <wp:simplePos x="0" y="0"/>
                <wp:positionH relativeFrom="column">
                  <wp:posOffset>2949636</wp:posOffset>
                </wp:positionH>
                <wp:positionV relativeFrom="paragraph">
                  <wp:posOffset>13438</wp:posOffset>
                </wp:positionV>
                <wp:extent cx="723900" cy="266700"/>
                <wp:effectExtent l="0" t="0" r="19050" b="19050"/>
                <wp:wrapNone/>
                <wp:docPr id="542429059" name="Rectangle 8"/>
                <wp:cNvGraphicFramePr/>
                <a:graphic xmlns:a="http://schemas.openxmlformats.org/drawingml/2006/main">
                  <a:graphicData uri="http://schemas.microsoft.com/office/word/2010/wordprocessingShape">
                    <wps:wsp>
                      <wps:cNvSpPr/>
                      <wps:spPr>
                        <a:xfrm>
                          <a:off x="0" y="0"/>
                          <a:ext cx="723900" cy="2667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78A5ACC0" w14:textId="77777777" w:rsidR="000B4D82" w:rsidRPr="003E26F3" w:rsidRDefault="000B4D82" w:rsidP="000B4D82">
                            <w:pPr>
                              <w:ind w:left="0"/>
                              <w:jc w:val="center"/>
                              <w:rPr>
                                <w:b/>
                                <w:bCs/>
                                <w:color w:val="C00000"/>
                                <w:lang w:val="en-US"/>
                              </w:rPr>
                            </w:pPr>
                            <w:r>
                              <w:rPr>
                                <w:b/>
                                <w:bCs/>
                                <w:color w:val="C00000"/>
                                <w:lang w:val="en-US"/>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6A406EFD" id="Rectangle 8" o:spid="_x0000_s1028" style="position:absolute;margin-left:232.25pt;margin-top:1.05pt;width:57pt;height:21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" fillcolor="white [3201]" strokecolor="#70ad47 [3209]" strokeweight="1pt">
                <v:textbox>
                  <w:txbxContent>
                    <w:p w14:paraId="78A5ACC0" w14:textId="77777777" w:rsidR="000B4D82" w:rsidRPr="003E26F3" w:rsidRDefault="000B4D82" w:rsidP="000B4D82">
                      <w:pPr>
                        <w:ind w:left="0"/>
                        <w:jc w:val="center"/>
                        <w:rPr>
                          <w:b/>
                          <w:bCs/>
                          <w:color w:val="C00000"/>
                          <w:lang w:val="en-US"/>
                        </w:rPr>
                      </w:pPr>
                      <w:r>
                        <w:rPr>
                          <w:b/>
                          <w:bCs/>
                          <w:color w:val="C00000"/>
                          <w:lang w:val="en-US"/>
                        </w:rPr>
                        <w:t>B</w:t>
                      </w:r>
                    </w:p>
                  </w:txbxContent>
                </v:textbox>
              </v:rect>
            </w:pict>
          </mc:Fallback>
        </mc:AlternateContent>
      </w:r>
      <w:r w:rsidRPr="00787E4F">
        <w:rPr>
          <w:b/>
          <w:bCs/>
          <w:noProof/>
          <w:sz w:val="24"/>
          <w:szCs w:val="24"/>
        </w:rPr>
        <mc:AlternateContent>
          <mc:Choice Requires="wps">
            <w:drawing>
              <wp:anchor distT="0" distB="0" distL="114300" distR="114300" simplePos="0" relativeHeight="251659264" behindDoc="0" locked="0" layoutInCell="1" allowOverlap="1" wp14:anchorId="16EB3A52" wp14:editId="59290D51">
                <wp:simplePos x="0" y="0"/>
                <wp:positionH relativeFrom="column">
                  <wp:posOffset>0</wp:posOffset>
                </wp:positionH>
                <wp:positionV relativeFrom="paragraph">
                  <wp:posOffset>-2724</wp:posOffset>
                </wp:positionV>
                <wp:extent cx="723900" cy="266700"/>
                <wp:effectExtent l="0" t="0" r="19050" b="19050"/>
                <wp:wrapNone/>
                <wp:docPr id="1224471408" name="Rectangle 8"/>
                <wp:cNvGraphicFramePr/>
                <a:graphic xmlns:a="http://schemas.openxmlformats.org/drawingml/2006/main">
                  <a:graphicData uri="http://schemas.microsoft.com/office/word/2010/wordprocessingShape">
                    <wps:wsp>
                      <wps:cNvSpPr/>
                      <wps:spPr>
                        <a:xfrm>
                          <a:off x="0" y="0"/>
                          <a:ext cx="723900" cy="2667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06E14015" w14:textId="77777777" w:rsidR="000B4D82" w:rsidRPr="003E26F3" w:rsidRDefault="000B4D82" w:rsidP="000B4D82">
                            <w:pPr>
                              <w:ind w:left="0"/>
                              <w:jc w:val="center"/>
                              <w:rPr>
                                <w:b/>
                                <w:bCs/>
                                <w:color w:val="C00000"/>
                                <w:lang w:val="en-US"/>
                              </w:rPr>
                            </w:pPr>
                            <w:r>
                              <w:rPr>
                                <w:b/>
                                <w:bCs/>
                                <w:color w:val="C00000"/>
                                <w:lang w:val="en-US"/>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16EB3A52" id="_x0000_s1029" style="position:absolute;margin-left:0;margin-top:-.2pt;width:57pt;height:21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" fillcolor="white [3201]" strokecolor="#70ad47 [3209]" strokeweight="1pt">
                <v:textbox>
                  <w:txbxContent>
                    <w:p w14:paraId="06E14015" w14:textId="77777777" w:rsidR="000B4D82" w:rsidRPr="003E26F3" w:rsidRDefault="000B4D82" w:rsidP="000B4D82">
                      <w:pPr>
                        <w:ind w:left="0"/>
                        <w:jc w:val="center"/>
                        <w:rPr>
                          <w:b/>
                          <w:bCs/>
                          <w:color w:val="C00000"/>
                          <w:lang w:val="en-US"/>
                        </w:rPr>
                      </w:pPr>
                      <w:r>
                        <w:rPr>
                          <w:b/>
                          <w:bCs/>
                          <w:color w:val="C00000"/>
                          <w:lang w:val="en-US"/>
                        </w:rPr>
                        <w:t>A</w:t>
                      </w:r>
                    </w:p>
                  </w:txbxContent>
                </v:textbox>
              </v:rect>
            </w:pict>
          </mc:Fallback>
        </mc:AlternateContent>
      </w:r>
      <w:r>
        <w:rPr>
          <w:noProof/>
        </w:rPr>
        <w:drawing>
          <wp:inline distT="0" distB="0" distL="0" distR="0" wp14:anchorId="49999D3C" wp14:editId="1F0FA18B">
            <wp:extent cx="2882900" cy="2344584"/>
            <wp:effectExtent l="0" t="0" r="0" b="0"/>
            <wp:docPr id="2080281785"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82900" cy="2344584"/>
                    </a:xfrm>
                    <a:prstGeom prst="rect">
                      <a:avLst/>
                    </a:prstGeom>
                    <a:noFill/>
                    <a:ln>
                      <a:noFill/>
                    </a:ln>
                  </pic:spPr>
                </pic:pic>
              </a:graphicData>
            </a:graphic>
          </wp:inline>
        </w:drawing>
      </w:r>
      <w:r>
        <w:rPr>
          <w:noProof/>
        </w:rPr>
        <w:drawing>
          <wp:inline distT="0" distB="0" distL="0" distR="0" wp14:anchorId="0D9AE90A" wp14:editId="65E0DABE">
            <wp:extent cx="2816193" cy="2343150"/>
            <wp:effectExtent l="0" t="0" r="3810" b="0"/>
            <wp:docPr id="2057882719"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5488" r="34132" b="8494"/>
                    <a:stretch>
                      <a:fillRect/>
                    </a:stretch>
                  </pic:blipFill>
                  <pic:spPr bwMode="auto">
                    <a:xfrm>
                      <a:off x="0" y="0"/>
                      <a:ext cx="2853465" cy="2374161"/>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 xml:space="preserve">  </w:t>
      </w:r>
    </w:p>
    <w:p w14:paraId="55987D7D" w14:textId="695DC546" w:rsidR="000B4D82" w:rsidRDefault="006C3663" w:rsidP="000B4D82">
      <w:pPr>
        <w:ind w:left="0" w:hanging="90"/>
        <w:jc w:val="center"/>
        <w:rPr>
          <w:noProof/>
        </w:rPr>
      </w:pPr>
      <w:r>
        <w:rPr>
          <w:noProof/>
        </w:rPr>
        <mc:AlternateContent>
          <mc:Choice Requires="wps">
            <w:drawing>
              <wp:anchor distT="0" distB="0" distL="114300" distR="114300" simplePos="0" relativeHeight="251680768" behindDoc="0" locked="0" layoutInCell="1" allowOverlap="1" wp14:anchorId="4C33AF9A" wp14:editId="0C50441F">
                <wp:simplePos x="0" y="0"/>
                <wp:positionH relativeFrom="column">
                  <wp:posOffset>1129242</wp:posOffset>
                </wp:positionH>
                <wp:positionV relativeFrom="paragraph">
                  <wp:posOffset>2154766</wp:posOffset>
                </wp:positionV>
                <wp:extent cx="601980" cy="251460"/>
                <wp:effectExtent l="0" t="0" r="26670" b="15240"/>
                <wp:wrapNone/>
                <wp:docPr id="760635824" name="Text Box 14"/>
                <wp:cNvGraphicFramePr/>
                <a:graphic xmlns:a="http://schemas.openxmlformats.org/drawingml/2006/main">
                  <a:graphicData uri="http://schemas.microsoft.com/office/word/2010/wordprocessingShape">
                    <wps:wsp>
                      <wps:cNvSpPr txBox="1"/>
                      <wps:spPr>
                        <a:xfrm>
                          <a:off x="0" y="0"/>
                          <a:ext cx="601980" cy="251460"/>
                        </a:xfrm>
                        <a:prstGeom prst="rect">
                          <a:avLst/>
                        </a:prstGeom>
                        <a:noFill/>
                        <a:ln w="6350">
                          <a:solidFill>
                            <a:prstClr val="black"/>
                          </a:solidFill>
                        </a:ln>
                      </wps:spPr>
                      <wps:txbx>
                        <w:txbxContent>
                          <w:p w14:paraId="5F790678" w14:textId="2F90383E" w:rsidR="006C3663" w:rsidRPr="001C5449" w:rsidRDefault="006C3663" w:rsidP="006C3663">
                            <w:pPr>
                              <w:ind w:left="0"/>
                              <w:rPr>
                                <w:b/>
                                <w:bCs/>
                                <w:color w:val="000000" w:themeColor="text1"/>
                                <w:lang w:val="en-US"/>
                              </w:rPr>
                            </w:pPr>
                            <w:r>
                              <w:rPr>
                                <w:b/>
                                <w:bCs/>
                                <w:color w:val="000000" w:themeColor="text1"/>
                                <w:lang w:val="en-US"/>
                              </w:rPr>
                              <w:t>CG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C33AF9A" id="_x0000_s1030" type="#_x0000_t202" style="position:absolute;left:0;text-align:left;margin-left:88.9pt;margin-top:169.65pt;width:47.4pt;height:19.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" filled="f" strokeweight=".5pt">
                <v:textbox>
                  <w:txbxContent>
                    <w:p w14:paraId="5F790678" w14:textId="2F90383E" w:rsidR="006C3663" w:rsidRPr="001C5449" w:rsidRDefault="006C3663" w:rsidP="006C3663">
                      <w:pPr>
                        <w:ind w:left="0"/>
                        <w:rPr>
                          <w:b/>
                          <w:bCs/>
                          <w:color w:val="000000" w:themeColor="text1"/>
                          <w:lang w:val="en-US"/>
                        </w:rPr>
                      </w:pPr>
                      <w:r>
                        <w:rPr>
                          <w:b/>
                          <w:bCs/>
                          <w:color w:val="000000" w:themeColor="text1"/>
                          <w:lang w:val="en-US"/>
                        </w:rPr>
                        <w:t>C</w:t>
                      </w:r>
                      <w:r>
                        <w:rPr>
                          <w:b/>
                          <w:bCs/>
                          <w:color w:val="000000" w:themeColor="text1"/>
                          <w:lang w:val="en-US"/>
                        </w:rPr>
                        <w:t>G</w:t>
                      </w:r>
                    </w:p>
                  </w:txbxContent>
                </v:textbox>
              </v:shape>
            </w:pict>
          </mc:Fallback>
        </mc:AlternateContent>
      </w:r>
      <w:r>
        <w:rPr>
          <w:noProof/>
        </w:rPr>
        <mc:AlternateContent>
          <mc:Choice Requires="wps">
            <w:drawing>
              <wp:anchor distT="0" distB="0" distL="114300" distR="114300" simplePos="0" relativeHeight="251686912" behindDoc="0" locked="0" layoutInCell="1" allowOverlap="1" wp14:anchorId="46BD7842" wp14:editId="27F204D6">
                <wp:simplePos x="0" y="0"/>
                <wp:positionH relativeFrom="column">
                  <wp:posOffset>728979</wp:posOffset>
                </wp:positionH>
                <wp:positionV relativeFrom="paragraph">
                  <wp:posOffset>1907328</wp:posOffset>
                </wp:positionV>
                <wp:extent cx="402167" cy="158327"/>
                <wp:effectExtent l="38100" t="38100" r="17145" b="32385"/>
                <wp:wrapNone/>
                <wp:docPr id="1875264712" name="Straight Arrow Connector 132"/>
                <wp:cNvGraphicFramePr/>
                <a:graphic xmlns:a="http://schemas.openxmlformats.org/drawingml/2006/main">
                  <a:graphicData uri="http://schemas.microsoft.com/office/word/2010/wordprocessingShape">
                    <wps:wsp>
                      <wps:cNvCnPr/>
                      <wps:spPr>
                        <a:xfrm flipH="1" flipV="1">
                          <a:off x="0" y="0"/>
                          <a:ext cx="402167" cy="15832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3E1A3B2C" id="_x0000_t32" coordsize="21600,21600" o:spt="32" o:oned="t" path="m,l21600,21600e" filled="f">
                <v:path arrowok="t" fillok="f" o:connecttype="none"/>
                <o:lock v:ext="edit" shapetype="t"/>
              </v:shapetype>
              <v:shape id="Straight Arrow Connector 132" o:spid="_x0000_s1026" type="#_x0000_t32" style="position:absolute;margin-left:57.4pt;margin-top:150.2pt;width:31.65pt;height:12.45pt;flip:x y;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" strokecolor="black [3200]" strokeweight=".5pt">
                <v:stroke endarrow="block" joinstyle="miter"/>
              </v:shape>
            </w:pict>
          </mc:Fallback>
        </mc:AlternateContent>
      </w:r>
      <w:r>
        <w:rPr>
          <w:noProof/>
        </w:rPr>
        <mc:AlternateContent>
          <mc:Choice Requires="wps">
            <w:drawing>
              <wp:anchor distT="0" distB="0" distL="114300" distR="114300" simplePos="0" relativeHeight="251684864" behindDoc="0" locked="0" layoutInCell="1" allowOverlap="1" wp14:anchorId="19096CE8" wp14:editId="5B8E2E17">
                <wp:simplePos x="0" y="0"/>
                <wp:positionH relativeFrom="column">
                  <wp:posOffset>3867572</wp:posOffset>
                </wp:positionH>
                <wp:positionV relativeFrom="paragraph">
                  <wp:posOffset>995468</wp:posOffset>
                </wp:positionV>
                <wp:extent cx="418042" cy="124460"/>
                <wp:effectExtent l="38100" t="38100" r="20320" b="27940"/>
                <wp:wrapNone/>
                <wp:docPr id="428251562" name="Straight Arrow Connector 132"/>
                <wp:cNvGraphicFramePr/>
                <a:graphic xmlns:a="http://schemas.openxmlformats.org/drawingml/2006/main">
                  <a:graphicData uri="http://schemas.microsoft.com/office/word/2010/wordprocessingShape">
                    <wps:wsp>
                      <wps:cNvCnPr/>
                      <wps:spPr>
                        <a:xfrm flipH="1" flipV="1">
                          <a:off x="0" y="0"/>
                          <a:ext cx="418042" cy="12446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693DBEC" id="Straight Arrow Connector 132" o:spid="_x0000_s1026" type="#_x0000_t32" style="position:absolute;margin-left:304.55pt;margin-top:78.4pt;width:32.9pt;height:9.8pt;flip:x 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" strokecolor="black [3200]" strokeweight=".5pt">
                <v:stroke endarrow="block" joinstyle="miter"/>
              </v:shape>
            </w:pict>
          </mc:Fallback>
        </mc:AlternateContent>
      </w:r>
      <w:r>
        <w:rPr>
          <w:noProof/>
        </w:rPr>
        <mc:AlternateContent>
          <mc:Choice Requires="wps">
            <w:drawing>
              <wp:anchor distT="0" distB="0" distL="114300" distR="114300" simplePos="0" relativeHeight="251682816" behindDoc="0" locked="0" layoutInCell="1" allowOverlap="1" wp14:anchorId="7E5D2E15" wp14:editId="034499CA">
                <wp:simplePos x="0" y="0"/>
                <wp:positionH relativeFrom="column">
                  <wp:posOffset>4213013</wp:posOffset>
                </wp:positionH>
                <wp:positionV relativeFrom="paragraph">
                  <wp:posOffset>1117600</wp:posOffset>
                </wp:positionV>
                <wp:extent cx="601980" cy="251460"/>
                <wp:effectExtent l="0" t="0" r="26670" b="15240"/>
                <wp:wrapNone/>
                <wp:docPr id="149655689" name="Text Box 14"/>
                <wp:cNvGraphicFramePr/>
                <a:graphic xmlns:a="http://schemas.openxmlformats.org/drawingml/2006/main">
                  <a:graphicData uri="http://schemas.microsoft.com/office/word/2010/wordprocessingShape">
                    <wps:wsp>
                      <wps:cNvSpPr txBox="1"/>
                      <wps:spPr>
                        <a:xfrm>
                          <a:off x="0" y="0"/>
                          <a:ext cx="601980" cy="251460"/>
                        </a:xfrm>
                        <a:prstGeom prst="rect">
                          <a:avLst/>
                        </a:prstGeom>
                        <a:noFill/>
                        <a:ln w="6350">
                          <a:solidFill>
                            <a:prstClr val="black"/>
                          </a:solidFill>
                        </a:ln>
                      </wps:spPr>
                      <wps:txbx>
                        <w:txbxContent>
                          <w:p w14:paraId="014C9C8A" w14:textId="77777777" w:rsidR="006C3663" w:rsidRPr="001C5449" w:rsidRDefault="006C3663" w:rsidP="006C3663">
                            <w:pPr>
                              <w:ind w:left="0"/>
                              <w:rPr>
                                <w:b/>
                                <w:bCs/>
                                <w:color w:val="000000" w:themeColor="text1"/>
                                <w:lang w:val="en-US"/>
                              </w:rPr>
                            </w:pPr>
                            <w:r>
                              <w:rPr>
                                <w:b/>
                                <w:bCs/>
                                <w:color w:val="000000" w:themeColor="text1"/>
                                <w:lang w:val="en-US"/>
                              </w:rPr>
                              <w:t>CG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E5D2E15" id="_x0000_s1031" type="#_x0000_t202" style="position:absolute;left:0;text-align:left;margin-left:331.75pt;margin-top:88pt;width:47.4pt;height:19.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" filled="f" strokeweight=".5pt">
                <v:textbox>
                  <w:txbxContent>
                    <w:p w14:paraId="014C9C8A" w14:textId="77777777" w:rsidR="006C3663" w:rsidRPr="001C5449" w:rsidRDefault="006C3663" w:rsidP="006C3663">
                      <w:pPr>
                        <w:ind w:left="0"/>
                        <w:rPr>
                          <w:b/>
                          <w:bCs/>
                          <w:color w:val="000000" w:themeColor="text1"/>
                          <w:lang w:val="en-US"/>
                        </w:rPr>
                      </w:pPr>
                      <w:r>
                        <w:rPr>
                          <w:b/>
                          <w:bCs/>
                          <w:color w:val="000000" w:themeColor="text1"/>
                          <w:lang w:val="en-US"/>
                        </w:rPr>
                        <w:t>CG</w:t>
                      </w:r>
                    </w:p>
                  </w:txbxContent>
                </v:textbox>
              </v:shape>
            </w:pict>
          </mc:Fallback>
        </mc:AlternateContent>
      </w:r>
      <w:r w:rsidR="000B4D82">
        <w:rPr>
          <w:noProof/>
        </w:rPr>
        <mc:AlternateContent>
          <mc:Choice Requires="wps">
            <w:drawing>
              <wp:anchor distT="0" distB="0" distL="114300" distR="114300" simplePos="0" relativeHeight="251678720" behindDoc="0" locked="0" layoutInCell="1" allowOverlap="1" wp14:anchorId="245F11EF" wp14:editId="6BFFB240">
                <wp:simplePos x="0" y="0"/>
                <wp:positionH relativeFrom="column">
                  <wp:posOffset>4114799</wp:posOffset>
                </wp:positionH>
                <wp:positionV relativeFrom="paragraph">
                  <wp:posOffset>582417</wp:posOffset>
                </wp:positionV>
                <wp:extent cx="853870" cy="354125"/>
                <wp:effectExtent l="38100" t="38100" r="22860" b="27305"/>
                <wp:wrapNone/>
                <wp:docPr id="1068793484" name="Straight Arrow Connector 132"/>
                <wp:cNvGraphicFramePr/>
                <a:graphic xmlns:a="http://schemas.openxmlformats.org/drawingml/2006/main">
                  <a:graphicData uri="http://schemas.microsoft.com/office/word/2010/wordprocessingShape">
                    <wps:wsp>
                      <wps:cNvCnPr/>
                      <wps:spPr>
                        <a:xfrm flipH="1" flipV="1">
                          <a:off x="0" y="0"/>
                          <a:ext cx="853870" cy="3541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50D8D40" id="Straight Arrow Connector 132" o:spid="_x0000_s1026" type="#_x0000_t32" style="position:absolute;margin-left:324pt;margin-top:45.85pt;width:67.25pt;height:27.9pt;flip:x 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" strokecolor="black [3200]" strokeweight=".5pt">
                <v:stroke endarrow="block" joinstyle="miter"/>
              </v:shape>
            </w:pict>
          </mc:Fallback>
        </mc:AlternateContent>
      </w:r>
      <w:r w:rsidR="000B4D82">
        <w:rPr>
          <w:noProof/>
        </w:rPr>
        <mc:AlternateContent>
          <mc:Choice Requires="wps">
            <w:drawing>
              <wp:anchor distT="0" distB="0" distL="114300" distR="114300" simplePos="0" relativeHeight="251677696" behindDoc="0" locked="0" layoutInCell="1" allowOverlap="1" wp14:anchorId="1CB56652" wp14:editId="76230D5C">
                <wp:simplePos x="0" y="0"/>
                <wp:positionH relativeFrom="column">
                  <wp:posOffset>3421626</wp:posOffset>
                </wp:positionH>
                <wp:positionV relativeFrom="paragraph">
                  <wp:posOffset>1187204</wp:posOffset>
                </wp:positionV>
                <wp:extent cx="651387" cy="249514"/>
                <wp:effectExtent l="38100" t="38100" r="15875" b="36830"/>
                <wp:wrapNone/>
                <wp:docPr id="277825736" name="Straight Arrow Connector 132"/>
                <wp:cNvGraphicFramePr/>
                <a:graphic xmlns:a="http://schemas.openxmlformats.org/drawingml/2006/main">
                  <a:graphicData uri="http://schemas.microsoft.com/office/word/2010/wordprocessingShape">
                    <wps:wsp>
                      <wps:cNvCnPr/>
                      <wps:spPr>
                        <a:xfrm flipH="1" flipV="1">
                          <a:off x="0" y="0"/>
                          <a:ext cx="651387" cy="24951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AF3C3C0" id="Straight Arrow Connector 132" o:spid="_x0000_s1026" type="#_x0000_t32" style="position:absolute;margin-left:269.4pt;margin-top:93.5pt;width:51.3pt;height:19.65pt;flip:x 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" strokecolor="black [3200]" strokeweight=".5pt">
                <v:stroke endarrow="block" joinstyle="miter"/>
              </v:shape>
            </w:pict>
          </mc:Fallback>
        </mc:AlternateContent>
      </w:r>
      <w:r w:rsidR="000B4D82">
        <w:rPr>
          <w:noProof/>
        </w:rPr>
        <mc:AlternateContent>
          <mc:Choice Requires="wps">
            <w:drawing>
              <wp:anchor distT="0" distB="0" distL="114300" distR="114300" simplePos="0" relativeHeight="251675648" behindDoc="0" locked="0" layoutInCell="1" allowOverlap="1" wp14:anchorId="39C47DC1" wp14:editId="42192E5A">
                <wp:simplePos x="0" y="0"/>
                <wp:positionH relativeFrom="column">
                  <wp:posOffset>1253613</wp:posOffset>
                </wp:positionH>
                <wp:positionV relativeFrom="paragraph">
                  <wp:posOffset>413548</wp:posOffset>
                </wp:positionV>
                <wp:extent cx="526026" cy="167763"/>
                <wp:effectExtent l="38100" t="38100" r="26670" b="22860"/>
                <wp:wrapNone/>
                <wp:docPr id="250117463" name="Straight Arrow Connector 132"/>
                <wp:cNvGraphicFramePr/>
                <a:graphic xmlns:a="http://schemas.openxmlformats.org/drawingml/2006/main">
                  <a:graphicData uri="http://schemas.microsoft.com/office/word/2010/wordprocessingShape">
                    <wps:wsp>
                      <wps:cNvCnPr/>
                      <wps:spPr>
                        <a:xfrm flipH="1" flipV="1">
                          <a:off x="0" y="0"/>
                          <a:ext cx="526026" cy="16776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84046C6" id="Straight Arrow Connector 132" o:spid="_x0000_s1026" type="#_x0000_t32" style="position:absolute;margin-left:98.7pt;margin-top:32.55pt;width:41.4pt;height:13.2pt;flip:x 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" strokecolor="black [3200]" strokeweight=".5pt">
                <v:stroke endarrow="block" joinstyle="miter"/>
              </v:shape>
            </w:pict>
          </mc:Fallback>
        </mc:AlternateContent>
      </w:r>
      <w:r w:rsidR="000B4D82">
        <w:rPr>
          <w:noProof/>
        </w:rPr>
        <mc:AlternateContent>
          <mc:Choice Requires="wps">
            <w:drawing>
              <wp:anchor distT="0" distB="0" distL="114300" distR="114300" simplePos="0" relativeHeight="251676672" behindDoc="0" locked="0" layoutInCell="1" allowOverlap="1" wp14:anchorId="5B141959" wp14:editId="2D1D3F54">
                <wp:simplePos x="0" y="0"/>
                <wp:positionH relativeFrom="column">
                  <wp:posOffset>508819</wp:posOffset>
                </wp:positionH>
                <wp:positionV relativeFrom="paragraph">
                  <wp:posOffset>767510</wp:posOffset>
                </wp:positionV>
                <wp:extent cx="54078" cy="418486"/>
                <wp:effectExtent l="38100" t="38100" r="41275" b="19685"/>
                <wp:wrapNone/>
                <wp:docPr id="1470588138" name="Straight Arrow Connector 132"/>
                <wp:cNvGraphicFramePr/>
                <a:graphic xmlns:a="http://schemas.openxmlformats.org/drawingml/2006/main">
                  <a:graphicData uri="http://schemas.microsoft.com/office/word/2010/wordprocessingShape">
                    <wps:wsp>
                      <wps:cNvCnPr/>
                      <wps:spPr>
                        <a:xfrm flipH="1" flipV="1">
                          <a:off x="0" y="0"/>
                          <a:ext cx="54078" cy="41848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89934A7" id="Straight Arrow Connector 132" o:spid="_x0000_s1026" type="#_x0000_t32" style="position:absolute;margin-left:40.05pt;margin-top:60.45pt;width:4.25pt;height:32.95pt;flip:x 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" strokecolor="black [3200]" strokeweight=".5pt">
                <v:stroke endarrow="block" joinstyle="miter"/>
              </v:shape>
            </w:pict>
          </mc:Fallback>
        </mc:AlternateContent>
      </w:r>
      <w:r w:rsidR="000B4D82">
        <w:rPr>
          <w:noProof/>
        </w:rPr>
        <mc:AlternateContent>
          <mc:Choice Requires="wps">
            <w:drawing>
              <wp:anchor distT="0" distB="0" distL="114300" distR="114300" simplePos="0" relativeHeight="251672576" behindDoc="0" locked="0" layoutInCell="1" allowOverlap="1" wp14:anchorId="561344BE" wp14:editId="3C4114F3">
                <wp:simplePos x="0" y="0"/>
                <wp:positionH relativeFrom="column">
                  <wp:posOffset>3935299</wp:posOffset>
                </wp:positionH>
                <wp:positionV relativeFrom="paragraph">
                  <wp:posOffset>1524840</wp:posOffset>
                </wp:positionV>
                <wp:extent cx="601980" cy="251460"/>
                <wp:effectExtent l="0" t="0" r="26670" b="15240"/>
                <wp:wrapNone/>
                <wp:docPr id="1404328034" name="Text Box 14"/>
                <wp:cNvGraphicFramePr/>
                <a:graphic xmlns:a="http://schemas.openxmlformats.org/drawingml/2006/main">
                  <a:graphicData uri="http://schemas.microsoft.com/office/word/2010/wordprocessingShape">
                    <wps:wsp>
                      <wps:cNvSpPr txBox="1"/>
                      <wps:spPr>
                        <a:xfrm>
                          <a:off x="0" y="0"/>
                          <a:ext cx="601980" cy="251460"/>
                        </a:xfrm>
                        <a:prstGeom prst="rect">
                          <a:avLst/>
                        </a:prstGeom>
                        <a:noFill/>
                        <a:ln w="6350">
                          <a:solidFill>
                            <a:prstClr val="black"/>
                          </a:solidFill>
                        </a:ln>
                      </wps:spPr>
                      <wps:txbx>
                        <w:txbxContent>
                          <w:p w14:paraId="0A6422B3" w14:textId="77777777" w:rsidR="000B4D82" w:rsidRPr="001C5449" w:rsidRDefault="000B4D82" w:rsidP="000B4D82">
                            <w:pPr>
                              <w:ind w:left="0"/>
                              <w:rPr>
                                <w:b/>
                                <w:bCs/>
                                <w:color w:val="000000" w:themeColor="text1"/>
                                <w:lang w:val="en-US"/>
                              </w:rPr>
                            </w:pPr>
                            <w:r>
                              <w:rPr>
                                <w:b/>
                                <w:bCs/>
                                <w:color w:val="000000" w:themeColor="text1"/>
                                <w:lang w:val="en-US"/>
                              </w:rPr>
                              <w:t>CTC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61344BE" id="_x0000_s1032" type="#_x0000_t202" style="position:absolute;left:0;text-align:left;margin-left:309.85pt;margin-top:120.05pt;width:47.4pt;height:19.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" filled="f" strokeweight=".5pt">
                <v:textbox>
                  <w:txbxContent>
                    <w:p w14:paraId="0A6422B3" w14:textId="77777777" w:rsidR="000B4D82" w:rsidRPr="001C5449" w:rsidRDefault="000B4D82" w:rsidP="000B4D82">
                      <w:pPr>
                        <w:ind w:left="0"/>
                        <w:rPr>
                          <w:b/>
                          <w:bCs/>
                          <w:color w:val="000000" w:themeColor="text1"/>
                          <w:lang w:val="en-US"/>
                        </w:rPr>
                      </w:pPr>
                      <w:r>
                        <w:rPr>
                          <w:b/>
                          <w:bCs/>
                          <w:color w:val="000000" w:themeColor="text1"/>
                          <w:lang w:val="en-US"/>
                        </w:rPr>
                        <w:t>CTC</w:t>
                      </w:r>
                    </w:p>
                  </w:txbxContent>
                </v:textbox>
              </v:shape>
            </w:pict>
          </mc:Fallback>
        </mc:AlternateContent>
      </w:r>
      <w:r w:rsidR="000B4D82">
        <w:rPr>
          <w:noProof/>
        </w:rPr>
        <mc:AlternateContent>
          <mc:Choice Requires="wps">
            <w:drawing>
              <wp:anchor distT="0" distB="0" distL="114300" distR="114300" simplePos="0" relativeHeight="251671552" behindDoc="0" locked="0" layoutInCell="1" allowOverlap="1" wp14:anchorId="27CD85A5" wp14:editId="128CDCD7">
                <wp:simplePos x="0" y="0"/>
                <wp:positionH relativeFrom="column">
                  <wp:posOffset>4969736</wp:posOffset>
                </wp:positionH>
                <wp:positionV relativeFrom="paragraph">
                  <wp:posOffset>936522</wp:posOffset>
                </wp:positionV>
                <wp:extent cx="601980" cy="251460"/>
                <wp:effectExtent l="0" t="0" r="26670" b="15240"/>
                <wp:wrapNone/>
                <wp:docPr id="875641846" name="Text Box 14"/>
                <wp:cNvGraphicFramePr/>
                <a:graphic xmlns:a="http://schemas.openxmlformats.org/drawingml/2006/main">
                  <a:graphicData uri="http://schemas.microsoft.com/office/word/2010/wordprocessingShape">
                    <wps:wsp>
                      <wps:cNvSpPr txBox="1"/>
                      <wps:spPr>
                        <a:xfrm>
                          <a:off x="0" y="0"/>
                          <a:ext cx="601980" cy="251460"/>
                        </a:xfrm>
                        <a:prstGeom prst="rect">
                          <a:avLst/>
                        </a:prstGeom>
                        <a:noFill/>
                        <a:ln w="6350">
                          <a:solidFill>
                            <a:prstClr val="black"/>
                          </a:solidFill>
                        </a:ln>
                      </wps:spPr>
                      <wps:txbx>
                        <w:txbxContent>
                          <w:p w14:paraId="3E93E1ED" w14:textId="77777777" w:rsidR="000B4D82" w:rsidRPr="001C5449" w:rsidRDefault="000B4D82" w:rsidP="000B4D82">
                            <w:pPr>
                              <w:ind w:left="0"/>
                              <w:rPr>
                                <w:b/>
                                <w:bCs/>
                                <w:color w:val="000000" w:themeColor="text1"/>
                                <w:lang w:val="en-US"/>
                              </w:rPr>
                            </w:pPr>
                            <w:r>
                              <w:rPr>
                                <w:b/>
                                <w:bCs/>
                                <w:color w:val="000000" w:themeColor="text1"/>
                                <w:lang w:val="en-US"/>
                              </w:rPr>
                              <w:t>GNC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7CD85A5" id="_x0000_s1033" type="#_x0000_t202" style="position:absolute;left:0;text-align:left;margin-left:391.3pt;margin-top:73.75pt;width:47.4pt;height:19.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" filled="f" strokeweight=".5pt">
                <v:textbox>
                  <w:txbxContent>
                    <w:p w14:paraId="3E93E1ED" w14:textId="77777777" w:rsidR="000B4D82" w:rsidRPr="001C5449" w:rsidRDefault="000B4D82" w:rsidP="000B4D82">
                      <w:pPr>
                        <w:ind w:left="0"/>
                        <w:rPr>
                          <w:b/>
                          <w:bCs/>
                          <w:color w:val="000000" w:themeColor="text1"/>
                          <w:lang w:val="en-US"/>
                        </w:rPr>
                      </w:pPr>
                      <w:r>
                        <w:rPr>
                          <w:b/>
                          <w:bCs/>
                          <w:color w:val="000000" w:themeColor="text1"/>
                          <w:lang w:val="en-US"/>
                        </w:rPr>
                        <w:t>GNC</w:t>
                      </w:r>
                    </w:p>
                  </w:txbxContent>
                </v:textbox>
              </v:shape>
            </w:pict>
          </mc:Fallback>
        </mc:AlternateContent>
      </w:r>
      <w:r w:rsidR="000B4D82">
        <w:rPr>
          <w:noProof/>
        </w:rPr>
        <mc:AlternateContent>
          <mc:Choice Requires="wps">
            <w:drawing>
              <wp:anchor distT="0" distB="0" distL="114300" distR="114300" simplePos="0" relativeHeight="251666432" behindDoc="0" locked="0" layoutInCell="1" allowOverlap="1" wp14:anchorId="319B0FF7" wp14:editId="7AEC8E6E">
                <wp:simplePos x="0" y="0"/>
                <wp:positionH relativeFrom="column">
                  <wp:posOffset>302076</wp:posOffset>
                </wp:positionH>
                <wp:positionV relativeFrom="paragraph">
                  <wp:posOffset>1275736</wp:posOffset>
                </wp:positionV>
                <wp:extent cx="601980" cy="251460"/>
                <wp:effectExtent l="0" t="0" r="26670" b="15240"/>
                <wp:wrapNone/>
                <wp:docPr id="1716268882" name="Text Box 14"/>
                <wp:cNvGraphicFramePr/>
                <a:graphic xmlns:a="http://schemas.openxmlformats.org/drawingml/2006/main">
                  <a:graphicData uri="http://schemas.microsoft.com/office/word/2010/wordprocessingShape">
                    <wps:wsp>
                      <wps:cNvSpPr txBox="1"/>
                      <wps:spPr>
                        <a:xfrm>
                          <a:off x="0" y="0"/>
                          <a:ext cx="601980" cy="251460"/>
                        </a:xfrm>
                        <a:prstGeom prst="rect">
                          <a:avLst/>
                        </a:prstGeom>
                        <a:noFill/>
                        <a:ln w="6350">
                          <a:solidFill>
                            <a:prstClr val="black"/>
                          </a:solidFill>
                        </a:ln>
                      </wps:spPr>
                      <wps:txbx>
                        <w:txbxContent>
                          <w:p w14:paraId="1CF27B07" w14:textId="77777777" w:rsidR="000B4D82" w:rsidRPr="001C5449" w:rsidRDefault="000B4D82" w:rsidP="000B4D82">
                            <w:pPr>
                              <w:ind w:left="0"/>
                              <w:rPr>
                                <w:b/>
                                <w:bCs/>
                                <w:color w:val="000000" w:themeColor="text1"/>
                                <w:lang w:val="en-US"/>
                              </w:rPr>
                            </w:pPr>
                            <w:r>
                              <w:rPr>
                                <w:b/>
                                <w:bCs/>
                                <w:color w:val="000000" w:themeColor="text1"/>
                                <w:lang w:val="en-US"/>
                              </w:rPr>
                              <w:t>CTC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19B0FF7" id="_x0000_s1034" type="#_x0000_t202" style="position:absolute;left:0;text-align:left;margin-left:23.8pt;margin-top:100.45pt;width:47.4pt;height:19.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" filled="f" strokeweight=".5pt">
                <v:textbox>
                  <w:txbxContent>
                    <w:p w14:paraId="1CF27B07" w14:textId="77777777" w:rsidR="000B4D82" w:rsidRPr="001C5449" w:rsidRDefault="000B4D82" w:rsidP="000B4D82">
                      <w:pPr>
                        <w:ind w:left="0"/>
                        <w:rPr>
                          <w:b/>
                          <w:bCs/>
                          <w:color w:val="000000" w:themeColor="text1"/>
                          <w:lang w:val="en-US"/>
                        </w:rPr>
                      </w:pPr>
                      <w:r>
                        <w:rPr>
                          <w:b/>
                          <w:bCs/>
                          <w:color w:val="000000" w:themeColor="text1"/>
                          <w:lang w:val="en-US"/>
                        </w:rPr>
                        <w:t>CTC</w:t>
                      </w:r>
                    </w:p>
                  </w:txbxContent>
                </v:textbox>
              </v:shape>
            </w:pict>
          </mc:Fallback>
        </mc:AlternateContent>
      </w:r>
      <w:r w:rsidR="000B4D82">
        <w:rPr>
          <w:noProof/>
        </w:rPr>
        <mc:AlternateContent>
          <mc:Choice Requires="wps">
            <w:drawing>
              <wp:anchor distT="0" distB="0" distL="114300" distR="114300" simplePos="0" relativeHeight="251667456" behindDoc="0" locked="0" layoutInCell="1" allowOverlap="1" wp14:anchorId="7E561FEF" wp14:editId="49141E37">
                <wp:simplePos x="0" y="0"/>
                <wp:positionH relativeFrom="column">
                  <wp:posOffset>1789204</wp:posOffset>
                </wp:positionH>
                <wp:positionV relativeFrom="paragraph">
                  <wp:posOffset>411972</wp:posOffset>
                </wp:positionV>
                <wp:extent cx="601980" cy="251460"/>
                <wp:effectExtent l="0" t="0" r="26670" b="15240"/>
                <wp:wrapNone/>
                <wp:docPr id="1535686954" name="Text Box 14"/>
                <wp:cNvGraphicFramePr/>
                <a:graphic xmlns:a="http://schemas.openxmlformats.org/drawingml/2006/main">
                  <a:graphicData uri="http://schemas.microsoft.com/office/word/2010/wordprocessingShape">
                    <wps:wsp>
                      <wps:cNvSpPr txBox="1"/>
                      <wps:spPr>
                        <a:xfrm>
                          <a:off x="0" y="0"/>
                          <a:ext cx="601980" cy="251460"/>
                        </a:xfrm>
                        <a:prstGeom prst="rect">
                          <a:avLst/>
                        </a:prstGeom>
                        <a:noFill/>
                        <a:ln w="6350">
                          <a:solidFill>
                            <a:prstClr val="black"/>
                          </a:solidFill>
                        </a:ln>
                      </wps:spPr>
                      <wps:txbx>
                        <w:txbxContent>
                          <w:p w14:paraId="1D667FCE" w14:textId="77777777" w:rsidR="000B4D82" w:rsidRPr="001C5449" w:rsidRDefault="000B4D82" w:rsidP="000B4D82">
                            <w:pPr>
                              <w:ind w:left="0"/>
                              <w:rPr>
                                <w:b/>
                                <w:bCs/>
                                <w:color w:val="000000" w:themeColor="text1"/>
                                <w:lang w:val="en-US"/>
                              </w:rPr>
                            </w:pPr>
                            <w:r>
                              <w:rPr>
                                <w:b/>
                                <w:bCs/>
                                <w:color w:val="000000" w:themeColor="text1"/>
                                <w:lang w:val="en-US"/>
                              </w:rPr>
                              <w:t>GNC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E561FEF" id="_x0000_s1035" type="#_x0000_t202" style="position:absolute;left:0;text-align:left;margin-left:140.9pt;margin-top:32.45pt;width:47.4pt;height:19.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" filled="f" strokeweight=".5pt">
                <v:textbox>
                  <w:txbxContent>
                    <w:p w14:paraId="1D667FCE" w14:textId="77777777" w:rsidR="000B4D82" w:rsidRPr="001C5449" w:rsidRDefault="000B4D82" w:rsidP="000B4D82">
                      <w:pPr>
                        <w:ind w:left="0"/>
                        <w:rPr>
                          <w:b/>
                          <w:bCs/>
                          <w:color w:val="000000" w:themeColor="text1"/>
                          <w:lang w:val="en-US"/>
                        </w:rPr>
                      </w:pPr>
                      <w:r>
                        <w:rPr>
                          <w:b/>
                          <w:bCs/>
                          <w:color w:val="000000" w:themeColor="text1"/>
                          <w:lang w:val="en-US"/>
                        </w:rPr>
                        <w:t>GNC</w:t>
                      </w:r>
                    </w:p>
                  </w:txbxContent>
                </v:textbox>
              </v:shape>
            </w:pict>
          </mc:Fallback>
        </mc:AlternateContent>
      </w:r>
      <w:r w:rsidR="000B4D82" w:rsidRPr="00787E4F">
        <w:rPr>
          <w:b/>
          <w:bCs/>
          <w:noProof/>
          <w:sz w:val="24"/>
          <w:szCs w:val="24"/>
        </w:rPr>
        <mc:AlternateContent>
          <mc:Choice Requires="wps">
            <w:drawing>
              <wp:anchor distT="0" distB="0" distL="114300" distR="114300" simplePos="0" relativeHeight="251662336" behindDoc="0" locked="0" layoutInCell="1" allowOverlap="1" wp14:anchorId="77CD1D33" wp14:editId="214F9AAC">
                <wp:simplePos x="0" y="0"/>
                <wp:positionH relativeFrom="column">
                  <wp:posOffset>3045542</wp:posOffset>
                </wp:positionH>
                <wp:positionV relativeFrom="paragraph">
                  <wp:posOffset>1844</wp:posOffset>
                </wp:positionV>
                <wp:extent cx="723900" cy="266700"/>
                <wp:effectExtent l="0" t="0" r="19050" b="19050"/>
                <wp:wrapNone/>
                <wp:docPr id="1275453520" name="Rectangle 8"/>
                <wp:cNvGraphicFramePr/>
                <a:graphic xmlns:a="http://schemas.openxmlformats.org/drawingml/2006/main">
                  <a:graphicData uri="http://schemas.microsoft.com/office/word/2010/wordprocessingShape">
                    <wps:wsp>
                      <wps:cNvSpPr/>
                      <wps:spPr>
                        <a:xfrm>
                          <a:off x="0" y="0"/>
                          <a:ext cx="723900" cy="2667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7690104E" w14:textId="77777777" w:rsidR="000B4D82" w:rsidRPr="003E26F3" w:rsidRDefault="000B4D82" w:rsidP="000B4D82">
                            <w:pPr>
                              <w:ind w:left="0"/>
                              <w:jc w:val="center"/>
                              <w:rPr>
                                <w:b/>
                                <w:bCs/>
                                <w:color w:val="C00000"/>
                                <w:lang w:val="en-US"/>
                              </w:rPr>
                            </w:pPr>
                            <w:r>
                              <w:rPr>
                                <w:b/>
                                <w:bCs/>
                                <w:color w:val="C00000"/>
                                <w:lang w:val="en-US"/>
                              </w:rPr>
                              <w:t>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77CD1D33" id="_x0000_s1036" style="position:absolute;left:0;text-align:left;margin-left:239.8pt;margin-top:.15pt;width:57pt;height:21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" fillcolor="white [3201]" strokecolor="#70ad47 [3209]" strokeweight="1pt">
                <v:textbox>
                  <w:txbxContent>
                    <w:p w14:paraId="7690104E" w14:textId="77777777" w:rsidR="000B4D82" w:rsidRPr="003E26F3" w:rsidRDefault="000B4D82" w:rsidP="000B4D82">
                      <w:pPr>
                        <w:ind w:left="0"/>
                        <w:jc w:val="center"/>
                        <w:rPr>
                          <w:b/>
                          <w:bCs/>
                          <w:color w:val="C00000"/>
                          <w:lang w:val="en-US"/>
                        </w:rPr>
                      </w:pPr>
                      <w:r>
                        <w:rPr>
                          <w:b/>
                          <w:bCs/>
                          <w:color w:val="C00000"/>
                          <w:lang w:val="en-US"/>
                        </w:rPr>
                        <w:t>D</w:t>
                      </w:r>
                    </w:p>
                  </w:txbxContent>
                </v:textbox>
              </v:rect>
            </w:pict>
          </mc:Fallback>
        </mc:AlternateContent>
      </w:r>
      <w:r w:rsidR="000B4D82" w:rsidRPr="00787E4F">
        <w:rPr>
          <w:b/>
          <w:bCs/>
          <w:noProof/>
          <w:sz w:val="24"/>
          <w:szCs w:val="24"/>
        </w:rPr>
        <mc:AlternateContent>
          <mc:Choice Requires="wps">
            <w:drawing>
              <wp:anchor distT="0" distB="0" distL="114300" distR="114300" simplePos="0" relativeHeight="251661312" behindDoc="0" locked="0" layoutInCell="1" allowOverlap="1" wp14:anchorId="245E0622" wp14:editId="461E04D7">
                <wp:simplePos x="0" y="0"/>
                <wp:positionH relativeFrom="column">
                  <wp:posOffset>132735</wp:posOffset>
                </wp:positionH>
                <wp:positionV relativeFrom="paragraph">
                  <wp:posOffset>1844</wp:posOffset>
                </wp:positionV>
                <wp:extent cx="723900" cy="266700"/>
                <wp:effectExtent l="0" t="0" r="19050" b="19050"/>
                <wp:wrapNone/>
                <wp:docPr id="1799646815" name="Rectangle 8"/>
                <wp:cNvGraphicFramePr/>
                <a:graphic xmlns:a="http://schemas.openxmlformats.org/drawingml/2006/main">
                  <a:graphicData uri="http://schemas.microsoft.com/office/word/2010/wordprocessingShape">
                    <wps:wsp>
                      <wps:cNvSpPr/>
                      <wps:spPr>
                        <a:xfrm>
                          <a:off x="0" y="0"/>
                          <a:ext cx="723900" cy="2667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0FCE7C1F" w14:textId="77777777" w:rsidR="000B4D82" w:rsidRPr="003E26F3" w:rsidRDefault="000B4D82" w:rsidP="000B4D82">
                            <w:pPr>
                              <w:ind w:left="0"/>
                              <w:jc w:val="center"/>
                              <w:rPr>
                                <w:b/>
                                <w:bCs/>
                                <w:color w:val="C00000"/>
                                <w:lang w:val="en-US"/>
                              </w:rPr>
                            </w:pPr>
                            <w:r>
                              <w:rPr>
                                <w:b/>
                                <w:bCs/>
                                <w:color w:val="C00000"/>
                                <w:lang w:val="en-US"/>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245E0622" id="_x0000_s1037" style="position:absolute;left:0;text-align:left;margin-left:10.45pt;margin-top:.15pt;width:57pt;height:21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" fillcolor="white [3201]" strokecolor="#70ad47 [3209]" strokeweight="1pt">
                <v:textbox>
                  <w:txbxContent>
                    <w:p w14:paraId="0FCE7C1F" w14:textId="77777777" w:rsidR="000B4D82" w:rsidRPr="003E26F3" w:rsidRDefault="000B4D82" w:rsidP="000B4D82">
                      <w:pPr>
                        <w:ind w:left="0"/>
                        <w:jc w:val="center"/>
                        <w:rPr>
                          <w:b/>
                          <w:bCs/>
                          <w:color w:val="C00000"/>
                          <w:lang w:val="en-US"/>
                        </w:rPr>
                      </w:pPr>
                      <w:r>
                        <w:rPr>
                          <w:b/>
                          <w:bCs/>
                          <w:color w:val="C00000"/>
                          <w:lang w:val="en-US"/>
                        </w:rPr>
                        <w:t>C</w:t>
                      </w:r>
                    </w:p>
                  </w:txbxContent>
                </v:textbox>
              </v:rect>
            </w:pict>
          </mc:Fallback>
        </mc:AlternateContent>
      </w:r>
      <w:r w:rsidR="002D5C15">
        <w:rPr>
          <w:noProof/>
        </w:rPr>
        <w:t xml:space="preserve">  </w:t>
      </w:r>
      <w:r w:rsidR="000B4D82">
        <w:rPr>
          <w:noProof/>
        </w:rPr>
        <w:drawing>
          <wp:inline distT="0" distB="0" distL="0" distR="0" wp14:anchorId="08AC98AE" wp14:editId="637CFE8C">
            <wp:extent cx="2829560" cy="2406015"/>
            <wp:effectExtent l="0" t="0" r="8890" b="0"/>
            <wp:docPr id="599229105"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a:extLst>
                        <a:ext uri="{28A0092B-C50C-407E-A947-70E740481C1C}">
                          <a14:useLocalDpi xmlns:a14="http://schemas.microsoft.com/office/drawing/2010/main" val="0"/>
                        </a:ext>
                      </a:extLst>
                    </a:blip>
                    <a:srcRect l="26672" t="9315" r="34870" b="22029"/>
                    <a:stretch>
                      <a:fillRect/>
                    </a:stretch>
                  </pic:blipFill>
                  <pic:spPr bwMode="auto">
                    <a:xfrm>
                      <a:off x="0" y="0"/>
                      <a:ext cx="2985803" cy="2538871"/>
                    </a:xfrm>
                    <a:prstGeom prst="rect">
                      <a:avLst/>
                    </a:prstGeom>
                    <a:noFill/>
                    <a:ln>
                      <a:noFill/>
                    </a:ln>
                    <a:extLst>
                      <a:ext uri="{53640926-AAD7-44D8-BBD7-CCE9431645EC}">
                        <a14:shadowObscured xmlns:a14="http://schemas.microsoft.com/office/drawing/2010/main"/>
                      </a:ext>
                    </a:extLst>
                  </pic:spPr>
                </pic:pic>
              </a:graphicData>
            </a:graphic>
          </wp:inline>
        </w:drawing>
      </w:r>
      <w:r w:rsidR="000B4D82">
        <w:rPr>
          <w:noProof/>
        </w:rPr>
        <w:drawing>
          <wp:inline distT="0" distB="0" distL="0" distR="0" wp14:anchorId="5E7ECA8C" wp14:editId="44F0272E">
            <wp:extent cx="2853690" cy="2406015"/>
            <wp:effectExtent l="0" t="0" r="3810" b="0"/>
            <wp:docPr id="1780013840"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a:extLst>
                        <a:ext uri="{28A0092B-C50C-407E-A947-70E740481C1C}">
                          <a14:useLocalDpi xmlns:a14="http://schemas.microsoft.com/office/drawing/2010/main" val="0"/>
                        </a:ext>
                      </a:extLst>
                    </a:blip>
                    <a:srcRect l="16838" t="4791" r="35696" b="23357"/>
                    <a:stretch>
                      <a:fillRect/>
                    </a:stretch>
                  </pic:blipFill>
                  <pic:spPr bwMode="auto">
                    <a:xfrm>
                      <a:off x="0" y="0"/>
                      <a:ext cx="2862482" cy="2413428"/>
                    </a:xfrm>
                    <a:prstGeom prst="rect">
                      <a:avLst/>
                    </a:prstGeom>
                    <a:noFill/>
                    <a:ln>
                      <a:noFill/>
                    </a:ln>
                    <a:extLst>
                      <a:ext uri="{53640926-AAD7-44D8-BBD7-CCE9431645EC}">
                        <a14:shadowObscured xmlns:a14="http://schemas.microsoft.com/office/drawing/2010/main"/>
                      </a:ext>
                    </a:extLst>
                  </pic:spPr>
                </pic:pic>
              </a:graphicData>
            </a:graphic>
          </wp:inline>
        </w:drawing>
      </w:r>
    </w:p>
    <w:p w14:paraId="56130943" w14:textId="35D8E90A" w:rsidR="000B4D82" w:rsidRDefault="006C3663" w:rsidP="000B4D82">
      <w:pPr>
        <w:spacing w:line="240" w:lineRule="auto"/>
        <w:ind w:left="0"/>
        <w:rPr>
          <w:sz w:val="24"/>
          <w:szCs w:val="24"/>
          <w:lang w:val="en-US"/>
        </w:rPr>
      </w:pPr>
      <w:r>
        <w:rPr>
          <w:b/>
          <w:bCs/>
        </w:rPr>
        <w:t>Fig-</w:t>
      </w:r>
      <w:r w:rsidR="00650B93">
        <w:rPr>
          <w:b/>
          <w:bCs/>
        </w:rPr>
        <w:t xml:space="preserve"> 2</w:t>
      </w:r>
      <w:r w:rsidR="000B4D82" w:rsidRPr="008A68A8">
        <w:rPr>
          <w:b/>
          <w:bCs/>
        </w:rPr>
        <w:t>T. S. of Brain</w:t>
      </w:r>
      <w:r w:rsidR="000B4D82" w:rsidRPr="00F8090A">
        <w:t xml:space="preserve"> of </w:t>
      </w:r>
      <w:proofErr w:type="spellStart"/>
      <w:r w:rsidR="000B4D82" w:rsidRPr="006C3663">
        <w:rPr>
          <w:i/>
          <w:iCs/>
        </w:rPr>
        <w:t>Lissachatina</w:t>
      </w:r>
      <w:proofErr w:type="spellEnd"/>
      <w:r w:rsidR="000B4D82" w:rsidRPr="006C3663">
        <w:rPr>
          <w:i/>
          <w:iCs/>
        </w:rPr>
        <w:t xml:space="preserve"> </w:t>
      </w:r>
      <w:proofErr w:type="spellStart"/>
      <w:r w:rsidR="000B4D82" w:rsidRPr="006C3663">
        <w:rPr>
          <w:i/>
          <w:iCs/>
        </w:rPr>
        <w:t>fulica</w:t>
      </w:r>
      <w:proofErr w:type="spellEnd"/>
      <w:r w:rsidR="000B4D82" w:rsidRPr="00F8090A">
        <w:t xml:space="preserve"> </w:t>
      </w:r>
      <w:r w:rsidRPr="006C3663">
        <w:rPr>
          <w:b/>
          <w:bCs/>
        </w:rPr>
        <w:t>A-</w:t>
      </w:r>
      <w:r w:rsidR="001F41A2">
        <w:rPr>
          <w:b/>
          <w:bCs/>
        </w:rPr>
        <w:t xml:space="preserve">(Normal) </w:t>
      </w:r>
      <w:r w:rsidR="001F41A2">
        <w:t xml:space="preserve">tissue histology </w:t>
      </w:r>
      <w:r w:rsidRPr="006C3663">
        <w:rPr>
          <w:b/>
          <w:bCs/>
          <w:sz w:val="24"/>
          <w:szCs w:val="24"/>
          <w:lang w:val="en-US"/>
        </w:rPr>
        <w:t>B-</w:t>
      </w:r>
      <w:r w:rsidR="001F41A2">
        <w:rPr>
          <w:b/>
          <w:bCs/>
          <w:sz w:val="24"/>
          <w:szCs w:val="24"/>
          <w:lang w:val="en-US"/>
        </w:rPr>
        <w:t>(</w:t>
      </w:r>
      <w:r w:rsidR="001F41A2">
        <w:rPr>
          <w:b/>
          <w:bCs/>
        </w:rPr>
        <w:t xml:space="preserve">5PPM /24h.) </w:t>
      </w:r>
      <w:r w:rsidR="000B4D82" w:rsidRPr="008A68A8">
        <w:rPr>
          <w:b/>
          <w:bCs/>
          <w:sz w:val="24"/>
          <w:szCs w:val="24"/>
          <w:lang w:val="en-US"/>
        </w:rPr>
        <w:t>GNC</w:t>
      </w:r>
      <w:r w:rsidR="000B4D82">
        <w:rPr>
          <w:sz w:val="24"/>
          <w:szCs w:val="24"/>
          <w:lang w:val="en-US"/>
        </w:rPr>
        <w:t xml:space="preserve">-Giant Nerve cell </w:t>
      </w:r>
      <w:r>
        <w:rPr>
          <w:sz w:val="24"/>
          <w:szCs w:val="24"/>
          <w:lang w:val="en-US"/>
        </w:rPr>
        <w:t xml:space="preserve">Disturb </w:t>
      </w:r>
      <w:r w:rsidR="000B4D82" w:rsidRPr="008A68A8">
        <w:rPr>
          <w:b/>
          <w:bCs/>
          <w:sz w:val="24"/>
          <w:szCs w:val="24"/>
          <w:lang w:val="en-US"/>
        </w:rPr>
        <w:t>CTC-</w:t>
      </w:r>
      <w:r w:rsidR="000B4D82">
        <w:rPr>
          <w:sz w:val="24"/>
          <w:szCs w:val="24"/>
          <w:lang w:val="en-US"/>
        </w:rPr>
        <w:t xml:space="preserve">connective tissue capsules </w:t>
      </w:r>
      <w:r>
        <w:rPr>
          <w:sz w:val="24"/>
          <w:szCs w:val="24"/>
          <w:lang w:val="en-US"/>
        </w:rPr>
        <w:t xml:space="preserve">changes </w:t>
      </w:r>
      <w:r w:rsidR="000B4D82" w:rsidRPr="008A68A8">
        <w:rPr>
          <w:b/>
          <w:bCs/>
          <w:sz w:val="24"/>
          <w:szCs w:val="24"/>
          <w:lang w:val="en-US"/>
        </w:rPr>
        <w:t>MT-</w:t>
      </w:r>
      <w:r w:rsidR="000B4D82">
        <w:rPr>
          <w:sz w:val="24"/>
          <w:szCs w:val="24"/>
          <w:lang w:val="en-US"/>
        </w:rPr>
        <w:t xml:space="preserve">median tissue </w:t>
      </w:r>
      <w:r>
        <w:rPr>
          <w:sz w:val="24"/>
          <w:szCs w:val="24"/>
          <w:lang w:val="en-US"/>
        </w:rPr>
        <w:t xml:space="preserve">Degeneration </w:t>
      </w:r>
      <w:r w:rsidRPr="006C3663">
        <w:rPr>
          <w:b/>
          <w:bCs/>
          <w:sz w:val="24"/>
          <w:szCs w:val="24"/>
          <w:lang w:val="en-US"/>
        </w:rPr>
        <w:t>C</w:t>
      </w:r>
      <w:r>
        <w:rPr>
          <w:b/>
          <w:bCs/>
          <w:sz w:val="24"/>
          <w:szCs w:val="24"/>
          <w:lang w:val="en-US"/>
        </w:rPr>
        <w:t xml:space="preserve"> - </w:t>
      </w:r>
      <w:r w:rsidRPr="008A68A8">
        <w:rPr>
          <w:b/>
          <w:bCs/>
          <w:sz w:val="24"/>
          <w:szCs w:val="24"/>
          <w:lang w:val="en-US"/>
        </w:rPr>
        <w:t>GNC</w:t>
      </w:r>
      <w:r>
        <w:rPr>
          <w:sz w:val="24"/>
          <w:szCs w:val="24"/>
          <w:lang w:val="en-US"/>
        </w:rPr>
        <w:t xml:space="preserve">-Giant Nerve cell Disturb </w:t>
      </w:r>
      <w:r w:rsidRPr="008A68A8">
        <w:rPr>
          <w:b/>
          <w:bCs/>
          <w:sz w:val="24"/>
          <w:szCs w:val="24"/>
          <w:lang w:val="en-US"/>
        </w:rPr>
        <w:t>CTC-</w:t>
      </w:r>
      <w:r w:rsidR="001F41A2" w:rsidRPr="006C3663">
        <w:rPr>
          <w:b/>
          <w:bCs/>
          <w:sz w:val="24"/>
          <w:szCs w:val="24"/>
          <w:lang w:val="en-US"/>
        </w:rPr>
        <w:t>-</w:t>
      </w:r>
      <w:r w:rsidR="001F41A2">
        <w:rPr>
          <w:b/>
          <w:bCs/>
          <w:sz w:val="24"/>
          <w:szCs w:val="24"/>
          <w:lang w:val="en-US"/>
        </w:rPr>
        <w:t>(</w:t>
      </w:r>
      <w:r w:rsidR="001F41A2">
        <w:rPr>
          <w:b/>
          <w:bCs/>
        </w:rPr>
        <w:t xml:space="preserve">10PPM /48h.) </w:t>
      </w:r>
      <w:r>
        <w:rPr>
          <w:sz w:val="24"/>
          <w:szCs w:val="24"/>
          <w:lang w:val="en-US"/>
        </w:rPr>
        <w:t xml:space="preserve">connective tissue capsules changes </w:t>
      </w:r>
      <w:r w:rsidRPr="008A68A8">
        <w:rPr>
          <w:b/>
          <w:bCs/>
          <w:sz w:val="24"/>
          <w:szCs w:val="24"/>
          <w:lang w:val="en-US"/>
        </w:rPr>
        <w:t>MT-</w:t>
      </w:r>
      <w:r>
        <w:rPr>
          <w:sz w:val="24"/>
          <w:szCs w:val="24"/>
          <w:lang w:val="en-US"/>
        </w:rPr>
        <w:t xml:space="preserve">median tissue </w:t>
      </w:r>
      <w:r w:rsidR="001F41A2">
        <w:rPr>
          <w:sz w:val="24"/>
          <w:szCs w:val="24"/>
          <w:lang w:val="en-US"/>
        </w:rPr>
        <w:t xml:space="preserve">Degeneration </w:t>
      </w:r>
      <w:r w:rsidR="001F41A2">
        <w:rPr>
          <w:b/>
          <w:bCs/>
          <w:sz w:val="24"/>
          <w:szCs w:val="24"/>
          <w:lang w:val="en-US"/>
        </w:rPr>
        <w:t>D</w:t>
      </w:r>
      <w:r>
        <w:rPr>
          <w:b/>
          <w:bCs/>
          <w:sz w:val="24"/>
          <w:szCs w:val="24"/>
          <w:lang w:val="en-US"/>
        </w:rPr>
        <w:t xml:space="preserve">- </w:t>
      </w:r>
      <w:r w:rsidR="001F41A2" w:rsidRPr="006C3663">
        <w:rPr>
          <w:b/>
          <w:bCs/>
          <w:sz w:val="24"/>
          <w:szCs w:val="24"/>
          <w:lang w:val="en-US"/>
        </w:rPr>
        <w:t>-</w:t>
      </w:r>
      <w:r w:rsidR="001F41A2">
        <w:rPr>
          <w:b/>
          <w:bCs/>
          <w:sz w:val="24"/>
          <w:szCs w:val="24"/>
          <w:lang w:val="en-US"/>
        </w:rPr>
        <w:t>(1</w:t>
      </w:r>
      <w:r w:rsidR="001F41A2">
        <w:rPr>
          <w:b/>
          <w:bCs/>
        </w:rPr>
        <w:t xml:space="preserve">5PPM /72h.) </w:t>
      </w:r>
      <w:r w:rsidRPr="008A68A8">
        <w:rPr>
          <w:b/>
          <w:bCs/>
          <w:sz w:val="24"/>
          <w:szCs w:val="24"/>
          <w:lang w:val="en-US"/>
        </w:rPr>
        <w:t>GNC</w:t>
      </w:r>
      <w:r>
        <w:rPr>
          <w:sz w:val="24"/>
          <w:szCs w:val="24"/>
          <w:lang w:val="en-US"/>
        </w:rPr>
        <w:t xml:space="preserve">-Giant Nerve cell Disturb </w:t>
      </w:r>
      <w:r w:rsidRPr="008A68A8">
        <w:rPr>
          <w:b/>
          <w:bCs/>
          <w:sz w:val="24"/>
          <w:szCs w:val="24"/>
          <w:lang w:val="en-US"/>
        </w:rPr>
        <w:t>CTC-</w:t>
      </w:r>
      <w:r>
        <w:rPr>
          <w:sz w:val="24"/>
          <w:szCs w:val="24"/>
          <w:lang w:val="en-US"/>
        </w:rPr>
        <w:t xml:space="preserve">connective tissue capsules changes </w:t>
      </w:r>
      <w:r w:rsidRPr="008A68A8">
        <w:rPr>
          <w:b/>
          <w:bCs/>
          <w:sz w:val="24"/>
          <w:szCs w:val="24"/>
          <w:lang w:val="en-US"/>
        </w:rPr>
        <w:t>MT-</w:t>
      </w:r>
      <w:r>
        <w:rPr>
          <w:sz w:val="24"/>
          <w:szCs w:val="24"/>
          <w:lang w:val="en-US"/>
        </w:rPr>
        <w:t>median tissue Degeneration</w:t>
      </w:r>
    </w:p>
    <w:p w14:paraId="70CF1332" w14:textId="77777777" w:rsidR="002D5C15" w:rsidRDefault="002D5C15" w:rsidP="002D5C15">
      <w:pPr>
        <w:ind w:left="0"/>
        <w:rPr>
          <w:sz w:val="24"/>
          <w:szCs w:val="24"/>
        </w:rPr>
      </w:pPr>
    </w:p>
    <w:p w14:paraId="52DB700D" w14:textId="700C5337" w:rsidR="00E916C7" w:rsidRPr="00864BDE" w:rsidRDefault="000B0462" w:rsidP="000B0462">
      <w:pPr>
        <w:ind w:left="0" w:firstLine="720"/>
        <w:rPr>
          <w:b/>
          <w:bCs/>
          <w:sz w:val="24"/>
          <w:szCs w:val="24"/>
        </w:rPr>
      </w:pPr>
      <w:r>
        <w:rPr>
          <w:b/>
          <w:bCs/>
          <w:sz w:val="24"/>
          <w:szCs w:val="24"/>
        </w:rPr>
        <w:t xml:space="preserve">3.1 </w:t>
      </w:r>
      <w:r w:rsidR="00E916C7" w:rsidRPr="00864BDE">
        <w:rPr>
          <w:b/>
          <w:bCs/>
          <w:sz w:val="24"/>
          <w:szCs w:val="24"/>
        </w:rPr>
        <w:t>Staining Results:</w:t>
      </w:r>
    </w:p>
    <w:p w14:paraId="476680C2" w14:textId="1C85FD4B" w:rsidR="00E916C7" w:rsidRDefault="00E916C7" w:rsidP="001F41A2">
      <w:pPr>
        <w:ind w:left="0"/>
        <w:rPr>
          <w:sz w:val="24"/>
          <w:szCs w:val="24"/>
        </w:rPr>
      </w:pPr>
      <w:r w:rsidRPr="00FE3E11">
        <w:rPr>
          <w:sz w:val="24"/>
          <w:szCs w:val="24"/>
        </w:rPr>
        <w:t xml:space="preserve">In H&amp;E-stained sections, the nuclei appear </w:t>
      </w:r>
      <w:r w:rsidR="001F41A2">
        <w:rPr>
          <w:sz w:val="24"/>
          <w:szCs w:val="24"/>
        </w:rPr>
        <w:t>pink colour,</w:t>
      </w:r>
      <w:r w:rsidRPr="00FE3E11">
        <w:rPr>
          <w:sz w:val="24"/>
          <w:szCs w:val="24"/>
        </w:rPr>
        <w:t xml:space="preserve"> while the nucleoli are distinctly dark </w:t>
      </w:r>
      <w:r w:rsidR="001F41A2">
        <w:rPr>
          <w:sz w:val="24"/>
          <w:szCs w:val="24"/>
        </w:rPr>
        <w:t>pink</w:t>
      </w:r>
      <w:r w:rsidRPr="00FE3E11">
        <w:rPr>
          <w:sz w:val="24"/>
          <w:szCs w:val="24"/>
        </w:rPr>
        <w:t xml:space="preserve">. The cytoplasm typically shows a pink coloration. Other tissue components also exhibit characteristic staining patterns: cartilage displays shades of pink to blue, and collagen </w:t>
      </w:r>
      <w:r w:rsidR="001F41A2" w:rsidRPr="00FE3E11">
        <w:rPr>
          <w:sz w:val="24"/>
          <w:szCs w:val="24"/>
        </w:rPr>
        <w:t>fibres</w:t>
      </w:r>
      <w:r w:rsidRPr="00FE3E11">
        <w:rPr>
          <w:sz w:val="24"/>
          <w:szCs w:val="24"/>
        </w:rPr>
        <w:t xml:space="preserve"> along with osteoid tissue appear light pink.</w:t>
      </w:r>
    </w:p>
    <w:p w14:paraId="194E74B9" w14:textId="605D586A" w:rsidR="00E916C7" w:rsidRPr="007B69AA" w:rsidRDefault="002D5C15" w:rsidP="002D5C15">
      <w:pPr>
        <w:ind w:left="0"/>
        <w:rPr>
          <w:sz w:val="24"/>
          <w:szCs w:val="24"/>
        </w:rPr>
      </w:pPr>
      <w:r w:rsidRPr="007B69AA">
        <w:rPr>
          <w:sz w:val="24"/>
          <w:szCs w:val="24"/>
        </w:rPr>
        <w:t xml:space="preserve">In </w:t>
      </w:r>
      <w:proofErr w:type="spellStart"/>
      <w:r>
        <w:rPr>
          <w:i/>
          <w:iCs/>
          <w:sz w:val="24"/>
          <w:szCs w:val="24"/>
        </w:rPr>
        <w:t>Lissa</w:t>
      </w:r>
      <w:r w:rsidRPr="007B69AA">
        <w:rPr>
          <w:i/>
          <w:iCs/>
          <w:sz w:val="24"/>
          <w:szCs w:val="24"/>
        </w:rPr>
        <w:t>chatina</w:t>
      </w:r>
      <w:proofErr w:type="spellEnd"/>
      <w:r w:rsidRPr="007B69AA">
        <w:rPr>
          <w:i/>
          <w:iCs/>
          <w:sz w:val="24"/>
          <w:szCs w:val="24"/>
        </w:rPr>
        <w:t xml:space="preserve"> </w:t>
      </w:r>
      <w:proofErr w:type="spellStart"/>
      <w:r w:rsidRPr="007B69AA">
        <w:rPr>
          <w:i/>
          <w:iCs/>
          <w:sz w:val="24"/>
          <w:szCs w:val="24"/>
        </w:rPr>
        <w:t>fulica</w:t>
      </w:r>
      <w:proofErr w:type="spellEnd"/>
      <w:r w:rsidRPr="007B69AA">
        <w:rPr>
          <w:sz w:val="24"/>
          <w:szCs w:val="24"/>
        </w:rPr>
        <w:t xml:space="preserve">, the cerebral ganglia are paired structures located dorsally to the </w:t>
      </w:r>
      <w:r w:rsidR="001F41A2" w:rsidRPr="007B69AA">
        <w:rPr>
          <w:sz w:val="24"/>
          <w:szCs w:val="24"/>
        </w:rPr>
        <w:t>oesophagus</w:t>
      </w:r>
      <w:r w:rsidRPr="007B69AA">
        <w:rPr>
          <w:sz w:val="24"/>
          <w:szCs w:val="24"/>
        </w:rPr>
        <w:t xml:space="preserve">, behind the buccal ganglia, and enclosed by two connective tissue layers — the outer loose perineurium and the inner dense endoneurium. Both ganglia are interconnected by </w:t>
      </w:r>
      <w:r w:rsidRPr="007B69AA">
        <w:rPr>
          <w:sz w:val="24"/>
          <w:szCs w:val="24"/>
        </w:rPr>
        <w:lastRenderedPageBreak/>
        <w:t xml:space="preserve">a cerebral commissure and are subdivided into three regions: the </w:t>
      </w:r>
      <w:proofErr w:type="spellStart"/>
      <w:r w:rsidRPr="007B69AA">
        <w:rPr>
          <w:sz w:val="24"/>
          <w:szCs w:val="24"/>
        </w:rPr>
        <w:t>procerebrum</w:t>
      </w:r>
      <w:proofErr w:type="spellEnd"/>
      <w:r w:rsidRPr="007B69AA">
        <w:rPr>
          <w:sz w:val="24"/>
          <w:szCs w:val="24"/>
        </w:rPr>
        <w:t xml:space="preserve">, </w:t>
      </w:r>
      <w:proofErr w:type="spellStart"/>
      <w:r w:rsidRPr="007B69AA">
        <w:rPr>
          <w:sz w:val="24"/>
          <w:szCs w:val="24"/>
        </w:rPr>
        <w:t>mesocerebrum</w:t>
      </w:r>
      <w:proofErr w:type="spellEnd"/>
      <w:r w:rsidRPr="007B69AA">
        <w:rPr>
          <w:sz w:val="24"/>
          <w:szCs w:val="24"/>
        </w:rPr>
        <w:t xml:space="preserve">, and </w:t>
      </w:r>
      <w:proofErr w:type="spellStart"/>
      <w:r w:rsidRPr="007B69AA">
        <w:rPr>
          <w:sz w:val="24"/>
          <w:szCs w:val="24"/>
        </w:rPr>
        <w:t>metacerebrum</w:t>
      </w:r>
      <w:proofErr w:type="spellEnd"/>
      <w:r w:rsidRPr="007B69AA">
        <w:rPr>
          <w:sz w:val="24"/>
          <w:szCs w:val="24"/>
        </w:rPr>
        <w:t xml:space="preserve">. The central neuropil, composed of nerve </w:t>
      </w:r>
      <w:proofErr w:type="spellStart"/>
      <w:r w:rsidRPr="007B69AA">
        <w:rPr>
          <w:sz w:val="24"/>
          <w:szCs w:val="24"/>
        </w:rPr>
        <w:t>fibers</w:t>
      </w:r>
      <w:proofErr w:type="spellEnd"/>
      <w:r w:rsidRPr="007B69AA">
        <w:rPr>
          <w:sz w:val="24"/>
          <w:szCs w:val="24"/>
        </w:rPr>
        <w:t>, glial filaments,</w:t>
      </w:r>
      <w:r w:rsidR="001F41A2" w:rsidRPr="001F41A2">
        <w:rPr>
          <w:sz w:val="24"/>
          <w:szCs w:val="24"/>
        </w:rPr>
        <w:t xml:space="preserve"> </w:t>
      </w:r>
      <w:r w:rsidR="001F41A2">
        <w:rPr>
          <w:sz w:val="24"/>
          <w:szCs w:val="24"/>
        </w:rPr>
        <w:t>giant nerve cell, white matter, Gray matter lacuna, dorsal medium tissue, ventral medium tissue, cerebrum ganglion</w:t>
      </w:r>
      <w:r w:rsidRPr="007B69AA">
        <w:rPr>
          <w:sz w:val="24"/>
          <w:szCs w:val="24"/>
        </w:rPr>
        <w:t xml:space="preserve"> and synapses, extends toward the posterior end. These ganglia regulate sensory and motor functions related to feeding and coordination.</w:t>
      </w:r>
    </w:p>
    <w:p w14:paraId="5C60492E" w14:textId="577972AF" w:rsidR="002D5C15" w:rsidRPr="007B69AA" w:rsidRDefault="00C220BA" w:rsidP="00C220BA">
      <w:pPr>
        <w:ind w:left="0" w:firstLine="720"/>
        <w:rPr>
          <w:b/>
          <w:bCs/>
          <w:sz w:val="24"/>
          <w:szCs w:val="24"/>
        </w:rPr>
      </w:pPr>
      <w:r>
        <w:rPr>
          <w:b/>
          <w:bCs/>
          <w:sz w:val="24"/>
          <w:szCs w:val="24"/>
        </w:rPr>
        <w:t xml:space="preserve">3.2 </w:t>
      </w:r>
      <w:r w:rsidR="002D5C15" w:rsidRPr="007B69AA">
        <w:rPr>
          <w:b/>
          <w:bCs/>
          <w:sz w:val="24"/>
          <w:szCs w:val="24"/>
        </w:rPr>
        <w:t>Control (Normal Histology)</w:t>
      </w:r>
    </w:p>
    <w:p w14:paraId="74E4638B" w14:textId="77777777" w:rsidR="002D5C15" w:rsidRPr="007B69AA" w:rsidRDefault="002D5C15" w:rsidP="000D243A">
      <w:pPr>
        <w:ind w:left="0"/>
        <w:rPr>
          <w:sz w:val="24"/>
          <w:szCs w:val="24"/>
        </w:rPr>
      </w:pPr>
      <w:r w:rsidRPr="007B69AA">
        <w:rPr>
          <w:sz w:val="24"/>
          <w:szCs w:val="24"/>
        </w:rPr>
        <w:t xml:space="preserve">In the control snails, the cerebral ganglia exhibited normal histoarchitecture. The </w:t>
      </w:r>
      <w:proofErr w:type="spellStart"/>
      <w:r w:rsidRPr="007B69AA">
        <w:rPr>
          <w:sz w:val="24"/>
          <w:szCs w:val="24"/>
        </w:rPr>
        <w:t>procerebrum</w:t>
      </w:r>
      <w:proofErr w:type="spellEnd"/>
      <w:r w:rsidRPr="007B69AA">
        <w:rPr>
          <w:sz w:val="24"/>
          <w:szCs w:val="24"/>
        </w:rPr>
        <w:t xml:space="preserve"> contained small </w:t>
      </w:r>
      <w:proofErr w:type="spellStart"/>
      <w:r w:rsidRPr="007B69AA">
        <w:rPr>
          <w:sz w:val="24"/>
          <w:szCs w:val="24"/>
        </w:rPr>
        <w:t>globuli</w:t>
      </w:r>
      <w:proofErr w:type="spellEnd"/>
      <w:r w:rsidRPr="007B69AA">
        <w:rPr>
          <w:sz w:val="24"/>
          <w:szCs w:val="24"/>
        </w:rPr>
        <w:t xml:space="preserve"> cells with distinct nuclei and minimal cytoplasm. The </w:t>
      </w:r>
      <w:proofErr w:type="spellStart"/>
      <w:r w:rsidRPr="007B69AA">
        <w:rPr>
          <w:sz w:val="24"/>
          <w:szCs w:val="24"/>
        </w:rPr>
        <w:t>mesocerebrum</w:t>
      </w:r>
      <w:proofErr w:type="spellEnd"/>
      <w:r w:rsidRPr="007B69AA">
        <w:rPr>
          <w:sz w:val="24"/>
          <w:szCs w:val="24"/>
        </w:rPr>
        <w:t xml:space="preserve"> had numerous large and giant nerve cells with prominent nuclei, while the </w:t>
      </w:r>
      <w:proofErr w:type="spellStart"/>
      <w:r w:rsidRPr="007B69AA">
        <w:rPr>
          <w:sz w:val="24"/>
          <w:szCs w:val="24"/>
        </w:rPr>
        <w:t>metacerebrum</w:t>
      </w:r>
      <w:proofErr w:type="spellEnd"/>
      <w:r w:rsidRPr="007B69AA">
        <w:rPr>
          <w:sz w:val="24"/>
          <w:szCs w:val="24"/>
        </w:rPr>
        <w:t xml:space="preserve"> showed clusters of large, medium, and small neurons. The neuropil appeared compact and well-organized, maintaining clear boundaries between the three cerebral regions.</w:t>
      </w:r>
    </w:p>
    <w:p w14:paraId="78CBB2AB" w14:textId="19174941" w:rsidR="002D5C15" w:rsidRPr="007B69AA" w:rsidRDefault="00C220BA" w:rsidP="00C220BA">
      <w:pPr>
        <w:ind w:left="0" w:firstLine="720"/>
        <w:rPr>
          <w:b/>
          <w:bCs/>
          <w:sz w:val="24"/>
          <w:szCs w:val="24"/>
        </w:rPr>
      </w:pPr>
      <w:r>
        <w:rPr>
          <w:b/>
          <w:bCs/>
          <w:sz w:val="24"/>
          <w:szCs w:val="24"/>
        </w:rPr>
        <w:t xml:space="preserve">3.3 </w:t>
      </w:r>
      <w:r w:rsidR="002D5C15" w:rsidRPr="007B69AA">
        <w:rPr>
          <w:b/>
          <w:bCs/>
          <w:sz w:val="24"/>
          <w:szCs w:val="24"/>
        </w:rPr>
        <w:t>Exposure to Silver Oxide Nanoparticles (</w:t>
      </w:r>
      <w:proofErr w:type="spellStart"/>
      <w:r w:rsidR="002D5C15" w:rsidRPr="007B69AA">
        <w:rPr>
          <w:b/>
          <w:bCs/>
          <w:sz w:val="24"/>
          <w:szCs w:val="24"/>
        </w:rPr>
        <w:t>Ag₂O</w:t>
      </w:r>
      <w:proofErr w:type="spellEnd"/>
      <w:r w:rsidR="002D5C15" w:rsidRPr="007B69AA">
        <w:rPr>
          <w:b/>
          <w:bCs/>
          <w:sz w:val="24"/>
          <w:szCs w:val="24"/>
        </w:rPr>
        <w:t xml:space="preserve"> NPs)</w:t>
      </w:r>
      <w:r w:rsidR="001F41A2">
        <w:rPr>
          <w:b/>
          <w:bCs/>
          <w:sz w:val="24"/>
          <w:szCs w:val="24"/>
        </w:rPr>
        <w:t xml:space="preserve"> 24h.</w:t>
      </w:r>
    </w:p>
    <w:p w14:paraId="39924EF8" w14:textId="77777777" w:rsidR="002D5C15" w:rsidRPr="001F41A2" w:rsidRDefault="002D5C15" w:rsidP="000D243A">
      <w:pPr>
        <w:ind w:left="0"/>
        <w:rPr>
          <w:sz w:val="24"/>
          <w:szCs w:val="24"/>
        </w:rPr>
      </w:pPr>
      <w:r w:rsidRPr="001F41A2">
        <w:rPr>
          <w:sz w:val="24"/>
          <w:szCs w:val="24"/>
        </w:rPr>
        <w:t xml:space="preserve">Exposure to </w:t>
      </w:r>
      <w:proofErr w:type="spellStart"/>
      <w:r w:rsidRPr="001F41A2">
        <w:rPr>
          <w:sz w:val="24"/>
          <w:szCs w:val="24"/>
        </w:rPr>
        <w:t>Ag₂O</w:t>
      </w:r>
      <w:proofErr w:type="spellEnd"/>
      <w:r w:rsidRPr="001F41A2">
        <w:rPr>
          <w:sz w:val="24"/>
          <w:szCs w:val="24"/>
        </w:rPr>
        <w:t xml:space="preserve"> nanoparticles caused progressive neurodegenerative changes in the cerebral ganglia, depending on concentration and exposure duration.</w:t>
      </w:r>
    </w:p>
    <w:p w14:paraId="3CEC5BE2" w14:textId="74A792D3" w:rsidR="002D5C15" w:rsidRPr="001F41A2" w:rsidRDefault="002D5C15" w:rsidP="000D243A">
      <w:pPr>
        <w:ind w:left="0"/>
        <w:rPr>
          <w:sz w:val="24"/>
          <w:szCs w:val="24"/>
        </w:rPr>
      </w:pPr>
      <w:r w:rsidRPr="001F41A2">
        <w:rPr>
          <w:sz w:val="24"/>
          <w:szCs w:val="24"/>
        </w:rPr>
        <w:t xml:space="preserve">At lower exposure </w:t>
      </w:r>
      <w:r w:rsidR="001F41A2" w:rsidRPr="001F41A2">
        <w:rPr>
          <w:sz w:val="24"/>
          <w:szCs w:val="24"/>
        </w:rPr>
        <w:t>levels (5PPM 24h.)</w:t>
      </w:r>
      <w:r w:rsidRPr="001F41A2">
        <w:rPr>
          <w:sz w:val="24"/>
          <w:szCs w:val="24"/>
        </w:rPr>
        <w:t xml:space="preserve">, partial destruction of the perineurium, vacuolization, and swelling of the neuropil were observed. The demarcation between </w:t>
      </w:r>
      <w:r w:rsidR="001F41A2" w:rsidRPr="001F41A2">
        <w:rPr>
          <w:sz w:val="24"/>
          <w:szCs w:val="24"/>
        </w:rPr>
        <w:t xml:space="preserve">giant nerve cell, white matter, Gray matter lacuna, dorsal medium tissue, ventral medium tissue, cerebrum ganglion </w:t>
      </w:r>
      <w:r w:rsidRPr="001F41A2">
        <w:rPr>
          <w:sz w:val="24"/>
          <w:szCs w:val="24"/>
        </w:rPr>
        <w:t xml:space="preserve">became unclear, and the connective tissue exhibited early signs of damage. Giant nerve cells appeared enlarged, but their numbers decreased. Vacuolated cytoplasm in </w:t>
      </w:r>
      <w:proofErr w:type="spellStart"/>
      <w:r w:rsidRPr="001F41A2">
        <w:rPr>
          <w:sz w:val="24"/>
          <w:szCs w:val="24"/>
        </w:rPr>
        <w:t>globuli</w:t>
      </w:r>
      <w:proofErr w:type="spellEnd"/>
      <w:r w:rsidRPr="001F41A2">
        <w:rPr>
          <w:sz w:val="24"/>
          <w:szCs w:val="24"/>
        </w:rPr>
        <w:t xml:space="preserve"> cells of the </w:t>
      </w:r>
      <w:proofErr w:type="spellStart"/>
      <w:r w:rsidRPr="001F41A2">
        <w:rPr>
          <w:sz w:val="24"/>
          <w:szCs w:val="24"/>
        </w:rPr>
        <w:t>procerebrum</w:t>
      </w:r>
      <w:proofErr w:type="spellEnd"/>
      <w:r w:rsidRPr="001F41A2">
        <w:rPr>
          <w:sz w:val="24"/>
          <w:szCs w:val="24"/>
        </w:rPr>
        <w:t xml:space="preserve"> and altered morphology of neurons were common.</w:t>
      </w:r>
    </w:p>
    <w:p w14:paraId="528DB422" w14:textId="680A2E73" w:rsidR="002D5C15" w:rsidRPr="001F41A2" w:rsidRDefault="002D5C15" w:rsidP="000D243A">
      <w:pPr>
        <w:ind w:left="0"/>
        <w:rPr>
          <w:sz w:val="24"/>
          <w:szCs w:val="24"/>
        </w:rPr>
      </w:pPr>
      <w:r w:rsidRPr="001F41A2">
        <w:rPr>
          <w:sz w:val="24"/>
          <w:szCs w:val="24"/>
        </w:rPr>
        <w:t xml:space="preserve">With increasing nanoparticle concentration or prolonged </w:t>
      </w:r>
      <w:r w:rsidR="001F7920" w:rsidRPr="001F41A2">
        <w:rPr>
          <w:sz w:val="24"/>
          <w:szCs w:val="24"/>
        </w:rPr>
        <w:t>exposure</w:t>
      </w:r>
      <w:r w:rsidR="001F7920">
        <w:rPr>
          <w:sz w:val="24"/>
          <w:szCs w:val="24"/>
        </w:rPr>
        <w:t xml:space="preserve"> (10PPM for 48h.),</w:t>
      </w:r>
      <w:r w:rsidRPr="001F41A2">
        <w:rPr>
          <w:sz w:val="24"/>
          <w:szCs w:val="24"/>
        </w:rPr>
        <w:t xml:space="preserve"> necrosis, hyperplasia of neuropil cells, and loss of neuronal organization became more pronounced. while the neuropil extended abnormally towards the lateral and posterior sides. Many nerve cells displayed cytoplasmic degeneration, lysis, and reduced staining intensity.</w:t>
      </w:r>
    </w:p>
    <w:p w14:paraId="21445DB0" w14:textId="44F1621D" w:rsidR="002D5C15" w:rsidRPr="001F7920" w:rsidRDefault="002D5C15" w:rsidP="000D243A">
      <w:pPr>
        <w:ind w:left="0"/>
        <w:rPr>
          <w:sz w:val="24"/>
          <w:szCs w:val="24"/>
        </w:rPr>
      </w:pPr>
      <w:r w:rsidRPr="001F7920">
        <w:rPr>
          <w:sz w:val="24"/>
          <w:szCs w:val="24"/>
        </w:rPr>
        <w:t>At higher concentrations,</w:t>
      </w:r>
      <w:r w:rsidR="001F7920" w:rsidRPr="001F7920">
        <w:rPr>
          <w:sz w:val="24"/>
          <w:szCs w:val="24"/>
        </w:rPr>
        <w:t xml:space="preserve"> (15 PPM for 48h.), extensive</w:t>
      </w:r>
      <w:r w:rsidRPr="001F7920">
        <w:rPr>
          <w:sz w:val="24"/>
          <w:szCs w:val="24"/>
        </w:rPr>
        <w:t xml:space="preserve"> tissue damage occurred — including disintegration of perineurium and endoneurium, necrosis of neural tissue, and collapse of the normal ganglionic architecture. The neuropil appeared fragmented and vacuolated, with loss of axonal integrity and disoriented glial cells. Giant nerve cells exhibited pyknotic nuclei and cytoplasmic vacuolation, while small and medium neurons were reduced in number.</w:t>
      </w:r>
    </w:p>
    <w:p w14:paraId="4013962D" w14:textId="56749CAB" w:rsidR="000E2059" w:rsidRDefault="002D5C15" w:rsidP="00C220BA">
      <w:pPr>
        <w:ind w:left="0"/>
        <w:rPr>
          <w:sz w:val="24"/>
          <w:szCs w:val="24"/>
        </w:rPr>
      </w:pPr>
      <w:r w:rsidRPr="001F7920">
        <w:rPr>
          <w:sz w:val="24"/>
          <w:szCs w:val="24"/>
        </w:rPr>
        <w:lastRenderedPageBreak/>
        <w:t xml:space="preserve">In severe exposure, the cerebral ganglia lost their distinct regions. The neuropil and nerve cells were heavily degenerated, showing complete disorganization, necrosis, and structural collapse. The number of </w:t>
      </w:r>
      <w:proofErr w:type="spellStart"/>
      <w:r w:rsidRPr="001F7920">
        <w:rPr>
          <w:sz w:val="24"/>
          <w:szCs w:val="24"/>
        </w:rPr>
        <w:t>globuli</w:t>
      </w:r>
      <w:proofErr w:type="spellEnd"/>
      <w:r w:rsidRPr="001F7920">
        <w:rPr>
          <w:sz w:val="24"/>
          <w:szCs w:val="24"/>
        </w:rPr>
        <w:t xml:space="preserve"> cells drastically declined, and the extracellular matrix was extensively damaged</w:t>
      </w:r>
    </w:p>
    <w:p w14:paraId="33573BE9" w14:textId="1557FBAE" w:rsidR="000B4D82" w:rsidRPr="000E2059" w:rsidRDefault="00C220BA" w:rsidP="000E2059">
      <w:pPr>
        <w:spacing w:after="0" w:line="240" w:lineRule="auto"/>
        <w:ind w:left="0"/>
        <w:rPr>
          <w:rFonts w:ascii="Calibri" w:eastAsia="Times New Roman" w:hAnsi="Calibri" w:cs="Calibri"/>
          <w:b/>
          <w:bCs/>
          <w:color w:val="000000"/>
          <w:kern w:val="0"/>
          <w:sz w:val="27"/>
          <w:szCs w:val="27"/>
          <w:lang w:eastAsia="en-IN" w:bidi="mr-IN"/>
          <w14:ligatures w14:val="none"/>
        </w:rPr>
      </w:pPr>
      <w:r>
        <w:rPr>
          <w:rFonts w:ascii="Calibri" w:eastAsia="Times New Roman" w:hAnsi="Calibri" w:cs="Calibri"/>
          <w:b/>
          <w:bCs/>
          <w:color w:val="000000"/>
          <w:kern w:val="0"/>
          <w:sz w:val="27"/>
          <w:szCs w:val="27"/>
          <w:lang w:eastAsia="en-IN" w:bidi="mr-IN"/>
          <w14:ligatures w14:val="none"/>
        </w:rPr>
        <w:t>Table</w:t>
      </w:r>
      <w:r w:rsidR="00650B93">
        <w:rPr>
          <w:rFonts w:ascii="Calibri" w:eastAsia="Times New Roman" w:hAnsi="Calibri" w:cs="Calibri"/>
          <w:b/>
          <w:bCs/>
          <w:color w:val="000000"/>
          <w:kern w:val="0"/>
          <w:sz w:val="27"/>
          <w:szCs w:val="27"/>
          <w:lang w:eastAsia="en-IN" w:bidi="mr-IN"/>
          <w14:ligatures w14:val="none"/>
        </w:rPr>
        <w:t>-</w:t>
      </w:r>
      <w:r>
        <w:rPr>
          <w:rFonts w:ascii="Calibri" w:eastAsia="Times New Roman" w:hAnsi="Calibri" w:cs="Calibri"/>
          <w:b/>
          <w:bCs/>
          <w:color w:val="000000"/>
          <w:kern w:val="0"/>
          <w:sz w:val="27"/>
          <w:szCs w:val="27"/>
          <w:lang w:eastAsia="en-IN" w:bidi="mr-IN"/>
          <w14:ligatures w14:val="none"/>
        </w:rPr>
        <w:t xml:space="preserve">1 </w:t>
      </w:r>
      <w:r w:rsidR="000E2059" w:rsidRPr="000E2059">
        <w:rPr>
          <w:rFonts w:ascii="Calibri" w:eastAsia="Times New Roman" w:hAnsi="Calibri" w:cs="Calibri"/>
          <w:b/>
          <w:bCs/>
          <w:color w:val="000000"/>
          <w:kern w:val="0"/>
          <w:sz w:val="27"/>
          <w:szCs w:val="27"/>
          <w:lang w:eastAsia="en-IN" w:bidi="mr-IN"/>
          <w14:ligatures w14:val="none"/>
        </w:rPr>
        <w:t xml:space="preserve">Histological Changes in Cerebral Ganglia: Control vs </w:t>
      </w:r>
      <w:proofErr w:type="spellStart"/>
      <w:r w:rsidR="000E2059" w:rsidRPr="000E2059">
        <w:rPr>
          <w:rFonts w:ascii="Calibri" w:eastAsia="Times New Roman" w:hAnsi="Calibri" w:cs="Calibri"/>
          <w:b/>
          <w:bCs/>
          <w:color w:val="000000"/>
          <w:kern w:val="0"/>
          <w:sz w:val="27"/>
          <w:szCs w:val="27"/>
          <w:lang w:eastAsia="en-IN" w:bidi="mr-IN"/>
          <w14:ligatures w14:val="none"/>
        </w:rPr>
        <w:t>Ag₂O</w:t>
      </w:r>
      <w:proofErr w:type="spellEnd"/>
      <w:r w:rsidR="000E2059" w:rsidRPr="000E2059">
        <w:rPr>
          <w:rFonts w:ascii="Calibri" w:eastAsia="Times New Roman" w:hAnsi="Calibri" w:cs="Calibri"/>
          <w:b/>
          <w:bCs/>
          <w:color w:val="000000"/>
          <w:kern w:val="0"/>
          <w:sz w:val="27"/>
          <w:szCs w:val="27"/>
          <w:lang w:eastAsia="en-IN" w:bidi="mr-IN"/>
          <w14:ligatures w14:val="none"/>
        </w:rPr>
        <w:t xml:space="preserve"> NP Exposure</w:t>
      </w:r>
    </w:p>
    <w:tbl>
      <w:tblPr>
        <w:tblW w:w="93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4"/>
        <w:gridCol w:w="1566"/>
        <w:gridCol w:w="1854"/>
        <w:gridCol w:w="1511"/>
        <w:gridCol w:w="1573"/>
        <w:gridCol w:w="1720"/>
      </w:tblGrid>
      <w:tr w:rsidR="000C18B3" w:rsidRPr="000E2059" w14:paraId="0F2766C9" w14:textId="77777777" w:rsidTr="000C18B3">
        <w:trPr>
          <w:trHeight w:val="800"/>
          <w:jc w:val="center"/>
        </w:trPr>
        <w:tc>
          <w:tcPr>
            <w:tcW w:w="1549" w:type="dxa"/>
            <w:vAlign w:val="center"/>
            <w:hideMark/>
          </w:tcPr>
          <w:p w14:paraId="1E82A82B" w14:textId="77777777" w:rsidR="000E2059" w:rsidRPr="000E2059" w:rsidRDefault="000E2059" w:rsidP="000E2059">
            <w:pPr>
              <w:spacing w:after="0" w:line="240" w:lineRule="auto"/>
              <w:ind w:left="0"/>
              <w:jc w:val="center"/>
              <w:rPr>
                <w:rFonts w:eastAsia="Times New Roman"/>
                <w:b/>
                <w:bCs/>
                <w:color w:val="000000"/>
                <w:kern w:val="0"/>
                <w:lang w:eastAsia="en-IN" w:bidi="mr-IN"/>
                <w14:ligatures w14:val="none"/>
              </w:rPr>
            </w:pPr>
            <w:r w:rsidRPr="000E2059">
              <w:rPr>
                <w:rFonts w:eastAsia="Times New Roman"/>
                <w:b/>
                <w:bCs/>
                <w:color w:val="000000"/>
                <w:kern w:val="0"/>
                <w:lang w:eastAsia="en-IN" w:bidi="mr-IN"/>
                <w14:ligatures w14:val="none"/>
              </w:rPr>
              <w:t>Feature</w:t>
            </w:r>
          </w:p>
        </w:tc>
        <w:tc>
          <w:tcPr>
            <w:tcW w:w="1476" w:type="dxa"/>
            <w:vAlign w:val="center"/>
            <w:hideMark/>
          </w:tcPr>
          <w:p w14:paraId="157A3711" w14:textId="77777777" w:rsidR="000E2059" w:rsidRPr="000E2059" w:rsidRDefault="000E2059" w:rsidP="000E2059">
            <w:pPr>
              <w:spacing w:after="0" w:line="240" w:lineRule="auto"/>
              <w:ind w:left="0"/>
              <w:jc w:val="center"/>
              <w:rPr>
                <w:rFonts w:eastAsia="Times New Roman"/>
                <w:b/>
                <w:bCs/>
                <w:color w:val="000000"/>
                <w:kern w:val="0"/>
                <w:lang w:eastAsia="en-IN" w:bidi="mr-IN"/>
                <w14:ligatures w14:val="none"/>
              </w:rPr>
            </w:pPr>
            <w:r w:rsidRPr="000E2059">
              <w:rPr>
                <w:rFonts w:eastAsia="Times New Roman"/>
                <w:b/>
                <w:bCs/>
                <w:color w:val="000000"/>
                <w:kern w:val="0"/>
                <w:lang w:eastAsia="en-IN" w:bidi="mr-IN"/>
                <w14:ligatures w14:val="none"/>
              </w:rPr>
              <w:t>Control (Normal Histology)</w:t>
            </w:r>
          </w:p>
        </w:tc>
        <w:tc>
          <w:tcPr>
            <w:tcW w:w="1784" w:type="dxa"/>
            <w:vAlign w:val="center"/>
            <w:hideMark/>
          </w:tcPr>
          <w:p w14:paraId="0C9F440F" w14:textId="77777777" w:rsidR="000E2059" w:rsidRPr="000E2059" w:rsidRDefault="000E2059" w:rsidP="000E2059">
            <w:pPr>
              <w:spacing w:after="0" w:line="240" w:lineRule="auto"/>
              <w:ind w:left="0"/>
              <w:jc w:val="center"/>
              <w:rPr>
                <w:rFonts w:eastAsia="Times New Roman"/>
                <w:b/>
                <w:bCs/>
                <w:color w:val="000000"/>
                <w:kern w:val="0"/>
                <w:lang w:eastAsia="en-IN" w:bidi="mr-IN"/>
                <w14:ligatures w14:val="none"/>
              </w:rPr>
            </w:pPr>
            <w:r w:rsidRPr="000E2059">
              <w:rPr>
                <w:rFonts w:eastAsia="Times New Roman"/>
                <w:b/>
                <w:bCs/>
                <w:color w:val="000000"/>
                <w:kern w:val="0"/>
                <w:lang w:eastAsia="en-IN" w:bidi="mr-IN"/>
                <w14:ligatures w14:val="none"/>
              </w:rPr>
              <w:t xml:space="preserve">Low Exposure to </w:t>
            </w:r>
            <w:proofErr w:type="spellStart"/>
            <w:r w:rsidRPr="000E2059">
              <w:rPr>
                <w:rFonts w:eastAsia="Times New Roman"/>
                <w:b/>
                <w:bCs/>
                <w:color w:val="000000"/>
                <w:kern w:val="0"/>
                <w:lang w:eastAsia="en-IN" w:bidi="mr-IN"/>
                <w14:ligatures w14:val="none"/>
              </w:rPr>
              <w:t>Ag₂O</w:t>
            </w:r>
            <w:proofErr w:type="spellEnd"/>
            <w:r w:rsidRPr="000E2059">
              <w:rPr>
                <w:rFonts w:eastAsia="Times New Roman"/>
                <w:b/>
                <w:bCs/>
                <w:color w:val="000000"/>
                <w:kern w:val="0"/>
                <w:lang w:eastAsia="en-IN" w:bidi="mr-IN"/>
                <w14:ligatures w14:val="none"/>
              </w:rPr>
              <w:t xml:space="preserve"> NPs</w:t>
            </w:r>
          </w:p>
        </w:tc>
        <w:tc>
          <w:tcPr>
            <w:tcW w:w="1418" w:type="dxa"/>
            <w:vAlign w:val="center"/>
            <w:hideMark/>
          </w:tcPr>
          <w:p w14:paraId="5502AA1C" w14:textId="77777777" w:rsidR="000E2059" w:rsidRPr="000E2059" w:rsidRDefault="000E2059" w:rsidP="000E2059">
            <w:pPr>
              <w:spacing w:after="0" w:line="240" w:lineRule="auto"/>
              <w:ind w:left="0"/>
              <w:jc w:val="center"/>
              <w:rPr>
                <w:rFonts w:eastAsia="Times New Roman"/>
                <w:b/>
                <w:bCs/>
                <w:color w:val="000000"/>
                <w:kern w:val="0"/>
                <w:lang w:eastAsia="en-IN" w:bidi="mr-IN"/>
                <w14:ligatures w14:val="none"/>
              </w:rPr>
            </w:pPr>
            <w:r w:rsidRPr="000E2059">
              <w:rPr>
                <w:rFonts w:eastAsia="Times New Roman"/>
                <w:b/>
                <w:bCs/>
                <w:color w:val="000000"/>
                <w:kern w:val="0"/>
                <w:lang w:eastAsia="en-IN" w:bidi="mr-IN"/>
                <w14:ligatures w14:val="none"/>
              </w:rPr>
              <w:t>Moderate / Increased Exposure</w:t>
            </w:r>
          </w:p>
        </w:tc>
        <w:tc>
          <w:tcPr>
            <w:tcW w:w="1483" w:type="dxa"/>
            <w:vAlign w:val="center"/>
            <w:hideMark/>
          </w:tcPr>
          <w:p w14:paraId="6244CE45" w14:textId="77777777" w:rsidR="000E2059" w:rsidRPr="000E2059" w:rsidRDefault="000E2059" w:rsidP="000E2059">
            <w:pPr>
              <w:spacing w:after="0" w:line="240" w:lineRule="auto"/>
              <w:ind w:left="0"/>
              <w:jc w:val="center"/>
              <w:rPr>
                <w:rFonts w:eastAsia="Times New Roman"/>
                <w:b/>
                <w:bCs/>
                <w:color w:val="000000"/>
                <w:kern w:val="0"/>
                <w:lang w:eastAsia="en-IN" w:bidi="mr-IN"/>
                <w14:ligatures w14:val="none"/>
              </w:rPr>
            </w:pPr>
            <w:r w:rsidRPr="000E2059">
              <w:rPr>
                <w:rFonts w:eastAsia="Times New Roman"/>
                <w:b/>
                <w:bCs/>
                <w:color w:val="000000"/>
                <w:kern w:val="0"/>
                <w:lang w:eastAsia="en-IN" w:bidi="mr-IN"/>
                <w14:ligatures w14:val="none"/>
              </w:rPr>
              <w:t>High Concentration</w:t>
            </w:r>
          </w:p>
        </w:tc>
        <w:tc>
          <w:tcPr>
            <w:tcW w:w="1640" w:type="dxa"/>
            <w:vAlign w:val="center"/>
            <w:hideMark/>
          </w:tcPr>
          <w:p w14:paraId="04AA2A5A" w14:textId="77777777" w:rsidR="000E2059" w:rsidRPr="000E2059" w:rsidRDefault="000E2059" w:rsidP="000E2059">
            <w:pPr>
              <w:spacing w:after="0" w:line="240" w:lineRule="auto"/>
              <w:ind w:left="0"/>
              <w:jc w:val="center"/>
              <w:rPr>
                <w:rFonts w:eastAsia="Times New Roman"/>
                <w:b/>
                <w:bCs/>
                <w:color w:val="000000"/>
                <w:kern w:val="0"/>
                <w:lang w:eastAsia="en-IN" w:bidi="mr-IN"/>
                <w14:ligatures w14:val="none"/>
              </w:rPr>
            </w:pPr>
            <w:r w:rsidRPr="000E2059">
              <w:rPr>
                <w:rFonts w:eastAsia="Times New Roman"/>
                <w:b/>
                <w:bCs/>
                <w:color w:val="000000"/>
                <w:kern w:val="0"/>
                <w:lang w:eastAsia="en-IN" w:bidi="mr-IN"/>
                <w14:ligatures w14:val="none"/>
              </w:rPr>
              <w:t>Severe Exposure</w:t>
            </w:r>
          </w:p>
        </w:tc>
      </w:tr>
      <w:tr w:rsidR="000C18B3" w:rsidRPr="000E2059" w14:paraId="5F069A46" w14:textId="77777777" w:rsidTr="000C18B3">
        <w:trPr>
          <w:trHeight w:val="1880"/>
          <w:jc w:val="center"/>
        </w:trPr>
        <w:tc>
          <w:tcPr>
            <w:tcW w:w="1549" w:type="dxa"/>
            <w:vAlign w:val="center"/>
            <w:hideMark/>
          </w:tcPr>
          <w:p w14:paraId="759EE750" w14:textId="77777777" w:rsidR="000E2059" w:rsidRPr="000E2059" w:rsidRDefault="000E2059" w:rsidP="000E2059">
            <w:pPr>
              <w:spacing w:after="0" w:line="240" w:lineRule="auto"/>
              <w:ind w:left="0"/>
              <w:jc w:val="left"/>
              <w:rPr>
                <w:rFonts w:eastAsia="Times New Roman"/>
                <w:b/>
                <w:bCs/>
                <w:color w:val="000000"/>
                <w:kern w:val="0"/>
                <w:lang w:eastAsia="en-IN" w:bidi="mr-IN"/>
                <w14:ligatures w14:val="none"/>
              </w:rPr>
            </w:pPr>
            <w:r w:rsidRPr="000E2059">
              <w:rPr>
                <w:rFonts w:eastAsia="Times New Roman"/>
                <w:b/>
                <w:bCs/>
                <w:color w:val="000000"/>
                <w:kern w:val="0"/>
                <w:lang w:eastAsia="en-IN" w:bidi="mr-IN"/>
                <w14:ligatures w14:val="none"/>
              </w:rPr>
              <w:t>Overall architecture</w:t>
            </w:r>
          </w:p>
        </w:tc>
        <w:tc>
          <w:tcPr>
            <w:tcW w:w="1476" w:type="dxa"/>
            <w:vAlign w:val="center"/>
            <w:hideMark/>
          </w:tcPr>
          <w:p w14:paraId="6C1CCE0A" w14:textId="77777777" w:rsidR="000E2059" w:rsidRPr="000E2059" w:rsidRDefault="000E2059" w:rsidP="000E2059">
            <w:pPr>
              <w:spacing w:after="0" w:line="240" w:lineRule="auto"/>
              <w:ind w:left="0"/>
              <w:jc w:val="left"/>
              <w:rPr>
                <w:rFonts w:eastAsia="Times New Roman"/>
                <w:color w:val="000000"/>
                <w:kern w:val="0"/>
                <w:lang w:eastAsia="en-IN" w:bidi="mr-IN"/>
                <w14:ligatures w14:val="none"/>
              </w:rPr>
            </w:pPr>
            <w:r w:rsidRPr="000E2059">
              <w:rPr>
                <w:rFonts w:eastAsia="Times New Roman"/>
                <w:color w:val="000000"/>
                <w:kern w:val="0"/>
                <w:lang w:eastAsia="en-IN" w:bidi="mr-IN"/>
                <w14:ligatures w14:val="none"/>
              </w:rPr>
              <w:t xml:space="preserve">Well organized; clear separation of </w:t>
            </w:r>
            <w:proofErr w:type="spellStart"/>
            <w:r w:rsidRPr="000E2059">
              <w:rPr>
                <w:rFonts w:eastAsia="Times New Roman"/>
                <w:color w:val="000000"/>
                <w:kern w:val="0"/>
                <w:lang w:eastAsia="en-IN" w:bidi="mr-IN"/>
                <w14:ligatures w14:val="none"/>
              </w:rPr>
              <w:t>procerebrum</w:t>
            </w:r>
            <w:proofErr w:type="spellEnd"/>
            <w:r w:rsidRPr="000E2059">
              <w:rPr>
                <w:rFonts w:eastAsia="Times New Roman"/>
                <w:color w:val="000000"/>
                <w:kern w:val="0"/>
                <w:lang w:eastAsia="en-IN" w:bidi="mr-IN"/>
                <w14:ligatures w14:val="none"/>
              </w:rPr>
              <w:t xml:space="preserve">, </w:t>
            </w:r>
            <w:proofErr w:type="spellStart"/>
            <w:r w:rsidRPr="000E2059">
              <w:rPr>
                <w:rFonts w:eastAsia="Times New Roman"/>
                <w:color w:val="000000"/>
                <w:kern w:val="0"/>
                <w:lang w:eastAsia="en-IN" w:bidi="mr-IN"/>
                <w14:ligatures w14:val="none"/>
              </w:rPr>
              <w:t>mesocerebrum</w:t>
            </w:r>
            <w:proofErr w:type="spellEnd"/>
            <w:r w:rsidRPr="000E2059">
              <w:rPr>
                <w:rFonts w:eastAsia="Times New Roman"/>
                <w:color w:val="000000"/>
                <w:kern w:val="0"/>
                <w:lang w:eastAsia="en-IN" w:bidi="mr-IN"/>
                <w14:ligatures w14:val="none"/>
              </w:rPr>
              <w:t xml:space="preserve">, </w:t>
            </w:r>
            <w:proofErr w:type="spellStart"/>
            <w:r w:rsidRPr="000E2059">
              <w:rPr>
                <w:rFonts w:eastAsia="Times New Roman"/>
                <w:color w:val="000000"/>
                <w:kern w:val="0"/>
                <w:lang w:eastAsia="en-IN" w:bidi="mr-IN"/>
                <w14:ligatures w14:val="none"/>
              </w:rPr>
              <w:t>metacerebrum</w:t>
            </w:r>
            <w:proofErr w:type="spellEnd"/>
          </w:p>
        </w:tc>
        <w:tc>
          <w:tcPr>
            <w:tcW w:w="1784" w:type="dxa"/>
            <w:vAlign w:val="center"/>
            <w:hideMark/>
          </w:tcPr>
          <w:p w14:paraId="281937B7" w14:textId="77777777" w:rsidR="000E2059" w:rsidRPr="000E2059" w:rsidRDefault="000E2059" w:rsidP="000E2059">
            <w:pPr>
              <w:spacing w:after="0" w:line="240" w:lineRule="auto"/>
              <w:ind w:left="0"/>
              <w:jc w:val="left"/>
              <w:rPr>
                <w:rFonts w:eastAsia="Times New Roman"/>
                <w:color w:val="000000"/>
                <w:kern w:val="0"/>
                <w:lang w:eastAsia="en-IN" w:bidi="mr-IN"/>
                <w14:ligatures w14:val="none"/>
              </w:rPr>
            </w:pPr>
            <w:r w:rsidRPr="000E2059">
              <w:rPr>
                <w:rFonts w:eastAsia="Times New Roman"/>
                <w:color w:val="000000"/>
                <w:kern w:val="0"/>
                <w:lang w:eastAsia="en-IN" w:bidi="mr-IN"/>
                <w14:ligatures w14:val="none"/>
              </w:rPr>
              <w:t>Early disturbance; boundaries start becoming unclear</w:t>
            </w:r>
          </w:p>
        </w:tc>
        <w:tc>
          <w:tcPr>
            <w:tcW w:w="1418" w:type="dxa"/>
            <w:vAlign w:val="center"/>
            <w:hideMark/>
          </w:tcPr>
          <w:p w14:paraId="6A7B387A" w14:textId="77777777" w:rsidR="000E2059" w:rsidRPr="000E2059" w:rsidRDefault="000E2059" w:rsidP="000E2059">
            <w:pPr>
              <w:spacing w:after="0" w:line="240" w:lineRule="auto"/>
              <w:ind w:left="0"/>
              <w:jc w:val="left"/>
              <w:rPr>
                <w:rFonts w:eastAsia="Times New Roman"/>
                <w:color w:val="000000"/>
                <w:kern w:val="0"/>
                <w:lang w:eastAsia="en-IN" w:bidi="mr-IN"/>
                <w14:ligatures w14:val="none"/>
              </w:rPr>
            </w:pPr>
            <w:r w:rsidRPr="000E2059">
              <w:rPr>
                <w:rFonts w:eastAsia="Times New Roman"/>
                <w:color w:val="000000"/>
                <w:kern w:val="0"/>
                <w:lang w:eastAsia="en-IN" w:bidi="mr-IN"/>
                <w14:ligatures w14:val="none"/>
              </w:rPr>
              <w:t>Organization markedly disturbed</w:t>
            </w:r>
          </w:p>
        </w:tc>
        <w:tc>
          <w:tcPr>
            <w:tcW w:w="1483" w:type="dxa"/>
            <w:vAlign w:val="center"/>
            <w:hideMark/>
          </w:tcPr>
          <w:p w14:paraId="143287B9" w14:textId="77777777" w:rsidR="000E2059" w:rsidRPr="000E2059" w:rsidRDefault="000E2059" w:rsidP="000E2059">
            <w:pPr>
              <w:spacing w:after="0" w:line="240" w:lineRule="auto"/>
              <w:ind w:left="0"/>
              <w:jc w:val="left"/>
              <w:rPr>
                <w:rFonts w:eastAsia="Times New Roman"/>
                <w:color w:val="000000"/>
                <w:kern w:val="0"/>
                <w:lang w:eastAsia="en-IN" w:bidi="mr-IN"/>
                <w14:ligatures w14:val="none"/>
              </w:rPr>
            </w:pPr>
            <w:r w:rsidRPr="000E2059">
              <w:rPr>
                <w:rFonts w:eastAsia="Times New Roman"/>
                <w:color w:val="000000"/>
                <w:kern w:val="0"/>
                <w:lang w:eastAsia="en-IN" w:bidi="mr-IN"/>
                <w14:ligatures w14:val="none"/>
              </w:rPr>
              <w:t>Ganglionic architecture collapsing</w:t>
            </w:r>
          </w:p>
        </w:tc>
        <w:tc>
          <w:tcPr>
            <w:tcW w:w="1640" w:type="dxa"/>
            <w:vAlign w:val="center"/>
            <w:hideMark/>
          </w:tcPr>
          <w:p w14:paraId="718D9128" w14:textId="77777777" w:rsidR="000E2059" w:rsidRPr="000E2059" w:rsidRDefault="000E2059" w:rsidP="000E2059">
            <w:pPr>
              <w:spacing w:after="0" w:line="240" w:lineRule="auto"/>
              <w:ind w:left="0"/>
              <w:jc w:val="left"/>
              <w:rPr>
                <w:rFonts w:eastAsia="Times New Roman"/>
                <w:color w:val="000000"/>
                <w:kern w:val="0"/>
                <w:lang w:eastAsia="en-IN" w:bidi="mr-IN"/>
                <w14:ligatures w14:val="none"/>
              </w:rPr>
            </w:pPr>
            <w:r w:rsidRPr="000E2059">
              <w:rPr>
                <w:rFonts w:eastAsia="Times New Roman"/>
                <w:color w:val="000000"/>
                <w:kern w:val="0"/>
                <w:lang w:eastAsia="en-IN" w:bidi="mr-IN"/>
                <w14:ligatures w14:val="none"/>
              </w:rPr>
              <w:t>Complete loss of regional identity</w:t>
            </w:r>
          </w:p>
        </w:tc>
      </w:tr>
      <w:tr w:rsidR="000C18B3" w:rsidRPr="000E2059" w14:paraId="5360650D" w14:textId="77777777" w:rsidTr="000C18B3">
        <w:trPr>
          <w:trHeight w:val="881"/>
          <w:jc w:val="center"/>
        </w:trPr>
        <w:tc>
          <w:tcPr>
            <w:tcW w:w="1549" w:type="dxa"/>
            <w:vAlign w:val="center"/>
            <w:hideMark/>
          </w:tcPr>
          <w:p w14:paraId="1B595B41" w14:textId="77777777" w:rsidR="000E2059" w:rsidRPr="000E2059" w:rsidRDefault="000E2059" w:rsidP="000E2059">
            <w:pPr>
              <w:spacing w:after="0" w:line="240" w:lineRule="auto"/>
              <w:ind w:left="0"/>
              <w:jc w:val="left"/>
              <w:rPr>
                <w:rFonts w:eastAsia="Times New Roman"/>
                <w:b/>
                <w:bCs/>
                <w:color w:val="000000"/>
                <w:kern w:val="0"/>
                <w:lang w:eastAsia="en-IN" w:bidi="mr-IN"/>
                <w14:ligatures w14:val="none"/>
              </w:rPr>
            </w:pPr>
            <w:r w:rsidRPr="000E2059">
              <w:rPr>
                <w:rFonts w:eastAsia="Times New Roman"/>
                <w:b/>
                <w:bCs/>
                <w:color w:val="000000"/>
                <w:kern w:val="0"/>
                <w:lang w:eastAsia="en-IN" w:bidi="mr-IN"/>
                <w14:ligatures w14:val="none"/>
              </w:rPr>
              <w:t>Perineurium / Endoneurium</w:t>
            </w:r>
          </w:p>
        </w:tc>
        <w:tc>
          <w:tcPr>
            <w:tcW w:w="1476" w:type="dxa"/>
            <w:vAlign w:val="center"/>
            <w:hideMark/>
          </w:tcPr>
          <w:p w14:paraId="4E0E8EB3" w14:textId="77777777" w:rsidR="000E2059" w:rsidRPr="000E2059" w:rsidRDefault="000E2059" w:rsidP="000E2059">
            <w:pPr>
              <w:spacing w:after="0" w:line="240" w:lineRule="auto"/>
              <w:ind w:left="0"/>
              <w:jc w:val="left"/>
              <w:rPr>
                <w:rFonts w:eastAsia="Times New Roman"/>
                <w:color w:val="000000"/>
                <w:kern w:val="0"/>
                <w:lang w:eastAsia="en-IN" w:bidi="mr-IN"/>
                <w14:ligatures w14:val="none"/>
              </w:rPr>
            </w:pPr>
            <w:r w:rsidRPr="000E2059">
              <w:rPr>
                <w:rFonts w:eastAsia="Times New Roman"/>
                <w:color w:val="000000"/>
                <w:kern w:val="0"/>
                <w:lang w:eastAsia="en-IN" w:bidi="mr-IN"/>
                <w14:ligatures w14:val="none"/>
              </w:rPr>
              <w:t>Intact</w:t>
            </w:r>
          </w:p>
        </w:tc>
        <w:tc>
          <w:tcPr>
            <w:tcW w:w="1784" w:type="dxa"/>
            <w:vAlign w:val="center"/>
            <w:hideMark/>
          </w:tcPr>
          <w:p w14:paraId="1F854AD0" w14:textId="77777777" w:rsidR="000E2059" w:rsidRPr="000E2059" w:rsidRDefault="000E2059" w:rsidP="000E2059">
            <w:pPr>
              <w:spacing w:after="0" w:line="240" w:lineRule="auto"/>
              <w:ind w:left="0"/>
              <w:jc w:val="left"/>
              <w:rPr>
                <w:rFonts w:eastAsia="Times New Roman"/>
                <w:color w:val="000000"/>
                <w:kern w:val="0"/>
                <w:lang w:eastAsia="en-IN" w:bidi="mr-IN"/>
                <w14:ligatures w14:val="none"/>
              </w:rPr>
            </w:pPr>
            <w:r w:rsidRPr="000E2059">
              <w:rPr>
                <w:rFonts w:eastAsia="Times New Roman"/>
                <w:color w:val="000000"/>
                <w:kern w:val="0"/>
                <w:lang w:eastAsia="en-IN" w:bidi="mr-IN"/>
                <w14:ligatures w14:val="none"/>
              </w:rPr>
              <w:t>Partial destruction begins</w:t>
            </w:r>
          </w:p>
        </w:tc>
        <w:tc>
          <w:tcPr>
            <w:tcW w:w="1418" w:type="dxa"/>
            <w:vAlign w:val="center"/>
            <w:hideMark/>
          </w:tcPr>
          <w:p w14:paraId="5793C29C" w14:textId="77777777" w:rsidR="000E2059" w:rsidRPr="000E2059" w:rsidRDefault="000E2059" w:rsidP="000E2059">
            <w:pPr>
              <w:spacing w:after="0" w:line="240" w:lineRule="auto"/>
              <w:ind w:left="0"/>
              <w:jc w:val="left"/>
              <w:rPr>
                <w:rFonts w:eastAsia="Times New Roman"/>
                <w:color w:val="000000"/>
                <w:kern w:val="0"/>
                <w:lang w:eastAsia="en-IN" w:bidi="mr-IN"/>
                <w14:ligatures w14:val="none"/>
              </w:rPr>
            </w:pPr>
            <w:r w:rsidRPr="000E2059">
              <w:rPr>
                <w:rFonts w:eastAsia="Times New Roman"/>
                <w:color w:val="000000"/>
                <w:kern w:val="0"/>
                <w:lang w:eastAsia="en-IN" w:bidi="mr-IN"/>
                <w14:ligatures w14:val="none"/>
              </w:rPr>
              <w:t>Further degeneration</w:t>
            </w:r>
          </w:p>
        </w:tc>
        <w:tc>
          <w:tcPr>
            <w:tcW w:w="1483" w:type="dxa"/>
            <w:vAlign w:val="center"/>
            <w:hideMark/>
          </w:tcPr>
          <w:p w14:paraId="5A9DCB96" w14:textId="77777777" w:rsidR="000E2059" w:rsidRPr="000E2059" w:rsidRDefault="000E2059" w:rsidP="000E2059">
            <w:pPr>
              <w:spacing w:after="0" w:line="240" w:lineRule="auto"/>
              <w:ind w:left="0"/>
              <w:jc w:val="left"/>
              <w:rPr>
                <w:rFonts w:eastAsia="Times New Roman"/>
                <w:color w:val="000000"/>
                <w:kern w:val="0"/>
                <w:lang w:eastAsia="en-IN" w:bidi="mr-IN"/>
                <w14:ligatures w14:val="none"/>
              </w:rPr>
            </w:pPr>
            <w:r w:rsidRPr="000E2059">
              <w:rPr>
                <w:rFonts w:eastAsia="Times New Roman"/>
                <w:color w:val="000000"/>
                <w:kern w:val="0"/>
                <w:lang w:eastAsia="en-IN" w:bidi="mr-IN"/>
                <w14:ligatures w14:val="none"/>
              </w:rPr>
              <w:t>Disintegration evident</w:t>
            </w:r>
          </w:p>
        </w:tc>
        <w:tc>
          <w:tcPr>
            <w:tcW w:w="1640" w:type="dxa"/>
            <w:vAlign w:val="center"/>
            <w:hideMark/>
          </w:tcPr>
          <w:p w14:paraId="72982F6D" w14:textId="77777777" w:rsidR="000E2059" w:rsidRPr="000E2059" w:rsidRDefault="000E2059" w:rsidP="000E2059">
            <w:pPr>
              <w:spacing w:after="0" w:line="240" w:lineRule="auto"/>
              <w:ind w:left="0"/>
              <w:jc w:val="left"/>
              <w:rPr>
                <w:rFonts w:eastAsia="Times New Roman"/>
                <w:color w:val="000000"/>
                <w:kern w:val="0"/>
                <w:lang w:eastAsia="en-IN" w:bidi="mr-IN"/>
                <w14:ligatures w14:val="none"/>
              </w:rPr>
            </w:pPr>
            <w:r w:rsidRPr="000E2059">
              <w:rPr>
                <w:rFonts w:eastAsia="Times New Roman"/>
                <w:color w:val="000000"/>
                <w:kern w:val="0"/>
                <w:lang w:eastAsia="en-IN" w:bidi="mr-IN"/>
                <w14:ligatures w14:val="none"/>
              </w:rPr>
              <w:t>Completely damaged</w:t>
            </w:r>
          </w:p>
        </w:tc>
      </w:tr>
      <w:tr w:rsidR="000C18B3" w:rsidRPr="000E2059" w14:paraId="7EB7E317" w14:textId="77777777" w:rsidTr="000C18B3">
        <w:trPr>
          <w:trHeight w:val="1178"/>
          <w:jc w:val="center"/>
        </w:trPr>
        <w:tc>
          <w:tcPr>
            <w:tcW w:w="1549" w:type="dxa"/>
            <w:vAlign w:val="center"/>
            <w:hideMark/>
          </w:tcPr>
          <w:p w14:paraId="341198B0" w14:textId="77777777" w:rsidR="000E2059" w:rsidRPr="000E2059" w:rsidRDefault="000E2059" w:rsidP="000E2059">
            <w:pPr>
              <w:spacing w:after="0" w:line="240" w:lineRule="auto"/>
              <w:ind w:left="0"/>
              <w:jc w:val="left"/>
              <w:rPr>
                <w:rFonts w:eastAsia="Times New Roman"/>
                <w:b/>
                <w:bCs/>
                <w:color w:val="000000"/>
                <w:kern w:val="0"/>
                <w:lang w:eastAsia="en-IN" w:bidi="mr-IN"/>
                <w14:ligatures w14:val="none"/>
              </w:rPr>
            </w:pPr>
            <w:proofErr w:type="spellStart"/>
            <w:r w:rsidRPr="000E2059">
              <w:rPr>
                <w:rFonts w:eastAsia="Times New Roman"/>
                <w:b/>
                <w:bCs/>
                <w:color w:val="000000"/>
                <w:kern w:val="0"/>
                <w:lang w:eastAsia="en-IN" w:bidi="mr-IN"/>
                <w14:ligatures w14:val="none"/>
              </w:rPr>
              <w:t>Procerebrum</w:t>
            </w:r>
            <w:proofErr w:type="spellEnd"/>
            <w:r w:rsidRPr="000E2059">
              <w:rPr>
                <w:rFonts w:eastAsia="Times New Roman"/>
                <w:b/>
                <w:bCs/>
                <w:color w:val="000000"/>
                <w:kern w:val="0"/>
                <w:lang w:eastAsia="en-IN" w:bidi="mr-IN"/>
                <w14:ligatures w14:val="none"/>
              </w:rPr>
              <w:t xml:space="preserve"> (</w:t>
            </w:r>
            <w:proofErr w:type="spellStart"/>
            <w:r w:rsidRPr="000E2059">
              <w:rPr>
                <w:rFonts w:eastAsia="Times New Roman"/>
                <w:b/>
                <w:bCs/>
                <w:color w:val="000000"/>
                <w:kern w:val="0"/>
                <w:lang w:eastAsia="en-IN" w:bidi="mr-IN"/>
                <w14:ligatures w14:val="none"/>
              </w:rPr>
              <w:t>globuli</w:t>
            </w:r>
            <w:proofErr w:type="spellEnd"/>
            <w:r w:rsidRPr="000E2059">
              <w:rPr>
                <w:rFonts w:eastAsia="Times New Roman"/>
                <w:b/>
                <w:bCs/>
                <w:color w:val="000000"/>
                <w:kern w:val="0"/>
                <w:lang w:eastAsia="en-IN" w:bidi="mr-IN"/>
                <w14:ligatures w14:val="none"/>
              </w:rPr>
              <w:t xml:space="preserve"> cells)</w:t>
            </w:r>
          </w:p>
        </w:tc>
        <w:tc>
          <w:tcPr>
            <w:tcW w:w="1476" w:type="dxa"/>
            <w:vAlign w:val="center"/>
            <w:hideMark/>
          </w:tcPr>
          <w:p w14:paraId="221B602C" w14:textId="77777777" w:rsidR="000E2059" w:rsidRPr="000E2059" w:rsidRDefault="000E2059" w:rsidP="000E2059">
            <w:pPr>
              <w:spacing w:after="0" w:line="240" w:lineRule="auto"/>
              <w:ind w:left="0"/>
              <w:jc w:val="left"/>
              <w:rPr>
                <w:rFonts w:eastAsia="Times New Roman"/>
                <w:color w:val="000000"/>
                <w:kern w:val="0"/>
                <w:lang w:eastAsia="en-IN" w:bidi="mr-IN"/>
                <w14:ligatures w14:val="none"/>
              </w:rPr>
            </w:pPr>
            <w:r w:rsidRPr="000E2059">
              <w:rPr>
                <w:rFonts w:eastAsia="Times New Roman"/>
                <w:color w:val="000000"/>
                <w:kern w:val="0"/>
                <w:lang w:eastAsia="en-IN" w:bidi="mr-IN"/>
                <w14:ligatures w14:val="none"/>
              </w:rPr>
              <w:t>Small cells, distinct nuclei, minimal cytoplasm</w:t>
            </w:r>
          </w:p>
        </w:tc>
        <w:tc>
          <w:tcPr>
            <w:tcW w:w="1784" w:type="dxa"/>
            <w:vAlign w:val="center"/>
            <w:hideMark/>
          </w:tcPr>
          <w:p w14:paraId="0F452F5C" w14:textId="77777777" w:rsidR="000E2059" w:rsidRPr="000E2059" w:rsidRDefault="000E2059" w:rsidP="000E2059">
            <w:pPr>
              <w:spacing w:after="0" w:line="240" w:lineRule="auto"/>
              <w:ind w:left="0"/>
              <w:jc w:val="left"/>
              <w:rPr>
                <w:rFonts w:eastAsia="Times New Roman"/>
                <w:color w:val="000000"/>
                <w:kern w:val="0"/>
                <w:lang w:eastAsia="en-IN" w:bidi="mr-IN"/>
                <w14:ligatures w14:val="none"/>
              </w:rPr>
            </w:pPr>
            <w:r w:rsidRPr="000E2059">
              <w:rPr>
                <w:rFonts w:eastAsia="Times New Roman"/>
                <w:color w:val="000000"/>
                <w:kern w:val="0"/>
                <w:lang w:eastAsia="en-IN" w:bidi="mr-IN"/>
                <w14:ligatures w14:val="none"/>
              </w:rPr>
              <w:t>Cytoplasmic vacuolization common</w:t>
            </w:r>
          </w:p>
        </w:tc>
        <w:tc>
          <w:tcPr>
            <w:tcW w:w="1418" w:type="dxa"/>
            <w:vAlign w:val="center"/>
            <w:hideMark/>
          </w:tcPr>
          <w:p w14:paraId="6C3698D0" w14:textId="77777777" w:rsidR="000E2059" w:rsidRPr="000E2059" w:rsidRDefault="000E2059" w:rsidP="000E2059">
            <w:pPr>
              <w:spacing w:after="0" w:line="240" w:lineRule="auto"/>
              <w:ind w:left="0"/>
              <w:jc w:val="left"/>
              <w:rPr>
                <w:rFonts w:eastAsia="Times New Roman"/>
                <w:color w:val="000000"/>
                <w:kern w:val="0"/>
                <w:lang w:eastAsia="en-IN" w:bidi="mr-IN"/>
                <w14:ligatures w14:val="none"/>
              </w:rPr>
            </w:pPr>
            <w:r w:rsidRPr="000E2059">
              <w:rPr>
                <w:rFonts w:eastAsia="Times New Roman"/>
                <w:color w:val="000000"/>
                <w:kern w:val="0"/>
                <w:lang w:eastAsia="en-IN" w:bidi="mr-IN"/>
                <w14:ligatures w14:val="none"/>
              </w:rPr>
              <w:t xml:space="preserve">Fusion tendency with </w:t>
            </w:r>
            <w:proofErr w:type="spellStart"/>
            <w:r w:rsidRPr="000E2059">
              <w:rPr>
                <w:rFonts w:eastAsia="Times New Roman"/>
                <w:color w:val="000000"/>
                <w:kern w:val="0"/>
                <w:lang w:eastAsia="en-IN" w:bidi="mr-IN"/>
                <w14:ligatures w14:val="none"/>
              </w:rPr>
              <w:t>mesocerebrum</w:t>
            </w:r>
            <w:proofErr w:type="spellEnd"/>
          </w:p>
        </w:tc>
        <w:tc>
          <w:tcPr>
            <w:tcW w:w="1483" w:type="dxa"/>
            <w:vAlign w:val="center"/>
            <w:hideMark/>
          </w:tcPr>
          <w:p w14:paraId="05914CD7" w14:textId="77777777" w:rsidR="000E2059" w:rsidRPr="000E2059" w:rsidRDefault="000E2059" w:rsidP="000E2059">
            <w:pPr>
              <w:spacing w:after="0" w:line="240" w:lineRule="auto"/>
              <w:ind w:left="0"/>
              <w:jc w:val="left"/>
              <w:rPr>
                <w:rFonts w:eastAsia="Times New Roman"/>
                <w:color w:val="000000"/>
                <w:kern w:val="0"/>
                <w:lang w:eastAsia="en-IN" w:bidi="mr-IN"/>
                <w14:ligatures w14:val="none"/>
              </w:rPr>
            </w:pPr>
            <w:r w:rsidRPr="000E2059">
              <w:rPr>
                <w:rFonts w:eastAsia="Times New Roman"/>
                <w:color w:val="000000"/>
                <w:kern w:val="0"/>
                <w:lang w:eastAsia="en-IN" w:bidi="mr-IN"/>
                <w14:ligatures w14:val="none"/>
              </w:rPr>
              <w:t>Strong reduction in number</w:t>
            </w:r>
          </w:p>
        </w:tc>
        <w:tc>
          <w:tcPr>
            <w:tcW w:w="1640" w:type="dxa"/>
            <w:vAlign w:val="center"/>
            <w:hideMark/>
          </w:tcPr>
          <w:p w14:paraId="323D8F86" w14:textId="77777777" w:rsidR="000E2059" w:rsidRPr="000E2059" w:rsidRDefault="000E2059" w:rsidP="000E2059">
            <w:pPr>
              <w:spacing w:after="0" w:line="240" w:lineRule="auto"/>
              <w:ind w:left="0"/>
              <w:jc w:val="left"/>
              <w:rPr>
                <w:rFonts w:eastAsia="Times New Roman"/>
                <w:color w:val="000000"/>
                <w:kern w:val="0"/>
                <w:lang w:eastAsia="en-IN" w:bidi="mr-IN"/>
                <w14:ligatures w14:val="none"/>
              </w:rPr>
            </w:pPr>
            <w:r w:rsidRPr="000E2059">
              <w:rPr>
                <w:rFonts w:eastAsia="Times New Roman"/>
                <w:color w:val="000000"/>
                <w:kern w:val="0"/>
                <w:lang w:eastAsia="en-IN" w:bidi="mr-IN"/>
                <w14:ligatures w14:val="none"/>
              </w:rPr>
              <w:t>Drastic decline</w:t>
            </w:r>
          </w:p>
        </w:tc>
      </w:tr>
      <w:tr w:rsidR="000C18B3" w:rsidRPr="000E2059" w14:paraId="07C011ED" w14:textId="77777777" w:rsidTr="000C18B3">
        <w:trPr>
          <w:trHeight w:val="1331"/>
          <w:jc w:val="center"/>
        </w:trPr>
        <w:tc>
          <w:tcPr>
            <w:tcW w:w="1549" w:type="dxa"/>
            <w:vAlign w:val="center"/>
            <w:hideMark/>
          </w:tcPr>
          <w:p w14:paraId="6F8FDA45" w14:textId="77777777" w:rsidR="000E2059" w:rsidRPr="000E2059" w:rsidRDefault="000E2059" w:rsidP="000E2059">
            <w:pPr>
              <w:spacing w:after="0" w:line="240" w:lineRule="auto"/>
              <w:ind w:left="0"/>
              <w:jc w:val="left"/>
              <w:rPr>
                <w:rFonts w:eastAsia="Times New Roman"/>
                <w:b/>
                <w:bCs/>
                <w:color w:val="000000"/>
                <w:kern w:val="0"/>
                <w:lang w:eastAsia="en-IN" w:bidi="mr-IN"/>
                <w14:ligatures w14:val="none"/>
              </w:rPr>
            </w:pPr>
            <w:proofErr w:type="spellStart"/>
            <w:r w:rsidRPr="000E2059">
              <w:rPr>
                <w:rFonts w:eastAsia="Times New Roman"/>
                <w:b/>
                <w:bCs/>
                <w:color w:val="000000"/>
                <w:kern w:val="0"/>
                <w:lang w:eastAsia="en-IN" w:bidi="mr-IN"/>
                <w14:ligatures w14:val="none"/>
              </w:rPr>
              <w:t>Mesocerebrum</w:t>
            </w:r>
            <w:proofErr w:type="spellEnd"/>
            <w:r w:rsidRPr="000E2059">
              <w:rPr>
                <w:rFonts w:eastAsia="Times New Roman"/>
                <w:b/>
                <w:bCs/>
                <w:color w:val="000000"/>
                <w:kern w:val="0"/>
                <w:lang w:eastAsia="en-IN" w:bidi="mr-IN"/>
                <w14:ligatures w14:val="none"/>
              </w:rPr>
              <w:t xml:space="preserve"> (giant cells)</w:t>
            </w:r>
          </w:p>
        </w:tc>
        <w:tc>
          <w:tcPr>
            <w:tcW w:w="1476" w:type="dxa"/>
            <w:vAlign w:val="center"/>
            <w:hideMark/>
          </w:tcPr>
          <w:p w14:paraId="7CB57F13" w14:textId="77777777" w:rsidR="000E2059" w:rsidRPr="000E2059" w:rsidRDefault="000E2059" w:rsidP="000E2059">
            <w:pPr>
              <w:spacing w:after="0" w:line="240" w:lineRule="auto"/>
              <w:ind w:left="0"/>
              <w:jc w:val="left"/>
              <w:rPr>
                <w:rFonts w:eastAsia="Times New Roman"/>
                <w:color w:val="000000"/>
                <w:kern w:val="0"/>
                <w:lang w:eastAsia="en-IN" w:bidi="mr-IN"/>
                <w14:ligatures w14:val="none"/>
              </w:rPr>
            </w:pPr>
            <w:r w:rsidRPr="000E2059">
              <w:rPr>
                <w:rFonts w:eastAsia="Times New Roman"/>
                <w:color w:val="000000"/>
                <w:kern w:val="0"/>
                <w:lang w:eastAsia="en-IN" w:bidi="mr-IN"/>
                <w14:ligatures w14:val="none"/>
              </w:rPr>
              <w:t>Numerous large &amp; giant neurons, prominent nuclei</w:t>
            </w:r>
          </w:p>
        </w:tc>
        <w:tc>
          <w:tcPr>
            <w:tcW w:w="1784" w:type="dxa"/>
            <w:vAlign w:val="center"/>
            <w:hideMark/>
          </w:tcPr>
          <w:p w14:paraId="59D8FF66" w14:textId="77777777" w:rsidR="000E2059" w:rsidRPr="000E2059" w:rsidRDefault="000E2059" w:rsidP="000E2059">
            <w:pPr>
              <w:spacing w:after="0" w:line="240" w:lineRule="auto"/>
              <w:ind w:left="0"/>
              <w:jc w:val="left"/>
              <w:rPr>
                <w:rFonts w:eastAsia="Times New Roman"/>
                <w:color w:val="000000"/>
                <w:kern w:val="0"/>
                <w:lang w:eastAsia="en-IN" w:bidi="mr-IN"/>
                <w14:ligatures w14:val="none"/>
              </w:rPr>
            </w:pPr>
            <w:r w:rsidRPr="000E2059">
              <w:rPr>
                <w:rFonts w:eastAsia="Times New Roman"/>
                <w:color w:val="000000"/>
                <w:kern w:val="0"/>
                <w:lang w:eastAsia="en-IN" w:bidi="mr-IN"/>
                <w14:ligatures w14:val="none"/>
              </w:rPr>
              <w:t>Cells enlarged but fewer</w:t>
            </w:r>
          </w:p>
        </w:tc>
        <w:tc>
          <w:tcPr>
            <w:tcW w:w="1418" w:type="dxa"/>
            <w:vAlign w:val="center"/>
            <w:hideMark/>
          </w:tcPr>
          <w:p w14:paraId="74CAE3DD" w14:textId="77777777" w:rsidR="000E2059" w:rsidRPr="000E2059" w:rsidRDefault="000E2059" w:rsidP="000E2059">
            <w:pPr>
              <w:spacing w:after="0" w:line="240" w:lineRule="auto"/>
              <w:ind w:left="0"/>
              <w:jc w:val="left"/>
              <w:rPr>
                <w:rFonts w:eastAsia="Times New Roman"/>
                <w:color w:val="000000"/>
                <w:kern w:val="0"/>
                <w:lang w:eastAsia="en-IN" w:bidi="mr-IN"/>
                <w14:ligatures w14:val="none"/>
              </w:rPr>
            </w:pPr>
            <w:r w:rsidRPr="000E2059">
              <w:rPr>
                <w:rFonts w:eastAsia="Times New Roman"/>
                <w:color w:val="000000"/>
                <w:kern w:val="0"/>
                <w:lang w:eastAsia="en-IN" w:bidi="mr-IN"/>
                <w14:ligatures w14:val="none"/>
              </w:rPr>
              <w:t>Morphology altered</w:t>
            </w:r>
          </w:p>
        </w:tc>
        <w:tc>
          <w:tcPr>
            <w:tcW w:w="1483" w:type="dxa"/>
            <w:vAlign w:val="center"/>
            <w:hideMark/>
          </w:tcPr>
          <w:p w14:paraId="26948023" w14:textId="77777777" w:rsidR="000E2059" w:rsidRPr="000E2059" w:rsidRDefault="000E2059" w:rsidP="000E2059">
            <w:pPr>
              <w:spacing w:after="0" w:line="240" w:lineRule="auto"/>
              <w:ind w:left="0"/>
              <w:jc w:val="left"/>
              <w:rPr>
                <w:rFonts w:eastAsia="Times New Roman"/>
                <w:color w:val="000000"/>
                <w:kern w:val="0"/>
                <w:lang w:eastAsia="en-IN" w:bidi="mr-IN"/>
                <w14:ligatures w14:val="none"/>
              </w:rPr>
            </w:pPr>
            <w:r w:rsidRPr="000E2059">
              <w:rPr>
                <w:rFonts w:eastAsia="Times New Roman"/>
                <w:color w:val="000000"/>
                <w:kern w:val="0"/>
                <w:lang w:eastAsia="en-IN" w:bidi="mr-IN"/>
                <w14:ligatures w14:val="none"/>
              </w:rPr>
              <w:t>Pyknotic nuclei, vacuolated cytoplasm</w:t>
            </w:r>
          </w:p>
        </w:tc>
        <w:tc>
          <w:tcPr>
            <w:tcW w:w="1640" w:type="dxa"/>
            <w:vAlign w:val="center"/>
            <w:hideMark/>
          </w:tcPr>
          <w:p w14:paraId="2A047317" w14:textId="77777777" w:rsidR="000E2059" w:rsidRPr="000E2059" w:rsidRDefault="000E2059" w:rsidP="000E2059">
            <w:pPr>
              <w:spacing w:after="0" w:line="240" w:lineRule="auto"/>
              <w:ind w:left="0"/>
              <w:jc w:val="left"/>
              <w:rPr>
                <w:rFonts w:eastAsia="Times New Roman"/>
                <w:color w:val="000000"/>
                <w:kern w:val="0"/>
                <w:lang w:eastAsia="en-IN" w:bidi="mr-IN"/>
                <w14:ligatures w14:val="none"/>
              </w:rPr>
            </w:pPr>
            <w:r w:rsidRPr="000E2059">
              <w:rPr>
                <w:rFonts w:eastAsia="Times New Roman"/>
                <w:color w:val="000000"/>
                <w:kern w:val="0"/>
                <w:lang w:eastAsia="en-IN" w:bidi="mr-IN"/>
                <w14:ligatures w14:val="none"/>
              </w:rPr>
              <w:t>Mostly degenerated</w:t>
            </w:r>
          </w:p>
        </w:tc>
      </w:tr>
      <w:tr w:rsidR="000C18B3" w:rsidRPr="000E2059" w14:paraId="3E236678" w14:textId="77777777" w:rsidTr="000C18B3">
        <w:trPr>
          <w:trHeight w:val="1160"/>
          <w:jc w:val="center"/>
        </w:trPr>
        <w:tc>
          <w:tcPr>
            <w:tcW w:w="1549" w:type="dxa"/>
            <w:vAlign w:val="center"/>
            <w:hideMark/>
          </w:tcPr>
          <w:p w14:paraId="6E7C5908" w14:textId="77777777" w:rsidR="000E2059" w:rsidRPr="000E2059" w:rsidRDefault="000E2059" w:rsidP="000E2059">
            <w:pPr>
              <w:spacing w:after="0" w:line="240" w:lineRule="auto"/>
              <w:ind w:left="0"/>
              <w:jc w:val="left"/>
              <w:rPr>
                <w:rFonts w:eastAsia="Times New Roman"/>
                <w:b/>
                <w:bCs/>
                <w:color w:val="000000"/>
                <w:kern w:val="0"/>
                <w:lang w:eastAsia="en-IN" w:bidi="mr-IN"/>
                <w14:ligatures w14:val="none"/>
              </w:rPr>
            </w:pPr>
            <w:proofErr w:type="spellStart"/>
            <w:r w:rsidRPr="000E2059">
              <w:rPr>
                <w:rFonts w:eastAsia="Times New Roman"/>
                <w:b/>
                <w:bCs/>
                <w:color w:val="000000"/>
                <w:kern w:val="0"/>
                <w:lang w:eastAsia="en-IN" w:bidi="mr-IN"/>
                <w14:ligatures w14:val="none"/>
              </w:rPr>
              <w:t>Metacerebrum</w:t>
            </w:r>
            <w:proofErr w:type="spellEnd"/>
          </w:p>
        </w:tc>
        <w:tc>
          <w:tcPr>
            <w:tcW w:w="1476" w:type="dxa"/>
            <w:vAlign w:val="center"/>
            <w:hideMark/>
          </w:tcPr>
          <w:p w14:paraId="337080FE" w14:textId="77777777" w:rsidR="000E2059" w:rsidRPr="000E2059" w:rsidRDefault="000E2059" w:rsidP="000E2059">
            <w:pPr>
              <w:spacing w:after="0" w:line="240" w:lineRule="auto"/>
              <w:ind w:left="0"/>
              <w:jc w:val="left"/>
              <w:rPr>
                <w:rFonts w:eastAsia="Times New Roman"/>
                <w:color w:val="000000"/>
                <w:kern w:val="0"/>
                <w:lang w:eastAsia="en-IN" w:bidi="mr-IN"/>
                <w14:ligatures w14:val="none"/>
              </w:rPr>
            </w:pPr>
            <w:r w:rsidRPr="000E2059">
              <w:rPr>
                <w:rFonts w:eastAsia="Times New Roman"/>
                <w:color w:val="000000"/>
                <w:kern w:val="0"/>
                <w:lang w:eastAsia="en-IN" w:bidi="mr-IN"/>
                <w14:ligatures w14:val="none"/>
              </w:rPr>
              <w:t>Clusters of large, medium &amp; small neurons</w:t>
            </w:r>
          </w:p>
        </w:tc>
        <w:tc>
          <w:tcPr>
            <w:tcW w:w="1784" w:type="dxa"/>
            <w:vAlign w:val="center"/>
            <w:hideMark/>
          </w:tcPr>
          <w:p w14:paraId="7E115820" w14:textId="77777777" w:rsidR="000E2059" w:rsidRPr="000E2059" w:rsidRDefault="000E2059" w:rsidP="000E2059">
            <w:pPr>
              <w:spacing w:after="0" w:line="240" w:lineRule="auto"/>
              <w:ind w:left="0"/>
              <w:jc w:val="left"/>
              <w:rPr>
                <w:rFonts w:eastAsia="Times New Roman"/>
                <w:color w:val="000000"/>
                <w:kern w:val="0"/>
                <w:lang w:eastAsia="en-IN" w:bidi="mr-IN"/>
                <w14:ligatures w14:val="none"/>
              </w:rPr>
            </w:pPr>
            <w:r w:rsidRPr="000E2059">
              <w:rPr>
                <w:rFonts w:eastAsia="Times New Roman"/>
                <w:color w:val="000000"/>
                <w:kern w:val="0"/>
                <w:lang w:eastAsia="en-IN" w:bidi="mr-IN"/>
                <w14:ligatures w14:val="none"/>
              </w:rPr>
              <w:t>Neuronal arrangement disturbed</w:t>
            </w:r>
          </w:p>
        </w:tc>
        <w:tc>
          <w:tcPr>
            <w:tcW w:w="1418" w:type="dxa"/>
            <w:vAlign w:val="center"/>
            <w:hideMark/>
          </w:tcPr>
          <w:p w14:paraId="7A6ECB3E" w14:textId="77777777" w:rsidR="000E2059" w:rsidRPr="000E2059" w:rsidRDefault="000E2059" w:rsidP="000E2059">
            <w:pPr>
              <w:spacing w:after="0" w:line="240" w:lineRule="auto"/>
              <w:ind w:left="0"/>
              <w:jc w:val="left"/>
              <w:rPr>
                <w:rFonts w:eastAsia="Times New Roman"/>
                <w:color w:val="000000"/>
                <w:kern w:val="0"/>
                <w:lang w:eastAsia="en-IN" w:bidi="mr-IN"/>
                <w14:ligatures w14:val="none"/>
              </w:rPr>
            </w:pPr>
            <w:r w:rsidRPr="000E2059">
              <w:rPr>
                <w:rFonts w:eastAsia="Times New Roman"/>
                <w:color w:val="000000"/>
                <w:kern w:val="0"/>
                <w:lang w:eastAsia="en-IN" w:bidi="mr-IN"/>
                <w14:ligatures w14:val="none"/>
              </w:rPr>
              <w:t>Loss of organization increases</w:t>
            </w:r>
          </w:p>
        </w:tc>
        <w:tc>
          <w:tcPr>
            <w:tcW w:w="1483" w:type="dxa"/>
            <w:vAlign w:val="center"/>
            <w:hideMark/>
          </w:tcPr>
          <w:p w14:paraId="0778010A" w14:textId="77777777" w:rsidR="000E2059" w:rsidRPr="000E2059" w:rsidRDefault="000E2059" w:rsidP="000E2059">
            <w:pPr>
              <w:spacing w:after="0" w:line="240" w:lineRule="auto"/>
              <w:ind w:left="0"/>
              <w:jc w:val="left"/>
              <w:rPr>
                <w:rFonts w:eastAsia="Times New Roman"/>
                <w:color w:val="000000"/>
                <w:kern w:val="0"/>
                <w:lang w:eastAsia="en-IN" w:bidi="mr-IN"/>
                <w14:ligatures w14:val="none"/>
              </w:rPr>
            </w:pPr>
            <w:r w:rsidRPr="000E2059">
              <w:rPr>
                <w:rFonts w:eastAsia="Times New Roman"/>
                <w:color w:val="000000"/>
                <w:kern w:val="0"/>
                <w:lang w:eastAsia="en-IN" w:bidi="mr-IN"/>
                <w14:ligatures w14:val="none"/>
              </w:rPr>
              <w:t>Small &amp; medium neurons reduced</w:t>
            </w:r>
          </w:p>
        </w:tc>
        <w:tc>
          <w:tcPr>
            <w:tcW w:w="1640" w:type="dxa"/>
            <w:vAlign w:val="center"/>
            <w:hideMark/>
          </w:tcPr>
          <w:p w14:paraId="21CC8552" w14:textId="77777777" w:rsidR="000E2059" w:rsidRPr="000E2059" w:rsidRDefault="000E2059" w:rsidP="000E2059">
            <w:pPr>
              <w:spacing w:after="0" w:line="240" w:lineRule="auto"/>
              <w:ind w:left="0"/>
              <w:jc w:val="left"/>
              <w:rPr>
                <w:rFonts w:eastAsia="Times New Roman"/>
                <w:color w:val="000000"/>
                <w:kern w:val="0"/>
                <w:lang w:eastAsia="en-IN" w:bidi="mr-IN"/>
                <w14:ligatures w14:val="none"/>
              </w:rPr>
            </w:pPr>
            <w:r w:rsidRPr="000E2059">
              <w:rPr>
                <w:rFonts w:eastAsia="Times New Roman"/>
                <w:color w:val="000000"/>
                <w:kern w:val="0"/>
                <w:lang w:eastAsia="en-IN" w:bidi="mr-IN"/>
                <w14:ligatures w14:val="none"/>
              </w:rPr>
              <w:t>Regions indistinguishable</w:t>
            </w:r>
          </w:p>
        </w:tc>
      </w:tr>
      <w:tr w:rsidR="000C18B3" w:rsidRPr="000E2059" w14:paraId="6F5096ED" w14:textId="77777777" w:rsidTr="000C18B3">
        <w:trPr>
          <w:trHeight w:val="1070"/>
          <w:jc w:val="center"/>
        </w:trPr>
        <w:tc>
          <w:tcPr>
            <w:tcW w:w="1549" w:type="dxa"/>
            <w:vAlign w:val="center"/>
            <w:hideMark/>
          </w:tcPr>
          <w:p w14:paraId="6F1ECE9A" w14:textId="77777777" w:rsidR="000E2059" w:rsidRPr="000E2059" w:rsidRDefault="000E2059" w:rsidP="000E2059">
            <w:pPr>
              <w:spacing w:after="0" w:line="240" w:lineRule="auto"/>
              <w:ind w:left="0"/>
              <w:jc w:val="left"/>
              <w:rPr>
                <w:rFonts w:eastAsia="Times New Roman"/>
                <w:b/>
                <w:bCs/>
                <w:color w:val="000000"/>
                <w:kern w:val="0"/>
                <w:lang w:eastAsia="en-IN" w:bidi="mr-IN"/>
                <w14:ligatures w14:val="none"/>
              </w:rPr>
            </w:pPr>
            <w:r w:rsidRPr="000E2059">
              <w:rPr>
                <w:rFonts w:eastAsia="Times New Roman"/>
                <w:b/>
                <w:bCs/>
                <w:color w:val="000000"/>
                <w:kern w:val="0"/>
                <w:lang w:eastAsia="en-IN" w:bidi="mr-IN"/>
                <w14:ligatures w14:val="none"/>
              </w:rPr>
              <w:t>Neuropil</w:t>
            </w:r>
          </w:p>
        </w:tc>
        <w:tc>
          <w:tcPr>
            <w:tcW w:w="1476" w:type="dxa"/>
            <w:vAlign w:val="center"/>
            <w:hideMark/>
          </w:tcPr>
          <w:p w14:paraId="0BE8CEF4" w14:textId="77777777" w:rsidR="000E2059" w:rsidRPr="000E2059" w:rsidRDefault="000E2059" w:rsidP="000E2059">
            <w:pPr>
              <w:spacing w:after="0" w:line="240" w:lineRule="auto"/>
              <w:ind w:left="0"/>
              <w:jc w:val="left"/>
              <w:rPr>
                <w:rFonts w:eastAsia="Times New Roman"/>
                <w:color w:val="000000"/>
                <w:kern w:val="0"/>
                <w:lang w:eastAsia="en-IN" w:bidi="mr-IN"/>
                <w14:ligatures w14:val="none"/>
              </w:rPr>
            </w:pPr>
            <w:r w:rsidRPr="000E2059">
              <w:rPr>
                <w:rFonts w:eastAsia="Times New Roman"/>
                <w:color w:val="000000"/>
                <w:kern w:val="0"/>
                <w:lang w:eastAsia="en-IN" w:bidi="mr-IN"/>
                <w14:ligatures w14:val="none"/>
              </w:rPr>
              <w:t>Compact, dense, well arranged</w:t>
            </w:r>
          </w:p>
        </w:tc>
        <w:tc>
          <w:tcPr>
            <w:tcW w:w="1784" w:type="dxa"/>
            <w:vAlign w:val="center"/>
            <w:hideMark/>
          </w:tcPr>
          <w:p w14:paraId="7D58146B" w14:textId="77777777" w:rsidR="000E2059" w:rsidRPr="000E2059" w:rsidRDefault="000E2059" w:rsidP="000E2059">
            <w:pPr>
              <w:spacing w:after="0" w:line="240" w:lineRule="auto"/>
              <w:ind w:left="0"/>
              <w:jc w:val="left"/>
              <w:rPr>
                <w:rFonts w:eastAsia="Times New Roman"/>
                <w:color w:val="000000"/>
                <w:kern w:val="0"/>
                <w:lang w:eastAsia="en-IN" w:bidi="mr-IN"/>
                <w14:ligatures w14:val="none"/>
              </w:rPr>
            </w:pPr>
            <w:r w:rsidRPr="000E2059">
              <w:rPr>
                <w:rFonts w:eastAsia="Times New Roman"/>
                <w:color w:val="000000"/>
                <w:kern w:val="0"/>
                <w:lang w:eastAsia="en-IN" w:bidi="mr-IN"/>
                <w14:ligatures w14:val="none"/>
              </w:rPr>
              <w:t>Swelling and vacuolization</w:t>
            </w:r>
          </w:p>
        </w:tc>
        <w:tc>
          <w:tcPr>
            <w:tcW w:w="1418" w:type="dxa"/>
            <w:vAlign w:val="center"/>
            <w:hideMark/>
          </w:tcPr>
          <w:p w14:paraId="37144C66" w14:textId="77777777" w:rsidR="000E2059" w:rsidRPr="000E2059" w:rsidRDefault="000E2059" w:rsidP="000E2059">
            <w:pPr>
              <w:spacing w:after="0" w:line="240" w:lineRule="auto"/>
              <w:ind w:left="0"/>
              <w:jc w:val="left"/>
              <w:rPr>
                <w:rFonts w:eastAsia="Times New Roman"/>
                <w:color w:val="000000"/>
                <w:kern w:val="0"/>
                <w:lang w:eastAsia="en-IN" w:bidi="mr-IN"/>
                <w14:ligatures w14:val="none"/>
              </w:rPr>
            </w:pPr>
            <w:r w:rsidRPr="000E2059">
              <w:rPr>
                <w:rFonts w:eastAsia="Times New Roman"/>
                <w:color w:val="000000"/>
                <w:kern w:val="0"/>
                <w:lang w:eastAsia="en-IN" w:bidi="mr-IN"/>
                <w14:ligatures w14:val="none"/>
              </w:rPr>
              <w:t>Hyperplasia; abnormal extension</w:t>
            </w:r>
          </w:p>
        </w:tc>
        <w:tc>
          <w:tcPr>
            <w:tcW w:w="1483" w:type="dxa"/>
            <w:vAlign w:val="center"/>
            <w:hideMark/>
          </w:tcPr>
          <w:p w14:paraId="20C3C4E4" w14:textId="77777777" w:rsidR="000E2059" w:rsidRPr="000E2059" w:rsidRDefault="000E2059" w:rsidP="000E2059">
            <w:pPr>
              <w:spacing w:after="0" w:line="240" w:lineRule="auto"/>
              <w:ind w:left="0"/>
              <w:jc w:val="left"/>
              <w:rPr>
                <w:rFonts w:eastAsia="Times New Roman"/>
                <w:color w:val="000000"/>
                <w:kern w:val="0"/>
                <w:lang w:eastAsia="en-IN" w:bidi="mr-IN"/>
                <w14:ligatures w14:val="none"/>
              </w:rPr>
            </w:pPr>
            <w:r w:rsidRPr="000E2059">
              <w:rPr>
                <w:rFonts w:eastAsia="Times New Roman"/>
                <w:color w:val="000000"/>
                <w:kern w:val="0"/>
                <w:lang w:eastAsia="en-IN" w:bidi="mr-IN"/>
                <w14:ligatures w14:val="none"/>
              </w:rPr>
              <w:t>Fragmented, vacuolated</w:t>
            </w:r>
          </w:p>
        </w:tc>
        <w:tc>
          <w:tcPr>
            <w:tcW w:w="1640" w:type="dxa"/>
            <w:vAlign w:val="center"/>
            <w:hideMark/>
          </w:tcPr>
          <w:p w14:paraId="11651E85" w14:textId="77777777" w:rsidR="000E2059" w:rsidRPr="000E2059" w:rsidRDefault="000E2059" w:rsidP="000E2059">
            <w:pPr>
              <w:spacing w:after="0" w:line="240" w:lineRule="auto"/>
              <w:ind w:left="0"/>
              <w:jc w:val="left"/>
              <w:rPr>
                <w:rFonts w:eastAsia="Times New Roman"/>
                <w:color w:val="000000"/>
                <w:kern w:val="0"/>
                <w:lang w:eastAsia="en-IN" w:bidi="mr-IN"/>
                <w14:ligatures w14:val="none"/>
              </w:rPr>
            </w:pPr>
            <w:r w:rsidRPr="000E2059">
              <w:rPr>
                <w:rFonts w:eastAsia="Times New Roman"/>
                <w:color w:val="000000"/>
                <w:kern w:val="0"/>
                <w:lang w:eastAsia="en-IN" w:bidi="mr-IN"/>
                <w14:ligatures w14:val="none"/>
              </w:rPr>
              <w:t>Heavily degenerated</w:t>
            </w:r>
          </w:p>
        </w:tc>
      </w:tr>
      <w:tr w:rsidR="000C18B3" w:rsidRPr="000E2059" w14:paraId="5E6850DE" w14:textId="77777777" w:rsidTr="000C18B3">
        <w:trPr>
          <w:trHeight w:val="620"/>
          <w:jc w:val="center"/>
        </w:trPr>
        <w:tc>
          <w:tcPr>
            <w:tcW w:w="1549" w:type="dxa"/>
            <w:vAlign w:val="center"/>
            <w:hideMark/>
          </w:tcPr>
          <w:p w14:paraId="01BAEE4C" w14:textId="77777777" w:rsidR="000E2059" w:rsidRPr="000E2059" w:rsidRDefault="000E2059" w:rsidP="000E2059">
            <w:pPr>
              <w:spacing w:after="0" w:line="240" w:lineRule="auto"/>
              <w:ind w:left="0"/>
              <w:jc w:val="left"/>
              <w:rPr>
                <w:rFonts w:eastAsia="Times New Roman"/>
                <w:b/>
                <w:bCs/>
                <w:color w:val="000000"/>
                <w:kern w:val="0"/>
                <w:lang w:eastAsia="en-IN" w:bidi="mr-IN"/>
                <w14:ligatures w14:val="none"/>
              </w:rPr>
            </w:pPr>
            <w:r w:rsidRPr="000E2059">
              <w:rPr>
                <w:rFonts w:eastAsia="Times New Roman"/>
                <w:b/>
                <w:bCs/>
                <w:color w:val="000000"/>
                <w:kern w:val="0"/>
                <w:lang w:eastAsia="en-IN" w:bidi="mr-IN"/>
                <w14:ligatures w14:val="none"/>
              </w:rPr>
              <w:t>Connective tissue</w:t>
            </w:r>
          </w:p>
        </w:tc>
        <w:tc>
          <w:tcPr>
            <w:tcW w:w="1476" w:type="dxa"/>
            <w:vAlign w:val="center"/>
            <w:hideMark/>
          </w:tcPr>
          <w:p w14:paraId="7B54982C" w14:textId="77777777" w:rsidR="000E2059" w:rsidRPr="000E2059" w:rsidRDefault="000E2059" w:rsidP="000E2059">
            <w:pPr>
              <w:spacing w:after="0" w:line="240" w:lineRule="auto"/>
              <w:ind w:left="0"/>
              <w:jc w:val="left"/>
              <w:rPr>
                <w:rFonts w:eastAsia="Times New Roman"/>
                <w:color w:val="000000"/>
                <w:kern w:val="0"/>
                <w:lang w:eastAsia="en-IN" w:bidi="mr-IN"/>
                <w14:ligatures w14:val="none"/>
              </w:rPr>
            </w:pPr>
            <w:r w:rsidRPr="000E2059">
              <w:rPr>
                <w:rFonts w:eastAsia="Times New Roman"/>
                <w:color w:val="000000"/>
                <w:kern w:val="0"/>
                <w:lang w:eastAsia="en-IN" w:bidi="mr-IN"/>
                <w14:ligatures w14:val="none"/>
              </w:rPr>
              <w:t>Normal</w:t>
            </w:r>
          </w:p>
        </w:tc>
        <w:tc>
          <w:tcPr>
            <w:tcW w:w="1784" w:type="dxa"/>
            <w:vAlign w:val="center"/>
            <w:hideMark/>
          </w:tcPr>
          <w:p w14:paraId="775EC386" w14:textId="77777777" w:rsidR="000E2059" w:rsidRPr="000E2059" w:rsidRDefault="000E2059" w:rsidP="000E2059">
            <w:pPr>
              <w:spacing w:after="0" w:line="240" w:lineRule="auto"/>
              <w:ind w:left="0"/>
              <w:jc w:val="left"/>
              <w:rPr>
                <w:rFonts w:eastAsia="Times New Roman"/>
                <w:color w:val="000000"/>
                <w:kern w:val="0"/>
                <w:lang w:eastAsia="en-IN" w:bidi="mr-IN"/>
                <w14:ligatures w14:val="none"/>
              </w:rPr>
            </w:pPr>
            <w:r w:rsidRPr="000E2059">
              <w:rPr>
                <w:rFonts w:eastAsia="Times New Roman"/>
                <w:color w:val="000000"/>
                <w:kern w:val="0"/>
                <w:lang w:eastAsia="en-IN" w:bidi="mr-IN"/>
                <w14:ligatures w14:val="none"/>
              </w:rPr>
              <w:t>Early damage signs</w:t>
            </w:r>
          </w:p>
        </w:tc>
        <w:tc>
          <w:tcPr>
            <w:tcW w:w="1418" w:type="dxa"/>
            <w:vAlign w:val="center"/>
            <w:hideMark/>
          </w:tcPr>
          <w:p w14:paraId="097FE00C" w14:textId="77777777" w:rsidR="000E2059" w:rsidRPr="000E2059" w:rsidRDefault="000E2059" w:rsidP="000E2059">
            <w:pPr>
              <w:spacing w:after="0" w:line="240" w:lineRule="auto"/>
              <w:ind w:left="0"/>
              <w:jc w:val="left"/>
              <w:rPr>
                <w:rFonts w:eastAsia="Times New Roman"/>
                <w:color w:val="000000"/>
                <w:kern w:val="0"/>
                <w:lang w:eastAsia="en-IN" w:bidi="mr-IN"/>
                <w14:ligatures w14:val="none"/>
              </w:rPr>
            </w:pPr>
            <w:r w:rsidRPr="000E2059">
              <w:rPr>
                <w:rFonts w:eastAsia="Times New Roman"/>
                <w:color w:val="000000"/>
                <w:kern w:val="0"/>
                <w:lang w:eastAsia="en-IN" w:bidi="mr-IN"/>
                <w14:ligatures w14:val="none"/>
              </w:rPr>
              <w:t>Progressive damage</w:t>
            </w:r>
          </w:p>
        </w:tc>
        <w:tc>
          <w:tcPr>
            <w:tcW w:w="1483" w:type="dxa"/>
            <w:vAlign w:val="center"/>
            <w:hideMark/>
          </w:tcPr>
          <w:p w14:paraId="09C2E349" w14:textId="77777777" w:rsidR="000E2059" w:rsidRPr="000E2059" w:rsidRDefault="000E2059" w:rsidP="000E2059">
            <w:pPr>
              <w:spacing w:after="0" w:line="240" w:lineRule="auto"/>
              <w:ind w:left="0"/>
              <w:jc w:val="left"/>
              <w:rPr>
                <w:rFonts w:eastAsia="Times New Roman"/>
                <w:color w:val="000000"/>
                <w:kern w:val="0"/>
                <w:lang w:eastAsia="en-IN" w:bidi="mr-IN"/>
                <w14:ligatures w14:val="none"/>
              </w:rPr>
            </w:pPr>
            <w:r w:rsidRPr="000E2059">
              <w:rPr>
                <w:rFonts w:eastAsia="Times New Roman"/>
                <w:color w:val="000000"/>
                <w:kern w:val="0"/>
                <w:lang w:eastAsia="en-IN" w:bidi="mr-IN"/>
                <w14:ligatures w14:val="none"/>
              </w:rPr>
              <w:t>Severe disruption</w:t>
            </w:r>
          </w:p>
        </w:tc>
        <w:tc>
          <w:tcPr>
            <w:tcW w:w="1640" w:type="dxa"/>
            <w:vAlign w:val="center"/>
            <w:hideMark/>
          </w:tcPr>
          <w:p w14:paraId="14962078" w14:textId="77777777" w:rsidR="000E2059" w:rsidRPr="000E2059" w:rsidRDefault="000E2059" w:rsidP="000E2059">
            <w:pPr>
              <w:spacing w:after="0" w:line="240" w:lineRule="auto"/>
              <w:ind w:left="0"/>
              <w:jc w:val="left"/>
              <w:rPr>
                <w:rFonts w:eastAsia="Times New Roman"/>
                <w:color w:val="000000"/>
                <w:kern w:val="0"/>
                <w:lang w:eastAsia="en-IN" w:bidi="mr-IN"/>
                <w14:ligatures w14:val="none"/>
              </w:rPr>
            </w:pPr>
            <w:r w:rsidRPr="000E2059">
              <w:rPr>
                <w:rFonts w:eastAsia="Times New Roman"/>
                <w:color w:val="000000"/>
                <w:kern w:val="0"/>
                <w:lang w:eastAsia="en-IN" w:bidi="mr-IN"/>
                <w14:ligatures w14:val="none"/>
              </w:rPr>
              <w:t>Collapsed</w:t>
            </w:r>
          </w:p>
        </w:tc>
      </w:tr>
      <w:tr w:rsidR="000C18B3" w:rsidRPr="000E2059" w14:paraId="2BA3D814" w14:textId="77777777" w:rsidTr="000C18B3">
        <w:trPr>
          <w:trHeight w:val="980"/>
          <w:jc w:val="center"/>
        </w:trPr>
        <w:tc>
          <w:tcPr>
            <w:tcW w:w="1549" w:type="dxa"/>
            <w:vAlign w:val="center"/>
            <w:hideMark/>
          </w:tcPr>
          <w:p w14:paraId="62F3341B" w14:textId="77777777" w:rsidR="000E2059" w:rsidRPr="000E2059" w:rsidRDefault="000E2059" w:rsidP="000E2059">
            <w:pPr>
              <w:spacing w:after="0" w:line="240" w:lineRule="auto"/>
              <w:ind w:left="0"/>
              <w:jc w:val="left"/>
              <w:rPr>
                <w:rFonts w:eastAsia="Times New Roman"/>
                <w:b/>
                <w:bCs/>
                <w:color w:val="000000"/>
                <w:kern w:val="0"/>
                <w:lang w:eastAsia="en-IN" w:bidi="mr-IN"/>
                <w14:ligatures w14:val="none"/>
              </w:rPr>
            </w:pPr>
            <w:r w:rsidRPr="000E2059">
              <w:rPr>
                <w:rFonts w:eastAsia="Times New Roman"/>
                <w:b/>
                <w:bCs/>
                <w:color w:val="000000"/>
                <w:kern w:val="0"/>
                <w:lang w:eastAsia="en-IN" w:bidi="mr-IN"/>
                <w14:ligatures w14:val="none"/>
              </w:rPr>
              <w:t>Cytology of neurons</w:t>
            </w:r>
          </w:p>
        </w:tc>
        <w:tc>
          <w:tcPr>
            <w:tcW w:w="1476" w:type="dxa"/>
            <w:vAlign w:val="center"/>
            <w:hideMark/>
          </w:tcPr>
          <w:p w14:paraId="2722D962" w14:textId="77777777" w:rsidR="000E2059" w:rsidRPr="000E2059" w:rsidRDefault="000E2059" w:rsidP="000E2059">
            <w:pPr>
              <w:spacing w:after="0" w:line="240" w:lineRule="auto"/>
              <w:ind w:left="0"/>
              <w:jc w:val="left"/>
              <w:rPr>
                <w:rFonts w:eastAsia="Times New Roman"/>
                <w:color w:val="000000"/>
                <w:kern w:val="0"/>
                <w:lang w:eastAsia="en-IN" w:bidi="mr-IN"/>
                <w14:ligatures w14:val="none"/>
              </w:rPr>
            </w:pPr>
            <w:r w:rsidRPr="000E2059">
              <w:rPr>
                <w:rFonts w:eastAsia="Times New Roman"/>
                <w:color w:val="000000"/>
                <w:kern w:val="0"/>
                <w:lang w:eastAsia="en-IN" w:bidi="mr-IN"/>
                <w14:ligatures w14:val="none"/>
              </w:rPr>
              <w:t>Normal staining, intact cytoplasm</w:t>
            </w:r>
          </w:p>
        </w:tc>
        <w:tc>
          <w:tcPr>
            <w:tcW w:w="1784" w:type="dxa"/>
            <w:vAlign w:val="center"/>
            <w:hideMark/>
          </w:tcPr>
          <w:p w14:paraId="7EFA5BD1" w14:textId="77777777" w:rsidR="000E2059" w:rsidRPr="000E2059" w:rsidRDefault="000E2059" w:rsidP="000E2059">
            <w:pPr>
              <w:spacing w:after="0" w:line="240" w:lineRule="auto"/>
              <w:ind w:left="0"/>
              <w:jc w:val="left"/>
              <w:rPr>
                <w:rFonts w:eastAsia="Times New Roman"/>
                <w:color w:val="000000"/>
                <w:kern w:val="0"/>
                <w:lang w:eastAsia="en-IN" w:bidi="mr-IN"/>
                <w14:ligatures w14:val="none"/>
              </w:rPr>
            </w:pPr>
            <w:r w:rsidRPr="000E2059">
              <w:rPr>
                <w:rFonts w:eastAsia="Times New Roman"/>
                <w:color w:val="000000"/>
                <w:kern w:val="0"/>
                <w:lang w:eastAsia="en-IN" w:bidi="mr-IN"/>
                <w14:ligatures w14:val="none"/>
              </w:rPr>
              <w:t>Altered morphology</w:t>
            </w:r>
          </w:p>
        </w:tc>
        <w:tc>
          <w:tcPr>
            <w:tcW w:w="1418" w:type="dxa"/>
            <w:vAlign w:val="center"/>
            <w:hideMark/>
          </w:tcPr>
          <w:p w14:paraId="65A14B3F" w14:textId="77777777" w:rsidR="000E2059" w:rsidRPr="000E2059" w:rsidRDefault="000E2059" w:rsidP="000E2059">
            <w:pPr>
              <w:spacing w:after="0" w:line="240" w:lineRule="auto"/>
              <w:ind w:left="0"/>
              <w:jc w:val="left"/>
              <w:rPr>
                <w:rFonts w:eastAsia="Times New Roman"/>
                <w:color w:val="000000"/>
                <w:kern w:val="0"/>
                <w:lang w:eastAsia="en-IN" w:bidi="mr-IN"/>
                <w14:ligatures w14:val="none"/>
              </w:rPr>
            </w:pPr>
            <w:r w:rsidRPr="000E2059">
              <w:rPr>
                <w:rFonts w:eastAsia="Times New Roman"/>
                <w:color w:val="000000"/>
                <w:kern w:val="0"/>
                <w:lang w:eastAsia="en-IN" w:bidi="mr-IN"/>
                <w14:ligatures w14:val="none"/>
              </w:rPr>
              <w:t>Degeneration, lysis, reduced staining</w:t>
            </w:r>
          </w:p>
        </w:tc>
        <w:tc>
          <w:tcPr>
            <w:tcW w:w="1483" w:type="dxa"/>
            <w:vAlign w:val="center"/>
            <w:hideMark/>
          </w:tcPr>
          <w:p w14:paraId="77D0A67F" w14:textId="77777777" w:rsidR="000E2059" w:rsidRPr="000E2059" w:rsidRDefault="000E2059" w:rsidP="000E2059">
            <w:pPr>
              <w:spacing w:after="0" w:line="240" w:lineRule="auto"/>
              <w:ind w:left="0"/>
              <w:jc w:val="left"/>
              <w:rPr>
                <w:rFonts w:eastAsia="Times New Roman"/>
                <w:color w:val="000000"/>
                <w:kern w:val="0"/>
                <w:lang w:eastAsia="en-IN" w:bidi="mr-IN"/>
                <w14:ligatures w14:val="none"/>
              </w:rPr>
            </w:pPr>
            <w:r w:rsidRPr="000E2059">
              <w:rPr>
                <w:rFonts w:eastAsia="Times New Roman"/>
                <w:color w:val="000000"/>
                <w:kern w:val="0"/>
                <w:lang w:eastAsia="en-IN" w:bidi="mr-IN"/>
                <w14:ligatures w14:val="none"/>
              </w:rPr>
              <w:t>Extensive degeneration</w:t>
            </w:r>
          </w:p>
        </w:tc>
        <w:tc>
          <w:tcPr>
            <w:tcW w:w="1640" w:type="dxa"/>
            <w:vAlign w:val="center"/>
            <w:hideMark/>
          </w:tcPr>
          <w:p w14:paraId="1A904495" w14:textId="77777777" w:rsidR="000E2059" w:rsidRPr="000E2059" w:rsidRDefault="000E2059" w:rsidP="000E2059">
            <w:pPr>
              <w:spacing w:after="0" w:line="240" w:lineRule="auto"/>
              <w:ind w:left="0"/>
              <w:jc w:val="left"/>
              <w:rPr>
                <w:rFonts w:eastAsia="Times New Roman"/>
                <w:color w:val="000000"/>
                <w:kern w:val="0"/>
                <w:lang w:eastAsia="en-IN" w:bidi="mr-IN"/>
                <w14:ligatures w14:val="none"/>
              </w:rPr>
            </w:pPr>
            <w:r w:rsidRPr="000E2059">
              <w:rPr>
                <w:rFonts w:eastAsia="Times New Roman"/>
                <w:color w:val="000000"/>
                <w:kern w:val="0"/>
                <w:lang w:eastAsia="en-IN" w:bidi="mr-IN"/>
                <w14:ligatures w14:val="none"/>
              </w:rPr>
              <w:t>Necrotic</w:t>
            </w:r>
          </w:p>
        </w:tc>
      </w:tr>
      <w:tr w:rsidR="000C18B3" w:rsidRPr="000E2059" w14:paraId="010814E7" w14:textId="77777777" w:rsidTr="000C18B3">
        <w:trPr>
          <w:trHeight w:val="980"/>
          <w:jc w:val="center"/>
        </w:trPr>
        <w:tc>
          <w:tcPr>
            <w:tcW w:w="1549" w:type="dxa"/>
            <w:vAlign w:val="center"/>
            <w:hideMark/>
          </w:tcPr>
          <w:p w14:paraId="47A549D6" w14:textId="77777777" w:rsidR="000E2059" w:rsidRPr="000E2059" w:rsidRDefault="000E2059" w:rsidP="000E2059">
            <w:pPr>
              <w:spacing w:after="0" w:line="240" w:lineRule="auto"/>
              <w:ind w:left="0"/>
              <w:jc w:val="left"/>
              <w:rPr>
                <w:rFonts w:eastAsia="Times New Roman"/>
                <w:b/>
                <w:bCs/>
                <w:color w:val="000000"/>
                <w:kern w:val="0"/>
                <w:lang w:eastAsia="en-IN" w:bidi="mr-IN"/>
                <w14:ligatures w14:val="none"/>
              </w:rPr>
            </w:pPr>
            <w:r w:rsidRPr="000E2059">
              <w:rPr>
                <w:rFonts w:eastAsia="Times New Roman"/>
                <w:b/>
                <w:bCs/>
                <w:color w:val="000000"/>
                <w:kern w:val="0"/>
                <w:lang w:eastAsia="en-IN" w:bidi="mr-IN"/>
                <w14:ligatures w14:val="none"/>
              </w:rPr>
              <w:t>Axonal / glial condition</w:t>
            </w:r>
          </w:p>
        </w:tc>
        <w:tc>
          <w:tcPr>
            <w:tcW w:w="1476" w:type="dxa"/>
            <w:vAlign w:val="center"/>
            <w:hideMark/>
          </w:tcPr>
          <w:p w14:paraId="2B0E7707" w14:textId="77777777" w:rsidR="000E2059" w:rsidRPr="000E2059" w:rsidRDefault="000E2059" w:rsidP="000E2059">
            <w:pPr>
              <w:spacing w:after="0" w:line="240" w:lineRule="auto"/>
              <w:ind w:left="0"/>
              <w:jc w:val="left"/>
              <w:rPr>
                <w:rFonts w:eastAsia="Times New Roman"/>
                <w:color w:val="000000"/>
                <w:kern w:val="0"/>
                <w:lang w:eastAsia="en-IN" w:bidi="mr-IN"/>
                <w14:ligatures w14:val="none"/>
              </w:rPr>
            </w:pPr>
            <w:r w:rsidRPr="000E2059">
              <w:rPr>
                <w:rFonts w:eastAsia="Times New Roman"/>
                <w:color w:val="000000"/>
                <w:kern w:val="0"/>
                <w:lang w:eastAsia="en-IN" w:bidi="mr-IN"/>
                <w14:ligatures w14:val="none"/>
              </w:rPr>
              <w:t>Normal</w:t>
            </w:r>
          </w:p>
        </w:tc>
        <w:tc>
          <w:tcPr>
            <w:tcW w:w="1784" w:type="dxa"/>
            <w:vAlign w:val="center"/>
            <w:hideMark/>
          </w:tcPr>
          <w:p w14:paraId="64F90AAD" w14:textId="77777777" w:rsidR="000E2059" w:rsidRPr="000E2059" w:rsidRDefault="000E2059" w:rsidP="000E2059">
            <w:pPr>
              <w:spacing w:after="0" w:line="240" w:lineRule="auto"/>
              <w:ind w:left="0"/>
              <w:jc w:val="left"/>
              <w:rPr>
                <w:rFonts w:eastAsia="Times New Roman"/>
                <w:color w:val="000000"/>
                <w:kern w:val="0"/>
                <w:lang w:eastAsia="en-IN" w:bidi="mr-IN"/>
                <w14:ligatures w14:val="none"/>
              </w:rPr>
            </w:pPr>
            <w:r w:rsidRPr="000E2059">
              <w:rPr>
                <w:rFonts w:eastAsia="Times New Roman"/>
                <w:color w:val="000000"/>
                <w:kern w:val="0"/>
                <w:lang w:eastAsia="en-IN" w:bidi="mr-IN"/>
                <w14:ligatures w14:val="none"/>
              </w:rPr>
              <w:t>Beginning alteration</w:t>
            </w:r>
          </w:p>
        </w:tc>
        <w:tc>
          <w:tcPr>
            <w:tcW w:w="1418" w:type="dxa"/>
            <w:vAlign w:val="center"/>
            <w:hideMark/>
          </w:tcPr>
          <w:p w14:paraId="411B8576" w14:textId="77777777" w:rsidR="000E2059" w:rsidRPr="000E2059" w:rsidRDefault="000E2059" w:rsidP="000E2059">
            <w:pPr>
              <w:spacing w:after="0" w:line="240" w:lineRule="auto"/>
              <w:ind w:left="0"/>
              <w:jc w:val="left"/>
              <w:rPr>
                <w:rFonts w:eastAsia="Times New Roman"/>
                <w:color w:val="000000"/>
                <w:kern w:val="0"/>
                <w:lang w:eastAsia="en-IN" w:bidi="mr-IN"/>
                <w14:ligatures w14:val="none"/>
              </w:rPr>
            </w:pPr>
            <w:r w:rsidRPr="000E2059">
              <w:rPr>
                <w:rFonts w:eastAsia="Times New Roman"/>
                <w:color w:val="000000"/>
                <w:kern w:val="0"/>
                <w:lang w:eastAsia="en-IN" w:bidi="mr-IN"/>
                <w14:ligatures w14:val="none"/>
              </w:rPr>
              <w:t>Increasing disarray</w:t>
            </w:r>
          </w:p>
        </w:tc>
        <w:tc>
          <w:tcPr>
            <w:tcW w:w="1483" w:type="dxa"/>
            <w:vAlign w:val="center"/>
            <w:hideMark/>
          </w:tcPr>
          <w:p w14:paraId="57DBC7F2" w14:textId="77777777" w:rsidR="000E2059" w:rsidRPr="000E2059" w:rsidRDefault="000E2059" w:rsidP="000E2059">
            <w:pPr>
              <w:spacing w:after="0" w:line="240" w:lineRule="auto"/>
              <w:ind w:left="0"/>
              <w:jc w:val="left"/>
              <w:rPr>
                <w:rFonts w:eastAsia="Times New Roman"/>
                <w:color w:val="000000"/>
                <w:kern w:val="0"/>
                <w:lang w:eastAsia="en-IN" w:bidi="mr-IN"/>
                <w14:ligatures w14:val="none"/>
              </w:rPr>
            </w:pPr>
            <w:r w:rsidRPr="000E2059">
              <w:rPr>
                <w:rFonts w:eastAsia="Times New Roman"/>
                <w:color w:val="000000"/>
                <w:kern w:val="0"/>
                <w:lang w:eastAsia="en-IN" w:bidi="mr-IN"/>
                <w14:ligatures w14:val="none"/>
              </w:rPr>
              <w:t>Loss of axonal integrity; glial disorientation</w:t>
            </w:r>
          </w:p>
        </w:tc>
        <w:tc>
          <w:tcPr>
            <w:tcW w:w="1640" w:type="dxa"/>
            <w:vAlign w:val="center"/>
            <w:hideMark/>
          </w:tcPr>
          <w:p w14:paraId="25928514" w14:textId="77777777" w:rsidR="000E2059" w:rsidRPr="000E2059" w:rsidRDefault="000E2059" w:rsidP="000E2059">
            <w:pPr>
              <w:spacing w:after="0" w:line="240" w:lineRule="auto"/>
              <w:ind w:left="0"/>
              <w:jc w:val="left"/>
              <w:rPr>
                <w:rFonts w:eastAsia="Times New Roman"/>
                <w:color w:val="000000"/>
                <w:kern w:val="0"/>
                <w:lang w:eastAsia="en-IN" w:bidi="mr-IN"/>
                <w14:ligatures w14:val="none"/>
              </w:rPr>
            </w:pPr>
            <w:r w:rsidRPr="000E2059">
              <w:rPr>
                <w:rFonts w:eastAsia="Times New Roman"/>
                <w:color w:val="000000"/>
                <w:kern w:val="0"/>
                <w:lang w:eastAsia="en-IN" w:bidi="mr-IN"/>
                <w14:ligatures w14:val="none"/>
              </w:rPr>
              <w:t>Structural failure</w:t>
            </w:r>
          </w:p>
        </w:tc>
      </w:tr>
      <w:tr w:rsidR="000C18B3" w:rsidRPr="000E2059" w14:paraId="15DD18A1" w14:textId="77777777" w:rsidTr="000C18B3">
        <w:trPr>
          <w:trHeight w:val="791"/>
          <w:jc w:val="center"/>
        </w:trPr>
        <w:tc>
          <w:tcPr>
            <w:tcW w:w="1549" w:type="dxa"/>
            <w:vAlign w:val="center"/>
            <w:hideMark/>
          </w:tcPr>
          <w:p w14:paraId="2E16A415" w14:textId="77777777" w:rsidR="000E2059" w:rsidRPr="000E2059" w:rsidRDefault="000E2059" w:rsidP="000E2059">
            <w:pPr>
              <w:spacing w:after="0" w:line="240" w:lineRule="auto"/>
              <w:ind w:left="0"/>
              <w:jc w:val="left"/>
              <w:rPr>
                <w:rFonts w:eastAsia="Times New Roman"/>
                <w:b/>
                <w:bCs/>
                <w:color w:val="000000"/>
                <w:kern w:val="0"/>
                <w:lang w:eastAsia="en-IN" w:bidi="mr-IN"/>
                <w14:ligatures w14:val="none"/>
              </w:rPr>
            </w:pPr>
            <w:r w:rsidRPr="000E2059">
              <w:rPr>
                <w:rFonts w:eastAsia="Times New Roman"/>
                <w:b/>
                <w:bCs/>
                <w:color w:val="000000"/>
                <w:kern w:val="0"/>
                <w:lang w:eastAsia="en-IN" w:bidi="mr-IN"/>
                <w14:ligatures w14:val="none"/>
              </w:rPr>
              <w:t>General outcome</w:t>
            </w:r>
          </w:p>
        </w:tc>
        <w:tc>
          <w:tcPr>
            <w:tcW w:w="1476" w:type="dxa"/>
            <w:vAlign w:val="center"/>
            <w:hideMark/>
          </w:tcPr>
          <w:p w14:paraId="35A17C04" w14:textId="77777777" w:rsidR="000E2059" w:rsidRPr="000E2059" w:rsidRDefault="000E2059" w:rsidP="000E2059">
            <w:pPr>
              <w:spacing w:after="0" w:line="240" w:lineRule="auto"/>
              <w:ind w:left="0"/>
              <w:jc w:val="left"/>
              <w:rPr>
                <w:rFonts w:eastAsia="Times New Roman"/>
                <w:color w:val="000000"/>
                <w:kern w:val="0"/>
                <w:lang w:eastAsia="en-IN" w:bidi="mr-IN"/>
                <w14:ligatures w14:val="none"/>
              </w:rPr>
            </w:pPr>
            <w:r w:rsidRPr="000E2059">
              <w:rPr>
                <w:rFonts w:eastAsia="Times New Roman"/>
                <w:color w:val="000000"/>
                <w:kern w:val="0"/>
                <w:lang w:eastAsia="en-IN" w:bidi="mr-IN"/>
                <w14:ligatures w14:val="none"/>
              </w:rPr>
              <w:t>Healthy neural tissue</w:t>
            </w:r>
          </w:p>
        </w:tc>
        <w:tc>
          <w:tcPr>
            <w:tcW w:w="1784" w:type="dxa"/>
            <w:vAlign w:val="center"/>
            <w:hideMark/>
          </w:tcPr>
          <w:p w14:paraId="0F1F8840" w14:textId="77777777" w:rsidR="000E2059" w:rsidRPr="000E2059" w:rsidRDefault="000E2059" w:rsidP="000E2059">
            <w:pPr>
              <w:spacing w:after="0" w:line="240" w:lineRule="auto"/>
              <w:ind w:left="0"/>
              <w:jc w:val="left"/>
              <w:rPr>
                <w:rFonts w:eastAsia="Times New Roman"/>
                <w:color w:val="000000"/>
                <w:kern w:val="0"/>
                <w:lang w:eastAsia="en-IN" w:bidi="mr-IN"/>
                <w14:ligatures w14:val="none"/>
              </w:rPr>
            </w:pPr>
            <w:r w:rsidRPr="000E2059">
              <w:rPr>
                <w:rFonts w:eastAsia="Times New Roman"/>
                <w:color w:val="000000"/>
                <w:kern w:val="0"/>
                <w:lang w:eastAsia="en-IN" w:bidi="mr-IN"/>
                <w14:ligatures w14:val="none"/>
              </w:rPr>
              <w:t>Initial neurodegeneration</w:t>
            </w:r>
          </w:p>
        </w:tc>
        <w:tc>
          <w:tcPr>
            <w:tcW w:w="1418" w:type="dxa"/>
            <w:vAlign w:val="center"/>
            <w:hideMark/>
          </w:tcPr>
          <w:p w14:paraId="47BAB280" w14:textId="77777777" w:rsidR="000E2059" w:rsidRPr="000E2059" w:rsidRDefault="000E2059" w:rsidP="000E2059">
            <w:pPr>
              <w:spacing w:after="0" w:line="240" w:lineRule="auto"/>
              <w:ind w:left="0"/>
              <w:jc w:val="left"/>
              <w:rPr>
                <w:rFonts w:eastAsia="Times New Roman"/>
                <w:color w:val="000000"/>
                <w:kern w:val="0"/>
                <w:lang w:eastAsia="en-IN" w:bidi="mr-IN"/>
                <w14:ligatures w14:val="none"/>
              </w:rPr>
            </w:pPr>
            <w:r w:rsidRPr="000E2059">
              <w:rPr>
                <w:rFonts w:eastAsia="Times New Roman"/>
                <w:color w:val="000000"/>
                <w:kern w:val="0"/>
                <w:lang w:eastAsia="en-IN" w:bidi="mr-IN"/>
                <w14:ligatures w14:val="none"/>
              </w:rPr>
              <w:t>Advanced pathology</w:t>
            </w:r>
          </w:p>
        </w:tc>
        <w:tc>
          <w:tcPr>
            <w:tcW w:w="1483" w:type="dxa"/>
            <w:vAlign w:val="center"/>
            <w:hideMark/>
          </w:tcPr>
          <w:p w14:paraId="605EBBA1" w14:textId="77777777" w:rsidR="000E2059" w:rsidRPr="000E2059" w:rsidRDefault="000E2059" w:rsidP="000E2059">
            <w:pPr>
              <w:spacing w:after="0" w:line="240" w:lineRule="auto"/>
              <w:ind w:left="0"/>
              <w:jc w:val="left"/>
              <w:rPr>
                <w:rFonts w:eastAsia="Times New Roman"/>
                <w:color w:val="000000"/>
                <w:kern w:val="0"/>
                <w:lang w:eastAsia="en-IN" w:bidi="mr-IN"/>
                <w14:ligatures w14:val="none"/>
              </w:rPr>
            </w:pPr>
            <w:r w:rsidRPr="000E2059">
              <w:rPr>
                <w:rFonts w:eastAsia="Times New Roman"/>
                <w:color w:val="000000"/>
                <w:kern w:val="0"/>
                <w:lang w:eastAsia="en-IN" w:bidi="mr-IN"/>
                <w14:ligatures w14:val="none"/>
              </w:rPr>
              <w:t>Extensive tissue damage</w:t>
            </w:r>
          </w:p>
        </w:tc>
        <w:tc>
          <w:tcPr>
            <w:tcW w:w="1640" w:type="dxa"/>
            <w:vAlign w:val="center"/>
            <w:hideMark/>
          </w:tcPr>
          <w:p w14:paraId="2D50F53E" w14:textId="77777777" w:rsidR="000E2059" w:rsidRPr="000E2059" w:rsidRDefault="000E2059" w:rsidP="000E2059">
            <w:pPr>
              <w:spacing w:after="0" w:line="240" w:lineRule="auto"/>
              <w:ind w:left="0"/>
              <w:jc w:val="left"/>
              <w:rPr>
                <w:rFonts w:eastAsia="Times New Roman"/>
                <w:color w:val="000000"/>
                <w:kern w:val="0"/>
                <w:lang w:eastAsia="en-IN" w:bidi="mr-IN"/>
                <w14:ligatures w14:val="none"/>
              </w:rPr>
            </w:pPr>
            <w:r w:rsidRPr="000E2059">
              <w:rPr>
                <w:rFonts w:eastAsia="Times New Roman"/>
                <w:color w:val="000000"/>
                <w:kern w:val="0"/>
                <w:lang w:eastAsia="en-IN" w:bidi="mr-IN"/>
                <w14:ligatures w14:val="none"/>
              </w:rPr>
              <w:t>Complete disorganization</w:t>
            </w:r>
          </w:p>
        </w:tc>
      </w:tr>
    </w:tbl>
    <w:p w14:paraId="0DD34D76" w14:textId="77777777" w:rsidR="000B4D82" w:rsidRPr="000B4D82" w:rsidRDefault="000B4D82" w:rsidP="000B4D82">
      <w:pPr>
        <w:ind w:left="720"/>
        <w:rPr>
          <w:sz w:val="24"/>
          <w:szCs w:val="24"/>
        </w:rPr>
      </w:pPr>
    </w:p>
    <w:p w14:paraId="14E65DB2" w14:textId="2F88F3FD" w:rsidR="000B4D82" w:rsidRDefault="00C220BA" w:rsidP="001F7920">
      <w:pPr>
        <w:ind w:left="0"/>
        <w:rPr>
          <w:b/>
          <w:bCs/>
          <w:sz w:val="24"/>
          <w:szCs w:val="24"/>
        </w:rPr>
      </w:pPr>
      <w:r>
        <w:rPr>
          <w:b/>
          <w:bCs/>
          <w:sz w:val="24"/>
          <w:szCs w:val="24"/>
        </w:rPr>
        <w:t xml:space="preserve">4.0 </w:t>
      </w:r>
      <w:r w:rsidR="00E916C7">
        <w:rPr>
          <w:b/>
          <w:bCs/>
          <w:sz w:val="24"/>
          <w:szCs w:val="24"/>
        </w:rPr>
        <w:t>Conclusion-</w:t>
      </w:r>
    </w:p>
    <w:p w14:paraId="3EEF3637" w14:textId="1E644135" w:rsidR="00E916C7" w:rsidRPr="00E916C7" w:rsidRDefault="00E916C7" w:rsidP="001F7920">
      <w:pPr>
        <w:ind w:left="0"/>
        <w:rPr>
          <w:sz w:val="24"/>
          <w:szCs w:val="24"/>
        </w:rPr>
      </w:pPr>
      <w:r w:rsidRPr="00E916C7">
        <w:rPr>
          <w:sz w:val="24"/>
          <w:szCs w:val="24"/>
        </w:rPr>
        <w:t>The histological progression summarized in the table demonstrates a clear, concentration-dependent neurotoxic impact of silver oxide nanoparticles (</w:t>
      </w:r>
      <w:proofErr w:type="spellStart"/>
      <w:r w:rsidRPr="00E916C7">
        <w:rPr>
          <w:sz w:val="24"/>
          <w:szCs w:val="24"/>
        </w:rPr>
        <w:t>Ag₂O</w:t>
      </w:r>
      <w:proofErr w:type="spellEnd"/>
      <w:r w:rsidRPr="00E916C7">
        <w:rPr>
          <w:sz w:val="24"/>
          <w:szCs w:val="24"/>
        </w:rPr>
        <w:t xml:space="preserve"> NPs) on the cerebral ganglia of </w:t>
      </w:r>
      <w:proofErr w:type="spellStart"/>
      <w:r w:rsidR="001F7920">
        <w:rPr>
          <w:i/>
          <w:iCs/>
          <w:sz w:val="24"/>
          <w:szCs w:val="24"/>
        </w:rPr>
        <w:t>Lissa</w:t>
      </w:r>
      <w:r w:rsidRPr="00E916C7">
        <w:rPr>
          <w:i/>
          <w:iCs/>
          <w:sz w:val="24"/>
          <w:szCs w:val="24"/>
        </w:rPr>
        <w:t>chatina</w:t>
      </w:r>
      <w:proofErr w:type="spellEnd"/>
      <w:r w:rsidRPr="00E916C7">
        <w:rPr>
          <w:i/>
          <w:iCs/>
          <w:sz w:val="24"/>
          <w:szCs w:val="24"/>
        </w:rPr>
        <w:t xml:space="preserve"> </w:t>
      </w:r>
      <w:proofErr w:type="spellStart"/>
      <w:r w:rsidRPr="00E916C7">
        <w:rPr>
          <w:i/>
          <w:iCs/>
          <w:sz w:val="24"/>
          <w:szCs w:val="24"/>
        </w:rPr>
        <w:t>fulica</w:t>
      </w:r>
      <w:proofErr w:type="spellEnd"/>
      <w:r w:rsidRPr="00E916C7">
        <w:rPr>
          <w:sz w:val="24"/>
          <w:szCs w:val="24"/>
        </w:rPr>
        <w:t>. Neural tissues in the control group display well-defined regional organization, intact protective layers, compact neuropil, and healthy neuronal cytology.</w:t>
      </w:r>
    </w:p>
    <w:p w14:paraId="79FFC10E" w14:textId="62BCE8B5" w:rsidR="00E916C7" w:rsidRPr="00E916C7" w:rsidRDefault="00E916C7" w:rsidP="001F7920">
      <w:pPr>
        <w:ind w:left="0"/>
        <w:rPr>
          <w:sz w:val="24"/>
          <w:szCs w:val="24"/>
        </w:rPr>
      </w:pPr>
      <w:r w:rsidRPr="00E916C7">
        <w:rPr>
          <w:sz w:val="24"/>
          <w:szCs w:val="24"/>
        </w:rPr>
        <w:t xml:space="preserve">With low exposure, the earliest responses include mild architectural disturbance, cytoplasmic vacuolization, and the beginning of perineurial and axonal alterations, indicating the onset of neurodegeneration. As exposure increases, structural integrity declines markedly. neuronal arrangement becomes irregular, and both </w:t>
      </w:r>
      <w:proofErr w:type="spellStart"/>
      <w:r w:rsidRPr="00E916C7">
        <w:rPr>
          <w:sz w:val="24"/>
          <w:szCs w:val="24"/>
        </w:rPr>
        <w:t>globuli</w:t>
      </w:r>
      <w:proofErr w:type="spellEnd"/>
      <w:r w:rsidRPr="00E916C7">
        <w:rPr>
          <w:sz w:val="24"/>
          <w:szCs w:val="24"/>
        </w:rPr>
        <w:t xml:space="preserve"> and giant cells show reductions in number together with nuclear abnormalities.</w:t>
      </w:r>
    </w:p>
    <w:p w14:paraId="639E378F" w14:textId="77777777" w:rsidR="00E916C7" w:rsidRPr="00E916C7" w:rsidRDefault="00E916C7" w:rsidP="001F7920">
      <w:pPr>
        <w:ind w:left="0"/>
        <w:rPr>
          <w:sz w:val="24"/>
          <w:szCs w:val="24"/>
        </w:rPr>
      </w:pPr>
      <w:r w:rsidRPr="00E916C7">
        <w:rPr>
          <w:sz w:val="24"/>
          <w:szCs w:val="24"/>
        </w:rPr>
        <w:t>At high and severe concentrations, damage becomes extensive and often irreversible. The ganglionic framework collapses, neuropil fragments, connective tissues disintegrate, and neurons exhibit pyknosis, lysis, and necrosis. Ultimately, regional identity is lost and the nervous system reaches a stage of complete disorganization.</w:t>
      </w:r>
    </w:p>
    <w:p w14:paraId="47C6645B" w14:textId="2FA978AC" w:rsidR="00E916C7" w:rsidRPr="00E916C7" w:rsidRDefault="00E916C7" w:rsidP="001F7920">
      <w:pPr>
        <w:ind w:left="0"/>
        <w:rPr>
          <w:sz w:val="24"/>
          <w:szCs w:val="24"/>
        </w:rPr>
      </w:pPr>
      <w:r w:rsidRPr="00E916C7">
        <w:rPr>
          <w:sz w:val="24"/>
          <w:szCs w:val="24"/>
        </w:rPr>
        <w:t xml:space="preserve">Overall, the findings indicate that </w:t>
      </w:r>
      <w:r w:rsidR="00764865">
        <w:rPr>
          <w:sz w:val="24"/>
          <w:szCs w:val="24"/>
        </w:rPr>
        <w:t>Silver oxide (</w:t>
      </w:r>
      <w:proofErr w:type="spellStart"/>
      <w:r w:rsidRPr="00E916C7">
        <w:rPr>
          <w:sz w:val="24"/>
          <w:szCs w:val="24"/>
        </w:rPr>
        <w:t>Ag₂O</w:t>
      </w:r>
      <w:proofErr w:type="spellEnd"/>
      <w:r w:rsidRPr="00E916C7">
        <w:rPr>
          <w:sz w:val="24"/>
          <w:szCs w:val="24"/>
        </w:rPr>
        <w:t xml:space="preserve"> </w:t>
      </w:r>
      <w:proofErr w:type="gramStart"/>
      <w:r w:rsidRPr="00E916C7">
        <w:rPr>
          <w:sz w:val="24"/>
          <w:szCs w:val="24"/>
        </w:rPr>
        <w:t>NP</w:t>
      </w:r>
      <w:r w:rsidR="00764865">
        <w:rPr>
          <w:sz w:val="24"/>
          <w:szCs w:val="24"/>
        </w:rPr>
        <w:t xml:space="preserve">) </w:t>
      </w:r>
      <w:r w:rsidRPr="00E916C7">
        <w:rPr>
          <w:sz w:val="24"/>
          <w:szCs w:val="24"/>
        </w:rPr>
        <w:t xml:space="preserve"> toxicity</w:t>
      </w:r>
      <w:proofErr w:type="gramEnd"/>
      <w:r w:rsidRPr="00E916C7">
        <w:rPr>
          <w:sz w:val="24"/>
          <w:szCs w:val="24"/>
        </w:rPr>
        <w:t xml:space="preserve"> escalates from subtle cellular stress to catastrophic neural destruction as dose intensifies, confirming a strong dose–response relationship and highlighting the vulnerability of molluscan neural tissue to nanoparticle exposure.</w:t>
      </w:r>
    </w:p>
    <w:p w14:paraId="368E1211" w14:textId="77777777" w:rsidR="00E916C7" w:rsidRPr="000B4D82" w:rsidRDefault="00E916C7" w:rsidP="004E5CEA">
      <w:pPr>
        <w:ind w:left="720"/>
        <w:rPr>
          <w:b/>
          <w:bCs/>
          <w:sz w:val="24"/>
          <w:szCs w:val="24"/>
        </w:rPr>
      </w:pPr>
    </w:p>
    <w:p w14:paraId="2E96187D" w14:textId="77777777" w:rsidR="004E5CEA" w:rsidRDefault="004E5CEA" w:rsidP="004E5CEA">
      <w:pPr>
        <w:ind w:firstLine="720"/>
        <w:rPr>
          <w:b/>
          <w:bCs/>
          <w:sz w:val="24"/>
          <w:szCs w:val="24"/>
        </w:rPr>
      </w:pPr>
    </w:p>
    <w:p w14:paraId="215A632D" w14:textId="5FA9531E" w:rsidR="00FF7C1F" w:rsidRPr="00A7015F" w:rsidRDefault="00FF7C1F" w:rsidP="00FF7C1F">
      <w:pPr>
        <w:pageBreakBefore/>
        <w:numPr>
          <w:ilvl w:val="1"/>
          <w:numId w:val="1"/>
        </w:numPr>
        <w:ind w:left="90"/>
        <w:rPr>
          <w:sz w:val="24"/>
          <w:szCs w:val="24"/>
        </w:rPr>
      </w:pPr>
      <w:r w:rsidRPr="00A7015F">
        <w:rPr>
          <w:b/>
          <w:bCs/>
          <w:sz w:val="24"/>
          <w:szCs w:val="24"/>
        </w:rPr>
        <w:lastRenderedPageBreak/>
        <w:tab/>
      </w:r>
      <w:r w:rsidRPr="00A7015F">
        <w:rPr>
          <w:b/>
          <w:bCs/>
          <w:sz w:val="24"/>
          <w:szCs w:val="24"/>
        </w:rPr>
        <w:tab/>
      </w:r>
      <w:r w:rsidRPr="00A7015F">
        <w:rPr>
          <w:sz w:val="24"/>
          <w:szCs w:val="24"/>
        </w:rPr>
        <w:t>.</w:t>
      </w:r>
    </w:p>
    <w:p w14:paraId="42896533" w14:textId="77777777" w:rsidR="00650B93" w:rsidRPr="00EB7ACB" w:rsidRDefault="00650B93" w:rsidP="00650B93">
      <w:pPr>
        <w:ind w:left="90"/>
        <w:rPr>
          <w:sz w:val="28"/>
          <w:szCs w:val="28"/>
        </w:rPr>
      </w:pPr>
      <w:r w:rsidRPr="00EB7ACB">
        <w:rPr>
          <w:b/>
          <w:bCs/>
          <w:sz w:val="28"/>
          <w:szCs w:val="28"/>
        </w:rPr>
        <w:t>Research Highlight</w:t>
      </w:r>
      <w:r w:rsidRPr="00EB7ACB">
        <w:rPr>
          <w:sz w:val="28"/>
          <w:szCs w:val="28"/>
        </w:rPr>
        <w:t>-</w:t>
      </w:r>
    </w:p>
    <w:p w14:paraId="2BFC1C56" w14:textId="77777777" w:rsidR="00650B93" w:rsidRDefault="00650B93" w:rsidP="00650B93">
      <w:pPr>
        <w:pStyle w:val="ListParagraph"/>
        <w:numPr>
          <w:ilvl w:val="0"/>
          <w:numId w:val="4"/>
        </w:numPr>
        <w:rPr>
          <w:sz w:val="24"/>
          <w:szCs w:val="24"/>
        </w:rPr>
      </w:pPr>
      <w:r w:rsidRPr="00F83D14">
        <w:rPr>
          <w:sz w:val="24"/>
          <w:szCs w:val="24"/>
        </w:rPr>
        <w:t xml:space="preserve">Recent investigations indicate that silver oxide </w:t>
      </w:r>
      <w:bookmarkStart w:id="0" w:name="_GoBack"/>
      <w:bookmarkEnd w:id="0"/>
      <w:r w:rsidRPr="00F83D14">
        <w:rPr>
          <w:sz w:val="24"/>
          <w:szCs w:val="24"/>
        </w:rPr>
        <w:t>(</w:t>
      </w:r>
      <w:proofErr w:type="spellStart"/>
      <w:r w:rsidRPr="00F83D14">
        <w:rPr>
          <w:sz w:val="24"/>
          <w:szCs w:val="24"/>
        </w:rPr>
        <w:t>Ag₂O</w:t>
      </w:r>
      <w:proofErr w:type="spellEnd"/>
      <w:r w:rsidRPr="00F83D14">
        <w:rPr>
          <w:sz w:val="24"/>
          <w:szCs w:val="24"/>
        </w:rPr>
        <w:t xml:space="preserve">) nanoparticles exert strong cytotoxic effects in the land snail </w:t>
      </w:r>
      <w:proofErr w:type="spellStart"/>
      <w:r w:rsidRPr="00F83D14">
        <w:rPr>
          <w:i/>
          <w:iCs/>
          <w:sz w:val="24"/>
          <w:szCs w:val="24"/>
        </w:rPr>
        <w:t>Lissachatina</w:t>
      </w:r>
      <w:proofErr w:type="spellEnd"/>
      <w:r w:rsidRPr="00F83D14">
        <w:rPr>
          <w:i/>
          <w:iCs/>
          <w:sz w:val="24"/>
          <w:szCs w:val="24"/>
        </w:rPr>
        <w:t xml:space="preserve"> </w:t>
      </w:r>
      <w:proofErr w:type="spellStart"/>
      <w:r w:rsidRPr="00F83D14">
        <w:rPr>
          <w:i/>
          <w:iCs/>
          <w:sz w:val="24"/>
          <w:szCs w:val="24"/>
        </w:rPr>
        <w:t>fulica</w:t>
      </w:r>
      <w:proofErr w:type="spellEnd"/>
      <w:r w:rsidRPr="00F83D14">
        <w:rPr>
          <w:sz w:val="24"/>
          <w:szCs w:val="24"/>
        </w:rPr>
        <w:t>.</w:t>
      </w:r>
    </w:p>
    <w:p w14:paraId="01D7DBAC" w14:textId="77777777" w:rsidR="00650B93" w:rsidRDefault="00650B93" w:rsidP="00650B93">
      <w:pPr>
        <w:pStyle w:val="ListParagraph"/>
        <w:numPr>
          <w:ilvl w:val="0"/>
          <w:numId w:val="4"/>
        </w:numPr>
        <w:rPr>
          <w:sz w:val="24"/>
          <w:szCs w:val="24"/>
        </w:rPr>
      </w:pPr>
      <w:proofErr w:type="spellStart"/>
      <w:r w:rsidRPr="00F83D14">
        <w:rPr>
          <w:i/>
          <w:iCs/>
          <w:sz w:val="24"/>
          <w:szCs w:val="24"/>
        </w:rPr>
        <w:t>Lissachatina</w:t>
      </w:r>
      <w:proofErr w:type="spellEnd"/>
      <w:r w:rsidRPr="00F83D14">
        <w:rPr>
          <w:i/>
          <w:iCs/>
          <w:sz w:val="24"/>
          <w:szCs w:val="24"/>
        </w:rPr>
        <w:t xml:space="preserve"> </w:t>
      </w:r>
      <w:proofErr w:type="spellStart"/>
      <w:r w:rsidRPr="00F83D14">
        <w:rPr>
          <w:i/>
          <w:iCs/>
          <w:sz w:val="24"/>
          <w:szCs w:val="24"/>
        </w:rPr>
        <w:t>fulica</w:t>
      </w:r>
      <w:proofErr w:type="spellEnd"/>
      <w:r w:rsidRPr="00F83D14">
        <w:rPr>
          <w:sz w:val="24"/>
          <w:szCs w:val="24"/>
        </w:rPr>
        <w:t xml:space="preserve"> is a major non-insect agricultural pest responsible for considerable economic losses in crop production.</w:t>
      </w:r>
    </w:p>
    <w:p w14:paraId="51131373" w14:textId="77777777" w:rsidR="00650B93" w:rsidRDefault="00650B93" w:rsidP="00650B93">
      <w:pPr>
        <w:pStyle w:val="ListParagraph"/>
        <w:numPr>
          <w:ilvl w:val="0"/>
          <w:numId w:val="4"/>
        </w:numPr>
        <w:rPr>
          <w:sz w:val="24"/>
          <w:szCs w:val="24"/>
        </w:rPr>
      </w:pPr>
      <w:r w:rsidRPr="00F83D14">
        <w:rPr>
          <w:sz w:val="24"/>
          <w:szCs w:val="24"/>
        </w:rPr>
        <w:t xml:space="preserve">The present study aims to evaluate the neurotoxic potential of </w:t>
      </w:r>
      <w:proofErr w:type="spellStart"/>
      <w:r w:rsidRPr="00F83D14">
        <w:rPr>
          <w:sz w:val="24"/>
          <w:szCs w:val="24"/>
        </w:rPr>
        <w:t>Ag₂O</w:t>
      </w:r>
      <w:proofErr w:type="spellEnd"/>
      <w:r w:rsidRPr="00F83D14">
        <w:rPr>
          <w:sz w:val="24"/>
          <w:szCs w:val="24"/>
        </w:rPr>
        <w:t xml:space="preserve"> nanoparticles by examining histological alterations in the brain tissue.</w:t>
      </w:r>
    </w:p>
    <w:p w14:paraId="63DE04EF" w14:textId="77777777" w:rsidR="00650B93" w:rsidRDefault="00650B93" w:rsidP="00650B93">
      <w:pPr>
        <w:pStyle w:val="ListParagraph"/>
        <w:numPr>
          <w:ilvl w:val="0"/>
          <w:numId w:val="4"/>
        </w:numPr>
        <w:rPr>
          <w:sz w:val="24"/>
          <w:szCs w:val="24"/>
        </w:rPr>
      </w:pPr>
      <w:r w:rsidRPr="00F83D14">
        <w:rPr>
          <w:sz w:val="24"/>
          <w:szCs w:val="24"/>
        </w:rPr>
        <w:t>Exposure to the nanoparticles resulted in pronounced structural and cellular damage within the cerebral architecture.</w:t>
      </w:r>
    </w:p>
    <w:p w14:paraId="339A53B0" w14:textId="77777777" w:rsidR="00650B93" w:rsidRPr="00EB7ACB" w:rsidRDefault="00650B93" w:rsidP="00FF7C1F">
      <w:pPr>
        <w:pStyle w:val="Default"/>
        <w:spacing w:line="360" w:lineRule="auto"/>
        <w:ind w:left="90"/>
        <w:jc w:val="both"/>
        <w:rPr>
          <w:color w:val="auto"/>
        </w:rPr>
      </w:pPr>
    </w:p>
    <w:p w14:paraId="4622A720" w14:textId="4C6FB5AE" w:rsidR="00FF7C1F" w:rsidRDefault="00C220BA" w:rsidP="00FF7C1F">
      <w:pPr>
        <w:numPr>
          <w:ilvl w:val="0"/>
          <w:numId w:val="2"/>
        </w:numPr>
        <w:ind w:left="90"/>
        <w:rPr>
          <w:b/>
          <w:bCs/>
          <w:sz w:val="28"/>
          <w:szCs w:val="28"/>
        </w:rPr>
      </w:pPr>
      <w:proofErr w:type="gramStart"/>
      <w:r>
        <w:rPr>
          <w:b/>
          <w:bCs/>
          <w:sz w:val="28"/>
          <w:szCs w:val="28"/>
        </w:rPr>
        <w:t xml:space="preserve">5.0 </w:t>
      </w:r>
      <w:r w:rsidR="00FF7C1F" w:rsidRPr="00EB7ACB">
        <w:rPr>
          <w:b/>
          <w:bCs/>
          <w:sz w:val="28"/>
          <w:szCs w:val="28"/>
        </w:rPr>
        <w:t>.</w:t>
      </w:r>
      <w:proofErr w:type="gramEnd"/>
      <w:r w:rsidR="00FF7C1F" w:rsidRPr="00EB7ACB">
        <w:rPr>
          <w:b/>
          <w:bCs/>
          <w:sz w:val="28"/>
          <w:szCs w:val="28"/>
        </w:rPr>
        <w:t xml:space="preserve"> References:</w:t>
      </w:r>
    </w:p>
    <w:p w14:paraId="2855ECB4" w14:textId="77777777" w:rsidR="0093579B" w:rsidRDefault="0093579B" w:rsidP="000E6F5A">
      <w:pPr>
        <w:pStyle w:val="NormalWeb"/>
        <w:numPr>
          <w:ilvl w:val="0"/>
          <w:numId w:val="2"/>
        </w:numPr>
        <w:spacing w:line="360" w:lineRule="auto"/>
        <w:jc w:val="both"/>
      </w:pPr>
      <w:r>
        <w:t xml:space="preserve">1. Pandey, J. K., &amp; Singh, D. K. (2009). </w:t>
      </w:r>
      <w:proofErr w:type="spellStart"/>
      <w:r>
        <w:t>Molluscicidal</w:t>
      </w:r>
      <w:proofErr w:type="spellEnd"/>
      <w:r>
        <w:t xml:space="preserve"> activity of plant-derived products against </w:t>
      </w:r>
      <w:proofErr w:type="spellStart"/>
      <w:r>
        <w:rPr>
          <w:rStyle w:val="Emphasis"/>
          <w:rFonts w:eastAsiaTheme="majorEastAsia"/>
        </w:rPr>
        <w:t>Indoplanorbis</w:t>
      </w:r>
      <w:proofErr w:type="spellEnd"/>
      <w:r>
        <w:rPr>
          <w:rStyle w:val="Emphasis"/>
          <w:rFonts w:eastAsiaTheme="majorEastAsia"/>
        </w:rPr>
        <w:t xml:space="preserve"> </w:t>
      </w:r>
      <w:proofErr w:type="spellStart"/>
      <w:r>
        <w:rPr>
          <w:rStyle w:val="Emphasis"/>
          <w:rFonts w:eastAsiaTheme="majorEastAsia"/>
        </w:rPr>
        <w:t>exustus</w:t>
      </w:r>
      <w:proofErr w:type="spellEnd"/>
      <w:r>
        <w:t xml:space="preserve">. </w:t>
      </w:r>
      <w:r>
        <w:rPr>
          <w:rStyle w:val="Emphasis"/>
          <w:rFonts w:eastAsiaTheme="majorEastAsia"/>
        </w:rPr>
        <w:t>Indian Journal of Experimental Biology, 47</w:t>
      </w:r>
      <w:r>
        <w:t>(8), 643–648.</w:t>
      </w:r>
    </w:p>
    <w:p w14:paraId="191AC49D" w14:textId="1060C443" w:rsidR="0093579B" w:rsidRDefault="0093579B" w:rsidP="000E6F5A">
      <w:pPr>
        <w:pStyle w:val="NormalWeb"/>
        <w:numPr>
          <w:ilvl w:val="0"/>
          <w:numId w:val="2"/>
        </w:numPr>
        <w:spacing w:line="360" w:lineRule="auto"/>
        <w:jc w:val="both"/>
      </w:pPr>
      <w:r>
        <w:t xml:space="preserve">2. Panigrahi, A., &amp; Raut, S. K. (1994). Plant products as molluscicides against the giant African snail </w:t>
      </w:r>
      <w:r w:rsidRPr="0093579B">
        <w:rPr>
          <w:rStyle w:val="Emphasis"/>
          <w:rFonts w:eastAsiaTheme="majorEastAsia"/>
        </w:rPr>
        <w:t>Achatina fulica</w:t>
      </w:r>
      <w:r>
        <w:t xml:space="preserve">. </w:t>
      </w:r>
      <w:proofErr w:type="spellStart"/>
      <w:r w:rsidRPr="0093579B">
        <w:rPr>
          <w:rStyle w:val="Emphasis"/>
          <w:rFonts w:eastAsiaTheme="majorEastAsia"/>
        </w:rPr>
        <w:t>Memórias</w:t>
      </w:r>
      <w:proofErr w:type="spellEnd"/>
      <w:r w:rsidRPr="0093579B">
        <w:rPr>
          <w:rStyle w:val="Emphasis"/>
          <w:rFonts w:eastAsiaTheme="majorEastAsia"/>
        </w:rPr>
        <w:t xml:space="preserve"> do Instituto Oswaldo Cruz, 89</w:t>
      </w:r>
      <w:r>
        <w:t xml:space="preserve">(4), 495–499. </w:t>
      </w:r>
      <w:hyperlink r:id="rId13" w:history="1">
        <w:r w:rsidRPr="000A0424">
          <w:rPr>
            <w:rStyle w:val="Hyperlink"/>
          </w:rPr>
          <w:t>https://doi.org/10.1590/S0074-02761994000400004</w:t>
        </w:r>
      </w:hyperlink>
      <w:r>
        <w:t xml:space="preserve">  </w:t>
      </w:r>
    </w:p>
    <w:p w14:paraId="32F58C69" w14:textId="4FE20D46" w:rsidR="0093579B" w:rsidRDefault="0093579B" w:rsidP="000E6F5A">
      <w:pPr>
        <w:pStyle w:val="NormalWeb"/>
        <w:numPr>
          <w:ilvl w:val="0"/>
          <w:numId w:val="2"/>
        </w:numPr>
        <w:spacing w:line="360" w:lineRule="auto"/>
        <w:jc w:val="both"/>
      </w:pPr>
      <w:r>
        <w:t xml:space="preserve">3. Rani, P. U., Rajasekharreddy, P., &amp; Ramakrishna, A. (2012). Eugenol—A potential antifungal and antiseptic compound. </w:t>
      </w:r>
      <w:r>
        <w:rPr>
          <w:rStyle w:val="Emphasis"/>
          <w:rFonts w:eastAsiaTheme="majorEastAsia"/>
        </w:rPr>
        <w:t>International Journal of Pharmaceutical Sciences and Research, 3</w:t>
      </w:r>
      <w:r>
        <w:t xml:space="preserve">(9), 3231–3237. </w:t>
      </w:r>
    </w:p>
    <w:p w14:paraId="111855AA" w14:textId="74CA86A3" w:rsidR="0093579B" w:rsidRDefault="0093579B" w:rsidP="000E6F5A">
      <w:pPr>
        <w:pStyle w:val="NormalWeb"/>
        <w:numPr>
          <w:ilvl w:val="0"/>
          <w:numId w:val="2"/>
        </w:numPr>
        <w:spacing w:line="360" w:lineRule="auto"/>
        <w:jc w:val="both"/>
      </w:pPr>
      <w:r>
        <w:t xml:space="preserve">4. Rao, I. G., &amp; Singh, D. K. (2002). Toxic effects of plant extracts on </w:t>
      </w:r>
      <w:r>
        <w:rPr>
          <w:rStyle w:val="Emphasis"/>
          <w:rFonts w:eastAsiaTheme="majorEastAsia"/>
        </w:rPr>
        <w:t>Achatina fulica</w:t>
      </w:r>
      <w:r>
        <w:t xml:space="preserve">. </w:t>
      </w:r>
      <w:r>
        <w:rPr>
          <w:rStyle w:val="Emphasis"/>
          <w:rFonts w:eastAsiaTheme="majorEastAsia"/>
        </w:rPr>
        <w:t>Journal of Applied Toxicology, 22</w:t>
      </w:r>
      <w:r>
        <w:t xml:space="preserve">(3), 211–215. </w:t>
      </w:r>
      <w:hyperlink r:id="rId14" w:history="1">
        <w:r w:rsidRPr="000A0424">
          <w:rPr>
            <w:rStyle w:val="Hyperlink"/>
          </w:rPr>
          <w:t>https://doi.org/10.1002/jat.850</w:t>
        </w:r>
      </w:hyperlink>
      <w:r>
        <w:t xml:space="preserve">  </w:t>
      </w:r>
    </w:p>
    <w:p w14:paraId="4F880BCE" w14:textId="163FAAB5" w:rsidR="0093579B" w:rsidRDefault="0093579B" w:rsidP="000E6F5A">
      <w:pPr>
        <w:pStyle w:val="NormalWeb"/>
        <w:numPr>
          <w:ilvl w:val="0"/>
          <w:numId w:val="2"/>
        </w:numPr>
        <w:spacing w:line="360" w:lineRule="auto"/>
        <w:jc w:val="both"/>
      </w:pPr>
      <w:r>
        <w:t xml:space="preserve">5. Raut, S. K., &amp; Barker, G. M. (2002). </w:t>
      </w:r>
      <w:r>
        <w:rPr>
          <w:rStyle w:val="Emphasis"/>
          <w:rFonts w:eastAsiaTheme="majorEastAsia"/>
        </w:rPr>
        <w:t>Achatina fulica</w:t>
      </w:r>
      <w:r>
        <w:t xml:space="preserve"> </w:t>
      </w:r>
      <w:proofErr w:type="spellStart"/>
      <w:r>
        <w:t>Bowdich</w:t>
      </w:r>
      <w:proofErr w:type="spellEnd"/>
      <w:r>
        <w:t xml:space="preserve"> and other </w:t>
      </w:r>
      <w:proofErr w:type="spellStart"/>
      <w:r>
        <w:t>achatinidae</w:t>
      </w:r>
      <w:proofErr w:type="spellEnd"/>
      <w:r>
        <w:t xml:space="preserve"> as pests in tropical agriculture. In G. M. Barker (Ed.), </w:t>
      </w:r>
      <w:r>
        <w:rPr>
          <w:rStyle w:val="Emphasis"/>
          <w:rFonts w:eastAsiaTheme="majorEastAsia"/>
        </w:rPr>
        <w:t>Molluscs as crop pests</w:t>
      </w:r>
      <w:r>
        <w:t xml:space="preserve"> (pp. 55–114). </w:t>
      </w:r>
    </w:p>
    <w:p w14:paraId="7138BD0F" w14:textId="19A468F4" w:rsidR="0093579B" w:rsidRDefault="0093579B" w:rsidP="000E6F5A">
      <w:pPr>
        <w:pStyle w:val="NormalWeb"/>
        <w:numPr>
          <w:ilvl w:val="0"/>
          <w:numId w:val="2"/>
        </w:numPr>
        <w:spacing w:line="360" w:lineRule="auto"/>
        <w:jc w:val="both"/>
      </w:pPr>
      <w:r>
        <w:t xml:space="preserve">6. Santos Carvalho, O. S., Scholte, R. G. C., Mendonça, C. L. F., Passos, L. K. J., &amp; Caldeira, R. L. (2003). Role of </w:t>
      </w:r>
      <w:r>
        <w:rPr>
          <w:rStyle w:val="Emphasis"/>
          <w:rFonts w:eastAsiaTheme="majorEastAsia"/>
        </w:rPr>
        <w:t>Achatina fulica</w:t>
      </w:r>
      <w:r>
        <w:t xml:space="preserve"> in the transmission of </w:t>
      </w:r>
      <w:proofErr w:type="spellStart"/>
      <w:r>
        <w:rPr>
          <w:rStyle w:val="Emphasis"/>
          <w:rFonts w:eastAsiaTheme="majorEastAsia"/>
        </w:rPr>
        <w:t>Angiostrongylus</w:t>
      </w:r>
      <w:proofErr w:type="spellEnd"/>
      <w:r>
        <w:rPr>
          <w:rStyle w:val="Emphasis"/>
          <w:rFonts w:eastAsiaTheme="majorEastAsia"/>
        </w:rPr>
        <w:t xml:space="preserve"> </w:t>
      </w:r>
      <w:proofErr w:type="spellStart"/>
      <w:r>
        <w:rPr>
          <w:rStyle w:val="Emphasis"/>
          <w:rFonts w:eastAsiaTheme="majorEastAsia"/>
        </w:rPr>
        <w:t>cantonensis</w:t>
      </w:r>
      <w:proofErr w:type="spellEnd"/>
      <w:r>
        <w:t xml:space="preserve">. </w:t>
      </w:r>
      <w:proofErr w:type="spellStart"/>
      <w:r>
        <w:rPr>
          <w:rStyle w:val="Emphasis"/>
          <w:rFonts w:eastAsiaTheme="majorEastAsia"/>
        </w:rPr>
        <w:t>Revista</w:t>
      </w:r>
      <w:proofErr w:type="spellEnd"/>
      <w:r>
        <w:rPr>
          <w:rStyle w:val="Emphasis"/>
          <w:rFonts w:eastAsiaTheme="majorEastAsia"/>
        </w:rPr>
        <w:t xml:space="preserve"> de </w:t>
      </w:r>
      <w:proofErr w:type="spellStart"/>
      <w:r>
        <w:rPr>
          <w:rStyle w:val="Emphasis"/>
          <w:rFonts w:eastAsiaTheme="majorEastAsia"/>
        </w:rPr>
        <w:t>Biología</w:t>
      </w:r>
      <w:proofErr w:type="spellEnd"/>
      <w:r>
        <w:rPr>
          <w:rStyle w:val="Emphasis"/>
          <w:rFonts w:eastAsiaTheme="majorEastAsia"/>
        </w:rPr>
        <w:t xml:space="preserve"> Tropical, 51</w:t>
      </w:r>
      <w:r>
        <w:t xml:space="preserve">(2), 219–227. </w:t>
      </w:r>
    </w:p>
    <w:p w14:paraId="26407D09" w14:textId="1634356F" w:rsidR="0093579B" w:rsidRDefault="0093579B" w:rsidP="000E6F5A">
      <w:pPr>
        <w:pStyle w:val="NormalWeb"/>
        <w:numPr>
          <w:ilvl w:val="0"/>
          <w:numId w:val="2"/>
        </w:numPr>
        <w:spacing w:line="360" w:lineRule="auto"/>
        <w:jc w:val="both"/>
      </w:pPr>
      <w:r>
        <w:t xml:space="preserve">7. Silva, E. J., et al. (2012). </w:t>
      </w:r>
      <w:proofErr w:type="spellStart"/>
      <w:r>
        <w:t>Molluscicidal</w:t>
      </w:r>
      <w:proofErr w:type="spellEnd"/>
      <w:r>
        <w:t xml:space="preserve"> activity of plant extracts against </w:t>
      </w:r>
      <w:proofErr w:type="spellStart"/>
      <w:r>
        <w:rPr>
          <w:rStyle w:val="Emphasis"/>
          <w:rFonts w:eastAsiaTheme="majorEastAsia"/>
        </w:rPr>
        <w:t>Subulina</w:t>
      </w:r>
      <w:proofErr w:type="spellEnd"/>
      <w:r>
        <w:rPr>
          <w:rStyle w:val="Emphasis"/>
          <w:rFonts w:eastAsiaTheme="majorEastAsia"/>
        </w:rPr>
        <w:t xml:space="preserve"> </w:t>
      </w:r>
      <w:proofErr w:type="spellStart"/>
      <w:r>
        <w:rPr>
          <w:rStyle w:val="Emphasis"/>
          <w:rFonts w:eastAsiaTheme="majorEastAsia"/>
        </w:rPr>
        <w:t>octona</w:t>
      </w:r>
      <w:proofErr w:type="spellEnd"/>
      <w:r>
        <w:t xml:space="preserve">. </w:t>
      </w:r>
    </w:p>
    <w:p w14:paraId="7F2A9FE5" w14:textId="57C243DF" w:rsidR="0093579B" w:rsidRDefault="0093579B" w:rsidP="000E6F5A">
      <w:pPr>
        <w:pStyle w:val="NormalWeb"/>
        <w:numPr>
          <w:ilvl w:val="0"/>
          <w:numId w:val="2"/>
        </w:numPr>
        <w:spacing w:line="360" w:lineRule="auto"/>
        <w:jc w:val="both"/>
      </w:pPr>
      <w:r>
        <w:t xml:space="preserve">8. Vasconcellos, M. C., &amp; Pile, E. (2001). Occurrence of </w:t>
      </w:r>
      <w:proofErr w:type="spellStart"/>
      <w:r>
        <w:rPr>
          <w:rStyle w:val="Emphasis"/>
          <w:rFonts w:eastAsiaTheme="majorEastAsia"/>
        </w:rPr>
        <w:t>Angiostrongylus</w:t>
      </w:r>
      <w:proofErr w:type="spellEnd"/>
      <w:r>
        <w:rPr>
          <w:rStyle w:val="Emphasis"/>
          <w:rFonts w:eastAsiaTheme="majorEastAsia"/>
        </w:rPr>
        <w:t xml:space="preserve"> </w:t>
      </w:r>
      <w:proofErr w:type="spellStart"/>
      <w:r>
        <w:rPr>
          <w:rStyle w:val="Emphasis"/>
          <w:rFonts w:eastAsiaTheme="majorEastAsia"/>
        </w:rPr>
        <w:t>cantonensis</w:t>
      </w:r>
      <w:proofErr w:type="spellEnd"/>
      <w:r>
        <w:t xml:space="preserve"> in the giant African snail </w:t>
      </w:r>
      <w:r>
        <w:rPr>
          <w:rStyle w:val="Emphasis"/>
          <w:rFonts w:eastAsiaTheme="majorEastAsia"/>
        </w:rPr>
        <w:t>Achatina fulica</w:t>
      </w:r>
      <w:r>
        <w:t xml:space="preserve">. </w:t>
      </w:r>
      <w:proofErr w:type="spellStart"/>
      <w:r>
        <w:rPr>
          <w:rStyle w:val="Emphasis"/>
          <w:rFonts w:eastAsiaTheme="majorEastAsia"/>
        </w:rPr>
        <w:t>Memórias</w:t>
      </w:r>
      <w:proofErr w:type="spellEnd"/>
      <w:r>
        <w:rPr>
          <w:rStyle w:val="Emphasis"/>
          <w:rFonts w:eastAsiaTheme="majorEastAsia"/>
        </w:rPr>
        <w:t xml:space="preserve"> do Instituto Oswaldo Cruz, 96</w:t>
      </w:r>
      <w:r>
        <w:t xml:space="preserve">(8), 1199–1204. </w:t>
      </w:r>
    </w:p>
    <w:p w14:paraId="42AA2A61" w14:textId="6C26F004" w:rsidR="00E56870" w:rsidRDefault="00E56870" w:rsidP="00E56870">
      <w:pPr>
        <w:pStyle w:val="NormalWeb"/>
        <w:numPr>
          <w:ilvl w:val="0"/>
          <w:numId w:val="2"/>
        </w:numPr>
        <w:spacing w:line="360" w:lineRule="auto"/>
        <w:jc w:val="both"/>
      </w:pPr>
      <w:r>
        <w:lastRenderedPageBreak/>
        <w:t xml:space="preserve">9. Croteau, M.-N., &amp; Luoma, S. N. (2008). A biodynamic understanding of diet-borne metal uptake by a freshwater invertebrate. </w:t>
      </w:r>
      <w:r>
        <w:rPr>
          <w:rStyle w:val="Emphasis"/>
          <w:rFonts w:eastAsiaTheme="majorEastAsia"/>
        </w:rPr>
        <w:t>Environmental Science &amp; Technology, 42</w:t>
      </w:r>
      <w:r>
        <w:t xml:space="preserve">(5), 1801–1806. </w:t>
      </w:r>
      <w:hyperlink r:id="rId15" w:history="1">
        <w:r w:rsidRPr="000A0424">
          <w:rPr>
            <w:rStyle w:val="Hyperlink"/>
          </w:rPr>
          <w:t>https://doi.org/10.1021/es7022913</w:t>
        </w:r>
      </w:hyperlink>
      <w:r>
        <w:t xml:space="preserve">  </w:t>
      </w:r>
    </w:p>
    <w:p w14:paraId="1528A0BC" w14:textId="4DD93A5C" w:rsidR="00E56870" w:rsidRDefault="00E56870" w:rsidP="00E56870">
      <w:pPr>
        <w:pStyle w:val="NormalWeb"/>
        <w:numPr>
          <w:ilvl w:val="0"/>
          <w:numId w:val="2"/>
        </w:numPr>
        <w:spacing w:line="360" w:lineRule="auto"/>
        <w:jc w:val="both"/>
      </w:pPr>
      <w:r>
        <w:t xml:space="preserve">10.Dang, F., Huang, Y., Wang, Y., Zhou, D., &amp; Xing, B. (2021). Transfer and toxicity of silver nanoparticles in the food chain. </w:t>
      </w:r>
      <w:r>
        <w:rPr>
          <w:rStyle w:val="Emphasis"/>
          <w:rFonts w:eastAsiaTheme="majorEastAsia"/>
        </w:rPr>
        <w:t>Environmental Science: Nano, 8</w:t>
      </w:r>
      <w:r>
        <w:t xml:space="preserve">(6), 1519–1535. </w:t>
      </w:r>
      <w:hyperlink r:id="rId16" w:history="1">
        <w:r w:rsidRPr="000A0424">
          <w:rPr>
            <w:rStyle w:val="Hyperlink"/>
          </w:rPr>
          <w:t>https://doi.org/10.1039/D0EN01190H</w:t>
        </w:r>
      </w:hyperlink>
      <w:r>
        <w:t xml:space="preserve">  </w:t>
      </w:r>
    </w:p>
    <w:p w14:paraId="52AB0970" w14:textId="57D3B912" w:rsidR="00E56870" w:rsidRDefault="00E56870" w:rsidP="00E56870">
      <w:pPr>
        <w:pStyle w:val="NormalWeb"/>
        <w:numPr>
          <w:ilvl w:val="0"/>
          <w:numId w:val="2"/>
        </w:numPr>
        <w:spacing w:line="360" w:lineRule="auto"/>
        <w:jc w:val="both"/>
      </w:pPr>
      <w:r>
        <w:t xml:space="preserve">11. Hawthorne, J., De la Torre Roche, R., Xing, B., Newman, L. A., Ma, X., Majumdar, S., </w:t>
      </w:r>
      <w:proofErr w:type="spellStart"/>
      <w:r>
        <w:t>Gardea-Torresdey</w:t>
      </w:r>
      <w:proofErr w:type="spellEnd"/>
      <w:r>
        <w:t xml:space="preserve">, J., &amp; White, J. C. (2014). Particle-size dependent accumulation and trophic transfer of cerium oxide through a terrestrial food chain. </w:t>
      </w:r>
      <w:r>
        <w:rPr>
          <w:rStyle w:val="Emphasis"/>
          <w:rFonts w:eastAsiaTheme="majorEastAsia"/>
        </w:rPr>
        <w:t>Environmental Science &amp; Technology, 48</w:t>
      </w:r>
      <w:r>
        <w:t xml:space="preserve">(22), 13102–13109. </w:t>
      </w:r>
      <w:hyperlink r:id="rId17" w:history="1">
        <w:r w:rsidRPr="000A0424">
          <w:rPr>
            <w:rStyle w:val="Hyperlink"/>
          </w:rPr>
          <w:t>https://doi.org/10.1021/es503792f</w:t>
        </w:r>
      </w:hyperlink>
      <w:r>
        <w:t xml:space="preserve">  </w:t>
      </w:r>
    </w:p>
    <w:p w14:paraId="0695EFEC" w14:textId="7F9033E6" w:rsidR="00E56870" w:rsidRDefault="00E56870" w:rsidP="00E916C7">
      <w:pPr>
        <w:pStyle w:val="NormalWeb"/>
        <w:numPr>
          <w:ilvl w:val="0"/>
          <w:numId w:val="2"/>
        </w:numPr>
        <w:spacing w:line="360" w:lineRule="auto"/>
        <w:jc w:val="both"/>
      </w:pPr>
      <w:r>
        <w:t xml:space="preserve">12. Khan, F. R., Misra, S. K., García-Alonso, J., Smith, B. D., </w:t>
      </w:r>
      <w:proofErr w:type="spellStart"/>
      <w:r>
        <w:t>Strekopytov</w:t>
      </w:r>
      <w:proofErr w:type="spellEnd"/>
      <w:r>
        <w:t xml:space="preserve">, S., Rainbow, P. S., Luoma, S. N., &amp; </w:t>
      </w:r>
      <w:proofErr w:type="spellStart"/>
      <w:r>
        <w:t>Valsami</w:t>
      </w:r>
      <w:proofErr w:type="spellEnd"/>
      <w:r>
        <w:t xml:space="preserve">-Jones, E. (2012). Bioaccumulation dynamics and </w:t>
      </w:r>
      <w:proofErr w:type="spellStart"/>
      <w:r>
        <w:t>modeling</w:t>
      </w:r>
      <w:proofErr w:type="spellEnd"/>
      <w:r>
        <w:t xml:space="preserve"> in an estuarine invertebrate following aqueous exposure to nanosized and dissolved silver. </w:t>
      </w:r>
      <w:r>
        <w:rPr>
          <w:rStyle w:val="Emphasis"/>
          <w:rFonts w:eastAsiaTheme="majorEastAsia"/>
        </w:rPr>
        <w:t>Environmental Science &amp; Technology, 46</w:t>
      </w:r>
      <w:r>
        <w:t xml:space="preserve">(14), 7621–7628. </w:t>
      </w:r>
      <w:hyperlink r:id="rId18" w:history="1">
        <w:r w:rsidRPr="000A0424">
          <w:rPr>
            <w:rStyle w:val="Hyperlink"/>
          </w:rPr>
          <w:t>https://doi.org/10.1021/es301253s</w:t>
        </w:r>
      </w:hyperlink>
      <w:r>
        <w:t xml:space="preserve"> </w:t>
      </w:r>
    </w:p>
    <w:p w14:paraId="4121E93B" w14:textId="2CD28CA8" w:rsidR="00E56870" w:rsidRDefault="00E56870" w:rsidP="00E56870">
      <w:pPr>
        <w:pStyle w:val="NormalWeb"/>
        <w:numPr>
          <w:ilvl w:val="0"/>
          <w:numId w:val="2"/>
        </w:numPr>
        <w:spacing w:line="360" w:lineRule="auto"/>
        <w:jc w:val="both"/>
      </w:pPr>
      <w:r>
        <w:t xml:space="preserve">13.Lopez-Serrano Oliver, A., Croteau, M., Stoiber, T. L., </w:t>
      </w:r>
      <w:proofErr w:type="spellStart"/>
      <w:r>
        <w:t>Tejamaya</w:t>
      </w:r>
      <w:proofErr w:type="spellEnd"/>
      <w:r>
        <w:t xml:space="preserve">, M., Römer, I., Lead, J. R., &amp; Luoma, S. N. (2014). Does water chemistry affect the dietary uptake and toxicity of silver nanoparticles by the freshwater snail </w:t>
      </w:r>
      <w:proofErr w:type="spellStart"/>
      <w:r>
        <w:rPr>
          <w:rStyle w:val="Emphasis"/>
          <w:rFonts w:eastAsiaTheme="majorEastAsia"/>
        </w:rPr>
        <w:t>Lymnaea</w:t>
      </w:r>
      <w:proofErr w:type="spellEnd"/>
      <w:r>
        <w:rPr>
          <w:rStyle w:val="Emphasis"/>
          <w:rFonts w:eastAsiaTheme="majorEastAsia"/>
        </w:rPr>
        <w:t xml:space="preserve"> </w:t>
      </w:r>
      <w:proofErr w:type="spellStart"/>
      <w:r>
        <w:rPr>
          <w:rStyle w:val="Emphasis"/>
          <w:rFonts w:eastAsiaTheme="majorEastAsia"/>
        </w:rPr>
        <w:t>stagnalis</w:t>
      </w:r>
      <w:proofErr w:type="spellEnd"/>
      <w:r>
        <w:t xml:space="preserve">? </w:t>
      </w:r>
      <w:r>
        <w:rPr>
          <w:rStyle w:val="Emphasis"/>
          <w:rFonts w:eastAsiaTheme="majorEastAsia"/>
        </w:rPr>
        <w:t>Environmental Pollution, 189</w:t>
      </w:r>
      <w:r>
        <w:t xml:space="preserve">, 87–91. </w:t>
      </w:r>
      <w:hyperlink r:id="rId19" w:history="1">
        <w:r w:rsidRPr="000A0424">
          <w:rPr>
            <w:rStyle w:val="Hyperlink"/>
          </w:rPr>
          <w:t>https://doi.org/10.1016/j.envpol.2014.02.010</w:t>
        </w:r>
      </w:hyperlink>
      <w:r>
        <w:t xml:space="preserve">  </w:t>
      </w:r>
    </w:p>
    <w:p w14:paraId="4CFD54A0" w14:textId="21A81A77" w:rsidR="00E56870" w:rsidRDefault="00E56870" w:rsidP="00E56870">
      <w:pPr>
        <w:pStyle w:val="NormalWeb"/>
        <w:numPr>
          <w:ilvl w:val="0"/>
          <w:numId w:val="2"/>
        </w:numPr>
        <w:spacing w:line="360" w:lineRule="auto"/>
        <w:jc w:val="both"/>
      </w:pPr>
      <w:r>
        <w:t xml:space="preserve">14. Luoma, S. N., &amp; Rainbow, P. S. (2005). </w:t>
      </w:r>
      <w:r>
        <w:rPr>
          <w:rStyle w:val="Emphasis"/>
          <w:rFonts w:eastAsiaTheme="majorEastAsia"/>
        </w:rPr>
        <w:t>Why is metal accumulation so variable in aquatic organisms? A biodynamic explanation.</w:t>
      </w:r>
      <w:r>
        <w:t xml:space="preserve"> Environmental Toxicology and Chemistry, 24(10), 2496–2506.</w:t>
      </w:r>
    </w:p>
    <w:p w14:paraId="2DA44FF3" w14:textId="0459927B" w:rsidR="00E56870" w:rsidRDefault="00E56870" w:rsidP="00E56870">
      <w:pPr>
        <w:pStyle w:val="NormalWeb"/>
        <w:numPr>
          <w:ilvl w:val="0"/>
          <w:numId w:val="2"/>
        </w:numPr>
        <w:spacing w:line="360" w:lineRule="auto"/>
        <w:jc w:val="both"/>
      </w:pPr>
      <w:r>
        <w:t xml:space="preserve">15. </w:t>
      </w:r>
      <w:proofErr w:type="spellStart"/>
      <w:r>
        <w:t>Unrine</w:t>
      </w:r>
      <w:proofErr w:type="spellEnd"/>
      <w:r>
        <w:t xml:space="preserve">, J. M., Shoults-Wilson, W. A., </w:t>
      </w:r>
      <w:proofErr w:type="spellStart"/>
      <w:r>
        <w:t>Zhurbich</w:t>
      </w:r>
      <w:proofErr w:type="spellEnd"/>
      <w:r>
        <w:t xml:space="preserve">, O., Bertsch, P. M., &amp; </w:t>
      </w:r>
      <w:proofErr w:type="spellStart"/>
      <w:r>
        <w:t>Tsyusko</w:t>
      </w:r>
      <w:proofErr w:type="spellEnd"/>
      <w:r>
        <w:t xml:space="preserve">, O. V. (2012). Trophic transfer of Au nanoparticles from soil along a simulated terrestrial food chain. </w:t>
      </w:r>
      <w:r>
        <w:rPr>
          <w:rStyle w:val="Emphasis"/>
          <w:rFonts w:eastAsiaTheme="majorEastAsia"/>
        </w:rPr>
        <w:t>Environmental Science &amp; Technology, 46</w:t>
      </w:r>
      <w:r>
        <w:t xml:space="preserve">(17), 9753–9760. </w:t>
      </w:r>
      <w:hyperlink r:id="rId20" w:history="1">
        <w:r w:rsidRPr="000A0424">
          <w:rPr>
            <w:rStyle w:val="Hyperlink"/>
          </w:rPr>
          <w:t>https://doi.org/10.1021/es3025325</w:t>
        </w:r>
      </w:hyperlink>
      <w:r>
        <w:t xml:space="preserve">  </w:t>
      </w:r>
    </w:p>
    <w:p w14:paraId="7C4D753F" w14:textId="77777777" w:rsidR="00E56870" w:rsidRDefault="00E56870" w:rsidP="00E56870">
      <w:pPr>
        <w:pStyle w:val="NormalWeb"/>
        <w:numPr>
          <w:ilvl w:val="0"/>
          <w:numId w:val="2"/>
        </w:numPr>
        <w:spacing w:line="360" w:lineRule="auto"/>
        <w:jc w:val="both"/>
      </w:pPr>
    </w:p>
    <w:p w14:paraId="5792447D" w14:textId="77777777" w:rsidR="00FF7C1F" w:rsidRPr="00FE3E11" w:rsidRDefault="00FF7C1F" w:rsidP="00E56870">
      <w:pPr>
        <w:ind w:left="720"/>
        <w:rPr>
          <w:sz w:val="24"/>
          <w:szCs w:val="24"/>
        </w:rPr>
      </w:pPr>
    </w:p>
    <w:p w14:paraId="564883A9" w14:textId="77777777" w:rsidR="004E5CEA" w:rsidRPr="004E5CEA" w:rsidRDefault="004E5CEA" w:rsidP="00E56870">
      <w:pPr>
        <w:ind w:left="0"/>
        <w:rPr>
          <w:b/>
          <w:bCs/>
          <w:sz w:val="24"/>
          <w:szCs w:val="24"/>
        </w:rPr>
      </w:pPr>
    </w:p>
    <w:sectPr w:rsidR="004E5CEA" w:rsidRPr="004E5CEA">
      <w:headerReference w:type="even" r:id="rId21"/>
      <w:headerReference w:type="default" r:id="rId22"/>
      <w:footerReference w:type="even" r:id="rId23"/>
      <w:footerReference w:type="default" r:id="rId24"/>
      <w:headerReference w:type="first" r:id="rId25"/>
      <w:footerReference w:type="first" r:id="rId2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BCC4832" w14:textId="77777777" w:rsidR="00157CDC" w:rsidRDefault="00157CDC" w:rsidP="00A2495B">
      <w:pPr>
        <w:spacing w:after="0" w:line="240" w:lineRule="auto"/>
      </w:pPr>
      <w:r>
        <w:separator/>
      </w:r>
    </w:p>
  </w:endnote>
  <w:endnote w:type="continuationSeparator" w:id="0">
    <w:p w14:paraId="727DBE80" w14:textId="77777777" w:rsidR="00157CDC" w:rsidRDefault="00157CDC" w:rsidP="00A249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BEDD69" w14:textId="77777777" w:rsidR="00A2495B" w:rsidRDefault="00A2495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5E4ABC" w14:textId="77777777" w:rsidR="00A2495B" w:rsidRDefault="00A2495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841786" w14:textId="77777777" w:rsidR="00A2495B" w:rsidRDefault="00A2495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B295037" w14:textId="77777777" w:rsidR="00157CDC" w:rsidRDefault="00157CDC" w:rsidP="00A2495B">
      <w:pPr>
        <w:spacing w:after="0" w:line="240" w:lineRule="auto"/>
      </w:pPr>
      <w:r>
        <w:separator/>
      </w:r>
    </w:p>
  </w:footnote>
  <w:footnote w:type="continuationSeparator" w:id="0">
    <w:p w14:paraId="57F02740" w14:textId="77777777" w:rsidR="00157CDC" w:rsidRDefault="00157CDC" w:rsidP="00A2495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4FD2A5" w14:textId="51920133" w:rsidR="00A2495B" w:rsidRDefault="00A2495B">
    <w:pPr>
      <w:pStyle w:val="Header"/>
    </w:pPr>
    <w:r>
      <w:rPr>
        <w:noProof/>
      </w:rPr>
      <w:pict w14:anchorId="42DDC9C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left:0;text-align:left;margin-left:0;margin-top:0;width:571.65pt;height:64.5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84B3EB" w14:textId="3F872D81" w:rsidR="00A2495B" w:rsidRDefault="00A2495B">
    <w:pPr>
      <w:pStyle w:val="Header"/>
    </w:pPr>
    <w:r>
      <w:rPr>
        <w:noProof/>
      </w:rPr>
      <w:pict w14:anchorId="5EDC2BB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left:0;text-align:left;margin-left:0;margin-top:0;width:571.65pt;height:64.5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94DE31" w14:textId="75D4DA34" w:rsidR="00A2495B" w:rsidRDefault="00A2495B">
    <w:pPr>
      <w:pStyle w:val="Header"/>
    </w:pPr>
    <w:r>
      <w:rPr>
        <w:noProof/>
      </w:rPr>
      <w:pict w14:anchorId="4B3971F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left:0;text-align:left;margin-left:0;margin-top:0;width:571.65pt;height:64.5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E9842FEB"/>
    <w:multiLevelType w:val="hybridMultilevel"/>
    <w:tmpl w:val="C7B05594"/>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1597730A"/>
    <w:multiLevelType w:val="multilevel"/>
    <w:tmpl w:val="4BD6B14C"/>
    <w:lvl w:ilvl="0">
      <w:start w:val="3"/>
      <w:numFmt w:val="decimal"/>
      <w:lvlText w:val="%1.0"/>
      <w:lvlJc w:val="left"/>
      <w:pPr>
        <w:ind w:left="778" w:hanging="360"/>
      </w:pPr>
      <w:rPr>
        <w:rFonts w:hint="default"/>
        <w:b/>
        <w:sz w:val="28"/>
      </w:rPr>
    </w:lvl>
    <w:lvl w:ilvl="1">
      <w:start w:val="1"/>
      <w:numFmt w:val="decimal"/>
      <w:lvlText w:val="%1.%2"/>
      <w:lvlJc w:val="left"/>
      <w:pPr>
        <w:ind w:left="1498" w:hanging="360"/>
      </w:pPr>
      <w:rPr>
        <w:rFonts w:hint="default"/>
        <w:b/>
        <w:sz w:val="28"/>
      </w:rPr>
    </w:lvl>
    <w:lvl w:ilvl="2">
      <w:start w:val="1"/>
      <w:numFmt w:val="decimal"/>
      <w:lvlText w:val="%1.%2.%3"/>
      <w:lvlJc w:val="left"/>
      <w:pPr>
        <w:ind w:left="2578" w:hanging="720"/>
      </w:pPr>
      <w:rPr>
        <w:rFonts w:hint="default"/>
        <w:b/>
        <w:sz w:val="28"/>
      </w:rPr>
    </w:lvl>
    <w:lvl w:ilvl="3">
      <w:start w:val="1"/>
      <w:numFmt w:val="decimal"/>
      <w:lvlText w:val="%1.%2.%3.%4"/>
      <w:lvlJc w:val="left"/>
      <w:pPr>
        <w:ind w:left="3298" w:hanging="720"/>
      </w:pPr>
      <w:rPr>
        <w:rFonts w:hint="default"/>
        <w:b/>
        <w:sz w:val="28"/>
      </w:rPr>
    </w:lvl>
    <w:lvl w:ilvl="4">
      <w:start w:val="1"/>
      <w:numFmt w:val="decimal"/>
      <w:lvlText w:val="%1.%2.%3.%4.%5"/>
      <w:lvlJc w:val="left"/>
      <w:pPr>
        <w:ind w:left="4378" w:hanging="1080"/>
      </w:pPr>
      <w:rPr>
        <w:rFonts w:hint="default"/>
        <w:b/>
        <w:sz w:val="28"/>
      </w:rPr>
    </w:lvl>
    <w:lvl w:ilvl="5">
      <w:start w:val="1"/>
      <w:numFmt w:val="decimal"/>
      <w:lvlText w:val="%1.%2.%3.%4.%5.%6"/>
      <w:lvlJc w:val="left"/>
      <w:pPr>
        <w:ind w:left="5098" w:hanging="1080"/>
      </w:pPr>
      <w:rPr>
        <w:rFonts w:hint="default"/>
        <w:b/>
        <w:sz w:val="28"/>
      </w:rPr>
    </w:lvl>
    <w:lvl w:ilvl="6">
      <w:start w:val="1"/>
      <w:numFmt w:val="decimal"/>
      <w:lvlText w:val="%1.%2.%3.%4.%5.%6.%7"/>
      <w:lvlJc w:val="left"/>
      <w:pPr>
        <w:ind w:left="6178" w:hanging="1440"/>
      </w:pPr>
      <w:rPr>
        <w:rFonts w:hint="default"/>
        <w:b/>
        <w:sz w:val="28"/>
      </w:rPr>
    </w:lvl>
    <w:lvl w:ilvl="7">
      <w:start w:val="1"/>
      <w:numFmt w:val="decimal"/>
      <w:lvlText w:val="%1.%2.%3.%4.%5.%6.%7.%8"/>
      <w:lvlJc w:val="left"/>
      <w:pPr>
        <w:ind w:left="6898" w:hanging="1440"/>
      </w:pPr>
      <w:rPr>
        <w:rFonts w:hint="default"/>
        <w:b/>
        <w:sz w:val="28"/>
      </w:rPr>
    </w:lvl>
    <w:lvl w:ilvl="8">
      <w:start w:val="1"/>
      <w:numFmt w:val="decimal"/>
      <w:lvlText w:val="%1.%2.%3.%4.%5.%6.%7.%8.%9"/>
      <w:lvlJc w:val="left"/>
      <w:pPr>
        <w:ind w:left="7978" w:hanging="1800"/>
      </w:pPr>
      <w:rPr>
        <w:rFonts w:hint="default"/>
        <w:b/>
        <w:sz w:val="28"/>
      </w:rPr>
    </w:lvl>
  </w:abstractNum>
  <w:abstractNum w:abstractNumId="2" w15:restartNumberingAfterBreak="0">
    <w:nsid w:val="227111A1"/>
    <w:multiLevelType w:val="multilevel"/>
    <w:tmpl w:val="66C61480"/>
    <w:lvl w:ilvl="0">
      <w:start w:val="1"/>
      <w:numFmt w:val="decimal"/>
      <w:lvlText w:val="%1."/>
      <w:lvlJc w:val="left"/>
      <w:pPr>
        <w:ind w:left="837" w:hanging="360"/>
      </w:pPr>
    </w:lvl>
    <w:lvl w:ilvl="1">
      <w:start w:val="1"/>
      <w:numFmt w:val="decimal"/>
      <w:isLgl/>
      <w:lvlText w:val="%1.%2"/>
      <w:lvlJc w:val="left"/>
      <w:pPr>
        <w:ind w:left="1197" w:hanging="360"/>
      </w:pPr>
      <w:rPr>
        <w:rFonts w:hint="default"/>
      </w:rPr>
    </w:lvl>
    <w:lvl w:ilvl="2">
      <w:start w:val="1"/>
      <w:numFmt w:val="decimal"/>
      <w:isLgl/>
      <w:lvlText w:val="%1.%2.%3"/>
      <w:lvlJc w:val="left"/>
      <w:pPr>
        <w:ind w:left="1917" w:hanging="720"/>
      </w:pPr>
      <w:rPr>
        <w:rFonts w:hint="default"/>
      </w:rPr>
    </w:lvl>
    <w:lvl w:ilvl="3">
      <w:start w:val="1"/>
      <w:numFmt w:val="decimal"/>
      <w:isLgl/>
      <w:lvlText w:val="%1.%2.%3.%4"/>
      <w:lvlJc w:val="left"/>
      <w:pPr>
        <w:ind w:left="2277" w:hanging="720"/>
      </w:pPr>
      <w:rPr>
        <w:rFonts w:hint="default"/>
      </w:rPr>
    </w:lvl>
    <w:lvl w:ilvl="4">
      <w:start w:val="1"/>
      <w:numFmt w:val="decimal"/>
      <w:isLgl/>
      <w:lvlText w:val="%1.%2.%3.%4.%5"/>
      <w:lvlJc w:val="left"/>
      <w:pPr>
        <w:ind w:left="2997" w:hanging="1080"/>
      </w:pPr>
      <w:rPr>
        <w:rFonts w:hint="default"/>
      </w:rPr>
    </w:lvl>
    <w:lvl w:ilvl="5">
      <w:start w:val="1"/>
      <w:numFmt w:val="decimal"/>
      <w:isLgl/>
      <w:lvlText w:val="%1.%2.%3.%4.%5.%6"/>
      <w:lvlJc w:val="left"/>
      <w:pPr>
        <w:ind w:left="3357" w:hanging="1080"/>
      </w:pPr>
      <w:rPr>
        <w:rFonts w:hint="default"/>
      </w:rPr>
    </w:lvl>
    <w:lvl w:ilvl="6">
      <w:start w:val="1"/>
      <w:numFmt w:val="decimal"/>
      <w:isLgl/>
      <w:lvlText w:val="%1.%2.%3.%4.%5.%6.%7"/>
      <w:lvlJc w:val="left"/>
      <w:pPr>
        <w:ind w:left="4077" w:hanging="1440"/>
      </w:pPr>
      <w:rPr>
        <w:rFonts w:hint="default"/>
      </w:rPr>
    </w:lvl>
    <w:lvl w:ilvl="7">
      <w:start w:val="1"/>
      <w:numFmt w:val="decimal"/>
      <w:isLgl/>
      <w:lvlText w:val="%1.%2.%3.%4.%5.%6.%7.%8"/>
      <w:lvlJc w:val="left"/>
      <w:pPr>
        <w:ind w:left="4437" w:hanging="1440"/>
      </w:pPr>
      <w:rPr>
        <w:rFonts w:hint="default"/>
      </w:rPr>
    </w:lvl>
    <w:lvl w:ilvl="8">
      <w:start w:val="1"/>
      <w:numFmt w:val="decimal"/>
      <w:isLgl/>
      <w:lvlText w:val="%1.%2.%3.%4.%5.%6.%7.%8.%9"/>
      <w:lvlJc w:val="left"/>
      <w:pPr>
        <w:ind w:left="5157" w:hanging="1800"/>
      </w:pPr>
      <w:rPr>
        <w:rFonts w:hint="default"/>
      </w:rPr>
    </w:lvl>
  </w:abstractNum>
  <w:abstractNum w:abstractNumId="3" w15:restartNumberingAfterBreak="0">
    <w:nsid w:val="28BF59E5"/>
    <w:multiLevelType w:val="hybridMultilevel"/>
    <w:tmpl w:val="C2780C98"/>
    <w:lvl w:ilvl="0" w:tplc="4009000F">
      <w:start w:val="1"/>
      <w:numFmt w:val="decimal"/>
      <w:lvlText w:val="%1."/>
      <w:lvlJc w:val="left"/>
      <w:pPr>
        <w:ind w:left="837" w:hanging="360"/>
      </w:pPr>
    </w:lvl>
    <w:lvl w:ilvl="1" w:tplc="40090019" w:tentative="1">
      <w:start w:val="1"/>
      <w:numFmt w:val="lowerLetter"/>
      <w:lvlText w:val="%2."/>
      <w:lvlJc w:val="left"/>
      <w:pPr>
        <w:ind w:left="1557" w:hanging="360"/>
      </w:pPr>
    </w:lvl>
    <w:lvl w:ilvl="2" w:tplc="4009001B" w:tentative="1">
      <w:start w:val="1"/>
      <w:numFmt w:val="lowerRoman"/>
      <w:lvlText w:val="%3."/>
      <w:lvlJc w:val="right"/>
      <w:pPr>
        <w:ind w:left="2277" w:hanging="180"/>
      </w:pPr>
    </w:lvl>
    <w:lvl w:ilvl="3" w:tplc="4009000F" w:tentative="1">
      <w:start w:val="1"/>
      <w:numFmt w:val="decimal"/>
      <w:lvlText w:val="%4."/>
      <w:lvlJc w:val="left"/>
      <w:pPr>
        <w:ind w:left="2997" w:hanging="360"/>
      </w:pPr>
    </w:lvl>
    <w:lvl w:ilvl="4" w:tplc="40090019" w:tentative="1">
      <w:start w:val="1"/>
      <w:numFmt w:val="lowerLetter"/>
      <w:lvlText w:val="%5."/>
      <w:lvlJc w:val="left"/>
      <w:pPr>
        <w:ind w:left="3717" w:hanging="360"/>
      </w:pPr>
    </w:lvl>
    <w:lvl w:ilvl="5" w:tplc="4009001B" w:tentative="1">
      <w:start w:val="1"/>
      <w:numFmt w:val="lowerRoman"/>
      <w:lvlText w:val="%6."/>
      <w:lvlJc w:val="right"/>
      <w:pPr>
        <w:ind w:left="4437" w:hanging="180"/>
      </w:pPr>
    </w:lvl>
    <w:lvl w:ilvl="6" w:tplc="4009000F" w:tentative="1">
      <w:start w:val="1"/>
      <w:numFmt w:val="decimal"/>
      <w:lvlText w:val="%7."/>
      <w:lvlJc w:val="left"/>
      <w:pPr>
        <w:ind w:left="5157" w:hanging="360"/>
      </w:pPr>
    </w:lvl>
    <w:lvl w:ilvl="7" w:tplc="40090019" w:tentative="1">
      <w:start w:val="1"/>
      <w:numFmt w:val="lowerLetter"/>
      <w:lvlText w:val="%8."/>
      <w:lvlJc w:val="left"/>
      <w:pPr>
        <w:ind w:left="5877" w:hanging="360"/>
      </w:pPr>
    </w:lvl>
    <w:lvl w:ilvl="8" w:tplc="4009001B" w:tentative="1">
      <w:start w:val="1"/>
      <w:numFmt w:val="lowerRoman"/>
      <w:lvlText w:val="%9."/>
      <w:lvlJc w:val="right"/>
      <w:pPr>
        <w:ind w:left="6597" w:hanging="180"/>
      </w:pPr>
    </w:lvl>
  </w:abstractNum>
  <w:abstractNum w:abstractNumId="4" w15:restartNumberingAfterBreak="0">
    <w:nsid w:val="57093314"/>
    <w:multiLevelType w:val="hybridMultilevel"/>
    <w:tmpl w:val="825C898C"/>
    <w:lvl w:ilvl="0" w:tplc="FFFFFFFF">
      <w:numFmt w:val="decimal"/>
      <w:lvlText w:val=""/>
      <w:lvlJc w:val="left"/>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65146B65"/>
    <w:multiLevelType w:val="multilevel"/>
    <w:tmpl w:val="66C61480"/>
    <w:lvl w:ilvl="0">
      <w:start w:val="1"/>
      <w:numFmt w:val="decimal"/>
      <w:lvlText w:val="%1."/>
      <w:lvlJc w:val="left"/>
      <w:pPr>
        <w:ind w:left="837" w:hanging="360"/>
      </w:pPr>
    </w:lvl>
    <w:lvl w:ilvl="1">
      <w:start w:val="1"/>
      <w:numFmt w:val="decimal"/>
      <w:isLgl/>
      <w:lvlText w:val="%1.%2"/>
      <w:lvlJc w:val="left"/>
      <w:pPr>
        <w:ind w:left="1197" w:hanging="360"/>
      </w:pPr>
      <w:rPr>
        <w:rFonts w:hint="default"/>
      </w:rPr>
    </w:lvl>
    <w:lvl w:ilvl="2">
      <w:start w:val="1"/>
      <w:numFmt w:val="decimal"/>
      <w:isLgl/>
      <w:lvlText w:val="%1.%2.%3"/>
      <w:lvlJc w:val="left"/>
      <w:pPr>
        <w:ind w:left="1917" w:hanging="720"/>
      </w:pPr>
      <w:rPr>
        <w:rFonts w:hint="default"/>
      </w:rPr>
    </w:lvl>
    <w:lvl w:ilvl="3">
      <w:start w:val="1"/>
      <w:numFmt w:val="decimal"/>
      <w:isLgl/>
      <w:lvlText w:val="%1.%2.%3.%4"/>
      <w:lvlJc w:val="left"/>
      <w:pPr>
        <w:ind w:left="2277" w:hanging="720"/>
      </w:pPr>
      <w:rPr>
        <w:rFonts w:hint="default"/>
      </w:rPr>
    </w:lvl>
    <w:lvl w:ilvl="4">
      <w:start w:val="1"/>
      <w:numFmt w:val="decimal"/>
      <w:isLgl/>
      <w:lvlText w:val="%1.%2.%3.%4.%5"/>
      <w:lvlJc w:val="left"/>
      <w:pPr>
        <w:ind w:left="2997" w:hanging="1080"/>
      </w:pPr>
      <w:rPr>
        <w:rFonts w:hint="default"/>
      </w:rPr>
    </w:lvl>
    <w:lvl w:ilvl="5">
      <w:start w:val="1"/>
      <w:numFmt w:val="decimal"/>
      <w:isLgl/>
      <w:lvlText w:val="%1.%2.%3.%4.%5.%6"/>
      <w:lvlJc w:val="left"/>
      <w:pPr>
        <w:ind w:left="3357" w:hanging="1080"/>
      </w:pPr>
      <w:rPr>
        <w:rFonts w:hint="default"/>
      </w:rPr>
    </w:lvl>
    <w:lvl w:ilvl="6">
      <w:start w:val="1"/>
      <w:numFmt w:val="decimal"/>
      <w:isLgl/>
      <w:lvlText w:val="%1.%2.%3.%4.%5.%6.%7"/>
      <w:lvlJc w:val="left"/>
      <w:pPr>
        <w:ind w:left="4077" w:hanging="1440"/>
      </w:pPr>
      <w:rPr>
        <w:rFonts w:hint="default"/>
      </w:rPr>
    </w:lvl>
    <w:lvl w:ilvl="7">
      <w:start w:val="1"/>
      <w:numFmt w:val="decimal"/>
      <w:isLgl/>
      <w:lvlText w:val="%1.%2.%3.%4.%5.%6.%7.%8"/>
      <w:lvlJc w:val="left"/>
      <w:pPr>
        <w:ind w:left="4437" w:hanging="1440"/>
      </w:pPr>
      <w:rPr>
        <w:rFonts w:hint="default"/>
      </w:rPr>
    </w:lvl>
    <w:lvl w:ilvl="8">
      <w:start w:val="1"/>
      <w:numFmt w:val="decimal"/>
      <w:isLgl/>
      <w:lvlText w:val="%1.%2.%3.%4.%5.%6.%7.%8.%9"/>
      <w:lvlJc w:val="left"/>
      <w:pPr>
        <w:ind w:left="5157" w:hanging="1800"/>
      </w:pPr>
      <w:rPr>
        <w:rFonts w:hint="default"/>
      </w:rPr>
    </w:lvl>
  </w:abstractNum>
  <w:abstractNum w:abstractNumId="6" w15:restartNumberingAfterBreak="0">
    <w:nsid w:val="6DCE5565"/>
    <w:multiLevelType w:val="hybridMultilevel"/>
    <w:tmpl w:val="B8529F1A"/>
    <w:lvl w:ilvl="0" w:tplc="40090011">
      <w:start w:val="1"/>
      <w:numFmt w:val="decimal"/>
      <w:lvlText w:val="%1)"/>
      <w:lvlJc w:val="left"/>
      <w:pPr>
        <w:ind w:left="1138" w:hanging="360"/>
      </w:pPr>
    </w:lvl>
    <w:lvl w:ilvl="1" w:tplc="40090019" w:tentative="1">
      <w:start w:val="1"/>
      <w:numFmt w:val="lowerLetter"/>
      <w:lvlText w:val="%2."/>
      <w:lvlJc w:val="left"/>
      <w:pPr>
        <w:ind w:left="1858" w:hanging="360"/>
      </w:pPr>
    </w:lvl>
    <w:lvl w:ilvl="2" w:tplc="4009001B" w:tentative="1">
      <w:start w:val="1"/>
      <w:numFmt w:val="lowerRoman"/>
      <w:lvlText w:val="%3."/>
      <w:lvlJc w:val="right"/>
      <w:pPr>
        <w:ind w:left="2578" w:hanging="180"/>
      </w:pPr>
    </w:lvl>
    <w:lvl w:ilvl="3" w:tplc="4009000F" w:tentative="1">
      <w:start w:val="1"/>
      <w:numFmt w:val="decimal"/>
      <w:lvlText w:val="%4."/>
      <w:lvlJc w:val="left"/>
      <w:pPr>
        <w:ind w:left="3298" w:hanging="360"/>
      </w:pPr>
    </w:lvl>
    <w:lvl w:ilvl="4" w:tplc="40090019" w:tentative="1">
      <w:start w:val="1"/>
      <w:numFmt w:val="lowerLetter"/>
      <w:lvlText w:val="%5."/>
      <w:lvlJc w:val="left"/>
      <w:pPr>
        <w:ind w:left="4018" w:hanging="360"/>
      </w:pPr>
    </w:lvl>
    <w:lvl w:ilvl="5" w:tplc="4009001B" w:tentative="1">
      <w:start w:val="1"/>
      <w:numFmt w:val="lowerRoman"/>
      <w:lvlText w:val="%6."/>
      <w:lvlJc w:val="right"/>
      <w:pPr>
        <w:ind w:left="4738" w:hanging="180"/>
      </w:pPr>
    </w:lvl>
    <w:lvl w:ilvl="6" w:tplc="4009000F" w:tentative="1">
      <w:start w:val="1"/>
      <w:numFmt w:val="decimal"/>
      <w:lvlText w:val="%7."/>
      <w:lvlJc w:val="left"/>
      <w:pPr>
        <w:ind w:left="5458" w:hanging="360"/>
      </w:pPr>
    </w:lvl>
    <w:lvl w:ilvl="7" w:tplc="40090019" w:tentative="1">
      <w:start w:val="1"/>
      <w:numFmt w:val="lowerLetter"/>
      <w:lvlText w:val="%8."/>
      <w:lvlJc w:val="left"/>
      <w:pPr>
        <w:ind w:left="6178" w:hanging="360"/>
      </w:pPr>
    </w:lvl>
    <w:lvl w:ilvl="8" w:tplc="4009001B" w:tentative="1">
      <w:start w:val="1"/>
      <w:numFmt w:val="lowerRoman"/>
      <w:lvlText w:val="%9."/>
      <w:lvlJc w:val="right"/>
      <w:pPr>
        <w:ind w:left="6898" w:hanging="180"/>
      </w:pPr>
    </w:lvl>
  </w:abstractNum>
  <w:num w:numId="1">
    <w:abstractNumId w:val="0"/>
  </w:num>
  <w:num w:numId="2">
    <w:abstractNumId w:val="4"/>
  </w:num>
  <w:num w:numId="3">
    <w:abstractNumId w:val="6"/>
  </w:num>
  <w:num w:numId="4">
    <w:abstractNumId w:val="3"/>
  </w:num>
  <w:num w:numId="5">
    <w:abstractNumId w:val="2"/>
  </w:num>
  <w:num w:numId="6">
    <w:abstractNumId w:val="5"/>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38B2"/>
    <w:rsid w:val="0004367B"/>
    <w:rsid w:val="000B0462"/>
    <w:rsid w:val="000B4D82"/>
    <w:rsid w:val="000C18B3"/>
    <w:rsid w:val="000D243A"/>
    <w:rsid w:val="000E2059"/>
    <w:rsid w:val="000E6F5A"/>
    <w:rsid w:val="001312B6"/>
    <w:rsid w:val="00144DD4"/>
    <w:rsid w:val="00157CDC"/>
    <w:rsid w:val="001F41A2"/>
    <w:rsid w:val="001F7920"/>
    <w:rsid w:val="00253149"/>
    <w:rsid w:val="00263AB9"/>
    <w:rsid w:val="002D5C15"/>
    <w:rsid w:val="002E0EE4"/>
    <w:rsid w:val="00371C45"/>
    <w:rsid w:val="003F3460"/>
    <w:rsid w:val="003F4018"/>
    <w:rsid w:val="00464B13"/>
    <w:rsid w:val="00466AD9"/>
    <w:rsid w:val="004B2812"/>
    <w:rsid w:val="004E5CEA"/>
    <w:rsid w:val="00521375"/>
    <w:rsid w:val="005630BF"/>
    <w:rsid w:val="005727F6"/>
    <w:rsid w:val="0062626B"/>
    <w:rsid w:val="00650B93"/>
    <w:rsid w:val="006C3663"/>
    <w:rsid w:val="006C38B2"/>
    <w:rsid w:val="006E3FFC"/>
    <w:rsid w:val="006E5B8C"/>
    <w:rsid w:val="00720ABE"/>
    <w:rsid w:val="00764865"/>
    <w:rsid w:val="00837DCE"/>
    <w:rsid w:val="00920301"/>
    <w:rsid w:val="0093579B"/>
    <w:rsid w:val="009D7BB4"/>
    <w:rsid w:val="00A01280"/>
    <w:rsid w:val="00A2495B"/>
    <w:rsid w:val="00A672A9"/>
    <w:rsid w:val="00A717F3"/>
    <w:rsid w:val="00AD6767"/>
    <w:rsid w:val="00C220BA"/>
    <w:rsid w:val="00CE1C7B"/>
    <w:rsid w:val="00CF427F"/>
    <w:rsid w:val="00D746F7"/>
    <w:rsid w:val="00DA1851"/>
    <w:rsid w:val="00E56870"/>
    <w:rsid w:val="00E916C7"/>
    <w:rsid w:val="00F83D14"/>
    <w:rsid w:val="00FC408E"/>
    <w:rsid w:val="00FF7C1F"/>
  </w:rsids>
  <m:mathPr>
    <m:mathFont m:val="Cambria Math"/>
    <m:brkBin m:val="before"/>
    <m:brkBinSub m:val="--"/>
    <m:smallFrac m:val="0"/>
    <m:dispDef/>
    <m:lMargin m:val="0"/>
    <m:rMargin m:val="0"/>
    <m:defJc m:val="centerGroup"/>
    <m:wrapIndent m:val="1440"/>
    <m:intLim m:val="subSup"/>
    <m:naryLim m:val="undOvr"/>
  </m:mathPr>
  <w:themeFontLang w:val="en-IN" w:bidi="mr-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1AD7670"/>
  <w15:chartTrackingRefBased/>
  <w15:docId w15:val="{54E2F771-DB9E-4AC2-8F7A-BFE6A5F9A8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w:kern w:val="2"/>
        <w:sz w:val="22"/>
        <w:szCs w:val="22"/>
        <w:lang w:val="en-IN" w:eastAsia="en-US" w:bidi="ar-SA"/>
        <w14:ligatures w14:val="standardContextual"/>
      </w:rPr>
    </w:rPrDefault>
    <w:pPrDefault>
      <w:pPr>
        <w:spacing w:after="160" w:line="360" w:lineRule="auto"/>
        <w:ind w:left="418"/>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E1C7B"/>
  </w:style>
  <w:style w:type="paragraph" w:styleId="Heading1">
    <w:name w:val="heading 1"/>
    <w:basedOn w:val="Normal"/>
    <w:next w:val="Normal"/>
    <w:link w:val="Heading1Char"/>
    <w:uiPriority w:val="9"/>
    <w:qFormat/>
    <w:rsid w:val="006C38B2"/>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6C38B2"/>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6C38B2"/>
    <w:pPr>
      <w:keepNext/>
      <w:keepLines/>
      <w:spacing w:before="160" w:after="80"/>
      <w:outlineLvl w:val="2"/>
    </w:pPr>
    <w:rPr>
      <w:rFonts w:asciiTheme="minorHAnsi" w:eastAsiaTheme="majorEastAsia" w:hAnsiTheme="minorHAnsi"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6C38B2"/>
    <w:pPr>
      <w:keepNext/>
      <w:keepLines/>
      <w:spacing w:before="80" w:after="40"/>
      <w:outlineLvl w:val="3"/>
    </w:pPr>
    <w:rPr>
      <w:rFonts w:asciiTheme="minorHAnsi" w:eastAsiaTheme="majorEastAsia" w:hAnsiTheme="min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6C38B2"/>
    <w:pPr>
      <w:keepNext/>
      <w:keepLines/>
      <w:spacing w:before="80" w:after="40"/>
      <w:outlineLvl w:val="4"/>
    </w:pPr>
    <w:rPr>
      <w:rFonts w:asciiTheme="minorHAnsi" w:eastAsiaTheme="majorEastAsia" w:hAnsiTheme="minorHAnsi" w:cstheme="majorBidi"/>
      <w:color w:val="2F5496" w:themeColor="accent1" w:themeShade="BF"/>
    </w:rPr>
  </w:style>
  <w:style w:type="paragraph" w:styleId="Heading6">
    <w:name w:val="heading 6"/>
    <w:basedOn w:val="Normal"/>
    <w:next w:val="Normal"/>
    <w:link w:val="Heading6Char"/>
    <w:uiPriority w:val="9"/>
    <w:semiHidden/>
    <w:unhideWhenUsed/>
    <w:qFormat/>
    <w:rsid w:val="006C38B2"/>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6C38B2"/>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6C38B2"/>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6C38B2"/>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C38B2"/>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6C38B2"/>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6C38B2"/>
    <w:rPr>
      <w:rFonts w:asciiTheme="minorHAnsi" w:eastAsiaTheme="majorEastAsia" w:hAnsiTheme="minorHAnsi"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6C38B2"/>
    <w:rPr>
      <w:rFonts w:asciiTheme="minorHAnsi" w:eastAsiaTheme="majorEastAsia" w:hAnsiTheme="minorHAnsi" w:cstheme="majorBidi"/>
      <w:i/>
      <w:iCs/>
      <w:color w:val="2F5496" w:themeColor="accent1" w:themeShade="BF"/>
    </w:rPr>
  </w:style>
  <w:style w:type="character" w:customStyle="1" w:styleId="Heading5Char">
    <w:name w:val="Heading 5 Char"/>
    <w:basedOn w:val="DefaultParagraphFont"/>
    <w:link w:val="Heading5"/>
    <w:uiPriority w:val="9"/>
    <w:semiHidden/>
    <w:rsid w:val="006C38B2"/>
    <w:rPr>
      <w:rFonts w:asciiTheme="minorHAnsi" w:eastAsiaTheme="majorEastAsia" w:hAnsiTheme="minorHAnsi" w:cstheme="majorBidi"/>
      <w:color w:val="2F5496" w:themeColor="accent1" w:themeShade="BF"/>
    </w:rPr>
  </w:style>
  <w:style w:type="character" w:customStyle="1" w:styleId="Heading6Char">
    <w:name w:val="Heading 6 Char"/>
    <w:basedOn w:val="DefaultParagraphFont"/>
    <w:link w:val="Heading6"/>
    <w:uiPriority w:val="9"/>
    <w:semiHidden/>
    <w:rsid w:val="006C38B2"/>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6C38B2"/>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6C38B2"/>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6C38B2"/>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6C38B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C38B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C38B2"/>
    <w:pPr>
      <w:numPr>
        <w:ilvl w:val="1"/>
      </w:numPr>
      <w:ind w:left="418"/>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C38B2"/>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6C38B2"/>
    <w:pPr>
      <w:spacing w:before="160"/>
      <w:jc w:val="center"/>
    </w:pPr>
    <w:rPr>
      <w:i/>
      <w:iCs/>
      <w:color w:val="404040" w:themeColor="text1" w:themeTint="BF"/>
    </w:rPr>
  </w:style>
  <w:style w:type="character" w:customStyle="1" w:styleId="QuoteChar">
    <w:name w:val="Quote Char"/>
    <w:basedOn w:val="DefaultParagraphFont"/>
    <w:link w:val="Quote"/>
    <w:uiPriority w:val="29"/>
    <w:rsid w:val="006C38B2"/>
    <w:rPr>
      <w:i/>
      <w:iCs/>
      <w:color w:val="404040" w:themeColor="text1" w:themeTint="BF"/>
    </w:rPr>
  </w:style>
  <w:style w:type="paragraph" w:styleId="ListParagraph">
    <w:name w:val="List Paragraph"/>
    <w:basedOn w:val="Normal"/>
    <w:uiPriority w:val="34"/>
    <w:qFormat/>
    <w:rsid w:val="006C38B2"/>
    <w:pPr>
      <w:ind w:left="720"/>
      <w:contextualSpacing/>
    </w:pPr>
  </w:style>
  <w:style w:type="character" w:styleId="IntenseEmphasis">
    <w:name w:val="Intense Emphasis"/>
    <w:basedOn w:val="DefaultParagraphFont"/>
    <w:uiPriority w:val="21"/>
    <w:qFormat/>
    <w:rsid w:val="006C38B2"/>
    <w:rPr>
      <w:i/>
      <w:iCs/>
      <w:color w:val="2F5496" w:themeColor="accent1" w:themeShade="BF"/>
    </w:rPr>
  </w:style>
  <w:style w:type="paragraph" w:styleId="IntenseQuote">
    <w:name w:val="Intense Quote"/>
    <w:basedOn w:val="Normal"/>
    <w:next w:val="Normal"/>
    <w:link w:val="IntenseQuoteChar"/>
    <w:uiPriority w:val="30"/>
    <w:qFormat/>
    <w:rsid w:val="006C38B2"/>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6C38B2"/>
    <w:rPr>
      <w:i/>
      <w:iCs/>
      <w:color w:val="2F5496" w:themeColor="accent1" w:themeShade="BF"/>
    </w:rPr>
  </w:style>
  <w:style w:type="character" w:styleId="IntenseReference">
    <w:name w:val="Intense Reference"/>
    <w:basedOn w:val="DefaultParagraphFont"/>
    <w:uiPriority w:val="32"/>
    <w:qFormat/>
    <w:rsid w:val="006C38B2"/>
    <w:rPr>
      <w:b/>
      <w:bCs/>
      <w:smallCaps/>
      <w:color w:val="2F5496" w:themeColor="accent1" w:themeShade="BF"/>
      <w:spacing w:val="5"/>
    </w:rPr>
  </w:style>
  <w:style w:type="character" w:styleId="Hyperlink">
    <w:name w:val="Hyperlink"/>
    <w:basedOn w:val="DefaultParagraphFont"/>
    <w:uiPriority w:val="99"/>
    <w:unhideWhenUsed/>
    <w:rsid w:val="00CE1C7B"/>
    <w:rPr>
      <w:color w:val="0563C1" w:themeColor="hyperlink"/>
      <w:u w:val="single"/>
    </w:rPr>
  </w:style>
  <w:style w:type="character" w:styleId="UnresolvedMention">
    <w:name w:val="Unresolved Mention"/>
    <w:basedOn w:val="DefaultParagraphFont"/>
    <w:uiPriority w:val="99"/>
    <w:semiHidden/>
    <w:unhideWhenUsed/>
    <w:rsid w:val="002E0EE4"/>
    <w:rPr>
      <w:color w:val="605E5C"/>
      <w:shd w:val="clear" w:color="auto" w:fill="E1DFDD"/>
    </w:rPr>
  </w:style>
  <w:style w:type="paragraph" w:customStyle="1" w:styleId="Default">
    <w:name w:val="Default"/>
    <w:rsid w:val="00FF7C1F"/>
    <w:pPr>
      <w:autoSpaceDE w:val="0"/>
      <w:autoSpaceDN w:val="0"/>
      <w:adjustRightInd w:val="0"/>
      <w:spacing w:after="0" w:line="240" w:lineRule="auto"/>
      <w:ind w:left="0"/>
      <w:jc w:val="left"/>
    </w:pPr>
    <w:rPr>
      <w:color w:val="000000"/>
      <w:kern w:val="0"/>
      <w:sz w:val="24"/>
      <w:szCs w:val="24"/>
      <w:lang w:bidi="mr-IN"/>
    </w:rPr>
  </w:style>
  <w:style w:type="paragraph" w:styleId="NormalWeb">
    <w:name w:val="Normal (Web)"/>
    <w:basedOn w:val="Normal"/>
    <w:uiPriority w:val="99"/>
    <w:semiHidden/>
    <w:unhideWhenUsed/>
    <w:rsid w:val="0093579B"/>
    <w:pPr>
      <w:spacing w:before="100" w:beforeAutospacing="1" w:after="100" w:afterAutospacing="1" w:line="240" w:lineRule="auto"/>
      <w:ind w:left="0"/>
      <w:jc w:val="left"/>
    </w:pPr>
    <w:rPr>
      <w:rFonts w:eastAsia="Times New Roman"/>
      <w:kern w:val="0"/>
      <w:sz w:val="24"/>
      <w:szCs w:val="24"/>
      <w:lang w:eastAsia="en-IN" w:bidi="mr-IN"/>
      <w14:ligatures w14:val="none"/>
    </w:rPr>
  </w:style>
  <w:style w:type="character" w:styleId="Emphasis">
    <w:name w:val="Emphasis"/>
    <w:basedOn w:val="DefaultParagraphFont"/>
    <w:uiPriority w:val="20"/>
    <w:qFormat/>
    <w:rsid w:val="0093579B"/>
    <w:rPr>
      <w:i/>
      <w:iCs/>
    </w:rPr>
  </w:style>
  <w:style w:type="character" w:styleId="Strong">
    <w:name w:val="Strong"/>
    <w:basedOn w:val="DefaultParagraphFont"/>
    <w:uiPriority w:val="22"/>
    <w:qFormat/>
    <w:rsid w:val="00E56870"/>
    <w:rPr>
      <w:b/>
      <w:bCs/>
    </w:rPr>
  </w:style>
  <w:style w:type="paragraph" w:styleId="Header">
    <w:name w:val="header"/>
    <w:basedOn w:val="Normal"/>
    <w:link w:val="HeaderChar"/>
    <w:uiPriority w:val="99"/>
    <w:unhideWhenUsed/>
    <w:rsid w:val="00A2495B"/>
    <w:pPr>
      <w:tabs>
        <w:tab w:val="center" w:pos="4680"/>
        <w:tab w:val="right" w:pos="9360"/>
      </w:tabs>
      <w:spacing w:after="0" w:line="240" w:lineRule="auto"/>
    </w:pPr>
  </w:style>
  <w:style w:type="character" w:customStyle="1" w:styleId="HeaderChar">
    <w:name w:val="Header Char"/>
    <w:basedOn w:val="DefaultParagraphFont"/>
    <w:link w:val="Header"/>
    <w:uiPriority w:val="99"/>
    <w:rsid w:val="00A2495B"/>
  </w:style>
  <w:style w:type="paragraph" w:styleId="Footer">
    <w:name w:val="footer"/>
    <w:basedOn w:val="Normal"/>
    <w:link w:val="FooterChar"/>
    <w:uiPriority w:val="99"/>
    <w:unhideWhenUsed/>
    <w:rsid w:val="00A2495B"/>
    <w:pPr>
      <w:tabs>
        <w:tab w:val="center" w:pos="4680"/>
        <w:tab w:val="right" w:pos="9360"/>
      </w:tabs>
      <w:spacing w:after="0" w:line="240" w:lineRule="auto"/>
    </w:pPr>
  </w:style>
  <w:style w:type="character" w:customStyle="1" w:styleId="FooterChar">
    <w:name w:val="Footer Char"/>
    <w:basedOn w:val="DefaultParagraphFont"/>
    <w:link w:val="Footer"/>
    <w:uiPriority w:val="99"/>
    <w:rsid w:val="00A2495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5833470">
      <w:bodyDiv w:val="1"/>
      <w:marLeft w:val="0"/>
      <w:marRight w:val="0"/>
      <w:marTop w:val="0"/>
      <w:marBottom w:val="0"/>
      <w:divBdr>
        <w:top w:val="none" w:sz="0" w:space="0" w:color="auto"/>
        <w:left w:val="none" w:sz="0" w:space="0" w:color="auto"/>
        <w:bottom w:val="none" w:sz="0" w:space="0" w:color="auto"/>
        <w:right w:val="none" w:sz="0" w:space="0" w:color="auto"/>
      </w:divBdr>
      <w:divsChild>
        <w:div w:id="2080667323">
          <w:marLeft w:val="0"/>
          <w:marRight w:val="0"/>
          <w:marTop w:val="0"/>
          <w:marBottom w:val="0"/>
          <w:divBdr>
            <w:top w:val="none" w:sz="0" w:space="0" w:color="auto"/>
            <w:left w:val="none" w:sz="0" w:space="0" w:color="auto"/>
            <w:bottom w:val="none" w:sz="0" w:space="0" w:color="auto"/>
            <w:right w:val="none" w:sz="0" w:space="0" w:color="auto"/>
          </w:divBdr>
        </w:div>
      </w:divsChild>
    </w:div>
    <w:div w:id="233706677">
      <w:bodyDiv w:val="1"/>
      <w:marLeft w:val="0"/>
      <w:marRight w:val="0"/>
      <w:marTop w:val="0"/>
      <w:marBottom w:val="0"/>
      <w:divBdr>
        <w:top w:val="none" w:sz="0" w:space="0" w:color="auto"/>
        <w:left w:val="none" w:sz="0" w:space="0" w:color="auto"/>
        <w:bottom w:val="none" w:sz="0" w:space="0" w:color="auto"/>
        <w:right w:val="none" w:sz="0" w:space="0" w:color="auto"/>
      </w:divBdr>
      <w:divsChild>
        <w:div w:id="34513621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doi.org/10.1590/S0074-02761994000400004" TargetMode="External"/><Relationship Id="rId18" Type="http://schemas.openxmlformats.org/officeDocument/2006/relationships/hyperlink" Target="https://doi.org/10.1021/es301253s" TargetMode="Externa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doi.org/10.1021/es503792f" TargetMode="Externa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https://doi.org/10.1039/D0EN01190H" TargetMode="External"/><Relationship Id="rId20" Type="http://schemas.openxmlformats.org/officeDocument/2006/relationships/hyperlink" Target="https://doi.org/10.1021/es3025325"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doi.org/10.1021/es7022913" TargetMode="External"/><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yperlink" Target="https://doi.org/10.1016/j.envpol.2014.02.010" TargetMode="External"/><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hyperlink" Target="https://doi.org/10.1002/jat.850" TargetMode="External"/><Relationship Id="rId22" Type="http://schemas.openxmlformats.org/officeDocument/2006/relationships/header" Target="header2.xm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85C370-B303-41CB-B242-CA77E0472A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191</TotalTime>
  <Pages>12</Pages>
  <Words>3293</Words>
  <Characters>18773</Characters>
  <Application>Microsoft Office Word</Application>
  <DocSecurity>0</DocSecurity>
  <Lines>156</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22022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SDI 1084</cp:lastModifiedBy>
  <cp:revision>27</cp:revision>
  <dcterms:created xsi:type="dcterms:W3CDTF">2026-02-13T05:19:00Z</dcterms:created>
  <dcterms:modified xsi:type="dcterms:W3CDTF">2026-02-14T09:39:00Z</dcterms:modified>
</cp:coreProperties>
</file>