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C99B6" w14:textId="77777777" w:rsidR="00AD05FF" w:rsidRDefault="00AD05FF" w:rsidP="00AD05FF">
      <w:pPr>
        <w:spacing w:after="0" w:line="240" w:lineRule="auto"/>
        <w:rPr>
          <w:rFonts w:ascii="Arial" w:hAnsi="Arial" w:cs="Arial"/>
          <w:b/>
          <w:sz w:val="36"/>
          <w:szCs w:val="36"/>
          <w:u w:val="single"/>
        </w:rPr>
      </w:pPr>
      <w:r w:rsidRPr="00AD05FF">
        <w:rPr>
          <w:rFonts w:ascii="Arial" w:hAnsi="Arial" w:cs="Arial"/>
          <w:b/>
          <w:sz w:val="36"/>
          <w:szCs w:val="36"/>
          <w:u w:val="single"/>
        </w:rPr>
        <w:t xml:space="preserve">Original Research Article </w:t>
      </w:r>
    </w:p>
    <w:p w14:paraId="22C93B08" w14:textId="77777777" w:rsidR="00AD05FF" w:rsidRPr="00AD05FF" w:rsidRDefault="00AD05FF" w:rsidP="00AD05FF">
      <w:pPr>
        <w:spacing w:after="0" w:line="240" w:lineRule="auto"/>
        <w:rPr>
          <w:rFonts w:ascii="Arial" w:hAnsi="Arial" w:cs="Arial"/>
          <w:b/>
          <w:sz w:val="36"/>
          <w:szCs w:val="36"/>
          <w:u w:val="single"/>
        </w:rPr>
      </w:pPr>
    </w:p>
    <w:p w14:paraId="77045E9B" w14:textId="7C10AB67" w:rsidR="00687BB9" w:rsidRDefault="00B467B8" w:rsidP="005A55AF">
      <w:pPr>
        <w:spacing w:after="0" w:line="240" w:lineRule="auto"/>
        <w:jc w:val="right"/>
        <w:rPr>
          <w:rFonts w:ascii="Arial" w:hAnsi="Arial" w:cs="Arial"/>
          <w:b/>
          <w:sz w:val="36"/>
          <w:szCs w:val="36"/>
        </w:rPr>
      </w:pPr>
      <w:r w:rsidRPr="005A55AF">
        <w:rPr>
          <w:rFonts w:ascii="Arial" w:hAnsi="Arial" w:cs="Arial"/>
          <w:b/>
          <w:sz w:val="36"/>
          <w:szCs w:val="36"/>
        </w:rPr>
        <w:t>Comparative Evaluation of Floating and Non-Floating Controlled-Release Metfo</w:t>
      </w:r>
      <w:r w:rsidR="00687BB9" w:rsidRPr="005A55AF">
        <w:rPr>
          <w:rFonts w:ascii="Arial" w:hAnsi="Arial" w:cs="Arial"/>
          <w:b/>
          <w:sz w:val="36"/>
          <w:szCs w:val="36"/>
        </w:rPr>
        <w:t xml:space="preserve">rmin HCl Tablets: </w:t>
      </w:r>
      <w:r w:rsidR="00F548EC" w:rsidRPr="00F548EC">
        <w:rPr>
          <w:rFonts w:ascii="Arial" w:hAnsi="Arial" w:cs="Arial"/>
          <w:b/>
          <w:sz w:val="36"/>
          <w:szCs w:val="36"/>
        </w:rPr>
        <w:t>In Vitro and In Vivo Characterization</w:t>
      </w:r>
    </w:p>
    <w:p w14:paraId="4E311A17" w14:textId="77777777" w:rsidR="00AD05FF" w:rsidRPr="005A55AF" w:rsidRDefault="00AD05FF" w:rsidP="005A55AF">
      <w:pPr>
        <w:spacing w:after="0" w:line="240" w:lineRule="auto"/>
        <w:jc w:val="right"/>
        <w:rPr>
          <w:rFonts w:ascii="Arial" w:hAnsi="Arial" w:cs="Arial"/>
          <w:b/>
          <w:sz w:val="36"/>
          <w:szCs w:val="36"/>
        </w:rPr>
      </w:pPr>
    </w:p>
    <w:p w14:paraId="4E2C3FEA" w14:textId="77777777" w:rsidR="00AD05FF" w:rsidRPr="005A55AF" w:rsidRDefault="00AD05FF" w:rsidP="005A55AF">
      <w:pPr>
        <w:pStyle w:val="NoSpacing"/>
        <w:jc w:val="right"/>
        <w:rPr>
          <w:rFonts w:ascii="Arial" w:hAnsi="Arial" w:cs="Arial"/>
          <w:i/>
          <w:iCs/>
          <w:color w:val="auto"/>
        </w:rPr>
      </w:pPr>
    </w:p>
    <w:p w14:paraId="5E5CA035" w14:textId="5237A49F" w:rsidR="00687BB9" w:rsidRPr="005A55AF" w:rsidRDefault="00687BB9" w:rsidP="005A55AF">
      <w:pPr>
        <w:spacing w:after="0" w:line="240" w:lineRule="auto"/>
        <w:jc w:val="right"/>
        <w:rPr>
          <w:rFonts w:ascii="Arial" w:hAnsi="Arial" w:cs="Arial"/>
          <w:b/>
          <w:sz w:val="20"/>
          <w:szCs w:val="20"/>
        </w:rPr>
      </w:pPr>
      <w:r w:rsidRPr="005A55AF">
        <w:rPr>
          <w:rFonts w:ascii="Arial" w:hAnsi="Arial" w:cs="Arial"/>
          <w:noProof/>
          <w:sz w:val="20"/>
          <w:szCs w:val="20"/>
          <w:lang w:eastAsia="en-IN"/>
        </w:rPr>
        <mc:AlternateContent>
          <mc:Choice Requires="wps">
            <w:drawing>
              <wp:inline distT="0" distB="0" distL="0" distR="0" wp14:anchorId="1E91479C" wp14:editId="4674EAE9">
                <wp:extent cx="5790408" cy="45719"/>
                <wp:effectExtent l="0" t="0" r="20320" b="31115"/>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0408"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B8A975" id="_x0000_t32" coordsize="21600,21600" o:spt="32" o:oned="t" path="m,l21600,21600e" filled="f">
                <v:path arrowok="t" fillok="f" o:connecttype="none"/>
                <o:lock v:ext="edit" shapetype="t"/>
              </v:shapetype>
              <v:shape id="Straight Arrow Connector 3" o:spid="_x0000_s1026" type="#_x0000_t32" style="width:455.9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" strokeweight="1.5pt">
                <w10:anchorlock/>
              </v:shape>
            </w:pict>
          </mc:Fallback>
        </mc:AlternateContent>
      </w:r>
    </w:p>
    <w:p w14:paraId="518E59EC" w14:textId="77777777" w:rsidR="00687BB9" w:rsidRPr="005A55AF" w:rsidRDefault="00687BB9" w:rsidP="00036733">
      <w:pPr>
        <w:spacing w:after="0" w:line="240" w:lineRule="auto"/>
        <w:rPr>
          <w:rFonts w:ascii="Arial" w:hAnsi="Arial" w:cs="Arial"/>
          <w:b/>
          <w:sz w:val="20"/>
          <w:szCs w:val="20"/>
        </w:rPr>
      </w:pPr>
    </w:p>
    <w:p w14:paraId="62B35134" w14:textId="3F5E30D1" w:rsidR="00687BB9" w:rsidRDefault="00687BB9" w:rsidP="00036733">
      <w:pPr>
        <w:spacing w:after="0" w:line="240" w:lineRule="auto"/>
        <w:rPr>
          <w:rFonts w:ascii="Arial" w:hAnsi="Arial" w:cs="Arial"/>
          <w:b/>
          <w:sz w:val="20"/>
          <w:szCs w:val="20"/>
        </w:rPr>
      </w:pPr>
      <w:r w:rsidRPr="005A55AF">
        <w:rPr>
          <w:rFonts w:ascii="Arial" w:hAnsi="Arial" w:cs="Arial"/>
          <w:b/>
          <w:sz w:val="20"/>
          <w:szCs w:val="20"/>
        </w:rPr>
        <w:t>ABSTRACT</w:t>
      </w:r>
    </w:p>
    <w:p w14:paraId="1B838E94" w14:textId="77777777" w:rsidR="00036733" w:rsidRPr="005A55AF" w:rsidRDefault="00036733" w:rsidP="00036733">
      <w:pPr>
        <w:spacing w:after="0" w:line="240" w:lineRule="auto"/>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687BB9" w:rsidRPr="005A55AF" w14:paraId="1477DA7A" w14:textId="77777777" w:rsidTr="00DA4416">
        <w:trPr>
          <w:trHeight w:val="6099"/>
        </w:trPr>
        <w:tc>
          <w:tcPr>
            <w:tcW w:w="9016" w:type="dxa"/>
            <w:shd w:val="clear" w:color="auto" w:fill="F2F2F2"/>
          </w:tcPr>
          <w:p w14:paraId="27A967A1" w14:textId="77777777" w:rsidR="00036733" w:rsidRPr="005A55AF" w:rsidRDefault="00036733" w:rsidP="00036733">
            <w:pPr>
              <w:pStyle w:val="Body"/>
              <w:spacing w:after="0"/>
              <w:rPr>
                <w:rStyle w:val="Strong"/>
                <w:rFonts w:ascii="Arial" w:hAnsi="Arial" w:cs="Arial"/>
                <w:color w:val="000000" w:themeColor="text1"/>
              </w:rPr>
            </w:pPr>
            <w:r w:rsidRPr="005A55AF">
              <w:rPr>
                <w:rStyle w:val="Strong"/>
                <w:rFonts w:ascii="Arial" w:hAnsi="Arial" w:cs="Arial"/>
                <w:color w:val="000000" w:themeColor="text1"/>
              </w:rPr>
              <w:t>Scope and objective:</w:t>
            </w:r>
            <w:r>
              <w:t xml:space="preserve"> </w:t>
            </w:r>
            <w:r w:rsidRPr="00312154">
              <w:rPr>
                <w:rFonts w:ascii="Arial" w:hAnsi="Arial" w:cs="Arial"/>
              </w:rPr>
              <w:t>The present study aimed to comparatively evaluate floating and non-floating controlled-release formulations of Metformin HCl to understand the influence of formulation composition and processing variables on gastroretentive behavior, drug release characteristics, and pharmacokinetic performance. The study particularly focused on the role of rate-controlling polymer, binder grade, and granulation process in modulating formulation performance and bioavailability.</w:t>
            </w:r>
          </w:p>
          <w:p w14:paraId="28F9597E" w14:textId="6C1CB88F" w:rsidR="00036733" w:rsidRPr="00312154" w:rsidRDefault="00036733" w:rsidP="00036733">
            <w:pPr>
              <w:pStyle w:val="Heading2"/>
              <w:spacing w:before="0" w:line="240" w:lineRule="auto"/>
              <w:jc w:val="both"/>
              <w:rPr>
                <w:rFonts w:ascii="Arial" w:eastAsia="Times New Roman" w:hAnsi="Arial" w:cs="Arial"/>
                <w:color w:val="auto"/>
                <w:sz w:val="20"/>
                <w:szCs w:val="20"/>
                <w:lang w:val="en-US"/>
              </w:rPr>
            </w:pPr>
            <w:r w:rsidRPr="005A55AF">
              <w:rPr>
                <w:rStyle w:val="Strong"/>
                <w:rFonts w:ascii="Arial" w:eastAsia="Times New Roman" w:hAnsi="Arial" w:cs="Arial"/>
                <w:color w:val="000000" w:themeColor="text1"/>
                <w:sz w:val="20"/>
                <w:szCs w:val="20"/>
                <w:lang w:val="en-US"/>
              </w:rPr>
              <w:t>Methodology</w:t>
            </w:r>
            <w:r w:rsidRPr="00312154">
              <w:rPr>
                <w:b/>
                <w:bCs/>
                <w:color w:val="auto"/>
              </w:rPr>
              <w:t xml:space="preserve">: </w:t>
            </w:r>
            <w:r w:rsidRPr="00312154">
              <w:rPr>
                <w:rFonts w:ascii="Arial" w:eastAsia="Times New Roman" w:hAnsi="Arial" w:cs="Arial"/>
                <w:color w:val="auto"/>
                <w:sz w:val="20"/>
                <w:szCs w:val="20"/>
                <w:lang w:val="en-US"/>
              </w:rPr>
              <w:t>Floating gastroretentive tablets of Metformin HCl were developed using Eudragit NE 30D as the rate</w:t>
            </w:r>
            <w:r>
              <w:rPr>
                <w:rFonts w:ascii="Arial" w:eastAsia="Times New Roman" w:hAnsi="Arial" w:cs="Arial"/>
                <w:color w:val="auto"/>
                <w:sz w:val="20"/>
                <w:szCs w:val="20"/>
                <w:lang w:val="en-US"/>
              </w:rPr>
              <w:t xml:space="preserve"> </w:t>
            </w:r>
            <w:r w:rsidRPr="00312154">
              <w:rPr>
                <w:rFonts w:ascii="Arial" w:eastAsia="Times New Roman" w:hAnsi="Arial" w:cs="Arial"/>
                <w:color w:val="auto"/>
                <w:sz w:val="20"/>
                <w:szCs w:val="20"/>
                <w:lang w:val="en-US"/>
              </w:rPr>
              <w:t>controlling polymer and polyvinyl alcohol (PVA) as the granulating binder through a low-shear fluid bed granulation process. Both floating and non-floating controlled-release systems were formulated and optimized to assess the impact of binder grade and formulation parameters on tablet performance. The prepared formulations were evaluated for physicochemical properties, in vitro buoyancy behavior, swelling index, matrix erosion, and dissolution profile. In addition, in vivo gastric retention and pharmacokinetic performance were assessed in healthy human volunteers.</w:t>
            </w:r>
          </w:p>
          <w:p w14:paraId="00EAEDA0" w14:textId="77777777" w:rsidR="00036733" w:rsidRPr="00312154" w:rsidRDefault="00036733" w:rsidP="00036733">
            <w:pPr>
              <w:pStyle w:val="Heading2"/>
              <w:spacing w:before="0" w:line="240" w:lineRule="auto"/>
              <w:jc w:val="both"/>
              <w:rPr>
                <w:rFonts w:ascii="Arial" w:eastAsia="Times New Roman" w:hAnsi="Arial" w:cs="Arial"/>
                <w:color w:val="auto"/>
                <w:sz w:val="20"/>
                <w:szCs w:val="20"/>
                <w:lang w:val="en-US"/>
              </w:rPr>
            </w:pPr>
            <w:r w:rsidRPr="005A55AF">
              <w:rPr>
                <w:rFonts w:ascii="Arial" w:eastAsia="Times New Roman" w:hAnsi="Arial" w:cs="Arial"/>
                <w:b/>
                <w:color w:val="000000" w:themeColor="text1"/>
                <w:sz w:val="20"/>
                <w:szCs w:val="20"/>
                <w:lang w:val="en-US"/>
              </w:rPr>
              <w:t xml:space="preserve">Results: </w:t>
            </w:r>
            <w:r w:rsidRPr="00312154">
              <w:rPr>
                <w:rFonts w:ascii="Arial" w:eastAsia="Times New Roman" w:hAnsi="Arial" w:cs="Arial"/>
                <w:color w:val="auto"/>
                <w:sz w:val="20"/>
                <w:szCs w:val="20"/>
                <w:lang w:val="en-US"/>
              </w:rPr>
              <w:t xml:space="preserve">The optimized floating formulation (MTH3) demonstrated rapid flotation within 20 seconds and sustained buoyancy for more than 16 hours. In contrast, non-floating </w:t>
            </w:r>
            <w:r>
              <w:rPr>
                <w:rFonts w:ascii="Arial" w:eastAsia="Times New Roman" w:hAnsi="Arial" w:cs="Arial"/>
                <w:color w:val="auto"/>
                <w:sz w:val="20"/>
                <w:szCs w:val="20"/>
                <w:lang w:val="en-US"/>
              </w:rPr>
              <w:t>o</w:t>
            </w:r>
            <w:r w:rsidRPr="00312154">
              <w:rPr>
                <w:rFonts w:ascii="Arial" w:eastAsia="Times New Roman" w:hAnsi="Arial" w:cs="Arial"/>
                <w:color w:val="auto"/>
                <w:sz w:val="20"/>
                <w:szCs w:val="20"/>
                <w:lang w:val="en-US"/>
              </w:rPr>
              <w:t>ptimized formulation (MTH</w:t>
            </w:r>
            <w:r>
              <w:rPr>
                <w:rFonts w:ascii="Arial" w:eastAsia="Times New Roman" w:hAnsi="Arial" w:cs="Arial"/>
                <w:color w:val="auto"/>
                <w:sz w:val="20"/>
                <w:szCs w:val="20"/>
                <w:lang w:val="en-US"/>
              </w:rPr>
              <w:t>6</w:t>
            </w:r>
            <w:r w:rsidRPr="00312154">
              <w:rPr>
                <w:rFonts w:ascii="Arial" w:eastAsia="Times New Roman" w:hAnsi="Arial" w:cs="Arial"/>
                <w:color w:val="auto"/>
                <w:sz w:val="20"/>
                <w:szCs w:val="20"/>
                <w:lang w:val="en-US"/>
              </w:rPr>
              <w:t xml:space="preserve">) prepared with lower grades of PVA </w:t>
            </w:r>
            <w:r>
              <w:rPr>
                <w:rFonts w:ascii="Arial" w:eastAsia="Times New Roman" w:hAnsi="Arial" w:cs="Arial"/>
                <w:color w:val="auto"/>
                <w:sz w:val="20"/>
                <w:szCs w:val="20"/>
                <w:lang w:val="en-US"/>
              </w:rPr>
              <w:t xml:space="preserve">as a binder </w:t>
            </w:r>
            <w:r w:rsidRPr="00312154">
              <w:rPr>
                <w:rFonts w:ascii="Arial" w:eastAsia="Times New Roman" w:hAnsi="Arial" w:cs="Arial"/>
                <w:color w:val="auto"/>
                <w:sz w:val="20"/>
                <w:szCs w:val="20"/>
                <w:lang w:val="en-US"/>
              </w:rPr>
              <w:t>with addition of controlled release polymer</w:t>
            </w:r>
            <w:r>
              <w:rPr>
                <w:rFonts w:ascii="Arial" w:eastAsia="Times New Roman" w:hAnsi="Arial" w:cs="Arial"/>
                <w:color w:val="auto"/>
                <w:sz w:val="20"/>
                <w:szCs w:val="20"/>
                <w:lang w:val="en-US"/>
              </w:rPr>
              <w:t xml:space="preserve"> </w:t>
            </w:r>
            <w:r w:rsidRPr="00312154">
              <w:rPr>
                <w:rFonts w:ascii="Arial" w:eastAsia="Times New Roman" w:hAnsi="Arial" w:cs="Arial"/>
                <w:color w:val="auto"/>
                <w:sz w:val="20"/>
                <w:szCs w:val="20"/>
                <w:lang w:val="en-US"/>
              </w:rPr>
              <w:t>maintained controlled drug release characteristics.</w:t>
            </w:r>
            <w:r>
              <w:rPr>
                <w:rFonts w:ascii="Arial" w:eastAsia="Times New Roman" w:hAnsi="Arial" w:cs="Arial"/>
                <w:color w:val="auto"/>
                <w:sz w:val="20"/>
                <w:szCs w:val="20"/>
                <w:lang w:val="en-US"/>
              </w:rPr>
              <w:t xml:space="preserve"> </w:t>
            </w:r>
            <w:r w:rsidRPr="00312154">
              <w:rPr>
                <w:rFonts w:ascii="Arial" w:eastAsia="Times New Roman" w:hAnsi="Arial" w:cs="Arial"/>
                <w:color w:val="auto"/>
                <w:sz w:val="20"/>
                <w:szCs w:val="20"/>
                <w:lang w:val="en-US"/>
              </w:rPr>
              <w:t xml:space="preserve">Dissolution studies showed prolonged and near-complete drug release from </w:t>
            </w:r>
            <w:r>
              <w:rPr>
                <w:rFonts w:ascii="Arial" w:eastAsia="Times New Roman" w:hAnsi="Arial" w:cs="Arial"/>
                <w:color w:val="auto"/>
                <w:sz w:val="20"/>
                <w:szCs w:val="20"/>
                <w:lang w:val="en-US"/>
              </w:rPr>
              <w:t xml:space="preserve">both </w:t>
            </w:r>
            <w:r w:rsidRPr="00312154">
              <w:rPr>
                <w:rFonts w:ascii="Arial" w:eastAsia="Times New Roman" w:hAnsi="Arial" w:cs="Arial"/>
                <w:color w:val="auto"/>
                <w:sz w:val="20"/>
                <w:szCs w:val="20"/>
                <w:lang w:val="en-US"/>
              </w:rPr>
              <w:t>the formulation</w:t>
            </w:r>
            <w:r>
              <w:rPr>
                <w:rFonts w:ascii="Arial" w:eastAsia="Times New Roman" w:hAnsi="Arial" w:cs="Arial"/>
                <w:color w:val="auto"/>
                <w:sz w:val="20"/>
                <w:szCs w:val="20"/>
                <w:lang w:val="en-US"/>
              </w:rPr>
              <w:t>s</w:t>
            </w:r>
            <w:r w:rsidRPr="00312154">
              <w:rPr>
                <w:rFonts w:ascii="Arial" w:eastAsia="Times New Roman" w:hAnsi="Arial" w:cs="Arial"/>
                <w:color w:val="auto"/>
                <w:sz w:val="20"/>
                <w:szCs w:val="20"/>
                <w:lang w:val="en-US"/>
              </w:rPr>
              <w:t xml:space="preserve">. Drug release kinetics for both </w:t>
            </w:r>
            <w:r>
              <w:rPr>
                <w:rFonts w:ascii="Arial" w:eastAsia="Times New Roman" w:hAnsi="Arial" w:cs="Arial"/>
                <w:color w:val="auto"/>
                <w:sz w:val="20"/>
                <w:szCs w:val="20"/>
                <w:lang w:val="en-US"/>
              </w:rPr>
              <w:t xml:space="preserve">the </w:t>
            </w:r>
            <w:r w:rsidRPr="00312154">
              <w:rPr>
                <w:rFonts w:ascii="Arial" w:eastAsia="Times New Roman" w:hAnsi="Arial" w:cs="Arial"/>
                <w:color w:val="auto"/>
                <w:sz w:val="20"/>
                <w:szCs w:val="20"/>
                <w:lang w:val="en-US"/>
              </w:rPr>
              <w:t>formulations followed Higuchi model, indicating a combined diffusion and matrix erosion mechanism. Stability studies confirmed consistent dissolution similarity (f</w:t>
            </w:r>
            <w:r w:rsidRPr="00312154">
              <w:rPr>
                <w:rFonts w:ascii="Cambria Math" w:eastAsia="Times New Roman" w:hAnsi="Cambria Math" w:cs="Cambria Math"/>
                <w:color w:val="auto"/>
                <w:sz w:val="20"/>
                <w:szCs w:val="20"/>
                <w:lang w:val="en-US"/>
              </w:rPr>
              <w:t>₂</w:t>
            </w:r>
            <w:r w:rsidRPr="00312154">
              <w:rPr>
                <w:rFonts w:ascii="Arial" w:eastAsia="Times New Roman" w:hAnsi="Arial" w:cs="Arial"/>
                <w:color w:val="auto"/>
                <w:sz w:val="20"/>
                <w:szCs w:val="20"/>
                <w:lang w:val="en-US"/>
              </w:rPr>
              <w:t>), demonstrating formulation robustness. In vivo pharmacokinetic evaluation revealed higher systemic exposure for the floating formulation compared with the non-floating system. The optimized floating tablets met bioequivalence criteria relative to the reference listed drug, whereas the non-floating formulation failed to achieve bioequivalence.</w:t>
            </w:r>
          </w:p>
          <w:p w14:paraId="52D019BA" w14:textId="4FAAC51A" w:rsidR="00687BB9" w:rsidRPr="009C7264" w:rsidRDefault="00036733" w:rsidP="00036733">
            <w:pPr>
              <w:spacing w:after="0" w:line="240" w:lineRule="auto"/>
              <w:jc w:val="both"/>
              <w:rPr>
                <w:rFonts w:ascii="Arial" w:eastAsia="Times New Roman" w:hAnsi="Arial" w:cs="Arial"/>
                <w:i/>
                <w:sz w:val="20"/>
                <w:szCs w:val="20"/>
                <w:lang w:eastAsia="en-IN"/>
              </w:rPr>
            </w:pPr>
            <w:r w:rsidRPr="005A55AF">
              <w:rPr>
                <w:rStyle w:val="Strong"/>
                <w:rFonts w:ascii="Arial" w:hAnsi="Arial" w:cs="Arial"/>
                <w:sz w:val="20"/>
                <w:szCs w:val="20"/>
              </w:rPr>
              <w:t>Conclusions:</w:t>
            </w:r>
            <w:r>
              <w:rPr>
                <w:rStyle w:val="Strong"/>
                <w:rFonts w:ascii="Arial" w:hAnsi="Arial" w:cs="Arial"/>
                <w:sz w:val="20"/>
                <w:szCs w:val="20"/>
              </w:rPr>
              <w:t xml:space="preserve"> </w:t>
            </w:r>
            <w:r w:rsidRPr="0041292B">
              <w:rPr>
                <w:rFonts w:ascii="Arial" w:eastAsia="Times New Roman" w:hAnsi="Arial" w:cs="Arial"/>
                <w:sz w:val="20"/>
                <w:szCs w:val="20"/>
                <w:lang w:val="en-US"/>
              </w:rPr>
              <w:t>The study demonstrates that formulation variables such as rate-controlling polymer selection, binder grade, and granulation conditions significantly influence the gastroretentive properties, drug release kinetics, and bioavailability of controlled-release Metformin HCl tablets. The optimized floating system provided improved gastric retention and enhanced systemic exposure, successfully achieving bioequivalence with the reference product, highlighting its potential as an effective gastroretentive controlled-release formulation.</w:t>
            </w:r>
          </w:p>
        </w:tc>
      </w:tr>
    </w:tbl>
    <w:p w14:paraId="55052EFE" w14:textId="77777777" w:rsidR="00687BB9" w:rsidRPr="005A55AF" w:rsidRDefault="00687BB9" w:rsidP="005A55AF">
      <w:pPr>
        <w:spacing w:after="0" w:line="240" w:lineRule="auto"/>
        <w:jc w:val="both"/>
        <w:rPr>
          <w:rFonts w:ascii="Arial" w:hAnsi="Arial" w:cs="Arial"/>
          <w:i/>
          <w:sz w:val="20"/>
          <w:szCs w:val="20"/>
        </w:rPr>
      </w:pPr>
    </w:p>
    <w:p w14:paraId="754FBC4B" w14:textId="307974DC" w:rsidR="00687BB9" w:rsidRDefault="00687BB9" w:rsidP="005A55AF">
      <w:pPr>
        <w:spacing w:after="0" w:line="240" w:lineRule="auto"/>
        <w:jc w:val="both"/>
        <w:rPr>
          <w:rFonts w:ascii="Arial" w:hAnsi="Arial" w:cs="Arial"/>
          <w:i/>
          <w:sz w:val="20"/>
          <w:szCs w:val="20"/>
        </w:rPr>
      </w:pPr>
      <w:r w:rsidRPr="005A55AF">
        <w:rPr>
          <w:rFonts w:ascii="Arial" w:hAnsi="Arial" w:cs="Arial"/>
          <w:i/>
          <w:sz w:val="20"/>
          <w:szCs w:val="20"/>
        </w:rPr>
        <w:t>Key words: Metformin HCl, Floating Tablets, Non-Floating Tablets, Fluid</w:t>
      </w:r>
      <w:r w:rsidR="00F548EC">
        <w:rPr>
          <w:rFonts w:ascii="Arial" w:hAnsi="Arial" w:cs="Arial"/>
          <w:i/>
          <w:sz w:val="20"/>
          <w:szCs w:val="20"/>
        </w:rPr>
        <w:t>-</w:t>
      </w:r>
      <w:r w:rsidRPr="005A55AF">
        <w:rPr>
          <w:rFonts w:ascii="Arial" w:hAnsi="Arial" w:cs="Arial"/>
          <w:i/>
          <w:sz w:val="20"/>
          <w:szCs w:val="20"/>
        </w:rPr>
        <w:t>bed granulation, in vivo buoyancy, Bioequivalence</w:t>
      </w:r>
    </w:p>
    <w:p w14:paraId="1B444209" w14:textId="77777777" w:rsidR="00687BB9" w:rsidRPr="005A55AF" w:rsidRDefault="00687BB9" w:rsidP="005A55AF">
      <w:pPr>
        <w:spacing w:after="0" w:line="240" w:lineRule="auto"/>
        <w:jc w:val="both"/>
        <w:rPr>
          <w:rFonts w:ascii="Arial" w:hAnsi="Arial" w:cs="Arial"/>
          <w:b/>
          <w:sz w:val="20"/>
          <w:szCs w:val="20"/>
        </w:rPr>
      </w:pPr>
    </w:p>
    <w:p w14:paraId="74ACC5A1" w14:textId="43F8D9D9" w:rsidR="00AF13AB" w:rsidRDefault="00687BB9" w:rsidP="005A55AF">
      <w:pPr>
        <w:spacing w:after="0" w:line="240" w:lineRule="auto"/>
        <w:jc w:val="both"/>
        <w:rPr>
          <w:rFonts w:ascii="Arial" w:hAnsi="Arial" w:cs="Arial"/>
          <w:b/>
          <w:sz w:val="20"/>
          <w:szCs w:val="20"/>
        </w:rPr>
      </w:pPr>
      <w:r w:rsidRPr="005A55AF">
        <w:rPr>
          <w:rFonts w:ascii="Arial" w:hAnsi="Arial" w:cs="Arial"/>
          <w:b/>
          <w:sz w:val="20"/>
          <w:szCs w:val="20"/>
        </w:rPr>
        <w:t>ABBREVIATIONS</w:t>
      </w:r>
    </w:p>
    <w:p w14:paraId="3CCA44E8" w14:textId="77777777" w:rsidR="00920924" w:rsidRDefault="00920924" w:rsidP="005A55AF">
      <w:pPr>
        <w:spacing w:after="0" w:line="240" w:lineRule="auto"/>
        <w:jc w:val="both"/>
        <w:rPr>
          <w:rFonts w:ascii="Arial" w:hAnsi="Arial" w:cs="Arial"/>
          <w:b/>
          <w:sz w:val="20"/>
          <w:szCs w:val="20"/>
        </w:rPr>
      </w:pPr>
    </w:p>
    <w:p w14:paraId="624F4A23" w14:textId="41FA0470" w:rsidR="009C7264" w:rsidRPr="009C7264" w:rsidRDefault="009C7264" w:rsidP="009C7264">
      <w:pPr>
        <w:spacing w:after="0" w:line="240" w:lineRule="auto"/>
        <w:rPr>
          <w:rFonts w:ascii="Arial" w:eastAsia="Times New Roman" w:hAnsi="Arial" w:cs="Arial"/>
          <w:i/>
          <w:color w:val="000000"/>
          <w:sz w:val="20"/>
          <w:szCs w:val="20"/>
          <w:lang w:eastAsia="en-IN"/>
        </w:rPr>
      </w:pPr>
      <w:r w:rsidRPr="009C7264">
        <w:rPr>
          <w:rFonts w:ascii="Arial" w:eastAsia="Times New Roman" w:hAnsi="Arial" w:cs="Arial"/>
          <w:i/>
          <w:color w:val="000000" w:themeColor="text1"/>
          <w:sz w:val="20"/>
          <w:szCs w:val="20"/>
          <w:lang w:eastAsia="en-IN"/>
        </w:rPr>
        <w:t>PVA</w:t>
      </w:r>
      <w:r w:rsidRPr="009C7264">
        <w:rPr>
          <w:rFonts w:ascii="Arial" w:eastAsia="Times New Roman" w:hAnsi="Arial" w:cs="Arial"/>
          <w:i/>
          <w:color w:val="000000"/>
          <w:sz w:val="20"/>
          <w:szCs w:val="20"/>
          <w:lang w:eastAsia="en-IN"/>
        </w:rPr>
        <w:tab/>
      </w:r>
      <w:r w:rsidRPr="009C7264">
        <w:rPr>
          <w:rFonts w:ascii="Arial" w:eastAsia="Times New Roman" w:hAnsi="Arial" w:cs="Arial"/>
          <w:i/>
          <w:color w:val="000000"/>
          <w:sz w:val="20"/>
          <w:szCs w:val="20"/>
          <w:lang w:eastAsia="en-IN"/>
        </w:rPr>
        <w:tab/>
        <w:t xml:space="preserve">: Polyvinyl Alcohol </w:t>
      </w:r>
    </w:p>
    <w:p w14:paraId="12B046A4" w14:textId="23F8C828" w:rsidR="009C7264" w:rsidRPr="009C7264" w:rsidRDefault="009C7264" w:rsidP="009C7264">
      <w:pPr>
        <w:spacing w:after="0" w:line="240" w:lineRule="auto"/>
        <w:rPr>
          <w:rFonts w:ascii="Arial" w:hAnsi="Arial" w:cs="Arial"/>
          <w:i/>
          <w:color w:val="000000" w:themeColor="text1"/>
          <w:sz w:val="20"/>
          <w:szCs w:val="20"/>
        </w:rPr>
      </w:pPr>
      <w:r w:rsidRPr="009C7264">
        <w:rPr>
          <w:rFonts w:ascii="Arial" w:hAnsi="Arial" w:cs="Arial"/>
          <w:i/>
          <w:color w:val="000000" w:themeColor="text1"/>
          <w:sz w:val="20"/>
          <w:szCs w:val="20"/>
        </w:rPr>
        <w:t>CR</w:t>
      </w:r>
      <w:r>
        <w:rPr>
          <w:rFonts w:ascii="Arial" w:hAnsi="Arial" w:cs="Arial"/>
          <w:i/>
          <w:color w:val="000000" w:themeColor="text1"/>
          <w:sz w:val="20"/>
          <w:szCs w:val="20"/>
        </w:rPr>
        <w:tab/>
      </w:r>
      <w:r>
        <w:rPr>
          <w:rFonts w:ascii="Arial" w:hAnsi="Arial" w:cs="Arial"/>
          <w:i/>
          <w:color w:val="000000" w:themeColor="text1"/>
          <w:sz w:val="20"/>
          <w:szCs w:val="20"/>
        </w:rPr>
        <w:tab/>
      </w:r>
      <w:r w:rsidRPr="009C7264">
        <w:rPr>
          <w:rFonts w:ascii="Arial" w:hAnsi="Arial" w:cs="Arial"/>
          <w:i/>
          <w:color w:val="000000" w:themeColor="text1"/>
          <w:sz w:val="20"/>
          <w:szCs w:val="20"/>
        </w:rPr>
        <w:t>: Controlled-release</w:t>
      </w:r>
    </w:p>
    <w:p w14:paraId="5A895AF8" w14:textId="5B23BAAC" w:rsidR="009C7264" w:rsidRPr="009C7264" w:rsidRDefault="009C7264" w:rsidP="009C7264">
      <w:pPr>
        <w:spacing w:after="0" w:line="240" w:lineRule="auto"/>
        <w:rPr>
          <w:rFonts w:ascii="Arial" w:hAnsi="Arial" w:cs="Arial"/>
          <w:i/>
          <w:color w:val="000000" w:themeColor="text1"/>
          <w:sz w:val="20"/>
          <w:szCs w:val="20"/>
        </w:rPr>
      </w:pPr>
      <w:r w:rsidRPr="009C7264">
        <w:rPr>
          <w:rFonts w:ascii="Arial" w:hAnsi="Arial" w:cs="Arial"/>
          <w:i/>
          <w:color w:val="000000" w:themeColor="text1"/>
          <w:sz w:val="20"/>
          <w:szCs w:val="20"/>
        </w:rPr>
        <w:t>T2DM</w:t>
      </w:r>
      <w:r>
        <w:rPr>
          <w:rFonts w:ascii="Arial" w:hAnsi="Arial" w:cs="Arial"/>
          <w:i/>
          <w:color w:val="000000" w:themeColor="text1"/>
          <w:sz w:val="20"/>
          <w:szCs w:val="20"/>
        </w:rPr>
        <w:tab/>
      </w:r>
      <w:r>
        <w:rPr>
          <w:rFonts w:ascii="Arial" w:hAnsi="Arial" w:cs="Arial"/>
          <w:i/>
          <w:color w:val="000000" w:themeColor="text1"/>
          <w:sz w:val="20"/>
          <w:szCs w:val="20"/>
        </w:rPr>
        <w:tab/>
      </w:r>
      <w:r w:rsidRPr="009C7264">
        <w:rPr>
          <w:rFonts w:ascii="Arial" w:hAnsi="Arial" w:cs="Arial"/>
          <w:i/>
          <w:color w:val="000000" w:themeColor="text1"/>
          <w:sz w:val="20"/>
          <w:szCs w:val="20"/>
        </w:rPr>
        <w:t>: Type 2 diabetes mellitus</w:t>
      </w:r>
    </w:p>
    <w:p w14:paraId="74388B46" w14:textId="04BD3014" w:rsidR="009C7264" w:rsidRPr="009C7264" w:rsidRDefault="009C7264" w:rsidP="009C7264">
      <w:pPr>
        <w:spacing w:after="0" w:line="240" w:lineRule="auto"/>
        <w:rPr>
          <w:rFonts w:ascii="Arial" w:hAnsi="Arial" w:cs="Arial"/>
          <w:i/>
          <w:color w:val="000000" w:themeColor="text1"/>
          <w:sz w:val="20"/>
          <w:szCs w:val="20"/>
        </w:rPr>
      </w:pPr>
      <w:r w:rsidRPr="009C7264">
        <w:rPr>
          <w:rFonts w:ascii="Arial" w:hAnsi="Arial" w:cs="Arial"/>
          <w:i/>
          <w:color w:val="000000" w:themeColor="text1"/>
          <w:sz w:val="20"/>
          <w:szCs w:val="20"/>
        </w:rPr>
        <w:t>GRDDS</w:t>
      </w:r>
      <w:r>
        <w:rPr>
          <w:rFonts w:ascii="Arial" w:hAnsi="Arial" w:cs="Arial"/>
          <w:i/>
          <w:color w:val="000000" w:themeColor="text1"/>
          <w:sz w:val="20"/>
          <w:szCs w:val="20"/>
        </w:rPr>
        <w:tab/>
      </w:r>
      <w:r w:rsidRPr="009C7264">
        <w:rPr>
          <w:rFonts w:ascii="Arial" w:hAnsi="Arial" w:cs="Arial"/>
          <w:i/>
          <w:color w:val="000000" w:themeColor="text1"/>
          <w:sz w:val="20"/>
          <w:szCs w:val="20"/>
        </w:rPr>
        <w:t>: Gastroretentive drug delivery systems</w:t>
      </w:r>
    </w:p>
    <w:p w14:paraId="659C4CFB" w14:textId="7B34EE52" w:rsidR="009C7264" w:rsidRPr="009C7264" w:rsidRDefault="009C7264" w:rsidP="00920924">
      <w:pPr>
        <w:spacing w:after="0" w:line="240" w:lineRule="auto"/>
        <w:rPr>
          <w:rFonts w:ascii="Arial" w:hAnsi="Arial" w:cs="Arial"/>
          <w:i/>
          <w:color w:val="000000" w:themeColor="text1"/>
          <w:sz w:val="20"/>
          <w:szCs w:val="20"/>
        </w:rPr>
      </w:pPr>
      <w:r w:rsidRPr="009C7264">
        <w:rPr>
          <w:rFonts w:ascii="Arial" w:hAnsi="Arial" w:cs="Arial"/>
          <w:i/>
          <w:color w:val="000000" w:themeColor="text1"/>
          <w:sz w:val="20"/>
          <w:szCs w:val="20"/>
        </w:rPr>
        <w:t>FDDS</w:t>
      </w:r>
      <w:r>
        <w:rPr>
          <w:rFonts w:ascii="Arial" w:hAnsi="Arial" w:cs="Arial"/>
          <w:i/>
          <w:color w:val="000000" w:themeColor="text1"/>
          <w:sz w:val="20"/>
          <w:szCs w:val="20"/>
        </w:rPr>
        <w:tab/>
      </w:r>
      <w:r>
        <w:rPr>
          <w:rFonts w:ascii="Arial" w:hAnsi="Arial" w:cs="Arial"/>
          <w:i/>
          <w:color w:val="000000" w:themeColor="text1"/>
          <w:sz w:val="20"/>
          <w:szCs w:val="20"/>
        </w:rPr>
        <w:tab/>
      </w:r>
      <w:r w:rsidRPr="009C7264">
        <w:rPr>
          <w:rFonts w:ascii="Arial" w:hAnsi="Arial" w:cs="Arial"/>
          <w:i/>
          <w:color w:val="000000" w:themeColor="text1"/>
          <w:sz w:val="20"/>
          <w:szCs w:val="20"/>
        </w:rPr>
        <w:t>: Floating drug delivery systems</w:t>
      </w:r>
    </w:p>
    <w:p w14:paraId="70BA4E69" w14:textId="4BD6B446" w:rsidR="009C7264" w:rsidRPr="009C7264" w:rsidRDefault="009C7264" w:rsidP="009C7264">
      <w:pPr>
        <w:spacing w:after="0" w:line="240" w:lineRule="auto"/>
        <w:rPr>
          <w:rFonts w:ascii="Arial" w:hAnsi="Arial" w:cs="Arial"/>
          <w:i/>
          <w:sz w:val="20"/>
          <w:szCs w:val="20"/>
        </w:rPr>
      </w:pPr>
      <w:r w:rsidRPr="009C7264">
        <w:rPr>
          <w:rFonts w:ascii="Arial" w:hAnsi="Arial" w:cs="Arial"/>
          <w:i/>
          <w:sz w:val="20"/>
          <w:szCs w:val="20"/>
        </w:rPr>
        <w:t>FLT</w:t>
      </w:r>
      <w:r>
        <w:rPr>
          <w:rFonts w:ascii="Arial" w:hAnsi="Arial" w:cs="Arial"/>
          <w:i/>
          <w:sz w:val="20"/>
          <w:szCs w:val="20"/>
        </w:rPr>
        <w:tab/>
      </w:r>
      <w:r>
        <w:rPr>
          <w:rFonts w:ascii="Arial" w:hAnsi="Arial" w:cs="Arial"/>
          <w:i/>
          <w:sz w:val="20"/>
          <w:szCs w:val="20"/>
        </w:rPr>
        <w:tab/>
      </w:r>
      <w:r w:rsidRPr="009C7264">
        <w:rPr>
          <w:rFonts w:ascii="Arial" w:hAnsi="Arial" w:cs="Arial"/>
          <w:i/>
          <w:sz w:val="20"/>
          <w:szCs w:val="20"/>
        </w:rPr>
        <w:t>: Floating Lag Time</w:t>
      </w:r>
    </w:p>
    <w:p w14:paraId="59ECAB2B" w14:textId="44E48CE0" w:rsidR="009C7264" w:rsidRPr="009C7264" w:rsidRDefault="009C7264" w:rsidP="009C7264">
      <w:pPr>
        <w:spacing w:after="0" w:line="240" w:lineRule="auto"/>
        <w:rPr>
          <w:rFonts w:ascii="Arial" w:hAnsi="Arial" w:cs="Arial"/>
          <w:i/>
          <w:sz w:val="20"/>
          <w:szCs w:val="20"/>
        </w:rPr>
      </w:pPr>
      <w:r w:rsidRPr="009C7264">
        <w:rPr>
          <w:rFonts w:ascii="Arial" w:hAnsi="Arial" w:cs="Arial"/>
          <w:i/>
          <w:sz w:val="20"/>
          <w:szCs w:val="20"/>
        </w:rPr>
        <w:t>TFT</w:t>
      </w:r>
      <w:r>
        <w:rPr>
          <w:rFonts w:ascii="Arial" w:hAnsi="Arial" w:cs="Arial"/>
          <w:i/>
          <w:sz w:val="20"/>
          <w:szCs w:val="20"/>
        </w:rPr>
        <w:tab/>
      </w:r>
      <w:r>
        <w:rPr>
          <w:rFonts w:ascii="Arial" w:hAnsi="Arial" w:cs="Arial"/>
          <w:i/>
          <w:sz w:val="20"/>
          <w:szCs w:val="20"/>
        </w:rPr>
        <w:tab/>
      </w:r>
      <w:r w:rsidRPr="009C7264">
        <w:rPr>
          <w:rFonts w:ascii="Arial" w:hAnsi="Arial" w:cs="Arial"/>
          <w:i/>
          <w:sz w:val="20"/>
          <w:szCs w:val="20"/>
        </w:rPr>
        <w:t>: Total Floating Time</w:t>
      </w:r>
    </w:p>
    <w:p w14:paraId="1568F117" w14:textId="29C881AB" w:rsidR="009C7264" w:rsidRPr="009C7264" w:rsidRDefault="009C7264" w:rsidP="009C7264">
      <w:pPr>
        <w:spacing w:after="0" w:line="240" w:lineRule="auto"/>
        <w:rPr>
          <w:rFonts w:ascii="Arial" w:hAnsi="Arial" w:cs="Arial"/>
          <w:i/>
          <w:sz w:val="20"/>
          <w:szCs w:val="20"/>
        </w:rPr>
      </w:pPr>
      <w:r w:rsidRPr="009C7264">
        <w:rPr>
          <w:rFonts w:ascii="Arial" w:hAnsi="Arial" w:cs="Arial"/>
          <w:i/>
          <w:sz w:val="20"/>
          <w:szCs w:val="20"/>
        </w:rPr>
        <w:t>ANOVA</w:t>
      </w:r>
      <w:r>
        <w:rPr>
          <w:rFonts w:ascii="Arial" w:hAnsi="Arial" w:cs="Arial"/>
          <w:i/>
          <w:sz w:val="20"/>
          <w:szCs w:val="20"/>
        </w:rPr>
        <w:tab/>
      </w:r>
      <w:r>
        <w:rPr>
          <w:rFonts w:ascii="Arial" w:hAnsi="Arial" w:cs="Arial"/>
          <w:i/>
          <w:sz w:val="20"/>
          <w:szCs w:val="20"/>
        </w:rPr>
        <w:tab/>
      </w:r>
      <w:r w:rsidRPr="009C7264">
        <w:rPr>
          <w:rFonts w:ascii="Arial" w:hAnsi="Arial" w:cs="Arial"/>
          <w:i/>
          <w:sz w:val="20"/>
          <w:szCs w:val="20"/>
        </w:rPr>
        <w:t xml:space="preserve">: Analysis </w:t>
      </w:r>
      <w:r w:rsidR="00DA4416" w:rsidRPr="009C7264">
        <w:rPr>
          <w:rFonts w:ascii="Arial" w:hAnsi="Arial" w:cs="Arial"/>
          <w:i/>
          <w:sz w:val="20"/>
          <w:szCs w:val="20"/>
        </w:rPr>
        <w:t xml:space="preserve">of </w:t>
      </w:r>
      <w:r w:rsidRPr="009C7264">
        <w:rPr>
          <w:rFonts w:ascii="Arial" w:hAnsi="Arial" w:cs="Arial"/>
          <w:i/>
          <w:sz w:val="20"/>
          <w:szCs w:val="20"/>
        </w:rPr>
        <w:t>Variance</w:t>
      </w:r>
    </w:p>
    <w:p w14:paraId="709A9BD7" w14:textId="4A87518D" w:rsidR="009C7264" w:rsidRPr="009C7264" w:rsidRDefault="009C7264" w:rsidP="009C7264">
      <w:pPr>
        <w:spacing w:after="0" w:line="240" w:lineRule="auto"/>
        <w:rPr>
          <w:rFonts w:ascii="Arial" w:eastAsia="Times New Roman" w:hAnsi="Arial" w:cs="Arial"/>
          <w:i/>
          <w:color w:val="000000"/>
          <w:sz w:val="20"/>
          <w:szCs w:val="20"/>
          <w:lang w:eastAsia="en-IN"/>
        </w:rPr>
      </w:pPr>
      <w:r w:rsidRPr="009C7264">
        <w:rPr>
          <w:rFonts w:ascii="Arial" w:hAnsi="Arial" w:cs="Arial"/>
          <w:i/>
          <w:sz w:val="20"/>
          <w:szCs w:val="20"/>
        </w:rPr>
        <w:t>CI</w:t>
      </w:r>
      <w:r>
        <w:rPr>
          <w:rFonts w:ascii="Arial" w:hAnsi="Arial" w:cs="Arial"/>
          <w:i/>
          <w:sz w:val="20"/>
          <w:szCs w:val="20"/>
        </w:rPr>
        <w:tab/>
      </w:r>
      <w:r>
        <w:rPr>
          <w:rFonts w:ascii="Arial" w:hAnsi="Arial" w:cs="Arial"/>
          <w:i/>
          <w:sz w:val="20"/>
          <w:szCs w:val="20"/>
        </w:rPr>
        <w:tab/>
      </w:r>
      <w:r w:rsidRPr="009C7264">
        <w:rPr>
          <w:rFonts w:ascii="Arial" w:hAnsi="Arial" w:cs="Arial"/>
          <w:i/>
          <w:sz w:val="20"/>
          <w:szCs w:val="20"/>
        </w:rPr>
        <w:t>: Confidence Interval</w:t>
      </w:r>
    </w:p>
    <w:p w14:paraId="547587B3" w14:textId="76936F34" w:rsidR="00A11C35" w:rsidRDefault="005A55AF" w:rsidP="005A55AF">
      <w:pPr>
        <w:pStyle w:val="Heading1"/>
        <w:numPr>
          <w:ilvl w:val="0"/>
          <w:numId w:val="2"/>
        </w:numPr>
        <w:spacing w:before="0" w:line="240" w:lineRule="auto"/>
        <w:ind w:left="284" w:hanging="284"/>
        <w:jc w:val="both"/>
        <w:rPr>
          <w:rFonts w:ascii="Arial" w:hAnsi="Arial" w:cs="Arial"/>
          <w:b/>
          <w:color w:val="auto"/>
          <w:sz w:val="22"/>
          <w:szCs w:val="22"/>
        </w:rPr>
      </w:pPr>
      <w:r w:rsidRPr="005A55AF">
        <w:rPr>
          <w:rFonts w:ascii="Arial" w:hAnsi="Arial" w:cs="Arial"/>
          <w:b/>
          <w:color w:val="auto"/>
          <w:sz w:val="22"/>
          <w:szCs w:val="22"/>
        </w:rPr>
        <w:lastRenderedPageBreak/>
        <w:t>INTRODUCTION</w:t>
      </w:r>
    </w:p>
    <w:p w14:paraId="111E0EF6" w14:textId="77777777" w:rsidR="005A55AF" w:rsidRPr="00DB480E" w:rsidRDefault="005A55AF" w:rsidP="005A55AF">
      <w:pPr>
        <w:spacing w:after="0" w:line="240" w:lineRule="auto"/>
        <w:rPr>
          <w:color w:val="000000" w:themeColor="text1"/>
        </w:rPr>
      </w:pPr>
    </w:p>
    <w:p w14:paraId="3BE3BB8A" w14:textId="7A934AB7" w:rsidR="00A11C35" w:rsidRPr="00DB480E" w:rsidRDefault="00A11C35" w:rsidP="005A55AF">
      <w:pPr>
        <w:pStyle w:val="NormalWeb"/>
        <w:spacing w:before="0" w:beforeAutospacing="0" w:after="0" w:afterAutospacing="0"/>
        <w:jc w:val="both"/>
        <w:rPr>
          <w:rFonts w:ascii="Arial" w:hAnsi="Arial" w:cs="Arial"/>
          <w:color w:val="000000" w:themeColor="text1"/>
          <w:sz w:val="20"/>
          <w:szCs w:val="20"/>
        </w:rPr>
      </w:pPr>
      <w:r w:rsidRPr="00DB480E">
        <w:rPr>
          <w:rFonts w:ascii="Arial" w:hAnsi="Arial" w:cs="Arial"/>
          <w:color w:val="000000" w:themeColor="text1"/>
          <w:sz w:val="20"/>
          <w:szCs w:val="20"/>
        </w:rPr>
        <w:t xml:space="preserve">Oral administration remains the most </w:t>
      </w:r>
      <w:proofErr w:type="spellStart"/>
      <w:r w:rsidRPr="00DB480E">
        <w:rPr>
          <w:rFonts w:ascii="Arial" w:hAnsi="Arial" w:cs="Arial"/>
          <w:color w:val="000000" w:themeColor="text1"/>
          <w:sz w:val="20"/>
          <w:szCs w:val="20"/>
        </w:rPr>
        <w:t>favored</w:t>
      </w:r>
      <w:proofErr w:type="spellEnd"/>
      <w:r w:rsidRPr="00DB480E">
        <w:rPr>
          <w:rFonts w:ascii="Arial" w:hAnsi="Arial" w:cs="Arial"/>
          <w:color w:val="000000" w:themeColor="text1"/>
          <w:sz w:val="20"/>
          <w:szCs w:val="20"/>
        </w:rPr>
        <w:t xml:space="preserve"> route for drug delivery because of its convenience, cost-effectiveness, and high patient compliance. However, conventional immediate-release dosage forms often require multiple daily dosing and may produce fluctuations in plasma drug concentrations, potentially compromising therapeutic efficacy and safety</w:t>
      </w:r>
      <w:r w:rsidR="00DE3D91" w:rsidRPr="00DB480E">
        <w:rPr>
          <w:rFonts w:ascii="Arial" w:hAnsi="Arial" w:cs="Arial"/>
          <w:color w:val="000000" w:themeColor="text1"/>
          <w:sz w:val="20"/>
          <w:szCs w:val="20"/>
        </w:rPr>
        <w:t xml:space="preserve"> (</w:t>
      </w:r>
      <w:r w:rsidR="00D56C5C" w:rsidRPr="00DB480E">
        <w:rPr>
          <w:rFonts w:ascii="Arial" w:hAnsi="Arial" w:cs="Arial"/>
          <w:color w:val="000000" w:themeColor="text1"/>
          <w:sz w:val="20"/>
          <w:szCs w:val="20"/>
        </w:rPr>
        <w:t>Palem et al., 2025; Palem et al., 2025</w:t>
      </w:r>
      <w:r w:rsidR="001E3B50" w:rsidRPr="00DB480E">
        <w:rPr>
          <w:rFonts w:ascii="Arial" w:hAnsi="Arial" w:cs="Arial"/>
          <w:color w:val="000000" w:themeColor="text1"/>
          <w:sz w:val="20"/>
          <w:szCs w:val="20"/>
        </w:rPr>
        <w:t>; Palem et al., 2015</w:t>
      </w:r>
      <w:r w:rsidR="00DE3D91" w:rsidRPr="00DB480E">
        <w:rPr>
          <w:rFonts w:ascii="Arial" w:hAnsi="Arial" w:cs="Arial"/>
          <w:color w:val="000000" w:themeColor="text1"/>
          <w:sz w:val="20"/>
          <w:szCs w:val="20"/>
        </w:rPr>
        <w:t>)</w:t>
      </w:r>
      <w:r w:rsidRPr="00DB480E">
        <w:rPr>
          <w:rFonts w:ascii="Arial" w:hAnsi="Arial" w:cs="Arial"/>
          <w:color w:val="000000" w:themeColor="text1"/>
          <w:sz w:val="20"/>
          <w:szCs w:val="20"/>
        </w:rPr>
        <w:t>. (CR) technologies have therefore gained substantial attention as they enable prolonged drug release, reduced dosing frequency, and improved maintenance of therapeutic levels</w:t>
      </w:r>
      <w:r w:rsidR="00DE3D91" w:rsidRPr="00DB480E">
        <w:rPr>
          <w:rFonts w:ascii="Arial" w:hAnsi="Arial" w:cs="Arial"/>
          <w:color w:val="000000" w:themeColor="text1"/>
          <w:sz w:val="20"/>
          <w:szCs w:val="20"/>
        </w:rPr>
        <w:t xml:space="preserve"> (</w:t>
      </w:r>
      <w:r w:rsidR="001E3B50" w:rsidRPr="00DB480E">
        <w:rPr>
          <w:rFonts w:ascii="Arial" w:hAnsi="Arial" w:cs="Arial"/>
          <w:color w:val="000000" w:themeColor="text1"/>
          <w:sz w:val="20"/>
          <w:szCs w:val="20"/>
        </w:rPr>
        <w:t>Palem et al., 2016</w:t>
      </w:r>
      <w:r w:rsidR="00DE3D91" w:rsidRPr="00DB480E">
        <w:rPr>
          <w:rFonts w:ascii="Arial" w:hAnsi="Arial" w:cs="Arial"/>
          <w:color w:val="000000" w:themeColor="text1"/>
          <w:sz w:val="20"/>
          <w:szCs w:val="20"/>
        </w:rPr>
        <w:t>)</w:t>
      </w:r>
      <w:r w:rsidRPr="00DB480E">
        <w:rPr>
          <w:rFonts w:ascii="Arial" w:hAnsi="Arial" w:cs="Arial"/>
          <w:color w:val="000000" w:themeColor="text1"/>
          <w:sz w:val="20"/>
          <w:szCs w:val="20"/>
        </w:rPr>
        <w:t>.</w:t>
      </w:r>
    </w:p>
    <w:p w14:paraId="6AFB6664" w14:textId="77777777" w:rsidR="00AC0E2C" w:rsidRPr="00DB480E" w:rsidRDefault="00AC0E2C" w:rsidP="005A55AF">
      <w:pPr>
        <w:pStyle w:val="NormalWeb"/>
        <w:spacing w:before="0" w:beforeAutospacing="0" w:after="0" w:afterAutospacing="0"/>
        <w:jc w:val="both"/>
        <w:rPr>
          <w:rFonts w:ascii="Arial" w:hAnsi="Arial" w:cs="Arial"/>
          <w:color w:val="000000" w:themeColor="text1"/>
          <w:sz w:val="20"/>
          <w:szCs w:val="20"/>
        </w:rPr>
      </w:pPr>
    </w:p>
    <w:p w14:paraId="55543DC6" w14:textId="77777777" w:rsidR="00920924" w:rsidRDefault="00A11C35" w:rsidP="005A55AF">
      <w:pPr>
        <w:pStyle w:val="NormalWeb"/>
        <w:spacing w:before="0" w:beforeAutospacing="0" w:after="0" w:afterAutospacing="0"/>
        <w:jc w:val="both"/>
        <w:rPr>
          <w:rFonts w:ascii="Arial" w:hAnsi="Arial" w:cs="Arial"/>
          <w:color w:val="000000" w:themeColor="text1"/>
          <w:sz w:val="20"/>
          <w:szCs w:val="20"/>
        </w:rPr>
      </w:pPr>
      <w:r w:rsidRPr="00DB480E">
        <w:rPr>
          <w:rFonts w:ascii="Arial" w:hAnsi="Arial" w:cs="Arial"/>
          <w:color w:val="000000" w:themeColor="text1"/>
          <w:sz w:val="20"/>
          <w:szCs w:val="20"/>
        </w:rPr>
        <w:t xml:space="preserve">Diabetes mellitus, particularly Type 2 diabetes mellitus (T2DM), represents a major and growing global health burden. It is characterized by insulin resistance and progressive pancreatic β-cell dysfunction, leading to chronic </w:t>
      </w:r>
      <w:proofErr w:type="spellStart"/>
      <w:r w:rsidRPr="00DB480E">
        <w:rPr>
          <w:rFonts w:ascii="Arial" w:hAnsi="Arial" w:cs="Arial"/>
          <w:color w:val="000000" w:themeColor="text1"/>
          <w:sz w:val="20"/>
          <w:szCs w:val="20"/>
        </w:rPr>
        <w:t>hyperglycemia</w:t>
      </w:r>
      <w:proofErr w:type="spellEnd"/>
      <w:r w:rsidRPr="00DB480E">
        <w:rPr>
          <w:rFonts w:ascii="Arial" w:hAnsi="Arial" w:cs="Arial"/>
          <w:color w:val="000000" w:themeColor="text1"/>
          <w:sz w:val="20"/>
          <w:szCs w:val="20"/>
        </w:rPr>
        <w:t xml:space="preserve"> and associated microvascular and macrovascular complications. Effective long-term </w:t>
      </w:r>
      <w:proofErr w:type="spellStart"/>
      <w:r w:rsidRPr="00DB480E">
        <w:rPr>
          <w:rFonts w:ascii="Arial" w:hAnsi="Arial" w:cs="Arial"/>
          <w:color w:val="000000" w:themeColor="text1"/>
          <w:sz w:val="20"/>
          <w:szCs w:val="20"/>
        </w:rPr>
        <w:t>glycemic</w:t>
      </w:r>
      <w:proofErr w:type="spellEnd"/>
      <w:r w:rsidRPr="00DB480E">
        <w:rPr>
          <w:rFonts w:ascii="Arial" w:hAnsi="Arial" w:cs="Arial"/>
          <w:color w:val="000000" w:themeColor="text1"/>
          <w:sz w:val="20"/>
          <w:szCs w:val="20"/>
        </w:rPr>
        <w:t xml:space="preserve"> management requires sustained pharmacotherapy, highlighting the importance of optimized oral drug delivery systems</w:t>
      </w:r>
      <w:r w:rsidR="00DE3D91" w:rsidRPr="00DB480E">
        <w:rPr>
          <w:rFonts w:ascii="Arial" w:hAnsi="Arial" w:cs="Arial"/>
          <w:color w:val="000000" w:themeColor="text1"/>
          <w:sz w:val="20"/>
          <w:szCs w:val="20"/>
        </w:rPr>
        <w:t xml:space="preserve"> (</w:t>
      </w:r>
      <w:r w:rsidR="001E3B50" w:rsidRPr="00DB480E">
        <w:rPr>
          <w:rFonts w:ascii="Arial" w:hAnsi="Arial" w:cs="Arial"/>
          <w:color w:val="000000" w:themeColor="text1"/>
          <w:sz w:val="20"/>
          <w:szCs w:val="20"/>
        </w:rPr>
        <w:t>Ali et al., 2007;</w:t>
      </w:r>
      <w:r w:rsidR="00DE3D91" w:rsidRPr="00DB480E">
        <w:rPr>
          <w:rFonts w:ascii="Arial" w:hAnsi="Arial" w:cs="Arial"/>
          <w:color w:val="000000" w:themeColor="text1"/>
          <w:sz w:val="20"/>
          <w:szCs w:val="20"/>
        </w:rPr>
        <w:t xml:space="preserve"> </w:t>
      </w:r>
      <w:r w:rsidR="001E3B50" w:rsidRPr="00DB480E">
        <w:rPr>
          <w:rFonts w:ascii="Arial" w:hAnsi="Arial" w:cs="Arial"/>
          <w:color w:val="000000" w:themeColor="text1"/>
          <w:sz w:val="20"/>
          <w:szCs w:val="20"/>
        </w:rPr>
        <w:t>Patel et al., 2016</w:t>
      </w:r>
      <w:r w:rsidR="00DE3D91" w:rsidRPr="00DB480E">
        <w:rPr>
          <w:rFonts w:ascii="Arial" w:hAnsi="Arial" w:cs="Arial"/>
          <w:color w:val="000000" w:themeColor="text1"/>
          <w:sz w:val="20"/>
          <w:szCs w:val="20"/>
        </w:rPr>
        <w:t>)</w:t>
      </w:r>
      <w:r w:rsidR="003E2FD4" w:rsidRPr="00DB480E">
        <w:rPr>
          <w:rFonts w:ascii="Arial" w:hAnsi="Arial" w:cs="Arial"/>
          <w:color w:val="000000" w:themeColor="text1"/>
          <w:sz w:val="20"/>
          <w:szCs w:val="20"/>
        </w:rPr>
        <w:t>.</w:t>
      </w:r>
    </w:p>
    <w:p w14:paraId="7C3430FC" w14:textId="77777777" w:rsidR="00920924" w:rsidRDefault="00920924" w:rsidP="005A55AF">
      <w:pPr>
        <w:pStyle w:val="NormalWeb"/>
        <w:spacing w:before="0" w:beforeAutospacing="0" w:after="0" w:afterAutospacing="0"/>
        <w:jc w:val="both"/>
        <w:rPr>
          <w:rFonts w:ascii="Arial" w:hAnsi="Arial" w:cs="Arial"/>
          <w:color w:val="000000" w:themeColor="text1"/>
          <w:sz w:val="20"/>
          <w:szCs w:val="20"/>
        </w:rPr>
      </w:pPr>
    </w:p>
    <w:p w14:paraId="1A7B14D3" w14:textId="794837B8" w:rsidR="00A11C35" w:rsidRPr="00DB480E" w:rsidRDefault="00A11C35" w:rsidP="005A55AF">
      <w:pPr>
        <w:pStyle w:val="NormalWeb"/>
        <w:spacing w:before="0" w:beforeAutospacing="0" w:after="0" w:afterAutospacing="0"/>
        <w:jc w:val="both"/>
        <w:rPr>
          <w:rFonts w:ascii="Arial" w:hAnsi="Arial" w:cs="Arial"/>
          <w:color w:val="000000" w:themeColor="text1"/>
          <w:sz w:val="20"/>
          <w:szCs w:val="20"/>
        </w:rPr>
      </w:pPr>
      <w:r w:rsidRPr="00DB480E">
        <w:rPr>
          <w:rFonts w:ascii="Arial" w:hAnsi="Arial" w:cs="Arial"/>
          <w:color w:val="000000" w:themeColor="text1"/>
          <w:sz w:val="20"/>
          <w:szCs w:val="20"/>
        </w:rPr>
        <w:t>Metformin hydrochloride, a biguanide derivative and Biopharmaceutics Classification System (BCS) Class III drug, is widely recommended as first-line therapy for T2DM. Its antihyperglycemic effect primarily results from suppression of hepatic gluconeogenesis and enhancement of peripheral glucose uptake. Despite its clinical benefits, Metformin HCl exhibits certain pharmacokinetic limitations, including a relatively short elimination half-life, moderate oral bioavailability (approximately 50–60%), and a preferential absorption window in the upper small intestine. These characteristics necessitate frequent dosing and may reduce patient adherence</w:t>
      </w:r>
      <w:r w:rsidR="00DE3D91" w:rsidRPr="00DB480E">
        <w:rPr>
          <w:rFonts w:ascii="Arial" w:hAnsi="Arial" w:cs="Arial"/>
          <w:color w:val="000000" w:themeColor="text1"/>
          <w:sz w:val="20"/>
          <w:szCs w:val="20"/>
        </w:rPr>
        <w:t xml:space="preserve"> (</w:t>
      </w:r>
      <w:r w:rsidR="001E3B50" w:rsidRPr="00DB480E">
        <w:rPr>
          <w:rFonts w:ascii="Arial" w:hAnsi="Arial" w:cs="Arial"/>
          <w:color w:val="000000" w:themeColor="text1"/>
          <w:sz w:val="20"/>
          <w:szCs w:val="20"/>
        </w:rPr>
        <w:t>Palem et al., 2025</w:t>
      </w:r>
      <w:r w:rsidR="00DE3D91" w:rsidRPr="00DB480E">
        <w:rPr>
          <w:rFonts w:ascii="Arial" w:hAnsi="Arial" w:cs="Arial"/>
          <w:color w:val="000000" w:themeColor="text1"/>
          <w:sz w:val="20"/>
          <w:szCs w:val="20"/>
        </w:rPr>
        <w:t>)</w:t>
      </w:r>
      <w:r w:rsidRPr="00DB480E">
        <w:rPr>
          <w:rFonts w:ascii="Arial" w:hAnsi="Arial" w:cs="Arial"/>
          <w:color w:val="000000" w:themeColor="text1"/>
          <w:sz w:val="20"/>
          <w:szCs w:val="20"/>
        </w:rPr>
        <w:t>. Consequently, formulation strategies that prolong gastric residence time and provide controlled drug release within the proximal gastrointestinal tract are of considerable therapeutic interest.</w:t>
      </w:r>
    </w:p>
    <w:p w14:paraId="5759B4FF" w14:textId="77777777" w:rsidR="00AC0E2C" w:rsidRPr="00DB480E" w:rsidRDefault="00AC0E2C" w:rsidP="005A55AF">
      <w:pPr>
        <w:pStyle w:val="NormalWeb"/>
        <w:spacing w:before="0" w:beforeAutospacing="0" w:after="0" w:afterAutospacing="0"/>
        <w:jc w:val="both"/>
        <w:rPr>
          <w:rFonts w:ascii="Arial" w:hAnsi="Arial" w:cs="Arial"/>
          <w:color w:val="000000" w:themeColor="text1"/>
          <w:sz w:val="20"/>
          <w:szCs w:val="20"/>
        </w:rPr>
      </w:pPr>
    </w:p>
    <w:p w14:paraId="7EDA9CDE" w14:textId="3E8189EA" w:rsidR="00A11C35" w:rsidRPr="00DB480E" w:rsidRDefault="00A11C35" w:rsidP="005A55AF">
      <w:pPr>
        <w:pStyle w:val="NormalWeb"/>
        <w:spacing w:before="0" w:beforeAutospacing="0" w:after="0" w:afterAutospacing="0"/>
        <w:jc w:val="both"/>
        <w:rPr>
          <w:rFonts w:ascii="Arial" w:hAnsi="Arial" w:cs="Arial"/>
          <w:color w:val="000000" w:themeColor="text1"/>
          <w:sz w:val="20"/>
          <w:szCs w:val="20"/>
        </w:rPr>
      </w:pPr>
      <w:r w:rsidRPr="00DB480E">
        <w:rPr>
          <w:rFonts w:ascii="Arial" w:hAnsi="Arial" w:cs="Arial"/>
          <w:color w:val="000000" w:themeColor="text1"/>
          <w:sz w:val="20"/>
          <w:szCs w:val="20"/>
        </w:rPr>
        <w:t>Gastroretentive drug delivery systems (GRDDS) have emerged as a promising approach to enhance the bioavailability of drugs with narrow absorption windows. Among these, floating drug delivery systems (FDDS) are designed to remain buoyant in gastric fluids for extended durations, thereby prolonging gastric retention without interfering with physiological motility. By maintaining the dosage form in the stomach, floating systems can facilitate sustained drug release in the region where absorption is optimal</w:t>
      </w:r>
      <w:r w:rsidR="00C927EC" w:rsidRPr="00DB480E">
        <w:rPr>
          <w:rFonts w:ascii="Arial" w:hAnsi="Arial" w:cs="Arial"/>
          <w:color w:val="000000" w:themeColor="text1"/>
          <w:sz w:val="20"/>
          <w:szCs w:val="20"/>
        </w:rPr>
        <w:t xml:space="preserve"> (</w:t>
      </w:r>
      <w:r w:rsidR="001E3B50" w:rsidRPr="00DB480E">
        <w:rPr>
          <w:rFonts w:ascii="Arial" w:hAnsi="Arial" w:cs="Arial"/>
          <w:color w:val="000000" w:themeColor="text1"/>
          <w:sz w:val="20"/>
          <w:szCs w:val="20"/>
        </w:rPr>
        <w:t>Senjoti et al., 2016; Rao et al., 2011</w:t>
      </w:r>
      <w:r w:rsidR="00C927EC" w:rsidRPr="00DB480E">
        <w:rPr>
          <w:rFonts w:ascii="Arial" w:hAnsi="Arial" w:cs="Arial"/>
          <w:color w:val="000000" w:themeColor="text1"/>
          <w:sz w:val="20"/>
          <w:szCs w:val="20"/>
        </w:rPr>
        <w:t>)</w:t>
      </w:r>
      <w:r w:rsidRPr="00DB480E">
        <w:rPr>
          <w:rFonts w:ascii="Arial" w:hAnsi="Arial" w:cs="Arial"/>
          <w:color w:val="000000" w:themeColor="text1"/>
          <w:sz w:val="20"/>
          <w:szCs w:val="20"/>
        </w:rPr>
        <w:t>. In contrast, non-floating controlled-release matrices rely solely on polymeric modulation of drug diffusion and matrix erosion without contributing to gastric retention. A direct comparison between floating and non-floating CR systems provides valuable insight into the relative contribution of gastroretention versus matrix control in modulating drug release and systemic exposure</w:t>
      </w:r>
      <w:r w:rsidR="00C927EC" w:rsidRPr="00DB480E">
        <w:rPr>
          <w:rFonts w:ascii="Arial" w:hAnsi="Arial" w:cs="Arial"/>
          <w:color w:val="000000" w:themeColor="text1"/>
          <w:sz w:val="20"/>
          <w:szCs w:val="20"/>
        </w:rPr>
        <w:t xml:space="preserve"> (</w:t>
      </w:r>
      <w:r w:rsidR="001E3B50" w:rsidRPr="00DB480E">
        <w:rPr>
          <w:rFonts w:ascii="Arial" w:hAnsi="Arial" w:cs="Arial"/>
          <w:color w:val="000000" w:themeColor="text1"/>
          <w:sz w:val="20"/>
          <w:szCs w:val="20"/>
        </w:rPr>
        <w:t>Jiménez-Castellanos et al., 1994</w:t>
      </w:r>
      <w:r w:rsidR="00C927EC" w:rsidRPr="00DB480E">
        <w:rPr>
          <w:rFonts w:ascii="Arial" w:hAnsi="Arial" w:cs="Arial"/>
          <w:color w:val="000000" w:themeColor="text1"/>
          <w:sz w:val="20"/>
          <w:szCs w:val="20"/>
        </w:rPr>
        <w:t>)</w:t>
      </w:r>
      <w:r w:rsidRPr="00DB480E">
        <w:rPr>
          <w:rFonts w:ascii="Arial" w:hAnsi="Arial" w:cs="Arial"/>
          <w:color w:val="000000" w:themeColor="text1"/>
          <w:sz w:val="20"/>
          <w:szCs w:val="20"/>
        </w:rPr>
        <w:t>.</w:t>
      </w:r>
      <w:r w:rsidR="005A55AF" w:rsidRPr="00DB480E">
        <w:rPr>
          <w:rFonts w:ascii="Arial" w:hAnsi="Arial" w:cs="Arial"/>
          <w:color w:val="000000" w:themeColor="text1"/>
          <w:sz w:val="20"/>
          <w:szCs w:val="20"/>
        </w:rPr>
        <w:t xml:space="preserve"> </w:t>
      </w:r>
    </w:p>
    <w:p w14:paraId="4EAFBD3A" w14:textId="77777777" w:rsidR="00AC0E2C" w:rsidRPr="005A55AF" w:rsidRDefault="00AC0E2C" w:rsidP="005A55AF">
      <w:pPr>
        <w:pStyle w:val="NormalWeb"/>
        <w:spacing w:before="0" w:beforeAutospacing="0" w:after="0" w:afterAutospacing="0"/>
        <w:jc w:val="both"/>
        <w:rPr>
          <w:rFonts w:ascii="Arial" w:hAnsi="Arial" w:cs="Arial"/>
          <w:sz w:val="20"/>
          <w:szCs w:val="20"/>
        </w:rPr>
      </w:pPr>
    </w:p>
    <w:p w14:paraId="0E8DDAE8" w14:textId="77777777" w:rsidR="00920924" w:rsidRDefault="00A11C35"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The present investigation was therefore undertaken to comparatively develop and evaluate floating and non-floating controlled-release tablets of Metformin HCl. Floating formulations were designed using Eudragit NE 30D as a rate-controlling polymer and polyvinyl alcohol (PVA) as a granulating binder, with granules prepared via a low-shear fluid</w:t>
      </w:r>
      <w:r w:rsidR="00F548EC">
        <w:rPr>
          <w:rFonts w:ascii="Arial" w:hAnsi="Arial" w:cs="Arial"/>
          <w:sz w:val="20"/>
          <w:szCs w:val="20"/>
        </w:rPr>
        <w:t>-</w:t>
      </w:r>
      <w:r w:rsidRPr="005A55AF">
        <w:rPr>
          <w:rFonts w:ascii="Arial" w:hAnsi="Arial" w:cs="Arial"/>
          <w:sz w:val="20"/>
          <w:szCs w:val="20"/>
        </w:rPr>
        <w:t xml:space="preserve">bed granulation process. </w:t>
      </w:r>
    </w:p>
    <w:p w14:paraId="56ABCEE5" w14:textId="77777777" w:rsidR="00920924" w:rsidRDefault="00920924" w:rsidP="005A55AF">
      <w:pPr>
        <w:pStyle w:val="NormalWeb"/>
        <w:spacing w:before="0" w:beforeAutospacing="0" w:after="0" w:afterAutospacing="0"/>
        <w:jc w:val="both"/>
        <w:rPr>
          <w:rFonts w:ascii="Arial" w:hAnsi="Arial" w:cs="Arial"/>
          <w:sz w:val="20"/>
          <w:szCs w:val="20"/>
        </w:rPr>
      </w:pPr>
    </w:p>
    <w:p w14:paraId="23C0F606" w14:textId="7313B8F7" w:rsidR="00A11C35" w:rsidRDefault="00A11C35"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 xml:space="preserve">Non-floating matrices were developed using comparable compositions but modified binder characteristics to eliminate buoyancy. A systematic optimization approach was employed to assess the influence of polymer concentration, binder grade, and granulation parameters on physicochemical properties, buoyancy behavior, drug release kinetics, gastric retention, and pharmacokinetic performance. Through integrated </w:t>
      </w:r>
      <w:r w:rsidR="00F548EC" w:rsidRPr="00F548EC">
        <w:rPr>
          <w:rFonts w:ascii="Arial" w:hAnsi="Arial" w:cs="Arial"/>
          <w:sz w:val="20"/>
          <w:szCs w:val="20"/>
        </w:rPr>
        <w:t>In Vitro and In Vivo Characterization</w:t>
      </w:r>
      <w:r w:rsidRPr="005A55AF">
        <w:rPr>
          <w:rFonts w:ascii="Arial" w:hAnsi="Arial" w:cs="Arial"/>
          <w:sz w:val="20"/>
          <w:szCs w:val="20"/>
        </w:rPr>
        <w:t>, this study aims to elucidate formulation-dependent differences in release mechanisms, gastroretentive behavior, and bioavailability, thereby providing a rational framework for the development of robust controlled-release Metformin HCl tablets.</w:t>
      </w:r>
    </w:p>
    <w:p w14:paraId="098E3016" w14:textId="77777777" w:rsidR="00920924" w:rsidRPr="00AC0E2C" w:rsidRDefault="00920924" w:rsidP="005A55AF">
      <w:pPr>
        <w:pStyle w:val="NormalWeb"/>
        <w:spacing w:before="0" w:beforeAutospacing="0" w:after="0" w:afterAutospacing="0"/>
        <w:jc w:val="both"/>
        <w:rPr>
          <w:rFonts w:ascii="Arial" w:hAnsi="Arial" w:cs="Arial"/>
          <w:color w:val="000000" w:themeColor="text1"/>
          <w:sz w:val="20"/>
          <w:szCs w:val="20"/>
        </w:rPr>
      </w:pPr>
    </w:p>
    <w:p w14:paraId="33031669" w14:textId="6F8725EE" w:rsidR="00AC0E2C" w:rsidRDefault="00AC0E2C" w:rsidP="005A55AF">
      <w:pPr>
        <w:pStyle w:val="Heading1"/>
        <w:numPr>
          <w:ilvl w:val="0"/>
          <w:numId w:val="2"/>
        </w:numPr>
        <w:spacing w:before="0" w:line="240" w:lineRule="auto"/>
        <w:ind w:left="284" w:hanging="284"/>
        <w:jc w:val="both"/>
        <w:rPr>
          <w:rFonts w:ascii="Arial" w:hAnsi="Arial" w:cs="Arial"/>
          <w:b/>
          <w:color w:val="000000" w:themeColor="text1"/>
          <w:sz w:val="22"/>
          <w:szCs w:val="22"/>
        </w:rPr>
      </w:pPr>
      <w:r w:rsidRPr="00AC0E2C">
        <w:rPr>
          <w:rFonts w:ascii="Arial" w:hAnsi="Arial" w:cs="Arial"/>
          <w:b/>
          <w:color w:val="000000" w:themeColor="text1"/>
          <w:sz w:val="22"/>
          <w:szCs w:val="22"/>
        </w:rPr>
        <w:t>MATERIALS AND METHODS</w:t>
      </w:r>
    </w:p>
    <w:p w14:paraId="2EC712AC" w14:textId="77777777" w:rsidR="00592C58" w:rsidRPr="00592C58" w:rsidRDefault="00592C58" w:rsidP="00592C58"/>
    <w:p w14:paraId="2A23D985" w14:textId="77777777" w:rsidR="00920924" w:rsidRPr="00AC0E2C" w:rsidRDefault="00920924" w:rsidP="00920924">
      <w:pPr>
        <w:pStyle w:val="Heading1"/>
        <w:numPr>
          <w:ilvl w:val="1"/>
          <w:numId w:val="3"/>
        </w:numPr>
        <w:tabs>
          <w:tab w:val="left" w:pos="426"/>
        </w:tabs>
        <w:spacing w:before="0" w:line="240" w:lineRule="auto"/>
        <w:ind w:left="0" w:firstLine="0"/>
        <w:jc w:val="both"/>
        <w:rPr>
          <w:rFonts w:ascii="Arial" w:hAnsi="Arial" w:cs="Arial"/>
          <w:bCs/>
          <w:iCs/>
          <w:sz w:val="20"/>
          <w:szCs w:val="20"/>
        </w:rPr>
      </w:pPr>
      <w:r w:rsidRPr="00AC0E2C">
        <w:rPr>
          <w:rFonts w:ascii="Arial" w:hAnsi="Arial" w:cs="Arial"/>
          <w:b/>
          <w:color w:val="000000" w:themeColor="text1"/>
          <w:sz w:val="22"/>
          <w:szCs w:val="22"/>
        </w:rPr>
        <w:lastRenderedPageBreak/>
        <w:t>Materials</w:t>
      </w:r>
    </w:p>
    <w:p w14:paraId="3C5C7CC9" w14:textId="77777777" w:rsidR="00920924" w:rsidRDefault="00920924" w:rsidP="00920924">
      <w:pPr>
        <w:pStyle w:val="Heading1"/>
        <w:tabs>
          <w:tab w:val="left" w:pos="426"/>
        </w:tabs>
        <w:spacing w:before="0" w:line="240" w:lineRule="auto"/>
        <w:jc w:val="both"/>
        <w:rPr>
          <w:rFonts w:ascii="Arial" w:hAnsi="Arial" w:cs="Arial"/>
          <w:bCs/>
          <w:iCs/>
          <w:sz w:val="20"/>
          <w:szCs w:val="20"/>
        </w:rPr>
      </w:pPr>
      <w:r w:rsidRPr="00AC0E2C">
        <w:rPr>
          <w:rFonts w:ascii="Arial" w:hAnsi="Arial" w:cs="Arial"/>
          <w:b/>
          <w:color w:val="000000" w:themeColor="text1"/>
          <w:sz w:val="22"/>
          <w:szCs w:val="22"/>
        </w:rPr>
        <w:t xml:space="preserve"> </w:t>
      </w:r>
    </w:p>
    <w:p w14:paraId="432C1112" w14:textId="23E3C2D7" w:rsidR="00920924" w:rsidRDefault="00920924" w:rsidP="00920924">
      <w:pPr>
        <w:pStyle w:val="Heading1"/>
        <w:tabs>
          <w:tab w:val="left" w:pos="426"/>
        </w:tabs>
        <w:spacing w:before="0" w:line="240" w:lineRule="auto"/>
        <w:jc w:val="both"/>
        <w:rPr>
          <w:rFonts w:ascii="Arial" w:hAnsi="Arial" w:cs="Arial"/>
          <w:bCs/>
          <w:iCs/>
          <w:color w:val="000000" w:themeColor="text1"/>
          <w:sz w:val="20"/>
          <w:szCs w:val="20"/>
        </w:rPr>
      </w:pPr>
      <w:r w:rsidRPr="00AC0E2C">
        <w:rPr>
          <w:rFonts w:ascii="Arial" w:hAnsi="Arial" w:cs="Arial"/>
          <w:bCs/>
          <w:iCs/>
          <w:color w:val="000000" w:themeColor="text1"/>
          <w:sz w:val="20"/>
          <w:szCs w:val="20"/>
        </w:rPr>
        <w:t xml:space="preserve">Metformin hydrochloride, Wanbury Limited, India; Colloidal Silicon Dioxide, NF /Aerosil 200 Pharma, Evonik Degussa Corp, USA; Polyvinyl Alcohol, Nippon Synthetic Chemical Industry, Japan; Crospovidone, NF / Polyplasdone XL, /Ashland/ISP; Glyceryl </w:t>
      </w:r>
      <w:proofErr w:type="spellStart"/>
      <w:r w:rsidRPr="00AC0E2C">
        <w:rPr>
          <w:rFonts w:ascii="Arial" w:hAnsi="Arial" w:cs="Arial"/>
          <w:bCs/>
          <w:iCs/>
          <w:color w:val="000000" w:themeColor="text1"/>
          <w:sz w:val="20"/>
          <w:szCs w:val="20"/>
        </w:rPr>
        <w:t>Dibehenate</w:t>
      </w:r>
      <w:proofErr w:type="spellEnd"/>
      <w:r w:rsidRPr="00AC0E2C">
        <w:rPr>
          <w:rFonts w:ascii="Arial" w:hAnsi="Arial" w:cs="Arial"/>
          <w:bCs/>
          <w:iCs/>
          <w:color w:val="000000" w:themeColor="text1"/>
          <w:sz w:val="20"/>
          <w:szCs w:val="20"/>
        </w:rPr>
        <w:t xml:space="preserve">, NF,  </w:t>
      </w:r>
      <w:proofErr w:type="spellStart"/>
      <w:r w:rsidRPr="00AC0E2C">
        <w:rPr>
          <w:rFonts w:ascii="Arial" w:hAnsi="Arial" w:cs="Arial"/>
          <w:bCs/>
          <w:iCs/>
          <w:color w:val="000000" w:themeColor="text1"/>
          <w:sz w:val="20"/>
          <w:szCs w:val="20"/>
        </w:rPr>
        <w:t>Gattefosse</w:t>
      </w:r>
      <w:proofErr w:type="spellEnd"/>
      <w:r w:rsidRPr="00AC0E2C">
        <w:rPr>
          <w:rFonts w:ascii="Arial" w:hAnsi="Arial" w:cs="Arial"/>
          <w:bCs/>
          <w:iCs/>
          <w:color w:val="000000" w:themeColor="text1"/>
          <w:sz w:val="20"/>
          <w:szCs w:val="20"/>
        </w:rPr>
        <w:t xml:space="preserve">; Eudragit NE 30D, Evonik, USA; Methocel </w:t>
      </w:r>
      <w:r w:rsidR="00036733">
        <w:rPr>
          <w:rFonts w:ascii="Arial" w:hAnsi="Arial" w:cs="Arial"/>
          <w:bCs/>
          <w:iCs/>
          <w:color w:val="000000" w:themeColor="text1"/>
          <w:sz w:val="20"/>
          <w:szCs w:val="20"/>
        </w:rPr>
        <w:t>K100M</w:t>
      </w:r>
      <w:r w:rsidR="00DE767F">
        <w:rPr>
          <w:rFonts w:ascii="Arial" w:hAnsi="Arial" w:cs="Arial"/>
          <w:bCs/>
          <w:iCs/>
          <w:color w:val="000000" w:themeColor="text1"/>
          <w:sz w:val="20"/>
          <w:szCs w:val="20"/>
        </w:rPr>
        <w:t xml:space="preserve"> Premium</w:t>
      </w:r>
      <w:r w:rsidRPr="00AC0E2C">
        <w:rPr>
          <w:rFonts w:ascii="Arial" w:hAnsi="Arial" w:cs="Arial"/>
          <w:bCs/>
          <w:iCs/>
          <w:color w:val="000000" w:themeColor="text1"/>
          <w:sz w:val="20"/>
          <w:szCs w:val="20"/>
        </w:rPr>
        <w:t xml:space="preserve">, </w:t>
      </w:r>
      <w:r w:rsidR="00DE767F">
        <w:rPr>
          <w:rFonts w:ascii="Arial" w:hAnsi="Arial" w:cs="Arial"/>
          <w:bCs/>
          <w:iCs/>
          <w:color w:val="000000" w:themeColor="text1"/>
          <w:sz w:val="20"/>
          <w:szCs w:val="20"/>
        </w:rPr>
        <w:t>IFF Pharma Solutions</w:t>
      </w:r>
      <w:r w:rsidRPr="00AC0E2C">
        <w:rPr>
          <w:rFonts w:ascii="Arial" w:hAnsi="Arial" w:cs="Arial"/>
          <w:bCs/>
          <w:iCs/>
          <w:color w:val="000000" w:themeColor="text1"/>
          <w:sz w:val="20"/>
          <w:szCs w:val="20"/>
        </w:rPr>
        <w:t>; Polysorbate 80 NF, Croda Inc, USA; Talc, Imerys, Paris; Polyethylene Glycol,</w:t>
      </w:r>
      <w:r>
        <w:rPr>
          <w:rFonts w:ascii="Arial" w:hAnsi="Arial" w:cs="Arial"/>
          <w:bCs/>
          <w:iCs/>
          <w:color w:val="000000" w:themeColor="text1"/>
          <w:sz w:val="20"/>
          <w:szCs w:val="20"/>
        </w:rPr>
        <w:t xml:space="preserve"> Dow Chemical C</w:t>
      </w:r>
      <w:r w:rsidRPr="00AC0E2C">
        <w:rPr>
          <w:rFonts w:ascii="Arial" w:hAnsi="Arial" w:cs="Arial"/>
          <w:bCs/>
          <w:iCs/>
          <w:color w:val="000000" w:themeColor="text1"/>
          <w:sz w:val="20"/>
          <w:szCs w:val="20"/>
        </w:rPr>
        <w:t xml:space="preserve">ompany, USA and Titanium Dioxide, Brenntag Specialities Inc, USA were purchased and all other chemicals and reagents used were of Analytical </w:t>
      </w:r>
      <w:r>
        <w:rPr>
          <w:rFonts w:ascii="Arial" w:hAnsi="Arial" w:cs="Arial"/>
          <w:bCs/>
          <w:iCs/>
          <w:color w:val="000000" w:themeColor="text1"/>
          <w:sz w:val="20"/>
          <w:szCs w:val="20"/>
        </w:rPr>
        <w:t>G</w:t>
      </w:r>
      <w:r w:rsidRPr="00AC0E2C">
        <w:rPr>
          <w:rFonts w:ascii="Arial" w:hAnsi="Arial" w:cs="Arial"/>
          <w:bCs/>
          <w:iCs/>
          <w:color w:val="000000" w:themeColor="text1"/>
          <w:sz w:val="20"/>
          <w:szCs w:val="20"/>
        </w:rPr>
        <w:t xml:space="preserve">rade. </w:t>
      </w:r>
    </w:p>
    <w:p w14:paraId="15CD90B0" w14:textId="77777777" w:rsidR="00920924" w:rsidRDefault="00920924" w:rsidP="00920924">
      <w:pPr>
        <w:pStyle w:val="Heading1"/>
        <w:tabs>
          <w:tab w:val="left" w:pos="426"/>
        </w:tabs>
        <w:spacing w:before="0" w:line="240" w:lineRule="auto"/>
        <w:jc w:val="both"/>
        <w:rPr>
          <w:rFonts w:ascii="Arial" w:hAnsi="Arial" w:cs="Arial"/>
          <w:b/>
          <w:color w:val="000000" w:themeColor="text1"/>
          <w:sz w:val="22"/>
          <w:szCs w:val="22"/>
        </w:rPr>
      </w:pPr>
    </w:p>
    <w:p w14:paraId="41FF089E" w14:textId="1AB7BCAA" w:rsidR="00DD703A" w:rsidRDefault="00B36BC5" w:rsidP="00AC0E2C">
      <w:pPr>
        <w:pStyle w:val="Heading1"/>
        <w:numPr>
          <w:ilvl w:val="1"/>
          <w:numId w:val="3"/>
        </w:numPr>
        <w:tabs>
          <w:tab w:val="left" w:pos="426"/>
        </w:tabs>
        <w:spacing w:before="0" w:line="240" w:lineRule="auto"/>
        <w:ind w:left="0" w:firstLine="0"/>
        <w:jc w:val="both"/>
        <w:rPr>
          <w:rFonts w:ascii="Arial" w:hAnsi="Arial" w:cs="Arial"/>
          <w:b/>
          <w:color w:val="000000" w:themeColor="text1"/>
          <w:sz w:val="22"/>
          <w:szCs w:val="22"/>
        </w:rPr>
      </w:pPr>
      <w:r w:rsidRPr="00AC0E2C">
        <w:rPr>
          <w:rFonts w:ascii="Arial" w:hAnsi="Arial" w:cs="Arial"/>
          <w:b/>
          <w:color w:val="000000" w:themeColor="text1"/>
          <w:sz w:val="22"/>
          <w:szCs w:val="22"/>
        </w:rPr>
        <w:t xml:space="preserve">Preparation of Metformin HCl </w:t>
      </w:r>
      <w:r w:rsidR="002239CE" w:rsidRPr="00AC0E2C">
        <w:rPr>
          <w:rFonts w:ascii="Arial" w:hAnsi="Arial" w:cs="Arial"/>
          <w:b/>
          <w:color w:val="000000" w:themeColor="text1"/>
          <w:sz w:val="22"/>
          <w:szCs w:val="22"/>
        </w:rPr>
        <w:t>Floating and</w:t>
      </w:r>
      <w:r w:rsidR="00435CFD" w:rsidRPr="00AC0E2C">
        <w:rPr>
          <w:rFonts w:ascii="Arial" w:hAnsi="Arial" w:cs="Arial"/>
          <w:b/>
          <w:color w:val="000000" w:themeColor="text1"/>
          <w:sz w:val="22"/>
          <w:szCs w:val="22"/>
        </w:rPr>
        <w:t xml:space="preserve"> Non-Floating </w:t>
      </w:r>
      <w:r w:rsidRPr="00AC0E2C">
        <w:rPr>
          <w:rFonts w:ascii="Arial" w:hAnsi="Arial" w:cs="Arial"/>
          <w:b/>
          <w:color w:val="000000" w:themeColor="text1"/>
          <w:sz w:val="22"/>
          <w:szCs w:val="22"/>
        </w:rPr>
        <w:t>tablets</w:t>
      </w:r>
    </w:p>
    <w:p w14:paraId="4E5B7D3C" w14:textId="77777777" w:rsidR="00AC0E2C" w:rsidRDefault="00AC0E2C" w:rsidP="005A55AF">
      <w:pPr>
        <w:spacing w:after="0" w:line="240" w:lineRule="auto"/>
        <w:jc w:val="both"/>
        <w:rPr>
          <w:rFonts w:ascii="Arial" w:eastAsia="Times New Roman" w:hAnsi="Arial" w:cs="Arial"/>
          <w:sz w:val="20"/>
          <w:szCs w:val="20"/>
          <w:lang w:eastAsia="en-IN"/>
        </w:rPr>
      </w:pPr>
    </w:p>
    <w:p w14:paraId="7CAE4883" w14:textId="778338A8" w:rsidR="002540BC" w:rsidRPr="00DB480E" w:rsidRDefault="002540BC"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 xml:space="preserve">Floating tablets of Metformin </w:t>
      </w:r>
      <w:r w:rsidR="00F548EC">
        <w:rPr>
          <w:rFonts w:ascii="Arial" w:eastAsia="Times New Roman" w:hAnsi="Arial" w:cs="Arial"/>
          <w:sz w:val="20"/>
          <w:szCs w:val="20"/>
          <w:lang w:eastAsia="en-IN"/>
        </w:rPr>
        <w:t>HCl were prepared using a fluid-</w:t>
      </w:r>
      <w:r w:rsidRPr="005A55AF">
        <w:rPr>
          <w:rFonts w:ascii="Arial" w:eastAsia="Times New Roman" w:hAnsi="Arial" w:cs="Arial"/>
          <w:sz w:val="20"/>
          <w:szCs w:val="20"/>
          <w:lang w:eastAsia="en-IN"/>
        </w:rPr>
        <w:t xml:space="preserve">bed granulation technique with a high-viscosity binder. A Polyvinyl Alcohol (PVA 40 cps) solution was prepared by dissolving the polymer in purified water maintained at 70-80°C, followed by cooling to room temperature. Metformin HCl was passed through a #20 mesh sieve and blended with colloidal silicon dioxide for 10 minutes to ensure uniform mixing. The powder blend was then granulated in a fluid-bed processor using the PVA 40 cps binder solution under optimized process parameters. Non-floating controlled-release tablets were prepared using the same granulation </w:t>
      </w:r>
      <w:r w:rsidRPr="00DB480E">
        <w:rPr>
          <w:rFonts w:ascii="Arial" w:eastAsia="Times New Roman" w:hAnsi="Arial" w:cs="Arial"/>
          <w:color w:val="000000" w:themeColor="text1"/>
          <w:sz w:val="20"/>
          <w:szCs w:val="20"/>
          <w:lang w:eastAsia="en-IN"/>
        </w:rPr>
        <w:t xml:space="preserve">procedure; however, a low-viscosity PVA (3 cps) binder solution was employed and sprayed at a higher rate to modify matrix formation and prevent floating behavior. Following granulation, the dried granules from both formulations were sieved and milled. For the non-floating formulation, </w:t>
      </w:r>
      <w:r w:rsidR="00DE767F">
        <w:rPr>
          <w:rFonts w:ascii="Arial" w:eastAsia="Times New Roman" w:hAnsi="Arial" w:cs="Arial"/>
          <w:color w:val="000000" w:themeColor="text1"/>
          <w:sz w:val="20"/>
          <w:szCs w:val="20"/>
          <w:lang w:eastAsia="en-IN"/>
        </w:rPr>
        <w:t>Methocel</w:t>
      </w:r>
      <w:r w:rsidRPr="00DB480E">
        <w:rPr>
          <w:rFonts w:ascii="Arial" w:eastAsia="Times New Roman" w:hAnsi="Arial" w:cs="Arial"/>
          <w:color w:val="000000" w:themeColor="text1"/>
          <w:sz w:val="20"/>
          <w:szCs w:val="20"/>
          <w:lang w:eastAsia="en-IN"/>
        </w:rPr>
        <w:t xml:space="preserve"> K100M </w:t>
      </w:r>
      <w:r w:rsidR="00DE767F">
        <w:rPr>
          <w:rFonts w:ascii="Arial" w:eastAsia="Times New Roman" w:hAnsi="Arial" w:cs="Arial"/>
          <w:color w:val="000000" w:themeColor="text1"/>
          <w:sz w:val="20"/>
          <w:szCs w:val="20"/>
          <w:lang w:eastAsia="en-IN"/>
        </w:rPr>
        <w:t xml:space="preserve">premium </w:t>
      </w:r>
      <w:r w:rsidRPr="00DB480E">
        <w:rPr>
          <w:rFonts w:ascii="Arial" w:eastAsia="Times New Roman" w:hAnsi="Arial" w:cs="Arial"/>
          <w:color w:val="000000" w:themeColor="text1"/>
          <w:sz w:val="20"/>
          <w:szCs w:val="20"/>
          <w:lang w:eastAsia="en-IN"/>
        </w:rPr>
        <w:t xml:space="preserve">was incorporated during the blending stage to achieve controlled drug release. Crospovidone </w:t>
      </w:r>
      <w:r w:rsidRPr="00DB480E">
        <w:rPr>
          <w:rFonts w:ascii="Arial" w:eastAsia="Times New Roman" w:hAnsi="Arial" w:cs="Arial"/>
          <w:sz w:val="20"/>
          <w:szCs w:val="20"/>
          <w:lang w:eastAsia="en-IN"/>
        </w:rPr>
        <w:t>was added as a functional excipient to both formulations, and the blends were lubricated with magnesium stearate for 5 minutes. The final blends were compressed into tablets using modified oval-shaped tooling</w:t>
      </w:r>
      <w:r w:rsidR="00C927EC" w:rsidRPr="00DB480E">
        <w:rPr>
          <w:rFonts w:ascii="Arial" w:eastAsia="Times New Roman" w:hAnsi="Arial" w:cs="Arial"/>
          <w:sz w:val="20"/>
          <w:szCs w:val="20"/>
          <w:lang w:eastAsia="en-IN"/>
        </w:rPr>
        <w:t xml:space="preserve"> (</w:t>
      </w:r>
      <w:r w:rsidR="001E3B50" w:rsidRPr="00DB480E">
        <w:rPr>
          <w:rFonts w:ascii="Arial" w:eastAsia="Times New Roman" w:hAnsi="Arial" w:cs="Arial"/>
          <w:sz w:val="20"/>
          <w:szCs w:val="20"/>
          <w:lang w:eastAsia="en-IN"/>
        </w:rPr>
        <w:t>Palem et al., 2025</w:t>
      </w:r>
      <w:r w:rsidR="00C927EC" w:rsidRPr="00DB480E">
        <w:rPr>
          <w:rFonts w:ascii="Arial" w:eastAsia="Times New Roman" w:hAnsi="Arial" w:cs="Arial"/>
          <w:sz w:val="20"/>
          <w:szCs w:val="20"/>
          <w:lang w:eastAsia="en-IN"/>
        </w:rPr>
        <w:t>)</w:t>
      </w:r>
      <w:r w:rsidRPr="00DB480E">
        <w:rPr>
          <w:rFonts w:ascii="Arial" w:eastAsia="Times New Roman" w:hAnsi="Arial" w:cs="Arial"/>
          <w:sz w:val="20"/>
          <w:szCs w:val="20"/>
          <w:lang w:eastAsia="en-IN"/>
        </w:rPr>
        <w:t>.</w:t>
      </w:r>
    </w:p>
    <w:p w14:paraId="052D929B" w14:textId="77777777" w:rsidR="00AC0E2C" w:rsidRPr="00DB480E" w:rsidRDefault="00AC0E2C" w:rsidP="005A55AF">
      <w:pPr>
        <w:spacing w:after="0" w:line="240" w:lineRule="auto"/>
        <w:jc w:val="both"/>
        <w:rPr>
          <w:rFonts w:ascii="Arial" w:eastAsia="Times New Roman" w:hAnsi="Arial" w:cs="Arial"/>
          <w:sz w:val="20"/>
          <w:szCs w:val="20"/>
          <w:lang w:eastAsia="en-IN"/>
        </w:rPr>
      </w:pPr>
    </w:p>
    <w:p w14:paraId="4520B975" w14:textId="405DEF78" w:rsidR="002540BC" w:rsidRPr="00DB480E" w:rsidRDefault="002540BC" w:rsidP="005A55AF">
      <w:pPr>
        <w:spacing w:after="0" w:line="240" w:lineRule="auto"/>
        <w:jc w:val="both"/>
        <w:rPr>
          <w:rFonts w:ascii="Arial" w:eastAsia="Times New Roman" w:hAnsi="Arial" w:cs="Arial"/>
          <w:color w:val="000000" w:themeColor="text1"/>
          <w:sz w:val="20"/>
          <w:szCs w:val="20"/>
          <w:lang w:eastAsia="en-IN"/>
        </w:rPr>
      </w:pPr>
      <w:r w:rsidRPr="00DB480E">
        <w:rPr>
          <w:rFonts w:ascii="Arial" w:eastAsia="Times New Roman" w:hAnsi="Arial" w:cs="Arial"/>
          <w:color w:val="000000" w:themeColor="text1"/>
          <w:sz w:val="20"/>
          <w:szCs w:val="20"/>
          <w:lang w:eastAsia="en-IN"/>
        </w:rPr>
        <w:t>Only the floating matrix tablets were further coated with Eudragit NE 30D under optimized coating conditions at varying weight gains to impart buoyancy and achieve the desired controlled-release profile. The non-floating tablets were not subjected to coating.</w:t>
      </w:r>
    </w:p>
    <w:p w14:paraId="6EB89A0B" w14:textId="77777777" w:rsidR="00AC0E2C" w:rsidRPr="00DB480E" w:rsidRDefault="00AC0E2C" w:rsidP="005A55AF">
      <w:pPr>
        <w:spacing w:after="0" w:line="240" w:lineRule="auto"/>
        <w:jc w:val="both"/>
        <w:rPr>
          <w:rFonts w:ascii="Arial" w:eastAsia="Times New Roman" w:hAnsi="Arial" w:cs="Arial"/>
          <w:color w:val="000000" w:themeColor="text1"/>
          <w:lang w:eastAsia="en-IN"/>
        </w:rPr>
      </w:pPr>
    </w:p>
    <w:p w14:paraId="2B0716A1" w14:textId="0074E14C" w:rsidR="006E24EB" w:rsidRPr="00DB480E" w:rsidRDefault="006E24EB" w:rsidP="00AC0E2C">
      <w:pPr>
        <w:pStyle w:val="Heading1"/>
        <w:numPr>
          <w:ilvl w:val="1"/>
          <w:numId w:val="3"/>
        </w:numPr>
        <w:tabs>
          <w:tab w:val="left" w:pos="426"/>
        </w:tabs>
        <w:spacing w:before="0" w:line="240" w:lineRule="auto"/>
        <w:ind w:left="0" w:firstLine="0"/>
        <w:jc w:val="both"/>
        <w:rPr>
          <w:rFonts w:ascii="Arial" w:hAnsi="Arial" w:cs="Arial"/>
          <w:b/>
          <w:color w:val="000000" w:themeColor="text1"/>
          <w:sz w:val="22"/>
          <w:szCs w:val="22"/>
        </w:rPr>
      </w:pPr>
      <w:r w:rsidRPr="00DB480E">
        <w:rPr>
          <w:rFonts w:ascii="Arial" w:hAnsi="Arial" w:cs="Arial"/>
          <w:b/>
          <w:color w:val="000000" w:themeColor="text1"/>
          <w:sz w:val="22"/>
          <w:szCs w:val="22"/>
        </w:rPr>
        <w:t>Swelling and Erosion</w:t>
      </w:r>
      <w:r w:rsidR="00124402" w:rsidRPr="00DB480E">
        <w:rPr>
          <w:rFonts w:ascii="Arial" w:hAnsi="Arial" w:cs="Arial"/>
          <w:b/>
          <w:color w:val="000000" w:themeColor="text1"/>
          <w:sz w:val="22"/>
          <w:szCs w:val="22"/>
        </w:rPr>
        <w:t xml:space="preserve"> of Non-Floating matrix tablets</w:t>
      </w:r>
    </w:p>
    <w:p w14:paraId="0E5E815D" w14:textId="77777777" w:rsidR="00AC0E2C" w:rsidRPr="00DB480E" w:rsidRDefault="00AC0E2C" w:rsidP="005A55AF">
      <w:pPr>
        <w:spacing w:after="0" w:line="240" w:lineRule="auto"/>
        <w:jc w:val="both"/>
        <w:rPr>
          <w:rFonts w:ascii="Arial" w:eastAsia="Times New Roman" w:hAnsi="Arial" w:cs="Arial"/>
          <w:color w:val="000000" w:themeColor="text1"/>
          <w:sz w:val="20"/>
          <w:szCs w:val="20"/>
          <w:lang w:eastAsia="en-IN"/>
        </w:rPr>
      </w:pPr>
    </w:p>
    <w:p w14:paraId="7DFC3C0F" w14:textId="27FDBC87" w:rsidR="00A77AB2" w:rsidRPr="005A55AF" w:rsidRDefault="00A77AB2" w:rsidP="005A55AF">
      <w:pPr>
        <w:spacing w:after="0" w:line="240" w:lineRule="auto"/>
        <w:jc w:val="both"/>
        <w:rPr>
          <w:rFonts w:ascii="Arial" w:eastAsia="Times New Roman" w:hAnsi="Arial" w:cs="Arial"/>
          <w:sz w:val="20"/>
          <w:szCs w:val="20"/>
          <w:lang w:eastAsia="en-IN"/>
        </w:rPr>
      </w:pPr>
      <w:r w:rsidRPr="00DB480E">
        <w:rPr>
          <w:rFonts w:ascii="Arial" w:eastAsia="Times New Roman" w:hAnsi="Arial" w:cs="Arial"/>
          <w:color w:val="000000" w:themeColor="text1"/>
          <w:sz w:val="20"/>
          <w:szCs w:val="20"/>
          <w:lang w:eastAsia="en-IN"/>
        </w:rPr>
        <w:t xml:space="preserve">The swelling behavior of the </w:t>
      </w:r>
      <w:r w:rsidR="001B4A6A" w:rsidRPr="00DB480E">
        <w:rPr>
          <w:rFonts w:ascii="Arial" w:eastAsia="Times New Roman" w:hAnsi="Arial" w:cs="Arial"/>
          <w:color w:val="000000" w:themeColor="text1"/>
          <w:sz w:val="20"/>
          <w:szCs w:val="20"/>
          <w:lang w:eastAsia="en-IN"/>
        </w:rPr>
        <w:t xml:space="preserve">three different concentrations of </w:t>
      </w:r>
      <w:proofErr w:type="spellStart"/>
      <w:r w:rsidR="00DE767F">
        <w:rPr>
          <w:rFonts w:ascii="Arial" w:eastAsia="Times New Roman" w:hAnsi="Arial" w:cs="Arial"/>
          <w:color w:val="000000" w:themeColor="text1"/>
          <w:sz w:val="20"/>
          <w:szCs w:val="20"/>
          <w:lang w:eastAsia="en-IN"/>
        </w:rPr>
        <w:t>Methoel</w:t>
      </w:r>
      <w:proofErr w:type="spellEnd"/>
      <w:r w:rsidR="001B4A6A" w:rsidRPr="00DB480E">
        <w:rPr>
          <w:rFonts w:ascii="Arial" w:eastAsia="Times New Roman" w:hAnsi="Arial" w:cs="Arial"/>
          <w:color w:val="000000" w:themeColor="text1"/>
          <w:sz w:val="20"/>
          <w:szCs w:val="20"/>
          <w:lang w:eastAsia="en-IN"/>
        </w:rPr>
        <w:t xml:space="preserve"> K100M containing low (MTH5), optimum (MTH6) and high (MTH7) concentrations of</w:t>
      </w:r>
      <w:r w:rsidRPr="00DB480E">
        <w:rPr>
          <w:rFonts w:ascii="Arial" w:eastAsia="Times New Roman" w:hAnsi="Arial" w:cs="Arial"/>
          <w:color w:val="000000" w:themeColor="text1"/>
          <w:sz w:val="20"/>
          <w:szCs w:val="20"/>
          <w:lang w:eastAsia="en-IN"/>
        </w:rPr>
        <w:t xml:space="preserve"> non-floating Metformin HCl matrix tablets was evaluated gravimetrically. The study was performed using USP Dissolution Apparatus II (paddle type). Each tablet was accurately weighed using a calibrated analytical balance (Sartorius Secura 225D) to obtain the initial weight (W</w:t>
      </w:r>
      <w:r w:rsidRPr="00DB480E">
        <w:rPr>
          <w:rFonts w:ascii="Cambria Math" w:eastAsia="Times New Roman" w:hAnsi="Cambria Math" w:cs="Cambria Math"/>
          <w:color w:val="000000" w:themeColor="text1"/>
          <w:sz w:val="20"/>
          <w:szCs w:val="20"/>
          <w:lang w:eastAsia="en-IN"/>
        </w:rPr>
        <w:t>₀</w:t>
      </w:r>
      <w:r w:rsidRPr="00DB480E">
        <w:rPr>
          <w:rFonts w:ascii="Arial" w:eastAsia="Times New Roman" w:hAnsi="Arial" w:cs="Arial"/>
          <w:color w:val="000000" w:themeColor="text1"/>
          <w:sz w:val="20"/>
          <w:szCs w:val="20"/>
          <w:lang w:eastAsia="en-IN"/>
        </w:rPr>
        <w:t>). The pre-weighed tablet was placed in the dissolution vessel containing 900 mL of 0.1</w:t>
      </w:r>
      <w:r w:rsidR="00712103" w:rsidRPr="00DB480E">
        <w:rPr>
          <w:rFonts w:ascii="Arial" w:eastAsia="Times New Roman" w:hAnsi="Arial" w:cs="Arial"/>
          <w:color w:val="000000" w:themeColor="text1"/>
          <w:sz w:val="20"/>
          <w:szCs w:val="20"/>
          <w:lang w:eastAsia="en-IN"/>
        </w:rPr>
        <w:t xml:space="preserve"> </w:t>
      </w:r>
      <w:r w:rsidRPr="00DB480E">
        <w:rPr>
          <w:rFonts w:ascii="Arial" w:eastAsia="Times New Roman" w:hAnsi="Arial" w:cs="Arial"/>
          <w:sz w:val="20"/>
          <w:szCs w:val="20"/>
          <w:lang w:eastAsia="en-IN"/>
        </w:rPr>
        <w:t>N hydrochloric acid buffer (pH 1.2), maintained at 37 ± 0.5 °C. At predetermined time intervals, the tablet was carefully removed from the medium, gently blotted with filter paper to eliminate excess surface moisture, and reweighed to determine the swollen weight (</w:t>
      </w:r>
      <w:proofErr w:type="spellStart"/>
      <w:r w:rsidRPr="00DB480E">
        <w:rPr>
          <w:rFonts w:ascii="Arial" w:eastAsia="Times New Roman" w:hAnsi="Arial" w:cs="Arial"/>
          <w:sz w:val="20"/>
          <w:szCs w:val="20"/>
          <w:lang w:eastAsia="en-IN"/>
        </w:rPr>
        <w:t>Wt</w:t>
      </w:r>
      <w:proofErr w:type="spellEnd"/>
      <w:r w:rsidRPr="00DB480E">
        <w:rPr>
          <w:rFonts w:ascii="Arial" w:eastAsia="Times New Roman" w:hAnsi="Arial" w:cs="Arial"/>
          <w:sz w:val="20"/>
          <w:szCs w:val="20"/>
          <w:lang w:eastAsia="en-IN"/>
        </w:rPr>
        <w:t>). The percentage swelling at each time point was calculated using Equation (1), based on the increase in tablet weight attributable to liquid uptake</w:t>
      </w:r>
      <w:r w:rsidR="00E45DC1" w:rsidRPr="00DB480E">
        <w:rPr>
          <w:rFonts w:ascii="Arial" w:eastAsia="Times New Roman" w:hAnsi="Arial" w:cs="Arial"/>
          <w:sz w:val="20"/>
          <w:szCs w:val="20"/>
          <w:lang w:eastAsia="en-IN"/>
        </w:rPr>
        <w:t xml:space="preserve"> (</w:t>
      </w:r>
      <w:proofErr w:type="spellStart"/>
      <w:r w:rsidR="001E3B50" w:rsidRPr="00DB480E">
        <w:rPr>
          <w:rFonts w:ascii="Arial" w:eastAsia="Times New Roman" w:hAnsi="Arial" w:cs="Arial"/>
          <w:sz w:val="20"/>
          <w:szCs w:val="20"/>
          <w:lang w:eastAsia="en-IN"/>
        </w:rPr>
        <w:t>Bajd</w:t>
      </w:r>
      <w:proofErr w:type="spellEnd"/>
      <w:r w:rsidR="001E3B50" w:rsidRPr="00DB480E">
        <w:rPr>
          <w:rFonts w:ascii="Arial" w:eastAsia="Times New Roman" w:hAnsi="Arial" w:cs="Arial"/>
          <w:sz w:val="20"/>
          <w:szCs w:val="20"/>
          <w:lang w:eastAsia="en-IN"/>
        </w:rPr>
        <w:t xml:space="preserve"> et al., 2024</w:t>
      </w:r>
      <w:r w:rsidR="00E45DC1" w:rsidRPr="00DB480E">
        <w:rPr>
          <w:rFonts w:ascii="Arial" w:eastAsia="Times New Roman" w:hAnsi="Arial" w:cs="Arial"/>
          <w:sz w:val="20"/>
          <w:szCs w:val="20"/>
          <w:lang w:eastAsia="en-IN"/>
        </w:rPr>
        <w:t>)</w:t>
      </w:r>
      <w:r w:rsidRPr="00DB480E">
        <w:rPr>
          <w:rFonts w:ascii="Arial" w:eastAsia="Times New Roman" w:hAnsi="Arial" w:cs="Arial"/>
          <w:sz w:val="20"/>
          <w:szCs w:val="20"/>
          <w:lang w:eastAsia="en-IN"/>
        </w:rPr>
        <w:t>.</w:t>
      </w:r>
      <w:r w:rsidR="006F36CF" w:rsidRPr="00DB480E">
        <w:rPr>
          <w:rFonts w:ascii="Arial" w:eastAsia="Times New Roman" w:hAnsi="Arial" w:cs="Arial"/>
          <w:sz w:val="20"/>
          <w:szCs w:val="20"/>
          <w:lang w:eastAsia="en-IN"/>
        </w:rPr>
        <w:t xml:space="preserve"> </w:t>
      </w:r>
      <w:r w:rsidRPr="00DB480E">
        <w:rPr>
          <w:rFonts w:ascii="Arial" w:eastAsia="Times New Roman" w:hAnsi="Arial" w:cs="Arial"/>
          <w:sz w:val="20"/>
          <w:szCs w:val="20"/>
          <w:lang w:eastAsia="en-IN"/>
        </w:rPr>
        <w:t>Following completion of the swelling study, the hydrated tablets were dried in a convection oven at 40 °</w:t>
      </w:r>
      <w:r w:rsidRPr="005A55AF">
        <w:rPr>
          <w:rFonts w:ascii="Arial" w:eastAsia="Times New Roman" w:hAnsi="Arial" w:cs="Arial"/>
          <w:sz w:val="20"/>
          <w:szCs w:val="20"/>
          <w:lang w:eastAsia="en-IN"/>
        </w:rPr>
        <w:t>C for 12 h to a constant weight. The dried tablets were then cooled to room temperature in a desiccator and reweighed. Matrix erosion at each sampling interval was calculated as a percentage using Equation (2), based on the difference between the initial dry weight and the final dried weight.</w:t>
      </w:r>
    </w:p>
    <w:p w14:paraId="3F305E1B" w14:textId="77777777" w:rsidR="006F36CF" w:rsidRPr="005A55AF" w:rsidRDefault="006F36CF" w:rsidP="005A55AF">
      <w:pPr>
        <w:spacing w:after="0" w:line="240" w:lineRule="auto"/>
        <w:jc w:val="both"/>
        <w:rPr>
          <w:rFonts w:ascii="Arial" w:eastAsia="Times New Roman" w:hAnsi="Arial" w:cs="Arial"/>
          <w:sz w:val="20"/>
          <w:szCs w:val="20"/>
          <w:lang w:eastAsia="en-IN"/>
        </w:rPr>
      </w:pPr>
    </w:p>
    <w:p w14:paraId="5FE075CF" w14:textId="77777777" w:rsidR="006E24EB" w:rsidRPr="005A55AF" w:rsidRDefault="006E24EB" w:rsidP="005A55AF">
      <w:pPr>
        <w:autoSpaceDE w:val="0"/>
        <w:autoSpaceDN w:val="0"/>
        <w:adjustRightInd w:val="0"/>
        <w:spacing w:after="0" w:line="240" w:lineRule="auto"/>
        <w:jc w:val="center"/>
        <w:rPr>
          <w:rFonts w:ascii="Cambria Math" w:hAnsi="Cambria Math" w:cs="Arial"/>
          <w:sz w:val="20"/>
          <w:szCs w:val="20"/>
          <w:oMath/>
        </w:rPr>
      </w:pPr>
      <m:oMath>
        <m:r>
          <m:rPr>
            <m:sty m:val="b"/>
          </m:rPr>
          <w:rPr>
            <w:rFonts w:ascii="Cambria Math" w:hAnsi="Cambria Math" w:cs="Arial"/>
            <w:sz w:val="20"/>
            <w:szCs w:val="20"/>
          </w:rPr>
          <m:t>Swelling =</m:t>
        </m:r>
        <m:f>
          <m:fPr>
            <m:ctrlPr>
              <w:rPr>
                <w:rFonts w:ascii="Cambria Math" w:hAnsi="Cambria Math" w:cs="Arial"/>
                <w:bCs/>
                <w:sz w:val="20"/>
                <w:szCs w:val="20"/>
              </w:rPr>
            </m:ctrlPr>
          </m:fPr>
          <m:num>
            <m:r>
              <m:rPr>
                <m:sty m:val="p"/>
              </m:rPr>
              <w:rPr>
                <w:rFonts w:ascii="Cambria Math" w:eastAsia="Cambria Math" w:hAnsi="Cambria Math" w:cs="Arial"/>
                <w:sz w:val="20"/>
                <w:szCs w:val="20"/>
              </w:rPr>
              <m:t xml:space="preserve">Weight of the swollen tablet-initial weight of the tablet </m:t>
            </m:r>
          </m:num>
          <m:den>
            <m:r>
              <m:rPr>
                <m:sty m:val="p"/>
              </m:rPr>
              <w:rPr>
                <w:rFonts w:ascii="Cambria Math" w:eastAsia="Cambria Math" w:hAnsi="Cambria Math" w:cs="Arial"/>
                <w:sz w:val="20"/>
                <w:szCs w:val="20"/>
              </w:rPr>
              <m:t>initial weight of the tablet</m:t>
            </m:r>
          </m:den>
        </m:f>
        <m:r>
          <m:rPr>
            <m:sty m:val="p"/>
          </m:rPr>
          <w:rPr>
            <w:rFonts w:ascii="Cambria Math" w:hAnsi="Cambria Math" w:cs="Arial"/>
            <w:sz w:val="20"/>
            <w:szCs w:val="20"/>
          </w:rPr>
          <m:t xml:space="preserve"> X 100 %</m:t>
        </m:r>
      </m:oMath>
      <w:r w:rsidRPr="005A55AF">
        <w:rPr>
          <w:rFonts w:ascii="Arial" w:eastAsiaTheme="minorEastAsia" w:hAnsi="Arial" w:cs="Arial"/>
          <w:sz w:val="20"/>
          <w:szCs w:val="20"/>
        </w:rPr>
        <w:t xml:space="preserve">     ----- </w:t>
      </w:r>
      <w:r w:rsidRPr="005A55AF">
        <w:rPr>
          <w:rFonts w:ascii="Arial" w:hAnsi="Arial" w:cs="Arial"/>
          <w:color w:val="000000"/>
          <w:sz w:val="20"/>
          <w:szCs w:val="20"/>
        </w:rPr>
        <w:t>(1)</w:t>
      </w:r>
    </w:p>
    <w:p w14:paraId="41147684" w14:textId="77777777" w:rsidR="006E24EB" w:rsidRPr="005A55AF" w:rsidRDefault="006E24EB" w:rsidP="005A55AF">
      <w:pPr>
        <w:autoSpaceDE w:val="0"/>
        <w:autoSpaceDN w:val="0"/>
        <w:adjustRightInd w:val="0"/>
        <w:spacing w:after="0" w:line="240" w:lineRule="auto"/>
        <w:jc w:val="both"/>
        <w:rPr>
          <w:rFonts w:ascii="Arial" w:hAnsi="Arial" w:cs="Arial"/>
          <w:b/>
          <w:bCs/>
          <w:i/>
          <w:sz w:val="20"/>
          <w:szCs w:val="20"/>
        </w:rPr>
      </w:pPr>
    </w:p>
    <w:p w14:paraId="49138A82" w14:textId="0E6F49D8" w:rsidR="006E24EB" w:rsidRDefault="006E24EB" w:rsidP="005A55AF">
      <w:pPr>
        <w:autoSpaceDE w:val="0"/>
        <w:autoSpaceDN w:val="0"/>
        <w:adjustRightInd w:val="0"/>
        <w:spacing w:after="0" w:line="240" w:lineRule="auto"/>
        <w:jc w:val="center"/>
        <w:rPr>
          <w:rFonts w:ascii="Arial" w:hAnsi="Arial" w:cs="Arial"/>
          <w:color w:val="000000"/>
          <w:sz w:val="20"/>
          <w:szCs w:val="20"/>
        </w:rPr>
      </w:pPr>
      <m:oMath>
        <m:r>
          <m:rPr>
            <m:sty m:val="b"/>
          </m:rPr>
          <w:rPr>
            <w:rFonts w:ascii="Cambria Math" w:hAnsi="Cambria Math" w:cs="Arial"/>
            <w:sz w:val="20"/>
            <w:szCs w:val="20"/>
          </w:rPr>
          <m:t>Matrix erosion =</m:t>
        </m:r>
        <m:f>
          <m:fPr>
            <m:ctrlPr>
              <w:rPr>
                <w:rFonts w:ascii="Cambria Math" w:hAnsi="Cambria Math" w:cs="Arial"/>
                <w:bCs/>
                <w:sz w:val="20"/>
                <w:szCs w:val="20"/>
              </w:rPr>
            </m:ctrlPr>
          </m:fPr>
          <m:num>
            <m:r>
              <m:rPr>
                <m:sty m:val="p"/>
              </m:rPr>
              <w:rPr>
                <w:rFonts w:ascii="Cambria Math" w:eastAsia="Cambria Math" w:hAnsi="Cambria Math" w:cs="Arial"/>
                <w:sz w:val="20"/>
                <w:szCs w:val="20"/>
              </w:rPr>
              <m:t>initial weight of the tablet- Weight of the dried tablet</m:t>
            </m:r>
          </m:num>
          <m:den>
            <m:r>
              <m:rPr>
                <m:sty m:val="p"/>
              </m:rPr>
              <w:rPr>
                <w:rFonts w:ascii="Cambria Math" w:eastAsia="Cambria Math" w:hAnsi="Cambria Math" w:cs="Arial"/>
                <w:sz w:val="20"/>
                <w:szCs w:val="20"/>
              </w:rPr>
              <m:t>initial weight of the tablet</m:t>
            </m:r>
          </m:den>
        </m:f>
        <m:r>
          <m:rPr>
            <m:sty m:val="p"/>
          </m:rPr>
          <w:rPr>
            <w:rFonts w:ascii="Cambria Math" w:hAnsi="Cambria Math" w:cs="Arial"/>
            <w:sz w:val="20"/>
            <w:szCs w:val="20"/>
          </w:rPr>
          <m:t xml:space="preserve"> X 100 %</m:t>
        </m:r>
      </m:oMath>
      <w:r w:rsidRPr="005A55AF">
        <w:rPr>
          <w:rFonts w:ascii="Arial" w:eastAsiaTheme="minorEastAsia" w:hAnsi="Arial" w:cs="Arial"/>
          <w:sz w:val="20"/>
          <w:szCs w:val="20"/>
        </w:rPr>
        <w:t xml:space="preserve"> ----- </w:t>
      </w:r>
      <w:r w:rsidRPr="005A55AF">
        <w:rPr>
          <w:rFonts w:ascii="Arial" w:hAnsi="Arial" w:cs="Arial"/>
          <w:color w:val="000000"/>
          <w:sz w:val="20"/>
          <w:szCs w:val="20"/>
        </w:rPr>
        <w:t>(2)</w:t>
      </w:r>
    </w:p>
    <w:p w14:paraId="5E70A3AE" w14:textId="22443D9A" w:rsidR="0091367D" w:rsidRDefault="0091367D" w:rsidP="005A55AF">
      <w:pPr>
        <w:autoSpaceDE w:val="0"/>
        <w:autoSpaceDN w:val="0"/>
        <w:adjustRightInd w:val="0"/>
        <w:spacing w:after="0" w:line="240" w:lineRule="auto"/>
        <w:jc w:val="center"/>
        <w:rPr>
          <w:rFonts w:ascii="Arial" w:hAnsi="Arial" w:cs="Arial"/>
          <w:color w:val="000000"/>
          <w:sz w:val="20"/>
          <w:szCs w:val="20"/>
        </w:rPr>
      </w:pPr>
    </w:p>
    <w:p w14:paraId="3EEFEC2D" w14:textId="0CE1FAD6" w:rsidR="00A77AB2" w:rsidRDefault="00A77AB2" w:rsidP="00AC0E2C">
      <w:pPr>
        <w:pStyle w:val="Heading1"/>
        <w:numPr>
          <w:ilvl w:val="1"/>
          <w:numId w:val="3"/>
        </w:numPr>
        <w:tabs>
          <w:tab w:val="left" w:pos="426"/>
        </w:tabs>
        <w:spacing w:before="0" w:line="240" w:lineRule="auto"/>
        <w:ind w:left="0" w:firstLine="0"/>
        <w:jc w:val="both"/>
        <w:rPr>
          <w:rFonts w:ascii="Arial" w:hAnsi="Arial" w:cs="Arial"/>
          <w:b/>
          <w:bCs/>
          <w:iCs/>
          <w:color w:val="000000" w:themeColor="text1"/>
          <w:sz w:val="22"/>
          <w:szCs w:val="22"/>
        </w:rPr>
      </w:pPr>
      <w:r w:rsidRPr="00AC0E2C">
        <w:rPr>
          <w:rFonts w:ascii="Arial" w:hAnsi="Arial" w:cs="Arial"/>
          <w:b/>
          <w:bCs/>
          <w:iCs/>
          <w:color w:val="000000" w:themeColor="text1"/>
          <w:sz w:val="22"/>
          <w:szCs w:val="22"/>
        </w:rPr>
        <w:t>In vitro buoyancy studies for Floating tablets</w:t>
      </w:r>
    </w:p>
    <w:p w14:paraId="7B08EAAF" w14:textId="77777777" w:rsidR="00AC0E2C" w:rsidRDefault="00AC0E2C" w:rsidP="005A55AF">
      <w:pPr>
        <w:autoSpaceDE w:val="0"/>
        <w:autoSpaceDN w:val="0"/>
        <w:adjustRightInd w:val="0"/>
        <w:spacing w:after="0" w:line="240" w:lineRule="auto"/>
        <w:jc w:val="both"/>
        <w:rPr>
          <w:rFonts w:ascii="Arial" w:hAnsi="Arial" w:cs="Arial"/>
          <w:sz w:val="20"/>
          <w:szCs w:val="20"/>
        </w:rPr>
      </w:pPr>
    </w:p>
    <w:p w14:paraId="15445F5B" w14:textId="19640B61" w:rsidR="00A77AB2" w:rsidRDefault="00A77AB2" w:rsidP="005A55AF">
      <w:pPr>
        <w:autoSpaceDE w:val="0"/>
        <w:autoSpaceDN w:val="0"/>
        <w:adjustRightInd w:val="0"/>
        <w:spacing w:after="0" w:line="240" w:lineRule="auto"/>
        <w:jc w:val="both"/>
        <w:rPr>
          <w:rFonts w:ascii="Arial" w:hAnsi="Arial" w:cs="Arial"/>
          <w:sz w:val="20"/>
          <w:szCs w:val="20"/>
        </w:rPr>
      </w:pPr>
      <w:r w:rsidRPr="00DB480E">
        <w:rPr>
          <w:rFonts w:ascii="Arial" w:hAnsi="Arial" w:cs="Arial"/>
          <w:color w:val="000000" w:themeColor="text1"/>
          <w:sz w:val="20"/>
          <w:szCs w:val="20"/>
        </w:rPr>
        <w:t xml:space="preserve">The </w:t>
      </w:r>
      <w:r w:rsidRPr="00DB480E">
        <w:rPr>
          <w:rFonts w:ascii="Arial" w:hAnsi="Arial" w:cs="Arial"/>
          <w:iCs/>
          <w:color w:val="000000" w:themeColor="text1"/>
          <w:sz w:val="20"/>
          <w:szCs w:val="20"/>
        </w:rPr>
        <w:t xml:space="preserve">in vitro </w:t>
      </w:r>
      <w:r w:rsidRPr="00DB480E">
        <w:rPr>
          <w:rFonts w:ascii="Arial" w:eastAsia="Times New Roman" w:hAnsi="Arial" w:cs="Arial"/>
          <w:sz w:val="20"/>
          <w:szCs w:val="20"/>
          <w:lang w:eastAsia="en-IN"/>
        </w:rPr>
        <w:t>buoyancy was performed according to the method described by Jimenez Rosa. (</w:t>
      </w:r>
      <w:r w:rsidR="001E3B50" w:rsidRPr="00DB480E">
        <w:rPr>
          <w:rFonts w:ascii="Arial" w:eastAsia="Times New Roman" w:hAnsi="Arial" w:cs="Arial"/>
          <w:sz w:val="20"/>
          <w:szCs w:val="20"/>
          <w:lang w:eastAsia="en-IN"/>
        </w:rPr>
        <w:t>Jiménez-Castellanos et al., 1994; Pawar et al., 2021</w:t>
      </w:r>
      <w:r w:rsidRPr="00DB480E">
        <w:rPr>
          <w:rFonts w:ascii="Arial" w:eastAsia="Times New Roman" w:hAnsi="Arial" w:cs="Arial"/>
          <w:sz w:val="20"/>
          <w:szCs w:val="20"/>
          <w:lang w:eastAsia="en-IN"/>
        </w:rPr>
        <w:t>). The time</w:t>
      </w:r>
      <w:r w:rsidRPr="005A55AF">
        <w:rPr>
          <w:rFonts w:ascii="Arial" w:hAnsi="Arial" w:cs="Arial"/>
          <w:sz w:val="20"/>
          <w:szCs w:val="20"/>
        </w:rPr>
        <w:t xml:space="preserve"> required for the tablet to rise to the surface and float, floating lag time (FLT) expressed </w:t>
      </w:r>
      <w:r w:rsidR="00F548EC">
        <w:rPr>
          <w:rFonts w:ascii="Arial" w:hAnsi="Arial" w:cs="Arial"/>
          <w:sz w:val="20"/>
          <w:szCs w:val="20"/>
        </w:rPr>
        <w:t>in</w:t>
      </w:r>
      <w:r w:rsidRPr="005A55AF">
        <w:rPr>
          <w:rFonts w:ascii="Arial" w:hAnsi="Arial" w:cs="Arial"/>
          <w:sz w:val="20"/>
          <w:szCs w:val="20"/>
        </w:rPr>
        <w:t xml:space="preserve"> seconds (s) and the total floating </w:t>
      </w:r>
      <w:r w:rsidR="00F548EC">
        <w:rPr>
          <w:rFonts w:ascii="Arial" w:hAnsi="Arial" w:cs="Arial"/>
          <w:sz w:val="20"/>
          <w:szCs w:val="20"/>
        </w:rPr>
        <w:t>time (TFT) expressed in</w:t>
      </w:r>
      <w:r w:rsidRPr="005A55AF">
        <w:rPr>
          <w:rFonts w:ascii="Arial" w:hAnsi="Arial" w:cs="Arial"/>
          <w:sz w:val="20"/>
          <w:szCs w:val="20"/>
        </w:rPr>
        <w:t xml:space="preserve"> hours (h) were determined. The results represent the average of 3 measures.</w:t>
      </w:r>
    </w:p>
    <w:p w14:paraId="10150DDF" w14:textId="77777777" w:rsidR="00AC0E2C" w:rsidRPr="005A55AF" w:rsidRDefault="00AC0E2C" w:rsidP="005A55AF">
      <w:pPr>
        <w:autoSpaceDE w:val="0"/>
        <w:autoSpaceDN w:val="0"/>
        <w:adjustRightInd w:val="0"/>
        <w:spacing w:after="0" w:line="240" w:lineRule="auto"/>
        <w:jc w:val="both"/>
        <w:rPr>
          <w:rFonts w:ascii="Arial" w:hAnsi="Arial" w:cs="Arial"/>
          <w:sz w:val="20"/>
          <w:szCs w:val="20"/>
        </w:rPr>
      </w:pPr>
    </w:p>
    <w:p w14:paraId="05423A2D" w14:textId="77777777" w:rsidR="004472A6" w:rsidRPr="00AC0E2C" w:rsidRDefault="004472A6" w:rsidP="00AC0E2C">
      <w:pPr>
        <w:pStyle w:val="Heading1"/>
        <w:numPr>
          <w:ilvl w:val="1"/>
          <w:numId w:val="3"/>
        </w:numPr>
        <w:tabs>
          <w:tab w:val="left" w:pos="426"/>
        </w:tabs>
        <w:spacing w:before="0" w:line="240" w:lineRule="auto"/>
        <w:ind w:left="0" w:firstLine="0"/>
        <w:jc w:val="both"/>
        <w:rPr>
          <w:rFonts w:ascii="Arial" w:hAnsi="Arial" w:cs="Arial"/>
          <w:b/>
          <w:color w:val="000000" w:themeColor="text1"/>
          <w:sz w:val="22"/>
          <w:szCs w:val="22"/>
        </w:rPr>
      </w:pPr>
      <w:r w:rsidRPr="00AC0E2C">
        <w:rPr>
          <w:rFonts w:ascii="Arial" w:hAnsi="Arial" w:cs="Arial"/>
          <w:b/>
          <w:color w:val="000000" w:themeColor="text1"/>
          <w:sz w:val="22"/>
          <w:szCs w:val="22"/>
        </w:rPr>
        <w:lastRenderedPageBreak/>
        <w:t>In Vitro Dissolution Study</w:t>
      </w:r>
    </w:p>
    <w:p w14:paraId="30B9D07D" w14:textId="77777777" w:rsidR="00AC0E2C" w:rsidRDefault="00AC0E2C" w:rsidP="005A55AF">
      <w:pPr>
        <w:pStyle w:val="NormalWeb"/>
        <w:spacing w:before="0" w:beforeAutospacing="0" w:after="0" w:afterAutospacing="0"/>
        <w:jc w:val="both"/>
        <w:rPr>
          <w:rFonts w:ascii="Arial" w:hAnsi="Arial" w:cs="Arial"/>
          <w:sz w:val="20"/>
          <w:szCs w:val="20"/>
        </w:rPr>
      </w:pPr>
    </w:p>
    <w:p w14:paraId="55C708F4" w14:textId="0E68E7C2" w:rsidR="004472A6" w:rsidRPr="00DB480E" w:rsidRDefault="004472A6"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 xml:space="preserve">The in vitro drug release profile of Metformin HCl from the developed floating and non-floating matrix tablets was evaluated using the USP Dissolution Apparatus II (paddle method). Dissolution testing was performed in 1000 mL of phosphate buffer (pH 6.8) maintained at 37 ± 0.5 °C. The paddle rotation speed was set at 100 rpm to appropriately assess the sustained-release performance of the formulations. One tablet was placed in each dissolution vessel, and at predetermined time intervals (1, 2, 3, 4, 6, 8, 10, 12, 14, 16, </w:t>
      </w:r>
      <w:r w:rsidRPr="00DB480E">
        <w:rPr>
          <w:rFonts w:ascii="Arial" w:hAnsi="Arial" w:cs="Arial"/>
          <w:color w:val="000000" w:themeColor="text1"/>
          <w:sz w:val="20"/>
          <w:szCs w:val="20"/>
        </w:rPr>
        <w:t xml:space="preserve">and 20 h), 10 mL samples were withdrawn. An equal volume of fresh dissolution medium, pre-equilibrated to the same </w:t>
      </w:r>
      <w:r w:rsidRPr="00DB480E">
        <w:rPr>
          <w:rFonts w:ascii="Arial" w:hAnsi="Arial" w:cs="Arial"/>
          <w:sz w:val="20"/>
          <w:szCs w:val="20"/>
        </w:rPr>
        <w:t>temperature, was immediately replaced after each sampling to maintain constant volume and sink conditions. The collected samples were filtered, suitably diluted where necessary, and analyzed using a validated high-performance liquid chromatography (HPLC) method to quantify the amount of drug released</w:t>
      </w:r>
      <w:r w:rsidR="00C927EC" w:rsidRPr="00DB480E">
        <w:rPr>
          <w:rFonts w:ascii="Arial" w:hAnsi="Arial" w:cs="Arial"/>
          <w:sz w:val="20"/>
          <w:szCs w:val="20"/>
        </w:rPr>
        <w:t xml:space="preserve"> (</w:t>
      </w:r>
      <w:r w:rsidR="001E3B50" w:rsidRPr="00DB480E">
        <w:rPr>
          <w:rFonts w:ascii="Arial" w:hAnsi="Arial" w:cs="Arial"/>
          <w:sz w:val="20"/>
          <w:szCs w:val="20"/>
        </w:rPr>
        <w:t>Palem et al., 2025</w:t>
      </w:r>
      <w:r w:rsidR="00C927EC" w:rsidRPr="00DB480E">
        <w:rPr>
          <w:rFonts w:ascii="Arial" w:hAnsi="Arial" w:cs="Arial"/>
          <w:sz w:val="20"/>
          <w:szCs w:val="20"/>
        </w:rPr>
        <w:t>)</w:t>
      </w:r>
      <w:r w:rsidRPr="00DB480E">
        <w:rPr>
          <w:rFonts w:ascii="Arial" w:hAnsi="Arial" w:cs="Arial"/>
          <w:sz w:val="20"/>
          <w:szCs w:val="20"/>
        </w:rPr>
        <w:t>.</w:t>
      </w:r>
    </w:p>
    <w:p w14:paraId="45F6BBDD" w14:textId="77777777" w:rsidR="00AC0E2C" w:rsidRPr="00DB480E" w:rsidRDefault="00AC0E2C" w:rsidP="005A55AF">
      <w:pPr>
        <w:pStyle w:val="NormalWeb"/>
        <w:spacing w:before="0" w:beforeAutospacing="0" w:after="0" w:afterAutospacing="0"/>
        <w:jc w:val="both"/>
        <w:rPr>
          <w:rFonts w:ascii="Arial" w:hAnsi="Arial" w:cs="Arial"/>
          <w:color w:val="000000" w:themeColor="text1"/>
          <w:sz w:val="20"/>
          <w:szCs w:val="20"/>
        </w:rPr>
      </w:pPr>
    </w:p>
    <w:p w14:paraId="3D9CFDCA" w14:textId="25A3692E" w:rsidR="004614C9" w:rsidRPr="00DB480E" w:rsidRDefault="004614C9" w:rsidP="00AC0E2C">
      <w:pPr>
        <w:pStyle w:val="Heading1"/>
        <w:numPr>
          <w:ilvl w:val="1"/>
          <w:numId w:val="3"/>
        </w:numPr>
        <w:tabs>
          <w:tab w:val="left" w:pos="426"/>
        </w:tabs>
        <w:spacing w:before="0" w:line="240" w:lineRule="auto"/>
        <w:ind w:left="0" w:firstLine="0"/>
        <w:jc w:val="both"/>
        <w:rPr>
          <w:rFonts w:ascii="Arial" w:hAnsi="Arial" w:cs="Arial"/>
          <w:b/>
          <w:color w:val="000000" w:themeColor="text1"/>
          <w:sz w:val="22"/>
          <w:szCs w:val="22"/>
        </w:rPr>
      </w:pPr>
      <w:r w:rsidRPr="00DB480E">
        <w:rPr>
          <w:rFonts w:ascii="Arial" w:hAnsi="Arial" w:cs="Arial"/>
          <w:b/>
          <w:color w:val="000000" w:themeColor="text1"/>
          <w:sz w:val="22"/>
          <w:szCs w:val="22"/>
        </w:rPr>
        <w:t xml:space="preserve">Release Kinetic </w:t>
      </w:r>
      <w:r w:rsidR="00AC0E2C" w:rsidRPr="00DB480E">
        <w:rPr>
          <w:rFonts w:ascii="Arial" w:hAnsi="Arial" w:cs="Arial"/>
          <w:b/>
          <w:color w:val="000000" w:themeColor="text1"/>
          <w:sz w:val="22"/>
          <w:szCs w:val="22"/>
        </w:rPr>
        <w:t>Modelling</w:t>
      </w:r>
    </w:p>
    <w:p w14:paraId="66DEBAB4" w14:textId="77777777" w:rsidR="00AC0E2C" w:rsidRPr="00DB480E" w:rsidRDefault="00AC0E2C" w:rsidP="005A55AF">
      <w:pPr>
        <w:pStyle w:val="NormalWeb"/>
        <w:spacing w:before="0" w:beforeAutospacing="0" w:after="0" w:afterAutospacing="0"/>
        <w:jc w:val="both"/>
        <w:rPr>
          <w:rFonts w:ascii="Arial" w:hAnsi="Arial" w:cs="Arial"/>
          <w:color w:val="000000" w:themeColor="text1"/>
          <w:sz w:val="20"/>
          <w:szCs w:val="20"/>
        </w:rPr>
      </w:pPr>
    </w:p>
    <w:p w14:paraId="6B6A41AC" w14:textId="6C14870E" w:rsidR="004614C9" w:rsidRPr="00DB480E" w:rsidRDefault="004614C9" w:rsidP="005A55AF">
      <w:pPr>
        <w:pStyle w:val="NormalWeb"/>
        <w:spacing w:before="0" w:beforeAutospacing="0" w:after="0" w:afterAutospacing="0"/>
        <w:jc w:val="both"/>
        <w:rPr>
          <w:rFonts w:ascii="Arial" w:hAnsi="Arial" w:cs="Arial"/>
          <w:sz w:val="20"/>
          <w:szCs w:val="20"/>
        </w:rPr>
      </w:pPr>
      <w:r w:rsidRPr="00DB480E">
        <w:rPr>
          <w:rFonts w:ascii="Arial" w:hAnsi="Arial" w:cs="Arial"/>
          <w:color w:val="000000" w:themeColor="text1"/>
          <w:sz w:val="20"/>
          <w:szCs w:val="20"/>
        </w:rPr>
        <w:t xml:space="preserve">The in vitro release data of Metformin HCl from the developed formulations were analyzed using various mathematical models to elucidate the underlying drug </w:t>
      </w:r>
      <w:r w:rsidRPr="00DB480E">
        <w:rPr>
          <w:rFonts w:ascii="Arial" w:hAnsi="Arial" w:cs="Arial"/>
          <w:sz w:val="20"/>
          <w:szCs w:val="20"/>
        </w:rPr>
        <w:t xml:space="preserve">release mechanisms. The dissolution profiles were fitted to zero-order, first-order, Higuchi, and Korsmeyer-Peppas kinetic models. The goodness of fit for each model was evaluated using the coefficient of determination (R²), and the model exhibiting the highest R² value was considered to best describe the release behavior. For the Korsmeyer-Peppas model, the release exponent (n) was calculated to characterize the mechanism of drug transport, such as </w:t>
      </w:r>
      <w:proofErr w:type="spellStart"/>
      <w:r w:rsidRPr="00DB480E">
        <w:rPr>
          <w:rFonts w:ascii="Arial" w:hAnsi="Arial" w:cs="Arial"/>
          <w:sz w:val="20"/>
          <w:szCs w:val="20"/>
        </w:rPr>
        <w:t>Fickian</w:t>
      </w:r>
      <w:proofErr w:type="spellEnd"/>
      <w:r w:rsidRPr="00DB480E">
        <w:rPr>
          <w:rFonts w:ascii="Arial" w:hAnsi="Arial" w:cs="Arial"/>
          <w:sz w:val="20"/>
          <w:szCs w:val="20"/>
        </w:rPr>
        <w:t xml:space="preserve"> diffusion, anomalous transport, or erosion-controlled release</w:t>
      </w:r>
      <w:r w:rsidR="00C927EC" w:rsidRPr="00DB480E">
        <w:rPr>
          <w:rFonts w:ascii="Arial" w:hAnsi="Arial" w:cs="Arial"/>
          <w:sz w:val="20"/>
          <w:szCs w:val="20"/>
        </w:rPr>
        <w:t xml:space="preserve"> (</w:t>
      </w:r>
      <w:r w:rsidR="001E3B50" w:rsidRPr="00DB480E">
        <w:rPr>
          <w:rFonts w:ascii="Arial" w:hAnsi="Arial" w:cs="Arial"/>
          <w:sz w:val="20"/>
          <w:szCs w:val="20"/>
        </w:rPr>
        <w:t>Palem et al., 2012; Higuchi, 1961; Higuchi, 1963</w:t>
      </w:r>
      <w:r w:rsidR="00C927EC" w:rsidRPr="00DB480E">
        <w:rPr>
          <w:rFonts w:ascii="Arial" w:hAnsi="Arial" w:cs="Arial"/>
          <w:sz w:val="20"/>
          <w:szCs w:val="20"/>
        </w:rPr>
        <w:t>)</w:t>
      </w:r>
      <w:r w:rsidRPr="00DB480E">
        <w:rPr>
          <w:rFonts w:ascii="Arial" w:hAnsi="Arial" w:cs="Arial"/>
          <w:sz w:val="20"/>
          <w:szCs w:val="20"/>
        </w:rPr>
        <w:t>. In addition, the relationship between cumulative drug release and matrix erosion of the floating tablets was examined to better understand the contribution of polymer relaxation and matrix degradation to the overall release process.</w:t>
      </w:r>
    </w:p>
    <w:p w14:paraId="618C1AFE" w14:textId="77777777" w:rsidR="00AC0E2C" w:rsidRPr="005A55AF" w:rsidRDefault="00AC0E2C" w:rsidP="005A55AF">
      <w:pPr>
        <w:pStyle w:val="NormalWeb"/>
        <w:spacing w:before="0" w:beforeAutospacing="0" w:after="0" w:afterAutospacing="0"/>
        <w:jc w:val="both"/>
        <w:rPr>
          <w:rFonts w:ascii="Arial" w:hAnsi="Arial" w:cs="Arial"/>
          <w:sz w:val="20"/>
          <w:szCs w:val="20"/>
        </w:rPr>
      </w:pPr>
    </w:p>
    <w:p w14:paraId="6287119E" w14:textId="77777777" w:rsidR="004614C9" w:rsidRPr="00AC0E2C" w:rsidRDefault="004614C9" w:rsidP="00AC0E2C">
      <w:pPr>
        <w:pStyle w:val="Heading1"/>
        <w:numPr>
          <w:ilvl w:val="1"/>
          <w:numId w:val="3"/>
        </w:numPr>
        <w:tabs>
          <w:tab w:val="left" w:pos="426"/>
        </w:tabs>
        <w:spacing w:before="0" w:line="240" w:lineRule="auto"/>
        <w:ind w:left="0" w:firstLine="0"/>
        <w:jc w:val="both"/>
        <w:rPr>
          <w:rFonts w:ascii="Arial" w:hAnsi="Arial" w:cs="Arial"/>
          <w:b/>
          <w:color w:val="000000" w:themeColor="text1"/>
          <w:sz w:val="22"/>
          <w:szCs w:val="22"/>
        </w:rPr>
      </w:pPr>
      <w:r w:rsidRPr="00AC0E2C">
        <w:rPr>
          <w:rFonts w:ascii="Arial" w:hAnsi="Arial" w:cs="Arial"/>
          <w:b/>
          <w:color w:val="000000" w:themeColor="text1"/>
          <w:sz w:val="22"/>
          <w:szCs w:val="22"/>
        </w:rPr>
        <w:t>In Vivo Floating Buoyancy Study</w:t>
      </w:r>
    </w:p>
    <w:p w14:paraId="7AC030B3" w14:textId="77777777" w:rsidR="00AC0E2C" w:rsidRDefault="00AC0E2C" w:rsidP="005A55AF">
      <w:pPr>
        <w:pStyle w:val="NormalWeb"/>
        <w:spacing w:before="0" w:beforeAutospacing="0" w:after="0" w:afterAutospacing="0"/>
        <w:jc w:val="both"/>
        <w:rPr>
          <w:rFonts w:ascii="Arial" w:hAnsi="Arial" w:cs="Arial"/>
          <w:sz w:val="20"/>
          <w:szCs w:val="20"/>
        </w:rPr>
      </w:pPr>
    </w:p>
    <w:p w14:paraId="6A40175F" w14:textId="5199F623" w:rsidR="004614C9" w:rsidRPr="00DB480E" w:rsidRDefault="004614C9"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 xml:space="preserve">The in vivo gastric retention behavior of the developed floating tablets was evaluated in healthy human volunteers using radiographic imaging. To facilitate visualization under X-ray, barium </w:t>
      </w:r>
      <w:proofErr w:type="spellStart"/>
      <w:r w:rsidRPr="005A55AF">
        <w:rPr>
          <w:rFonts w:ascii="Arial" w:hAnsi="Arial" w:cs="Arial"/>
          <w:sz w:val="20"/>
          <w:szCs w:val="20"/>
        </w:rPr>
        <w:t>sulfate</w:t>
      </w:r>
      <w:proofErr w:type="spellEnd"/>
      <w:r w:rsidRPr="005A55AF">
        <w:rPr>
          <w:rFonts w:ascii="Arial" w:hAnsi="Arial" w:cs="Arial"/>
          <w:sz w:val="20"/>
          <w:szCs w:val="20"/>
        </w:rPr>
        <w:t xml:space="preserve"> (</w:t>
      </w:r>
      <w:proofErr w:type="spellStart"/>
      <w:r w:rsidRPr="005A55AF">
        <w:rPr>
          <w:rFonts w:ascii="Arial" w:hAnsi="Arial" w:cs="Arial"/>
          <w:sz w:val="20"/>
          <w:szCs w:val="20"/>
        </w:rPr>
        <w:t>BaSO</w:t>
      </w:r>
      <w:proofErr w:type="spellEnd"/>
      <w:r w:rsidRPr="005A55AF">
        <w:rPr>
          <w:rFonts w:ascii="Cambria Math" w:hAnsi="Cambria Math" w:cs="Cambria Math"/>
          <w:sz w:val="20"/>
          <w:szCs w:val="20"/>
        </w:rPr>
        <w:t>₄</w:t>
      </w:r>
      <w:r w:rsidRPr="005A55AF">
        <w:rPr>
          <w:rFonts w:ascii="Arial" w:hAnsi="Arial" w:cs="Arial"/>
          <w:sz w:val="20"/>
          <w:szCs w:val="20"/>
        </w:rPr>
        <w:t xml:space="preserve">) was incorporated into the tablet formulation at an optimized concentration to impart radiopacity without altering the floating characteristics of the dosage form. Four healthy male volunteers (mean age: 25 years; mean body weight: 65 kg) participated in the study after providing written informed consent. The study protocol was reviewed and approved by the Institutional Ethics Committee of the University College of Pharmaceutical Sciences, Kakatiya University, Warangal. All participants fasted overnight prior to tablet </w:t>
      </w:r>
      <w:r w:rsidRPr="00DB480E">
        <w:rPr>
          <w:rFonts w:ascii="Arial" w:hAnsi="Arial" w:cs="Arial"/>
          <w:sz w:val="20"/>
          <w:szCs w:val="20"/>
        </w:rPr>
        <w:t>administration. Each subject received a single floating tablet with 150 mL of water under fasting conditions. No food or additional fluids were allowed during the study period to minimize variability in gastric motility. Radiographic images were obtained at predetermined time intervals using a digital X-ray imaging system (Konica Minolta; Siemens, Karlsruhe, Germany). Anterior-view radiographs were captured to determine the intragastric location, floating behavior, and duration of gastric residence of the tablet throughout the observation period</w:t>
      </w:r>
      <w:r w:rsidR="00C927EC" w:rsidRPr="00DB480E">
        <w:rPr>
          <w:rFonts w:ascii="Arial" w:hAnsi="Arial" w:cs="Arial"/>
          <w:sz w:val="20"/>
          <w:szCs w:val="20"/>
        </w:rPr>
        <w:t xml:space="preserve"> (</w:t>
      </w:r>
      <w:r w:rsidR="001E3B50" w:rsidRPr="00DB480E">
        <w:rPr>
          <w:rFonts w:ascii="Arial" w:hAnsi="Arial" w:cs="Arial"/>
          <w:sz w:val="20"/>
          <w:szCs w:val="20"/>
        </w:rPr>
        <w:t xml:space="preserve">Rao et al., 2011; </w:t>
      </w:r>
      <w:proofErr w:type="spellStart"/>
      <w:r w:rsidR="001E3B50" w:rsidRPr="00DB480E">
        <w:rPr>
          <w:rFonts w:ascii="Arial" w:hAnsi="Arial" w:cs="Arial"/>
          <w:sz w:val="20"/>
          <w:szCs w:val="20"/>
        </w:rPr>
        <w:t>Gopaiah</w:t>
      </w:r>
      <w:proofErr w:type="spellEnd"/>
      <w:r w:rsidR="001E3B50" w:rsidRPr="00DB480E">
        <w:rPr>
          <w:rFonts w:ascii="Arial" w:hAnsi="Arial" w:cs="Arial"/>
          <w:sz w:val="20"/>
          <w:szCs w:val="20"/>
        </w:rPr>
        <w:t xml:space="preserve"> et al., 2024</w:t>
      </w:r>
      <w:r w:rsidR="00C927EC" w:rsidRPr="00DB480E">
        <w:rPr>
          <w:rFonts w:ascii="Arial" w:hAnsi="Arial" w:cs="Arial"/>
          <w:sz w:val="20"/>
          <w:szCs w:val="20"/>
        </w:rPr>
        <w:t>)</w:t>
      </w:r>
      <w:r w:rsidRPr="00DB480E">
        <w:rPr>
          <w:rFonts w:ascii="Arial" w:hAnsi="Arial" w:cs="Arial"/>
          <w:sz w:val="20"/>
          <w:szCs w:val="20"/>
        </w:rPr>
        <w:t>.</w:t>
      </w:r>
    </w:p>
    <w:p w14:paraId="75438B0A" w14:textId="77777777" w:rsidR="00AC0E2C" w:rsidRPr="00DB480E" w:rsidRDefault="00AC0E2C" w:rsidP="00DB480E">
      <w:pPr>
        <w:pStyle w:val="NormalWeb"/>
        <w:spacing w:before="0" w:beforeAutospacing="0" w:after="0" w:afterAutospacing="0"/>
        <w:jc w:val="both"/>
        <w:rPr>
          <w:rFonts w:ascii="Arial" w:hAnsi="Arial" w:cs="Arial"/>
          <w:color w:val="000000" w:themeColor="text1"/>
          <w:sz w:val="20"/>
          <w:szCs w:val="20"/>
        </w:rPr>
      </w:pPr>
    </w:p>
    <w:p w14:paraId="724654D5" w14:textId="3B3A0641" w:rsidR="00053E29" w:rsidRDefault="00053E29" w:rsidP="00AC0E2C">
      <w:pPr>
        <w:pStyle w:val="Heading1"/>
        <w:numPr>
          <w:ilvl w:val="1"/>
          <w:numId w:val="3"/>
        </w:numPr>
        <w:tabs>
          <w:tab w:val="left" w:pos="426"/>
        </w:tabs>
        <w:spacing w:before="0" w:line="240" w:lineRule="auto"/>
        <w:ind w:left="0" w:firstLine="0"/>
        <w:jc w:val="both"/>
        <w:rPr>
          <w:rFonts w:ascii="Arial" w:eastAsia="Times New Roman" w:hAnsi="Arial" w:cs="Arial"/>
          <w:b/>
          <w:color w:val="000000" w:themeColor="text1"/>
          <w:sz w:val="22"/>
          <w:szCs w:val="22"/>
          <w:lang w:eastAsia="en-IN"/>
        </w:rPr>
      </w:pPr>
      <w:r w:rsidRPr="00AC0E2C">
        <w:rPr>
          <w:rFonts w:ascii="Arial" w:eastAsia="Times New Roman" w:hAnsi="Arial" w:cs="Arial"/>
          <w:b/>
          <w:color w:val="000000" w:themeColor="text1"/>
          <w:sz w:val="22"/>
          <w:szCs w:val="22"/>
          <w:lang w:eastAsia="en-IN"/>
        </w:rPr>
        <w:t>Bioavailability and Bioequivalence studies of Optimized Floating and Non-floating Metformin HCl tablets</w:t>
      </w:r>
    </w:p>
    <w:p w14:paraId="5D64F974" w14:textId="77777777" w:rsidR="00AC0E2C" w:rsidRDefault="00AC0E2C" w:rsidP="005A55AF">
      <w:pPr>
        <w:pStyle w:val="NormalWeb"/>
        <w:spacing w:before="0" w:beforeAutospacing="0" w:after="0" w:afterAutospacing="0"/>
        <w:jc w:val="both"/>
        <w:rPr>
          <w:rFonts w:ascii="Arial" w:hAnsi="Arial" w:cs="Arial"/>
          <w:sz w:val="20"/>
          <w:szCs w:val="20"/>
        </w:rPr>
      </w:pPr>
    </w:p>
    <w:p w14:paraId="4BEF8F29" w14:textId="18534095" w:rsidR="00A276F5" w:rsidRDefault="00A276F5"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The bioavailability of the optimized floating</w:t>
      </w:r>
      <w:r w:rsidR="00987F30" w:rsidRPr="005A55AF">
        <w:rPr>
          <w:rFonts w:ascii="Arial" w:hAnsi="Arial" w:cs="Arial"/>
          <w:sz w:val="20"/>
          <w:szCs w:val="20"/>
        </w:rPr>
        <w:t xml:space="preserve"> (MTH3)</w:t>
      </w:r>
      <w:r w:rsidRPr="005A55AF">
        <w:rPr>
          <w:rFonts w:ascii="Arial" w:hAnsi="Arial" w:cs="Arial"/>
          <w:sz w:val="20"/>
          <w:szCs w:val="20"/>
        </w:rPr>
        <w:t xml:space="preserve"> and non-floating</w:t>
      </w:r>
      <w:r w:rsidR="00987F30" w:rsidRPr="005A55AF">
        <w:rPr>
          <w:rFonts w:ascii="Arial" w:hAnsi="Arial" w:cs="Arial"/>
          <w:sz w:val="20"/>
          <w:szCs w:val="20"/>
        </w:rPr>
        <w:t xml:space="preserve"> (MTH6)</w:t>
      </w:r>
      <w:r w:rsidRPr="005A55AF">
        <w:rPr>
          <w:rFonts w:ascii="Arial" w:hAnsi="Arial" w:cs="Arial"/>
          <w:sz w:val="20"/>
          <w:szCs w:val="20"/>
        </w:rPr>
        <w:t xml:space="preserve"> Metformin HCl tablets were evaluated in healthy human volunteers in accordance with an approved bioequivalence (BE) study protocol and applicable regulatory gui</w:t>
      </w:r>
      <w:r w:rsidRPr="00DB480E">
        <w:rPr>
          <w:rFonts w:ascii="Arial" w:hAnsi="Arial" w:cs="Arial"/>
          <w:color w:val="000000" w:themeColor="text1"/>
          <w:sz w:val="20"/>
          <w:szCs w:val="20"/>
        </w:rPr>
        <w:t>delines and the bioequivalence was performed with reference listed drug (GLUCOPHAGE</w:t>
      </w:r>
      <w:r w:rsidRPr="00DB480E">
        <w:rPr>
          <w:rFonts w:ascii="Arial" w:hAnsi="Arial" w:cs="Arial"/>
          <w:color w:val="000000" w:themeColor="text1"/>
          <w:sz w:val="20"/>
          <w:szCs w:val="20"/>
          <w:vertAlign w:val="superscript"/>
        </w:rPr>
        <w:t>®</w:t>
      </w:r>
      <w:r w:rsidRPr="00DB480E">
        <w:rPr>
          <w:rFonts w:ascii="Arial" w:hAnsi="Arial" w:cs="Arial"/>
          <w:color w:val="000000" w:themeColor="text1"/>
          <w:sz w:val="20"/>
          <w:szCs w:val="20"/>
        </w:rPr>
        <w:t xml:space="preserve">). The study protocol was reviewed and approved and written informed consent was obtained from all participants prior to </w:t>
      </w:r>
      <w:proofErr w:type="spellStart"/>
      <w:r w:rsidRPr="00DB480E">
        <w:rPr>
          <w:rFonts w:ascii="Arial" w:hAnsi="Arial" w:cs="Arial"/>
          <w:color w:val="000000" w:themeColor="text1"/>
          <w:sz w:val="20"/>
          <w:szCs w:val="20"/>
        </w:rPr>
        <w:t>enrol</w:t>
      </w:r>
      <w:r w:rsidR="00F548EC" w:rsidRPr="00DB480E">
        <w:rPr>
          <w:rFonts w:ascii="Arial" w:hAnsi="Arial" w:cs="Arial"/>
          <w:color w:val="000000" w:themeColor="text1"/>
          <w:sz w:val="20"/>
          <w:szCs w:val="20"/>
        </w:rPr>
        <w:t>l</w:t>
      </w:r>
      <w:r w:rsidRPr="00DB480E">
        <w:rPr>
          <w:rFonts w:ascii="Arial" w:hAnsi="Arial" w:cs="Arial"/>
          <w:color w:val="000000" w:themeColor="text1"/>
          <w:sz w:val="20"/>
          <w:szCs w:val="20"/>
        </w:rPr>
        <w:t>ment</w:t>
      </w:r>
      <w:proofErr w:type="spellEnd"/>
      <w:r w:rsidRPr="00DB480E">
        <w:rPr>
          <w:rFonts w:ascii="Arial" w:hAnsi="Arial" w:cs="Arial"/>
          <w:color w:val="000000" w:themeColor="text1"/>
          <w:sz w:val="20"/>
          <w:szCs w:val="20"/>
        </w:rPr>
        <w:t xml:space="preserve">. The study was conducted as a randomized, open-label, single-dose, two-treatment, two-period, crossover trial under fasting conditions. Healthy adult volunteers who met predefined inclusion and exclusion </w:t>
      </w:r>
      <w:r w:rsidRPr="005A55AF">
        <w:rPr>
          <w:rFonts w:ascii="Arial" w:hAnsi="Arial" w:cs="Arial"/>
          <w:sz w:val="20"/>
          <w:szCs w:val="20"/>
        </w:rPr>
        <w:t>criteria were enrolled following medical screening, including physical examination, laboratory investigations, and assessment of vital signs. Eligible subjects were randomly assigned to one of sequences to receive either the optimized floating formulation, the optimized non-floating formulation or GLUCOPHAGE</w:t>
      </w:r>
      <w:r w:rsidRPr="005A55AF">
        <w:rPr>
          <w:rFonts w:ascii="Arial" w:hAnsi="Arial" w:cs="Arial"/>
          <w:sz w:val="20"/>
          <w:szCs w:val="20"/>
          <w:vertAlign w:val="superscript"/>
        </w:rPr>
        <w:t>®</w:t>
      </w:r>
      <w:r w:rsidRPr="005A55AF">
        <w:rPr>
          <w:rFonts w:ascii="Arial" w:hAnsi="Arial" w:cs="Arial"/>
          <w:sz w:val="20"/>
          <w:szCs w:val="20"/>
        </w:rPr>
        <w:t xml:space="preserve"> (RLD) in the first study period, followed by the alternate formulation after a suitable washout period (not less than seven half-lives of Metformin HCl) to prevent carryover effects. Following an overnight fast of at least 10 hours, a single dose of the assigned formulation was administered orally with 240 mL of water. Standardized meals were provided at scheduled times after dosing, and water intake was controlled according to the study protocol.</w:t>
      </w:r>
      <w:r w:rsidR="00FF263F" w:rsidRPr="005A55AF">
        <w:rPr>
          <w:rFonts w:ascii="Arial" w:hAnsi="Arial" w:cs="Arial"/>
          <w:sz w:val="20"/>
          <w:szCs w:val="20"/>
        </w:rPr>
        <w:t xml:space="preserve"> </w:t>
      </w:r>
      <w:r w:rsidRPr="005A55AF">
        <w:rPr>
          <w:rFonts w:ascii="Arial" w:hAnsi="Arial" w:cs="Arial"/>
          <w:sz w:val="20"/>
          <w:szCs w:val="20"/>
        </w:rPr>
        <w:t xml:space="preserve">Venous blood samples were collected at pre-dose (0 h) and at </w:t>
      </w:r>
      <w:r w:rsidRPr="005A55AF">
        <w:rPr>
          <w:rFonts w:ascii="Arial" w:hAnsi="Arial" w:cs="Arial"/>
          <w:sz w:val="20"/>
          <w:szCs w:val="20"/>
        </w:rPr>
        <w:lastRenderedPageBreak/>
        <w:t>predetermined time points post-dose over an adequate sampling duration to characterize the absorption and elimination phases of Metformin HCl. Blood samples were collected into appropriate anticoagulant-containing tubes and centrifuged to separate plasma, which was stored at −20 °C or below until analysis.</w:t>
      </w:r>
      <w:r w:rsidR="00FF263F" w:rsidRPr="005A55AF">
        <w:rPr>
          <w:rFonts w:ascii="Arial" w:hAnsi="Arial" w:cs="Arial"/>
          <w:sz w:val="20"/>
          <w:szCs w:val="20"/>
        </w:rPr>
        <w:t xml:space="preserve"> </w:t>
      </w:r>
      <w:r w:rsidRPr="005A55AF">
        <w:rPr>
          <w:rFonts w:ascii="Arial" w:hAnsi="Arial" w:cs="Arial"/>
          <w:sz w:val="20"/>
          <w:szCs w:val="20"/>
        </w:rPr>
        <w:t>Plasma concentrations of Metformin HCl were quantified using a validated LC–MS/MS method, in accordance with regulatory guidelines for bioanalytical method validation. The assay was validated for selectivity, accuracy, precision, linearity, recovery, and stability.</w:t>
      </w:r>
      <w:r w:rsidR="00FF263F" w:rsidRPr="005A55AF">
        <w:rPr>
          <w:rFonts w:ascii="Arial" w:hAnsi="Arial" w:cs="Arial"/>
          <w:sz w:val="20"/>
          <w:szCs w:val="20"/>
        </w:rPr>
        <w:t xml:space="preserve"> </w:t>
      </w:r>
      <w:r w:rsidRPr="005A55AF">
        <w:rPr>
          <w:rFonts w:ascii="Arial" w:hAnsi="Arial" w:cs="Arial"/>
          <w:sz w:val="20"/>
          <w:szCs w:val="20"/>
        </w:rPr>
        <w:t>Pharmacokinetic parameters were calculated using non-compartmental analysis. The primary pharmacokinetic parameters included maximum plasma concentration (C</w:t>
      </w:r>
      <w:r w:rsidRPr="005A55AF">
        <w:rPr>
          <w:rFonts w:ascii="Arial" w:hAnsi="Arial" w:cs="Arial"/>
          <w:sz w:val="20"/>
          <w:szCs w:val="20"/>
          <w:vertAlign w:val="subscript"/>
        </w:rPr>
        <w:t>max</w:t>
      </w:r>
      <w:r w:rsidRPr="005A55AF">
        <w:rPr>
          <w:rFonts w:ascii="Arial" w:hAnsi="Arial" w:cs="Arial"/>
          <w:sz w:val="20"/>
          <w:szCs w:val="20"/>
        </w:rPr>
        <w:t>), time to reach maximum concentration (T</w:t>
      </w:r>
      <w:r w:rsidRPr="005A55AF">
        <w:rPr>
          <w:rFonts w:ascii="Arial" w:hAnsi="Arial" w:cs="Arial"/>
          <w:sz w:val="20"/>
          <w:szCs w:val="20"/>
          <w:vertAlign w:val="subscript"/>
        </w:rPr>
        <w:t>max</w:t>
      </w:r>
      <w:r w:rsidRPr="005A55AF">
        <w:rPr>
          <w:rFonts w:ascii="Arial" w:hAnsi="Arial" w:cs="Arial"/>
          <w:sz w:val="20"/>
          <w:szCs w:val="20"/>
        </w:rPr>
        <w:t>), area under the plasma concentration</w:t>
      </w:r>
      <w:r w:rsidR="00FF263F" w:rsidRPr="005A55AF">
        <w:rPr>
          <w:rFonts w:ascii="Arial" w:hAnsi="Arial" w:cs="Arial"/>
          <w:sz w:val="20"/>
          <w:szCs w:val="20"/>
        </w:rPr>
        <w:t>-</w:t>
      </w:r>
      <w:r w:rsidRPr="005A55AF">
        <w:rPr>
          <w:rFonts w:ascii="Arial" w:hAnsi="Arial" w:cs="Arial"/>
          <w:sz w:val="20"/>
          <w:szCs w:val="20"/>
        </w:rPr>
        <w:t>time curve from time zero to the last measurable concentration (AUC</w:t>
      </w:r>
      <w:r w:rsidRPr="005A55AF">
        <w:rPr>
          <w:rFonts w:ascii="Arial" w:hAnsi="Arial" w:cs="Arial"/>
          <w:sz w:val="20"/>
          <w:szCs w:val="20"/>
          <w:vertAlign w:val="subscript"/>
        </w:rPr>
        <w:t>0–t</w:t>
      </w:r>
      <w:r w:rsidRPr="005A55AF">
        <w:rPr>
          <w:rFonts w:ascii="Arial" w:hAnsi="Arial" w:cs="Arial"/>
          <w:sz w:val="20"/>
          <w:szCs w:val="20"/>
        </w:rPr>
        <w:t>), and area under the curve extrapolated to infinity (AUC</w:t>
      </w:r>
      <w:r w:rsidRPr="005A55AF">
        <w:rPr>
          <w:rFonts w:ascii="Arial" w:hAnsi="Arial" w:cs="Arial"/>
          <w:sz w:val="20"/>
          <w:szCs w:val="20"/>
          <w:vertAlign w:val="subscript"/>
        </w:rPr>
        <w:t>0–∞</w:t>
      </w:r>
      <w:r w:rsidRPr="005A55AF">
        <w:rPr>
          <w:rFonts w:ascii="Arial" w:hAnsi="Arial" w:cs="Arial"/>
          <w:sz w:val="20"/>
          <w:szCs w:val="20"/>
        </w:rPr>
        <w:t>). Additional parameters such as elimination half-life (t½) and elimination rate constant (Ke) were also determined.</w:t>
      </w:r>
      <w:r w:rsidR="00FF263F" w:rsidRPr="005A55AF">
        <w:rPr>
          <w:rFonts w:ascii="Arial" w:hAnsi="Arial" w:cs="Arial"/>
          <w:sz w:val="20"/>
          <w:szCs w:val="20"/>
        </w:rPr>
        <w:t xml:space="preserve"> </w:t>
      </w:r>
      <w:r w:rsidRPr="005A55AF">
        <w:rPr>
          <w:rFonts w:ascii="Arial" w:hAnsi="Arial" w:cs="Arial"/>
          <w:sz w:val="20"/>
          <w:szCs w:val="20"/>
        </w:rPr>
        <w:t>Bioequivalence between the floating</w:t>
      </w:r>
      <w:r w:rsidR="00FF263F" w:rsidRPr="005A55AF">
        <w:rPr>
          <w:rFonts w:ascii="Arial" w:hAnsi="Arial" w:cs="Arial"/>
          <w:sz w:val="20"/>
          <w:szCs w:val="20"/>
        </w:rPr>
        <w:t>/</w:t>
      </w:r>
      <w:r w:rsidRPr="005A55AF">
        <w:rPr>
          <w:rFonts w:ascii="Arial" w:hAnsi="Arial" w:cs="Arial"/>
          <w:sz w:val="20"/>
          <w:szCs w:val="20"/>
        </w:rPr>
        <w:t>non-floating formulation</w:t>
      </w:r>
      <w:r w:rsidR="00FF263F" w:rsidRPr="005A55AF">
        <w:rPr>
          <w:rFonts w:ascii="Arial" w:hAnsi="Arial" w:cs="Arial"/>
          <w:sz w:val="20"/>
          <w:szCs w:val="20"/>
        </w:rPr>
        <w:t xml:space="preserve"> versus RLD</w:t>
      </w:r>
      <w:r w:rsidRPr="005A55AF">
        <w:rPr>
          <w:rFonts w:ascii="Arial" w:hAnsi="Arial" w:cs="Arial"/>
          <w:sz w:val="20"/>
          <w:szCs w:val="20"/>
        </w:rPr>
        <w:t xml:space="preserve"> was assessed by statistical comparison of log-transformed C</w:t>
      </w:r>
      <w:r w:rsidRPr="005A55AF">
        <w:rPr>
          <w:rFonts w:ascii="Arial" w:hAnsi="Arial" w:cs="Arial"/>
          <w:sz w:val="20"/>
          <w:szCs w:val="20"/>
          <w:vertAlign w:val="subscript"/>
        </w:rPr>
        <w:t>max</w:t>
      </w:r>
      <w:r w:rsidRPr="005A55AF">
        <w:rPr>
          <w:rFonts w:ascii="Arial" w:hAnsi="Arial" w:cs="Arial"/>
          <w:sz w:val="20"/>
          <w:szCs w:val="20"/>
        </w:rPr>
        <w:t>, AUC</w:t>
      </w:r>
      <w:r w:rsidRPr="005A55AF">
        <w:rPr>
          <w:rFonts w:ascii="Arial" w:hAnsi="Arial" w:cs="Arial"/>
          <w:sz w:val="20"/>
          <w:szCs w:val="20"/>
          <w:vertAlign w:val="subscript"/>
        </w:rPr>
        <w:t>0–t</w:t>
      </w:r>
      <w:r w:rsidRPr="005A55AF">
        <w:rPr>
          <w:rFonts w:ascii="Arial" w:hAnsi="Arial" w:cs="Arial"/>
          <w:sz w:val="20"/>
          <w:szCs w:val="20"/>
        </w:rPr>
        <w:t>, and AUC</w:t>
      </w:r>
      <w:r w:rsidRPr="005A55AF">
        <w:rPr>
          <w:rFonts w:ascii="Arial" w:hAnsi="Arial" w:cs="Arial"/>
          <w:sz w:val="20"/>
          <w:szCs w:val="20"/>
          <w:vertAlign w:val="subscript"/>
        </w:rPr>
        <w:t>0–∞</w:t>
      </w:r>
      <w:r w:rsidRPr="005A55AF">
        <w:rPr>
          <w:rFonts w:ascii="Arial" w:hAnsi="Arial" w:cs="Arial"/>
          <w:sz w:val="20"/>
          <w:szCs w:val="20"/>
        </w:rPr>
        <w:t xml:space="preserve"> values using analysis of variance (ANOVA). The 90% confidence intervals (CIs) for the geometric mean ratios (test/reference) were calculated. Bioequivalence was concluded if the 90% CIs for the primary pharmacokinetic parameters fell within the predefined acceptance range of 80.00%–125.00%.</w:t>
      </w:r>
    </w:p>
    <w:p w14:paraId="45AEE014" w14:textId="77777777" w:rsidR="00AC0E2C" w:rsidRPr="005A55AF" w:rsidRDefault="00AC0E2C" w:rsidP="005A55AF">
      <w:pPr>
        <w:pStyle w:val="NormalWeb"/>
        <w:spacing w:before="0" w:beforeAutospacing="0" w:after="0" w:afterAutospacing="0"/>
        <w:jc w:val="both"/>
        <w:rPr>
          <w:rFonts w:ascii="Arial" w:hAnsi="Arial" w:cs="Arial"/>
          <w:sz w:val="20"/>
          <w:szCs w:val="20"/>
        </w:rPr>
      </w:pPr>
    </w:p>
    <w:p w14:paraId="71F60DCF" w14:textId="174ED795" w:rsidR="000342B3" w:rsidRPr="00AC0E2C" w:rsidRDefault="00AC0E2C" w:rsidP="00AC0E2C">
      <w:pPr>
        <w:pStyle w:val="Heading1"/>
        <w:numPr>
          <w:ilvl w:val="0"/>
          <w:numId w:val="2"/>
        </w:numPr>
        <w:spacing w:before="0" w:line="240" w:lineRule="auto"/>
        <w:ind w:left="284" w:hanging="284"/>
        <w:jc w:val="both"/>
        <w:rPr>
          <w:rFonts w:ascii="Arial" w:eastAsia="Times New Roman" w:hAnsi="Arial" w:cs="Arial"/>
          <w:b/>
          <w:color w:val="000000" w:themeColor="text1"/>
          <w:sz w:val="22"/>
          <w:szCs w:val="22"/>
          <w:lang w:eastAsia="en-IN"/>
        </w:rPr>
      </w:pPr>
      <w:r w:rsidRPr="00AC0E2C">
        <w:rPr>
          <w:rFonts w:ascii="Arial" w:hAnsi="Arial" w:cs="Arial"/>
          <w:b/>
          <w:color w:val="000000" w:themeColor="text1"/>
          <w:sz w:val="22"/>
          <w:szCs w:val="22"/>
        </w:rPr>
        <w:t>RESULTS</w:t>
      </w:r>
      <w:r w:rsidRPr="00AC0E2C">
        <w:rPr>
          <w:rFonts w:ascii="Arial" w:eastAsia="Times New Roman" w:hAnsi="Arial" w:cs="Arial"/>
          <w:b/>
          <w:color w:val="000000" w:themeColor="text1"/>
          <w:sz w:val="22"/>
          <w:szCs w:val="22"/>
          <w:lang w:eastAsia="en-IN"/>
        </w:rPr>
        <w:t xml:space="preserve"> AND DISCUSSION</w:t>
      </w:r>
    </w:p>
    <w:p w14:paraId="3C5D4AFB" w14:textId="77777777" w:rsidR="00AC0E2C" w:rsidRDefault="00AC0E2C" w:rsidP="005A55AF">
      <w:pPr>
        <w:pStyle w:val="NormalWeb"/>
        <w:spacing w:before="0" w:beforeAutospacing="0" w:after="0" w:afterAutospacing="0"/>
        <w:jc w:val="both"/>
        <w:rPr>
          <w:rFonts w:ascii="Arial" w:hAnsi="Arial" w:cs="Arial"/>
          <w:sz w:val="20"/>
          <w:szCs w:val="20"/>
        </w:rPr>
      </w:pPr>
    </w:p>
    <w:p w14:paraId="077CAD19" w14:textId="1AD5F6B7" w:rsidR="000342B3" w:rsidRPr="005A55AF" w:rsidRDefault="000342B3"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 xml:space="preserve">Metformin HCl floating and non-floating controlled-release tablets were successfully developed using </w:t>
      </w:r>
      <w:r w:rsidR="00F548EC" w:rsidRPr="00F548EC">
        <w:rPr>
          <w:rFonts w:ascii="Arial" w:hAnsi="Arial" w:cs="Arial"/>
          <w:sz w:val="20"/>
          <w:szCs w:val="20"/>
        </w:rPr>
        <w:t>low-shear fluid-bed top-spray granulation approach</w:t>
      </w:r>
      <w:r w:rsidRPr="005A55AF">
        <w:rPr>
          <w:rFonts w:ascii="Arial" w:hAnsi="Arial" w:cs="Arial"/>
          <w:sz w:val="20"/>
          <w:szCs w:val="20"/>
        </w:rPr>
        <w:t xml:space="preserve">. The optimized granulation parameters enabled consistent binder distribution, uniform granule growth, and reproducible drying profiles for both formulations. The influence of binder viscosity on granule characteristics, tablet properties, and functional performance was critically evaluated. Granules prepared with high-viscosity polyvinyl alcohol (PVA 40 cps) exhibited superior cohesiveness and structural integrity compared to those prepared with low-viscosity PVA (3 cps). The higher-viscosity binder generated stronger interparticulate bridges during granulation, resulting in denser and more uniformly sized granules. Consequently, these granules demonstrated improved flow properties, as evidenced by </w:t>
      </w:r>
      <w:r w:rsidR="00CB4F5D">
        <w:rPr>
          <w:rFonts w:ascii="Arial" w:hAnsi="Arial" w:cs="Arial"/>
          <w:sz w:val="20"/>
          <w:szCs w:val="20"/>
        </w:rPr>
        <w:t>flow properties</w:t>
      </w:r>
      <w:r w:rsidRPr="005A55AF">
        <w:rPr>
          <w:rFonts w:ascii="Arial" w:hAnsi="Arial" w:cs="Arial"/>
          <w:sz w:val="20"/>
          <w:szCs w:val="20"/>
        </w:rPr>
        <w:t xml:space="preserve"> and compressibility index values </w:t>
      </w:r>
      <w:r w:rsidR="009C7264">
        <w:rPr>
          <w:rFonts w:ascii="Arial" w:hAnsi="Arial" w:cs="Arial"/>
          <w:sz w:val="20"/>
          <w:szCs w:val="20"/>
        </w:rPr>
        <w:t xml:space="preserve">in </w:t>
      </w:r>
      <w:r w:rsidRPr="009C7264">
        <w:rPr>
          <w:rFonts w:ascii="Arial" w:hAnsi="Arial" w:cs="Arial"/>
          <w:b/>
          <w:sz w:val="20"/>
          <w:szCs w:val="20"/>
        </w:rPr>
        <w:t>Table</w:t>
      </w:r>
      <w:r w:rsidR="009C7264" w:rsidRPr="009C7264">
        <w:rPr>
          <w:rFonts w:ascii="Arial" w:hAnsi="Arial" w:cs="Arial"/>
          <w:b/>
          <w:sz w:val="20"/>
          <w:szCs w:val="20"/>
        </w:rPr>
        <w:t xml:space="preserve"> </w:t>
      </w:r>
      <w:r w:rsidRPr="009C7264">
        <w:rPr>
          <w:rFonts w:ascii="Arial" w:hAnsi="Arial" w:cs="Arial"/>
          <w:b/>
          <w:sz w:val="20"/>
          <w:szCs w:val="20"/>
        </w:rPr>
        <w:t>1</w:t>
      </w:r>
      <w:r w:rsidRPr="005A55AF">
        <w:rPr>
          <w:rFonts w:ascii="Arial" w:hAnsi="Arial" w:cs="Arial"/>
          <w:sz w:val="20"/>
          <w:szCs w:val="20"/>
        </w:rPr>
        <w:t>. In contrast, granules produced using low-viscosity PVA (MTH</w:t>
      </w:r>
      <w:r w:rsidR="006E6DD4">
        <w:rPr>
          <w:rFonts w:ascii="Arial" w:hAnsi="Arial" w:cs="Arial"/>
          <w:sz w:val="20"/>
          <w:szCs w:val="20"/>
        </w:rPr>
        <w:t>1</w:t>
      </w:r>
      <w:r w:rsidR="000922B6">
        <w:rPr>
          <w:rFonts w:ascii="Arial" w:hAnsi="Arial" w:cs="Arial"/>
          <w:sz w:val="20"/>
          <w:szCs w:val="20"/>
        </w:rPr>
        <w:t xml:space="preserve"> &amp; MTH2</w:t>
      </w:r>
      <w:r w:rsidRPr="005A55AF">
        <w:rPr>
          <w:rFonts w:ascii="Arial" w:hAnsi="Arial" w:cs="Arial"/>
          <w:sz w:val="20"/>
          <w:szCs w:val="20"/>
        </w:rPr>
        <w:t xml:space="preserve">) required a higher spray rate to achieve adequate agglomeration, which led to comparatively weaker granule strength and broader particle size distribution. Although acceptable flow was achieved after milling and sieving, the mechanical robustness of these granules was relatively lower than that of the high-viscosity formulation. The improved granule characteristics of the high-viscosity PVA (MTH3) system translated into enhanced tablet performance. Tablets prepared with PVA 40 cps showed higher hardness, lower friability, and superior dimensional uniformity, indicating efficient die filling and compression behavior. These findings suggest that the increased viscosity of the binder contributed to stronger matrix formation and improved mechanical integrity during compaction. For the non-floating formulation, incorporation of </w:t>
      </w:r>
      <w:r w:rsidR="00DE767F">
        <w:rPr>
          <w:rFonts w:ascii="Arial" w:hAnsi="Arial" w:cs="Arial"/>
          <w:sz w:val="20"/>
          <w:szCs w:val="20"/>
        </w:rPr>
        <w:t>Methocel</w:t>
      </w:r>
      <w:r w:rsidRPr="005A55AF">
        <w:rPr>
          <w:rFonts w:ascii="Arial" w:hAnsi="Arial" w:cs="Arial"/>
          <w:sz w:val="20"/>
          <w:szCs w:val="20"/>
        </w:rPr>
        <w:t xml:space="preserve"> K100M during blending facilitated the formation of a hydrophilic gel matrix upon hydration, enabling controlled drug release. The absence of a coating layer in this formulation allowed direct interaction between the hydrated matrix and dissolution medium, resulting in a diffusion- and erosion-controlled release mechanism. In contrast, the floating tablets relied primarily on the high-viscosity PVA matrix in combination with an external coating of Eudragit NE 30D. The aqueous dispersion coating, applied at optimized weight gains, formed a semi-permeable polymeric film that modulated water ingress and drug diffusion. The coating also reduced tablet density and contributed to buoyancy behavior (MTH3). The combined effect of a cohesive internal matrix and controlled permeability of the outer coating enabled sustained drug release while maintaining gastric retention potential. Only the PVA 40 cps-based tablets subjected to Eudragit NE 30D coating demonstrated reproducible floating characteristics. The optimized coating level provided rapid floating onset with prolonged buoyancy duration, indicating adequate density reduction and matrix stability in simulated gastric conditions. The non-floating tablets, prepared with low-viscosity PVA and </w:t>
      </w:r>
      <w:r w:rsidR="00DE767F">
        <w:rPr>
          <w:rFonts w:ascii="Arial" w:hAnsi="Arial" w:cs="Arial"/>
          <w:sz w:val="20"/>
          <w:szCs w:val="20"/>
        </w:rPr>
        <w:t>Methocel</w:t>
      </w:r>
      <w:r w:rsidRPr="005A55AF">
        <w:rPr>
          <w:rFonts w:ascii="Arial" w:hAnsi="Arial" w:cs="Arial"/>
          <w:sz w:val="20"/>
          <w:szCs w:val="20"/>
        </w:rPr>
        <w:t xml:space="preserve"> K100M, remained submerged throughout the study, confirming the effectiveness of formulation strategy in differentiating floating and non-floating systems. Collectively, these findings establish the critical role of binder viscosity and post-compression coating in modulating matrix architecture, buoyancy behavior, and drug release performance in controlled-release Metformin HCl tablet formulations.</w:t>
      </w:r>
    </w:p>
    <w:p w14:paraId="550944F7" w14:textId="62124FBB" w:rsidR="00AC0E2C" w:rsidRDefault="00AC0E2C">
      <w:pPr>
        <w:rPr>
          <w:rFonts w:ascii="Arial" w:eastAsia="Times New Roman" w:hAnsi="Arial" w:cs="Arial"/>
          <w:b/>
          <w:sz w:val="20"/>
          <w:szCs w:val="20"/>
          <w:lang w:eastAsia="en-IN"/>
        </w:rPr>
      </w:pPr>
      <w:r>
        <w:rPr>
          <w:rFonts w:ascii="Arial" w:eastAsia="Times New Roman" w:hAnsi="Arial" w:cs="Arial"/>
          <w:b/>
          <w:sz w:val="20"/>
          <w:szCs w:val="20"/>
          <w:lang w:eastAsia="en-IN"/>
        </w:rPr>
        <w:br w:type="page"/>
      </w:r>
    </w:p>
    <w:p w14:paraId="5FA78A00" w14:textId="1AAC3688" w:rsidR="000342B3" w:rsidRDefault="000342B3" w:rsidP="005A55AF">
      <w:pPr>
        <w:spacing w:after="0" w:line="240" w:lineRule="auto"/>
        <w:jc w:val="both"/>
        <w:rPr>
          <w:rFonts w:ascii="Arial" w:hAnsi="Arial" w:cs="Arial"/>
          <w:b/>
          <w:sz w:val="20"/>
          <w:szCs w:val="20"/>
        </w:rPr>
      </w:pPr>
      <w:r w:rsidRPr="00AC0E2C">
        <w:rPr>
          <w:rFonts w:ascii="Arial" w:eastAsia="Times New Roman" w:hAnsi="Arial" w:cs="Arial"/>
          <w:b/>
          <w:sz w:val="20"/>
          <w:szCs w:val="20"/>
          <w:lang w:eastAsia="en-IN"/>
        </w:rPr>
        <w:lastRenderedPageBreak/>
        <w:t>Table 1</w:t>
      </w:r>
      <w:r w:rsidR="00AC0E2C" w:rsidRPr="00AC0E2C">
        <w:rPr>
          <w:rFonts w:ascii="Arial" w:eastAsia="Times New Roman" w:hAnsi="Arial" w:cs="Arial"/>
          <w:b/>
          <w:sz w:val="20"/>
          <w:szCs w:val="20"/>
          <w:lang w:eastAsia="en-IN"/>
        </w:rPr>
        <w:t>.</w:t>
      </w:r>
      <w:r w:rsidRPr="00AC0E2C">
        <w:rPr>
          <w:rFonts w:ascii="Arial" w:eastAsia="Times New Roman" w:hAnsi="Arial" w:cs="Arial"/>
          <w:b/>
          <w:sz w:val="20"/>
          <w:szCs w:val="20"/>
          <w:lang w:eastAsia="en-IN"/>
        </w:rPr>
        <w:t xml:space="preserve"> </w:t>
      </w:r>
      <w:r w:rsidRPr="00AC0E2C">
        <w:rPr>
          <w:rFonts w:ascii="Arial" w:hAnsi="Arial" w:cs="Arial"/>
          <w:b/>
          <w:sz w:val="20"/>
          <w:szCs w:val="20"/>
        </w:rPr>
        <w:t>Comparative physicochemical evaluation of lubricated blend and finished tablets</w:t>
      </w:r>
    </w:p>
    <w:p w14:paraId="5BB4B44E" w14:textId="77777777" w:rsidR="00AC0E2C" w:rsidRPr="00AC0E2C" w:rsidRDefault="00AC0E2C" w:rsidP="005A55AF">
      <w:pPr>
        <w:spacing w:after="0" w:line="240" w:lineRule="auto"/>
        <w:jc w:val="both"/>
        <w:rPr>
          <w:rFonts w:ascii="Arial" w:eastAsia="Times New Roman" w:hAnsi="Arial" w:cs="Arial"/>
          <w:b/>
          <w:sz w:val="20"/>
          <w:szCs w:val="20"/>
          <w:lang w:eastAsia="en-I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961"/>
        <w:gridCol w:w="1105"/>
        <w:gridCol w:w="1019"/>
        <w:gridCol w:w="1090"/>
        <w:gridCol w:w="1028"/>
        <w:gridCol w:w="1028"/>
        <w:gridCol w:w="1028"/>
      </w:tblGrid>
      <w:tr w:rsidR="000342B3" w:rsidRPr="00697F85" w14:paraId="2C6D6D1A" w14:textId="77777777" w:rsidTr="000922B6">
        <w:trPr>
          <w:trHeight w:val="226"/>
          <w:tblHeader/>
          <w:jc w:val="center"/>
        </w:trPr>
        <w:tc>
          <w:tcPr>
            <w:tcW w:w="1838" w:type="dxa"/>
            <w:shd w:val="pct20" w:color="auto" w:fill="auto"/>
            <w:vAlign w:val="center"/>
          </w:tcPr>
          <w:p w14:paraId="39660CC6" w14:textId="77777777" w:rsidR="000342B3" w:rsidRPr="00697F85" w:rsidRDefault="000342B3" w:rsidP="00920924">
            <w:pPr>
              <w:pStyle w:val="NormalBody"/>
              <w:spacing w:after="0" w:line="240" w:lineRule="auto"/>
              <w:jc w:val="center"/>
              <w:rPr>
                <w:rFonts w:ascii="Arial" w:hAnsi="Arial" w:cs="Arial"/>
                <w:b/>
                <w:sz w:val="20"/>
              </w:rPr>
            </w:pPr>
            <w:r w:rsidRPr="00697F85">
              <w:rPr>
                <w:rFonts w:ascii="Arial" w:hAnsi="Arial" w:cs="Arial"/>
                <w:b/>
                <w:sz w:val="20"/>
              </w:rPr>
              <w:t>TEST</w:t>
            </w:r>
          </w:p>
        </w:tc>
        <w:tc>
          <w:tcPr>
            <w:tcW w:w="918" w:type="dxa"/>
            <w:shd w:val="pct20" w:color="auto" w:fill="auto"/>
            <w:vAlign w:val="center"/>
          </w:tcPr>
          <w:p w14:paraId="1B04DB8D" w14:textId="77777777" w:rsidR="000342B3" w:rsidRPr="00697F85" w:rsidRDefault="000342B3" w:rsidP="00920924">
            <w:pPr>
              <w:spacing w:after="0" w:line="240" w:lineRule="auto"/>
              <w:jc w:val="center"/>
              <w:rPr>
                <w:rFonts w:ascii="Arial" w:hAnsi="Arial" w:cs="Arial"/>
                <w:b/>
                <w:bCs/>
                <w:color w:val="000000"/>
                <w:sz w:val="20"/>
                <w:szCs w:val="20"/>
              </w:rPr>
            </w:pPr>
            <w:r w:rsidRPr="00697F85">
              <w:rPr>
                <w:rFonts w:ascii="Arial" w:hAnsi="Arial" w:cs="Arial"/>
                <w:b/>
                <w:bCs/>
                <w:color w:val="000000"/>
                <w:sz w:val="20"/>
                <w:szCs w:val="20"/>
              </w:rPr>
              <w:t>MTH1</w:t>
            </w:r>
          </w:p>
        </w:tc>
        <w:tc>
          <w:tcPr>
            <w:tcW w:w="1111" w:type="dxa"/>
            <w:shd w:val="pct20" w:color="auto" w:fill="auto"/>
            <w:vAlign w:val="center"/>
          </w:tcPr>
          <w:p w14:paraId="24677EF9" w14:textId="77777777" w:rsidR="000342B3" w:rsidRPr="00697F85" w:rsidRDefault="000342B3" w:rsidP="00920924">
            <w:pPr>
              <w:spacing w:after="0" w:line="240" w:lineRule="auto"/>
              <w:jc w:val="center"/>
              <w:rPr>
                <w:rFonts w:ascii="Arial" w:hAnsi="Arial" w:cs="Arial"/>
                <w:b/>
                <w:bCs/>
                <w:color w:val="000000"/>
                <w:sz w:val="20"/>
                <w:szCs w:val="20"/>
              </w:rPr>
            </w:pPr>
            <w:r w:rsidRPr="00697F85">
              <w:rPr>
                <w:rFonts w:ascii="Arial" w:hAnsi="Arial" w:cs="Arial"/>
                <w:b/>
                <w:bCs/>
                <w:color w:val="000000"/>
                <w:sz w:val="20"/>
                <w:szCs w:val="20"/>
              </w:rPr>
              <w:t>MTH2</w:t>
            </w:r>
          </w:p>
        </w:tc>
        <w:tc>
          <w:tcPr>
            <w:tcW w:w="1021" w:type="dxa"/>
            <w:shd w:val="pct20" w:color="auto" w:fill="auto"/>
            <w:vAlign w:val="center"/>
          </w:tcPr>
          <w:p w14:paraId="317EECA0" w14:textId="77777777" w:rsidR="000342B3" w:rsidRPr="00697F85" w:rsidRDefault="000342B3" w:rsidP="00920924">
            <w:pPr>
              <w:spacing w:after="0" w:line="240" w:lineRule="auto"/>
              <w:jc w:val="center"/>
              <w:rPr>
                <w:rFonts w:ascii="Arial" w:hAnsi="Arial" w:cs="Arial"/>
                <w:b/>
                <w:bCs/>
                <w:color w:val="000000"/>
                <w:sz w:val="20"/>
                <w:szCs w:val="20"/>
              </w:rPr>
            </w:pPr>
            <w:r w:rsidRPr="00697F85">
              <w:rPr>
                <w:rFonts w:ascii="Arial" w:hAnsi="Arial" w:cs="Arial"/>
                <w:b/>
                <w:bCs/>
                <w:color w:val="000000"/>
                <w:sz w:val="20"/>
                <w:szCs w:val="20"/>
              </w:rPr>
              <w:t>MTH3</w:t>
            </w:r>
          </w:p>
        </w:tc>
        <w:tc>
          <w:tcPr>
            <w:tcW w:w="1095" w:type="dxa"/>
            <w:shd w:val="pct20" w:color="auto" w:fill="auto"/>
            <w:vAlign w:val="center"/>
          </w:tcPr>
          <w:p w14:paraId="6D488B9E" w14:textId="6A77D912" w:rsidR="000342B3" w:rsidRPr="00697F85" w:rsidRDefault="000342B3" w:rsidP="00920924">
            <w:pPr>
              <w:spacing w:after="0" w:line="240" w:lineRule="auto"/>
              <w:jc w:val="center"/>
              <w:rPr>
                <w:rFonts w:ascii="Arial" w:hAnsi="Arial" w:cs="Arial"/>
                <w:b/>
                <w:bCs/>
                <w:color w:val="000000"/>
                <w:sz w:val="20"/>
                <w:szCs w:val="20"/>
              </w:rPr>
            </w:pPr>
            <w:r w:rsidRPr="00697F85">
              <w:rPr>
                <w:rFonts w:ascii="Arial" w:hAnsi="Arial" w:cs="Arial"/>
                <w:b/>
                <w:bCs/>
                <w:color w:val="000000"/>
                <w:sz w:val="20"/>
                <w:szCs w:val="20"/>
              </w:rPr>
              <w:t>MTH4</w:t>
            </w:r>
            <w:r w:rsidR="005E3D43" w:rsidRPr="00CB4F5D">
              <w:rPr>
                <w:rFonts w:ascii="Arial" w:hAnsi="Arial" w:cs="Arial"/>
                <w:b/>
                <w:bCs/>
                <w:color w:val="000000"/>
                <w:sz w:val="20"/>
                <w:szCs w:val="20"/>
                <w:vertAlign w:val="superscript"/>
              </w:rPr>
              <w:t>#</w:t>
            </w:r>
          </w:p>
        </w:tc>
        <w:tc>
          <w:tcPr>
            <w:tcW w:w="1028" w:type="dxa"/>
            <w:shd w:val="pct20" w:color="auto" w:fill="auto"/>
            <w:vAlign w:val="center"/>
          </w:tcPr>
          <w:p w14:paraId="13210FE8" w14:textId="77777777" w:rsidR="000342B3" w:rsidRPr="00697F85" w:rsidRDefault="000342B3" w:rsidP="00920924">
            <w:pPr>
              <w:spacing w:after="0" w:line="240" w:lineRule="auto"/>
              <w:jc w:val="center"/>
              <w:rPr>
                <w:rFonts w:ascii="Arial" w:hAnsi="Arial" w:cs="Arial"/>
                <w:b/>
                <w:bCs/>
                <w:color w:val="000000"/>
                <w:sz w:val="20"/>
                <w:szCs w:val="20"/>
              </w:rPr>
            </w:pPr>
            <w:r w:rsidRPr="00697F85">
              <w:rPr>
                <w:rFonts w:ascii="Arial" w:hAnsi="Arial" w:cs="Arial"/>
                <w:b/>
                <w:bCs/>
                <w:color w:val="000000"/>
                <w:sz w:val="20"/>
                <w:szCs w:val="20"/>
              </w:rPr>
              <w:t>MTH5</w:t>
            </w:r>
          </w:p>
        </w:tc>
        <w:tc>
          <w:tcPr>
            <w:tcW w:w="1028" w:type="dxa"/>
            <w:shd w:val="pct20" w:color="auto" w:fill="auto"/>
            <w:vAlign w:val="center"/>
          </w:tcPr>
          <w:p w14:paraId="766BF325" w14:textId="77777777" w:rsidR="000342B3" w:rsidRPr="00697F85" w:rsidRDefault="000342B3" w:rsidP="00920924">
            <w:pPr>
              <w:spacing w:after="0" w:line="240" w:lineRule="auto"/>
              <w:jc w:val="center"/>
              <w:rPr>
                <w:rFonts w:ascii="Arial" w:hAnsi="Arial" w:cs="Arial"/>
                <w:b/>
                <w:bCs/>
                <w:color w:val="000000"/>
                <w:sz w:val="20"/>
                <w:szCs w:val="20"/>
              </w:rPr>
            </w:pPr>
            <w:r w:rsidRPr="00697F85">
              <w:rPr>
                <w:rFonts w:ascii="Arial" w:hAnsi="Arial" w:cs="Arial"/>
                <w:b/>
                <w:bCs/>
                <w:color w:val="000000"/>
                <w:sz w:val="20"/>
                <w:szCs w:val="20"/>
              </w:rPr>
              <w:t>MTH6</w:t>
            </w:r>
          </w:p>
        </w:tc>
        <w:tc>
          <w:tcPr>
            <w:tcW w:w="1028" w:type="dxa"/>
            <w:shd w:val="pct20" w:color="auto" w:fill="auto"/>
            <w:vAlign w:val="center"/>
          </w:tcPr>
          <w:p w14:paraId="265BD7AA" w14:textId="77777777" w:rsidR="000342B3" w:rsidRPr="00697F85" w:rsidRDefault="000342B3" w:rsidP="00920924">
            <w:pPr>
              <w:spacing w:after="0" w:line="240" w:lineRule="auto"/>
              <w:jc w:val="center"/>
              <w:rPr>
                <w:rFonts w:ascii="Arial" w:hAnsi="Arial" w:cs="Arial"/>
                <w:b/>
                <w:bCs/>
                <w:color w:val="000000"/>
                <w:sz w:val="20"/>
                <w:szCs w:val="20"/>
              </w:rPr>
            </w:pPr>
            <w:r w:rsidRPr="00697F85">
              <w:rPr>
                <w:rFonts w:ascii="Arial" w:hAnsi="Arial" w:cs="Arial"/>
                <w:b/>
                <w:bCs/>
                <w:color w:val="000000"/>
                <w:sz w:val="20"/>
                <w:szCs w:val="20"/>
              </w:rPr>
              <w:t>MTH7</w:t>
            </w:r>
          </w:p>
        </w:tc>
      </w:tr>
      <w:tr w:rsidR="000342B3" w:rsidRPr="00697F85" w14:paraId="3A659B64" w14:textId="77777777" w:rsidTr="000922B6">
        <w:trPr>
          <w:trHeight w:val="146"/>
          <w:jc w:val="center"/>
        </w:trPr>
        <w:tc>
          <w:tcPr>
            <w:tcW w:w="1838" w:type="dxa"/>
            <w:vAlign w:val="center"/>
          </w:tcPr>
          <w:p w14:paraId="7CFF37D6" w14:textId="77777777" w:rsidR="000342B3" w:rsidRPr="00697F85" w:rsidRDefault="000342B3" w:rsidP="005A55AF">
            <w:pPr>
              <w:pStyle w:val="NormalBody"/>
              <w:spacing w:after="0" w:line="240" w:lineRule="auto"/>
              <w:rPr>
                <w:rFonts w:ascii="Arial" w:hAnsi="Arial" w:cs="Arial"/>
                <w:sz w:val="20"/>
              </w:rPr>
            </w:pPr>
            <w:r w:rsidRPr="00697F85">
              <w:rPr>
                <w:rFonts w:ascii="Arial" w:hAnsi="Arial" w:cs="Arial"/>
                <w:sz w:val="20"/>
              </w:rPr>
              <w:t>Binder type</w:t>
            </w:r>
          </w:p>
        </w:tc>
        <w:tc>
          <w:tcPr>
            <w:tcW w:w="918" w:type="dxa"/>
            <w:vAlign w:val="center"/>
          </w:tcPr>
          <w:p w14:paraId="660E1230" w14:textId="77777777" w:rsidR="000342B3" w:rsidRPr="00920924" w:rsidRDefault="000342B3" w:rsidP="005A55AF">
            <w:pPr>
              <w:pStyle w:val="NormalBody"/>
              <w:spacing w:after="0" w:line="240" w:lineRule="auto"/>
              <w:jc w:val="center"/>
              <w:rPr>
                <w:rFonts w:ascii="Arial" w:hAnsi="Arial" w:cs="Arial"/>
                <w:bCs/>
                <w:color w:val="000000"/>
                <w:sz w:val="20"/>
              </w:rPr>
            </w:pPr>
            <w:r w:rsidRPr="00920924">
              <w:rPr>
                <w:rFonts w:ascii="Arial" w:hAnsi="Arial" w:cs="Arial"/>
                <w:bCs/>
                <w:color w:val="000000"/>
                <w:sz w:val="20"/>
              </w:rPr>
              <w:t>(PVA 3 cp)</w:t>
            </w:r>
          </w:p>
        </w:tc>
        <w:tc>
          <w:tcPr>
            <w:tcW w:w="1111" w:type="dxa"/>
            <w:vAlign w:val="center"/>
          </w:tcPr>
          <w:p w14:paraId="44DCA89C" w14:textId="77777777" w:rsidR="000342B3" w:rsidRPr="00920924" w:rsidRDefault="000342B3" w:rsidP="005A55AF">
            <w:pPr>
              <w:pStyle w:val="NormalBody"/>
              <w:spacing w:after="0" w:line="240" w:lineRule="auto"/>
              <w:jc w:val="center"/>
              <w:rPr>
                <w:rFonts w:ascii="Arial" w:hAnsi="Arial" w:cs="Arial"/>
                <w:bCs/>
                <w:color w:val="000000"/>
                <w:sz w:val="20"/>
              </w:rPr>
            </w:pPr>
            <w:r w:rsidRPr="00920924">
              <w:rPr>
                <w:rFonts w:ascii="Arial" w:hAnsi="Arial" w:cs="Arial"/>
                <w:bCs/>
                <w:color w:val="000000"/>
                <w:sz w:val="20"/>
              </w:rPr>
              <w:t>(PVA 20-50 cp)</w:t>
            </w:r>
          </w:p>
        </w:tc>
        <w:tc>
          <w:tcPr>
            <w:tcW w:w="1021" w:type="dxa"/>
            <w:vAlign w:val="center"/>
          </w:tcPr>
          <w:p w14:paraId="603D3519" w14:textId="77777777" w:rsidR="000342B3" w:rsidRPr="00920924" w:rsidRDefault="000342B3" w:rsidP="005A55AF">
            <w:pPr>
              <w:pStyle w:val="NormalBody"/>
              <w:spacing w:after="0" w:line="240" w:lineRule="auto"/>
              <w:jc w:val="center"/>
              <w:rPr>
                <w:rFonts w:ascii="Arial" w:hAnsi="Arial" w:cs="Arial"/>
                <w:bCs/>
                <w:color w:val="000000"/>
                <w:sz w:val="20"/>
              </w:rPr>
            </w:pPr>
            <w:r w:rsidRPr="00920924">
              <w:rPr>
                <w:rFonts w:ascii="Arial" w:hAnsi="Arial" w:cs="Arial"/>
                <w:bCs/>
                <w:color w:val="000000"/>
                <w:sz w:val="20"/>
              </w:rPr>
              <w:t>(PVA 40 cp)</w:t>
            </w:r>
          </w:p>
        </w:tc>
        <w:tc>
          <w:tcPr>
            <w:tcW w:w="1095" w:type="dxa"/>
          </w:tcPr>
          <w:p w14:paraId="272AE46A" w14:textId="6C76487E" w:rsidR="000342B3" w:rsidRPr="00920924" w:rsidRDefault="000342B3" w:rsidP="005A55AF">
            <w:pPr>
              <w:pStyle w:val="NormalBody"/>
              <w:spacing w:after="0" w:line="240" w:lineRule="auto"/>
              <w:jc w:val="center"/>
              <w:rPr>
                <w:rFonts w:ascii="Arial" w:hAnsi="Arial" w:cs="Arial"/>
                <w:bCs/>
                <w:color w:val="000000"/>
                <w:sz w:val="20"/>
              </w:rPr>
            </w:pPr>
            <w:r w:rsidRPr="00920924">
              <w:rPr>
                <w:rFonts w:ascii="Arial" w:hAnsi="Arial" w:cs="Arial"/>
                <w:bCs/>
                <w:color w:val="000000"/>
                <w:sz w:val="20"/>
              </w:rPr>
              <w:t>(PVA 40 cp)</w:t>
            </w:r>
          </w:p>
        </w:tc>
        <w:tc>
          <w:tcPr>
            <w:tcW w:w="1028" w:type="dxa"/>
          </w:tcPr>
          <w:p w14:paraId="3389724D" w14:textId="61161BC3" w:rsidR="000342B3" w:rsidRPr="00920924" w:rsidRDefault="000342B3" w:rsidP="005A55AF">
            <w:pPr>
              <w:pStyle w:val="NormalBody"/>
              <w:spacing w:after="0" w:line="240" w:lineRule="auto"/>
              <w:jc w:val="center"/>
              <w:rPr>
                <w:rFonts w:ascii="Arial" w:hAnsi="Arial" w:cs="Arial"/>
                <w:bCs/>
                <w:color w:val="000000"/>
                <w:sz w:val="20"/>
              </w:rPr>
            </w:pPr>
            <w:r w:rsidRPr="00920924">
              <w:rPr>
                <w:rFonts w:ascii="Arial" w:hAnsi="Arial" w:cs="Arial"/>
                <w:bCs/>
                <w:color w:val="000000"/>
                <w:sz w:val="20"/>
              </w:rPr>
              <w:t xml:space="preserve">(PVA 3 cp) </w:t>
            </w:r>
          </w:p>
          <w:p w14:paraId="3AF2CBDD" w14:textId="5AE4F38D" w:rsidR="000342B3" w:rsidRPr="00920924" w:rsidRDefault="000342B3" w:rsidP="00D7504D">
            <w:pPr>
              <w:pStyle w:val="NormalBody"/>
              <w:spacing w:after="0" w:line="240" w:lineRule="auto"/>
              <w:rPr>
                <w:rFonts w:ascii="Arial" w:hAnsi="Arial" w:cs="Arial"/>
                <w:bCs/>
                <w:color w:val="000000"/>
                <w:sz w:val="20"/>
              </w:rPr>
            </w:pPr>
          </w:p>
        </w:tc>
        <w:tc>
          <w:tcPr>
            <w:tcW w:w="1028" w:type="dxa"/>
          </w:tcPr>
          <w:p w14:paraId="0F83B99A" w14:textId="136692B0" w:rsidR="000342B3" w:rsidRPr="00920924" w:rsidRDefault="000342B3" w:rsidP="005A55AF">
            <w:pPr>
              <w:pStyle w:val="NormalBody"/>
              <w:spacing w:after="0" w:line="240" w:lineRule="auto"/>
              <w:jc w:val="center"/>
              <w:rPr>
                <w:rFonts w:ascii="Arial" w:hAnsi="Arial" w:cs="Arial"/>
                <w:bCs/>
                <w:color w:val="000000"/>
                <w:sz w:val="20"/>
              </w:rPr>
            </w:pPr>
            <w:r w:rsidRPr="00920924">
              <w:rPr>
                <w:rFonts w:ascii="Arial" w:hAnsi="Arial" w:cs="Arial"/>
                <w:bCs/>
                <w:color w:val="000000"/>
                <w:sz w:val="20"/>
              </w:rPr>
              <w:t>(PVA 3 cp)</w:t>
            </w:r>
          </w:p>
        </w:tc>
        <w:tc>
          <w:tcPr>
            <w:tcW w:w="1028" w:type="dxa"/>
          </w:tcPr>
          <w:p w14:paraId="4B73F407" w14:textId="6DF1CD81" w:rsidR="000342B3" w:rsidRPr="00920924" w:rsidRDefault="000342B3" w:rsidP="005A55AF">
            <w:pPr>
              <w:pStyle w:val="NormalBody"/>
              <w:spacing w:after="0" w:line="240" w:lineRule="auto"/>
              <w:jc w:val="center"/>
              <w:rPr>
                <w:rFonts w:ascii="Arial" w:hAnsi="Arial" w:cs="Arial"/>
                <w:bCs/>
                <w:color w:val="000000"/>
                <w:sz w:val="20"/>
              </w:rPr>
            </w:pPr>
            <w:r w:rsidRPr="00920924">
              <w:rPr>
                <w:rFonts w:ascii="Arial" w:hAnsi="Arial" w:cs="Arial"/>
                <w:bCs/>
                <w:color w:val="000000"/>
                <w:sz w:val="20"/>
              </w:rPr>
              <w:t xml:space="preserve">(PVA 3 cp) </w:t>
            </w:r>
          </w:p>
        </w:tc>
      </w:tr>
      <w:tr w:rsidR="00D7504D" w:rsidRPr="00697F85" w14:paraId="78ECFDA5" w14:textId="77777777" w:rsidTr="000922B6">
        <w:trPr>
          <w:trHeight w:val="146"/>
          <w:jc w:val="center"/>
        </w:trPr>
        <w:tc>
          <w:tcPr>
            <w:tcW w:w="1838" w:type="dxa"/>
            <w:vAlign w:val="center"/>
          </w:tcPr>
          <w:p w14:paraId="5098434C" w14:textId="19245550" w:rsidR="00D7504D" w:rsidRPr="00697F85" w:rsidRDefault="00D7504D" w:rsidP="00D7504D">
            <w:pPr>
              <w:pStyle w:val="NormalBody"/>
              <w:spacing w:after="0" w:line="240" w:lineRule="auto"/>
              <w:rPr>
                <w:rFonts w:ascii="Arial" w:hAnsi="Arial" w:cs="Arial"/>
                <w:sz w:val="20"/>
              </w:rPr>
            </w:pPr>
            <w:r>
              <w:rPr>
                <w:rFonts w:ascii="Arial" w:hAnsi="Arial" w:cs="Arial"/>
                <w:sz w:val="20"/>
              </w:rPr>
              <w:t>Rate controlling polymer</w:t>
            </w:r>
          </w:p>
        </w:tc>
        <w:tc>
          <w:tcPr>
            <w:tcW w:w="918" w:type="dxa"/>
          </w:tcPr>
          <w:p w14:paraId="7C5A88C2" w14:textId="6E433997" w:rsidR="00D7504D" w:rsidRPr="00920924" w:rsidRDefault="00D7504D" w:rsidP="00D7504D">
            <w:pPr>
              <w:pStyle w:val="NormalBody"/>
              <w:spacing w:after="0" w:line="240" w:lineRule="auto"/>
              <w:jc w:val="center"/>
              <w:rPr>
                <w:rFonts w:ascii="Arial" w:hAnsi="Arial" w:cs="Arial"/>
                <w:bCs/>
                <w:color w:val="000000"/>
                <w:sz w:val="20"/>
              </w:rPr>
            </w:pPr>
            <w:r w:rsidRPr="00065D04">
              <w:rPr>
                <w:rFonts w:ascii="Arial" w:hAnsi="Arial" w:cs="Arial"/>
                <w:color w:val="000000" w:themeColor="text1"/>
                <w:sz w:val="20"/>
                <w:lang w:eastAsia="en-IN"/>
              </w:rPr>
              <w:t xml:space="preserve">Eudragit NE 30D </w:t>
            </w:r>
          </w:p>
        </w:tc>
        <w:tc>
          <w:tcPr>
            <w:tcW w:w="1111" w:type="dxa"/>
          </w:tcPr>
          <w:p w14:paraId="383D65A0" w14:textId="24054AD2" w:rsidR="00D7504D" w:rsidRPr="00920924" w:rsidRDefault="00D7504D" w:rsidP="00D7504D">
            <w:pPr>
              <w:pStyle w:val="NormalBody"/>
              <w:spacing w:after="0" w:line="240" w:lineRule="auto"/>
              <w:jc w:val="center"/>
              <w:rPr>
                <w:rFonts w:ascii="Arial" w:hAnsi="Arial" w:cs="Arial"/>
                <w:bCs/>
                <w:color w:val="000000"/>
                <w:sz w:val="20"/>
              </w:rPr>
            </w:pPr>
            <w:r w:rsidRPr="00065D04">
              <w:rPr>
                <w:rFonts w:ascii="Arial" w:hAnsi="Arial" w:cs="Arial"/>
                <w:color w:val="000000" w:themeColor="text1"/>
                <w:sz w:val="20"/>
                <w:lang w:eastAsia="en-IN"/>
              </w:rPr>
              <w:t xml:space="preserve">Eudragit NE 30D </w:t>
            </w:r>
          </w:p>
        </w:tc>
        <w:tc>
          <w:tcPr>
            <w:tcW w:w="1021" w:type="dxa"/>
          </w:tcPr>
          <w:p w14:paraId="26707B60" w14:textId="7A142297" w:rsidR="00D7504D" w:rsidRPr="00920924" w:rsidRDefault="00D7504D" w:rsidP="00D7504D">
            <w:pPr>
              <w:pStyle w:val="NormalBody"/>
              <w:spacing w:after="0" w:line="240" w:lineRule="auto"/>
              <w:jc w:val="center"/>
              <w:rPr>
                <w:rFonts w:ascii="Arial" w:hAnsi="Arial" w:cs="Arial"/>
                <w:bCs/>
                <w:color w:val="000000"/>
                <w:sz w:val="20"/>
              </w:rPr>
            </w:pPr>
            <w:r w:rsidRPr="00065D04">
              <w:rPr>
                <w:rFonts w:ascii="Arial" w:hAnsi="Arial" w:cs="Arial"/>
                <w:color w:val="000000" w:themeColor="text1"/>
                <w:sz w:val="20"/>
                <w:lang w:eastAsia="en-IN"/>
              </w:rPr>
              <w:t xml:space="preserve">Eudragit NE 30D </w:t>
            </w:r>
          </w:p>
        </w:tc>
        <w:tc>
          <w:tcPr>
            <w:tcW w:w="1095" w:type="dxa"/>
          </w:tcPr>
          <w:p w14:paraId="4439D9F5" w14:textId="65A0A707" w:rsidR="00D7504D" w:rsidRPr="00920924" w:rsidRDefault="00D7504D" w:rsidP="00D7504D">
            <w:pPr>
              <w:pStyle w:val="NormalBody"/>
              <w:spacing w:after="0" w:line="240" w:lineRule="auto"/>
              <w:jc w:val="center"/>
              <w:rPr>
                <w:rFonts w:ascii="Arial" w:hAnsi="Arial" w:cs="Arial"/>
                <w:bCs/>
                <w:color w:val="000000"/>
                <w:sz w:val="20"/>
              </w:rPr>
            </w:pPr>
            <w:r w:rsidRPr="00DB480E">
              <w:rPr>
                <w:rFonts w:ascii="Arial" w:hAnsi="Arial" w:cs="Arial"/>
                <w:color w:val="000000" w:themeColor="text1"/>
                <w:sz w:val="20"/>
                <w:lang w:eastAsia="en-IN"/>
              </w:rPr>
              <w:t>Eudragit NE 30D</w:t>
            </w:r>
          </w:p>
        </w:tc>
        <w:tc>
          <w:tcPr>
            <w:tcW w:w="1028" w:type="dxa"/>
          </w:tcPr>
          <w:p w14:paraId="7A6B5BCD" w14:textId="0F292A66" w:rsidR="00D7504D" w:rsidRPr="00920924" w:rsidRDefault="00D7504D" w:rsidP="00D7504D">
            <w:pPr>
              <w:pStyle w:val="NormalBody"/>
              <w:spacing w:after="0" w:line="240" w:lineRule="auto"/>
              <w:jc w:val="center"/>
              <w:rPr>
                <w:rFonts w:ascii="Arial" w:hAnsi="Arial" w:cs="Arial"/>
                <w:bCs/>
                <w:color w:val="000000"/>
                <w:sz w:val="20"/>
              </w:rPr>
            </w:pPr>
            <w:r>
              <w:rPr>
                <w:rFonts w:ascii="Arial" w:hAnsi="Arial" w:cs="Arial"/>
                <w:bCs/>
                <w:color w:val="000000"/>
                <w:sz w:val="20"/>
              </w:rPr>
              <w:t>Methocel K100M Low</w:t>
            </w:r>
          </w:p>
        </w:tc>
        <w:tc>
          <w:tcPr>
            <w:tcW w:w="1028" w:type="dxa"/>
          </w:tcPr>
          <w:p w14:paraId="03ADB279" w14:textId="3896D312" w:rsidR="00D7504D" w:rsidRPr="00920924" w:rsidRDefault="00D7504D" w:rsidP="00D7504D">
            <w:pPr>
              <w:pStyle w:val="NormalBody"/>
              <w:spacing w:after="0" w:line="240" w:lineRule="auto"/>
              <w:jc w:val="center"/>
              <w:rPr>
                <w:rFonts w:ascii="Arial" w:hAnsi="Arial" w:cs="Arial"/>
                <w:bCs/>
                <w:color w:val="000000"/>
                <w:sz w:val="20"/>
              </w:rPr>
            </w:pPr>
            <w:r>
              <w:rPr>
                <w:rFonts w:ascii="Arial" w:hAnsi="Arial" w:cs="Arial"/>
                <w:bCs/>
                <w:color w:val="000000"/>
                <w:sz w:val="20"/>
              </w:rPr>
              <w:t>Methocel K100M Optimum</w:t>
            </w:r>
          </w:p>
        </w:tc>
        <w:tc>
          <w:tcPr>
            <w:tcW w:w="1028" w:type="dxa"/>
          </w:tcPr>
          <w:p w14:paraId="39A48E1F" w14:textId="421E0E8A" w:rsidR="00D7504D" w:rsidRPr="00920924" w:rsidRDefault="00D7504D" w:rsidP="00D7504D">
            <w:pPr>
              <w:pStyle w:val="NormalBody"/>
              <w:spacing w:after="0" w:line="240" w:lineRule="auto"/>
              <w:jc w:val="center"/>
              <w:rPr>
                <w:rFonts w:ascii="Arial" w:hAnsi="Arial" w:cs="Arial"/>
                <w:bCs/>
                <w:color w:val="000000"/>
                <w:sz w:val="20"/>
              </w:rPr>
            </w:pPr>
            <w:r>
              <w:rPr>
                <w:rFonts w:ascii="Arial" w:hAnsi="Arial" w:cs="Arial"/>
                <w:bCs/>
                <w:color w:val="000000"/>
                <w:sz w:val="20"/>
              </w:rPr>
              <w:t>Methocel K100M High</w:t>
            </w:r>
          </w:p>
        </w:tc>
      </w:tr>
      <w:tr w:rsidR="000342B3" w:rsidRPr="00697F85" w14:paraId="557971FC" w14:textId="77777777" w:rsidTr="000922B6">
        <w:trPr>
          <w:trHeight w:val="146"/>
          <w:jc w:val="center"/>
        </w:trPr>
        <w:tc>
          <w:tcPr>
            <w:tcW w:w="1838" w:type="dxa"/>
            <w:vAlign w:val="center"/>
          </w:tcPr>
          <w:p w14:paraId="670725EA" w14:textId="4C1945D0" w:rsidR="000342B3" w:rsidRPr="00697F85" w:rsidRDefault="000922B6" w:rsidP="005A55AF">
            <w:pPr>
              <w:pStyle w:val="NormalBody"/>
              <w:spacing w:after="0" w:line="240" w:lineRule="auto"/>
              <w:rPr>
                <w:rFonts w:ascii="Arial" w:hAnsi="Arial" w:cs="Arial"/>
                <w:sz w:val="20"/>
              </w:rPr>
            </w:pPr>
            <w:r>
              <w:rPr>
                <w:rFonts w:ascii="Arial" w:hAnsi="Arial" w:cs="Arial"/>
                <w:sz w:val="20"/>
              </w:rPr>
              <w:t>BD</w:t>
            </w:r>
            <w:r w:rsidR="000342B3" w:rsidRPr="00697F85">
              <w:rPr>
                <w:rFonts w:ascii="Arial" w:hAnsi="Arial" w:cs="Arial"/>
                <w:sz w:val="20"/>
              </w:rPr>
              <w:t xml:space="preserve"> (g/mL)</w:t>
            </w:r>
          </w:p>
        </w:tc>
        <w:tc>
          <w:tcPr>
            <w:tcW w:w="918" w:type="dxa"/>
            <w:vAlign w:val="center"/>
          </w:tcPr>
          <w:p w14:paraId="18467301" w14:textId="77777777" w:rsidR="000342B3" w:rsidRPr="00697F85" w:rsidRDefault="000342B3" w:rsidP="005A55AF">
            <w:pPr>
              <w:spacing w:after="0" w:line="240" w:lineRule="auto"/>
              <w:jc w:val="center"/>
              <w:rPr>
                <w:rFonts w:ascii="Arial" w:hAnsi="Arial" w:cs="Arial"/>
                <w:b/>
                <w:color w:val="000000" w:themeColor="text1"/>
                <w:sz w:val="20"/>
                <w:szCs w:val="20"/>
              </w:rPr>
            </w:pPr>
            <w:r w:rsidRPr="00697F85">
              <w:rPr>
                <w:rFonts w:ascii="Arial" w:hAnsi="Arial" w:cs="Arial"/>
                <w:color w:val="000000" w:themeColor="text1"/>
                <w:sz w:val="20"/>
                <w:szCs w:val="20"/>
              </w:rPr>
              <w:t>0.71</w:t>
            </w:r>
          </w:p>
        </w:tc>
        <w:tc>
          <w:tcPr>
            <w:tcW w:w="1111" w:type="dxa"/>
            <w:vAlign w:val="center"/>
          </w:tcPr>
          <w:p w14:paraId="61B69D8A" w14:textId="77777777" w:rsidR="000342B3" w:rsidRPr="00697F85" w:rsidRDefault="000342B3"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 xml:space="preserve">0.63 </w:t>
            </w:r>
          </w:p>
        </w:tc>
        <w:tc>
          <w:tcPr>
            <w:tcW w:w="1021" w:type="dxa"/>
            <w:vAlign w:val="center"/>
          </w:tcPr>
          <w:p w14:paraId="35C6AF78" w14:textId="77777777" w:rsidR="000342B3" w:rsidRPr="00697F85" w:rsidRDefault="000342B3"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 xml:space="preserve">0.40 </w:t>
            </w:r>
          </w:p>
        </w:tc>
        <w:tc>
          <w:tcPr>
            <w:tcW w:w="1095" w:type="dxa"/>
          </w:tcPr>
          <w:p w14:paraId="22465D7F" w14:textId="6687FDD2"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0.52</w:t>
            </w:r>
          </w:p>
        </w:tc>
        <w:tc>
          <w:tcPr>
            <w:tcW w:w="1028" w:type="dxa"/>
          </w:tcPr>
          <w:p w14:paraId="007D8EE2" w14:textId="1CF38995"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0.51</w:t>
            </w:r>
          </w:p>
        </w:tc>
        <w:tc>
          <w:tcPr>
            <w:tcW w:w="1028" w:type="dxa"/>
          </w:tcPr>
          <w:p w14:paraId="6BDF1AFD" w14:textId="51392680" w:rsidR="000342B3" w:rsidRPr="00697F85" w:rsidRDefault="00996504"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0.45</w:t>
            </w:r>
          </w:p>
        </w:tc>
        <w:tc>
          <w:tcPr>
            <w:tcW w:w="1028" w:type="dxa"/>
          </w:tcPr>
          <w:p w14:paraId="691B402A" w14:textId="240655B1"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0.50</w:t>
            </w:r>
          </w:p>
        </w:tc>
      </w:tr>
      <w:tr w:rsidR="000342B3" w:rsidRPr="00697F85" w14:paraId="51EBEBA7" w14:textId="77777777" w:rsidTr="000922B6">
        <w:trPr>
          <w:trHeight w:val="134"/>
          <w:jc w:val="center"/>
        </w:trPr>
        <w:tc>
          <w:tcPr>
            <w:tcW w:w="1838" w:type="dxa"/>
            <w:vAlign w:val="center"/>
          </w:tcPr>
          <w:p w14:paraId="2F16AB83" w14:textId="62826574" w:rsidR="000342B3" w:rsidRPr="00697F85" w:rsidRDefault="000922B6" w:rsidP="005A55AF">
            <w:pPr>
              <w:pStyle w:val="NormalBody"/>
              <w:spacing w:after="0" w:line="240" w:lineRule="auto"/>
              <w:rPr>
                <w:rFonts w:ascii="Arial" w:hAnsi="Arial" w:cs="Arial"/>
                <w:sz w:val="20"/>
              </w:rPr>
            </w:pPr>
            <w:r>
              <w:rPr>
                <w:rFonts w:ascii="Arial" w:hAnsi="Arial" w:cs="Arial"/>
                <w:sz w:val="20"/>
              </w:rPr>
              <w:t>TD</w:t>
            </w:r>
            <w:r w:rsidR="000342B3" w:rsidRPr="00697F85">
              <w:rPr>
                <w:rFonts w:ascii="Arial" w:hAnsi="Arial" w:cs="Arial"/>
                <w:sz w:val="20"/>
              </w:rPr>
              <w:t xml:space="preserve"> (g/mL)</w:t>
            </w:r>
          </w:p>
        </w:tc>
        <w:tc>
          <w:tcPr>
            <w:tcW w:w="918" w:type="dxa"/>
            <w:vAlign w:val="center"/>
          </w:tcPr>
          <w:p w14:paraId="13BE87B3" w14:textId="77777777" w:rsidR="000342B3" w:rsidRPr="00697F85" w:rsidRDefault="000342B3" w:rsidP="005A55AF">
            <w:pPr>
              <w:spacing w:after="0" w:line="240" w:lineRule="auto"/>
              <w:jc w:val="center"/>
              <w:rPr>
                <w:rFonts w:ascii="Arial" w:hAnsi="Arial" w:cs="Arial"/>
                <w:color w:val="000000" w:themeColor="text1"/>
                <w:sz w:val="20"/>
                <w:szCs w:val="20"/>
              </w:rPr>
            </w:pPr>
            <w:r w:rsidRPr="00697F85">
              <w:rPr>
                <w:rFonts w:ascii="Arial" w:hAnsi="Arial" w:cs="Arial"/>
                <w:color w:val="000000" w:themeColor="text1"/>
                <w:sz w:val="20"/>
                <w:szCs w:val="20"/>
              </w:rPr>
              <w:t>0.76</w:t>
            </w:r>
          </w:p>
        </w:tc>
        <w:tc>
          <w:tcPr>
            <w:tcW w:w="1111" w:type="dxa"/>
            <w:vAlign w:val="center"/>
          </w:tcPr>
          <w:p w14:paraId="0F689FF8" w14:textId="77777777" w:rsidR="000342B3" w:rsidRPr="00697F85" w:rsidRDefault="000342B3"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0.68</w:t>
            </w:r>
          </w:p>
        </w:tc>
        <w:tc>
          <w:tcPr>
            <w:tcW w:w="1021" w:type="dxa"/>
            <w:vAlign w:val="center"/>
          </w:tcPr>
          <w:p w14:paraId="3BCD9A93" w14:textId="77777777" w:rsidR="000342B3" w:rsidRPr="00697F85" w:rsidRDefault="000342B3"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0.52</w:t>
            </w:r>
          </w:p>
        </w:tc>
        <w:tc>
          <w:tcPr>
            <w:tcW w:w="1095" w:type="dxa"/>
          </w:tcPr>
          <w:p w14:paraId="59AFDD0E" w14:textId="5E232400"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0.68</w:t>
            </w:r>
          </w:p>
        </w:tc>
        <w:tc>
          <w:tcPr>
            <w:tcW w:w="1028" w:type="dxa"/>
          </w:tcPr>
          <w:p w14:paraId="4AC05241" w14:textId="1EF80B7B"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0.70</w:t>
            </w:r>
          </w:p>
        </w:tc>
        <w:tc>
          <w:tcPr>
            <w:tcW w:w="1028" w:type="dxa"/>
          </w:tcPr>
          <w:p w14:paraId="4F205E3B" w14:textId="7398516A" w:rsidR="000342B3" w:rsidRPr="00697F85" w:rsidRDefault="00996504"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0.5</w:t>
            </w:r>
            <w:r w:rsidR="005E2E1C" w:rsidRPr="00697F85">
              <w:rPr>
                <w:rFonts w:ascii="Arial" w:hAnsi="Arial" w:cs="Arial"/>
                <w:color w:val="000000" w:themeColor="text1"/>
                <w:sz w:val="20"/>
              </w:rPr>
              <w:t>1</w:t>
            </w:r>
          </w:p>
        </w:tc>
        <w:tc>
          <w:tcPr>
            <w:tcW w:w="1028" w:type="dxa"/>
          </w:tcPr>
          <w:p w14:paraId="27CBD660" w14:textId="1C6AC9BF"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0.80</w:t>
            </w:r>
          </w:p>
        </w:tc>
      </w:tr>
      <w:tr w:rsidR="000342B3" w:rsidRPr="00697F85" w14:paraId="5B302295" w14:textId="77777777" w:rsidTr="000922B6">
        <w:trPr>
          <w:trHeight w:val="136"/>
          <w:jc w:val="center"/>
        </w:trPr>
        <w:tc>
          <w:tcPr>
            <w:tcW w:w="1838" w:type="dxa"/>
            <w:vAlign w:val="center"/>
          </w:tcPr>
          <w:p w14:paraId="33F1891C"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Carr’s Index</w:t>
            </w:r>
          </w:p>
        </w:tc>
        <w:tc>
          <w:tcPr>
            <w:tcW w:w="918" w:type="dxa"/>
            <w:vAlign w:val="center"/>
          </w:tcPr>
          <w:p w14:paraId="5425C06A" w14:textId="77777777" w:rsidR="000342B3" w:rsidRPr="00697F85" w:rsidRDefault="000342B3" w:rsidP="005A55AF">
            <w:pPr>
              <w:spacing w:after="0" w:line="240" w:lineRule="auto"/>
              <w:jc w:val="center"/>
              <w:rPr>
                <w:rFonts w:ascii="Arial" w:hAnsi="Arial" w:cs="Arial"/>
                <w:color w:val="000000" w:themeColor="text1"/>
                <w:sz w:val="20"/>
                <w:szCs w:val="20"/>
              </w:rPr>
            </w:pPr>
            <w:r w:rsidRPr="00697F85">
              <w:rPr>
                <w:rFonts w:ascii="Arial" w:hAnsi="Arial" w:cs="Arial"/>
                <w:color w:val="000000" w:themeColor="text1"/>
                <w:sz w:val="20"/>
                <w:szCs w:val="20"/>
              </w:rPr>
              <w:t>6.58</w:t>
            </w:r>
          </w:p>
        </w:tc>
        <w:tc>
          <w:tcPr>
            <w:tcW w:w="1111" w:type="dxa"/>
            <w:vAlign w:val="center"/>
          </w:tcPr>
          <w:p w14:paraId="47537E68" w14:textId="77777777" w:rsidR="000342B3" w:rsidRPr="00697F85" w:rsidRDefault="000342B3"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7.35</w:t>
            </w:r>
          </w:p>
        </w:tc>
        <w:tc>
          <w:tcPr>
            <w:tcW w:w="1021" w:type="dxa"/>
            <w:vAlign w:val="center"/>
          </w:tcPr>
          <w:p w14:paraId="6925407C" w14:textId="77777777" w:rsidR="000342B3" w:rsidRPr="00697F85" w:rsidRDefault="000342B3"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23.08</w:t>
            </w:r>
          </w:p>
        </w:tc>
        <w:tc>
          <w:tcPr>
            <w:tcW w:w="1095" w:type="dxa"/>
          </w:tcPr>
          <w:p w14:paraId="5527B3AE" w14:textId="053E398C"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23.53</w:t>
            </w:r>
          </w:p>
        </w:tc>
        <w:tc>
          <w:tcPr>
            <w:tcW w:w="1028" w:type="dxa"/>
          </w:tcPr>
          <w:p w14:paraId="6F2503DB" w14:textId="44A3D434"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27.14</w:t>
            </w:r>
          </w:p>
        </w:tc>
        <w:tc>
          <w:tcPr>
            <w:tcW w:w="1028" w:type="dxa"/>
          </w:tcPr>
          <w:p w14:paraId="7A11ED1B" w14:textId="65B60E16" w:rsidR="000342B3" w:rsidRPr="00697F85" w:rsidRDefault="005E2E1C"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13.73</w:t>
            </w:r>
          </w:p>
        </w:tc>
        <w:tc>
          <w:tcPr>
            <w:tcW w:w="1028" w:type="dxa"/>
          </w:tcPr>
          <w:p w14:paraId="1CC20B17" w14:textId="30922776"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37.50</w:t>
            </w:r>
          </w:p>
        </w:tc>
      </w:tr>
      <w:tr w:rsidR="000342B3" w:rsidRPr="00697F85" w14:paraId="38A3D27E" w14:textId="77777777" w:rsidTr="000922B6">
        <w:trPr>
          <w:trHeight w:val="136"/>
          <w:jc w:val="center"/>
        </w:trPr>
        <w:tc>
          <w:tcPr>
            <w:tcW w:w="1838" w:type="dxa"/>
            <w:vAlign w:val="center"/>
          </w:tcPr>
          <w:p w14:paraId="60AB94EE"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Hausner’s Ratio</w:t>
            </w:r>
          </w:p>
        </w:tc>
        <w:tc>
          <w:tcPr>
            <w:tcW w:w="918" w:type="dxa"/>
            <w:vAlign w:val="center"/>
          </w:tcPr>
          <w:p w14:paraId="317D5065" w14:textId="79F7A780" w:rsidR="000342B3" w:rsidRPr="00697F85" w:rsidRDefault="00996504" w:rsidP="005A55AF">
            <w:pPr>
              <w:spacing w:after="0" w:line="240" w:lineRule="auto"/>
              <w:jc w:val="center"/>
              <w:rPr>
                <w:rFonts w:ascii="Arial" w:hAnsi="Arial" w:cs="Arial"/>
                <w:color w:val="000000" w:themeColor="text1"/>
                <w:sz w:val="20"/>
                <w:szCs w:val="20"/>
              </w:rPr>
            </w:pPr>
            <w:r w:rsidRPr="00697F85">
              <w:rPr>
                <w:rFonts w:ascii="Arial" w:hAnsi="Arial" w:cs="Arial"/>
                <w:color w:val="000000" w:themeColor="text1"/>
                <w:sz w:val="20"/>
                <w:szCs w:val="20"/>
              </w:rPr>
              <w:t>1.07</w:t>
            </w:r>
          </w:p>
        </w:tc>
        <w:tc>
          <w:tcPr>
            <w:tcW w:w="1111" w:type="dxa"/>
            <w:vAlign w:val="center"/>
          </w:tcPr>
          <w:p w14:paraId="2F81F5AE" w14:textId="64E7717D" w:rsidR="000342B3" w:rsidRPr="00697F85" w:rsidRDefault="00996504"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1.06</w:t>
            </w:r>
          </w:p>
        </w:tc>
        <w:tc>
          <w:tcPr>
            <w:tcW w:w="1021" w:type="dxa"/>
            <w:vAlign w:val="center"/>
          </w:tcPr>
          <w:p w14:paraId="27BAD686" w14:textId="6D6D7210" w:rsidR="000342B3" w:rsidRPr="00697F85" w:rsidRDefault="00996504"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1.25</w:t>
            </w:r>
          </w:p>
        </w:tc>
        <w:tc>
          <w:tcPr>
            <w:tcW w:w="1095" w:type="dxa"/>
          </w:tcPr>
          <w:p w14:paraId="45C4A301" w14:textId="47F43BD6"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1.31</w:t>
            </w:r>
          </w:p>
        </w:tc>
        <w:tc>
          <w:tcPr>
            <w:tcW w:w="1028" w:type="dxa"/>
          </w:tcPr>
          <w:p w14:paraId="23AE2C6A" w14:textId="6396A100"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1.34</w:t>
            </w:r>
          </w:p>
        </w:tc>
        <w:tc>
          <w:tcPr>
            <w:tcW w:w="1028" w:type="dxa"/>
          </w:tcPr>
          <w:p w14:paraId="6BEAAA2F" w14:textId="4DCF1786" w:rsidR="000342B3" w:rsidRPr="00697F85" w:rsidRDefault="00996504"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1.21</w:t>
            </w:r>
          </w:p>
        </w:tc>
        <w:tc>
          <w:tcPr>
            <w:tcW w:w="1028" w:type="dxa"/>
          </w:tcPr>
          <w:p w14:paraId="248FB873" w14:textId="5F273902"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1.60</w:t>
            </w:r>
          </w:p>
        </w:tc>
      </w:tr>
      <w:tr w:rsidR="0016749A" w:rsidRPr="00697F85" w14:paraId="7CDE91DC" w14:textId="77777777" w:rsidTr="000922B6">
        <w:trPr>
          <w:trHeight w:val="136"/>
          <w:jc w:val="center"/>
        </w:trPr>
        <w:tc>
          <w:tcPr>
            <w:tcW w:w="1838" w:type="dxa"/>
            <w:vAlign w:val="center"/>
          </w:tcPr>
          <w:p w14:paraId="63EA2BE1" w14:textId="7A7B67CC" w:rsidR="0016749A" w:rsidRPr="00697F85" w:rsidRDefault="0016749A" w:rsidP="000922B6">
            <w:pPr>
              <w:pStyle w:val="NormalBody"/>
              <w:spacing w:after="0" w:line="240" w:lineRule="auto"/>
              <w:rPr>
                <w:rFonts w:ascii="Arial" w:hAnsi="Arial" w:cs="Arial"/>
                <w:sz w:val="20"/>
              </w:rPr>
            </w:pPr>
            <w:r w:rsidRPr="00697F85">
              <w:rPr>
                <w:rFonts w:ascii="Arial" w:hAnsi="Arial" w:cs="Arial"/>
                <w:sz w:val="20"/>
              </w:rPr>
              <w:t>LOD (%)</w:t>
            </w:r>
          </w:p>
        </w:tc>
        <w:tc>
          <w:tcPr>
            <w:tcW w:w="918" w:type="dxa"/>
            <w:vAlign w:val="center"/>
          </w:tcPr>
          <w:p w14:paraId="29A24D80" w14:textId="38111B28" w:rsidR="0016749A" w:rsidRPr="00697F85" w:rsidRDefault="0016749A" w:rsidP="005A55AF">
            <w:pPr>
              <w:spacing w:after="0" w:line="240" w:lineRule="auto"/>
              <w:jc w:val="center"/>
              <w:rPr>
                <w:rFonts w:ascii="Arial" w:hAnsi="Arial" w:cs="Arial"/>
                <w:sz w:val="20"/>
                <w:szCs w:val="20"/>
              </w:rPr>
            </w:pPr>
            <w:r w:rsidRPr="00697F85">
              <w:rPr>
                <w:rFonts w:ascii="Arial" w:hAnsi="Arial" w:cs="Arial"/>
                <w:color w:val="000000" w:themeColor="text1"/>
                <w:sz w:val="20"/>
                <w:szCs w:val="20"/>
              </w:rPr>
              <w:t>0.66</w:t>
            </w:r>
          </w:p>
        </w:tc>
        <w:tc>
          <w:tcPr>
            <w:tcW w:w="1111" w:type="dxa"/>
            <w:vAlign w:val="center"/>
          </w:tcPr>
          <w:p w14:paraId="5283FD84" w14:textId="034BA1E8" w:rsidR="0016749A" w:rsidRPr="00697F85" w:rsidRDefault="0016749A" w:rsidP="005A55AF">
            <w:pPr>
              <w:pStyle w:val="NormalBody"/>
              <w:spacing w:after="0" w:line="240" w:lineRule="auto"/>
              <w:jc w:val="center"/>
              <w:rPr>
                <w:rFonts w:ascii="Arial" w:hAnsi="Arial" w:cs="Arial"/>
                <w:sz w:val="20"/>
              </w:rPr>
            </w:pPr>
            <w:r w:rsidRPr="00697F85">
              <w:rPr>
                <w:rFonts w:ascii="Arial" w:hAnsi="Arial" w:cs="Arial"/>
                <w:color w:val="000000" w:themeColor="text1"/>
                <w:sz w:val="20"/>
              </w:rPr>
              <w:t>0.71</w:t>
            </w:r>
          </w:p>
        </w:tc>
        <w:tc>
          <w:tcPr>
            <w:tcW w:w="1021" w:type="dxa"/>
            <w:vAlign w:val="center"/>
          </w:tcPr>
          <w:p w14:paraId="2CA19EE0" w14:textId="078EE2A1" w:rsidR="0016749A" w:rsidRPr="00697F85" w:rsidRDefault="0016749A" w:rsidP="005A55AF">
            <w:pPr>
              <w:pStyle w:val="NormalBody"/>
              <w:spacing w:after="0" w:line="240" w:lineRule="auto"/>
              <w:jc w:val="center"/>
              <w:rPr>
                <w:rFonts w:ascii="Arial" w:hAnsi="Arial" w:cs="Arial"/>
                <w:sz w:val="20"/>
              </w:rPr>
            </w:pPr>
            <w:r w:rsidRPr="00697F85">
              <w:rPr>
                <w:rFonts w:ascii="Arial" w:hAnsi="Arial" w:cs="Arial"/>
                <w:color w:val="000000" w:themeColor="text1"/>
                <w:sz w:val="20"/>
              </w:rPr>
              <w:t>0.77</w:t>
            </w:r>
          </w:p>
        </w:tc>
        <w:tc>
          <w:tcPr>
            <w:tcW w:w="1095" w:type="dxa"/>
            <w:vAlign w:val="center"/>
          </w:tcPr>
          <w:p w14:paraId="4F58BCC2" w14:textId="0F98E773" w:rsidR="0016749A" w:rsidRPr="00697F85" w:rsidRDefault="0016749A" w:rsidP="005A55AF">
            <w:pPr>
              <w:pStyle w:val="NormalBody"/>
              <w:spacing w:after="0" w:line="240" w:lineRule="auto"/>
              <w:jc w:val="center"/>
              <w:rPr>
                <w:rFonts w:ascii="Arial" w:hAnsi="Arial" w:cs="Arial"/>
                <w:sz w:val="20"/>
              </w:rPr>
            </w:pPr>
            <w:r w:rsidRPr="00697F85">
              <w:rPr>
                <w:rFonts w:ascii="Arial" w:hAnsi="Arial" w:cs="Arial"/>
                <w:color w:val="000000" w:themeColor="text1"/>
                <w:sz w:val="20"/>
              </w:rPr>
              <w:t>0.80</w:t>
            </w:r>
          </w:p>
        </w:tc>
        <w:tc>
          <w:tcPr>
            <w:tcW w:w="1028" w:type="dxa"/>
            <w:vAlign w:val="center"/>
          </w:tcPr>
          <w:p w14:paraId="1A4E3FF6" w14:textId="411D5479" w:rsidR="0016749A" w:rsidRPr="00697F85" w:rsidRDefault="0016749A" w:rsidP="005A55AF">
            <w:pPr>
              <w:pStyle w:val="NormalBody"/>
              <w:spacing w:after="0" w:line="240" w:lineRule="auto"/>
              <w:jc w:val="center"/>
              <w:rPr>
                <w:rFonts w:ascii="Arial" w:hAnsi="Arial" w:cs="Arial"/>
                <w:sz w:val="20"/>
              </w:rPr>
            </w:pPr>
            <w:r w:rsidRPr="00697F85">
              <w:rPr>
                <w:rFonts w:ascii="Arial" w:hAnsi="Arial" w:cs="Arial"/>
                <w:color w:val="000000" w:themeColor="text1"/>
                <w:sz w:val="20"/>
              </w:rPr>
              <w:t>0</w:t>
            </w:r>
            <w:r w:rsidR="00F548EC">
              <w:rPr>
                <w:rFonts w:ascii="Arial" w:hAnsi="Arial" w:cs="Arial"/>
                <w:color w:val="000000" w:themeColor="text1"/>
                <w:sz w:val="20"/>
              </w:rPr>
              <w:t>.</w:t>
            </w:r>
            <w:r w:rsidRPr="00697F85">
              <w:rPr>
                <w:rFonts w:ascii="Arial" w:hAnsi="Arial" w:cs="Arial"/>
                <w:color w:val="000000" w:themeColor="text1"/>
                <w:sz w:val="20"/>
              </w:rPr>
              <w:t>85</w:t>
            </w:r>
          </w:p>
        </w:tc>
        <w:tc>
          <w:tcPr>
            <w:tcW w:w="1028" w:type="dxa"/>
            <w:vAlign w:val="center"/>
          </w:tcPr>
          <w:p w14:paraId="46F87FE8" w14:textId="6463DEA4" w:rsidR="0016749A" w:rsidRPr="00697F85" w:rsidRDefault="0016749A" w:rsidP="005A55AF">
            <w:pPr>
              <w:pStyle w:val="NormalBody"/>
              <w:spacing w:after="0" w:line="240" w:lineRule="auto"/>
              <w:jc w:val="center"/>
              <w:rPr>
                <w:rFonts w:ascii="Arial" w:hAnsi="Arial" w:cs="Arial"/>
                <w:sz w:val="20"/>
              </w:rPr>
            </w:pPr>
            <w:r w:rsidRPr="00697F85">
              <w:rPr>
                <w:rFonts w:ascii="Arial" w:hAnsi="Arial" w:cs="Arial"/>
                <w:color w:val="000000" w:themeColor="text1"/>
                <w:sz w:val="20"/>
              </w:rPr>
              <w:t>0.75</w:t>
            </w:r>
          </w:p>
        </w:tc>
        <w:tc>
          <w:tcPr>
            <w:tcW w:w="1028" w:type="dxa"/>
            <w:vAlign w:val="center"/>
          </w:tcPr>
          <w:p w14:paraId="464FC252" w14:textId="66612300" w:rsidR="0016749A" w:rsidRPr="00697F85" w:rsidRDefault="0016749A" w:rsidP="005A55AF">
            <w:pPr>
              <w:pStyle w:val="NormalBody"/>
              <w:spacing w:after="0" w:line="240" w:lineRule="auto"/>
              <w:jc w:val="center"/>
              <w:rPr>
                <w:rFonts w:ascii="Arial" w:hAnsi="Arial" w:cs="Arial"/>
                <w:sz w:val="20"/>
              </w:rPr>
            </w:pPr>
            <w:r w:rsidRPr="00697F85">
              <w:rPr>
                <w:rFonts w:ascii="Arial" w:hAnsi="Arial" w:cs="Arial"/>
                <w:color w:val="000000" w:themeColor="text1"/>
                <w:sz w:val="20"/>
              </w:rPr>
              <w:t>0.90</w:t>
            </w:r>
          </w:p>
        </w:tc>
      </w:tr>
      <w:tr w:rsidR="000342B3" w:rsidRPr="00697F85" w14:paraId="0BCEC6E2" w14:textId="77777777" w:rsidTr="000922B6">
        <w:trPr>
          <w:trHeight w:val="136"/>
          <w:jc w:val="center"/>
        </w:trPr>
        <w:tc>
          <w:tcPr>
            <w:tcW w:w="1838" w:type="dxa"/>
            <w:vAlign w:val="center"/>
          </w:tcPr>
          <w:p w14:paraId="7FCF06E2"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Weight variation (%)</w:t>
            </w:r>
          </w:p>
        </w:tc>
        <w:tc>
          <w:tcPr>
            <w:tcW w:w="918" w:type="dxa"/>
            <w:vAlign w:val="center"/>
          </w:tcPr>
          <w:p w14:paraId="44480782"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1220 ± 2.0</w:t>
            </w:r>
          </w:p>
        </w:tc>
        <w:tc>
          <w:tcPr>
            <w:tcW w:w="1111" w:type="dxa"/>
            <w:vAlign w:val="center"/>
          </w:tcPr>
          <w:p w14:paraId="1A54E65D"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1220 ± 1.5</w:t>
            </w:r>
          </w:p>
        </w:tc>
        <w:tc>
          <w:tcPr>
            <w:tcW w:w="1021" w:type="dxa"/>
            <w:vAlign w:val="center"/>
          </w:tcPr>
          <w:p w14:paraId="461632FC"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1220 ± 1.0</w:t>
            </w:r>
          </w:p>
        </w:tc>
        <w:tc>
          <w:tcPr>
            <w:tcW w:w="1095" w:type="dxa"/>
            <w:vAlign w:val="center"/>
          </w:tcPr>
          <w:p w14:paraId="5CAEC609" w14:textId="77777777" w:rsidR="000342B3" w:rsidRPr="00697F85" w:rsidRDefault="000342B3" w:rsidP="005A55AF">
            <w:pPr>
              <w:pStyle w:val="NormalBody"/>
              <w:spacing w:after="0" w:line="240" w:lineRule="auto"/>
              <w:jc w:val="center"/>
              <w:rPr>
                <w:rFonts w:ascii="Arial" w:hAnsi="Arial" w:cs="Arial"/>
                <w:color w:val="FF0000"/>
                <w:sz w:val="20"/>
              </w:rPr>
            </w:pPr>
            <w:r w:rsidRPr="00697F85">
              <w:rPr>
                <w:rFonts w:ascii="Arial" w:hAnsi="Arial" w:cs="Arial"/>
                <w:sz w:val="20"/>
              </w:rPr>
              <w:t>1220 ± 1.2</w:t>
            </w:r>
          </w:p>
        </w:tc>
        <w:tc>
          <w:tcPr>
            <w:tcW w:w="1028" w:type="dxa"/>
          </w:tcPr>
          <w:p w14:paraId="37F034F7"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1220 ± 2.0</w:t>
            </w:r>
          </w:p>
        </w:tc>
        <w:tc>
          <w:tcPr>
            <w:tcW w:w="1028" w:type="dxa"/>
          </w:tcPr>
          <w:p w14:paraId="152CBE93"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1220 ± 1.0</w:t>
            </w:r>
          </w:p>
        </w:tc>
        <w:tc>
          <w:tcPr>
            <w:tcW w:w="1028" w:type="dxa"/>
          </w:tcPr>
          <w:p w14:paraId="7097D4E2"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1220 ± 1.0</w:t>
            </w:r>
          </w:p>
        </w:tc>
      </w:tr>
      <w:tr w:rsidR="000342B3" w:rsidRPr="00697F85" w14:paraId="6E7C9481" w14:textId="77777777" w:rsidTr="000922B6">
        <w:trPr>
          <w:trHeight w:val="136"/>
          <w:jc w:val="center"/>
        </w:trPr>
        <w:tc>
          <w:tcPr>
            <w:tcW w:w="1838" w:type="dxa"/>
            <w:vAlign w:val="center"/>
          </w:tcPr>
          <w:p w14:paraId="16B08B6B"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Thickness (mm)</w:t>
            </w:r>
          </w:p>
        </w:tc>
        <w:tc>
          <w:tcPr>
            <w:tcW w:w="918" w:type="dxa"/>
            <w:vAlign w:val="center"/>
          </w:tcPr>
          <w:p w14:paraId="0DE14E02"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7.31 – 7.38</w:t>
            </w:r>
          </w:p>
        </w:tc>
        <w:tc>
          <w:tcPr>
            <w:tcW w:w="1111" w:type="dxa"/>
            <w:vAlign w:val="center"/>
          </w:tcPr>
          <w:p w14:paraId="177A56CE"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7.24 – 7.32</w:t>
            </w:r>
          </w:p>
        </w:tc>
        <w:tc>
          <w:tcPr>
            <w:tcW w:w="1021" w:type="dxa"/>
            <w:vAlign w:val="center"/>
          </w:tcPr>
          <w:p w14:paraId="4B60D987"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7.16 – 7.24</w:t>
            </w:r>
          </w:p>
        </w:tc>
        <w:tc>
          <w:tcPr>
            <w:tcW w:w="1095" w:type="dxa"/>
            <w:vAlign w:val="center"/>
          </w:tcPr>
          <w:p w14:paraId="5D85EED3" w14:textId="77777777" w:rsidR="000342B3" w:rsidRPr="00697F85" w:rsidRDefault="000342B3" w:rsidP="005A55AF">
            <w:pPr>
              <w:pStyle w:val="NormalBody"/>
              <w:spacing w:after="0" w:line="240" w:lineRule="auto"/>
              <w:jc w:val="center"/>
              <w:rPr>
                <w:rFonts w:ascii="Arial" w:hAnsi="Arial" w:cs="Arial"/>
                <w:color w:val="FF0000"/>
                <w:sz w:val="20"/>
              </w:rPr>
            </w:pPr>
            <w:r w:rsidRPr="00697F85">
              <w:rPr>
                <w:rFonts w:ascii="Arial" w:hAnsi="Arial" w:cs="Arial"/>
                <w:sz w:val="20"/>
              </w:rPr>
              <w:t>7.12 – 7.20</w:t>
            </w:r>
          </w:p>
        </w:tc>
        <w:tc>
          <w:tcPr>
            <w:tcW w:w="1028" w:type="dxa"/>
          </w:tcPr>
          <w:p w14:paraId="76280C3C"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7.20 – 7.30</w:t>
            </w:r>
          </w:p>
        </w:tc>
        <w:tc>
          <w:tcPr>
            <w:tcW w:w="1028" w:type="dxa"/>
          </w:tcPr>
          <w:p w14:paraId="796A561A"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7.15 – 7.25</w:t>
            </w:r>
          </w:p>
        </w:tc>
        <w:tc>
          <w:tcPr>
            <w:tcW w:w="1028" w:type="dxa"/>
          </w:tcPr>
          <w:p w14:paraId="7F760A78"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7.15 – 7.25</w:t>
            </w:r>
          </w:p>
        </w:tc>
      </w:tr>
      <w:tr w:rsidR="000342B3" w:rsidRPr="00697F85" w14:paraId="3067C8CC" w14:textId="77777777" w:rsidTr="000922B6">
        <w:trPr>
          <w:trHeight w:val="136"/>
          <w:jc w:val="center"/>
        </w:trPr>
        <w:tc>
          <w:tcPr>
            <w:tcW w:w="1838" w:type="dxa"/>
            <w:vAlign w:val="center"/>
          </w:tcPr>
          <w:p w14:paraId="3C59FCE5"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Hardness (</w:t>
            </w:r>
            <w:proofErr w:type="spellStart"/>
            <w:r w:rsidRPr="00697F85">
              <w:rPr>
                <w:rFonts w:ascii="Arial" w:hAnsi="Arial" w:cs="Arial"/>
                <w:sz w:val="20"/>
                <w:szCs w:val="20"/>
              </w:rPr>
              <w:t>kP</w:t>
            </w:r>
            <w:proofErr w:type="spellEnd"/>
            <w:r w:rsidRPr="00697F85">
              <w:rPr>
                <w:rFonts w:ascii="Arial" w:hAnsi="Arial" w:cs="Arial"/>
                <w:sz w:val="20"/>
                <w:szCs w:val="20"/>
              </w:rPr>
              <w:t>)</w:t>
            </w:r>
          </w:p>
        </w:tc>
        <w:tc>
          <w:tcPr>
            <w:tcW w:w="918" w:type="dxa"/>
            <w:vAlign w:val="center"/>
          </w:tcPr>
          <w:p w14:paraId="6347A38C"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15 ± 3</w:t>
            </w:r>
          </w:p>
        </w:tc>
        <w:tc>
          <w:tcPr>
            <w:tcW w:w="1111" w:type="dxa"/>
          </w:tcPr>
          <w:p w14:paraId="4E5A2134"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15 ± 3</w:t>
            </w:r>
          </w:p>
        </w:tc>
        <w:tc>
          <w:tcPr>
            <w:tcW w:w="1021" w:type="dxa"/>
          </w:tcPr>
          <w:p w14:paraId="72B89E94"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15 ± 3</w:t>
            </w:r>
          </w:p>
        </w:tc>
        <w:tc>
          <w:tcPr>
            <w:tcW w:w="1095" w:type="dxa"/>
          </w:tcPr>
          <w:p w14:paraId="2FA89A0A" w14:textId="77777777" w:rsidR="000342B3" w:rsidRPr="00697F85" w:rsidRDefault="000342B3" w:rsidP="005A55AF">
            <w:pPr>
              <w:pStyle w:val="NormalBody"/>
              <w:spacing w:after="0" w:line="240" w:lineRule="auto"/>
              <w:jc w:val="center"/>
              <w:rPr>
                <w:rFonts w:ascii="Arial" w:hAnsi="Arial" w:cs="Arial"/>
                <w:color w:val="FF0000"/>
                <w:sz w:val="20"/>
              </w:rPr>
            </w:pPr>
            <w:r w:rsidRPr="00697F85">
              <w:rPr>
                <w:rFonts w:ascii="Arial" w:hAnsi="Arial" w:cs="Arial"/>
                <w:sz w:val="20"/>
              </w:rPr>
              <w:t>15 ± 3</w:t>
            </w:r>
          </w:p>
        </w:tc>
        <w:tc>
          <w:tcPr>
            <w:tcW w:w="1028" w:type="dxa"/>
          </w:tcPr>
          <w:p w14:paraId="722A384A"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16 ± 2</w:t>
            </w:r>
          </w:p>
        </w:tc>
        <w:tc>
          <w:tcPr>
            <w:tcW w:w="1028" w:type="dxa"/>
          </w:tcPr>
          <w:p w14:paraId="58BE53BC"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16 ± 2</w:t>
            </w:r>
          </w:p>
        </w:tc>
        <w:tc>
          <w:tcPr>
            <w:tcW w:w="1028" w:type="dxa"/>
          </w:tcPr>
          <w:p w14:paraId="189F4005"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16 ± 2</w:t>
            </w:r>
          </w:p>
        </w:tc>
      </w:tr>
      <w:tr w:rsidR="000342B3" w:rsidRPr="00697F85" w14:paraId="7618A4BD" w14:textId="77777777" w:rsidTr="000922B6">
        <w:trPr>
          <w:trHeight w:val="136"/>
          <w:jc w:val="center"/>
        </w:trPr>
        <w:tc>
          <w:tcPr>
            <w:tcW w:w="1838" w:type="dxa"/>
            <w:vAlign w:val="center"/>
          </w:tcPr>
          <w:p w14:paraId="188F10CE"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Friability (%)</w:t>
            </w:r>
          </w:p>
        </w:tc>
        <w:tc>
          <w:tcPr>
            <w:tcW w:w="918" w:type="dxa"/>
            <w:vAlign w:val="center"/>
          </w:tcPr>
          <w:p w14:paraId="43846862"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0.31%</w:t>
            </w:r>
          </w:p>
        </w:tc>
        <w:tc>
          <w:tcPr>
            <w:tcW w:w="1111" w:type="dxa"/>
            <w:vAlign w:val="center"/>
          </w:tcPr>
          <w:p w14:paraId="49A53E42"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0.20%</w:t>
            </w:r>
          </w:p>
        </w:tc>
        <w:tc>
          <w:tcPr>
            <w:tcW w:w="1021" w:type="dxa"/>
            <w:vAlign w:val="center"/>
          </w:tcPr>
          <w:p w14:paraId="63524ED4"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0.22%</w:t>
            </w:r>
          </w:p>
        </w:tc>
        <w:tc>
          <w:tcPr>
            <w:tcW w:w="1095" w:type="dxa"/>
            <w:vAlign w:val="center"/>
          </w:tcPr>
          <w:p w14:paraId="67A70796" w14:textId="77777777" w:rsidR="000342B3" w:rsidRPr="00697F85" w:rsidRDefault="000342B3" w:rsidP="005A55AF">
            <w:pPr>
              <w:pStyle w:val="NormalBody"/>
              <w:spacing w:after="0" w:line="240" w:lineRule="auto"/>
              <w:jc w:val="center"/>
              <w:rPr>
                <w:rFonts w:ascii="Arial" w:hAnsi="Arial" w:cs="Arial"/>
                <w:color w:val="FF0000"/>
                <w:sz w:val="20"/>
              </w:rPr>
            </w:pPr>
            <w:r w:rsidRPr="00697F85">
              <w:rPr>
                <w:rFonts w:ascii="Arial" w:hAnsi="Arial" w:cs="Arial"/>
                <w:sz w:val="20"/>
              </w:rPr>
              <w:t>0.12%</w:t>
            </w:r>
          </w:p>
        </w:tc>
        <w:tc>
          <w:tcPr>
            <w:tcW w:w="1028" w:type="dxa"/>
          </w:tcPr>
          <w:p w14:paraId="0DDAE6E7"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0.14</w:t>
            </w:r>
          </w:p>
        </w:tc>
        <w:tc>
          <w:tcPr>
            <w:tcW w:w="1028" w:type="dxa"/>
          </w:tcPr>
          <w:p w14:paraId="21D8E47E"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0.08</w:t>
            </w:r>
          </w:p>
        </w:tc>
        <w:tc>
          <w:tcPr>
            <w:tcW w:w="1028" w:type="dxa"/>
          </w:tcPr>
          <w:p w14:paraId="18C26E92"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0.04</w:t>
            </w:r>
          </w:p>
        </w:tc>
      </w:tr>
      <w:tr w:rsidR="000342B3" w:rsidRPr="00697F85" w14:paraId="2B85E586" w14:textId="77777777" w:rsidTr="000922B6">
        <w:trPr>
          <w:trHeight w:val="136"/>
          <w:jc w:val="center"/>
        </w:trPr>
        <w:tc>
          <w:tcPr>
            <w:tcW w:w="1838" w:type="dxa"/>
            <w:vAlign w:val="center"/>
          </w:tcPr>
          <w:p w14:paraId="2A74CE5D"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Tablet Assay (%)</w:t>
            </w:r>
          </w:p>
        </w:tc>
        <w:tc>
          <w:tcPr>
            <w:tcW w:w="918" w:type="dxa"/>
            <w:vAlign w:val="center"/>
          </w:tcPr>
          <w:p w14:paraId="5E1D883F"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99.1%</w:t>
            </w:r>
          </w:p>
        </w:tc>
        <w:tc>
          <w:tcPr>
            <w:tcW w:w="1111" w:type="dxa"/>
            <w:vAlign w:val="center"/>
          </w:tcPr>
          <w:p w14:paraId="2E00B726"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99.5%</w:t>
            </w:r>
          </w:p>
        </w:tc>
        <w:tc>
          <w:tcPr>
            <w:tcW w:w="1021" w:type="dxa"/>
            <w:vAlign w:val="center"/>
          </w:tcPr>
          <w:p w14:paraId="6C7EF39C"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100.6%</w:t>
            </w:r>
          </w:p>
        </w:tc>
        <w:tc>
          <w:tcPr>
            <w:tcW w:w="1095" w:type="dxa"/>
            <w:vAlign w:val="center"/>
          </w:tcPr>
          <w:p w14:paraId="5D549A76" w14:textId="77777777" w:rsidR="000342B3" w:rsidRPr="00697F85" w:rsidRDefault="000342B3" w:rsidP="005A55AF">
            <w:pPr>
              <w:pStyle w:val="NormalBody"/>
              <w:spacing w:after="0" w:line="240" w:lineRule="auto"/>
              <w:jc w:val="center"/>
              <w:rPr>
                <w:rFonts w:ascii="Arial" w:hAnsi="Arial" w:cs="Arial"/>
                <w:color w:val="FF0000"/>
                <w:sz w:val="20"/>
              </w:rPr>
            </w:pPr>
            <w:r w:rsidRPr="00697F85">
              <w:rPr>
                <w:rFonts w:ascii="Arial" w:hAnsi="Arial" w:cs="Arial"/>
                <w:sz w:val="20"/>
              </w:rPr>
              <w:t>99.8%</w:t>
            </w:r>
          </w:p>
        </w:tc>
        <w:tc>
          <w:tcPr>
            <w:tcW w:w="1028" w:type="dxa"/>
          </w:tcPr>
          <w:p w14:paraId="11B68533"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98.7</w:t>
            </w:r>
          </w:p>
        </w:tc>
        <w:tc>
          <w:tcPr>
            <w:tcW w:w="1028" w:type="dxa"/>
          </w:tcPr>
          <w:p w14:paraId="2220B153"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100.4</w:t>
            </w:r>
          </w:p>
        </w:tc>
        <w:tc>
          <w:tcPr>
            <w:tcW w:w="1028" w:type="dxa"/>
          </w:tcPr>
          <w:p w14:paraId="5B3F6EAE"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99.5</w:t>
            </w:r>
          </w:p>
        </w:tc>
      </w:tr>
      <w:tr w:rsidR="000342B3" w:rsidRPr="00697F85" w14:paraId="29A9AC0A" w14:textId="77777777" w:rsidTr="000922B6">
        <w:trPr>
          <w:trHeight w:val="136"/>
          <w:jc w:val="center"/>
        </w:trPr>
        <w:tc>
          <w:tcPr>
            <w:tcW w:w="1838" w:type="dxa"/>
            <w:vAlign w:val="center"/>
          </w:tcPr>
          <w:p w14:paraId="4AC31720"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Floating lag time (seconds)</w:t>
            </w:r>
          </w:p>
        </w:tc>
        <w:tc>
          <w:tcPr>
            <w:tcW w:w="918" w:type="dxa"/>
            <w:vAlign w:val="center"/>
          </w:tcPr>
          <w:p w14:paraId="395B1179"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Not Floated</w:t>
            </w:r>
          </w:p>
        </w:tc>
        <w:tc>
          <w:tcPr>
            <w:tcW w:w="1111" w:type="dxa"/>
            <w:vAlign w:val="center"/>
          </w:tcPr>
          <w:p w14:paraId="75BA298B"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Not Floated</w:t>
            </w:r>
          </w:p>
        </w:tc>
        <w:tc>
          <w:tcPr>
            <w:tcW w:w="1021" w:type="dxa"/>
            <w:vAlign w:val="center"/>
          </w:tcPr>
          <w:p w14:paraId="01D8AA7E"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30</w:t>
            </w:r>
          </w:p>
        </w:tc>
        <w:tc>
          <w:tcPr>
            <w:tcW w:w="1095" w:type="dxa"/>
            <w:vAlign w:val="center"/>
          </w:tcPr>
          <w:p w14:paraId="701153F3"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5400</w:t>
            </w:r>
          </w:p>
        </w:tc>
        <w:tc>
          <w:tcPr>
            <w:tcW w:w="1028" w:type="dxa"/>
            <w:vAlign w:val="center"/>
          </w:tcPr>
          <w:p w14:paraId="63CE899D" w14:textId="77777777" w:rsidR="000342B3" w:rsidRPr="00697F85" w:rsidRDefault="000342B3" w:rsidP="000922B6">
            <w:pPr>
              <w:pStyle w:val="NormalBody"/>
              <w:spacing w:after="0" w:line="240" w:lineRule="auto"/>
              <w:jc w:val="center"/>
              <w:rPr>
                <w:rFonts w:ascii="Arial" w:hAnsi="Arial" w:cs="Arial"/>
                <w:sz w:val="20"/>
              </w:rPr>
            </w:pPr>
            <w:r w:rsidRPr="00697F85">
              <w:rPr>
                <w:rFonts w:ascii="Arial" w:hAnsi="Arial" w:cs="Arial"/>
                <w:sz w:val="20"/>
              </w:rPr>
              <w:t>NA</w:t>
            </w:r>
          </w:p>
        </w:tc>
        <w:tc>
          <w:tcPr>
            <w:tcW w:w="1028" w:type="dxa"/>
            <w:vAlign w:val="center"/>
          </w:tcPr>
          <w:p w14:paraId="05823204" w14:textId="77777777" w:rsidR="000342B3" w:rsidRPr="00697F85" w:rsidRDefault="000342B3" w:rsidP="000922B6">
            <w:pPr>
              <w:pStyle w:val="NormalBody"/>
              <w:spacing w:after="0" w:line="240" w:lineRule="auto"/>
              <w:jc w:val="center"/>
              <w:rPr>
                <w:rFonts w:ascii="Arial" w:hAnsi="Arial" w:cs="Arial"/>
                <w:sz w:val="20"/>
              </w:rPr>
            </w:pPr>
            <w:r w:rsidRPr="00697F85">
              <w:rPr>
                <w:rFonts w:ascii="Arial" w:hAnsi="Arial" w:cs="Arial"/>
                <w:sz w:val="20"/>
              </w:rPr>
              <w:t>NA</w:t>
            </w:r>
          </w:p>
        </w:tc>
        <w:tc>
          <w:tcPr>
            <w:tcW w:w="1028" w:type="dxa"/>
            <w:vAlign w:val="center"/>
          </w:tcPr>
          <w:p w14:paraId="6EC57F18" w14:textId="77777777" w:rsidR="000342B3" w:rsidRPr="00697F85" w:rsidRDefault="000342B3" w:rsidP="000922B6">
            <w:pPr>
              <w:pStyle w:val="NormalBody"/>
              <w:spacing w:after="0" w:line="240" w:lineRule="auto"/>
              <w:jc w:val="center"/>
              <w:rPr>
                <w:rFonts w:ascii="Arial" w:hAnsi="Arial" w:cs="Arial"/>
                <w:sz w:val="20"/>
              </w:rPr>
            </w:pPr>
            <w:r w:rsidRPr="00697F85">
              <w:rPr>
                <w:rFonts w:ascii="Arial" w:hAnsi="Arial" w:cs="Arial"/>
                <w:sz w:val="20"/>
              </w:rPr>
              <w:t>NA</w:t>
            </w:r>
          </w:p>
        </w:tc>
      </w:tr>
      <w:tr w:rsidR="000342B3" w:rsidRPr="00697F85" w14:paraId="3A38483B" w14:textId="77777777" w:rsidTr="000922B6">
        <w:trPr>
          <w:trHeight w:val="136"/>
          <w:jc w:val="center"/>
        </w:trPr>
        <w:tc>
          <w:tcPr>
            <w:tcW w:w="1838" w:type="dxa"/>
            <w:vAlign w:val="center"/>
          </w:tcPr>
          <w:p w14:paraId="6D39B9E5" w14:textId="10750B0F" w:rsidR="000342B3" w:rsidRPr="00697F85" w:rsidRDefault="00F548EC" w:rsidP="005A55AF">
            <w:pPr>
              <w:spacing w:after="0" w:line="240" w:lineRule="auto"/>
              <w:rPr>
                <w:rFonts w:ascii="Arial" w:hAnsi="Arial" w:cs="Arial"/>
                <w:sz w:val="20"/>
                <w:szCs w:val="20"/>
              </w:rPr>
            </w:pPr>
            <w:r>
              <w:rPr>
                <w:rFonts w:ascii="Arial" w:hAnsi="Arial" w:cs="Arial"/>
                <w:sz w:val="20"/>
                <w:szCs w:val="20"/>
              </w:rPr>
              <w:t>F</w:t>
            </w:r>
            <w:r w:rsidR="000342B3" w:rsidRPr="00697F85">
              <w:rPr>
                <w:rFonts w:ascii="Arial" w:hAnsi="Arial" w:cs="Arial"/>
                <w:sz w:val="20"/>
                <w:szCs w:val="20"/>
              </w:rPr>
              <w:t>loating buoyancy time (h)</w:t>
            </w:r>
          </w:p>
        </w:tc>
        <w:tc>
          <w:tcPr>
            <w:tcW w:w="918" w:type="dxa"/>
            <w:vAlign w:val="center"/>
          </w:tcPr>
          <w:p w14:paraId="5A9D8438"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Not Floated</w:t>
            </w:r>
          </w:p>
        </w:tc>
        <w:tc>
          <w:tcPr>
            <w:tcW w:w="1111" w:type="dxa"/>
            <w:vAlign w:val="center"/>
          </w:tcPr>
          <w:p w14:paraId="67E64643"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Not Floated</w:t>
            </w:r>
          </w:p>
        </w:tc>
        <w:tc>
          <w:tcPr>
            <w:tcW w:w="1021" w:type="dxa"/>
            <w:vAlign w:val="center"/>
          </w:tcPr>
          <w:p w14:paraId="08226417"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16</w:t>
            </w:r>
          </w:p>
        </w:tc>
        <w:tc>
          <w:tcPr>
            <w:tcW w:w="1095" w:type="dxa"/>
            <w:vAlign w:val="center"/>
          </w:tcPr>
          <w:p w14:paraId="2A66817A"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10</w:t>
            </w:r>
          </w:p>
        </w:tc>
        <w:tc>
          <w:tcPr>
            <w:tcW w:w="1028" w:type="dxa"/>
            <w:vAlign w:val="center"/>
          </w:tcPr>
          <w:p w14:paraId="3981E4DC" w14:textId="77777777" w:rsidR="000342B3" w:rsidRPr="00697F85" w:rsidRDefault="000342B3" w:rsidP="000922B6">
            <w:pPr>
              <w:pStyle w:val="NormalBody"/>
              <w:spacing w:after="0" w:line="240" w:lineRule="auto"/>
              <w:jc w:val="center"/>
              <w:rPr>
                <w:rFonts w:ascii="Arial" w:hAnsi="Arial" w:cs="Arial"/>
                <w:sz w:val="20"/>
              </w:rPr>
            </w:pPr>
            <w:r w:rsidRPr="00697F85">
              <w:rPr>
                <w:rFonts w:ascii="Arial" w:hAnsi="Arial" w:cs="Arial"/>
                <w:sz w:val="20"/>
              </w:rPr>
              <w:t>NA</w:t>
            </w:r>
          </w:p>
        </w:tc>
        <w:tc>
          <w:tcPr>
            <w:tcW w:w="1028" w:type="dxa"/>
            <w:vAlign w:val="center"/>
          </w:tcPr>
          <w:p w14:paraId="4735A6F6" w14:textId="77777777" w:rsidR="000342B3" w:rsidRPr="00697F85" w:rsidRDefault="000342B3" w:rsidP="000922B6">
            <w:pPr>
              <w:pStyle w:val="NormalBody"/>
              <w:spacing w:after="0" w:line="240" w:lineRule="auto"/>
              <w:jc w:val="center"/>
              <w:rPr>
                <w:rFonts w:ascii="Arial" w:hAnsi="Arial" w:cs="Arial"/>
                <w:sz w:val="20"/>
              </w:rPr>
            </w:pPr>
            <w:r w:rsidRPr="00697F85">
              <w:rPr>
                <w:rFonts w:ascii="Arial" w:hAnsi="Arial" w:cs="Arial"/>
                <w:sz w:val="20"/>
              </w:rPr>
              <w:t>NA</w:t>
            </w:r>
          </w:p>
        </w:tc>
        <w:tc>
          <w:tcPr>
            <w:tcW w:w="1028" w:type="dxa"/>
            <w:vAlign w:val="center"/>
          </w:tcPr>
          <w:p w14:paraId="7052F971" w14:textId="77777777" w:rsidR="000342B3" w:rsidRPr="00697F85" w:rsidRDefault="000342B3" w:rsidP="000922B6">
            <w:pPr>
              <w:pStyle w:val="NormalBody"/>
              <w:spacing w:after="0" w:line="240" w:lineRule="auto"/>
              <w:jc w:val="center"/>
              <w:rPr>
                <w:rFonts w:ascii="Arial" w:hAnsi="Arial" w:cs="Arial"/>
                <w:sz w:val="20"/>
              </w:rPr>
            </w:pPr>
            <w:r w:rsidRPr="00697F85">
              <w:rPr>
                <w:rFonts w:ascii="Arial" w:hAnsi="Arial" w:cs="Arial"/>
                <w:sz w:val="20"/>
              </w:rPr>
              <w:t>NA</w:t>
            </w:r>
          </w:p>
        </w:tc>
      </w:tr>
      <w:tr w:rsidR="000342B3" w:rsidRPr="00697F85" w14:paraId="48455C9C" w14:textId="77777777" w:rsidTr="000922B6">
        <w:trPr>
          <w:trHeight w:val="136"/>
          <w:jc w:val="center"/>
        </w:trPr>
        <w:tc>
          <w:tcPr>
            <w:tcW w:w="1838" w:type="dxa"/>
            <w:vAlign w:val="center"/>
          </w:tcPr>
          <w:p w14:paraId="1C37D3BB" w14:textId="61411A1F" w:rsidR="000342B3" w:rsidRPr="00697F85" w:rsidRDefault="000922B6" w:rsidP="005A55AF">
            <w:pPr>
              <w:spacing w:after="0" w:line="240" w:lineRule="auto"/>
              <w:rPr>
                <w:rFonts w:ascii="Arial" w:hAnsi="Arial" w:cs="Arial"/>
                <w:sz w:val="20"/>
                <w:szCs w:val="20"/>
              </w:rPr>
            </w:pPr>
            <w:r>
              <w:rPr>
                <w:rFonts w:ascii="Arial" w:hAnsi="Arial" w:cs="Arial"/>
                <w:sz w:val="20"/>
                <w:szCs w:val="20"/>
              </w:rPr>
              <w:t>SI</w:t>
            </w:r>
            <w:r w:rsidR="000342B3" w:rsidRPr="00697F85">
              <w:rPr>
                <w:rFonts w:ascii="Arial" w:hAnsi="Arial" w:cs="Arial"/>
                <w:sz w:val="20"/>
                <w:szCs w:val="20"/>
              </w:rPr>
              <w:t xml:space="preserve"> (%)</w:t>
            </w:r>
          </w:p>
        </w:tc>
        <w:tc>
          <w:tcPr>
            <w:tcW w:w="918" w:type="dxa"/>
            <w:vAlign w:val="center"/>
          </w:tcPr>
          <w:p w14:paraId="24C26DAC"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35</w:t>
            </w:r>
          </w:p>
        </w:tc>
        <w:tc>
          <w:tcPr>
            <w:tcW w:w="1111" w:type="dxa"/>
            <w:vAlign w:val="center"/>
          </w:tcPr>
          <w:p w14:paraId="51F636ED"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50</w:t>
            </w:r>
          </w:p>
        </w:tc>
        <w:tc>
          <w:tcPr>
            <w:tcW w:w="1021" w:type="dxa"/>
            <w:vAlign w:val="center"/>
          </w:tcPr>
          <w:p w14:paraId="6DA5FAF6"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68</w:t>
            </w:r>
          </w:p>
        </w:tc>
        <w:tc>
          <w:tcPr>
            <w:tcW w:w="1095" w:type="dxa"/>
          </w:tcPr>
          <w:p w14:paraId="1399998B"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48</w:t>
            </w:r>
          </w:p>
        </w:tc>
        <w:tc>
          <w:tcPr>
            <w:tcW w:w="1028" w:type="dxa"/>
          </w:tcPr>
          <w:p w14:paraId="06A42BD0"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50</w:t>
            </w:r>
          </w:p>
        </w:tc>
        <w:tc>
          <w:tcPr>
            <w:tcW w:w="1028" w:type="dxa"/>
          </w:tcPr>
          <w:p w14:paraId="63317485"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60</w:t>
            </w:r>
          </w:p>
        </w:tc>
        <w:tc>
          <w:tcPr>
            <w:tcW w:w="1028" w:type="dxa"/>
          </w:tcPr>
          <w:p w14:paraId="7B5007BA"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70</w:t>
            </w:r>
          </w:p>
        </w:tc>
      </w:tr>
      <w:tr w:rsidR="000342B3" w:rsidRPr="00697F85" w14:paraId="70453701" w14:textId="77777777" w:rsidTr="000922B6">
        <w:trPr>
          <w:trHeight w:val="136"/>
          <w:jc w:val="center"/>
        </w:trPr>
        <w:tc>
          <w:tcPr>
            <w:tcW w:w="1838" w:type="dxa"/>
            <w:vAlign w:val="center"/>
          </w:tcPr>
          <w:p w14:paraId="27FEB832"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Erosion (%)</w:t>
            </w:r>
          </w:p>
        </w:tc>
        <w:tc>
          <w:tcPr>
            <w:tcW w:w="918" w:type="dxa"/>
            <w:vAlign w:val="center"/>
          </w:tcPr>
          <w:p w14:paraId="71ED22BD"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50</w:t>
            </w:r>
          </w:p>
        </w:tc>
        <w:tc>
          <w:tcPr>
            <w:tcW w:w="1111" w:type="dxa"/>
            <w:vAlign w:val="center"/>
          </w:tcPr>
          <w:p w14:paraId="315A9EED"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42</w:t>
            </w:r>
          </w:p>
        </w:tc>
        <w:tc>
          <w:tcPr>
            <w:tcW w:w="1021" w:type="dxa"/>
            <w:vAlign w:val="center"/>
          </w:tcPr>
          <w:p w14:paraId="7C8FC415"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20</w:t>
            </w:r>
          </w:p>
        </w:tc>
        <w:tc>
          <w:tcPr>
            <w:tcW w:w="1095" w:type="dxa"/>
          </w:tcPr>
          <w:p w14:paraId="32625F9A"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38</w:t>
            </w:r>
          </w:p>
        </w:tc>
        <w:tc>
          <w:tcPr>
            <w:tcW w:w="1028" w:type="dxa"/>
          </w:tcPr>
          <w:p w14:paraId="02FA6819"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40</w:t>
            </w:r>
          </w:p>
        </w:tc>
        <w:tc>
          <w:tcPr>
            <w:tcW w:w="1028" w:type="dxa"/>
          </w:tcPr>
          <w:p w14:paraId="5B782FB1"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26</w:t>
            </w:r>
          </w:p>
        </w:tc>
        <w:tc>
          <w:tcPr>
            <w:tcW w:w="1028" w:type="dxa"/>
          </w:tcPr>
          <w:p w14:paraId="2CCA8461"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20</w:t>
            </w:r>
          </w:p>
        </w:tc>
      </w:tr>
    </w:tbl>
    <w:p w14:paraId="2A5C234A" w14:textId="63E5FFFA" w:rsidR="000342B3" w:rsidRPr="00CB4F5D" w:rsidRDefault="00CB4F5D" w:rsidP="005A55AF">
      <w:pPr>
        <w:spacing w:after="0" w:line="240" w:lineRule="auto"/>
        <w:jc w:val="both"/>
        <w:rPr>
          <w:rFonts w:ascii="Arial" w:eastAsia="Times New Roman" w:hAnsi="Arial" w:cs="Arial"/>
          <w:sz w:val="16"/>
          <w:szCs w:val="16"/>
          <w:lang w:eastAsia="en-IN"/>
        </w:rPr>
      </w:pPr>
      <w:r w:rsidRPr="00CB4F5D">
        <w:rPr>
          <w:rFonts w:ascii="Arial" w:eastAsia="Times New Roman" w:hAnsi="Arial" w:cs="Arial"/>
          <w:sz w:val="16"/>
          <w:szCs w:val="16"/>
          <w:lang w:eastAsia="en-IN"/>
        </w:rPr>
        <w:t># Formulation prepared with low spray rate</w:t>
      </w:r>
      <w:r>
        <w:rPr>
          <w:rFonts w:ascii="Arial" w:eastAsia="Times New Roman" w:hAnsi="Arial" w:cs="Arial"/>
          <w:sz w:val="16"/>
          <w:szCs w:val="16"/>
          <w:lang w:eastAsia="en-IN"/>
        </w:rPr>
        <w:t xml:space="preserve"> during granulation</w:t>
      </w:r>
      <w:r w:rsidR="000922B6">
        <w:rPr>
          <w:rFonts w:ascii="Arial" w:eastAsia="Times New Roman" w:hAnsi="Arial" w:cs="Arial"/>
          <w:sz w:val="16"/>
          <w:szCs w:val="16"/>
          <w:lang w:eastAsia="en-IN"/>
        </w:rPr>
        <w:t xml:space="preserve">; NA – Not applicable; BD - </w:t>
      </w:r>
      <w:r w:rsidR="000922B6" w:rsidRPr="000922B6">
        <w:rPr>
          <w:rFonts w:ascii="Arial" w:eastAsia="Times New Roman" w:hAnsi="Arial" w:cs="Arial"/>
          <w:sz w:val="16"/>
          <w:szCs w:val="16"/>
          <w:lang w:eastAsia="en-IN"/>
        </w:rPr>
        <w:t xml:space="preserve">Bulk Density; </w:t>
      </w:r>
      <w:r w:rsidR="000922B6">
        <w:rPr>
          <w:rFonts w:ascii="Arial" w:eastAsia="Times New Roman" w:hAnsi="Arial" w:cs="Arial"/>
          <w:sz w:val="16"/>
          <w:szCs w:val="16"/>
          <w:lang w:eastAsia="en-IN"/>
        </w:rPr>
        <w:t>TD-</w:t>
      </w:r>
      <w:r w:rsidR="000922B6" w:rsidRPr="000922B6">
        <w:rPr>
          <w:rFonts w:ascii="Arial" w:eastAsia="Times New Roman" w:hAnsi="Arial" w:cs="Arial"/>
          <w:sz w:val="16"/>
          <w:szCs w:val="16"/>
          <w:lang w:eastAsia="en-IN"/>
        </w:rPr>
        <w:t>Tapped Density</w:t>
      </w:r>
      <w:r w:rsidR="009425F1">
        <w:rPr>
          <w:rFonts w:ascii="Arial" w:eastAsia="Times New Roman" w:hAnsi="Arial" w:cs="Arial"/>
          <w:sz w:val="16"/>
          <w:szCs w:val="16"/>
          <w:lang w:eastAsia="en-IN"/>
        </w:rPr>
        <w:t>; SI -</w:t>
      </w:r>
      <w:r w:rsidR="009425F1" w:rsidRPr="009425F1">
        <w:rPr>
          <w:rFonts w:ascii="Arial" w:hAnsi="Arial" w:cs="Arial"/>
          <w:sz w:val="20"/>
          <w:szCs w:val="20"/>
        </w:rPr>
        <w:t xml:space="preserve"> </w:t>
      </w:r>
      <w:r w:rsidR="009425F1" w:rsidRPr="009425F1">
        <w:rPr>
          <w:rFonts w:ascii="Arial" w:eastAsia="Times New Roman" w:hAnsi="Arial" w:cs="Arial"/>
          <w:sz w:val="16"/>
          <w:szCs w:val="16"/>
          <w:lang w:eastAsia="en-IN"/>
        </w:rPr>
        <w:t>Swelling index</w:t>
      </w:r>
      <w:r w:rsidR="000922B6" w:rsidRPr="000922B6">
        <w:rPr>
          <w:rFonts w:ascii="Arial" w:eastAsia="Times New Roman" w:hAnsi="Arial" w:cs="Arial"/>
          <w:sz w:val="16"/>
          <w:szCs w:val="16"/>
          <w:lang w:eastAsia="en-IN"/>
        </w:rPr>
        <w:t xml:space="preserve"> </w:t>
      </w:r>
      <w:r w:rsidR="000922B6">
        <w:rPr>
          <w:rFonts w:ascii="Arial" w:eastAsia="Times New Roman" w:hAnsi="Arial" w:cs="Arial"/>
          <w:sz w:val="16"/>
          <w:szCs w:val="16"/>
          <w:lang w:eastAsia="en-IN"/>
        </w:rPr>
        <w:t xml:space="preserve"> </w:t>
      </w:r>
    </w:p>
    <w:p w14:paraId="3BE0C8AD" w14:textId="77777777" w:rsidR="00CB4F5D" w:rsidRPr="000922B6" w:rsidRDefault="00CB4F5D" w:rsidP="005A55AF">
      <w:pPr>
        <w:spacing w:after="0" w:line="240" w:lineRule="auto"/>
        <w:jc w:val="both"/>
        <w:rPr>
          <w:rFonts w:ascii="Arial" w:eastAsia="Times New Roman" w:hAnsi="Arial" w:cs="Arial"/>
          <w:sz w:val="16"/>
          <w:szCs w:val="16"/>
          <w:lang w:eastAsia="en-IN"/>
        </w:rPr>
      </w:pPr>
    </w:p>
    <w:p w14:paraId="2BC2A686" w14:textId="54B5D277" w:rsidR="000342B3" w:rsidRDefault="000342B3" w:rsidP="00AC0E2C">
      <w:pPr>
        <w:pStyle w:val="Heading1"/>
        <w:numPr>
          <w:ilvl w:val="1"/>
          <w:numId w:val="5"/>
        </w:numPr>
        <w:tabs>
          <w:tab w:val="left" w:pos="426"/>
        </w:tabs>
        <w:spacing w:before="0" w:line="240" w:lineRule="auto"/>
        <w:jc w:val="both"/>
        <w:rPr>
          <w:rFonts w:ascii="Arial" w:eastAsia="Times New Roman" w:hAnsi="Arial" w:cs="Arial"/>
          <w:b/>
          <w:color w:val="000000" w:themeColor="text1"/>
          <w:sz w:val="22"/>
          <w:szCs w:val="22"/>
          <w:lang w:eastAsia="en-IN"/>
        </w:rPr>
      </w:pPr>
      <w:r w:rsidRPr="00AC0E2C">
        <w:rPr>
          <w:rFonts w:ascii="Arial" w:eastAsia="Times New Roman" w:hAnsi="Arial" w:cs="Arial"/>
          <w:b/>
          <w:color w:val="000000" w:themeColor="text1"/>
          <w:sz w:val="22"/>
          <w:szCs w:val="22"/>
          <w:lang w:eastAsia="en-IN"/>
        </w:rPr>
        <w:t>Swelling and Erosion results</w:t>
      </w:r>
    </w:p>
    <w:p w14:paraId="3F834571" w14:textId="77777777" w:rsidR="00AC0E2C" w:rsidRDefault="00AC0E2C" w:rsidP="005A55AF">
      <w:pPr>
        <w:spacing w:after="0" w:line="240" w:lineRule="auto"/>
        <w:jc w:val="both"/>
        <w:rPr>
          <w:rFonts w:ascii="Arial" w:eastAsia="Times New Roman" w:hAnsi="Arial" w:cs="Arial"/>
          <w:sz w:val="20"/>
          <w:szCs w:val="20"/>
          <w:lang w:eastAsia="en-IN"/>
        </w:rPr>
      </w:pPr>
    </w:p>
    <w:p w14:paraId="657B37F2" w14:textId="2E532CC6" w:rsidR="000342B3" w:rsidRPr="00DB480E"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 xml:space="preserve">The swelling and erosion behavior of non-floating Metformin HCl matrix tablets (MTH5–MTH7) prepared with varying concentrations of HPMC K100M and PVA (3 cp) as binder demonstrated a clear polymer concentration-dependent response in 0.1 N HCl. All formulations exhibited progressive hydration upon exposure to dissolution medium; however, the magnitude and kinetics of swelling differed significantly. MTH5 (low HPMC level) showed rapid initial water uptake due to faster medium penetration into the relatively less dense matrix, resulting in moderate swelling that plateaued at later time points. In contrast, MTH6 (optimum HPMC level) displayed controlled and sustained hydration with formation of a uniform and coherent gel barrier, leading to gradual and consistent swelling throughout the study period. MTH7 (high HPMC level) demonstrated the highest swelling index, attributable to the formation of a thick, highly viscous gel layer that enhanced liquid </w:t>
      </w:r>
      <w:r w:rsidRPr="00DB480E">
        <w:rPr>
          <w:rFonts w:ascii="Arial" w:eastAsia="Times New Roman" w:hAnsi="Arial" w:cs="Arial"/>
          <w:sz w:val="20"/>
          <w:szCs w:val="20"/>
          <w:lang w:eastAsia="en-IN"/>
        </w:rPr>
        <w:t>uptake while maintaining excellent matrix integrity. The swelling order was observed as MTH7 &gt; MTH6 &gt; MTH5, confirming the critical role of polymer concentration in modulating gel strength and hydration dynamics (</w:t>
      </w:r>
      <w:r w:rsidR="001E3B50" w:rsidRPr="00DB480E">
        <w:rPr>
          <w:rFonts w:ascii="Arial" w:eastAsia="Times New Roman" w:hAnsi="Arial" w:cs="Arial"/>
          <w:sz w:val="20"/>
          <w:szCs w:val="20"/>
          <w:lang w:eastAsia="en-IN"/>
        </w:rPr>
        <w:t>Asula et al., 2015;</w:t>
      </w:r>
      <w:r w:rsidRPr="00DB480E">
        <w:rPr>
          <w:rFonts w:ascii="Arial" w:eastAsia="Times New Roman" w:hAnsi="Arial" w:cs="Arial"/>
          <w:sz w:val="20"/>
          <w:szCs w:val="20"/>
          <w:lang w:eastAsia="en-IN"/>
        </w:rPr>
        <w:t xml:space="preserve"> </w:t>
      </w:r>
      <w:r w:rsidR="001E3B50" w:rsidRPr="00DB480E">
        <w:rPr>
          <w:rFonts w:ascii="Arial" w:eastAsia="Times New Roman" w:hAnsi="Arial" w:cs="Arial"/>
          <w:sz w:val="20"/>
          <w:szCs w:val="20"/>
          <w:lang w:eastAsia="en-IN"/>
        </w:rPr>
        <w:t>Palem et al., 2011</w:t>
      </w:r>
      <w:r w:rsidRPr="00DB480E">
        <w:rPr>
          <w:rFonts w:ascii="Arial" w:eastAsia="Times New Roman" w:hAnsi="Arial" w:cs="Arial"/>
          <w:sz w:val="20"/>
          <w:szCs w:val="20"/>
          <w:lang w:eastAsia="en-IN"/>
        </w:rPr>
        <w:t>).</w:t>
      </w:r>
    </w:p>
    <w:p w14:paraId="23E68F2D" w14:textId="77777777" w:rsidR="00AC0E2C" w:rsidRPr="005A55AF" w:rsidRDefault="00AC0E2C" w:rsidP="005A55AF">
      <w:pPr>
        <w:spacing w:after="0" w:line="240" w:lineRule="auto"/>
        <w:jc w:val="both"/>
        <w:rPr>
          <w:rFonts w:ascii="Arial" w:eastAsia="Times New Roman" w:hAnsi="Arial" w:cs="Arial"/>
          <w:sz w:val="20"/>
          <w:szCs w:val="20"/>
          <w:lang w:eastAsia="en-IN"/>
        </w:rPr>
      </w:pPr>
    </w:p>
    <w:p w14:paraId="431E33E1" w14:textId="5F0F66EB" w:rsidR="000342B3"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Matrix erosion studies further substantiated these findings. MTH5 exhibited the highest percentage erosion, reflecting insufficient gel robustness and increased polymer disentanglement in the acidic medium. MTH6 showed moderate and controlled erosion, indicating a balanced interplay between polymer swelling and surface dissolution. In contrast, MTH7 demonstrated minimal erosion due to the presence of a dense and stable gel barrier that effectively restricted polymer loss. The erosion pattern followed the order MTH5 &gt; MTH6 &gt; MTH7. Collectively, the results indicate that increasing HPMC K100M concentration enhances gel layer formation, reduces matrix erosion, and improves structural integrity. Among the evaluated formulations, MTH6 provided an optimal balance between swelling and erosion, which is essential for achieving consistent controlled-release performance in non-floating hydrophilic matrix tablets of Metformin HCl.</w:t>
      </w:r>
    </w:p>
    <w:p w14:paraId="6CEC40B3" w14:textId="3E7B127B" w:rsidR="00AC0E2C" w:rsidRDefault="00AC0E2C" w:rsidP="005A55AF">
      <w:pPr>
        <w:spacing w:after="0" w:line="240" w:lineRule="auto"/>
        <w:jc w:val="both"/>
        <w:rPr>
          <w:rFonts w:ascii="Arial" w:eastAsia="Times New Roman" w:hAnsi="Arial" w:cs="Arial"/>
          <w:sz w:val="20"/>
          <w:szCs w:val="20"/>
          <w:lang w:eastAsia="en-IN"/>
        </w:rPr>
      </w:pPr>
    </w:p>
    <w:p w14:paraId="4A908502" w14:textId="268FF045" w:rsidR="0091367D" w:rsidRDefault="0091367D" w:rsidP="005A55AF">
      <w:pPr>
        <w:spacing w:after="0" w:line="240" w:lineRule="auto"/>
        <w:jc w:val="both"/>
        <w:rPr>
          <w:rFonts w:ascii="Arial" w:eastAsia="Times New Roman" w:hAnsi="Arial" w:cs="Arial"/>
          <w:sz w:val="20"/>
          <w:szCs w:val="20"/>
          <w:lang w:eastAsia="en-IN"/>
        </w:rPr>
      </w:pPr>
      <w:r>
        <w:rPr>
          <w:rFonts w:ascii="Cambria Math" w:hAnsi="Cambria Math" w:cs="Arial"/>
          <w:noProof/>
          <w:sz w:val="20"/>
          <w:szCs w:val="20"/>
          <w:lang w:eastAsia="en-IN"/>
        </w:rPr>
        <w:lastRenderedPageBreak/>
        <w:drawing>
          <wp:inline distT="0" distB="0" distL="0" distR="0" wp14:anchorId="7B013B70" wp14:editId="3951E40F">
            <wp:extent cx="5731510" cy="37211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jpg"/>
                    <pic:cNvPicPr/>
                  </pic:nvPicPr>
                  <pic:blipFill>
                    <a:blip r:embed="rId8">
                      <a:extLst>
                        <a:ext uri="{28A0092B-C50C-407E-A947-70E740481C1C}">
                          <a14:useLocalDpi xmlns:a14="http://schemas.microsoft.com/office/drawing/2010/main" val="0"/>
                        </a:ext>
                      </a:extLst>
                    </a:blip>
                    <a:stretch>
                      <a:fillRect/>
                    </a:stretch>
                  </pic:blipFill>
                  <pic:spPr>
                    <a:xfrm>
                      <a:off x="0" y="0"/>
                      <a:ext cx="5731510" cy="3721100"/>
                    </a:xfrm>
                    <a:prstGeom prst="rect">
                      <a:avLst/>
                    </a:prstGeom>
                  </pic:spPr>
                </pic:pic>
              </a:graphicData>
            </a:graphic>
          </wp:inline>
        </w:drawing>
      </w:r>
    </w:p>
    <w:p w14:paraId="1186191E" w14:textId="3D1568D7" w:rsidR="009C7264" w:rsidRPr="00D805D1" w:rsidRDefault="009C7264" w:rsidP="009C7264">
      <w:pPr>
        <w:jc w:val="center"/>
        <w:rPr>
          <w:rFonts w:ascii="Arial" w:eastAsia="Times New Roman" w:hAnsi="Arial" w:cs="Arial"/>
          <w:b/>
          <w:sz w:val="20"/>
          <w:szCs w:val="20"/>
          <w:lang w:eastAsia="en-IN"/>
        </w:rPr>
      </w:pPr>
      <w:r w:rsidRPr="00B27F29">
        <w:rPr>
          <w:rFonts w:ascii="Arial" w:eastAsia="Times New Roman" w:hAnsi="Arial" w:cs="Arial"/>
          <w:b/>
          <w:sz w:val="20"/>
          <w:szCs w:val="20"/>
          <w:lang w:eastAsia="en-IN"/>
        </w:rPr>
        <w:t>Fig</w:t>
      </w:r>
      <w:r>
        <w:rPr>
          <w:rFonts w:ascii="Arial" w:eastAsia="Times New Roman" w:hAnsi="Arial" w:cs="Arial"/>
          <w:b/>
          <w:sz w:val="20"/>
          <w:szCs w:val="20"/>
          <w:lang w:eastAsia="en-IN"/>
        </w:rPr>
        <w:t>ure 1:</w:t>
      </w:r>
      <w:r w:rsidRPr="00B27F29">
        <w:rPr>
          <w:rFonts w:ascii="Arial" w:eastAsia="Times New Roman" w:hAnsi="Arial" w:cs="Arial"/>
          <w:b/>
          <w:sz w:val="20"/>
          <w:szCs w:val="20"/>
          <w:lang w:eastAsia="en-IN"/>
        </w:rPr>
        <w:t xml:space="preserve"> </w:t>
      </w:r>
      <w:r w:rsidRPr="009C7264">
        <w:rPr>
          <w:rFonts w:ascii="Arial" w:eastAsia="Times New Roman" w:hAnsi="Arial" w:cs="Arial"/>
          <w:b/>
          <w:sz w:val="20"/>
          <w:szCs w:val="20"/>
          <w:lang w:eastAsia="en-IN"/>
        </w:rPr>
        <w:t xml:space="preserve">Visual representation of the in vitro buoyancy behaviour of Metformin HCl floating tablets at initial and progressive time points and </w:t>
      </w:r>
      <w:r w:rsidRPr="009C7264">
        <w:rPr>
          <w:rFonts w:ascii="Arial" w:hAnsi="Arial" w:cs="Arial"/>
          <w:b/>
          <w:sz w:val="20"/>
          <w:szCs w:val="20"/>
        </w:rPr>
        <w:t>Radiographic visualization of the in vivo buoyancy profile of the optimized MTH3 formulation at different time points.</w:t>
      </w:r>
    </w:p>
    <w:p w14:paraId="78B906F7" w14:textId="0C97F058" w:rsidR="000342B3" w:rsidRPr="00AC0E2C" w:rsidRDefault="000342B3" w:rsidP="00AC0E2C">
      <w:pPr>
        <w:pStyle w:val="ListParagraph"/>
        <w:numPr>
          <w:ilvl w:val="1"/>
          <w:numId w:val="5"/>
        </w:numPr>
        <w:spacing w:after="0" w:line="240" w:lineRule="auto"/>
        <w:jc w:val="both"/>
        <w:rPr>
          <w:rFonts w:ascii="Arial" w:eastAsia="Times New Roman" w:hAnsi="Arial" w:cs="Arial"/>
          <w:b/>
          <w:lang w:eastAsia="en-IN"/>
        </w:rPr>
      </w:pPr>
      <w:r w:rsidRPr="00AC0E2C">
        <w:rPr>
          <w:rFonts w:ascii="Arial" w:eastAsia="Times New Roman" w:hAnsi="Arial" w:cs="Arial"/>
          <w:b/>
          <w:lang w:eastAsia="en-IN"/>
        </w:rPr>
        <w:t>In vitro buoyancy results</w:t>
      </w:r>
    </w:p>
    <w:p w14:paraId="27308CD8" w14:textId="77777777" w:rsidR="00AC0E2C" w:rsidRPr="00AC0E2C" w:rsidRDefault="00AC0E2C" w:rsidP="00AC0E2C">
      <w:pPr>
        <w:pStyle w:val="ListParagraph"/>
        <w:spacing w:after="0" w:line="240" w:lineRule="auto"/>
        <w:ind w:left="360"/>
        <w:jc w:val="both"/>
        <w:rPr>
          <w:rFonts w:ascii="Arial" w:eastAsia="Times New Roman" w:hAnsi="Arial" w:cs="Arial"/>
          <w:b/>
          <w:lang w:eastAsia="en-IN"/>
        </w:rPr>
      </w:pPr>
    </w:p>
    <w:p w14:paraId="6D4D35D4" w14:textId="1330377C" w:rsidR="000342B3" w:rsidRPr="00275A69"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 xml:space="preserve">The in vitro buoyancy results presented in </w:t>
      </w:r>
      <w:r w:rsidRPr="009C7264">
        <w:rPr>
          <w:rFonts w:ascii="Arial" w:eastAsia="Times New Roman" w:hAnsi="Arial" w:cs="Arial"/>
          <w:b/>
          <w:sz w:val="20"/>
          <w:szCs w:val="20"/>
          <w:lang w:eastAsia="en-IN"/>
        </w:rPr>
        <w:t>Table 1</w:t>
      </w:r>
      <w:r w:rsidRPr="005A55AF">
        <w:rPr>
          <w:rFonts w:ascii="Arial" w:eastAsia="Times New Roman" w:hAnsi="Arial" w:cs="Arial"/>
          <w:sz w:val="20"/>
          <w:szCs w:val="20"/>
          <w:lang w:eastAsia="en-IN"/>
        </w:rPr>
        <w:t xml:space="preserve"> demonstrate a clear dependence of floating performance on the viscosity grade of the PVA incorporated into the formulation. A distinct trend emerged wherein formulations containing higher-viscosity PVA exhibited markedly improved buoyancy characteristics compared with those containing lower-viscosity grades. Among all formulations, MTH3 formulated with 40cP PVA </w:t>
      </w:r>
      <w:r w:rsidRPr="00275A69">
        <w:rPr>
          <w:rFonts w:ascii="Arial" w:eastAsia="Times New Roman" w:hAnsi="Arial" w:cs="Arial"/>
          <w:sz w:val="20"/>
          <w:szCs w:val="20"/>
          <w:lang w:eastAsia="en-IN"/>
        </w:rPr>
        <w:t xml:space="preserve">showed the most desirable floating behavior, characterized by a rapid floating lag time of approximately 20 seconds and a prolonged total floating duration exceeding 16 hours. This superior buoyancy can be attributed to the enhanced gel-forming ability and stronger hydration characteristics of the higher-viscosity polymer. Upon contact with medium, the 40 </w:t>
      </w:r>
      <w:proofErr w:type="spellStart"/>
      <w:r w:rsidRPr="00275A69">
        <w:rPr>
          <w:rFonts w:ascii="Arial" w:eastAsia="Times New Roman" w:hAnsi="Arial" w:cs="Arial"/>
          <w:sz w:val="20"/>
          <w:szCs w:val="20"/>
          <w:lang w:eastAsia="en-IN"/>
        </w:rPr>
        <w:t>cP</w:t>
      </w:r>
      <w:proofErr w:type="spellEnd"/>
      <w:r w:rsidRPr="00275A69">
        <w:rPr>
          <w:rFonts w:ascii="Arial" w:eastAsia="Times New Roman" w:hAnsi="Arial" w:cs="Arial"/>
          <w:sz w:val="20"/>
          <w:szCs w:val="20"/>
          <w:lang w:eastAsia="en-IN"/>
        </w:rPr>
        <w:t xml:space="preserve"> PVA likely forms a more cohesive and robust gel layer, which facilitates rapid entrapment of air within the matrix and promotes early onset of floatation. The thicker hydrated barrier also slows fluid ingress, enabling sustained buoyancy over extended periods.</w:t>
      </w:r>
    </w:p>
    <w:p w14:paraId="3BCD3D3B" w14:textId="77777777" w:rsidR="00AC0E2C" w:rsidRPr="00275A69" w:rsidRDefault="00AC0E2C" w:rsidP="005A55AF">
      <w:pPr>
        <w:spacing w:after="0" w:line="240" w:lineRule="auto"/>
        <w:jc w:val="both"/>
        <w:rPr>
          <w:rFonts w:ascii="Arial" w:eastAsia="Times New Roman" w:hAnsi="Arial" w:cs="Arial"/>
          <w:sz w:val="20"/>
          <w:szCs w:val="20"/>
          <w:lang w:eastAsia="en-IN"/>
        </w:rPr>
      </w:pPr>
    </w:p>
    <w:p w14:paraId="4616E8D9" w14:textId="55D75679" w:rsidR="000342B3" w:rsidRDefault="000342B3" w:rsidP="005A55AF">
      <w:pPr>
        <w:spacing w:after="0" w:line="240" w:lineRule="auto"/>
        <w:jc w:val="both"/>
        <w:rPr>
          <w:rFonts w:ascii="Arial" w:eastAsia="Times New Roman" w:hAnsi="Arial" w:cs="Arial"/>
          <w:sz w:val="20"/>
          <w:szCs w:val="20"/>
          <w:lang w:eastAsia="en-IN"/>
        </w:rPr>
      </w:pPr>
      <w:r w:rsidRPr="00275A69">
        <w:rPr>
          <w:rFonts w:ascii="Arial" w:eastAsia="Times New Roman" w:hAnsi="Arial" w:cs="Arial"/>
          <w:sz w:val="20"/>
          <w:szCs w:val="20"/>
          <w:lang w:eastAsia="en-IN"/>
        </w:rPr>
        <w:t>In contrast, formulations containing lower-viscosity PVA grades (MTH1 and MTH2) failed to float under test conditions. Lower-viscosity polymers typically exhibit weaker gel structures and reduced matrix-forming ability, leading to insufficient swelling and inadequate air entrapment, thereby preventing the generation of the necessary buoyant force. These findings suggest that low-viscosity PVA is unable to support the matrix integrity required for floating tablet systems. Additionally, the formulation MTH4, manufactured using a slow spray rate during granulation, displayed a significantly prolonged floating lag time of approximately 90 minutes and a reduced total floating duration of around 10 hours.</w:t>
      </w:r>
      <w:r w:rsidRPr="005A55AF">
        <w:rPr>
          <w:rFonts w:ascii="Arial" w:eastAsia="Times New Roman" w:hAnsi="Arial" w:cs="Arial"/>
          <w:sz w:val="20"/>
          <w:szCs w:val="20"/>
          <w:lang w:eastAsia="en-IN"/>
        </w:rPr>
        <w:t xml:space="preserve"> The extended lag time in this batch may be attributed to suboptimal granule densification resulting from the slow spray rate, which can lead to a more compact matrix with slower hydration kinetics. Such structural differences could delay gel-layer formation and hinder the rapid entrapment of air, thereby reducing the efficiency and duration of floatation. Overall, these results confirm that both the viscosity grade of PVA and the granulation spray rate play crucial roles in determining the buoyancy performance of </w:t>
      </w:r>
      <w:r w:rsidR="00F548EC">
        <w:rPr>
          <w:rFonts w:ascii="Arial" w:eastAsia="Times New Roman" w:hAnsi="Arial" w:cs="Arial"/>
          <w:sz w:val="20"/>
          <w:szCs w:val="20"/>
          <w:lang w:eastAsia="en-IN"/>
        </w:rPr>
        <w:t>M</w:t>
      </w:r>
      <w:r w:rsidRPr="005A55AF">
        <w:rPr>
          <w:rFonts w:ascii="Arial" w:eastAsia="Times New Roman" w:hAnsi="Arial" w:cs="Arial"/>
          <w:sz w:val="20"/>
          <w:szCs w:val="20"/>
          <w:lang w:eastAsia="en-IN"/>
        </w:rPr>
        <w:t>etformin HCl floating tablets. Higher-viscosity polymers, combined with optimized granulation conditions, appear essential for achieving rapid and sustained floatation in gastroretentive dosage forms.</w:t>
      </w:r>
    </w:p>
    <w:p w14:paraId="24B7C045" w14:textId="11318BC1" w:rsidR="00AC0E2C" w:rsidRDefault="00AC0E2C" w:rsidP="005A55AF">
      <w:pPr>
        <w:spacing w:after="0" w:line="240" w:lineRule="auto"/>
        <w:jc w:val="both"/>
        <w:rPr>
          <w:rFonts w:ascii="Arial" w:eastAsia="Times New Roman" w:hAnsi="Arial" w:cs="Arial"/>
          <w:sz w:val="20"/>
          <w:szCs w:val="20"/>
          <w:lang w:eastAsia="en-IN"/>
        </w:rPr>
      </w:pPr>
    </w:p>
    <w:p w14:paraId="34CB13CD" w14:textId="77777777" w:rsidR="00275A69" w:rsidRPr="005A55AF" w:rsidRDefault="00275A69" w:rsidP="005A55AF">
      <w:pPr>
        <w:spacing w:after="0" w:line="240" w:lineRule="auto"/>
        <w:jc w:val="both"/>
        <w:rPr>
          <w:rFonts w:ascii="Arial" w:eastAsia="Times New Roman" w:hAnsi="Arial" w:cs="Arial"/>
          <w:sz w:val="20"/>
          <w:szCs w:val="20"/>
          <w:lang w:eastAsia="en-IN"/>
        </w:rPr>
      </w:pPr>
    </w:p>
    <w:p w14:paraId="77EF96C8" w14:textId="5E92C52B" w:rsidR="000342B3" w:rsidRPr="00AC0E2C" w:rsidRDefault="000342B3" w:rsidP="00AC0E2C">
      <w:pPr>
        <w:pStyle w:val="Heading3"/>
        <w:numPr>
          <w:ilvl w:val="1"/>
          <w:numId w:val="5"/>
        </w:numPr>
        <w:spacing w:before="0" w:beforeAutospacing="0" w:after="0" w:afterAutospacing="0"/>
        <w:jc w:val="both"/>
        <w:rPr>
          <w:rStyle w:val="Strong"/>
          <w:rFonts w:ascii="Arial" w:hAnsi="Arial" w:cs="Arial"/>
          <w:b/>
          <w:bCs/>
          <w:sz w:val="22"/>
          <w:szCs w:val="22"/>
        </w:rPr>
      </w:pPr>
      <w:r w:rsidRPr="00AC0E2C">
        <w:rPr>
          <w:rStyle w:val="Strong"/>
          <w:rFonts w:ascii="Arial" w:hAnsi="Arial" w:cs="Arial"/>
          <w:b/>
          <w:bCs/>
          <w:sz w:val="22"/>
          <w:szCs w:val="22"/>
        </w:rPr>
        <w:lastRenderedPageBreak/>
        <w:t>In vitro dissolution results</w:t>
      </w:r>
    </w:p>
    <w:p w14:paraId="7035E4AD" w14:textId="77777777" w:rsidR="00AC0E2C" w:rsidRPr="005A55AF" w:rsidRDefault="00AC0E2C" w:rsidP="00AC0E2C">
      <w:pPr>
        <w:pStyle w:val="Heading3"/>
        <w:spacing w:before="0" w:beforeAutospacing="0" w:after="0" w:afterAutospacing="0"/>
        <w:ind w:left="360"/>
        <w:jc w:val="both"/>
        <w:rPr>
          <w:rFonts w:ascii="Arial" w:hAnsi="Arial" w:cs="Arial"/>
          <w:sz w:val="20"/>
          <w:szCs w:val="20"/>
        </w:rPr>
      </w:pPr>
    </w:p>
    <w:p w14:paraId="3D788193" w14:textId="7451F7C5" w:rsidR="000342B3" w:rsidRPr="00275A69" w:rsidRDefault="000342B3"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 xml:space="preserve">The in vitro drug-release studies demonstrated clear differences in release behavior among the formulations, indicating that both polymer characteristics and granulation process parameters played significant roles in modulating drug-release kinetics. As shown in </w:t>
      </w:r>
      <w:r w:rsidR="009C7264">
        <w:rPr>
          <w:rFonts w:ascii="Arial" w:hAnsi="Arial" w:cs="Arial"/>
          <w:b/>
          <w:sz w:val="20"/>
          <w:szCs w:val="20"/>
        </w:rPr>
        <w:t>Figure 2</w:t>
      </w:r>
      <w:r w:rsidRPr="005A55AF">
        <w:rPr>
          <w:rFonts w:ascii="Arial" w:hAnsi="Arial" w:cs="Arial"/>
          <w:sz w:val="20"/>
          <w:szCs w:val="20"/>
        </w:rPr>
        <w:t xml:space="preserve">, formulation MTH3 achieved a prolonged release extending up to 16 hours, </w:t>
      </w:r>
      <w:r w:rsidRPr="00275A69">
        <w:rPr>
          <w:rFonts w:ascii="Arial" w:hAnsi="Arial" w:cs="Arial"/>
          <w:sz w:val="20"/>
          <w:szCs w:val="20"/>
        </w:rPr>
        <w:t xml:space="preserve">delivering </w:t>
      </w:r>
      <w:r w:rsidR="00920924" w:rsidRPr="00275A69">
        <w:rPr>
          <w:rFonts w:ascii="Arial" w:hAnsi="Arial" w:cs="Arial"/>
          <w:sz w:val="20"/>
          <w:szCs w:val="20"/>
        </w:rPr>
        <w:t>96.2</w:t>
      </w:r>
      <w:r w:rsidRPr="00275A69">
        <w:rPr>
          <w:rFonts w:ascii="Arial" w:hAnsi="Arial" w:cs="Arial"/>
          <w:sz w:val="20"/>
          <w:szCs w:val="20"/>
        </w:rPr>
        <w:t xml:space="preserve">% of metformin HCl within the study duration. This sustained profile suggests that the formulation developed a stable and coherent gel matrix capable of controlling water penetration and drug diffusion over an extended period. In contrast, formulations MTH1, MTH2 and MTH5 released more than </w:t>
      </w:r>
      <w:r w:rsidR="00920924" w:rsidRPr="00275A69">
        <w:rPr>
          <w:rFonts w:ascii="Arial" w:hAnsi="Arial" w:cs="Arial"/>
          <w:sz w:val="20"/>
          <w:szCs w:val="20"/>
        </w:rPr>
        <w:t>8</w:t>
      </w:r>
      <w:r w:rsidRPr="00275A69">
        <w:rPr>
          <w:rFonts w:ascii="Arial" w:hAnsi="Arial" w:cs="Arial"/>
          <w:sz w:val="20"/>
          <w:szCs w:val="20"/>
        </w:rPr>
        <w:t xml:space="preserve">5% of the drug within 8 and 10 hours, respectively, indicating insufficient retardation capacity. These faster release profiles likely result from the use of lower-viscosity polymer grades or lower concentration of </w:t>
      </w:r>
      <w:r w:rsidR="00DE767F" w:rsidRPr="00275A69">
        <w:rPr>
          <w:rFonts w:ascii="Arial" w:hAnsi="Arial" w:cs="Arial"/>
          <w:sz w:val="20"/>
          <w:szCs w:val="20"/>
        </w:rPr>
        <w:t>Methocel</w:t>
      </w:r>
      <w:r w:rsidRPr="00275A69">
        <w:rPr>
          <w:rFonts w:ascii="Arial" w:hAnsi="Arial" w:cs="Arial"/>
          <w:sz w:val="20"/>
          <w:szCs w:val="20"/>
        </w:rPr>
        <w:t xml:space="preserve"> K100M which can lead to weaker gel formation and faster matrix hydration. As a result, rapid polymer dissolution and enlarged diffusion pathways facilitate accelerated drug release. The inability of MTH1, MTH2 and MTH5 to maintain the structural integrity of the gel layer throughout the dissolution test aligns with their previously observed high erosion and low swelling behavior.</w:t>
      </w:r>
    </w:p>
    <w:p w14:paraId="6A6E38CE" w14:textId="77777777" w:rsidR="00AC0E2C" w:rsidRPr="00275A69" w:rsidRDefault="00AC0E2C" w:rsidP="005A55AF">
      <w:pPr>
        <w:pStyle w:val="NormalWeb"/>
        <w:spacing w:before="0" w:beforeAutospacing="0" w:after="0" w:afterAutospacing="0"/>
        <w:jc w:val="both"/>
        <w:rPr>
          <w:rFonts w:ascii="Arial" w:hAnsi="Arial" w:cs="Arial"/>
          <w:sz w:val="20"/>
          <w:szCs w:val="20"/>
        </w:rPr>
      </w:pPr>
    </w:p>
    <w:p w14:paraId="530FB540" w14:textId="31C2EB3C" w:rsidR="000342B3" w:rsidRDefault="000342B3" w:rsidP="005A55AF">
      <w:pPr>
        <w:pStyle w:val="NormalWeb"/>
        <w:spacing w:before="0" w:beforeAutospacing="0" w:after="0" w:afterAutospacing="0"/>
        <w:jc w:val="both"/>
        <w:rPr>
          <w:rFonts w:ascii="Arial" w:hAnsi="Arial" w:cs="Arial"/>
          <w:sz w:val="20"/>
          <w:szCs w:val="20"/>
        </w:rPr>
      </w:pPr>
      <w:r w:rsidRPr="00275A69">
        <w:rPr>
          <w:rFonts w:ascii="Arial" w:hAnsi="Arial" w:cs="Arial"/>
          <w:sz w:val="20"/>
          <w:szCs w:val="20"/>
        </w:rPr>
        <w:t xml:space="preserve">Formulation MTH4 &amp; MTH7, although prepared using a different spray-rate setting during granulation and higher level of </w:t>
      </w:r>
      <w:r w:rsidR="00DE767F" w:rsidRPr="00275A69">
        <w:rPr>
          <w:rFonts w:ascii="Arial" w:hAnsi="Arial" w:cs="Arial"/>
          <w:sz w:val="20"/>
          <w:szCs w:val="20"/>
        </w:rPr>
        <w:t>Methocel</w:t>
      </w:r>
      <w:r w:rsidRPr="00275A69">
        <w:rPr>
          <w:rFonts w:ascii="Arial" w:hAnsi="Arial" w:cs="Arial"/>
          <w:sz w:val="20"/>
          <w:szCs w:val="20"/>
        </w:rPr>
        <w:t xml:space="preserve"> K100M, also prolonged drug release to 16 hours, reaching </w:t>
      </w:r>
      <w:r w:rsidR="00995845" w:rsidRPr="00275A69">
        <w:rPr>
          <w:rFonts w:ascii="Arial" w:hAnsi="Arial" w:cs="Arial"/>
          <w:sz w:val="20"/>
          <w:szCs w:val="20"/>
        </w:rPr>
        <w:t>75.9</w:t>
      </w:r>
      <w:r w:rsidRPr="00275A69">
        <w:rPr>
          <w:rFonts w:ascii="Arial" w:hAnsi="Arial" w:cs="Arial"/>
          <w:sz w:val="20"/>
          <w:szCs w:val="20"/>
        </w:rPr>
        <w:t xml:space="preserve">% &amp; </w:t>
      </w:r>
      <w:r w:rsidR="00995845" w:rsidRPr="00275A69">
        <w:rPr>
          <w:rFonts w:ascii="Arial" w:hAnsi="Arial" w:cs="Arial"/>
          <w:sz w:val="20"/>
          <w:szCs w:val="20"/>
        </w:rPr>
        <w:t>66.4</w:t>
      </w:r>
      <w:r w:rsidRPr="00275A69">
        <w:rPr>
          <w:rFonts w:ascii="Arial" w:hAnsi="Arial" w:cs="Arial"/>
          <w:sz w:val="20"/>
          <w:szCs w:val="20"/>
        </w:rPr>
        <w:t xml:space="preserve">% cumulative release respectively. The slower drug release in MTH4 </w:t>
      </w:r>
      <w:r w:rsidR="00F548EC" w:rsidRPr="00275A69">
        <w:rPr>
          <w:rFonts w:ascii="Arial" w:hAnsi="Arial" w:cs="Arial"/>
          <w:sz w:val="20"/>
          <w:szCs w:val="20"/>
        </w:rPr>
        <w:t>and</w:t>
      </w:r>
      <w:r w:rsidRPr="00275A69">
        <w:rPr>
          <w:rFonts w:ascii="Arial" w:hAnsi="Arial" w:cs="Arial"/>
          <w:sz w:val="20"/>
          <w:szCs w:val="20"/>
        </w:rPr>
        <w:t xml:space="preserve"> MTH7 compared to </w:t>
      </w:r>
      <w:r w:rsidRPr="005A55AF">
        <w:rPr>
          <w:rFonts w:ascii="Arial" w:hAnsi="Arial" w:cs="Arial"/>
          <w:sz w:val="20"/>
          <w:szCs w:val="20"/>
        </w:rPr>
        <w:t xml:space="preserve">MTH3 </w:t>
      </w:r>
      <w:r w:rsidR="00F548EC">
        <w:rPr>
          <w:rFonts w:ascii="Arial" w:hAnsi="Arial" w:cs="Arial"/>
          <w:sz w:val="20"/>
          <w:szCs w:val="20"/>
        </w:rPr>
        <w:t>and</w:t>
      </w:r>
      <w:r w:rsidRPr="005A55AF">
        <w:rPr>
          <w:rFonts w:ascii="Arial" w:hAnsi="Arial" w:cs="Arial"/>
          <w:sz w:val="20"/>
          <w:szCs w:val="20"/>
        </w:rPr>
        <w:t xml:space="preserve"> MTH6 indicates that process parameters such as spray rate &amp; high polymer concentration significantly influence granule morphology and matrix compaction. A slower spray rate may lead to denser granules with slower hydration kinetics, thereby delaying drug diffusion. However, the incomplete release with high polymer concentration formulation suggests that the matrix formed under these conditions may have been overly compact or insufficiently hydrated, restricting complete drug diffusion over the test period. Overall, the dissolution findings reinforce the interplay between polymer viscosity, polymer concentration, and granulation spray rate in determining drug-release behavior. Formulations containing optimum concentration polymers and optimized granulation conditions (MTH3 &amp; MTH 6) demonstrated extended and controlled release, consistent with the requirements for </w:t>
      </w:r>
      <w:r w:rsidR="00995845" w:rsidRPr="005A55AF">
        <w:rPr>
          <w:rFonts w:ascii="Arial" w:hAnsi="Arial" w:cs="Arial"/>
          <w:sz w:val="20"/>
          <w:szCs w:val="20"/>
        </w:rPr>
        <w:t>gastroretentive</w:t>
      </w:r>
      <w:r w:rsidRPr="005A55AF">
        <w:rPr>
          <w:rFonts w:ascii="Arial" w:hAnsi="Arial" w:cs="Arial"/>
          <w:sz w:val="20"/>
          <w:szCs w:val="20"/>
        </w:rPr>
        <w:t xml:space="preserve"> and sustained-release systems. Conversely, formulations with lower polymer viscosity or suboptimal processing parameters failed to maintain prolonged release due to inadequate gel formation and accelerated matrix erosion. These results support the critical role of polymer characteristics and granulation process optimization in achieving predictable and sustained drug-release profiles.</w:t>
      </w:r>
    </w:p>
    <w:p w14:paraId="396AD685" w14:textId="52B491EB" w:rsidR="00143118" w:rsidRDefault="00143118" w:rsidP="005A55AF">
      <w:pPr>
        <w:pStyle w:val="NormalWeb"/>
        <w:spacing w:before="0" w:beforeAutospacing="0" w:after="0" w:afterAutospacing="0"/>
        <w:jc w:val="both"/>
        <w:rPr>
          <w:rFonts w:ascii="Arial" w:hAnsi="Arial" w:cs="Arial"/>
          <w:sz w:val="20"/>
          <w:szCs w:val="20"/>
        </w:rPr>
      </w:pPr>
    </w:p>
    <w:p w14:paraId="62EBB471" w14:textId="0B1E1B0B" w:rsidR="00687BB9" w:rsidRPr="005A55AF" w:rsidRDefault="004A5B40" w:rsidP="00697F85">
      <w:pPr>
        <w:pStyle w:val="NormalWeb"/>
        <w:spacing w:before="0" w:beforeAutospacing="0" w:after="0" w:afterAutospacing="0"/>
        <w:jc w:val="center"/>
        <w:rPr>
          <w:rFonts w:ascii="Arial" w:hAnsi="Arial" w:cs="Arial"/>
          <w:sz w:val="20"/>
          <w:szCs w:val="20"/>
        </w:rPr>
      </w:pPr>
      <w:r>
        <w:rPr>
          <w:noProof/>
        </w:rPr>
        <w:drawing>
          <wp:inline distT="0" distB="0" distL="0" distR="0" wp14:anchorId="1D0019F0" wp14:editId="4EFE6F21">
            <wp:extent cx="5659120" cy="3360420"/>
            <wp:effectExtent l="0" t="0" r="1778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976546" w14:textId="77777777" w:rsidR="00AC0E2C" w:rsidRDefault="00AC0E2C" w:rsidP="005A55AF">
      <w:pPr>
        <w:pStyle w:val="NormalWeb"/>
        <w:spacing w:before="0" w:beforeAutospacing="0" w:after="0" w:afterAutospacing="0"/>
        <w:jc w:val="center"/>
        <w:rPr>
          <w:rFonts w:ascii="Arial" w:hAnsi="Arial" w:cs="Arial"/>
          <w:b/>
          <w:sz w:val="20"/>
          <w:szCs w:val="20"/>
        </w:rPr>
      </w:pPr>
    </w:p>
    <w:p w14:paraId="4E0EB58A" w14:textId="14C43786" w:rsidR="00687BB9" w:rsidRDefault="009C7264" w:rsidP="005A55AF">
      <w:pPr>
        <w:pStyle w:val="NormalWeb"/>
        <w:spacing w:before="0" w:beforeAutospacing="0" w:after="0" w:afterAutospacing="0"/>
        <w:jc w:val="center"/>
        <w:rPr>
          <w:rFonts w:ascii="Arial" w:hAnsi="Arial" w:cs="Arial"/>
          <w:b/>
          <w:sz w:val="20"/>
          <w:szCs w:val="20"/>
        </w:rPr>
      </w:pPr>
      <w:r>
        <w:rPr>
          <w:rFonts w:ascii="Arial" w:hAnsi="Arial" w:cs="Arial"/>
          <w:b/>
          <w:sz w:val="20"/>
          <w:szCs w:val="20"/>
        </w:rPr>
        <w:t>Figure 2:</w:t>
      </w:r>
      <w:r w:rsidR="00687BB9" w:rsidRPr="005A55AF">
        <w:rPr>
          <w:rFonts w:ascii="Arial" w:hAnsi="Arial" w:cs="Arial"/>
          <w:sz w:val="20"/>
          <w:szCs w:val="20"/>
        </w:rPr>
        <w:t xml:space="preserve"> </w:t>
      </w:r>
      <w:r w:rsidR="00687BB9" w:rsidRPr="005A55AF">
        <w:rPr>
          <w:rFonts w:ascii="Arial" w:hAnsi="Arial" w:cs="Arial"/>
          <w:b/>
          <w:sz w:val="20"/>
          <w:szCs w:val="20"/>
        </w:rPr>
        <w:t>Comparative in vitro dissolution profiles of Metformin HCl floating tablet formulatio</w:t>
      </w:r>
      <w:r w:rsidR="0023010B">
        <w:rPr>
          <w:rFonts w:ascii="Arial" w:hAnsi="Arial" w:cs="Arial"/>
          <w:b/>
          <w:sz w:val="20"/>
          <w:szCs w:val="20"/>
        </w:rPr>
        <w:t>ns in phosphate buffer (pH 6.8)</w:t>
      </w:r>
    </w:p>
    <w:p w14:paraId="41C3ECEA" w14:textId="77777777" w:rsidR="00275A69" w:rsidRPr="005A55AF" w:rsidRDefault="00275A69" w:rsidP="005A55AF">
      <w:pPr>
        <w:pStyle w:val="NormalWeb"/>
        <w:spacing w:before="0" w:beforeAutospacing="0" w:after="0" w:afterAutospacing="0"/>
        <w:jc w:val="center"/>
        <w:rPr>
          <w:rFonts w:ascii="Arial" w:hAnsi="Arial" w:cs="Arial"/>
          <w:sz w:val="20"/>
          <w:szCs w:val="20"/>
        </w:rPr>
      </w:pPr>
    </w:p>
    <w:p w14:paraId="1CA931B8" w14:textId="304696F5" w:rsidR="000342B3" w:rsidRPr="00697F85" w:rsidRDefault="000342B3" w:rsidP="00697F85">
      <w:pPr>
        <w:pStyle w:val="ListParagraph"/>
        <w:numPr>
          <w:ilvl w:val="1"/>
          <w:numId w:val="5"/>
        </w:numPr>
        <w:spacing w:after="0" w:line="240" w:lineRule="auto"/>
        <w:jc w:val="both"/>
        <w:rPr>
          <w:rFonts w:ascii="Arial" w:eastAsia="Times New Roman" w:hAnsi="Arial" w:cs="Arial"/>
          <w:b/>
          <w:lang w:eastAsia="en-IN"/>
        </w:rPr>
      </w:pPr>
      <w:r w:rsidRPr="00697F85">
        <w:rPr>
          <w:rFonts w:ascii="Arial" w:eastAsia="Times New Roman" w:hAnsi="Arial" w:cs="Arial"/>
          <w:b/>
          <w:lang w:eastAsia="en-IN"/>
        </w:rPr>
        <w:lastRenderedPageBreak/>
        <w:t>Release kinetics:</w:t>
      </w:r>
    </w:p>
    <w:p w14:paraId="05BBD224" w14:textId="77777777" w:rsidR="00697F85" w:rsidRPr="005A55AF" w:rsidRDefault="00697F85" w:rsidP="005A55AF">
      <w:pPr>
        <w:spacing w:after="0" w:line="240" w:lineRule="auto"/>
        <w:jc w:val="both"/>
        <w:rPr>
          <w:rFonts w:ascii="Arial" w:eastAsia="Times New Roman" w:hAnsi="Arial" w:cs="Arial"/>
          <w:b/>
          <w:sz w:val="20"/>
          <w:szCs w:val="20"/>
          <w:lang w:eastAsia="en-IN"/>
        </w:rPr>
      </w:pPr>
    </w:p>
    <w:p w14:paraId="21E50EAD" w14:textId="6B306BF3" w:rsidR="000342B3" w:rsidRPr="00DB480E" w:rsidRDefault="000342B3" w:rsidP="005A55AF">
      <w:pPr>
        <w:spacing w:after="0" w:line="240" w:lineRule="auto"/>
        <w:jc w:val="both"/>
        <w:rPr>
          <w:rFonts w:ascii="Arial" w:eastAsia="Times New Roman" w:hAnsi="Arial" w:cs="Arial"/>
          <w:color w:val="000000" w:themeColor="text1"/>
          <w:sz w:val="20"/>
          <w:szCs w:val="20"/>
          <w:lang w:eastAsia="en-IN"/>
        </w:rPr>
      </w:pPr>
      <w:r w:rsidRPr="005A55AF">
        <w:rPr>
          <w:rFonts w:ascii="Arial" w:eastAsia="Times New Roman" w:hAnsi="Arial" w:cs="Arial"/>
          <w:sz w:val="20"/>
          <w:szCs w:val="20"/>
          <w:lang w:eastAsia="en-IN"/>
        </w:rPr>
        <w:t xml:space="preserve">To elucidate the release mechanism of Metformin HCl from the floating tablets, the in vitro dissolution data were analyzed using various kinetic models commonly applied to matrix-based controlled-release </w:t>
      </w:r>
      <w:r w:rsidRPr="00DB480E">
        <w:rPr>
          <w:rFonts w:ascii="Arial" w:eastAsia="Times New Roman" w:hAnsi="Arial" w:cs="Arial"/>
          <w:sz w:val="20"/>
          <w:szCs w:val="20"/>
          <w:lang w:eastAsia="en-IN"/>
        </w:rPr>
        <w:t>systems (</w:t>
      </w:r>
      <w:r w:rsidR="00BF3655" w:rsidRPr="00DB480E">
        <w:rPr>
          <w:rFonts w:ascii="Arial" w:eastAsia="Times New Roman" w:hAnsi="Arial" w:cs="Arial"/>
          <w:sz w:val="20"/>
          <w:szCs w:val="20"/>
          <w:lang w:eastAsia="en-IN"/>
        </w:rPr>
        <w:t>Higuchi, 1963</w:t>
      </w:r>
      <w:r w:rsidRPr="00DB480E">
        <w:rPr>
          <w:rFonts w:ascii="Arial" w:eastAsia="Times New Roman" w:hAnsi="Arial" w:cs="Arial"/>
          <w:sz w:val="20"/>
          <w:szCs w:val="20"/>
          <w:lang w:eastAsia="en-IN"/>
        </w:rPr>
        <w:t xml:space="preserve">, </w:t>
      </w:r>
      <w:r w:rsidR="00BF3655" w:rsidRPr="00DB480E">
        <w:rPr>
          <w:rFonts w:ascii="Arial" w:eastAsia="Times New Roman" w:hAnsi="Arial" w:cs="Arial"/>
          <w:sz w:val="20"/>
          <w:szCs w:val="20"/>
          <w:lang w:eastAsia="en-IN"/>
        </w:rPr>
        <w:t>Costa et al., 2001</w:t>
      </w:r>
      <w:r w:rsidRPr="00DB480E">
        <w:rPr>
          <w:rFonts w:ascii="Arial" w:eastAsia="Times New Roman" w:hAnsi="Arial" w:cs="Arial"/>
          <w:sz w:val="20"/>
          <w:szCs w:val="20"/>
          <w:lang w:eastAsia="en-IN"/>
        </w:rPr>
        <w:t>). The models evaluated included zero-order, firs</w:t>
      </w:r>
      <w:r w:rsidR="00F548EC" w:rsidRPr="00DB480E">
        <w:rPr>
          <w:rFonts w:ascii="Arial" w:eastAsia="Times New Roman" w:hAnsi="Arial" w:cs="Arial"/>
          <w:sz w:val="20"/>
          <w:szCs w:val="20"/>
          <w:lang w:eastAsia="en-IN"/>
        </w:rPr>
        <w:t>t-order, Higuchi, and Korsmeyer</w:t>
      </w:r>
      <w:r w:rsidRPr="00DB480E">
        <w:rPr>
          <w:rFonts w:ascii="Arial" w:eastAsia="Times New Roman" w:hAnsi="Arial" w:cs="Arial"/>
          <w:sz w:val="20"/>
          <w:szCs w:val="20"/>
          <w:lang w:eastAsia="en-IN"/>
        </w:rPr>
        <w:t>-Peppas equations.</w:t>
      </w:r>
    </w:p>
    <w:p w14:paraId="6DE2021B" w14:textId="77777777" w:rsidR="00697F85" w:rsidRPr="00DB480E" w:rsidRDefault="00697F85" w:rsidP="005A55AF">
      <w:pPr>
        <w:spacing w:after="0" w:line="240" w:lineRule="auto"/>
        <w:jc w:val="both"/>
        <w:rPr>
          <w:rFonts w:ascii="Arial" w:eastAsia="Times New Roman" w:hAnsi="Arial" w:cs="Arial"/>
          <w:color w:val="000000" w:themeColor="text1"/>
          <w:sz w:val="20"/>
          <w:szCs w:val="20"/>
          <w:lang w:eastAsia="en-IN"/>
        </w:rPr>
      </w:pPr>
    </w:p>
    <w:p w14:paraId="6B70CA7A" w14:textId="1277C078" w:rsidR="000342B3" w:rsidRDefault="000342B3" w:rsidP="005A55AF">
      <w:pPr>
        <w:spacing w:after="0" w:line="240" w:lineRule="auto"/>
        <w:jc w:val="both"/>
        <w:rPr>
          <w:rFonts w:ascii="Arial" w:eastAsia="Times New Roman" w:hAnsi="Arial" w:cs="Arial"/>
          <w:b/>
          <w:bCs/>
          <w:sz w:val="20"/>
          <w:szCs w:val="20"/>
          <w:lang w:eastAsia="en-IN"/>
        </w:rPr>
      </w:pPr>
      <w:r w:rsidRPr="005A55AF">
        <w:rPr>
          <w:rFonts w:ascii="Arial" w:eastAsia="Times New Roman" w:hAnsi="Arial" w:cs="Arial"/>
          <w:sz w:val="20"/>
          <w:szCs w:val="20"/>
          <w:lang w:eastAsia="en-IN"/>
        </w:rPr>
        <w:t xml:space="preserve">When the cumulative drug release was plotted as a function of the square root of time, the optimized formulations (MTH3 &amp; MTH6) exhibited a strong linear relationship consistent with the Higuchi model. This was supported by a high correlation coefficient (r² = 0.99), which exceeded those obtained for the zero-order (r² = 0.97) and first-order (r² = 0.57 &amp; 0.59) models, indicating that drug diffusion through a hydrated polymeric matrix was the predominant release mechanism. To gain additional insight, the release data were fitted to the Korsmeyer - Peppas </w:t>
      </w:r>
      <w:r w:rsidRPr="00920924">
        <w:rPr>
          <w:rFonts w:ascii="Arial" w:eastAsia="Times New Roman" w:hAnsi="Arial" w:cs="Arial"/>
          <w:sz w:val="20"/>
          <w:szCs w:val="20"/>
          <w:lang w:eastAsia="en-IN"/>
        </w:rPr>
        <w:t>equation (</w:t>
      </w:r>
      <w:r w:rsidRPr="00920924">
        <w:rPr>
          <w:rFonts w:ascii="Arial" w:eastAsia="Times New Roman" w:hAnsi="Arial" w:cs="Arial"/>
          <w:bCs/>
          <w:sz w:val="20"/>
          <w:szCs w:val="20"/>
          <w:lang w:eastAsia="en-IN"/>
        </w:rPr>
        <w:t>Mt/M∞ = K · tⁿ)</w:t>
      </w:r>
      <w:r w:rsidRPr="005A55AF">
        <w:rPr>
          <w:rFonts w:ascii="Arial" w:eastAsia="Times New Roman" w:hAnsi="Arial" w:cs="Arial"/>
          <w:b/>
          <w:bCs/>
          <w:sz w:val="20"/>
          <w:szCs w:val="20"/>
          <w:lang w:eastAsia="en-IN"/>
        </w:rPr>
        <w:t xml:space="preserve"> </w:t>
      </w:r>
    </w:p>
    <w:p w14:paraId="171F7C69" w14:textId="77777777" w:rsidR="00697F85" w:rsidRPr="005A55AF" w:rsidRDefault="00697F85" w:rsidP="005A55AF">
      <w:pPr>
        <w:spacing w:after="0" w:line="240" w:lineRule="auto"/>
        <w:jc w:val="both"/>
        <w:rPr>
          <w:rFonts w:ascii="Arial" w:eastAsia="Times New Roman" w:hAnsi="Arial" w:cs="Arial"/>
          <w:sz w:val="20"/>
          <w:szCs w:val="20"/>
          <w:lang w:eastAsia="en-IN"/>
        </w:rPr>
      </w:pPr>
    </w:p>
    <w:p w14:paraId="61149D09" w14:textId="2DF48031" w:rsidR="000342B3"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 xml:space="preserve">where </w:t>
      </w:r>
      <w:r w:rsidRPr="005A55AF">
        <w:rPr>
          <w:rFonts w:ascii="Arial" w:eastAsia="Times New Roman" w:hAnsi="Arial" w:cs="Arial"/>
          <w:i/>
          <w:iCs/>
          <w:sz w:val="20"/>
          <w:szCs w:val="20"/>
          <w:lang w:eastAsia="en-IN"/>
        </w:rPr>
        <w:t>Mt/M∞</w:t>
      </w:r>
      <w:r w:rsidRPr="005A55AF">
        <w:rPr>
          <w:rFonts w:ascii="Arial" w:eastAsia="Times New Roman" w:hAnsi="Arial" w:cs="Arial"/>
          <w:sz w:val="20"/>
          <w:szCs w:val="20"/>
          <w:lang w:eastAsia="en-IN"/>
        </w:rPr>
        <w:t xml:space="preserve"> represents the fraction of drug released at time </w:t>
      </w:r>
      <w:r w:rsidRPr="005A55AF">
        <w:rPr>
          <w:rFonts w:ascii="Arial" w:eastAsia="Times New Roman" w:hAnsi="Arial" w:cs="Arial"/>
          <w:i/>
          <w:iCs/>
          <w:sz w:val="20"/>
          <w:szCs w:val="20"/>
          <w:lang w:eastAsia="en-IN"/>
        </w:rPr>
        <w:t>t</w:t>
      </w:r>
      <w:r w:rsidRPr="005A55AF">
        <w:rPr>
          <w:rFonts w:ascii="Arial" w:eastAsia="Times New Roman" w:hAnsi="Arial" w:cs="Arial"/>
          <w:sz w:val="20"/>
          <w:szCs w:val="20"/>
          <w:lang w:eastAsia="en-IN"/>
        </w:rPr>
        <w:t xml:space="preserve">, </w:t>
      </w:r>
      <w:r w:rsidRPr="005A55AF">
        <w:rPr>
          <w:rFonts w:ascii="Arial" w:eastAsia="Times New Roman" w:hAnsi="Arial" w:cs="Arial"/>
          <w:i/>
          <w:iCs/>
          <w:sz w:val="20"/>
          <w:szCs w:val="20"/>
          <w:lang w:eastAsia="en-IN"/>
        </w:rPr>
        <w:t>K</w:t>
      </w:r>
      <w:r w:rsidRPr="005A55AF">
        <w:rPr>
          <w:rFonts w:ascii="Arial" w:eastAsia="Times New Roman" w:hAnsi="Arial" w:cs="Arial"/>
          <w:sz w:val="20"/>
          <w:szCs w:val="20"/>
          <w:lang w:eastAsia="en-IN"/>
        </w:rPr>
        <w:t xml:space="preserve"> is the release-rate constant, and </w:t>
      </w:r>
      <w:r w:rsidRPr="005A55AF">
        <w:rPr>
          <w:rFonts w:ascii="Arial" w:eastAsia="Times New Roman" w:hAnsi="Arial" w:cs="Arial"/>
          <w:i/>
          <w:iCs/>
          <w:sz w:val="20"/>
          <w:szCs w:val="20"/>
          <w:lang w:eastAsia="en-IN"/>
        </w:rPr>
        <w:t>n</w:t>
      </w:r>
      <w:r w:rsidRPr="005A55AF">
        <w:rPr>
          <w:rFonts w:ascii="Arial" w:eastAsia="Times New Roman" w:hAnsi="Arial" w:cs="Arial"/>
          <w:sz w:val="20"/>
          <w:szCs w:val="20"/>
          <w:lang w:eastAsia="en-IN"/>
        </w:rPr>
        <w:t xml:space="preserve"> is the diffusional exponent that characterizes the release mechanism. The </w:t>
      </w:r>
      <w:r w:rsidRPr="005A55AF">
        <w:rPr>
          <w:rFonts w:ascii="Arial" w:eastAsia="Times New Roman" w:hAnsi="Arial" w:cs="Arial"/>
          <w:i/>
          <w:iCs/>
          <w:sz w:val="20"/>
          <w:szCs w:val="20"/>
          <w:lang w:eastAsia="en-IN"/>
        </w:rPr>
        <w:t>n</w:t>
      </w:r>
      <w:r w:rsidRPr="005A55AF">
        <w:rPr>
          <w:rFonts w:ascii="Arial" w:eastAsia="Times New Roman" w:hAnsi="Arial" w:cs="Arial"/>
          <w:sz w:val="20"/>
          <w:szCs w:val="20"/>
          <w:lang w:eastAsia="en-IN"/>
        </w:rPr>
        <w:t xml:space="preserve"> value for MTH3 was calculated as 0.49, which falls within the range indicative of anomalous (non-</w:t>
      </w:r>
      <w:proofErr w:type="spellStart"/>
      <w:r w:rsidRPr="005A55AF">
        <w:rPr>
          <w:rFonts w:ascii="Arial" w:eastAsia="Times New Roman" w:hAnsi="Arial" w:cs="Arial"/>
          <w:sz w:val="20"/>
          <w:szCs w:val="20"/>
          <w:lang w:eastAsia="en-IN"/>
        </w:rPr>
        <w:t>Fickian</w:t>
      </w:r>
      <w:proofErr w:type="spellEnd"/>
      <w:r w:rsidRPr="005A55AF">
        <w:rPr>
          <w:rFonts w:ascii="Arial" w:eastAsia="Times New Roman" w:hAnsi="Arial" w:cs="Arial"/>
          <w:sz w:val="20"/>
          <w:szCs w:val="20"/>
          <w:lang w:eastAsia="en-IN"/>
        </w:rPr>
        <w:t>) transport. This suggests that drug release from the optimized floating matrix is governed by a combination of diffusion and polymer relaxation or erosion processes rather than a single, uniform mechanism. Overall, the kinetic analysis confirms that Metformin HCl release from the optimized formulation is primarily diffusion-controlled with an accompanying contribution from polymer matrix relaxation, supporting the sustained and controlled release behavior observed in the dissolution studies.</w:t>
      </w:r>
    </w:p>
    <w:p w14:paraId="17E6AC8C" w14:textId="77777777" w:rsidR="00697F85" w:rsidRPr="00697F85" w:rsidRDefault="00697F85" w:rsidP="005A55AF">
      <w:pPr>
        <w:spacing w:after="0" w:line="240" w:lineRule="auto"/>
        <w:jc w:val="both"/>
        <w:rPr>
          <w:rFonts w:ascii="Arial" w:eastAsia="Times New Roman" w:hAnsi="Arial" w:cs="Arial"/>
          <w:lang w:eastAsia="en-IN"/>
        </w:rPr>
      </w:pPr>
    </w:p>
    <w:p w14:paraId="6ED93FB4" w14:textId="26846D17" w:rsidR="000342B3" w:rsidRPr="00697F85" w:rsidRDefault="000342B3" w:rsidP="00697F85">
      <w:pPr>
        <w:pStyle w:val="Heading3"/>
        <w:numPr>
          <w:ilvl w:val="1"/>
          <w:numId w:val="5"/>
        </w:numPr>
        <w:spacing w:before="0" w:beforeAutospacing="0" w:after="0" w:afterAutospacing="0"/>
        <w:jc w:val="both"/>
        <w:rPr>
          <w:rStyle w:val="Strong"/>
          <w:rFonts w:ascii="Arial" w:hAnsi="Arial" w:cs="Arial"/>
          <w:b/>
          <w:bCs/>
          <w:sz w:val="22"/>
          <w:szCs w:val="22"/>
        </w:rPr>
      </w:pPr>
      <w:r w:rsidRPr="00697F85">
        <w:rPr>
          <w:rStyle w:val="Strong"/>
          <w:rFonts w:ascii="Arial" w:hAnsi="Arial" w:cs="Arial"/>
          <w:b/>
          <w:bCs/>
          <w:sz w:val="22"/>
          <w:szCs w:val="22"/>
        </w:rPr>
        <w:t>In vivo gastric retention of the optimized formulation</w:t>
      </w:r>
    </w:p>
    <w:p w14:paraId="3A6096C2" w14:textId="77777777" w:rsidR="00697F85" w:rsidRPr="005A55AF" w:rsidRDefault="00697F85" w:rsidP="00697F85">
      <w:pPr>
        <w:pStyle w:val="Heading3"/>
        <w:spacing w:before="0" w:beforeAutospacing="0" w:after="0" w:afterAutospacing="0"/>
        <w:ind w:left="360"/>
        <w:jc w:val="both"/>
        <w:rPr>
          <w:rFonts w:ascii="Arial" w:hAnsi="Arial" w:cs="Arial"/>
          <w:sz w:val="20"/>
          <w:szCs w:val="20"/>
        </w:rPr>
      </w:pPr>
    </w:p>
    <w:p w14:paraId="1F6DC9A3" w14:textId="07F7129B" w:rsidR="000342B3" w:rsidRDefault="000342B3"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 xml:space="preserve">The optimized formulation was selected after a comprehensive evaluation of physical properties, in vitro buoyancy behavior, and drug-release performance. Among all the formulations, MTH3 demonstrated superior characteristics, including rapid floating onset, prolonged buoyancy, controlled swelling and erosion behavior, and sustained drug release for up to 16 hours. These findings collectively indicated that MTH3 possessed the structural and functional attributes required for an effective </w:t>
      </w:r>
      <w:r w:rsidR="00697F85" w:rsidRPr="005A55AF">
        <w:rPr>
          <w:rFonts w:ascii="Arial" w:hAnsi="Arial" w:cs="Arial"/>
          <w:sz w:val="20"/>
          <w:szCs w:val="20"/>
        </w:rPr>
        <w:t>gastroretentive</w:t>
      </w:r>
      <w:r w:rsidRPr="005A55AF">
        <w:rPr>
          <w:rFonts w:ascii="Arial" w:hAnsi="Arial" w:cs="Arial"/>
          <w:sz w:val="20"/>
          <w:szCs w:val="20"/>
        </w:rPr>
        <w:t xml:space="preserve"> delivery system.</w:t>
      </w:r>
    </w:p>
    <w:p w14:paraId="2B9C2FE3" w14:textId="77777777" w:rsidR="00697F85" w:rsidRPr="005A55AF" w:rsidRDefault="00697F85" w:rsidP="005A55AF">
      <w:pPr>
        <w:pStyle w:val="NormalWeb"/>
        <w:spacing w:before="0" w:beforeAutospacing="0" w:after="0" w:afterAutospacing="0"/>
        <w:jc w:val="both"/>
        <w:rPr>
          <w:rFonts w:ascii="Arial" w:hAnsi="Arial" w:cs="Arial"/>
          <w:sz w:val="20"/>
          <w:szCs w:val="20"/>
        </w:rPr>
      </w:pPr>
    </w:p>
    <w:p w14:paraId="51DD45C2" w14:textId="4CB13437" w:rsidR="000342B3" w:rsidRDefault="000342B3"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 xml:space="preserve">To confirm its in vivo floating behavior, MTH3 was further subjected to radiographic imaging studies in healthy human volunteers under fasting conditions. The X-ray images showed that the tablets remained buoyant in the stomach for </w:t>
      </w:r>
      <w:r w:rsidRPr="005A55AF">
        <w:rPr>
          <w:rStyle w:val="Strong"/>
          <w:rFonts w:ascii="Arial" w:hAnsi="Arial" w:cs="Arial"/>
          <w:b w:val="0"/>
          <w:sz w:val="20"/>
          <w:szCs w:val="20"/>
        </w:rPr>
        <w:t>3</w:t>
      </w:r>
      <w:r w:rsidR="00275A69">
        <w:rPr>
          <w:rStyle w:val="Strong"/>
          <w:rFonts w:ascii="Arial" w:hAnsi="Arial" w:cs="Arial"/>
          <w:b w:val="0"/>
          <w:sz w:val="20"/>
          <w:szCs w:val="20"/>
        </w:rPr>
        <w:t>6</w:t>
      </w:r>
      <w:r w:rsidRPr="005A55AF">
        <w:rPr>
          <w:rStyle w:val="Strong"/>
          <w:rFonts w:ascii="Arial" w:hAnsi="Arial" w:cs="Arial"/>
          <w:b w:val="0"/>
          <w:sz w:val="20"/>
          <w:szCs w:val="20"/>
        </w:rPr>
        <w:t>0 ± 30 minutes</w:t>
      </w:r>
      <w:r w:rsidRPr="005A55AF">
        <w:rPr>
          <w:rFonts w:ascii="Arial" w:hAnsi="Arial" w:cs="Arial"/>
          <w:sz w:val="20"/>
          <w:szCs w:val="20"/>
        </w:rPr>
        <w:t>, demonstrating consistent ga</w:t>
      </w:r>
      <w:r w:rsidR="00592C58">
        <w:rPr>
          <w:rFonts w:ascii="Arial" w:hAnsi="Arial" w:cs="Arial"/>
          <w:sz w:val="20"/>
          <w:szCs w:val="20"/>
        </w:rPr>
        <w:t xml:space="preserve">stric retention across subjects </w:t>
      </w:r>
      <w:r w:rsidR="00592C58" w:rsidRPr="00275A69">
        <w:rPr>
          <w:rFonts w:ascii="Arial" w:hAnsi="Arial" w:cs="Arial"/>
          <w:b/>
          <w:sz w:val="20"/>
          <w:szCs w:val="20"/>
        </w:rPr>
        <w:t xml:space="preserve">Figure </w:t>
      </w:r>
      <w:r w:rsidR="00275A69" w:rsidRPr="00275A69">
        <w:rPr>
          <w:rFonts w:ascii="Arial" w:hAnsi="Arial" w:cs="Arial"/>
          <w:b/>
          <w:sz w:val="20"/>
          <w:szCs w:val="20"/>
        </w:rPr>
        <w:t>1</w:t>
      </w:r>
      <w:r w:rsidRPr="00275A69">
        <w:rPr>
          <w:rFonts w:ascii="Arial" w:hAnsi="Arial" w:cs="Arial"/>
          <w:b/>
          <w:sz w:val="20"/>
          <w:szCs w:val="20"/>
        </w:rPr>
        <w:t>.</w:t>
      </w:r>
      <w:r w:rsidRPr="00275A69">
        <w:rPr>
          <w:rFonts w:ascii="Arial" w:hAnsi="Arial" w:cs="Arial"/>
          <w:sz w:val="20"/>
          <w:szCs w:val="20"/>
        </w:rPr>
        <w:t xml:space="preserve"> </w:t>
      </w:r>
      <w:r w:rsidRPr="005A55AF">
        <w:rPr>
          <w:rFonts w:ascii="Arial" w:hAnsi="Arial" w:cs="Arial"/>
          <w:sz w:val="20"/>
          <w:szCs w:val="20"/>
        </w:rPr>
        <w:t xml:space="preserve">This prolonged intragastric residence time </w:t>
      </w:r>
      <w:proofErr w:type="gramStart"/>
      <w:r w:rsidRPr="005A55AF">
        <w:rPr>
          <w:rFonts w:ascii="Arial" w:hAnsi="Arial" w:cs="Arial"/>
          <w:sz w:val="20"/>
          <w:szCs w:val="20"/>
        </w:rPr>
        <w:t xml:space="preserve">is in </w:t>
      </w:r>
      <w:r w:rsidRPr="00DB480E">
        <w:rPr>
          <w:rFonts w:ascii="Arial" w:hAnsi="Arial" w:cs="Arial"/>
          <w:color w:val="000000" w:themeColor="text1"/>
          <w:sz w:val="20"/>
          <w:szCs w:val="20"/>
        </w:rPr>
        <w:t>agreement</w:t>
      </w:r>
      <w:proofErr w:type="gramEnd"/>
      <w:r w:rsidRPr="00DB480E">
        <w:rPr>
          <w:rFonts w:ascii="Arial" w:hAnsi="Arial" w:cs="Arial"/>
          <w:color w:val="000000" w:themeColor="text1"/>
          <w:sz w:val="20"/>
          <w:szCs w:val="20"/>
        </w:rPr>
        <w:t xml:space="preserve"> with the strong gel layer formation and high swelling capacity observed in vitro, which likely </w:t>
      </w:r>
      <w:r w:rsidRPr="00DB480E">
        <w:rPr>
          <w:rFonts w:ascii="Arial" w:hAnsi="Arial" w:cs="Arial"/>
          <w:sz w:val="20"/>
          <w:szCs w:val="20"/>
        </w:rPr>
        <w:t>contributed to the tablet’s ability to resist gastric motility forces and maintain buoyancy in the acidic gastric environment (</w:t>
      </w:r>
      <w:r w:rsidR="00BF3655" w:rsidRPr="00DB480E">
        <w:rPr>
          <w:rFonts w:ascii="Arial" w:hAnsi="Arial" w:cs="Arial"/>
          <w:sz w:val="20"/>
          <w:szCs w:val="20"/>
        </w:rPr>
        <w:t>Meka et al., 2012</w:t>
      </w:r>
      <w:r w:rsidRPr="00DB480E">
        <w:rPr>
          <w:rFonts w:ascii="Arial" w:hAnsi="Arial" w:cs="Arial"/>
          <w:sz w:val="20"/>
          <w:szCs w:val="20"/>
        </w:rPr>
        <w:t>). The in vivo findings validate the predictive capability of the in vitro buoyancy and swelling/erosion</w:t>
      </w:r>
      <w:r w:rsidRPr="005A55AF">
        <w:rPr>
          <w:rFonts w:ascii="Arial" w:hAnsi="Arial" w:cs="Arial"/>
          <w:sz w:val="20"/>
          <w:szCs w:val="20"/>
        </w:rPr>
        <w:t xml:space="preserve"> studies, confirming that formulation MTH3 provides reliable gastro-retention. This extended retention time is particularly advantageous for metformin HCl, a drug with a narrow absorption window in the upper gastrointestinal tract, as it increases the likelihood of improved absorption and therapeutic performance.</w:t>
      </w:r>
    </w:p>
    <w:p w14:paraId="0B61A64A" w14:textId="77777777" w:rsidR="00697F85" w:rsidRPr="005A55AF" w:rsidRDefault="00697F85" w:rsidP="005A55AF">
      <w:pPr>
        <w:pStyle w:val="NormalWeb"/>
        <w:spacing w:before="0" w:beforeAutospacing="0" w:after="0" w:afterAutospacing="0"/>
        <w:jc w:val="both"/>
        <w:rPr>
          <w:rFonts w:ascii="Arial" w:hAnsi="Arial" w:cs="Arial"/>
          <w:sz w:val="20"/>
          <w:szCs w:val="20"/>
        </w:rPr>
      </w:pPr>
    </w:p>
    <w:p w14:paraId="30CA119F" w14:textId="48CD42F5" w:rsidR="000342B3" w:rsidRDefault="000342B3" w:rsidP="00697F85">
      <w:pPr>
        <w:pStyle w:val="Heading3"/>
        <w:numPr>
          <w:ilvl w:val="1"/>
          <w:numId w:val="5"/>
        </w:numPr>
        <w:spacing w:before="0" w:beforeAutospacing="0" w:after="0" w:afterAutospacing="0"/>
        <w:jc w:val="both"/>
        <w:rPr>
          <w:rFonts w:ascii="Arial" w:hAnsi="Arial" w:cs="Arial"/>
          <w:sz w:val="22"/>
          <w:szCs w:val="22"/>
        </w:rPr>
      </w:pPr>
      <w:r w:rsidRPr="00697F85">
        <w:rPr>
          <w:rFonts w:ascii="Arial" w:hAnsi="Arial" w:cs="Arial"/>
          <w:sz w:val="22"/>
          <w:szCs w:val="22"/>
        </w:rPr>
        <w:t>Comparative In Vivo Bioequivalence Evaluation</w:t>
      </w:r>
    </w:p>
    <w:p w14:paraId="058E970F" w14:textId="77777777" w:rsidR="00697F85" w:rsidRPr="00697F85" w:rsidRDefault="00697F85" w:rsidP="00697F85">
      <w:pPr>
        <w:pStyle w:val="Heading3"/>
        <w:spacing w:before="0" w:beforeAutospacing="0" w:after="0" w:afterAutospacing="0"/>
        <w:ind w:left="360"/>
        <w:jc w:val="both"/>
        <w:rPr>
          <w:rFonts w:ascii="Arial" w:hAnsi="Arial" w:cs="Arial"/>
          <w:sz w:val="22"/>
          <w:szCs w:val="22"/>
        </w:rPr>
      </w:pPr>
    </w:p>
    <w:p w14:paraId="5312DB0D" w14:textId="4A45DD0F" w:rsidR="000342B3"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 xml:space="preserve">The in vivo pharmacokinetic performance of the optimized floating formulation (MTH3) and non-floating formulation (MTH6) was evaluated against the reference listed drug (RLD), </w:t>
      </w:r>
      <w:r w:rsidRPr="005A55AF">
        <w:rPr>
          <w:rFonts w:ascii="Arial" w:eastAsia="Times New Roman" w:hAnsi="Arial" w:cs="Arial"/>
          <w:bCs/>
          <w:sz w:val="20"/>
          <w:szCs w:val="20"/>
          <w:lang w:eastAsia="en-IN"/>
        </w:rPr>
        <w:t>GLUCOPHAGE</w:t>
      </w:r>
      <w:r w:rsidRPr="005A55AF">
        <w:rPr>
          <w:rFonts w:ascii="Arial" w:eastAsia="Times New Roman" w:hAnsi="Arial" w:cs="Arial"/>
          <w:sz w:val="20"/>
          <w:szCs w:val="20"/>
          <w:lang w:eastAsia="en-IN"/>
        </w:rPr>
        <w:t>, under fasting conditions. Bioequivalence assessment was performed using log-transformed pharmacokinetic parameters, and the 90% confidence interval (CI) acceptance range was set at 80.00–125.00% in accordance with regulatory guidelines.</w:t>
      </w:r>
    </w:p>
    <w:p w14:paraId="753E74A5" w14:textId="77777777" w:rsidR="00697F85" w:rsidRPr="005A55AF" w:rsidRDefault="00697F85" w:rsidP="005A55AF">
      <w:pPr>
        <w:spacing w:after="0" w:line="240" w:lineRule="auto"/>
        <w:jc w:val="both"/>
        <w:rPr>
          <w:rFonts w:ascii="Arial" w:eastAsia="Times New Roman" w:hAnsi="Arial" w:cs="Arial"/>
          <w:sz w:val="20"/>
          <w:szCs w:val="20"/>
          <w:lang w:eastAsia="en-IN"/>
        </w:rPr>
      </w:pPr>
    </w:p>
    <w:p w14:paraId="156A56D8" w14:textId="2855C61C" w:rsidR="000342B3"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 xml:space="preserve">The optimized floating </w:t>
      </w:r>
      <w:r w:rsidRPr="00920924">
        <w:rPr>
          <w:rFonts w:ascii="Arial" w:eastAsia="Times New Roman" w:hAnsi="Arial" w:cs="Arial"/>
          <w:sz w:val="20"/>
          <w:szCs w:val="20"/>
          <w:lang w:eastAsia="en-IN"/>
        </w:rPr>
        <w:t xml:space="preserve">formulation MTH3 successfully met the bioequivalence criteria for all primary pharmacokinetic parameters </w:t>
      </w:r>
      <w:r w:rsidR="00920924" w:rsidRPr="00920924">
        <w:rPr>
          <w:rFonts w:ascii="Arial" w:eastAsia="Times New Roman" w:hAnsi="Arial" w:cs="Arial"/>
          <w:sz w:val="20"/>
          <w:szCs w:val="20"/>
          <w:lang w:eastAsia="en-IN"/>
        </w:rPr>
        <w:t xml:space="preserve">in </w:t>
      </w:r>
      <w:r w:rsidRPr="00920924">
        <w:rPr>
          <w:rFonts w:ascii="Arial" w:eastAsia="Times New Roman" w:hAnsi="Arial" w:cs="Arial"/>
          <w:b/>
          <w:color w:val="000000" w:themeColor="text1"/>
          <w:sz w:val="20"/>
          <w:szCs w:val="20"/>
          <w:lang w:eastAsia="en-IN"/>
        </w:rPr>
        <w:t>Table 2</w:t>
      </w:r>
      <w:r w:rsidR="004A5B40" w:rsidRPr="00920924">
        <w:rPr>
          <w:rFonts w:ascii="Arial" w:eastAsia="Times New Roman" w:hAnsi="Arial" w:cs="Arial"/>
          <w:b/>
          <w:color w:val="000000" w:themeColor="text1"/>
          <w:sz w:val="20"/>
          <w:szCs w:val="20"/>
          <w:lang w:eastAsia="en-IN"/>
        </w:rPr>
        <w:t>a and Table 2b</w:t>
      </w:r>
      <w:r w:rsidRPr="00920924">
        <w:rPr>
          <w:rFonts w:ascii="Arial" w:eastAsia="Times New Roman" w:hAnsi="Arial" w:cs="Arial"/>
          <w:b/>
          <w:color w:val="000000" w:themeColor="text1"/>
          <w:sz w:val="20"/>
          <w:szCs w:val="20"/>
          <w:lang w:eastAsia="en-IN"/>
        </w:rPr>
        <w:t>.</w:t>
      </w:r>
      <w:r w:rsidRPr="00920924">
        <w:rPr>
          <w:rFonts w:ascii="Arial" w:eastAsia="Times New Roman" w:hAnsi="Arial" w:cs="Arial"/>
          <w:color w:val="000000" w:themeColor="text1"/>
          <w:sz w:val="20"/>
          <w:szCs w:val="20"/>
          <w:lang w:eastAsia="en-IN"/>
        </w:rPr>
        <w:t xml:space="preserve"> </w:t>
      </w:r>
      <w:r w:rsidRPr="00920924">
        <w:rPr>
          <w:rFonts w:ascii="Arial" w:eastAsia="Times New Roman" w:hAnsi="Arial" w:cs="Arial"/>
          <w:sz w:val="20"/>
          <w:szCs w:val="20"/>
          <w:lang w:eastAsia="en-IN"/>
        </w:rPr>
        <w:t>The 90</w:t>
      </w:r>
      <w:r w:rsidRPr="005A55AF">
        <w:rPr>
          <w:rFonts w:ascii="Arial" w:eastAsia="Times New Roman" w:hAnsi="Arial" w:cs="Arial"/>
          <w:sz w:val="20"/>
          <w:szCs w:val="20"/>
          <w:lang w:eastAsia="en-IN"/>
        </w:rPr>
        <w:t>% confidence intervals for Cmax (87.60%–97.77%), AUC</w:t>
      </w:r>
      <w:r w:rsidRPr="005A55AF">
        <w:rPr>
          <w:rFonts w:ascii="Cambria Math" w:eastAsia="Times New Roman" w:hAnsi="Cambria Math" w:cs="Cambria Math"/>
          <w:sz w:val="20"/>
          <w:szCs w:val="20"/>
          <w:lang w:eastAsia="en-IN"/>
        </w:rPr>
        <w:t>₀</w:t>
      </w:r>
      <w:r w:rsidRPr="005A55AF">
        <w:rPr>
          <w:rFonts w:ascii="Arial" w:eastAsia="Times New Roman" w:hAnsi="Arial" w:cs="Arial"/>
          <w:sz w:val="20"/>
          <w:szCs w:val="20"/>
          <w:lang w:eastAsia="en-IN"/>
        </w:rPr>
        <w:t>–t (84.95%–97.73%), and AUC</w:t>
      </w:r>
      <w:r w:rsidRPr="005A55AF">
        <w:rPr>
          <w:rFonts w:ascii="Cambria Math" w:eastAsia="Times New Roman" w:hAnsi="Cambria Math" w:cs="Cambria Math"/>
          <w:sz w:val="20"/>
          <w:szCs w:val="20"/>
          <w:lang w:eastAsia="en-IN"/>
        </w:rPr>
        <w:t>₀</w:t>
      </w:r>
      <w:r w:rsidRPr="005A55AF">
        <w:rPr>
          <w:rFonts w:ascii="Arial" w:eastAsia="Times New Roman" w:hAnsi="Arial" w:cs="Arial"/>
          <w:sz w:val="20"/>
          <w:szCs w:val="20"/>
          <w:lang w:eastAsia="en-IN"/>
        </w:rPr>
        <w:t xml:space="preserve">–inf (85.17%–97.47%) were entirely contained within the predefined acceptance limits of 80–125%. These findings confirm comparable rate and extent of absorption between MTH3 and the RLD. The relatively narrow confidence intervals indicate low intra-subject variability and adequate statistical power. The improved pharmacokinetic consistency observed with MTH3 </w:t>
      </w:r>
      <w:r w:rsidR="00F548EC">
        <w:rPr>
          <w:rFonts w:ascii="Arial" w:eastAsia="Times New Roman" w:hAnsi="Arial" w:cs="Arial"/>
          <w:sz w:val="20"/>
          <w:szCs w:val="20"/>
          <w:lang w:eastAsia="en-IN"/>
        </w:rPr>
        <w:t>can be attributed to its gastro</w:t>
      </w:r>
      <w:r w:rsidRPr="005A55AF">
        <w:rPr>
          <w:rFonts w:ascii="Arial" w:eastAsia="Times New Roman" w:hAnsi="Arial" w:cs="Arial"/>
          <w:sz w:val="20"/>
          <w:szCs w:val="20"/>
          <w:lang w:eastAsia="en-IN"/>
        </w:rPr>
        <w:t xml:space="preserve">retentive floating mechanism, which likely prolonged gastric residence time and facilitated controlled drug release in the upper gastrointestinal tract the primary </w:t>
      </w:r>
      <w:r w:rsidRPr="005A55AF">
        <w:rPr>
          <w:rFonts w:ascii="Arial" w:eastAsia="Times New Roman" w:hAnsi="Arial" w:cs="Arial"/>
          <w:sz w:val="20"/>
          <w:szCs w:val="20"/>
          <w:lang w:eastAsia="en-IN"/>
        </w:rPr>
        <w:lastRenderedPageBreak/>
        <w:t>absorption window of Metformin. This controlled gastric retention may have minimized variability associated with gastric emptying, thereby enhancing systemic exposure reproducibility.</w:t>
      </w:r>
    </w:p>
    <w:p w14:paraId="2A2C2233" w14:textId="7A28C33C" w:rsidR="00143118" w:rsidRDefault="00143118" w:rsidP="005A55AF">
      <w:pPr>
        <w:spacing w:after="0" w:line="240" w:lineRule="auto"/>
        <w:jc w:val="both"/>
        <w:rPr>
          <w:rFonts w:ascii="Arial" w:eastAsia="Times New Roman" w:hAnsi="Arial" w:cs="Arial"/>
          <w:sz w:val="20"/>
          <w:szCs w:val="20"/>
          <w:lang w:eastAsia="en-IN"/>
        </w:rPr>
      </w:pPr>
    </w:p>
    <w:p w14:paraId="3A0A3D56" w14:textId="5644E7AD" w:rsidR="00995845" w:rsidRPr="0023010B" w:rsidRDefault="00995845" w:rsidP="00920924">
      <w:pPr>
        <w:spacing w:line="240" w:lineRule="auto"/>
        <w:jc w:val="center"/>
        <w:rPr>
          <w:rFonts w:ascii="Arial" w:eastAsia="Times New Roman" w:hAnsi="Arial" w:cs="Arial"/>
          <w:b/>
          <w:sz w:val="20"/>
          <w:szCs w:val="20"/>
          <w:lang w:eastAsia="en-IN"/>
        </w:rPr>
      </w:pPr>
      <w:r w:rsidRPr="0023010B">
        <w:rPr>
          <w:rFonts w:ascii="Arial" w:hAnsi="Arial" w:cs="Arial"/>
          <w:b/>
          <w:sz w:val="20"/>
          <w:szCs w:val="20"/>
        </w:rPr>
        <w:t>Table 2a: Comparative Pharmacokinetic Parameters of Test (MTH6) and Reference (RLD) Metformin HCl Controlled-Release Tablets</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761"/>
        <w:gridCol w:w="1087"/>
        <w:gridCol w:w="989"/>
        <w:gridCol w:w="663"/>
        <w:gridCol w:w="668"/>
        <w:gridCol w:w="859"/>
        <w:gridCol w:w="744"/>
        <w:gridCol w:w="784"/>
        <w:gridCol w:w="1501"/>
      </w:tblGrid>
      <w:tr w:rsidR="0023010B" w:rsidRPr="0023010B" w14:paraId="4A513A20" w14:textId="77777777" w:rsidTr="0023010B">
        <w:trPr>
          <w:trHeight w:val="20"/>
          <w:jc w:val="center"/>
        </w:trPr>
        <w:tc>
          <w:tcPr>
            <w:tcW w:w="972" w:type="pct"/>
            <w:vMerge w:val="restart"/>
            <w:tcMar>
              <w:top w:w="15" w:type="dxa"/>
              <w:left w:w="15" w:type="dxa"/>
              <w:bottom w:w="0" w:type="dxa"/>
              <w:right w:w="15" w:type="dxa"/>
            </w:tcMar>
            <w:vAlign w:val="center"/>
            <w:hideMark/>
          </w:tcPr>
          <w:p w14:paraId="35DFE927" w14:textId="77777777" w:rsidR="00995845" w:rsidRPr="0023010B" w:rsidRDefault="00995845" w:rsidP="0023010B">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eastAsia="en-IN"/>
              </w:rPr>
              <w:t>PK Parameter</w:t>
            </w:r>
          </w:p>
        </w:tc>
        <w:tc>
          <w:tcPr>
            <w:tcW w:w="1146" w:type="pct"/>
            <w:gridSpan w:val="2"/>
            <w:tcMar>
              <w:top w:w="15" w:type="dxa"/>
              <w:left w:w="15" w:type="dxa"/>
              <w:bottom w:w="0" w:type="dxa"/>
              <w:right w:w="15" w:type="dxa"/>
            </w:tcMar>
            <w:vAlign w:val="center"/>
            <w:hideMark/>
          </w:tcPr>
          <w:p w14:paraId="6A005FFF" w14:textId="77777777" w:rsidR="00995845" w:rsidRPr="0023010B" w:rsidRDefault="00995845" w:rsidP="0023010B">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Least Square Geometric Mean</w:t>
            </w:r>
          </w:p>
        </w:tc>
        <w:tc>
          <w:tcPr>
            <w:tcW w:w="366" w:type="pct"/>
            <w:vMerge w:val="restart"/>
            <w:tcMar>
              <w:top w:w="15" w:type="dxa"/>
              <w:left w:w="15" w:type="dxa"/>
              <w:bottom w:w="0" w:type="dxa"/>
              <w:right w:w="15" w:type="dxa"/>
            </w:tcMar>
            <w:vAlign w:val="center"/>
            <w:hideMark/>
          </w:tcPr>
          <w:p w14:paraId="2B6FA9E2" w14:textId="77777777" w:rsidR="00995845" w:rsidRPr="0023010B" w:rsidRDefault="00995845" w:rsidP="0023010B">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T/R Ratio</w:t>
            </w:r>
          </w:p>
        </w:tc>
        <w:tc>
          <w:tcPr>
            <w:tcW w:w="843" w:type="pct"/>
            <w:gridSpan w:val="2"/>
            <w:tcMar>
              <w:top w:w="15" w:type="dxa"/>
              <w:left w:w="15" w:type="dxa"/>
              <w:bottom w:w="0" w:type="dxa"/>
              <w:right w:w="15" w:type="dxa"/>
            </w:tcMar>
            <w:vAlign w:val="center"/>
            <w:hideMark/>
          </w:tcPr>
          <w:p w14:paraId="75D4FA52" w14:textId="77777777" w:rsidR="00995845" w:rsidRPr="0023010B" w:rsidRDefault="00995845" w:rsidP="0023010B">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90% CI</w:t>
            </w:r>
          </w:p>
        </w:tc>
        <w:tc>
          <w:tcPr>
            <w:tcW w:w="411" w:type="pct"/>
            <w:vMerge w:val="restart"/>
            <w:tcMar>
              <w:top w:w="15" w:type="dxa"/>
              <w:left w:w="15" w:type="dxa"/>
              <w:bottom w:w="0" w:type="dxa"/>
              <w:right w:w="15" w:type="dxa"/>
            </w:tcMar>
            <w:vAlign w:val="center"/>
            <w:hideMark/>
          </w:tcPr>
          <w:p w14:paraId="069416FA" w14:textId="77777777" w:rsidR="00995845" w:rsidRPr="0023010B" w:rsidRDefault="00995845" w:rsidP="0023010B">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ISCV (%)</w:t>
            </w:r>
          </w:p>
        </w:tc>
        <w:tc>
          <w:tcPr>
            <w:tcW w:w="433" w:type="pct"/>
            <w:vMerge w:val="restart"/>
            <w:tcMar>
              <w:top w:w="15" w:type="dxa"/>
              <w:left w:w="15" w:type="dxa"/>
              <w:bottom w:w="0" w:type="dxa"/>
              <w:right w:w="15" w:type="dxa"/>
            </w:tcMar>
            <w:vAlign w:val="center"/>
            <w:hideMark/>
          </w:tcPr>
          <w:p w14:paraId="7A42199B" w14:textId="77777777" w:rsidR="00995845" w:rsidRPr="0023010B" w:rsidRDefault="00995845" w:rsidP="0023010B">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Power (%)</w:t>
            </w:r>
          </w:p>
        </w:tc>
        <w:tc>
          <w:tcPr>
            <w:tcW w:w="829" w:type="pct"/>
            <w:vMerge w:val="restart"/>
            <w:tcMar>
              <w:top w:w="15" w:type="dxa"/>
              <w:left w:w="15" w:type="dxa"/>
              <w:bottom w:w="0" w:type="dxa"/>
              <w:right w:w="15" w:type="dxa"/>
            </w:tcMar>
            <w:vAlign w:val="center"/>
            <w:hideMark/>
          </w:tcPr>
          <w:p w14:paraId="54DD56A1" w14:textId="77777777" w:rsidR="00995845" w:rsidRPr="0023010B" w:rsidRDefault="00995845" w:rsidP="0023010B">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Inference</w:t>
            </w:r>
          </w:p>
        </w:tc>
      </w:tr>
      <w:tr w:rsidR="0023010B" w:rsidRPr="0023010B" w14:paraId="1B1B7971" w14:textId="77777777" w:rsidTr="0023010B">
        <w:trPr>
          <w:trHeight w:val="20"/>
          <w:jc w:val="center"/>
        </w:trPr>
        <w:tc>
          <w:tcPr>
            <w:tcW w:w="972" w:type="pct"/>
            <w:vMerge/>
            <w:tcMar>
              <w:top w:w="15" w:type="dxa"/>
              <w:left w:w="15" w:type="dxa"/>
              <w:bottom w:w="0" w:type="dxa"/>
              <w:right w:w="15" w:type="dxa"/>
            </w:tcMar>
            <w:vAlign w:val="center"/>
          </w:tcPr>
          <w:p w14:paraId="292FBD16" w14:textId="77777777" w:rsidR="00995845" w:rsidRPr="0023010B" w:rsidRDefault="00995845" w:rsidP="0023010B">
            <w:pPr>
              <w:spacing w:after="0" w:line="240" w:lineRule="auto"/>
              <w:jc w:val="center"/>
              <w:rPr>
                <w:rFonts w:ascii="Arial" w:eastAsia="Times New Roman" w:hAnsi="Arial" w:cs="Arial"/>
                <w:b/>
                <w:sz w:val="20"/>
                <w:szCs w:val="20"/>
                <w:lang w:val="en-US" w:eastAsia="en-IN"/>
              </w:rPr>
            </w:pPr>
          </w:p>
        </w:tc>
        <w:tc>
          <w:tcPr>
            <w:tcW w:w="600" w:type="pct"/>
            <w:tcMar>
              <w:top w:w="15" w:type="dxa"/>
              <w:left w:w="15" w:type="dxa"/>
              <w:bottom w:w="0" w:type="dxa"/>
              <w:right w:w="15" w:type="dxa"/>
            </w:tcMar>
            <w:vAlign w:val="center"/>
          </w:tcPr>
          <w:p w14:paraId="2775B834" w14:textId="77777777" w:rsidR="00995845" w:rsidRPr="0023010B" w:rsidRDefault="00995845" w:rsidP="0023010B">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Test (MTH6)</w:t>
            </w:r>
          </w:p>
        </w:tc>
        <w:tc>
          <w:tcPr>
            <w:tcW w:w="545" w:type="pct"/>
            <w:tcMar>
              <w:top w:w="15" w:type="dxa"/>
              <w:left w:w="15" w:type="dxa"/>
              <w:bottom w:w="0" w:type="dxa"/>
              <w:right w:w="15" w:type="dxa"/>
            </w:tcMar>
            <w:vAlign w:val="center"/>
          </w:tcPr>
          <w:p w14:paraId="6A287A1B" w14:textId="77777777" w:rsidR="00995845" w:rsidRPr="0023010B" w:rsidRDefault="00995845" w:rsidP="0023010B">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RLD</w:t>
            </w:r>
          </w:p>
        </w:tc>
        <w:tc>
          <w:tcPr>
            <w:tcW w:w="366" w:type="pct"/>
            <w:vMerge/>
            <w:tcMar>
              <w:top w:w="15" w:type="dxa"/>
              <w:left w:w="15" w:type="dxa"/>
              <w:bottom w:w="0" w:type="dxa"/>
              <w:right w:w="15" w:type="dxa"/>
            </w:tcMar>
            <w:vAlign w:val="center"/>
          </w:tcPr>
          <w:p w14:paraId="2DE14822" w14:textId="77777777" w:rsidR="00995845" w:rsidRPr="0023010B" w:rsidRDefault="00995845" w:rsidP="0023010B">
            <w:pPr>
              <w:spacing w:after="0" w:line="240" w:lineRule="auto"/>
              <w:jc w:val="center"/>
              <w:rPr>
                <w:rFonts w:ascii="Arial" w:eastAsia="Times New Roman" w:hAnsi="Arial" w:cs="Arial"/>
                <w:b/>
                <w:sz w:val="20"/>
                <w:szCs w:val="20"/>
                <w:lang w:val="en-US" w:eastAsia="en-IN"/>
              </w:rPr>
            </w:pPr>
          </w:p>
        </w:tc>
        <w:tc>
          <w:tcPr>
            <w:tcW w:w="369" w:type="pct"/>
            <w:tcMar>
              <w:top w:w="15" w:type="dxa"/>
              <w:left w:w="15" w:type="dxa"/>
              <w:bottom w:w="0" w:type="dxa"/>
              <w:right w:w="15" w:type="dxa"/>
            </w:tcMar>
            <w:vAlign w:val="center"/>
          </w:tcPr>
          <w:p w14:paraId="36991087" w14:textId="77777777" w:rsidR="00995845" w:rsidRPr="0023010B" w:rsidRDefault="00995845" w:rsidP="0023010B">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Lower</w:t>
            </w:r>
          </w:p>
        </w:tc>
        <w:tc>
          <w:tcPr>
            <w:tcW w:w="474" w:type="pct"/>
            <w:tcMar>
              <w:top w:w="15" w:type="dxa"/>
              <w:left w:w="15" w:type="dxa"/>
              <w:bottom w:w="0" w:type="dxa"/>
              <w:right w:w="15" w:type="dxa"/>
            </w:tcMar>
            <w:vAlign w:val="center"/>
          </w:tcPr>
          <w:p w14:paraId="291BCC28" w14:textId="77777777" w:rsidR="00995845" w:rsidRPr="0023010B" w:rsidRDefault="00995845" w:rsidP="0023010B">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Upper</w:t>
            </w:r>
          </w:p>
        </w:tc>
        <w:tc>
          <w:tcPr>
            <w:tcW w:w="411" w:type="pct"/>
            <w:vMerge/>
            <w:tcMar>
              <w:top w:w="15" w:type="dxa"/>
              <w:left w:w="15" w:type="dxa"/>
              <w:bottom w:w="0" w:type="dxa"/>
              <w:right w:w="15" w:type="dxa"/>
            </w:tcMar>
            <w:vAlign w:val="center"/>
          </w:tcPr>
          <w:p w14:paraId="2A73EE74" w14:textId="77777777" w:rsidR="00995845" w:rsidRPr="0023010B" w:rsidRDefault="00995845" w:rsidP="0023010B">
            <w:pPr>
              <w:spacing w:after="0" w:line="240" w:lineRule="auto"/>
              <w:jc w:val="both"/>
              <w:rPr>
                <w:rFonts w:ascii="Arial" w:eastAsia="Times New Roman" w:hAnsi="Arial" w:cs="Arial"/>
                <w:sz w:val="20"/>
                <w:szCs w:val="20"/>
                <w:lang w:val="en-US" w:eastAsia="en-IN"/>
              </w:rPr>
            </w:pPr>
          </w:p>
        </w:tc>
        <w:tc>
          <w:tcPr>
            <w:tcW w:w="433" w:type="pct"/>
            <w:vMerge/>
            <w:tcMar>
              <w:top w:w="15" w:type="dxa"/>
              <w:left w:w="15" w:type="dxa"/>
              <w:bottom w:w="0" w:type="dxa"/>
              <w:right w:w="15" w:type="dxa"/>
            </w:tcMar>
            <w:vAlign w:val="center"/>
          </w:tcPr>
          <w:p w14:paraId="3C8F9C67" w14:textId="77777777" w:rsidR="00995845" w:rsidRPr="0023010B" w:rsidRDefault="00995845" w:rsidP="0023010B">
            <w:pPr>
              <w:spacing w:after="0" w:line="240" w:lineRule="auto"/>
              <w:jc w:val="both"/>
              <w:rPr>
                <w:rFonts w:ascii="Arial" w:eastAsia="Times New Roman" w:hAnsi="Arial" w:cs="Arial"/>
                <w:sz w:val="20"/>
                <w:szCs w:val="20"/>
                <w:lang w:val="en-US" w:eastAsia="en-IN"/>
              </w:rPr>
            </w:pPr>
          </w:p>
        </w:tc>
        <w:tc>
          <w:tcPr>
            <w:tcW w:w="829" w:type="pct"/>
            <w:vMerge/>
            <w:tcMar>
              <w:top w:w="15" w:type="dxa"/>
              <w:left w:w="15" w:type="dxa"/>
              <w:bottom w:w="0" w:type="dxa"/>
              <w:right w:w="15" w:type="dxa"/>
            </w:tcMar>
            <w:vAlign w:val="center"/>
          </w:tcPr>
          <w:p w14:paraId="6C6FE119" w14:textId="77777777" w:rsidR="00995845" w:rsidRPr="0023010B" w:rsidRDefault="00995845" w:rsidP="0023010B">
            <w:pPr>
              <w:spacing w:after="0" w:line="240" w:lineRule="auto"/>
              <w:jc w:val="both"/>
              <w:rPr>
                <w:rFonts w:ascii="Arial" w:eastAsia="Times New Roman" w:hAnsi="Arial" w:cs="Arial"/>
                <w:sz w:val="20"/>
                <w:szCs w:val="20"/>
                <w:lang w:val="en-US" w:eastAsia="en-IN"/>
              </w:rPr>
            </w:pPr>
          </w:p>
        </w:tc>
      </w:tr>
      <w:tr w:rsidR="00995845" w:rsidRPr="0023010B" w14:paraId="5E772605" w14:textId="77777777" w:rsidTr="00592C58">
        <w:trPr>
          <w:trHeight w:val="20"/>
          <w:jc w:val="center"/>
        </w:trPr>
        <w:tc>
          <w:tcPr>
            <w:tcW w:w="972" w:type="pct"/>
            <w:tcMar>
              <w:top w:w="15" w:type="dxa"/>
              <w:left w:w="15" w:type="dxa"/>
              <w:bottom w:w="0" w:type="dxa"/>
              <w:right w:w="15" w:type="dxa"/>
            </w:tcMar>
            <w:vAlign w:val="center"/>
            <w:hideMark/>
          </w:tcPr>
          <w:p w14:paraId="080E932F" w14:textId="77777777" w:rsidR="00995845" w:rsidRPr="0023010B" w:rsidRDefault="00995845" w:rsidP="00592C58">
            <w:pPr>
              <w:spacing w:after="0" w:line="240" w:lineRule="auto"/>
              <w:rPr>
                <w:rFonts w:ascii="Arial" w:eastAsia="Times New Roman" w:hAnsi="Arial" w:cs="Arial"/>
                <w:sz w:val="20"/>
                <w:szCs w:val="20"/>
                <w:lang w:eastAsia="en-IN"/>
              </w:rPr>
            </w:pPr>
            <w:r w:rsidRPr="0023010B">
              <w:rPr>
                <w:rFonts w:ascii="Arial" w:eastAsia="Times New Roman" w:hAnsi="Arial" w:cs="Arial"/>
                <w:sz w:val="20"/>
                <w:szCs w:val="20"/>
                <w:lang w:val="en-US" w:eastAsia="en-IN"/>
              </w:rPr>
              <w:t>C</w:t>
            </w:r>
            <w:r w:rsidRPr="0023010B">
              <w:rPr>
                <w:rFonts w:ascii="Arial" w:eastAsia="Times New Roman" w:hAnsi="Arial" w:cs="Arial"/>
                <w:sz w:val="20"/>
                <w:szCs w:val="20"/>
                <w:vertAlign w:val="subscript"/>
                <w:lang w:val="en-US" w:eastAsia="en-IN"/>
              </w:rPr>
              <w:t>max (µ</w:t>
            </w:r>
            <w:proofErr w:type="gramStart"/>
            <w:r w:rsidRPr="0023010B">
              <w:rPr>
                <w:rFonts w:ascii="Arial" w:eastAsia="Times New Roman" w:hAnsi="Arial" w:cs="Arial"/>
                <w:sz w:val="20"/>
                <w:szCs w:val="20"/>
                <w:vertAlign w:val="subscript"/>
                <w:lang w:val="en-US" w:eastAsia="en-IN"/>
              </w:rPr>
              <w:t>g.mL</w:t>
            </w:r>
            <w:proofErr w:type="gramEnd"/>
            <w:r w:rsidRPr="0023010B">
              <w:rPr>
                <w:rFonts w:ascii="Arial" w:eastAsia="Times New Roman" w:hAnsi="Arial" w:cs="Arial"/>
                <w:sz w:val="20"/>
                <w:szCs w:val="20"/>
                <w:vertAlign w:val="superscript"/>
                <w:lang w:val="en-US" w:eastAsia="en-IN"/>
              </w:rPr>
              <w:t>-1</w:t>
            </w:r>
            <w:r w:rsidRPr="0023010B">
              <w:rPr>
                <w:rFonts w:ascii="Arial" w:eastAsia="Times New Roman" w:hAnsi="Arial" w:cs="Arial"/>
                <w:sz w:val="20"/>
                <w:szCs w:val="20"/>
                <w:vertAlign w:val="subscript"/>
                <w:lang w:val="en-US" w:eastAsia="en-IN"/>
              </w:rPr>
              <w:t>)</w:t>
            </w:r>
          </w:p>
        </w:tc>
        <w:tc>
          <w:tcPr>
            <w:tcW w:w="600" w:type="pct"/>
            <w:tcMar>
              <w:top w:w="15" w:type="dxa"/>
              <w:left w:w="15" w:type="dxa"/>
              <w:bottom w:w="0" w:type="dxa"/>
              <w:right w:w="15" w:type="dxa"/>
            </w:tcMar>
            <w:vAlign w:val="center"/>
            <w:hideMark/>
          </w:tcPr>
          <w:p w14:paraId="32312F38"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808.840</w:t>
            </w:r>
          </w:p>
        </w:tc>
        <w:tc>
          <w:tcPr>
            <w:tcW w:w="545" w:type="pct"/>
            <w:tcMar>
              <w:top w:w="15" w:type="dxa"/>
              <w:left w:w="15" w:type="dxa"/>
              <w:bottom w:w="0" w:type="dxa"/>
              <w:right w:w="15" w:type="dxa"/>
            </w:tcMar>
            <w:vAlign w:val="center"/>
            <w:hideMark/>
          </w:tcPr>
          <w:p w14:paraId="23ED3337"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813.371</w:t>
            </w:r>
          </w:p>
        </w:tc>
        <w:tc>
          <w:tcPr>
            <w:tcW w:w="366" w:type="pct"/>
            <w:tcMar>
              <w:top w:w="15" w:type="dxa"/>
              <w:left w:w="15" w:type="dxa"/>
              <w:bottom w:w="0" w:type="dxa"/>
              <w:right w:w="15" w:type="dxa"/>
            </w:tcMar>
            <w:vAlign w:val="center"/>
            <w:hideMark/>
          </w:tcPr>
          <w:p w14:paraId="5DD27D7A"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99.44</w:t>
            </w:r>
          </w:p>
        </w:tc>
        <w:tc>
          <w:tcPr>
            <w:tcW w:w="369" w:type="pct"/>
            <w:tcMar>
              <w:top w:w="15" w:type="dxa"/>
              <w:left w:w="15" w:type="dxa"/>
              <w:bottom w:w="0" w:type="dxa"/>
              <w:right w:w="15" w:type="dxa"/>
            </w:tcMar>
            <w:vAlign w:val="center"/>
            <w:hideMark/>
          </w:tcPr>
          <w:p w14:paraId="6F248982"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74.96</w:t>
            </w:r>
          </w:p>
        </w:tc>
        <w:tc>
          <w:tcPr>
            <w:tcW w:w="474" w:type="pct"/>
            <w:tcMar>
              <w:top w:w="15" w:type="dxa"/>
              <w:left w:w="15" w:type="dxa"/>
              <w:bottom w:w="0" w:type="dxa"/>
              <w:right w:w="15" w:type="dxa"/>
            </w:tcMar>
            <w:vAlign w:val="center"/>
            <w:hideMark/>
          </w:tcPr>
          <w:p w14:paraId="67BC3869"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131.92</w:t>
            </w:r>
          </w:p>
        </w:tc>
        <w:tc>
          <w:tcPr>
            <w:tcW w:w="411" w:type="pct"/>
            <w:tcMar>
              <w:top w:w="15" w:type="dxa"/>
              <w:left w:w="15" w:type="dxa"/>
              <w:bottom w:w="0" w:type="dxa"/>
              <w:right w:w="15" w:type="dxa"/>
            </w:tcMar>
            <w:vAlign w:val="center"/>
          </w:tcPr>
          <w:p w14:paraId="3ACCFB79"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36.17</w:t>
            </w:r>
          </w:p>
        </w:tc>
        <w:tc>
          <w:tcPr>
            <w:tcW w:w="433" w:type="pct"/>
            <w:tcMar>
              <w:top w:w="15" w:type="dxa"/>
              <w:left w:w="15" w:type="dxa"/>
              <w:bottom w:w="0" w:type="dxa"/>
              <w:right w:w="15" w:type="dxa"/>
            </w:tcMar>
            <w:vAlign w:val="center"/>
          </w:tcPr>
          <w:p w14:paraId="64D816F0"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74.70</w:t>
            </w:r>
          </w:p>
        </w:tc>
        <w:tc>
          <w:tcPr>
            <w:tcW w:w="829" w:type="pct"/>
            <w:tcMar>
              <w:top w:w="15" w:type="dxa"/>
              <w:left w:w="15" w:type="dxa"/>
              <w:bottom w:w="0" w:type="dxa"/>
              <w:right w:w="15" w:type="dxa"/>
            </w:tcMar>
            <w:vAlign w:val="center"/>
            <w:hideMark/>
          </w:tcPr>
          <w:p w14:paraId="50F4E80D"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Bioequivalence Not Met</w:t>
            </w:r>
          </w:p>
        </w:tc>
      </w:tr>
      <w:tr w:rsidR="00995845" w:rsidRPr="0023010B" w14:paraId="72502C7B" w14:textId="77777777" w:rsidTr="00592C58">
        <w:trPr>
          <w:trHeight w:val="20"/>
          <w:jc w:val="center"/>
        </w:trPr>
        <w:tc>
          <w:tcPr>
            <w:tcW w:w="972" w:type="pct"/>
            <w:tcMar>
              <w:top w:w="15" w:type="dxa"/>
              <w:left w:w="15" w:type="dxa"/>
              <w:bottom w:w="0" w:type="dxa"/>
              <w:right w:w="15" w:type="dxa"/>
            </w:tcMar>
            <w:vAlign w:val="center"/>
            <w:hideMark/>
          </w:tcPr>
          <w:p w14:paraId="1BFA6BDB" w14:textId="77777777" w:rsidR="00995845" w:rsidRPr="0023010B" w:rsidRDefault="00995845" w:rsidP="00592C58">
            <w:pPr>
              <w:spacing w:after="0" w:line="240" w:lineRule="auto"/>
              <w:rPr>
                <w:rFonts w:ascii="Arial" w:eastAsia="Times New Roman" w:hAnsi="Arial" w:cs="Arial"/>
                <w:sz w:val="20"/>
                <w:szCs w:val="20"/>
                <w:lang w:eastAsia="en-IN"/>
              </w:rPr>
            </w:pPr>
            <w:r w:rsidRPr="0023010B">
              <w:rPr>
                <w:rFonts w:ascii="Arial" w:eastAsia="Times New Roman" w:hAnsi="Arial" w:cs="Arial"/>
                <w:sz w:val="20"/>
                <w:szCs w:val="20"/>
                <w:lang w:val="en-US" w:eastAsia="en-IN"/>
              </w:rPr>
              <w:t>AUC</w:t>
            </w:r>
            <w:r w:rsidRPr="0023010B">
              <w:rPr>
                <w:rFonts w:ascii="Arial" w:eastAsia="Times New Roman" w:hAnsi="Arial" w:cs="Arial"/>
                <w:sz w:val="20"/>
                <w:szCs w:val="20"/>
                <w:vertAlign w:val="subscript"/>
                <w:lang w:val="en-US" w:eastAsia="en-IN"/>
              </w:rPr>
              <w:t>0-t (µg.</w:t>
            </w:r>
            <w:proofErr w:type="gramStart"/>
            <w:r w:rsidRPr="0023010B">
              <w:rPr>
                <w:rFonts w:ascii="Arial" w:eastAsia="Times New Roman" w:hAnsi="Arial" w:cs="Arial"/>
                <w:sz w:val="20"/>
                <w:szCs w:val="20"/>
                <w:vertAlign w:val="subscript"/>
                <w:lang w:val="en-US" w:eastAsia="en-IN"/>
              </w:rPr>
              <w:t>hr.mL</w:t>
            </w:r>
            <w:proofErr w:type="gramEnd"/>
            <w:r w:rsidRPr="0023010B">
              <w:rPr>
                <w:rFonts w:ascii="Arial" w:eastAsia="Times New Roman" w:hAnsi="Arial" w:cs="Arial"/>
                <w:sz w:val="20"/>
                <w:szCs w:val="20"/>
                <w:vertAlign w:val="superscript"/>
                <w:lang w:val="en-US" w:eastAsia="en-IN"/>
              </w:rPr>
              <w:t>-1</w:t>
            </w:r>
            <w:r w:rsidRPr="0023010B">
              <w:rPr>
                <w:rFonts w:ascii="Arial" w:eastAsia="Times New Roman" w:hAnsi="Arial" w:cs="Arial"/>
                <w:sz w:val="20"/>
                <w:szCs w:val="20"/>
                <w:vertAlign w:val="subscript"/>
                <w:lang w:val="en-US" w:eastAsia="en-IN"/>
              </w:rPr>
              <w:t>)</w:t>
            </w:r>
          </w:p>
        </w:tc>
        <w:tc>
          <w:tcPr>
            <w:tcW w:w="600" w:type="pct"/>
            <w:tcMar>
              <w:top w:w="15" w:type="dxa"/>
              <w:left w:w="15" w:type="dxa"/>
              <w:bottom w:w="0" w:type="dxa"/>
              <w:right w:w="15" w:type="dxa"/>
            </w:tcMar>
            <w:vAlign w:val="center"/>
            <w:hideMark/>
          </w:tcPr>
          <w:p w14:paraId="71086275"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8523.451</w:t>
            </w:r>
          </w:p>
        </w:tc>
        <w:tc>
          <w:tcPr>
            <w:tcW w:w="545" w:type="pct"/>
            <w:tcMar>
              <w:top w:w="15" w:type="dxa"/>
              <w:left w:w="15" w:type="dxa"/>
              <w:bottom w:w="0" w:type="dxa"/>
              <w:right w:w="15" w:type="dxa"/>
            </w:tcMar>
            <w:vAlign w:val="center"/>
            <w:hideMark/>
          </w:tcPr>
          <w:p w14:paraId="69B621A8"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8221.085</w:t>
            </w:r>
          </w:p>
        </w:tc>
        <w:tc>
          <w:tcPr>
            <w:tcW w:w="366" w:type="pct"/>
            <w:tcMar>
              <w:top w:w="15" w:type="dxa"/>
              <w:left w:w="15" w:type="dxa"/>
              <w:bottom w:w="0" w:type="dxa"/>
              <w:right w:w="15" w:type="dxa"/>
            </w:tcMar>
            <w:vAlign w:val="center"/>
            <w:hideMark/>
          </w:tcPr>
          <w:p w14:paraId="0B360D51"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103.68</w:t>
            </w:r>
          </w:p>
        </w:tc>
        <w:tc>
          <w:tcPr>
            <w:tcW w:w="369" w:type="pct"/>
            <w:tcMar>
              <w:top w:w="15" w:type="dxa"/>
              <w:left w:w="15" w:type="dxa"/>
              <w:bottom w:w="0" w:type="dxa"/>
              <w:right w:w="15" w:type="dxa"/>
            </w:tcMar>
            <w:vAlign w:val="center"/>
            <w:hideMark/>
          </w:tcPr>
          <w:p w14:paraId="33A98364"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77.23</w:t>
            </w:r>
          </w:p>
        </w:tc>
        <w:tc>
          <w:tcPr>
            <w:tcW w:w="474" w:type="pct"/>
            <w:tcMar>
              <w:top w:w="15" w:type="dxa"/>
              <w:left w:w="15" w:type="dxa"/>
              <w:bottom w:w="0" w:type="dxa"/>
              <w:right w:w="15" w:type="dxa"/>
            </w:tcMar>
            <w:vAlign w:val="center"/>
            <w:hideMark/>
          </w:tcPr>
          <w:p w14:paraId="09225831"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139.18</w:t>
            </w:r>
          </w:p>
        </w:tc>
        <w:tc>
          <w:tcPr>
            <w:tcW w:w="411" w:type="pct"/>
            <w:tcMar>
              <w:top w:w="15" w:type="dxa"/>
              <w:left w:w="15" w:type="dxa"/>
              <w:bottom w:w="0" w:type="dxa"/>
              <w:right w:w="15" w:type="dxa"/>
            </w:tcMar>
            <w:vAlign w:val="center"/>
          </w:tcPr>
          <w:p w14:paraId="059E0082"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34.19</w:t>
            </w:r>
          </w:p>
        </w:tc>
        <w:tc>
          <w:tcPr>
            <w:tcW w:w="433" w:type="pct"/>
            <w:tcMar>
              <w:top w:w="15" w:type="dxa"/>
              <w:left w:w="15" w:type="dxa"/>
              <w:bottom w:w="0" w:type="dxa"/>
              <w:right w:w="15" w:type="dxa"/>
            </w:tcMar>
            <w:vAlign w:val="center"/>
          </w:tcPr>
          <w:p w14:paraId="19863141"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78.70</w:t>
            </w:r>
          </w:p>
        </w:tc>
        <w:tc>
          <w:tcPr>
            <w:tcW w:w="829" w:type="pct"/>
            <w:tcMar>
              <w:top w:w="15" w:type="dxa"/>
              <w:left w:w="15" w:type="dxa"/>
              <w:bottom w:w="0" w:type="dxa"/>
              <w:right w:w="15" w:type="dxa"/>
            </w:tcMar>
            <w:vAlign w:val="center"/>
            <w:hideMark/>
          </w:tcPr>
          <w:p w14:paraId="4C1C3CAA"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Bioequivalence Not Met</w:t>
            </w:r>
          </w:p>
        </w:tc>
      </w:tr>
      <w:tr w:rsidR="00995845" w:rsidRPr="0023010B" w14:paraId="7690143D" w14:textId="77777777" w:rsidTr="00592C58">
        <w:trPr>
          <w:trHeight w:val="20"/>
          <w:jc w:val="center"/>
        </w:trPr>
        <w:tc>
          <w:tcPr>
            <w:tcW w:w="972" w:type="pct"/>
            <w:tcMar>
              <w:top w:w="15" w:type="dxa"/>
              <w:left w:w="15" w:type="dxa"/>
              <w:bottom w:w="0" w:type="dxa"/>
              <w:right w:w="15" w:type="dxa"/>
            </w:tcMar>
            <w:vAlign w:val="center"/>
            <w:hideMark/>
          </w:tcPr>
          <w:p w14:paraId="08C76C03" w14:textId="77777777" w:rsidR="00995845" w:rsidRPr="0023010B" w:rsidRDefault="00995845" w:rsidP="00592C58">
            <w:pPr>
              <w:spacing w:after="0" w:line="240" w:lineRule="auto"/>
              <w:rPr>
                <w:rFonts w:ascii="Arial" w:eastAsia="Times New Roman" w:hAnsi="Arial" w:cs="Arial"/>
                <w:sz w:val="20"/>
                <w:szCs w:val="20"/>
                <w:lang w:eastAsia="en-IN"/>
              </w:rPr>
            </w:pPr>
            <w:r w:rsidRPr="0023010B">
              <w:rPr>
                <w:rFonts w:ascii="Arial" w:eastAsia="Times New Roman" w:hAnsi="Arial" w:cs="Arial"/>
                <w:sz w:val="20"/>
                <w:szCs w:val="20"/>
                <w:lang w:val="en-US" w:eastAsia="en-IN"/>
              </w:rPr>
              <w:t>AUC</w:t>
            </w:r>
            <w:r w:rsidRPr="0023010B">
              <w:rPr>
                <w:rFonts w:ascii="Arial" w:eastAsia="Times New Roman" w:hAnsi="Arial" w:cs="Arial"/>
                <w:sz w:val="20"/>
                <w:szCs w:val="20"/>
                <w:vertAlign w:val="subscript"/>
                <w:lang w:val="en-US" w:eastAsia="en-IN"/>
              </w:rPr>
              <w:t>0-inf (µg.</w:t>
            </w:r>
            <w:proofErr w:type="gramStart"/>
            <w:r w:rsidRPr="0023010B">
              <w:rPr>
                <w:rFonts w:ascii="Arial" w:eastAsia="Times New Roman" w:hAnsi="Arial" w:cs="Arial"/>
                <w:sz w:val="20"/>
                <w:szCs w:val="20"/>
                <w:vertAlign w:val="subscript"/>
                <w:lang w:val="en-US" w:eastAsia="en-IN"/>
              </w:rPr>
              <w:t>hr.mL</w:t>
            </w:r>
            <w:proofErr w:type="gramEnd"/>
            <w:r w:rsidRPr="0023010B">
              <w:rPr>
                <w:rFonts w:ascii="Arial" w:eastAsia="Times New Roman" w:hAnsi="Arial" w:cs="Arial"/>
                <w:sz w:val="20"/>
                <w:szCs w:val="20"/>
                <w:vertAlign w:val="superscript"/>
                <w:lang w:val="en-US" w:eastAsia="en-IN"/>
              </w:rPr>
              <w:t>-1</w:t>
            </w:r>
            <w:r w:rsidRPr="0023010B">
              <w:rPr>
                <w:rFonts w:ascii="Arial" w:eastAsia="Times New Roman" w:hAnsi="Arial" w:cs="Arial"/>
                <w:sz w:val="20"/>
                <w:szCs w:val="20"/>
                <w:vertAlign w:val="subscript"/>
                <w:lang w:val="en-US" w:eastAsia="en-IN"/>
              </w:rPr>
              <w:t>)</w:t>
            </w:r>
          </w:p>
        </w:tc>
        <w:tc>
          <w:tcPr>
            <w:tcW w:w="600" w:type="pct"/>
            <w:tcMar>
              <w:top w:w="15" w:type="dxa"/>
              <w:left w:w="15" w:type="dxa"/>
              <w:bottom w:w="0" w:type="dxa"/>
              <w:right w:w="15" w:type="dxa"/>
            </w:tcMar>
            <w:vAlign w:val="center"/>
            <w:hideMark/>
          </w:tcPr>
          <w:p w14:paraId="65877658"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9165.378</w:t>
            </w:r>
          </w:p>
        </w:tc>
        <w:tc>
          <w:tcPr>
            <w:tcW w:w="545" w:type="pct"/>
            <w:tcMar>
              <w:top w:w="15" w:type="dxa"/>
              <w:left w:w="15" w:type="dxa"/>
              <w:bottom w:w="0" w:type="dxa"/>
              <w:right w:w="15" w:type="dxa"/>
            </w:tcMar>
            <w:vAlign w:val="center"/>
            <w:hideMark/>
          </w:tcPr>
          <w:p w14:paraId="18D40435"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8863.929</w:t>
            </w:r>
          </w:p>
        </w:tc>
        <w:tc>
          <w:tcPr>
            <w:tcW w:w="366" w:type="pct"/>
            <w:tcMar>
              <w:top w:w="15" w:type="dxa"/>
              <w:left w:w="15" w:type="dxa"/>
              <w:bottom w:w="0" w:type="dxa"/>
              <w:right w:w="15" w:type="dxa"/>
            </w:tcMar>
            <w:vAlign w:val="center"/>
            <w:hideMark/>
          </w:tcPr>
          <w:p w14:paraId="18B230DC"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103.40</w:t>
            </w:r>
          </w:p>
        </w:tc>
        <w:tc>
          <w:tcPr>
            <w:tcW w:w="369" w:type="pct"/>
            <w:tcMar>
              <w:top w:w="15" w:type="dxa"/>
              <w:left w:w="15" w:type="dxa"/>
              <w:bottom w:w="0" w:type="dxa"/>
              <w:right w:w="15" w:type="dxa"/>
            </w:tcMar>
            <w:vAlign w:val="center"/>
            <w:hideMark/>
          </w:tcPr>
          <w:p w14:paraId="070925F7"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75.78</w:t>
            </w:r>
          </w:p>
        </w:tc>
        <w:tc>
          <w:tcPr>
            <w:tcW w:w="474" w:type="pct"/>
            <w:tcMar>
              <w:top w:w="15" w:type="dxa"/>
              <w:left w:w="15" w:type="dxa"/>
              <w:bottom w:w="0" w:type="dxa"/>
              <w:right w:w="15" w:type="dxa"/>
            </w:tcMar>
            <w:vAlign w:val="center"/>
            <w:hideMark/>
          </w:tcPr>
          <w:p w14:paraId="0502377F"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141.09</w:t>
            </w:r>
          </w:p>
        </w:tc>
        <w:tc>
          <w:tcPr>
            <w:tcW w:w="411" w:type="pct"/>
            <w:tcMar>
              <w:top w:w="15" w:type="dxa"/>
              <w:left w:w="15" w:type="dxa"/>
              <w:bottom w:w="0" w:type="dxa"/>
              <w:right w:w="15" w:type="dxa"/>
            </w:tcMar>
            <w:vAlign w:val="center"/>
          </w:tcPr>
          <w:p w14:paraId="4117B08B"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31.74</w:t>
            </w:r>
          </w:p>
        </w:tc>
        <w:tc>
          <w:tcPr>
            <w:tcW w:w="433" w:type="pct"/>
            <w:tcMar>
              <w:top w:w="15" w:type="dxa"/>
              <w:left w:w="15" w:type="dxa"/>
              <w:bottom w:w="0" w:type="dxa"/>
              <w:right w:w="15" w:type="dxa"/>
            </w:tcMar>
            <w:vAlign w:val="center"/>
          </w:tcPr>
          <w:p w14:paraId="44DCA12F"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78.70</w:t>
            </w:r>
          </w:p>
        </w:tc>
        <w:tc>
          <w:tcPr>
            <w:tcW w:w="829" w:type="pct"/>
            <w:tcMar>
              <w:top w:w="15" w:type="dxa"/>
              <w:left w:w="15" w:type="dxa"/>
              <w:bottom w:w="0" w:type="dxa"/>
              <w:right w:w="15" w:type="dxa"/>
            </w:tcMar>
            <w:vAlign w:val="center"/>
            <w:hideMark/>
          </w:tcPr>
          <w:p w14:paraId="5F205600"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Bioequivalence Not Met</w:t>
            </w:r>
          </w:p>
        </w:tc>
      </w:tr>
    </w:tbl>
    <w:p w14:paraId="10656AFD" w14:textId="77777777" w:rsidR="00995845" w:rsidRDefault="00995845" w:rsidP="00995845">
      <w:pPr>
        <w:spacing w:after="0" w:line="360" w:lineRule="auto"/>
        <w:jc w:val="both"/>
        <w:rPr>
          <w:rFonts w:ascii="Times New Roman" w:eastAsia="Times New Roman" w:hAnsi="Times New Roman" w:cs="Times New Roman"/>
          <w:sz w:val="24"/>
          <w:szCs w:val="24"/>
          <w:lang w:eastAsia="en-IN"/>
        </w:rPr>
      </w:pPr>
    </w:p>
    <w:p w14:paraId="0354B392" w14:textId="77777777" w:rsidR="00995845" w:rsidRPr="0023010B" w:rsidRDefault="00995845" w:rsidP="00920924">
      <w:pPr>
        <w:spacing w:after="0" w:line="240" w:lineRule="auto"/>
        <w:jc w:val="center"/>
        <w:rPr>
          <w:rFonts w:ascii="Arial" w:eastAsia="Times New Roman" w:hAnsi="Arial" w:cs="Arial"/>
          <w:b/>
          <w:sz w:val="20"/>
          <w:szCs w:val="20"/>
          <w:lang w:eastAsia="en-IN"/>
        </w:rPr>
      </w:pPr>
      <w:r w:rsidRPr="0023010B">
        <w:rPr>
          <w:rFonts w:ascii="Arial" w:hAnsi="Arial" w:cs="Arial"/>
          <w:b/>
          <w:sz w:val="20"/>
          <w:szCs w:val="20"/>
        </w:rPr>
        <w:t>Table 2b: Comparative Pharmacokinetic Parameters of Test (MTH3) and Reference (RLD) Metformin HCl Controlled-Release Tablets</w:t>
      </w: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770"/>
        <w:gridCol w:w="1093"/>
        <w:gridCol w:w="992"/>
        <w:gridCol w:w="666"/>
        <w:gridCol w:w="672"/>
        <w:gridCol w:w="863"/>
        <w:gridCol w:w="748"/>
        <w:gridCol w:w="788"/>
        <w:gridCol w:w="1509"/>
      </w:tblGrid>
      <w:tr w:rsidR="0023010B" w:rsidRPr="0023010B" w14:paraId="6C1E7F8D" w14:textId="77777777" w:rsidTr="00592C58">
        <w:trPr>
          <w:trHeight w:val="235"/>
          <w:jc w:val="center"/>
        </w:trPr>
        <w:tc>
          <w:tcPr>
            <w:tcW w:w="972" w:type="pct"/>
            <w:vMerge w:val="restart"/>
            <w:tcMar>
              <w:top w:w="15" w:type="dxa"/>
              <w:left w:w="15" w:type="dxa"/>
              <w:bottom w:w="0" w:type="dxa"/>
              <w:right w:w="15" w:type="dxa"/>
            </w:tcMar>
            <w:vAlign w:val="center"/>
            <w:hideMark/>
          </w:tcPr>
          <w:p w14:paraId="6379948B" w14:textId="77777777" w:rsidR="00995845" w:rsidRPr="0023010B" w:rsidRDefault="00995845" w:rsidP="009C7264">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eastAsia="en-IN"/>
              </w:rPr>
              <w:t>PK Parameter</w:t>
            </w:r>
          </w:p>
        </w:tc>
        <w:tc>
          <w:tcPr>
            <w:tcW w:w="1145" w:type="pct"/>
            <w:gridSpan w:val="2"/>
            <w:tcMar>
              <w:top w:w="15" w:type="dxa"/>
              <w:left w:w="15" w:type="dxa"/>
              <w:bottom w:w="0" w:type="dxa"/>
              <w:right w:w="15" w:type="dxa"/>
            </w:tcMar>
            <w:vAlign w:val="center"/>
            <w:hideMark/>
          </w:tcPr>
          <w:p w14:paraId="4A4494A8" w14:textId="77777777" w:rsidR="00995845" w:rsidRPr="0023010B" w:rsidRDefault="00995845" w:rsidP="00592C58">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Least Square Geometric Mean</w:t>
            </w:r>
          </w:p>
        </w:tc>
        <w:tc>
          <w:tcPr>
            <w:tcW w:w="366" w:type="pct"/>
            <w:vMerge w:val="restart"/>
            <w:tcMar>
              <w:top w:w="15" w:type="dxa"/>
              <w:left w:w="15" w:type="dxa"/>
              <w:bottom w:w="0" w:type="dxa"/>
              <w:right w:w="15" w:type="dxa"/>
            </w:tcMar>
            <w:vAlign w:val="center"/>
            <w:hideMark/>
          </w:tcPr>
          <w:p w14:paraId="4407BAB0" w14:textId="77777777" w:rsidR="00995845" w:rsidRPr="0023010B" w:rsidRDefault="00995845" w:rsidP="00592C58">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T/R Ratio</w:t>
            </w:r>
          </w:p>
        </w:tc>
        <w:tc>
          <w:tcPr>
            <w:tcW w:w="843" w:type="pct"/>
            <w:gridSpan w:val="2"/>
            <w:tcMar>
              <w:top w:w="15" w:type="dxa"/>
              <w:left w:w="15" w:type="dxa"/>
              <w:bottom w:w="0" w:type="dxa"/>
              <w:right w:w="15" w:type="dxa"/>
            </w:tcMar>
            <w:vAlign w:val="center"/>
            <w:hideMark/>
          </w:tcPr>
          <w:p w14:paraId="7791BA9D" w14:textId="77777777" w:rsidR="00995845" w:rsidRPr="0023010B" w:rsidRDefault="00995845" w:rsidP="00592C58">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90% CI</w:t>
            </w:r>
          </w:p>
        </w:tc>
        <w:tc>
          <w:tcPr>
            <w:tcW w:w="411" w:type="pct"/>
            <w:vMerge w:val="restart"/>
            <w:tcMar>
              <w:top w:w="15" w:type="dxa"/>
              <w:left w:w="15" w:type="dxa"/>
              <w:bottom w:w="0" w:type="dxa"/>
              <w:right w:w="15" w:type="dxa"/>
            </w:tcMar>
            <w:vAlign w:val="center"/>
            <w:hideMark/>
          </w:tcPr>
          <w:p w14:paraId="2CB12095" w14:textId="77777777" w:rsidR="00995845" w:rsidRPr="0023010B" w:rsidRDefault="00995845" w:rsidP="00592C58">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ISCV (%)</w:t>
            </w:r>
          </w:p>
        </w:tc>
        <w:tc>
          <w:tcPr>
            <w:tcW w:w="433" w:type="pct"/>
            <w:vMerge w:val="restart"/>
            <w:tcMar>
              <w:top w:w="15" w:type="dxa"/>
              <w:left w:w="15" w:type="dxa"/>
              <w:bottom w:w="0" w:type="dxa"/>
              <w:right w:w="15" w:type="dxa"/>
            </w:tcMar>
            <w:vAlign w:val="center"/>
            <w:hideMark/>
          </w:tcPr>
          <w:p w14:paraId="223BBE3C" w14:textId="77777777" w:rsidR="00995845" w:rsidRPr="0023010B" w:rsidRDefault="00995845" w:rsidP="00592C58">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Power (%)</w:t>
            </w:r>
          </w:p>
        </w:tc>
        <w:tc>
          <w:tcPr>
            <w:tcW w:w="829" w:type="pct"/>
            <w:vMerge w:val="restart"/>
            <w:tcMar>
              <w:top w:w="15" w:type="dxa"/>
              <w:left w:w="15" w:type="dxa"/>
              <w:bottom w:w="0" w:type="dxa"/>
              <w:right w:w="15" w:type="dxa"/>
            </w:tcMar>
            <w:vAlign w:val="center"/>
            <w:hideMark/>
          </w:tcPr>
          <w:p w14:paraId="68FDCFEC" w14:textId="77777777" w:rsidR="00995845" w:rsidRPr="0023010B" w:rsidRDefault="00995845" w:rsidP="00592C58">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Inference</w:t>
            </w:r>
          </w:p>
        </w:tc>
      </w:tr>
      <w:tr w:rsidR="0023010B" w:rsidRPr="0023010B" w14:paraId="0171AF73" w14:textId="77777777" w:rsidTr="00592C58">
        <w:trPr>
          <w:trHeight w:val="214"/>
          <w:jc w:val="center"/>
        </w:trPr>
        <w:tc>
          <w:tcPr>
            <w:tcW w:w="972" w:type="pct"/>
            <w:vMerge/>
            <w:tcMar>
              <w:top w:w="15" w:type="dxa"/>
              <w:left w:w="15" w:type="dxa"/>
              <w:bottom w:w="0" w:type="dxa"/>
              <w:right w:w="15" w:type="dxa"/>
            </w:tcMar>
            <w:vAlign w:val="center"/>
          </w:tcPr>
          <w:p w14:paraId="691036DC" w14:textId="77777777" w:rsidR="00995845" w:rsidRPr="0023010B" w:rsidRDefault="00995845" w:rsidP="009C7264">
            <w:pPr>
              <w:spacing w:after="0" w:line="240" w:lineRule="auto"/>
              <w:jc w:val="center"/>
              <w:rPr>
                <w:rFonts w:ascii="Arial" w:eastAsia="Times New Roman" w:hAnsi="Arial" w:cs="Arial"/>
                <w:b/>
                <w:sz w:val="20"/>
                <w:szCs w:val="20"/>
                <w:lang w:val="en-US" w:eastAsia="en-IN"/>
              </w:rPr>
            </w:pPr>
          </w:p>
        </w:tc>
        <w:tc>
          <w:tcPr>
            <w:tcW w:w="600" w:type="pct"/>
            <w:tcMar>
              <w:top w:w="15" w:type="dxa"/>
              <w:left w:w="15" w:type="dxa"/>
              <w:bottom w:w="0" w:type="dxa"/>
              <w:right w:w="15" w:type="dxa"/>
            </w:tcMar>
            <w:vAlign w:val="center"/>
          </w:tcPr>
          <w:p w14:paraId="2E1592D4" w14:textId="77777777" w:rsidR="00995845" w:rsidRPr="0023010B" w:rsidRDefault="00995845" w:rsidP="00592C58">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Test (MTH3)</w:t>
            </w:r>
          </w:p>
        </w:tc>
        <w:tc>
          <w:tcPr>
            <w:tcW w:w="545" w:type="pct"/>
            <w:tcMar>
              <w:top w:w="15" w:type="dxa"/>
              <w:left w:w="15" w:type="dxa"/>
              <w:bottom w:w="0" w:type="dxa"/>
              <w:right w:w="15" w:type="dxa"/>
            </w:tcMar>
            <w:vAlign w:val="center"/>
          </w:tcPr>
          <w:p w14:paraId="0CAEA0FE" w14:textId="77777777" w:rsidR="00995845" w:rsidRPr="0023010B" w:rsidRDefault="00995845" w:rsidP="00592C58">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RLD</w:t>
            </w:r>
          </w:p>
        </w:tc>
        <w:tc>
          <w:tcPr>
            <w:tcW w:w="366" w:type="pct"/>
            <w:vMerge/>
            <w:tcMar>
              <w:top w:w="15" w:type="dxa"/>
              <w:left w:w="15" w:type="dxa"/>
              <w:bottom w:w="0" w:type="dxa"/>
              <w:right w:w="15" w:type="dxa"/>
            </w:tcMar>
            <w:vAlign w:val="center"/>
          </w:tcPr>
          <w:p w14:paraId="2262D8D0" w14:textId="77777777" w:rsidR="00995845" w:rsidRPr="0023010B" w:rsidRDefault="00995845" w:rsidP="00592C58">
            <w:pPr>
              <w:spacing w:after="0" w:line="240" w:lineRule="auto"/>
              <w:jc w:val="center"/>
              <w:rPr>
                <w:rFonts w:ascii="Arial" w:eastAsia="Times New Roman" w:hAnsi="Arial" w:cs="Arial"/>
                <w:b/>
                <w:sz w:val="20"/>
                <w:szCs w:val="20"/>
                <w:lang w:val="en-US" w:eastAsia="en-IN"/>
              </w:rPr>
            </w:pPr>
          </w:p>
        </w:tc>
        <w:tc>
          <w:tcPr>
            <w:tcW w:w="369" w:type="pct"/>
            <w:tcMar>
              <w:top w:w="15" w:type="dxa"/>
              <w:left w:w="15" w:type="dxa"/>
              <w:bottom w:w="0" w:type="dxa"/>
              <w:right w:w="15" w:type="dxa"/>
            </w:tcMar>
            <w:vAlign w:val="center"/>
          </w:tcPr>
          <w:p w14:paraId="4524614E" w14:textId="77777777" w:rsidR="00995845" w:rsidRPr="0023010B" w:rsidRDefault="00995845" w:rsidP="00592C58">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Lower</w:t>
            </w:r>
          </w:p>
        </w:tc>
        <w:tc>
          <w:tcPr>
            <w:tcW w:w="474" w:type="pct"/>
            <w:tcMar>
              <w:top w:w="15" w:type="dxa"/>
              <w:left w:w="15" w:type="dxa"/>
              <w:bottom w:w="0" w:type="dxa"/>
              <w:right w:w="15" w:type="dxa"/>
            </w:tcMar>
            <w:vAlign w:val="center"/>
          </w:tcPr>
          <w:p w14:paraId="1FB5BA97" w14:textId="77777777" w:rsidR="00995845" w:rsidRPr="0023010B" w:rsidRDefault="00995845" w:rsidP="00592C58">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Upper</w:t>
            </w:r>
          </w:p>
        </w:tc>
        <w:tc>
          <w:tcPr>
            <w:tcW w:w="411" w:type="pct"/>
            <w:vMerge/>
            <w:tcMar>
              <w:top w:w="15" w:type="dxa"/>
              <w:left w:w="15" w:type="dxa"/>
              <w:bottom w:w="0" w:type="dxa"/>
              <w:right w:w="15" w:type="dxa"/>
            </w:tcMar>
            <w:vAlign w:val="center"/>
          </w:tcPr>
          <w:p w14:paraId="19C3F0C0" w14:textId="77777777" w:rsidR="00995845" w:rsidRPr="0023010B" w:rsidRDefault="00995845" w:rsidP="00592C58">
            <w:pPr>
              <w:spacing w:after="0" w:line="240" w:lineRule="auto"/>
              <w:jc w:val="center"/>
              <w:rPr>
                <w:rFonts w:ascii="Arial" w:eastAsia="Times New Roman" w:hAnsi="Arial" w:cs="Arial"/>
                <w:sz w:val="20"/>
                <w:szCs w:val="20"/>
                <w:lang w:val="en-US" w:eastAsia="en-IN"/>
              </w:rPr>
            </w:pPr>
          </w:p>
        </w:tc>
        <w:tc>
          <w:tcPr>
            <w:tcW w:w="433" w:type="pct"/>
            <w:vMerge/>
            <w:tcMar>
              <w:top w:w="15" w:type="dxa"/>
              <w:left w:w="15" w:type="dxa"/>
              <w:bottom w:w="0" w:type="dxa"/>
              <w:right w:w="15" w:type="dxa"/>
            </w:tcMar>
            <w:vAlign w:val="center"/>
          </w:tcPr>
          <w:p w14:paraId="0CF7AA94" w14:textId="77777777" w:rsidR="00995845" w:rsidRPr="0023010B" w:rsidRDefault="00995845" w:rsidP="00592C58">
            <w:pPr>
              <w:spacing w:after="0" w:line="240" w:lineRule="auto"/>
              <w:jc w:val="center"/>
              <w:rPr>
                <w:rFonts w:ascii="Arial" w:eastAsia="Times New Roman" w:hAnsi="Arial" w:cs="Arial"/>
                <w:sz w:val="20"/>
                <w:szCs w:val="20"/>
                <w:lang w:val="en-US" w:eastAsia="en-IN"/>
              </w:rPr>
            </w:pPr>
          </w:p>
        </w:tc>
        <w:tc>
          <w:tcPr>
            <w:tcW w:w="829" w:type="pct"/>
            <w:vMerge/>
            <w:tcMar>
              <w:top w:w="15" w:type="dxa"/>
              <w:left w:w="15" w:type="dxa"/>
              <w:bottom w:w="0" w:type="dxa"/>
              <w:right w:w="15" w:type="dxa"/>
            </w:tcMar>
            <w:vAlign w:val="center"/>
          </w:tcPr>
          <w:p w14:paraId="1457A56B" w14:textId="77777777" w:rsidR="00995845" w:rsidRPr="0023010B" w:rsidRDefault="00995845" w:rsidP="00592C58">
            <w:pPr>
              <w:spacing w:after="0" w:line="240" w:lineRule="auto"/>
              <w:jc w:val="center"/>
              <w:rPr>
                <w:rFonts w:ascii="Arial" w:eastAsia="Times New Roman" w:hAnsi="Arial" w:cs="Arial"/>
                <w:sz w:val="20"/>
                <w:szCs w:val="20"/>
                <w:lang w:val="en-US" w:eastAsia="en-IN"/>
              </w:rPr>
            </w:pPr>
          </w:p>
        </w:tc>
      </w:tr>
      <w:tr w:rsidR="0023010B" w:rsidRPr="0023010B" w14:paraId="7FA10B63" w14:textId="77777777" w:rsidTr="00592C58">
        <w:trPr>
          <w:trHeight w:val="276"/>
          <w:jc w:val="center"/>
        </w:trPr>
        <w:tc>
          <w:tcPr>
            <w:tcW w:w="972" w:type="pct"/>
            <w:tcMar>
              <w:top w:w="15" w:type="dxa"/>
              <w:left w:w="15" w:type="dxa"/>
              <w:bottom w:w="0" w:type="dxa"/>
              <w:right w:w="15" w:type="dxa"/>
            </w:tcMar>
            <w:vAlign w:val="center"/>
            <w:hideMark/>
          </w:tcPr>
          <w:p w14:paraId="01647D63" w14:textId="77777777" w:rsidR="00995845" w:rsidRPr="0023010B" w:rsidRDefault="00995845" w:rsidP="00592C58">
            <w:pPr>
              <w:spacing w:after="0" w:line="240" w:lineRule="auto"/>
              <w:rPr>
                <w:rFonts w:ascii="Arial" w:eastAsia="Times New Roman" w:hAnsi="Arial" w:cs="Arial"/>
                <w:sz w:val="20"/>
                <w:szCs w:val="20"/>
                <w:lang w:eastAsia="en-IN"/>
              </w:rPr>
            </w:pPr>
            <w:r w:rsidRPr="0023010B">
              <w:rPr>
                <w:rFonts w:ascii="Arial" w:eastAsia="Times New Roman" w:hAnsi="Arial" w:cs="Arial"/>
                <w:sz w:val="20"/>
                <w:szCs w:val="20"/>
                <w:lang w:val="en-US" w:eastAsia="en-IN"/>
              </w:rPr>
              <w:t>C</w:t>
            </w:r>
            <w:r w:rsidRPr="0023010B">
              <w:rPr>
                <w:rFonts w:ascii="Arial" w:eastAsia="Times New Roman" w:hAnsi="Arial" w:cs="Arial"/>
                <w:sz w:val="20"/>
                <w:szCs w:val="20"/>
                <w:vertAlign w:val="subscript"/>
                <w:lang w:val="en-US" w:eastAsia="en-IN"/>
              </w:rPr>
              <w:t>max (µ</w:t>
            </w:r>
            <w:proofErr w:type="gramStart"/>
            <w:r w:rsidRPr="0023010B">
              <w:rPr>
                <w:rFonts w:ascii="Arial" w:eastAsia="Times New Roman" w:hAnsi="Arial" w:cs="Arial"/>
                <w:sz w:val="20"/>
                <w:szCs w:val="20"/>
                <w:vertAlign w:val="subscript"/>
                <w:lang w:val="en-US" w:eastAsia="en-IN"/>
              </w:rPr>
              <w:t>g.mL</w:t>
            </w:r>
            <w:proofErr w:type="gramEnd"/>
            <w:r w:rsidRPr="0023010B">
              <w:rPr>
                <w:rFonts w:ascii="Arial" w:eastAsia="Times New Roman" w:hAnsi="Arial" w:cs="Arial"/>
                <w:sz w:val="20"/>
                <w:szCs w:val="20"/>
                <w:vertAlign w:val="superscript"/>
                <w:lang w:val="en-US" w:eastAsia="en-IN"/>
              </w:rPr>
              <w:t>-1</w:t>
            </w:r>
            <w:r w:rsidRPr="0023010B">
              <w:rPr>
                <w:rFonts w:ascii="Arial" w:eastAsia="Times New Roman" w:hAnsi="Arial" w:cs="Arial"/>
                <w:sz w:val="20"/>
                <w:szCs w:val="20"/>
                <w:vertAlign w:val="subscript"/>
                <w:lang w:val="en-US" w:eastAsia="en-IN"/>
              </w:rPr>
              <w:t>)</w:t>
            </w:r>
          </w:p>
        </w:tc>
        <w:tc>
          <w:tcPr>
            <w:tcW w:w="600" w:type="pct"/>
            <w:tcMar>
              <w:top w:w="15" w:type="dxa"/>
              <w:left w:w="15" w:type="dxa"/>
              <w:bottom w:w="0" w:type="dxa"/>
              <w:right w:w="15" w:type="dxa"/>
            </w:tcMar>
            <w:vAlign w:val="center"/>
            <w:hideMark/>
          </w:tcPr>
          <w:p w14:paraId="072AF1B2"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816.470</w:t>
            </w:r>
          </w:p>
        </w:tc>
        <w:tc>
          <w:tcPr>
            <w:tcW w:w="545" w:type="pct"/>
            <w:tcMar>
              <w:top w:w="15" w:type="dxa"/>
              <w:left w:w="15" w:type="dxa"/>
              <w:bottom w:w="0" w:type="dxa"/>
              <w:right w:w="15" w:type="dxa"/>
            </w:tcMar>
            <w:vAlign w:val="center"/>
            <w:hideMark/>
          </w:tcPr>
          <w:p w14:paraId="1586F785"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813.371</w:t>
            </w:r>
          </w:p>
        </w:tc>
        <w:tc>
          <w:tcPr>
            <w:tcW w:w="366" w:type="pct"/>
            <w:tcMar>
              <w:top w:w="15" w:type="dxa"/>
              <w:left w:w="15" w:type="dxa"/>
              <w:bottom w:w="0" w:type="dxa"/>
              <w:right w:w="15" w:type="dxa"/>
            </w:tcMar>
            <w:vAlign w:val="center"/>
            <w:hideMark/>
          </w:tcPr>
          <w:p w14:paraId="75D256D7"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eastAsia="en-IN"/>
              </w:rPr>
              <w:t>100.38</w:t>
            </w:r>
          </w:p>
        </w:tc>
        <w:tc>
          <w:tcPr>
            <w:tcW w:w="369" w:type="pct"/>
            <w:tcMar>
              <w:top w:w="15" w:type="dxa"/>
              <w:left w:w="15" w:type="dxa"/>
              <w:bottom w:w="0" w:type="dxa"/>
              <w:right w:w="15" w:type="dxa"/>
            </w:tcMar>
            <w:vAlign w:val="center"/>
            <w:hideMark/>
          </w:tcPr>
          <w:p w14:paraId="215A7FAD"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87.60</w:t>
            </w:r>
          </w:p>
        </w:tc>
        <w:tc>
          <w:tcPr>
            <w:tcW w:w="474" w:type="pct"/>
            <w:tcMar>
              <w:top w:w="15" w:type="dxa"/>
              <w:left w:w="15" w:type="dxa"/>
              <w:bottom w:w="0" w:type="dxa"/>
              <w:right w:w="15" w:type="dxa"/>
            </w:tcMar>
            <w:vAlign w:val="center"/>
            <w:hideMark/>
          </w:tcPr>
          <w:p w14:paraId="27E0D635"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97.77</w:t>
            </w:r>
          </w:p>
        </w:tc>
        <w:tc>
          <w:tcPr>
            <w:tcW w:w="411" w:type="pct"/>
            <w:tcMar>
              <w:top w:w="15" w:type="dxa"/>
              <w:left w:w="15" w:type="dxa"/>
              <w:bottom w:w="0" w:type="dxa"/>
              <w:right w:w="15" w:type="dxa"/>
            </w:tcMar>
            <w:vAlign w:val="center"/>
          </w:tcPr>
          <w:p w14:paraId="7786783B"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14.27</w:t>
            </w:r>
          </w:p>
        </w:tc>
        <w:tc>
          <w:tcPr>
            <w:tcW w:w="433" w:type="pct"/>
            <w:tcMar>
              <w:top w:w="15" w:type="dxa"/>
              <w:left w:w="15" w:type="dxa"/>
              <w:bottom w:w="0" w:type="dxa"/>
              <w:right w:w="15" w:type="dxa"/>
            </w:tcMar>
            <w:vAlign w:val="center"/>
          </w:tcPr>
          <w:p w14:paraId="7CBF6C7C"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97.65</w:t>
            </w:r>
          </w:p>
        </w:tc>
        <w:tc>
          <w:tcPr>
            <w:tcW w:w="829" w:type="pct"/>
            <w:tcMar>
              <w:top w:w="15" w:type="dxa"/>
              <w:left w:w="15" w:type="dxa"/>
              <w:bottom w:w="0" w:type="dxa"/>
              <w:right w:w="15" w:type="dxa"/>
            </w:tcMar>
            <w:vAlign w:val="center"/>
            <w:hideMark/>
          </w:tcPr>
          <w:p w14:paraId="56B1D764" w14:textId="0F93E15B"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Met Bioequivalence</w:t>
            </w:r>
          </w:p>
        </w:tc>
      </w:tr>
      <w:tr w:rsidR="0023010B" w:rsidRPr="0023010B" w14:paraId="014DB6A1" w14:textId="77777777" w:rsidTr="00592C58">
        <w:trPr>
          <w:trHeight w:val="276"/>
          <w:jc w:val="center"/>
        </w:trPr>
        <w:tc>
          <w:tcPr>
            <w:tcW w:w="972" w:type="pct"/>
            <w:tcMar>
              <w:top w:w="15" w:type="dxa"/>
              <w:left w:w="15" w:type="dxa"/>
              <w:bottom w:w="0" w:type="dxa"/>
              <w:right w:w="15" w:type="dxa"/>
            </w:tcMar>
            <w:vAlign w:val="center"/>
            <w:hideMark/>
          </w:tcPr>
          <w:p w14:paraId="603EE307" w14:textId="77777777" w:rsidR="00995845" w:rsidRPr="0023010B" w:rsidRDefault="00995845" w:rsidP="00592C58">
            <w:pPr>
              <w:spacing w:after="0" w:line="240" w:lineRule="auto"/>
              <w:rPr>
                <w:rFonts w:ascii="Arial" w:eastAsia="Times New Roman" w:hAnsi="Arial" w:cs="Arial"/>
                <w:sz w:val="20"/>
                <w:szCs w:val="20"/>
                <w:lang w:eastAsia="en-IN"/>
              </w:rPr>
            </w:pPr>
            <w:r w:rsidRPr="0023010B">
              <w:rPr>
                <w:rFonts w:ascii="Arial" w:eastAsia="Times New Roman" w:hAnsi="Arial" w:cs="Arial"/>
                <w:sz w:val="20"/>
                <w:szCs w:val="20"/>
                <w:lang w:val="en-US" w:eastAsia="en-IN"/>
              </w:rPr>
              <w:t>AUC</w:t>
            </w:r>
            <w:r w:rsidRPr="0023010B">
              <w:rPr>
                <w:rFonts w:ascii="Arial" w:eastAsia="Times New Roman" w:hAnsi="Arial" w:cs="Arial"/>
                <w:sz w:val="20"/>
                <w:szCs w:val="20"/>
                <w:vertAlign w:val="subscript"/>
                <w:lang w:val="en-US" w:eastAsia="en-IN"/>
              </w:rPr>
              <w:t>0-t (µg.</w:t>
            </w:r>
            <w:proofErr w:type="gramStart"/>
            <w:r w:rsidRPr="0023010B">
              <w:rPr>
                <w:rFonts w:ascii="Arial" w:eastAsia="Times New Roman" w:hAnsi="Arial" w:cs="Arial"/>
                <w:sz w:val="20"/>
                <w:szCs w:val="20"/>
                <w:vertAlign w:val="subscript"/>
                <w:lang w:val="en-US" w:eastAsia="en-IN"/>
              </w:rPr>
              <w:t>hr.mL</w:t>
            </w:r>
            <w:proofErr w:type="gramEnd"/>
            <w:r w:rsidRPr="0023010B">
              <w:rPr>
                <w:rFonts w:ascii="Arial" w:eastAsia="Times New Roman" w:hAnsi="Arial" w:cs="Arial"/>
                <w:sz w:val="20"/>
                <w:szCs w:val="20"/>
                <w:vertAlign w:val="superscript"/>
                <w:lang w:val="en-US" w:eastAsia="en-IN"/>
              </w:rPr>
              <w:t>-1</w:t>
            </w:r>
            <w:r w:rsidRPr="0023010B">
              <w:rPr>
                <w:rFonts w:ascii="Arial" w:eastAsia="Times New Roman" w:hAnsi="Arial" w:cs="Arial"/>
                <w:sz w:val="20"/>
                <w:szCs w:val="20"/>
                <w:vertAlign w:val="subscript"/>
                <w:lang w:val="en-US" w:eastAsia="en-IN"/>
              </w:rPr>
              <w:t>)</w:t>
            </w:r>
          </w:p>
        </w:tc>
        <w:tc>
          <w:tcPr>
            <w:tcW w:w="600" w:type="pct"/>
            <w:tcMar>
              <w:top w:w="15" w:type="dxa"/>
              <w:left w:w="15" w:type="dxa"/>
              <w:bottom w:w="0" w:type="dxa"/>
              <w:right w:w="15" w:type="dxa"/>
            </w:tcMar>
            <w:vAlign w:val="center"/>
            <w:hideMark/>
          </w:tcPr>
          <w:p w14:paraId="67986C5E"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8203.581</w:t>
            </w:r>
          </w:p>
        </w:tc>
        <w:tc>
          <w:tcPr>
            <w:tcW w:w="545" w:type="pct"/>
            <w:tcMar>
              <w:top w:w="15" w:type="dxa"/>
              <w:left w:w="15" w:type="dxa"/>
              <w:bottom w:w="0" w:type="dxa"/>
              <w:right w:w="15" w:type="dxa"/>
            </w:tcMar>
            <w:vAlign w:val="center"/>
            <w:hideMark/>
          </w:tcPr>
          <w:p w14:paraId="5D823068"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8221.085</w:t>
            </w:r>
          </w:p>
        </w:tc>
        <w:tc>
          <w:tcPr>
            <w:tcW w:w="366" w:type="pct"/>
            <w:tcMar>
              <w:top w:w="15" w:type="dxa"/>
              <w:left w:w="15" w:type="dxa"/>
              <w:bottom w:w="0" w:type="dxa"/>
              <w:right w:w="15" w:type="dxa"/>
            </w:tcMar>
            <w:vAlign w:val="center"/>
            <w:hideMark/>
          </w:tcPr>
          <w:p w14:paraId="6687F2F3"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99.78</w:t>
            </w:r>
          </w:p>
        </w:tc>
        <w:tc>
          <w:tcPr>
            <w:tcW w:w="369" w:type="pct"/>
            <w:tcMar>
              <w:top w:w="15" w:type="dxa"/>
              <w:left w:w="15" w:type="dxa"/>
              <w:bottom w:w="0" w:type="dxa"/>
              <w:right w:w="15" w:type="dxa"/>
            </w:tcMar>
            <w:vAlign w:val="center"/>
            <w:hideMark/>
          </w:tcPr>
          <w:p w14:paraId="08804712"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eastAsia="en-IN"/>
              </w:rPr>
              <w:t>84.95</w:t>
            </w:r>
          </w:p>
        </w:tc>
        <w:tc>
          <w:tcPr>
            <w:tcW w:w="474" w:type="pct"/>
            <w:tcMar>
              <w:top w:w="15" w:type="dxa"/>
              <w:left w:w="15" w:type="dxa"/>
              <w:bottom w:w="0" w:type="dxa"/>
              <w:right w:w="15" w:type="dxa"/>
            </w:tcMar>
            <w:vAlign w:val="center"/>
            <w:hideMark/>
          </w:tcPr>
          <w:p w14:paraId="3C333B81"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98.73</w:t>
            </w:r>
          </w:p>
        </w:tc>
        <w:tc>
          <w:tcPr>
            <w:tcW w:w="411" w:type="pct"/>
            <w:tcMar>
              <w:top w:w="15" w:type="dxa"/>
              <w:left w:w="15" w:type="dxa"/>
              <w:bottom w:w="0" w:type="dxa"/>
              <w:right w:w="15" w:type="dxa"/>
            </w:tcMar>
            <w:vAlign w:val="center"/>
          </w:tcPr>
          <w:p w14:paraId="147EA606"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13.28</w:t>
            </w:r>
          </w:p>
        </w:tc>
        <w:tc>
          <w:tcPr>
            <w:tcW w:w="433" w:type="pct"/>
            <w:tcMar>
              <w:top w:w="15" w:type="dxa"/>
              <w:left w:w="15" w:type="dxa"/>
              <w:bottom w:w="0" w:type="dxa"/>
              <w:right w:w="15" w:type="dxa"/>
            </w:tcMar>
            <w:vAlign w:val="center"/>
          </w:tcPr>
          <w:p w14:paraId="59B3E5B5"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98.10</w:t>
            </w:r>
          </w:p>
        </w:tc>
        <w:tc>
          <w:tcPr>
            <w:tcW w:w="829" w:type="pct"/>
            <w:tcMar>
              <w:top w:w="15" w:type="dxa"/>
              <w:left w:w="15" w:type="dxa"/>
              <w:bottom w:w="0" w:type="dxa"/>
              <w:right w:w="15" w:type="dxa"/>
            </w:tcMar>
            <w:vAlign w:val="center"/>
            <w:hideMark/>
          </w:tcPr>
          <w:p w14:paraId="65802D10" w14:textId="3739182E"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Met Bioequivalence</w:t>
            </w:r>
          </w:p>
        </w:tc>
      </w:tr>
      <w:tr w:rsidR="0023010B" w:rsidRPr="0023010B" w14:paraId="3B2BDFE2" w14:textId="77777777" w:rsidTr="00592C58">
        <w:trPr>
          <w:trHeight w:val="276"/>
          <w:jc w:val="center"/>
        </w:trPr>
        <w:tc>
          <w:tcPr>
            <w:tcW w:w="972" w:type="pct"/>
            <w:tcMar>
              <w:top w:w="15" w:type="dxa"/>
              <w:left w:w="15" w:type="dxa"/>
              <w:bottom w:w="0" w:type="dxa"/>
              <w:right w:w="15" w:type="dxa"/>
            </w:tcMar>
            <w:vAlign w:val="center"/>
            <w:hideMark/>
          </w:tcPr>
          <w:p w14:paraId="1D63DC9D" w14:textId="77777777" w:rsidR="00995845" w:rsidRPr="0023010B" w:rsidRDefault="00995845" w:rsidP="00592C58">
            <w:pPr>
              <w:spacing w:after="0" w:line="240" w:lineRule="auto"/>
              <w:rPr>
                <w:rFonts w:ascii="Arial" w:eastAsia="Times New Roman" w:hAnsi="Arial" w:cs="Arial"/>
                <w:sz w:val="20"/>
                <w:szCs w:val="20"/>
                <w:lang w:eastAsia="en-IN"/>
              </w:rPr>
            </w:pPr>
            <w:r w:rsidRPr="0023010B">
              <w:rPr>
                <w:rFonts w:ascii="Arial" w:eastAsia="Times New Roman" w:hAnsi="Arial" w:cs="Arial"/>
                <w:sz w:val="20"/>
                <w:szCs w:val="20"/>
                <w:lang w:val="en-US" w:eastAsia="en-IN"/>
              </w:rPr>
              <w:t>AUC</w:t>
            </w:r>
            <w:r w:rsidRPr="0023010B">
              <w:rPr>
                <w:rFonts w:ascii="Arial" w:eastAsia="Times New Roman" w:hAnsi="Arial" w:cs="Arial"/>
                <w:sz w:val="20"/>
                <w:szCs w:val="20"/>
                <w:vertAlign w:val="subscript"/>
                <w:lang w:val="en-US" w:eastAsia="en-IN"/>
              </w:rPr>
              <w:t>0-inf (µg.</w:t>
            </w:r>
            <w:proofErr w:type="gramStart"/>
            <w:r w:rsidRPr="0023010B">
              <w:rPr>
                <w:rFonts w:ascii="Arial" w:eastAsia="Times New Roman" w:hAnsi="Arial" w:cs="Arial"/>
                <w:sz w:val="20"/>
                <w:szCs w:val="20"/>
                <w:vertAlign w:val="subscript"/>
                <w:lang w:val="en-US" w:eastAsia="en-IN"/>
              </w:rPr>
              <w:t>hr.mL</w:t>
            </w:r>
            <w:proofErr w:type="gramEnd"/>
            <w:r w:rsidRPr="0023010B">
              <w:rPr>
                <w:rFonts w:ascii="Arial" w:eastAsia="Times New Roman" w:hAnsi="Arial" w:cs="Arial"/>
                <w:sz w:val="20"/>
                <w:szCs w:val="20"/>
                <w:vertAlign w:val="superscript"/>
                <w:lang w:val="en-US" w:eastAsia="en-IN"/>
              </w:rPr>
              <w:t>-1</w:t>
            </w:r>
            <w:r w:rsidRPr="0023010B">
              <w:rPr>
                <w:rFonts w:ascii="Arial" w:eastAsia="Times New Roman" w:hAnsi="Arial" w:cs="Arial"/>
                <w:sz w:val="20"/>
                <w:szCs w:val="20"/>
                <w:vertAlign w:val="subscript"/>
                <w:lang w:val="en-US" w:eastAsia="en-IN"/>
              </w:rPr>
              <w:t>)</w:t>
            </w:r>
          </w:p>
        </w:tc>
        <w:tc>
          <w:tcPr>
            <w:tcW w:w="600" w:type="pct"/>
            <w:tcMar>
              <w:top w:w="15" w:type="dxa"/>
              <w:left w:w="15" w:type="dxa"/>
              <w:bottom w:w="0" w:type="dxa"/>
              <w:right w:w="15" w:type="dxa"/>
            </w:tcMar>
            <w:vAlign w:val="center"/>
            <w:hideMark/>
          </w:tcPr>
          <w:p w14:paraId="1B132744"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8865.783</w:t>
            </w:r>
          </w:p>
        </w:tc>
        <w:tc>
          <w:tcPr>
            <w:tcW w:w="545" w:type="pct"/>
            <w:tcMar>
              <w:top w:w="15" w:type="dxa"/>
              <w:left w:w="15" w:type="dxa"/>
              <w:bottom w:w="0" w:type="dxa"/>
              <w:right w:w="15" w:type="dxa"/>
            </w:tcMar>
            <w:vAlign w:val="center"/>
            <w:hideMark/>
          </w:tcPr>
          <w:p w14:paraId="48D60B78"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8863.929</w:t>
            </w:r>
          </w:p>
        </w:tc>
        <w:tc>
          <w:tcPr>
            <w:tcW w:w="366" w:type="pct"/>
            <w:tcMar>
              <w:top w:w="15" w:type="dxa"/>
              <w:left w:w="15" w:type="dxa"/>
              <w:bottom w:w="0" w:type="dxa"/>
              <w:right w:w="15" w:type="dxa"/>
            </w:tcMar>
            <w:vAlign w:val="center"/>
            <w:hideMark/>
          </w:tcPr>
          <w:p w14:paraId="5682DFC9"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100.02</w:t>
            </w:r>
          </w:p>
        </w:tc>
        <w:tc>
          <w:tcPr>
            <w:tcW w:w="369" w:type="pct"/>
            <w:tcMar>
              <w:top w:w="15" w:type="dxa"/>
              <w:left w:w="15" w:type="dxa"/>
              <w:bottom w:w="0" w:type="dxa"/>
              <w:right w:w="15" w:type="dxa"/>
            </w:tcMar>
            <w:vAlign w:val="center"/>
            <w:hideMark/>
          </w:tcPr>
          <w:p w14:paraId="75CFF470"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eastAsia="en-IN"/>
              </w:rPr>
              <w:t>85.17</w:t>
            </w:r>
          </w:p>
        </w:tc>
        <w:tc>
          <w:tcPr>
            <w:tcW w:w="474" w:type="pct"/>
            <w:tcMar>
              <w:top w:w="15" w:type="dxa"/>
              <w:left w:w="15" w:type="dxa"/>
              <w:bottom w:w="0" w:type="dxa"/>
              <w:right w:w="15" w:type="dxa"/>
            </w:tcMar>
            <w:vAlign w:val="center"/>
            <w:hideMark/>
          </w:tcPr>
          <w:p w14:paraId="45E16566"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98.47</w:t>
            </w:r>
          </w:p>
        </w:tc>
        <w:tc>
          <w:tcPr>
            <w:tcW w:w="411" w:type="pct"/>
            <w:tcMar>
              <w:top w:w="15" w:type="dxa"/>
              <w:left w:w="15" w:type="dxa"/>
              <w:bottom w:w="0" w:type="dxa"/>
              <w:right w:w="15" w:type="dxa"/>
            </w:tcMar>
            <w:vAlign w:val="center"/>
          </w:tcPr>
          <w:p w14:paraId="72FBC581"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12.74</w:t>
            </w:r>
          </w:p>
        </w:tc>
        <w:tc>
          <w:tcPr>
            <w:tcW w:w="433" w:type="pct"/>
            <w:tcMar>
              <w:top w:w="15" w:type="dxa"/>
              <w:left w:w="15" w:type="dxa"/>
              <w:bottom w:w="0" w:type="dxa"/>
              <w:right w:w="15" w:type="dxa"/>
            </w:tcMar>
            <w:vAlign w:val="center"/>
          </w:tcPr>
          <w:p w14:paraId="3FD4E2B2"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98.20</w:t>
            </w:r>
          </w:p>
        </w:tc>
        <w:tc>
          <w:tcPr>
            <w:tcW w:w="829" w:type="pct"/>
            <w:tcMar>
              <w:top w:w="15" w:type="dxa"/>
              <w:left w:w="15" w:type="dxa"/>
              <w:bottom w:w="0" w:type="dxa"/>
              <w:right w:w="15" w:type="dxa"/>
            </w:tcMar>
            <w:vAlign w:val="center"/>
            <w:hideMark/>
          </w:tcPr>
          <w:p w14:paraId="650991D1" w14:textId="2461786D"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Met Bioequivalence</w:t>
            </w:r>
          </w:p>
        </w:tc>
      </w:tr>
    </w:tbl>
    <w:p w14:paraId="42F9B243" w14:textId="77777777" w:rsidR="00697F85" w:rsidRPr="005A55AF" w:rsidRDefault="00697F85" w:rsidP="005A55AF">
      <w:pPr>
        <w:spacing w:after="0" w:line="240" w:lineRule="auto"/>
        <w:jc w:val="both"/>
        <w:rPr>
          <w:rFonts w:ascii="Arial" w:eastAsia="Times New Roman" w:hAnsi="Arial" w:cs="Arial"/>
          <w:sz w:val="20"/>
          <w:szCs w:val="20"/>
          <w:lang w:eastAsia="en-IN"/>
        </w:rPr>
      </w:pPr>
    </w:p>
    <w:p w14:paraId="2B925D22" w14:textId="3C3F8ACB" w:rsidR="000342B3"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In contrast, the non-floating optimized formulation MTH6 failed to demonstrate bioequivalence despite having point estimates close to unity (Cmax: 99.44%; AUC</w:t>
      </w:r>
      <w:r w:rsidRPr="005A55AF">
        <w:rPr>
          <w:rFonts w:ascii="Cambria Math" w:eastAsia="Times New Roman" w:hAnsi="Cambria Math" w:cs="Cambria Math"/>
          <w:sz w:val="20"/>
          <w:szCs w:val="20"/>
          <w:lang w:eastAsia="en-IN"/>
        </w:rPr>
        <w:t>₀</w:t>
      </w:r>
      <w:r w:rsidRPr="005A55AF">
        <w:rPr>
          <w:rFonts w:ascii="Arial" w:eastAsia="Times New Roman" w:hAnsi="Arial" w:cs="Arial"/>
          <w:sz w:val="20"/>
          <w:szCs w:val="20"/>
          <w:lang w:eastAsia="en-IN"/>
        </w:rPr>
        <w:t>–t: 103.68%; AUC</w:t>
      </w:r>
      <w:r w:rsidRPr="005A55AF">
        <w:rPr>
          <w:rFonts w:ascii="Cambria Math" w:eastAsia="Times New Roman" w:hAnsi="Cambria Math" w:cs="Cambria Math"/>
          <w:sz w:val="20"/>
          <w:szCs w:val="20"/>
          <w:lang w:eastAsia="en-IN"/>
        </w:rPr>
        <w:t>₀</w:t>
      </w:r>
      <w:r w:rsidRPr="005A55AF">
        <w:rPr>
          <w:rFonts w:ascii="Arial" w:eastAsia="Times New Roman" w:hAnsi="Arial" w:cs="Arial"/>
          <w:sz w:val="20"/>
          <w:szCs w:val="20"/>
          <w:lang w:eastAsia="en-IN"/>
        </w:rPr>
        <w:t>–inf: 103.40%). The corresponding 90% confidence intervals were markedly widened (Cmax: 74.96%–131.92%; AUC</w:t>
      </w:r>
      <w:r w:rsidRPr="005A55AF">
        <w:rPr>
          <w:rFonts w:ascii="Cambria Math" w:eastAsia="Times New Roman" w:hAnsi="Cambria Math" w:cs="Cambria Math"/>
          <w:sz w:val="20"/>
          <w:szCs w:val="20"/>
          <w:lang w:eastAsia="en-IN"/>
        </w:rPr>
        <w:t>₀</w:t>
      </w:r>
      <w:r w:rsidRPr="005A55AF">
        <w:rPr>
          <w:rFonts w:ascii="Arial" w:eastAsia="Times New Roman" w:hAnsi="Arial" w:cs="Arial"/>
          <w:sz w:val="20"/>
          <w:szCs w:val="20"/>
          <w:lang w:eastAsia="en-IN"/>
        </w:rPr>
        <w:t>–t: 77.23%–139.18%; AUC</w:t>
      </w:r>
      <w:r w:rsidRPr="005A55AF">
        <w:rPr>
          <w:rFonts w:ascii="Cambria Math" w:eastAsia="Times New Roman" w:hAnsi="Cambria Math" w:cs="Cambria Math"/>
          <w:sz w:val="20"/>
          <w:szCs w:val="20"/>
          <w:lang w:eastAsia="en-IN"/>
        </w:rPr>
        <w:t>₀</w:t>
      </w:r>
      <w:r w:rsidRPr="005A55AF">
        <w:rPr>
          <w:rFonts w:ascii="Arial" w:eastAsia="Times New Roman" w:hAnsi="Arial" w:cs="Arial"/>
          <w:sz w:val="20"/>
          <w:szCs w:val="20"/>
          <w:lang w:eastAsia="en-IN"/>
        </w:rPr>
        <w:t>–inf: 75.78%–141.09%), extending beyond the regulatory acceptance range. The high intra-subject variability (ISCV ~75–79%) and low statistical power (~32–36%) further contributed to the failure to meet BE criteria. The absence of a gastric retention mechanism in MTH6 likely resulted in variable gastrointestinal transit and inconsistent absorption, which is particularly critical for a drug such as Metformin that exhibits region-dependent absorption in the proximal intestine.</w:t>
      </w:r>
    </w:p>
    <w:p w14:paraId="6CBC6E67" w14:textId="77777777" w:rsidR="00697F85" w:rsidRPr="005A55AF" w:rsidRDefault="00697F85" w:rsidP="005A55AF">
      <w:pPr>
        <w:spacing w:after="0" w:line="240" w:lineRule="auto"/>
        <w:jc w:val="both"/>
        <w:rPr>
          <w:rFonts w:ascii="Arial" w:eastAsia="Times New Roman" w:hAnsi="Arial" w:cs="Arial"/>
          <w:sz w:val="20"/>
          <w:szCs w:val="20"/>
          <w:lang w:eastAsia="en-IN"/>
        </w:rPr>
      </w:pPr>
    </w:p>
    <w:p w14:paraId="3343EFF4" w14:textId="7BA4F17D" w:rsidR="00995845"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Comparatively, the floating formulation (MTH3) demonstrated superior pharmacokinetic robustness and regulatory compliance relative to the non-floating matrix (MTH6). Although both formulations were optimized based on in vitro performance, only the gastro-retentive floating system translated effectively into consistent in vivo drug exposure equivalent to the reference product. These findings underscore the importance of gastric retention strategies in the development of controlled-release Metformin formulations and highlight the critical linkage between formulation design and in vivo bioavailability outcomes.</w:t>
      </w:r>
    </w:p>
    <w:p w14:paraId="0B226327" w14:textId="78F2EC00" w:rsidR="00995845" w:rsidRDefault="004A5B40" w:rsidP="00995845">
      <w:pPr>
        <w:spacing w:after="0" w:line="240" w:lineRule="auto"/>
        <w:jc w:val="center"/>
        <w:rPr>
          <w:rFonts w:ascii="Arial" w:eastAsia="Times New Roman" w:hAnsi="Arial" w:cs="Arial"/>
          <w:sz w:val="20"/>
          <w:szCs w:val="20"/>
          <w:lang w:eastAsia="en-IN"/>
        </w:rPr>
      </w:pPr>
      <w:r>
        <w:rPr>
          <w:noProof/>
          <w:lang w:eastAsia="en-IN"/>
        </w:rPr>
        <w:lastRenderedPageBreak/>
        <w:drawing>
          <wp:inline distT="0" distB="0" distL="0" distR="0" wp14:anchorId="1A54A91A" wp14:editId="3A8BA04E">
            <wp:extent cx="5509260" cy="2842260"/>
            <wp:effectExtent l="0" t="0" r="15240" b="15240"/>
            <wp:docPr id="2" name="Chart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A390BD" w14:textId="77777777" w:rsidR="00995845" w:rsidRPr="005A55AF" w:rsidRDefault="00995845" w:rsidP="005A55AF">
      <w:pPr>
        <w:spacing w:after="0" w:line="240" w:lineRule="auto"/>
        <w:jc w:val="both"/>
        <w:rPr>
          <w:rFonts w:ascii="Arial" w:eastAsia="Times New Roman" w:hAnsi="Arial" w:cs="Arial"/>
          <w:sz w:val="20"/>
          <w:szCs w:val="20"/>
          <w:lang w:eastAsia="en-IN"/>
        </w:rPr>
      </w:pPr>
    </w:p>
    <w:p w14:paraId="40B1C8A3" w14:textId="082F7462" w:rsidR="000342B3" w:rsidRDefault="00920924" w:rsidP="00F93320">
      <w:pPr>
        <w:pStyle w:val="NormalWeb"/>
        <w:spacing w:before="0" w:beforeAutospacing="0" w:after="0" w:afterAutospacing="0"/>
        <w:jc w:val="center"/>
        <w:rPr>
          <w:rFonts w:ascii="Arial" w:hAnsi="Arial" w:cs="Arial"/>
          <w:sz w:val="20"/>
          <w:szCs w:val="20"/>
        </w:rPr>
      </w:pPr>
      <w:r w:rsidRPr="00B27F29">
        <w:rPr>
          <w:rFonts w:ascii="Arial" w:hAnsi="Arial" w:cs="Arial"/>
          <w:b/>
          <w:sz w:val="20"/>
          <w:szCs w:val="20"/>
        </w:rPr>
        <w:t>Figure 3:</w:t>
      </w:r>
      <w:r>
        <w:rPr>
          <w:rFonts w:ascii="Arial" w:hAnsi="Arial" w:cs="Arial"/>
          <w:b/>
          <w:sz w:val="20"/>
          <w:szCs w:val="20"/>
        </w:rPr>
        <w:t xml:space="preserve"> Comparative mean plasma concentration of RLD and MTH3 and MTH6 formulations</w:t>
      </w:r>
    </w:p>
    <w:p w14:paraId="3B70C259" w14:textId="77777777" w:rsidR="0023010B" w:rsidRPr="005A55AF" w:rsidRDefault="0023010B" w:rsidP="005A55AF">
      <w:pPr>
        <w:pStyle w:val="NormalWeb"/>
        <w:spacing w:before="0" w:beforeAutospacing="0" w:after="0" w:afterAutospacing="0"/>
        <w:jc w:val="both"/>
        <w:rPr>
          <w:rFonts w:ascii="Arial" w:hAnsi="Arial" w:cs="Arial"/>
          <w:sz w:val="20"/>
          <w:szCs w:val="20"/>
        </w:rPr>
      </w:pPr>
    </w:p>
    <w:p w14:paraId="7F6AFF03" w14:textId="2387136A" w:rsidR="000342B3" w:rsidRDefault="00697F85" w:rsidP="00697F85">
      <w:pPr>
        <w:pStyle w:val="Heading1"/>
        <w:numPr>
          <w:ilvl w:val="0"/>
          <w:numId w:val="2"/>
        </w:numPr>
        <w:spacing w:before="0" w:line="240" w:lineRule="auto"/>
        <w:ind w:left="284" w:hanging="284"/>
        <w:jc w:val="both"/>
        <w:rPr>
          <w:rFonts w:ascii="Arial" w:hAnsi="Arial" w:cs="Arial"/>
          <w:b/>
          <w:color w:val="000000" w:themeColor="text1"/>
          <w:sz w:val="22"/>
          <w:szCs w:val="22"/>
        </w:rPr>
      </w:pPr>
      <w:r w:rsidRPr="00697F85">
        <w:rPr>
          <w:rFonts w:ascii="Arial" w:hAnsi="Arial" w:cs="Arial"/>
          <w:b/>
          <w:color w:val="000000" w:themeColor="text1"/>
          <w:sz w:val="22"/>
          <w:szCs w:val="22"/>
        </w:rPr>
        <w:t>CONCLUSION</w:t>
      </w:r>
    </w:p>
    <w:p w14:paraId="382D43C6" w14:textId="77777777" w:rsidR="00697F85" w:rsidRDefault="00697F85" w:rsidP="005A55AF">
      <w:pPr>
        <w:pStyle w:val="NormalWeb"/>
        <w:spacing w:before="0" w:beforeAutospacing="0" w:after="0" w:afterAutospacing="0"/>
        <w:jc w:val="both"/>
        <w:rPr>
          <w:rFonts w:ascii="Arial" w:hAnsi="Arial" w:cs="Arial"/>
          <w:sz w:val="20"/>
          <w:szCs w:val="20"/>
        </w:rPr>
      </w:pPr>
    </w:p>
    <w:p w14:paraId="46C60236" w14:textId="09A73315" w:rsidR="000342B3" w:rsidRDefault="00632C60" w:rsidP="005A55AF">
      <w:pPr>
        <w:pStyle w:val="NormalWeb"/>
        <w:spacing w:before="0" w:beforeAutospacing="0" w:after="0" w:afterAutospacing="0"/>
        <w:jc w:val="both"/>
        <w:rPr>
          <w:rFonts w:ascii="Arial" w:hAnsi="Arial" w:cs="Arial"/>
          <w:sz w:val="20"/>
          <w:szCs w:val="20"/>
        </w:rPr>
      </w:pPr>
      <w:r w:rsidRPr="005B3671">
        <w:rPr>
          <w:rFonts w:ascii="Arial" w:hAnsi="Arial" w:cs="Arial"/>
          <w:sz w:val="20"/>
          <w:szCs w:val="20"/>
        </w:rPr>
        <w:t>The present study systematically compared floating and non-floating controlled-release formulations of Metformin HCl to elucidate the impact of formulation design on in vitro performance and in vivo pharmacokinetic outcomes. The gastro-retentive floating formulation (MTH3), developed using Eudragit NE 30D and an optimized PVA binder system through fluid bed granulation, demonstrated rapid buoyancy and prolonged gastric retention exceeding 16 hours. This gastroretentive behavior enabled sustained and controlled drug release, which translated into consistent systemic exposure in vivo.</w:t>
      </w:r>
      <w:r>
        <w:rPr>
          <w:rFonts w:ascii="Arial" w:hAnsi="Arial" w:cs="Arial"/>
          <w:sz w:val="20"/>
          <w:szCs w:val="20"/>
        </w:rPr>
        <w:t xml:space="preserve"> </w:t>
      </w:r>
      <w:r w:rsidRPr="005B3671">
        <w:rPr>
          <w:rFonts w:ascii="Arial" w:hAnsi="Arial" w:cs="Arial"/>
          <w:sz w:val="20"/>
          <w:szCs w:val="20"/>
        </w:rPr>
        <w:t>Although both floating (MTH3) and non-floating (MTH6) formulations exhibited acceptable physicochemical characteristics and controlled release behavior in vitro with drug release governed predominantly by a diffusion</w:t>
      </w:r>
      <w:r>
        <w:rPr>
          <w:rFonts w:ascii="Arial" w:hAnsi="Arial" w:cs="Arial"/>
          <w:sz w:val="20"/>
          <w:szCs w:val="20"/>
        </w:rPr>
        <w:t xml:space="preserve"> </w:t>
      </w:r>
      <w:r w:rsidRPr="005B3671">
        <w:rPr>
          <w:rFonts w:ascii="Arial" w:hAnsi="Arial" w:cs="Arial"/>
          <w:sz w:val="20"/>
          <w:szCs w:val="20"/>
        </w:rPr>
        <w:t xml:space="preserve">erosion mechanism consistent with the Higuchi model, </w:t>
      </w:r>
      <w:proofErr w:type="spellStart"/>
      <w:r w:rsidRPr="005B3671">
        <w:rPr>
          <w:rFonts w:ascii="Arial" w:hAnsi="Arial" w:cs="Arial"/>
          <w:sz w:val="20"/>
          <w:szCs w:val="20"/>
        </w:rPr>
        <w:t>their</w:t>
      </w:r>
      <w:proofErr w:type="spellEnd"/>
      <w:r w:rsidRPr="005B3671">
        <w:rPr>
          <w:rFonts w:ascii="Arial" w:hAnsi="Arial" w:cs="Arial"/>
          <w:sz w:val="20"/>
          <w:szCs w:val="20"/>
        </w:rPr>
        <w:t xml:space="preserve"> in vivo performances differed markedly. The floating formulation achieved bioequivalence with the reference listed drug, Glucophage, with all primary pharmacokinetic parameters falling within the regulatory acceptance limits (80–125%). In contrast, the non-floating formulation failed to meet</w:t>
      </w:r>
      <w:r>
        <w:rPr>
          <w:rFonts w:ascii="Arial" w:hAnsi="Arial" w:cs="Arial"/>
          <w:sz w:val="20"/>
          <w:szCs w:val="20"/>
        </w:rPr>
        <w:t xml:space="preserve"> </w:t>
      </w:r>
      <w:r w:rsidRPr="005B3671">
        <w:rPr>
          <w:rFonts w:ascii="Arial" w:hAnsi="Arial" w:cs="Arial"/>
          <w:sz w:val="20"/>
          <w:szCs w:val="20"/>
        </w:rPr>
        <w:t>bioequivalence criteria due to significantly higher intra-subject variability and wider confidence intervals, likely resulting from uncontrolled gastrointestinal transit and inconsistent drug absorption.</w:t>
      </w:r>
      <w:r>
        <w:rPr>
          <w:rFonts w:ascii="Arial" w:hAnsi="Arial" w:cs="Arial"/>
          <w:sz w:val="20"/>
          <w:szCs w:val="20"/>
        </w:rPr>
        <w:t xml:space="preserve"> </w:t>
      </w:r>
      <w:r w:rsidRPr="005B3671">
        <w:rPr>
          <w:rFonts w:ascii="Arial" w:hAnsi="Arial" w:cs="Arial"/>
          <w:sz w:val="20"/>
          <w:szCs w:val="20"/>
        </w:rPr>
        <w:t>Overall, the findings demonstrate that incorporation of a gastro-retentive floating mechanism significantly enhances pharmacokinetic reproducibility and systemic exposure of controlled-release Metformin HCl tablets. The study highlights the critical role of polymer selection, binder grade, and granulation process in optimizing gastroretentive drug delivery systems. Importantly, it underscores that successful in vitro optimization alone may not ensure in vivo equivalence, emphasizing the necessity of integrating gastric retention strategies during formulation development. The optimized floating formulation therefore represents a promising approach for improving the therapeutic performance and regulatory success of controlled</w:t>
      </w:r>
      <w:r>
        <w:rPr>
          <w:rFonts w:ascii="Arial" w:hAnsi="Arial" w:cs="Arial"/>
          <w:sz w:val="20"/>
          <w:szCs w:val="20"/>
        </w:rPr>
        <w:t xml:space="preserve"> </w:t>
      </w:r>
      <w:r w:rsidRPr="005B3671">
        <w:rPr>
          <w:rFonts w:ascii="Arial" w:hAnsi="Arial" w:cs="Arial"/>
          <w:sz w:val="20"/>
          <w:szCs w:val="20"/>
        </w:rPr>
        <w:t>release Metformin HCl products</w:t>
      </w:r>
      <w:r>
        <w:rPr>
          <w:rFonts w:ascii="Arial" w:hAnsi="Arial" w:cs="Arial"/>
          <w:sz w:val="20"/>
          <w:szCs w:val="20"/>
        </w:rPr>
        <w:t>.</w:t>
      </w:r>
      <w:r w:rsidR="00F07848" w:rsidRPr="005A55AF">
        <w:rPr>
          <w:rFonts w:ascii="Arial" w:hAnsi="Arial" w:cs="Arial"/>
          <w:sz w:val="20"/>
          <w:szCs w:val="20"/>
        </w:rPr>
        <w:t xml:space="preserve">  </w:t>
      </w:r>
    </w:p>
    <w:p w14:paraId="44F8CD0E" w14:textId="17DF6F26" w:rsidR="003C2DF6" w:rsidRDefault="003C2DF6" w:rsidP="005A55AF">
      <w:pPr>
        <w:pStyle w:val="NormalWeb"/>
        <w:spacing w:before="0" w:beforeAutospacing="0" w:after="0" w:afterAutospacing="0"/>
        <w:jc w:val="both"/>
        <w:rPr>
          <w:rFonts w:ascii="Arial" w:hAnsi="Arial" w:cs="Arial"/>
          <w:sz w:val="20"/>
          <w:szCs w:val="20"/>
        </w:rPr>
      </w:pPr>
    </w:p>
    <w:p w14:paraId="19341CB5" w14:textId="77777777" w:rsidR="003C2DF6" w:rsidRPr="00D77559" w:rsidRDefault="003C2DF6" w:rsidP="003C2DF6">
      <w:pPr>
        <w:spacing w:after="0" w:line="240" w:lineRule="auto"/>
        <w:jc w:val="both"/>
        <w:rPr>
          <w:rFonts w:ascii="Arial" w:hAnsi="Arial" w:cs="Arial"/>
        </w:rPr>
      </w:pPr>
      <w:bookmarkStart w:id="0" w:name="_GoBack"/>
      <w:bookmarkEnd w:id="0"/>
    </w:p>
    <w:p w14:paraId="54DA37B3" w14:textId="77777777" w:rsidR="003C2DF6" w:rsidRPr="00D77559" w:rsidRDefault="003C2DF6" w:rsidP="003C2DF6">
      <w:pPr>
        <w:tabs>
          <w:tab w:val="left" w:pos="426"/>
        </w:tabs>
        <w:spacing w:after="0" w:line="240" w:lineRule="auto"/>
        <w:jc w:val="both"/>
        <w:rPr>
          <w:rFonts w:ascii="Arial" w:hAnsi="Arial" w:cs="Arial"/>
          <w:b/>
          <w:bCs/>
        </w:rPr>
      </w:pPr>
      <w:r w:rsidRPr="00D77559">
        <w:rPr>
          <w:rFonts w:ascii="Arial" w:hAnsi="Arial" w:cs="Arial"/>
          <w:b/>
          <w:bCs/>
        </w:rPr>
        <w:t>ETHICS APPROVAL</w:t>
      </w:r>
    </w:p>
    <w:p w14:paraId="5297C1DE" w14:textId="77777777" w:rsidR="003C2DF6" w:rsidRPr="00D77559" w:rsidRDefault="003C2DF6" w:rsidP="003C2DF6">
      <w:pPr>
        <w:pStyle w:val="ListParagraph"/>
        <w:tabs>
          <w:tab w:val="left" w:pos="426"/>
        </w:tabs>
        <w:spacing w:after="0" w:line="240" w:lineRule="auto"/>
        <w:ind w:left="284"/>
        <w:jc w:val="both"/>
        <w:rPr>
          <w:rFonts w:ascii="Arial" w:hAnsi="Arial" w:cs="Arial"/>
          <w:b/>
          <w:bCs/>
        </w:rPr>
      </w:pPr>
    </w:p>
    <w:p w14:paraId="22F53472" w14:textId="77777777" w:rsidR="003C2DF6" w:rsidRPr="00D77559" w:rsidRDefault="003C2DF6" w:rsidP="003C2DF6">
      <w:pPr>
        <w:spacing w:after="0" w:line="240" w:lineRule="auto"/>
        <w:jc w:val="both"/>
        <w:rPr>
          <w:rFonts w:ascii="Arial" w:hAnsi="Arial" w:cs="Arial"/>
          <w:sz w:val="20"/>
          <w:szCs w:val="20"/>
        </w:rPr>
      </w:pPr>
      <w:r w:rsidRPr="00D77559">
        <w:rPr>
          <w:rFonts w:ascii="Arial" w:hAnsi="Arial" w:cs="Arial"/>
          <w:sz w:val="20"/>
          <w:szCs w:val="20"/>
        </w:rPr>
        <w:t>None to declare</w:t>
      </w:r>
    </w:p>
    <w:p w14:paraId="6B58B068" w14:textId="77777777" w:rsidR="0027341D" w:rsidRDefault="0027341D" w:rsidP="0027341D">
      <w:pPr>
        <w:spacing w:after="0" w:line="240" w:lineRule="auto"/>
        <w:jc w:val="both"/>
        <w:rPr>
          <w:rFonts w:ascii="Arial" w:hAnsi="Arial" w:cs="Arial"/>
          <w:b/>
          <w:color w:val="00B0F0"/>
          <w:sz w:val="20"/>
          <w:szCs w:val="20"/>
        </w:rPr>
      </w:pPr>
    </w:p>
    <w:p w14:paraId="139B2CC9" w14:textId="77777777" w:rsidR="0027341D" w:rsidRPr="0027341D" w:rsidRDefault="0027341D" w:rsidP="0027341D">
      <w:pPr>
        <w:spacing w:after="0" w:line="240" w:lineRule="auto"/>
        <w:jc w:val="both"/>
        <w:rPr>
          <w:rFonts w:ascii="Arial" w:hAnsi="Arial" w:cs="Arial"/>
          <w:sz w:val="20"/>
          <w:szCs w:val="20"/>
        </w:rPr>
      </w:pPr>
    </w:p>
    <w:p w14:paraId="4311C7C0" w14:textId="77777777" w:rsidR="0027341D" w:rsidRPr="0027341D" w:rsidRDefault="0027341D" w:rsidP="0027341D">
      <w:pPr>
        <w:rPr>
          <w:rFonts w:ascii="Arial" w:eastAsia="Calibri" w:hAnsi="Arial" w:cs="Arial"/>
          <w:b/>
          <w:kern w:val="2"/>
          <w:sz w:val="20"/>
          <w:szCs w:val="20"/>
          <w:lang w:val="en-US"/>
        </w:rPr>
      </w:pPr>
      <w:r w:rsidRPr="0027341D">
        <w:rPr>
          <w:rFonts w:ascii="Arial" w:eastAsia="Calibri" w:hAnsi="Arial" w:cs="Arial"/>
          <w:b/>
          <w:kern w:val="2"/>
          <w:sz w:val="20"/>
          <w:szCs w:val="20"/>
          <w:lang w:val="en-US"/>
        </w:rPr>
        <w:t>Disclaimer (Artificial intelligence)</w:t>
      </w:r>
    </w:p>
    <w:p w14:paraId="1C28FB73" w14:textId="77777777" w:rsidR="0027341D" w:rsidRDefault="0027341D" w:rsidP="0027341D">
      <w:pPr>
        <w:spacing w:after="0" w:line="240" w:lineRule="auto"/>
        <w:jc w:val="both"/>
        <w:rPr>
          <w:rFonts w:ascii="Arial" w:eastAsia="Times New Roman" w:hAnsi="Arial" w:cs="Arial"/>
          <w:sz w:val="20"/>
          <w:szCs w:val="20"/>
          <w:lang w:eastAsia="en-IN"/>
        </w:rPr>
      </w:pPr>
      <w:r w:rsidRPr="0027341D">
        <w:rPr>
          <w:rFonts w:ascii="Arial" w:eastAsia="Times New Roman" w:hAnsi="Arial" w:cs="Arial"/>
          <w:sz w:val="20"/>
          <w:szCs w:val="20"/>
          <w:lang w:eastAsia="en-IN"/>
        </w:rPr>
        <w:t>The authors declare that an artificial intelligence-based tools (ChatGPT) was used during the final stage of manuscript preparation (post-writing) and exclusively for linguistic refinement in the English language (Name: ChatGPT, Model-GPT-5). No original scientific content was generated or substantively edited by the AI.</w:t>
      </w:r>
    </w:p>
    <w:p w14:paraId="395E920D" w14:textId="77777777" w:rsidR="00C747CA" w:rsidRDefault="00C747CA" w:rsidP="0027341D">
      <w:pPr>
        <w:spacing w:after="0" w:line="240" w:lineRule="auto"/>
        <w:jc w:val="both"/>
        <w:rPr>
          <w:rFonts w:ascii="Arial" w:eastAsia="Times New Roman" w:hAnsi="Arial" w:cs="Arial"/>
          <w:sz w:val="20"/>
          <w:szCs w:val="20"/>
          <w:lang w:eastAsia="en-IN"/>
        </w:rPr>
      </w:pPr>
    </w:p>
    <w:p w14:paraId="32D28DA4" w14:textId="77777777" w:rsidR="00C747CA" w:rsidRPr="00C747CA" w:rsidRDefault="00C747CA" w:rsidP="00C747CA">
      <w:pPr>
        <w:spacing w:after="200" w:line="276" w:lineRule="auto"/>
        <w:rPr>
          <w:rFonts w:ascii="Arial" w:eastAsia="Times New Roman" w:hAnsi="Arial" w:cs="Arial"/>
          <w:b/>
          <w:bCs/>
          <w:lang w:val="en-GB" w:eastAsia="en-GB"/>
        </w:rPr>
      </w:pPr>
      <w:r w:rsidRPr="00C747CA">
        <w:rPr>
          <w:rFonts w:ascii="Arial" w:eastAsia="Times New Roman" w:hAnsi="Arial" w:cs="Arial"/>
          <w:b/>
          <w:bCs/>
          <w:lang w:val="en-GB" w:eastAsia="en-GB"/>
        </w:rPr>
        <w:t>COMPETING INTERESTS DISCLAIMER:</w:t>
      </w:r>
    </w:p>
    <w:p w14:paraId="52909269" w14:textId="77777777" w:rsidR="00C747CA" w:rsidRPr="00C747CA" w:rsidRDefault="00C747CA" w:rsidP="00C747CA">
      <w:pPr>
        <w:spacing w:after="200" w:line="276" w:lineRule="auto"/>
        <w:rPr>
          <w:rFonts w:ascii="Calibri" w:eastAsia="Times New Roman" w:hAnsi="Calibri" w:cs="Times New Roman"/>
          <w:lang w:val="en-GB" w:eastAsia="en-GB"/>
        </w:rPr>
      </w:pPr>
      <w:r w:rsidRPr="00C747CA">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61BA287" w14:textId="77777777" w:rsidR="00C747CA" w:rsidRPr="0027341D" w:rsidRDefault="00C747CA" w:rsidP="0027341D">
      <w:pPr>
        <w:spacing w:after="0" w:line="240" w:lineRule="auto"/>
        <w:jc w:val="both"/>
        <w:rPr>
          <w:rFonts w:ascii="Arial" w:eastAsia="Times New Roman" w:hAnsi="Arial" w:cs="Arial"/>
          <w:sz w:val="20"/>
          <w:szCs w:val="20"/>
          <w:lang w:eastAsia="en-IN"/>
        </w:rPr>
      </w:pPr>
    </w:p>
    <w:p w14:paraId="6BB6B4F2" w14:textId="77777777" w:rsidR="000F40E9" w:rsidRDefault="000F40E9" w:rsidP="00143118">
      <w:pPr>
        <w:spacing w:after="0" w:line="240" w:lineRule="auto"/>
        <w:rPr>
          <w:rFonts w:ascii="Arial" w:hAnsi="Arial" w:cs="Arial"/>
          <w:b/>
          <w:sz w:val="20"/>
          <w:szCs w:val="20"/>
        </w:rPr>
      </w:pPr>
    </w:p>
    <w:p w14:paraId="086D62D2" w14:textId="5B489F0C" w:rsidR="006045D4" w:rsidRDefault="00143118" w:rsidP="00143118">
      <w:pPr>
        <w:spacing w:after="0" w:line="240" w:lineRule="auto"/>
        <w:rPr>
          <w:rFonts w:ascii="Arial" w:hAnsi="Arial" w:cs="Arial"/>
          <w:b/>
          <w:sz w:val="20"/>
          <w:szCs w:val="20"/>
        </w:rPr>
      </w:pPr>
      <w:r>
        <w:rPr>
          <w:rFonts w:ascii="Arial" w:hAnsi="Arial" w:cs="Arial"/>
          <w:b/>
          <w:sz w:val="20"/>
          <w:szCs w:val="20"/>
        </w:rPr>
        <w:t>REFERENCES</w:t>
      </w:r>
    </w:p>
    <w:p w14:paraId="0C0A885F" w14:textId="77777777" w:rsidR="000F40E9" w:rsidRDefault="000F40E9" w:rsidP="00143118">
      <w:pPr>
        <w:spacing w:after="0" w:line="240" w:lineRule="auto"/>
        <w:rPr>
          <w:rFonts w:ascii="Arial" w:hAnsi="Arial" w:cs="Arial"/>
          <w:b/>
          <w:sz w:val="20"/>
          <w:szCs w:val="20"/>
        </w:rPr>
      </w:pPr>
    </w:p>
    <w:p w14:paraId="7F592A8B" w14:textId="5527269D" w:rsidR="006045D4" w:rsidRPr="00CE3F40" w:rsidRDefault="006045D4"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Ali, J., Arora, S., Ahuja, A., Babbar, A. K., Sharma, R. K., Khar, R. K., &amp; </w:t>
      </w:r>
      <w:proofErr w:type="spellStart"/>
      <w:r w:rsidRPr="00CE3F40">
        <w:rPr>
          <w:rFonts w:ascii="Arial" w:hAnsi="Arial" w:cs="Arial"/>
          <w:color w:val="000000" w:themeColor="text1"/>
          <w:sz w:val="20"/>
          <w:szCs w:val="20"/>
        </w:rPr>
        <w:t>Baboota</w:t>
      </w:r>
      <w:proofErr w:type="spellEnd"/>
      <w:r w:rsidRPr="00CE3F40">
        <w:rPr>
          <w:rFonts w:ascii="Arial" w:hAnsi="Arial" w:cs="Arial"/>
          <w:color w:val="000000" w:themeColor="text1"/>
          <w:sz w:val="20"/>
          <w:szCs w:val="20"/>
        </w:rPr>
        <w:t xml:space="preserve">, S. (2007). Formulation and development of hydrodynamically balanced system for metformin: In vitro and in vivo evaluation. </w:t>
      </w:r>
      <w:r w:rsidRPr="00CE3F40">
        <w:rPr>
          <w:rStyle w:val="Emphasis"/>
          <w:rFonts w:ascii="Arial" w:hAnsi="Arial" w:cs="Arial"/>
          <w:i w:val="0"/>
          <w:color w:val="000000" w:themeColor="text1"/>
          <w:sz w:val="20"/>
          <w:szCs w:val="20"/>
        </w:rPr>
        <w:t>European Journal of Pharmaceutics and Biopharmaceutics, 67</w:t>
      </w:r>
      <w:r w:rsidRPr="00CE3F40">
        <w:rPr>
          <w:rFonts w:ascii="Arial" w:hAnsi="Arial" w:cs="Arial"/>
          <w:color w:val="000000" w:themeColor="text1"/>
          <w:sz w:val="20"/>
          <w:szCs w:val="20"/>
        </w:rPr>
        <w:t xml:space="preserve">(1), 196–201. </w:t>
      </w:r>
      <w:hyperlink r:id="rId11" w:history="1">
        <w:r w:rsidR="00CE3F40" w:rsidRPr="00105B80">
          <w:rPr>
            <w:rStyle w:val="Hyperlink"/>
            <w:rFonts w:ascii="Arial" w:hAnsi="Arial" w:cs="Arial"/>
            <w:sz w:val="20"/>
            <w:szCs w:val="20"/>
          </w:rPr>
          <w:t>https://doi.org/10.1016/j.ejpb.2006.12.015</w:t>
        </w:r>
      </w:hyperlink>
      <w:r w:rsidR="00CE3F40">
        <w:rPr>
          <w:rFonts w:ascii="Arial" w:hAnsi="Arial" w:cs="Arial"/>
          <w:color w:val="000000" w:themeColor="text1"/>
          <w:sz w:val="20"/>
          <w:szCs w:val="20"/>
        </w:rPr>
        <w:t xml:space="preserve"> </w:t>
      </w:r>
    </w:p>
    <w:p w14:paraId="22E58961" w14:textId="77777777" w:rsidR="006045D4" w:rsidRPr="00CE3F40" w:rsidRDefault="006045D4"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Asula, L., Rani, N., Alluri, P. K., &amp; Vaddi, S. K. (2015). Formulation and evaluation of floating tablets of metformin hydrochloride. </w:t>
      </w:r>
      <w:r w:rsidRPr="00920924">
        <w:rPr>
          <w:rStyle w:val="Emphasis"/>
          <w:rFonts w:ascii="Arial" w:hAnsi="Arial" w:cs="Arial"/>
          <w:i w:val="0"/>
          <w:color w:val="000000" w:themeColor="text1"/>
          <w:sz w:val="20"/>
          <w:szCs w:val="20"/>
        </w:rPr>
        <w:t>International Journal of Pharmacy and Technology,</w:t>
      </w:r>
      <w:r w:rsidRPr="00CE3F40">
        <w:rPr>
          <w:rStyle w:val="Emphasis"/>
          <w:rFonts w:ascii="Arial" w:hAnsi="Arial" w:cs="Arial"/>
          <w:color w:val="000000" w:themeColor="text1"/>
          <w:sz w:val="20"/>
          <w:szCs w:val="20"/>
        </w:rPr>
        <w:t xml:space="preserve"> 6</w:t>
      </w:r>
      <w:r w:rsidRPr="00CE3F40">
        <w:rPr>
          <w:rFonts w:ascii="Arial" w:hAnsi="Arial" w:cs="Arial"/>
          <w:color w:val="000000" w:themeColor="text1"/>
          <w:sz w:val="20"/>
          <w:szCs w:val="20"/>
        </w:rPr>
        <w:t>(3), 7078–7091.</w:t>
      </w:r>
    </w:p>
    <w:p w14:paraId="14B11FDE" w14:textId="77777777" w:rsidR="006045D4" w:rsidRPr="00CE3F40" w:rsidRDefault="006045D4" w:rsidP="00CE3F40">
      <w:pPr>
        <w:pStyle w:val="NormalWeb"/>
        <w:numPr>
          <w:ilvl w:val="0"/>
          <w:numId w:val="10"/>
        </w:numPr>
        <w:spacing w:before="0" w:beforeAutospacing="0" w:after="0" w:afterAutospacing="0"/>
        <w:ind w:left="142" w:hanging="284"/>
        <w:jc w:val="both"/>
        <w:rPr>
          <w:rStyle w:val="Hyperlink"/>
        </w:rPr>
      </w:pPr>
      <w:proofErr w:type="spellStart"/>
      <w:r w:rsidRPr="00CE3F40">
        <w:rPr>
          <w:rFonts w:ascii="Arial" w:hAnsi="Arial" w:cs="Arial"/>
          <w:color w:val="000000" w:themeColor="text1"/>
          <w:sz w:val="20"/>
          <w:szCs w:val="20"/>
        </w:rPr>
        <w:t>Bajd</w:t>
      </w:r>
      <w:proofErr w:type="spellEnd"/>
      <w:r w:rsidRPr="00CE3F40">
        <w:rPr>
          <w:rFonts w:ascii="Arial" w:hAnsi="Arial" w:cs="Arial"/>
          <w:color w:val="000000" w:themeColor="text1"/>
          <w:sz w:val="20"/>
          <w:szCs w:val="20"/>
        </w:rPr>
        <w:t xml:space="preserve">, F., Mikac, U., &amp; Mohorič, A. (2024). The effect of polymer–solvent interaction on the swelling of polymer matrix tablets: A magnetic resonance microscopy study complemented by bond fluctuation model simulations. </w:t>
      </w:r>
      <w:r w:rsidRPr="00920924">
        <w:rPr>
          <w:rStyle w:val="Emphasis"/>
          <w:rFonts w:ascii="Arial" w:hAnsi="Arial" w:cs="Arial"/>
          <w:i w:val="0"/>
          <w:color w:val="000000" w:themeColor="text1"/>
          <w:sz w:val="20"/>
          <w:szCs w:val="20"/>
        </w:rPr>
        <w:t>Polymers, 16</w:t>
      </w:r>
      <w:r w:rsidRPr="00920924">
        <w:rPr>
          <w:rFonts w:ascii="Arial" w:hAnsi="Arial" w:cs="Arial"/>
          <w:i/>
          <w:color w:val="000000" w:themeColor="text1"/>
          <w:sz w:val="20"/>
          <w:szCs w:val="20"/>
        </w:rPr>
        <w:t>(5),</w:t>
      </w:r>
      <w:r w:rsidRPr="00CE3F40">
        <w:rPr>
          <w:rFonts w:ascii="Arial" w:hAnsi="Arial" w:cs="Arial"/>
          <w:color w:val="000000" w:themeColor="text1"/>
          <w:sz w:val="20"/>
          <w:szCs w:val="20"/>
        </w:rPr>
        <w:t xml:space="preserve"> 601. </w:t>
      </w:r>
      <w:hyperlink r:id="rId12" w:tgtFrame="_new" w:history="1">
        <w:r w:rsidRPr="00CE3F40">
          <w:rPr>
            <w:rStyle w:val="Hyperlink"/>
            <w:rFonts w:ascii="Arial" w:hAnsi="Arial" w:cs="Arial"/>
            <w:sz w:val="20"/>
            <w:szCs w:val="20"/>
          </w:rPr>
          <w:t>https://doi.org/10.3390/polym16050601</w:t>
        </w:r>
      </w:hyperlink>
    </w:p>
    <w:p w14:paraId="736356F5" w14:textId="61CD3843" w:rsidR="006045D4" w:rsidRPr="00CE3F40" w:rsidRDefault="006045D4"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Costa, P., &amp; Sousa Lobo, J. M. (2001). Modeling and comparison of dissolution profiles. </w:t>
      </w:r>
      <w:r w:rsidRPr="00CE3F40">
        <w:rPr>
          <w:rStyle w:val="Emphasis"/>
          <w:rFonts w:ascii="Arial" w:hAnsi="Arial" w:cs="Arial"/>
          <w:i w:val="0"/>
          <w:color w:val="000000" w:themeColor="text1"/>
          <w:sz w:val="20"/>
          <w:szCs w:val="20"/>
        </w:rPr>
        <w:t>European Journal of Pharmaceutical Sciences, 13</w:t>
      </w:r>
      <w:r w:rsidRPr="00CE3F40">
        <w:rPr>
          <w:rFonts w:ascii="Arial" w:hAnsi="Arial" w:cs="Arial"/>
          <w:i/>
          <w:color w:val="000000" w:themeColor="text1"/>
          <w:sz w:val="20"/>
          <w:szCs w:val="20"/>
        </w:rPr>
        <w:t>(2),</w:t>
      </w:r>
      <w:r w:rsidRPr="00CE3F40">
        <w:rPr>
          <w:rFonts w:ascii="Arial" w:hAnsi="Arial" w:cs="Arial"/>
          <w:color w:val="000000" w:themeColor="text1"/>
          <w:sz w:val="20"/>
          <w:szCs w:val="20"/>
        </w:rPr>
        <w:t xml:space="preserve"> 123–133. </w:t>
      </w:r>
      <w:hyperlink r:id="rId13" w:history="1">
        <w:r w:rsidRPr="00CE3F40">
          <w:rPr>
            <w:rStyle w:val="Hyperlink"/>
            <w:rFonts w:ascii="Arial" w:hAnsi="Arial" w:cs="Arial"/>
            <w:sz w:val="20"/>
            <w:szCs w:val="20"/>
          </w:rPr>
          <w:t>https://doi.org/10.1016/S0928-0987(01)00095-1</w:t>
        </w:r>
      </w:hyperlink>
      <w:r w:rsidRPr="00CE3F40">
        <w:rPr>
          <w:rFonts w:ascii="Arial" w:hAnsi="Arial" w:cs="Arial"/>
          <w:color w:val="000000" w:themeColor="text1"/>
          <w:sz w:val="20"/>
          <w:szCs w:val="20"/>
        </w:rPr>
        <w:t xml:space="preserve"> </w:t>
      </w:r>
    </w:p>
    <w:p w14:paraId="6C650600" w14:textId="77777777"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Gopaiah, K. V., </w:t>
      </w:r>
      <w:proofErr w:type="gramStart"/>
      <w:r w:rsidRPr="00CE3F40">
        <w:rPr>
          <w:rFonts w:ascii="Arial" w:hAnsi="Arial" w:cs="Arial"/>
          <w:color w:val="000000" w:themeColor="text1"/>
          <w:sz w:val="20"/>
          <w:szCs w:val="20"/>
        </w:rPr>
        <w:t>Kumar ,</w:t>
      </w:r>
      <w:proofErr w:type="gramEnd"/>
      <w:r w:rsidRPr="00CE3F40">
        <w:rPr>
          <w:rFonts w:ascii="Arial" w:hAnsi="Arial" w:cs="Arial"/>
          <w:color w:val="000000" w:themeColor="text1"/>
          <w:sz w:val="20"/>
          <w:szCs w:val="20"/>
        </w:rPr>
        <w:t xml:space="preserve"> J. N. S., Teja , M. R., Lokesh , T., Sruthi , D. S., Roja , M., </w:t>
      </w:r>
      <w:proofErr w:type="spellStart"/>
      <w:r w:rsidRPr="00CE3F40">
        <w:rPr>
          <w:rFonts w:ascii="Arial" w:hAnsi="Arial" w:cs="Arial"/>
          <w:color w:val="000000" w:themeColor="text1"/>
          <w:sz w:val="20"/>
          <w:szCs w:val="20"/>
        </w:rPr>
        <w:t>Vahedunnisa</w:t>
      </w:r>
      <w:proofErr w:type="spellEnd"/>
      <w:r w:rsidRPr="00CE3F40">
        <w:rPr>
          <w:rFonts w:ascii="Arial" w:hAnsi="Arial" w:cs="Arial"/>
          <w:color w:val="000000" w:themeColor="text1"/>
          <w:sz w:val="20"/>
          <w:szCs w:val="20"/>
        </w:rPr>
        <w:t xml:space="preserve"> , S. (2024). Development and assessment of hydroxypropyl methylcellulose-based floating tablets for ciprofloxacin HCl using direct compression technique. </w:t>
      </w:r>
      <w:r w:rsidRPr="00CE3F40">
        <w:rPr>
          <w:rStyle w:val="Emphasis"/>
          <w:rFonts w:ascii="Arial" w:hAnsi="Arial" w:cs="Arial"/>
          <w:i w:val="0"/>
          <w:color w:val="000000" w:themeColor="text1"/>
          <w:sz w:val="20"/>
          <w:szCs w:val="20"/>
        </w:rPr>
        <w:t>Journal of Pharmaceutical Research</w:t>
      </w:r>
      <w:r w:rsidRPr="00CE3F40">
        <w:rPr>
          <w:rStyle w:val="Emphasis"/>
          <w:rFonts w:ascii="Arial" w:hAnsi="Arial" w:cs="Arial"/>
          <w:color w:val="000000" w:themeColor="text1"/>
          <w:sz w:val="20"/>
          <w:szCs w:val="20"/>
        </w:rPr>
        <w:t xml:space="preserve"> International, 36</w:t>
      </w:r>
      <w:r w:rsidRPr="00CE3F40">
        <w:rPr>
          <w:rFonts w:ascii="Arial" w:hAnsi="Arial" w:cs="Arial"/>
          <w:color w:val="000000" w:themeColor="text1"/>
          <w:sz w:val="20"/>
          <w:szCs w:val="20"/>
        </w:rPr>
        <w:t xml:space="preserve">(3), 47–62. </w:t>
      </w:r>
      <w:hyperlink r:id="rId14" w:history="1">
        <w:r w:rsidRPr="00CE3F40">
          <w:rPr>
            <w:rStyle w:val="Hyperlink"/>
            <w:rFonts w:ascii="Arial" w:hAnsi="Arial" w:cs="Arial"/>
            <w:sz w:val="20"/>
            <w:szCs w:val="20"/>
          </w:rPr>
          <w:t>https://doi.org/10.9734/JPRI/2024/v36i37506</w:t>
        </w:r>
      </w:hyperlink>
      <w:r w:rsidRPr="00CE3F40">
        <w:rPr>
          <w:rFonts w:ascii="Arial" w:hAnsi="Arial" w:cs="Arial"/>
          <w:color w:val="000000" w:themeColor="text1"/>
          <w:sz w:val="20"/>
          <w:szCs w:val="20"/>
        </w:rPr>
        <w:t xml:space="preserve"> </w:t>
      </w:r>
    </w:p>
    <w:p w14:paraId="761F0372" w14:textId="77777777" w:rsidR="006045D4" w:rsidRPr="00CE3F40" w:rsidRDefault="006045D4"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Higuchi, T. (1961). Rate of release of medicaments from ointment bases containing drugs in suspension. </w:t>
      </w:r>
      <w:r w:rsidRPr="00CE3F40">
        <w:rPr>
          <w:rStyle w:val="Emphasis"/>
          <w:rFonts w:ascii="Arial" w:hAnsi="Arial" w:cs="Arial"/>
          <w:i w:val="0"/>
          <w:color w:val="000000" w:themeColor="text1"/>
          <w:sz w:val="20"/>
          <w:szCs w:val="20"/>
        </w:rPr>
        <w:t>Journal of Pharmaceutical Sciences,</w:t>
      </w:r>
      <w:r w:rsidRPr="00CE3F40">
        <w:rPr>
          <w:rStyle w:val="Emphasis"/>
          <w:rFonts w:ascii="Arial" w:hAnsi="Arial" w:cs="Arial"/>
          <w:color w:val="000000" w:themeColor="text1"/>
          <w:sz w:val="20"/>
          <w:szCs w:val="20"/>
        </w:rPr>
        <w:t xml:space="preserve"> 50</w:t>
      </w:r>
      <w:r w:rsidRPr="00CE3F40">
        <w:rPr>
          <w:rFonts w:ascii="Arial" w:hAnsi="Arial" w:cs="Arial"/>
          <w:color w:val="000000" w:themeColor="text1"/>
          <w:sz w:val="20"/>
          <w:szCs w:val="20"/>
        </w:rPr>
        <w:t xml:space="preserve">(10), 874–875. </w:t>
      </w:r>
      <w:hyperlink r:id="rId15" w:tgtFrame="_new" w:history="1">
        <w:r w:rsidRPr="00CE3F40">
          <w:rPr>
            <w:rStyle w:val="Hyperlink"/>
            <w:rFonts w:ascii="Arial" w:hAnsi="Arial" w:cs="Arial"/>
            <w:sz w:val="20"/>
            <w:szCs w:val="20"/>
          </w:rPr>
          <w:t>https://doi.org/10.1002/jps.2600501018</w:t>
        </w:r>
      </w:hyperlink>
    </w:p>
    <w:p w14:paraId="1ED42520" w14:textId="77777777" w:rsidR="006045D4" w:rsidRPr="00CE3F40" w:rsidRDefault="006045D4"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Higuchi, T. (1963). Mechanism of sustained-action medication: Theoretical analysis of rate of release </w:t>
      </w:r>
      <w:r w:rsidRPr="00920924">
        <w:rPr>
          <w:rFonts w:ascii="Arial" w:hAnsi="Arial" w:cs="Arial"/>
          <w:color w:val="000000" w:themeColor="text1"/>
          <w:sz w:val="20"/>
          <w:szCs w:val="20"/>
        </w:rPr>
        <w:t>of solid drugs dispersed in solid matrices</w:t>
      </w:r>
      <w:r w:rsidRPr="00CE3F40">
        <w:rPr>
          <w:rFonts w:ascii="Arial" w:hAnsi="Arial" w:cs="Arial"/>
          <w:i/>
          <w:color w:val="000000" w:themeColor="text1"/>
          <w:sz w:val="20"/>
          <w:szCs w:val="20"/>
        </w:rPr>
        <w:t xml:space="preserve">. </w:t>
      </w:r>
      <w:r w:rsidRPr="00CE3F40">
        <w:rPr>
          <w:rStyle w:val="Emphasis"/>
          <w:rFonts w:ascii="Arial" w:hAnsi="Arial" w:cs="Arial"/>
          <w:i w:val="0"/>
          <w:color w:val="000000" w:themeColor="text1"/>
          <w:sz w:val="20"/>
          <w:szCs w:val="20"/>
        </w:rPr>
        <w:t>Journal of Pharmaceutical Sciences, 52</w:t>
      </w:r>
      <w:r w:rsidRPr="00CE3F40">
        <w:rPr>
          <w:rFonts w:ascii="Arial" w:hAnsi="Arial" w:cs="Arial"/>
          <w:i/>
          <w:color w:val="000000" w:themeColor="text1"/>
          <w:sz w:val="20"/>
          <w:szCs w:val="20"/>
        </w:rPr>
        <w:t>(12), 1145–1149.</w:t>
      </w:r>
      <w:r w:rsidRPr="00CE3F40">
        <w:rPr>
          <w:rFonts w:ascii="Arial" w:hAnsi="Arial" w:cs="Arial"/>
          <w:color w:val="000000" w:themeColor="text1"/>
          <w:sz w:val="20"/>
          <w:szCs w:val="20"/>
        </w:rPr>
        <w:t xml:space="preserve"> </w:t>
      </w:r>
      <w:hyperlink r:id="rId16" w:tgtFrame="_new" w:history="1">
        <w:r w:rsidRPr="00CE3F40">
          <w:rPr>
            <w:rStyle w:val="Hyperlink"/>
            <w:rFonts w:ascii="Arial" w:hAnsi="Arial" w:cs="Arial"/>
            <w:sz w:val="20"/>
            <w:szCs w:val="20"/>
          </w:rPr>
          <w:t>https://doi.org/10.1002/jps.2600521210</w:t>
        </w:r>
      </w:hyperlink>
    </w:p>
    <w:p w14:paraId="7BBFBDBB" w14:textId="77777777" w:rsidR="006045D4" w:rsidRPr="00CE3F40" w:rsidRDefault="006045D4"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Jiménez-Castellanos, M. R., Zia, H., &amp; Rhodes, C. T. (1994). Design and testing in vitro of a </w:t>
      </w:r>
      <w:proofErr w:type="spellStart"/>
      <w:r w:rsidRPr="00CE3F40">
        <w:rPr>
          <w:rFonts w:ascii="Arial" w:hAnsi="Arial" w:cs="Arial"/>
          <w:color w:val="000000" w:themeColor="text1"/>
          <w:sz w:val="20"/>
          <w:szCs w:val="20"/>
        </w:rPr>
        <w:t>bioadhesive</w:t>
      </w:r>
      <w:proofErr w:type="spellEnd"/>
      <w:r w:rsidRPr="00CE3F40">
        <w:rPr>
          <w:rFonts w:ascii="Arial" w:hAnsi="Arial" w:cs="Arial"/>
          <w:color w:val="000000" w:themeColor="text1"/>
          <w:sz w:val="20"/>
          <w:szCs w:val="20"/>
        </w:rPr>
        <w:t xml:space="preserve"> and floating drug delivery system for oral application. </w:t>
      </w:r>
      <w:r w:rsidRPr="00CE3F40">
        <w:rPr>
          <w:rStyle w:val="Emphasis"/>
          <w:rFonts w:ascii="Arial" w:hAnsi="Arial" w:cs="Arial"/>
          <w:i w:val="0"/>
          <w:color w:val="000000" w:themeColor="text1"/>
          <w:sz w:val="20"/>
          <w:szCs w:val="20"/>
        </w:rPr>
        <w:t>International Journal of Pharmaceutics</w:t>
      </w:r>
      <w:r w:rsidRPr="00CE3F40">
        <w:rPr>
          <w:rFonts w:ascii="Arial" w:hAnsi="Arial" w:cs="Arial"/>
          <w:color w:val="000000" w:themeColor="text1"/>
          <w:sz w:val="20"/>
          <w:szCs w:val="20"/>
        </w:rPr>
        <w:t xml:space="preserve">. </w:t>
      </w:r>
      <w:hyperlink r:id="rId17" w:history="1">
        <w:r w:rsidRPr="00CE3F40">
          <w:rPr>
            <w:rStyle w:val="Hyperlink"/>
            <w:rFonts w:ascii="Arial" w:hAnsi="Arial" w:cs="Arial"/>
            <w:sz w:val="20"/>
            <w:szCs w:val="20"/>
          </w:rPr>
          <w:t>https://doi.org/10.1016/0378-5173(94)90236-4</w:t>
        </w:r>
      </w:hyperlink>
      <w:r w:rsidRPr="00CE3F40">
        <w:rPr>
          <w:rFonts w:ascii="Arial" w:hAnsi="Arial" w:cs="Arial"/>
          <w:color w:val="000000" w:themeColor="text1"/>
          <w:sz w:val="20"/>
          <w:szCs w:val="20"/>
        </w:rPr>
        <w:t xml:space="preserve"> </w:t>
      </w:r>
    </w:p>
    <w:p w14:paraId="48B87D11" w14:textId="2B4207C3" w:rsidR="006045D4" w:rsidRPr="00CE3F40" w:rsidRDefault="006045D4" w:rsidP="00CE3F40">
      <w:pPr>
        <w:pStyle w:val="NormalWeb"/>
        <w:numPr>
          <w:ilvl w:val="0"/>
          <w:numId w:val="10"/>
        </w:numPr>
        <w:spacing w:before="0" w:beforeAutospacing="0" w:after="0" w:afterAutospacing="0"/>
        <w:ind w:left="142" w:hanging="284"/>
        <w:jc w:val="both"/>
        <w:rPr>
          <w:rStyle w:val="Hyperlink"/>
          <w:rFonts w:ascii="Arial" w:hAnsi="Arial" w:cs="Arial"/>
          <w:color w:val="000000" w:themeColor="text1"/>
          <w:sz w:val="20"/>
          <w:szCs w:val="20"/>
          <w:u w:val="none"/>
        </w:rPr>
      </w:pPr>
      <w:r w:rsidRPr="00CE3F40">
        <w:rPr>
          <w:rFonts w:ascii="Arial" w:hAnsi="Arial" w:cs="Arial"/>
          <w:color w:val="000000" w:themeColor="text1"/>
          <w:sz w:val="20"/>
          <w:szCs w:val="20"/>
        </w:rPr>
        <w:t xml:space="preserve">Meka, V. S., Nali, S. R., Songa, A. S., Battu, J. R., &amp; </w:t>
      </w:r>
      <w:proofErr w:type="spellStart"/>
      <w:r w:rsidRPr="00CE3F40">
        <w:rPr>
          <w:rFonts w:ascii="Arial" w:hAnsi="Arial" w:cs="Arial"/>
          <w:color w:val="000000" w:themeColor="text1"/>
          <w:sz w:val="20"/>
          <w:szCs w:val="20"/>
        </w:rPr>
        <w:t>Kolapalli</w:t>
      </w:r>
      <w:proofErr w:type="spellEnd"/>
      <w:r w:rsidRPr="00CE3F40">
        <w:rPr>
          <w:rFonts w:ascii="Arial" w:hAnsi="Arial" w:cs="Arial"/>
          <w:color w:val="000000" w:themeColor="text1"/>
          <w:sz w:val="20"/>
          <w:szCs w:val="20"/>
        </w:rPr>
        <w:t xml:space="preserve">, V. R. M. (2012). Statistical optimization of a novel excipient (CMEC) based gastroretentive floating tablets of propranolol HCl and its in vivo buoyancy characterization in healthy human volunteers. </w:t>
      </w:r>
      <w:r w:rsidRPr="00CE3F40">
        <w:rPr>
          <w:rStyle w:val="Emphasis"/>
          <w:rFonts w:ascii="Arial" w:hAnsi="Arial" w:cs="Arial"/>
          <w:i w:val="0"/>
          <w:color w:val="000000" w:themeColor="text1"/>
          <w:sz w:val="20"/>
          <w:szCs w:val="20"/>
        </w:rPr>
        <w:t>DARU Journal of Pharmaceutical Sciences,</w:t>
      </w:r>
      <w:r w:rsidRPr="00CE3F40">
        <w:rPr>
          <w:rStyle w:val="Emphasis"/>
          <w:rFonts w:ascii="Arial" w:hAnsi="Arial" w:cs="Arial"/>
          <w:color w:val="000000" w:themeColor="text1"/>
          <w:sz w:val="20"/>
          <w:szCs w:val="20"/>
        </w:rPr>
        <w:t xml:space="preserve"> 20</w:t>
      </w:r>
      <w:r w:rsidRPr="00CE3F40">
        <w:rPr>
          <w:rFonts w:ascii="Arial" w:hAnsi="Arial" w:cs="Arial"/>
          <w:color w:val="000000" w:themeColor="text1"/>
          <w:sz w:val="20"/>
          <w:szCs w:val="20"/>
        </w:rPr>
        <w:t xml:space="preserve">(1), 21. </w:t>
      </w:r>
      <w:hyperlink r:id="rId18" w:tgtFrame="_new" w:history="1">
        <w:r w:rsidRPr="00CE3F40">
          <w:rPr>
            <w:rStyle w:val="Hyperlink"/>
            <w:rFonts w:ascii="Arial" w:hAnsi="Arial" w:cs="Arial"/>
            <w:sz w:val="20"/>
            <w:szCs w:val="20"/>
          </w:rPr>
          <w:t>https://doi.org/10.1186/2008-2231-20-21</w:t>
        </w:r>
      </w:hyperlink>
    </w:p>
    <w:p w14:paraId="2706EEEB" w14:textId="77777777"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Palem, C. R., Battu, S. K., </w:t>
      </w:r>
      <w:proofErr w:type="spellStart"/>
      <w:r w:rsidRPr="00CE3F40">
        <w:rPr>
          <w:rFonts w:ascii="Arial" w:hAnsi="Arial" w:cs="Arial"/>
          <w:color w:val="000000" w:themeColor="text1"/>
          <w:sz w:val="20"/>
          <w:szCs w:val="20"/>
        </w:rPr>
        <w:t>Gannu</w:t>
      </w:r>
      <w:proofErr w:type="spellEnd"/>
      <w:r w:rsidRPr="00CE3F40">
        <w:rPr>
          <w:rFonts w:ascii="Arial" w:hAnsi="Arial" w:cs="Arial"/>
          <w:color w:val="000000" w:themeColor="text1"/>
          <w:sz w:val="20"/>
          <w:szCs w:val="20"/>
        </w:rPr>
        <w:t xml:space="preserve">, R., Yamsani, V. V., Repka, M. A., &amp; Yamsani, M. R. (2012). Role of cyclodextrin complexation in felodipine-sustained release matrix tablets intended for oral transmucosal delivery: In vitro and ex vivo characterization. </w:t>
      </w:r>
      <w:r w:rsidRPr="00CE3F40">
        <w:rPr>
          <w:rStyle w:val="Emphasis"/>
          <w:rFonts w:ascii="Arial" w:hAnsi="Arial" w:cs="Arial"/>
          <w:i w:val="0"/>
          <w:color w:val="000000" w:themeColor="text1"/>
          <w:sz w:val="20"/>
          <w:szCs w:val="20"/>
        </w:rPr>
        <w:t>Pharmaceutical Development and Technology, 17</w:t>
      </w:r>
      <w:r w:rsidRPr="00CE3F40">
        <w:rPr>
          <w:rFonts w:ascii="Arial" w:hAnsi="Arial" w:cs="Arial"/>
          <w:i/>
          <w:color w:val="000000" w:themeColor="text1"/>
          <w:sz w:val="20"/>
          <w:szCs w:val="20"/>
        </w:rPr>
        <w:t xml:space="preserve">(3), </w:t>
      </w:r>
      <w:r w:rsidRPr="00CE3F40">
        <w:rPr>
          <w:rFonts w:ascii="Arial" w:hAnsi="Arial" w:cs="Arial"/>
          <w:color w:val="000000" w:themeColor="text1"/>
          <w:sz w:val="20"/>
          <w:szCs w:val="20"/>
        </w:rPr>
        <w:t xml:space="preserve">321–332. </w:t>
      </w:r>
      <w:hyperlink r:id="rId19" w:tgtFrame="_new" w:history="1">
        <w:r w:rsidRPr="00CE3F40">
          <w:rPr>
            <w:rStyle w:val="Hyperlink"/>
            <w:rFonts w:ascii="Arial" w:hAnsi="Arial" w:cs="Arial"/>
            <w:sz w:val="20"/>
            <w:szCs w:val="20"/>
          </w:rPr>
          <w:t>https://doi.org/10.3109/10837450.2010.535829</w:t>
        </w:r>
      </w:hyperlink>
    </w:p>
    <w:p w14:paraId="4B736107" w14:textId="77777777" w:rsidR="006045D4" w:rsidRPr="00CE3F40" w:rsidRDefault="006045D4"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Palem, C. R., </w:t>
      </w:r>
      <w:proofErr w:type="spellStart"/>
      <w:r w:rsidRPr="00CE3F40">
        <w:rPr>
          <w:rFonts w:ascii="Arial" w:hAnsi="Arial" w:cs="Arial"/>
          <w:color w:val="000000" w:themeColor="text1"/>
          <w:sz w:val="20"/>
          <w:szCs w:val="20"/>
        </w:rPr>
        <w:t>Dudhipala</w:t>
      </w:r>
      <w:proofErr w:type="spellEnd"/>
      <w:r w:rsidRPr="00CE3F40">
        <w:rPr>
          <w:rFonts w:ascii="Arial" w:hAnsi="Arial" w:cs="Arial"/>
          <w:color w:val="000000" w:themeColor="text1"/>
          <w:sz w:val="20"/>
          <w:szCs w:val="20"/>
        </w:rPr>
        <w:t xml:space="preserve">, N., Battu, S. K., Goda, S., Repka, M. A., &amp; Yamsani, M. R. (2015). Combined dosage form of pioglitazone and felodipine as mucoadhesive pellets via hot melt extrusion for improved buccal delivery with application of quality by design approach. </w:t>
      </w:r>
      <w:r w:rsidRPr="00CE3F40">
        <w:rPr>
          <w:rStyle w:val="Emphasis"/>
          <w:rFonts w:ascii="Arial" w:hAnsi="Arial" w:cs="Arial"/>
          <w:i w:val="0"/>
          <w:color w:val="000000" w:themeColor="text1"/>
          <w:sz w:val="20"/>
          <w:szCs w:val="20"/>
        </w:rPr>
        <w:t>Journal of Drug Delivery Science and Technology</w:t>
      </w:r>
      <w:r w:rsidRPr="00CE3F40">
        <w:rPr>
          <w:rStyle w:val="Emphasis"/>
          <w:rFonts w:ascii="Arial" w:hAnsi="Arial" w:cs="Arial"/>
          <w:color w:val="000000" w:themeColor="text1"/>
          <w:sz w:val="20"/>
          <w:szCs w:val="20"/>
        </w:rPr>
        <w:t>, 30</w:t>
      </w:r>
      <w:r w:rsidRPr="00CE3F40">
        <w:rPr>
          <w:rFonts w:ascii="Arial" w:hAnsi="Arial" w:cs="Arial"/>
          <w:color w:val="000000" w:themeColor="text1"/>
          <w:sz w:val="20"/>
          <w:szCs w:val="20"/>
        </w:rPr>
        <w:t xml:space="preserve">, 209–219. </w:t>
      </w:r>
      <w:hyperlink r:id="rId20" w:tgtFrame="_new" w:history="1">
        <w:r w:rsidRPr="00CE3F40">
          <w:rPr>
            <w:rStyle w:val="Hyperlink"/>
            <w:rFonts w:ascii="Arial" w:hAnsi="Arial" w:cs="Arial"/>
            <w:sz w:val="20"/>
            <w:szCs w:val="20"/>
          </w:rPr>
          <w:t>https://doi.org/10.1016/j.jddst.2015.10.017</w:t>
        </w:r>
      </w:hyperlink>
    </w:p>
    <w:p w14:paraId="4D96112B" w14:textId="77777777"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Palem, C. R., </w:t>
      </w:r>
      <w:proofErr w:type="spellStart"/>
      <w:r w:rsidRPr="00CE3F40">
        <w:rPr>
          <w:rFonts w:ascii="Arial" w:hAnsi="Arial" w:cs="Arial"/>
          <w:color w:val="000000" w:themeColor="text1"/>
          <w:sz w:val="20"/>
          <w:szCs w:val="20"/>
        </w:rPr>
        <w:t>Dudhipala</w:t>
      </w:r>
      <w:proofErr w:type="spellEnd"/>
      <w:r w:rsidRPr="00CE3F40">
        <w:rPr>
          <w:rFonts w:ascii="Arial" w:hAnsi="Arial" w:cs="Arial"/>
          <w:color w:val="000000" w:themeColor="text1"/>
          <w:sz w:val="20"/>
          <w:szCs w:val="20"/>
        </w:rPr>
        <w:t xml:space="preserve">, N. R., Battu, S. K., Repka, M. A., &amp; Yamsani, M. R. (2016). Development, optimization and in vivo characterization of domperidone-controlled release hot-melt-extruded films for buccal delivery. </w:t>
      </w:r>
      <w:r w:rsidRPr="00CE3F40">
        <w:rPr>
          <w:rStyle w:val="Emphasis"/>
          <w:rFonts w:ascii="Arial" w:hAnsi="Arial" w:cs="Arial"/>
          <w:i w:val="0"/>
          <w:color w:val="000000" w:themeColor="text1"/>
          <w:sz w:val="20"/>
          <w:szCs w:val="20"/>
        </w:rPr>
        <w:t>Drug Development and Industrial Pharmacy, 42</w:t>
      </w:r>
      <w:r w:rsidRPr="00CE3F40">
        <w:rPr>
          <w:rFonts w:ascii="Arial" w:hAnsi="Arial" w:cs="Arial"/>
          <w:i/>
          <w:color w:val="000000" w:themeColor="text1"/>
          <w:sz w:val="20"/>
          <w:szCs w:val="20"/>
        </w:rPr>
        <w:t>(3),</w:t>
      </w:r>
      <w:r w:rsidRPr="00CE3F40">
        <w:rPr>
          <w:rFonts w:ascii="Arial" w:hAnsi="Arial" w:cs="Arial"/>
          <w:color w:val="000000" w:themeColor="text1"/>
          <w:sz w:val="20"/>
          <w:szCs w:val="20"/>
        </w:rPr>
        <w:t xml:space="preserve"> 473–484. </w:t>
      </w:r>
      <w:hyperlink r:id="rId21" w:tgtFrame="_new" w:history="1">
        <w:r w:rsidRPr="00CE3F40">
          <w:rPr>
            <w:rStyle w:val="Hyperlink"/>
            <w:rFonts w:ascii="Arial" w:hAnsi="Arial" w:cs="Arial"/>
            <w:sz w:val="20"/>
            <w:szCs w:val="20"/>
          </w:rPr>
          <w:t>https://doi.org/10.3109/03639045.2015.1104346</w:t>
        </w:r>
      </w:hyperlink>
    </w:p>
    <w:p w14:paraId="04CF73AF" w14:textId="31CB823D"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Palem, C. R., </w:t>
      </w:r>
      <w:proofErr w:type="spellStart"/>
      <w:r w:rsidRPr="00CE3F40">
        <w:rPr>
          <w:rFonts w:ascii="Arial" w:hAnsi="Arial" w:cs="Arial"/>
          <w:color w:val="000000" w:themeColor="text1"/>
          <w:sz w:val="20"/>
          <w:szCs w:val="20"/>
        </w:rPr>
        <w:t>Gannu</w:t>
      </w:r>
      <w:proofErr w:type="spellEnd"/>
      <w:r w:rsidRPr="00CE3F40">
        <w:rPr>
          <w:rFonts w:ascii="Arial" w:hAnsi="Arial" w:cs="Arial"/>
          <w:color w:val="000000" w:themeColor="text1"/>
          <w:sz w:val="20"/>
          <w:szCs w:val="20"/>
        </w:rPr>
        <w:t xml:space="preserve">, R., Yamsani, S. K., Yamsani, V. V., &amp; Yamsani, M. R. (2011). Development of </w:t>
      </w:r>
      <w:proofErr w:type="spellStart"/>
      <w:r w:rsidRPr="00CE3F40">
        <w:rPr>
          <w:rFonts w:ascii="Arial" w:hAnsi="Arial" w:cs="Arial"/>
          <w:color w:val="000000" w:themeColor="text1"/>
          <w:sz w:val="20"/>
          <w:szCs w:val="20"/>
        </w:rPr>
        <w:t>bioadhesive</w:t>
      </w:r>
      <w:proofErr w:type="spellEnd"/>
      <w:r w:rsidRPr="00CE3F40">
        <w:rPr>
          <w:rFonts w:ascii="Arial" w:hAnsi="Arial" w:cs="Arial"/>
          <w:color w:val="000000" w:themeColor="text1"/>
          <w:sz w:val="20"/>
          <w:szCs w:val="20"/>
        </w:rPr>
        <w:t xml:space="preserve"> buccal tablets for felodipine and pioglitazone in combined dosage form: In vitro, ex vivo, and in vivo characterization. </w:t>
      </w:r>
      <w:r w:rsidRPr="00CE3F40">
        <w:rPr>
          <w:rFonts w:ascii="Arial" w:hAnsi="Arial" w:cs="Arial"/>
          <w:iCs/>
          <w:color w:val="000000" w:themeColor="text1"/>
          <w:sz w:val="20"/>
          <w:szCs w:val="20"/>
        </w:rPr>
        <w:t>Drug Delivery, 18</w:t>
      </w:r>
      <w:r w:rsidRPr="00CE3F40">
        <w:rPr>
          <w:rFonts w:ascii="Arial" w:hAnsi="Arial" w:cs="Arial"/>
          <w:color w:val="000000" w:themeColor="text1"/>
          <w:sz w:val="20"/>
          <w:szCs w:val="20"/>
        </w:rPr>
        <w:t xml:space="preserve">(5), 344–352. </w:t>
      </w:r>
      <w:hyperlink r:id="rId22" w:history="1">
        <w:r w:rsidRPr="00CE3F40">
          <w:rPr>
            <w:rStyle w:val="Hyperlink"/>
            <w:rFonts w:ascii="Arial" w:hAnsi="Arial" w:cs="Arial"/>
            <w:sz w:val="20"/>
            <w:szCs w:val="20"/>
          </w:rPr>
          <w:t>https://doi.org/10.3109/10717544.2011.557786</w:t>
        </w:r>
      </w:hyperlink>
    </w:p>
    <w:p w14:paraId="0734A85E" w14:textId="77777777"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Palem, C. R., Gumudevelli, S., Rendla, R., Srinija, G., &amp; Gumudevelli, S. (2025). Comprehensive review on the role of dietary acid load in health and its effect on different types of diabetes. </w:t>
      </w:r>
      <w:r w:rsidRPr="00CE3F40">
        <w:rPr>
          <w:rFonts w:ascii="Arial" w:hAnsi="Arial" w:cs="Arial"/>
          <w:iCs/>
          <w:color w:val="000000" w:themeColor="text1"/>
          <w:sz w:val="20"/>
          <w:szCs w:val="20"/>
        </w:rPr>
        <w:lastRenderedPageBreak/>
        <w:t>International Journal of Diabetes Research</w:t>
      </w:r>
      <w:r w:rsidRPr="00CE3F40">
        <w:rPr>
          <w:rFonts w:ascii="Arial" w:hAnsi="Arial" w:cs="Arial"/>
          <w:i/>
          <w:iCs/>
          <w:color w:val="000000" w:themeColor="text1"/>
          <w:sz w:val="20"/>
          <w:szCs w:val="20"/>
        </w:rPr>
        <w:t>, 7</w:t>
      </w:r>
      <w:r w:rsidRPr="00CE3F40">
        <w:rPr>
          <w:rFonts w:ascii="Arial" w:hAnsi="Arial" w:cs="Arial"/>
          <w:color w:val="000000" w:themeColor="text1"/>
          <w:sz w:val="20"/>
          <w:szCs w:val="20"/>
        </w:rPr>
        <w:t xml:space="preserve">(1), 45–53. </w:t>
      </w:r>
      <w:hyperlink r:id="rId23" w:tgtFrame="_new" w:history="1">
        <w:r w:rsidRPr="00CE3F40">
          <w:rPr>
            <w:rStyle w:val="Hyperlink"/>
            <w:rFonts w:ascii="Arial" w:hAnsi="Arial" w:cs="Arial"/>
            <w:sz w:val="20"/>
            <w:szCs w:val="20"/>
          </w:rPr>
          <w:t>https://doi.org/10.33545/26648822.2025.v7.i1a.26</w:t>
        </w:r>
      </w:hyperlink>
    </w:p>
    <w:p w14:paraId="7B710528" w14:textId="766D5A76" w:rsidR="00CE3F40" w:rsidRPr="00CE3F40" w:rsidRDefault="00CE3F40" w:rsidP="00CE3F40">
      <w:pPr>
        <w:pStyle w:val="NormalWeb"/>
        <w:numPr>
          <w:ilvl w:val="0"/>
          <w:numId w:val="10"/>
        </w:numPr>
        <w:spacing w:before="0" w:beforeAutospacing="0" w:after="0" w:afterAutospacing="0"/>
        <w:ind w:left="142" w:hanging="284"/>
        <w:jc w:val="both"/>
        <w:rPr>
          <w:rStyle w:val="Hyperlink"/>
          <w:rFonts w:ascii="Arial" w:hAnsi="Arial" w:cs="Arial"/>
          <w:sz w:val="20"/>
          <w:szCs w:val="20"/>
        </w:rPr>
      </w:pPr>
      <w:r w:rsidRPr="00CE3F40">
        <w:rPr>
          <w:rFonts w:ascii="Arial" w:hAnsi="Arial" w:cs="Arial"/>
          <w:color w:val="000000" w:themeColor="text1"/>
          <w:sz w:val="20"/>
          <w:szCs w:val="20"/>
        </w:rPr>
        <w:t xml:space="preserve">Palem, C. R., Noolu, P., Chilukoti, V., Balguri, P. R., Nagamalli, N. K., &amp; Gumudevelli, S. (2025). Design and evaluation of controlled-release floating metformin HCl tablets: Influence of binder and granulation process on buoyancy. </w:t>
      </w:r>
      <w:r w:rsidRPr="00CE3F40">
        <w:rPr>
          <w:rFonts w:ascii="Arial" w:hAnsi="Arial" w:cs="Arial"/>
          <w:iCs/>
          <w:color w:val="000000" w:themeColor="text1"/>
          <w:sz w:val="20"/>
          <w:szCs w:val="20"/>
        </w:rPr>
        <w:t>Journal of Pharmaceutical Research International, 37</w:t>
      </w:r>
      <w:r w:rsidRPr="00CE3F40">
        <w:rPr>
          <w:rFonts w:ascii="Arial" w:hAnsi="Arial" w:cs="Arial"/>
          <w:color w:val="000000" w:themeColor="text1"/>
          <w:sz w:val="20"/>
          <w:szCs w:val="20"/>
        </w:rPr>
        <w:t xml:space="preserve">(12), 234–244. </w:t>
      </w:r>
      <w:hyperlink r:id="rId24" w:tgtFrame="_new" w:history="1">
        <w:r w:rsidRPr="00CE3F40">
          <w:rPr>
            <w:rStyle w:val="Hyperlink"/>
            <w:rFonts w:ascii="Arial" w:hAnsi="Arial" w:cs="Arial"/>
            <w:sz w:val="20"/>
            <w:szCs w:val="20"/>
          </w:rPr>
          <w:t>https://doi.org/10.9734/jpri/2025/v37i127795</w:t>
        </w:r>
      </w:hyperlink>
    </w:p>
    <w:p w14:paraId="5DC52095" w14:textId="77777777"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Palem, C. R., Rendla, R., Nagamalli, N. K., Lekkala, V. K., &amp; Gumudevelli, S. (2025). A comprehensive review of current trends and regulatory frameworks in generic drug development. Journal of Pharmaceutical Sciences, 1(10), 16–27. </w:t>
      </w:r>
      <w:hyperlink r:id="rId25" w:history="1">
        <w:r w:rsidRPr="00CE3F40">
          <w:rPr>
            <w:rStyle w:val="Hyperlink"/>
            <w:rFonts w:ascii="Arial" w:hAnsi="Arial" w:cs="Arial"/>
            <w:sz w:val="20"/>
            <w:szCs w:val="20"/>
          </w:rPr>
          <w:t>https://zenodo.org/records/17297703</w:t>
        </w:r>
      </w:hyperlink>
      <w:r w:rsidRPr="00CE3F40">
        <w:rPr>
          <w:rStyle w:val="Hyperlink"/>
        </w:rPr>
        <w:t xml:space="preserve"> </w:t>
      </w:r>
    </w:p>
    <w:p w14:paraId="075FB77E" w14:textId="77777777"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Patel, M. B., Shaikh, F., Patel, V., &amp; Surti, N. I. (2016). Controlled-release effervescent floating matrix tablets of metformin using combination of polymers. </w:t>
      </w:r>
      <w:r w:rsidRPr="00CE3F40">
        <w:rPr>
          <w:rFonts w:ascii="Arial" w:hAnsi="Arial" w:cs="Arial"/>
          <w:iCs/>
          <w:color w:val="000000" w:themeColor="text1"/>
          <w:sz w:val="20"/>
          <w:szCs w:val="20"/>
        </w:rPr>
        <w:t>International Journal of Pharmacy and Pharmaceutical Sciences, 8</w:t>
      </w:r>
      <w:r w:rsidRPr="00CE3F40">
        <w:rPr>
          <w:rFonts w:ascii="Arial" w:hAnsi="Arial" w:cs="Arial"/>
          <w:color w:val="000000" w:themeColor="text1"/>
          <w:sz w:val="20"/>
          <w:szCs w:val="20"/>
        </w:rPr>
        <w:t xml:space="preserve">(11), 114–119. </w:t>
      </w:r>
      <w:hyperlink r:id="rId26" w:tgtFrame="_new" w:history="1">
        <w:r w:rsidRPr="00CE3F40">
          <w:rPr>
            <w:rStyle w:val="Hyperlink"/>
            <w:rFonts w:ascii="Arial" w:hAnsi="Arial" w:cs="Arial"/>
            <w:sz w:val="20"/>
            <w:szCs w:val="20"/>
          </w:rPr>
          <w:t>https://doi.org/10.22159/ijpps.2016v8i11.13806</w:t>
        </w:r>
      </w:hyperlink>
    </w:p>
    <w:p w14:paraId="3901C9C6" w14:textId="77777777"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Pawar, R., &amp; Jagdale, S. (2021). Evaluation of metformin hydrochloride floating drug delivery system: In vitro study and in vivo prediction. </w:t>
      </w:r>
      <w:r w:rsidRPr="00CE3F40">
        <w:rPr>
          <w:rStyle w:val="Emphasis"/>
          <w:rFonts w:ascii="Arial" w:hAnsi="Arial" w:cs="Arial"/>
          <w:i w:val="0"/>
          <w:color w:val="000000" w:themeColor="text1"/>
          <w:sz w:val="20"/>
          <w:szCs w:val="20"/>
        </w:rPr>
        <w:t>Journal of Pharmaceutical Research International,</w:t>
      </w:r>
      <w:r w:rsidRPr="00CE3F40">
        <w:rPr>
          <w:rStyle w:val="Emphasis"/>
          <w:rFonts w:ascii="Arial" w:hAnsi="Arial" w:cs="Arial"/>
          <w:color w:val="000000" w:themeColor="text1"/>
          <w:sz w:val="20"/>
          <w:szCs w:val="20"/>
        </w:rPr>
        <w:t xml:space="preserve"> 33</w:t>
      </w:r>
      <w:r w:rsidRPr="00CE3F40">
        <w:rPr>
          <w:rFonts w:ascii="Arial" w:hAnsi="Arial" w:cs="Arial"/>
          <w:color w:val="000000" w:themeColor="text1"/>
          <w:sz w:val="20"/>
          <w:szCs w:val="20"/>
        </w:rPr>
        <w:t xml:space="preserve">(40A), 143–155. </w:t>
      </w:r>
      <w:hyperlink r:id="rId27" w:history="1">
        <w:r w:rsidRPr="00CE3F40">
          <w:rPr>
            <w:rStyle w:val="Hyperlink"/>
            <w:rFonts w:ascii="Arial" w:hAnsi="Arial" w:cs="Arial"/>
            <w:sz w:val="20"/>
            <w:szCs w:val="20"/>
          </w:rPr>
          <w:t>https://doi.org/10.9734/JPRI/2021/v33i40A32231</w:t>
        </w:r>
      </w:hyperlink>
      <w:r w:rsidRPr="00CE3F40">
        <w:rPr>
          <w:rFonts w:ascii="Arial" w:hAnsi="Arial" w:cs="Arial"/>
          <w:color w:val="000000" w:themeColor="text1"/>
          <w:sz w:val="20"/>
          <w:szCs w:val="20"/>
        </w:rPr>
        <w:t xml:space="preserve"> </w:t>
      </w:r>
    </w:p>
    <w:p w14:paraId="218AC8F6" w14:textId="5DA0BF6E"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Rao, Y. M., </w:t>
      </w:r>
      <w:proofErr w:type="spellStart"/>
      <w:r w:rsidRPr="00CE3F40">
        <w:rPr>
          <w:rFonts w:ascii="Arial" w:hAnsi="Arial" w:cs="Arial"/>
          <w:color w:val="000000" w:themeColor="text1"/>
          <w:sz w:val="20"/>
          <w:szCs w:val="20"/>
        </w:rPr>
        <w:t>Dudhipala</w:t>
      </w:r>
      <w:proofErr w:type="spellEnd"/>
      <w:r w:rsidRPr="00CE3F40">
        <w:rPr>
          <w:rFonts w:ascii="Arial" w:hAnsi="Arial" w:cs="Arial"/>
          <w:color w:val="000000" w:themeColor="text1"/>
          <w:sz w:val="20"/>
          <w:szCs w:val="20"/>
        </w:rPr>
        <w:t xml:space="preserve">, N., Palem, C. R., &amp; Reddy, S. (2011). Pharmaceutical development and clinical pharmacokinetic evaluation of gastroretentive floating matrix tablets of levofloxacin. </w:t>
      </w:r>
      <w:r w:rsidRPr="00CE3F40">
        <w:rPr>
          <w:rFonts w:ascii="Arial" w:hAnsi="Arial" w:cs="Arial"/>
          <w:iCs/>
          <w:color w:val="000000" w:themeColor="text1"/>
          <w:sz w:val="20"/>
          <w:szCs w:val="20"/>
        </w:rPr>
        <w:t>International Journal of Pharmaceutical Sciences and Nanotechnology, 4</w:t>
      </w:r>
      <w:r w:rsidRPr="00CE3F40">
        <w:rPr>
          <w:rFonts w:ascii="Arial" w:hAnsi="Arial" w:cs="Arial"/>
          <w:color w:val="000000" w:themeColor="text1"/>
          <w:sz w:val="20"/>
          <w:szCs w:val="20"/>
        </w:rPr>
        <w:t xml:space="preserve">(3), 1463–1470. </w:t>
      </w:r>
      <w:r w:rsidRPr="00CE3F40">
        <w:rPr>
          <w:rStyle w:val="Hyperlink"/>
          <w:rFonts w:ascii="Arial" w:hAnsi="Arial" w:cs="Arial"/>
          <w:sz w:val="20"/>
          <w:szCs w:val="20"/>
        </w:rPr>
        <w:t>https://doi.org/10.37285/ijpsn.2011.4.3.4</w:t>
      </w:r>
    </w:p>
    <w:p w14:paraId="2B6BC2F0" w14:textId="6C884A94" w:rsidR="008F1CE0" w:rsidRPr="00920924" w:rsidRDefault="00CE3F40" w:rsidP="00CB4F5D">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920924">
        <w:rPr>
          <w:rFonts w:ascii="Arial" w:hAnsi="Arial" w:cs="Arial"/>
          <w:color w:val="000000" w:themeColor="text1"/>
          <w:sz w:val="20"/>
          <w:szCs w:val="20"/>
        </w:rPr>
        <w:t xml:space="preserve">Senjoti, F. G., Mahmood, S., Jaffri, J. M., &amp; Mandal, U. K. (2016). Design and in vitro evaluation of sustained release floating tablets of metformin HCl based on effervescence and swelling. </w:t>
      </w:r>
      <w:r w:rsidRPr="00920924">
        <w:rPr>
          <w:rStyle w:val="Emphasis"/>
          <w:rFonts w:ascii="Arial" w:hAnsi="Arial" w:cs="Arial"/>
          <w:i w:val="0"/>
          <w:color w:val="000000" w:themeColor="text1"/>
          <w:sz w:val="20"/>
          <w:szCs w:val="20"/>
        </w:rPr>
        <w:t>Iranian Journal of Pharmaceutical Research</w:t>
      </w:r>
      <w:r w:rsidRPr="00920924">
        <w:rPr>
          <w:rStyle w:val="Emphasis"/>
          <w:rFonts w:ascii="Arial" w:hAnsi="Arial" w:cs="Arial"/>
          <w:color w:val="000000" w:themeColor="text1"/>
          <w:sz w:val="20"/>
          <w:szCs w:val="20"/>
        </w:rPr>
        <w:t>, 15</w:t>
      </w:r>
      <w:r w:rsidRPr="00920924">
        <w:rPr>
          <w:rFonts w:ascii="Arial" w:hAnsi="Arial" w:cs="Arial"/>
          <w:color w:val="000000" w:themeColor="text1"/>
          <w:sz w:val="20"/>
          <w:szCs w:val="20"/>
        </w:rPr>
        <w:t xml:space="preserve">(1), 53–70. </w:t>
      </w:r>
      <w:hyperlink r:id="rId28" w:tgtFrame="_new" w:history="1">
        <w:r w:rsidRPr="00920924">
          <w:rPr>
            <w:rStyle w:val="Hyperlink"/>
            <w:rFonts w:ascii="Arial" w:hAnsi="Arial" w:cs="Arial"/>
            <w:sz w:val="20"/>
            <w:szCs w:val="20"/>
          </w:rPr>
          <w:t>https://doi.org/10.22037/IJPR.2016.1791</w:t>
        </w:r>
      </w:hyperlink>
      <w:r w:rsidR="00920924">
        <w:t>.</w:t>
      </w:r>
    </w:p>
    <w:sectPr w:rsidR="008F1CE0" w:rsidRPr="00920924" w:rsidSect="00582F21">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75B32" w14:textId="77777777" w:rsidR="00721356" w:rsidRDefault="00721356" w:rsidP="00687BB9">
      <w:pPr>
        <w:spacing w:after="0" w:line="240" w:lineRule="auto"/>
      </w:pPr>
      <w:r>
        <w:separator/>
      </w:r>
    </w:p>
  </w:endnote>
  <w:endnote w:type="continuationSeparator" w:id="0">
    <w:p w14:paraId="12F61C92" w14:textId="77777777" w:rsidR="00721356" w:rsidRDefault="00721356" w:rsidP="0068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bon">
    <w:altName w:val="Times New Roman"/>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67C24" w14:textId="77777777" w:rsidR="00582F21" w:rsidRDefault="00582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0F6C" w14:textId="77777777" w:rsidR="00582F21" w:rsidRDefault="00582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3436" w14:textId="77777777" w:rsidR="00582F21" w:rsidRDefault="00582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21BE5" w14:textId="77777777" w:rsidR="00721356" w:rsidRDefault="00721356" w:rsidP="00687BB9">
      <w:pPr>
        <w:spacing w:after="0" w:line="240" w:lineRule="auto"/>
      </w:pPr>
      <w:r>
        <w:separator/>
      </w:r>
    </w:p>
  </w:footnote>
  <w:footnote w:type="continuationSeparator" w:id="0">
    <w:p w14:paraId="02D0BFA7" w14:textId="77777777" w:rsidR="00721356" w:rsidRDefault="00721356" w:rsidP="00687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5A312" w14:textId="3CFD7D9B" w:rsidR="00582F21" w:rsidRDefault="00582F21">
    <w:pPr>
      <w:pStyle w:val="Header"/>
    </w:pPr>
    <w:r>
      <w:rPr>
        <w:noProof/>
      </w:rPr>
      <w:pict w14:anchorId="500DD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7168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12BA6" w14:textId="0D2909E3" w:rsidR="00582F21" w:rsidRDefault="00582F21">
    <w:pPr>
      <w:pStyle w:val="Header"/>
    </w:pPr>
    <w:r>
      <w:rPr>
        <w:noProof/>
      </w:rPr>
      <w:pict w14:anchorId="5535D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7169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B7D1" w14:textId="526C37CE" w:rsidR="00582F21" w:rsidRDefault="00582F21">
    <w:pPr>
      <w:pStyle w:val="Header"/>
    </w:pPr>
    <w:r>
      <w:rPr>
        <w:noProof/>
      </w:rPr>
      <w:pict w14:anchorId="3F30E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7168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88B"/>
    <w:multiLevelType w:val="multilevel"/>
    <w:tmpl w:val="F6DE4BBE"/>
    <w:lvl w:ilvl="0">
      <w:start w:val="2"/>
      <w:numFmt w:val="decimal"/>
      <w:lvlText w:val="%1"/>
      <w:lvlJc w:val="left"/>
      <w:pPr>
        <w:ind w:left="360" w:hanging="360"/>
      </w:pPr>
      <w:rPr>
        <w:rFonts w:hint="default"/>
        <w:b/>
        <w:color w:val="000000" w:themeColor="text1"/>
      </w:rPr>
    </w:lvl>
    <w:lvl w:ilvl="1">
      <w:start w:val="1"/>
      <w:numFmt w:val="decimal"/>
      <w:lvlText w:val="%1.%2"/>
      <w:lvlJc w:val="left"/>
      <w:pPr>
        <w:ind w:left="720" w:hanging="360"/>
      </w:pPr>
      <w:rPr>
        <w:rFonts w:hint="default"/>
        <w:b/>
        <w:color w:val="000000" w:themeColor="text1"/>
        <w:sz w:val="22"/>
        <w:szCs w:val="22"/>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1800" w:hanging="720"/>
      </w:pPr>
      <w:rPr>
        <w:rFonts w:hint="default"/>
        <w:b/>
        <w:color w:val="000000" w:themeColor="text1"/>
      </w:rPr>
    </w:lvl>
    <w:lvl w:ilvl="4">
      <w:start w:val="1"/>
      <w:numFmt w:val="decimal"/>
      <w:lvlText w:val="%1.%2.%3.%4.%5"/>
      <w:lvlJc w:val="left"/>
      <w:pPr>
        <w:ind w:left="2520" w:hanging="1080"/>
      </w:pPr>
      <w:rPr>
        <w:rFonts w:hint="default"/>
        <w:b/>
        <w:color w:val="000000" w:themeColor="text1"/>
      </w:rPr>
    </w:lvl>
    <w:lvl w:ilvl="5">
      <w:start w:val="1"/>
      <w:numFmt w:val="decimal"/>
      <w:lvlText w:val="%1.%2.%3.%4.%5.%6"/>
      <w:lvlJc w:val="left"/>
      <w:pPr>
        <w:ind w:left="2880" w:hanging="1080"/>
      </w:pPr>
      <w:rPr>
        <w:rFonts w:hint="default"/>
        <w:b/>
        <w:color w:val="000000" w:themeColor="text1"/>
      </w:rPr>
    </w:lvl>
    <w:lvl w:ilvl="6">
      <w:start w:val="1"/>
      <w:numFmt w:val="decimal"/>
      <w:lvlText w:val="%1.%2.%3.%4.%5.%6.%7"/>
      <w:lvlJc w:val="left"/>
      <w:pPr>
        <w:ind w:left="3600" w:hanging="1440"/>
      </w:pPr>
      <w:rPr>
        <w:rFonts w:hint="default"/>
        <w:b/>
        <w:color w:val="000000" w:themeColor="text1"/>
      </w:rPr>
    </w:lvl>
    <w:lvl w:ilvl="7">
      <w:start w:val="1"/>
      <w:numFmt w:val="decimal"/>
      <w:lvlText w:val="%1.%2.%3.%4.%5.%6.%7.%8"/>
      <w:lvlJc w:val="left"/>
      <w:pPr>
        <w:ind w:left="3960" w:hanging="1440"/>
      </w:pPr>
      <w:rPr>
        <w:rFonts w:hint="default"/>
        <w:b/>
        <w:color w:val="000000" w:themeColor="text1"/>
      </w:rPr>
    </w:lvl>
    <w:lvl w:ilvl="8">
      <w:start w:val="1"/>
      <w:numFmt w:val="decimal"/>
      <w:lvlText w:val="%1.%2.%3.%4.%5.%6.%7.%8.%9"/>
      <w:lvlJc w:val="left"/>
      <w:pPr>
        <w:ind w:left="4680" w:hanging="1800"/>
      </w:pPr>
      <w:rPr>
        <w:rFonts w:hint="default"/>
        <w:b/>
        <w:color w:val="000000" w:themeColor="text1"/>
      </w:rPr>
    </w:lvl>
  </w:abstractNum>
  <w:abstractNum w:abstractNumId="1" w15:restartNumberingAfterBreak="0">
    <w:nsid w:val="07D2369B"/>
    <w:multiLevelType w:val="multilevel"/>
    <w:tmpl w:val="4F26B56A"/>
    <w:lvl w:ilvl="0">
      <w:start w:val="3"/>
      <w:numFmt w:val="decimal"/>
      <w:lvlText w:val="%1"/>
      <w:lvlJc w:val="left"/>
      <w:pPr>
        <w:ind w:left="360" w:hanging="360"/>
      </w:pPr>
      <w:rPr>
        <w:rFonts w:hint="default"/>
        <w:color w:val="000000" w:themeColor="text1"/>
        <w:sz w:val="22"/>
      </w:rPr>
    </w:lvl>
    <w:lvl w:ilvl="1">
      <w:start w:val="1"/>
      <w:numFmt w:val="decimal"/>
      <w:lvlText w:val="%1.%2"/>
      <w:lvlJc w:val="left"/>
      <w:pPr>
        <w:ind w:left="720" w:hanging="360"/>
      </w:pPr>
      <w:rPr>
        <w:rFonts w:hint="default"/>
        <w:color w:val="000000" w:themeColor="text1"/>
        <w:sz w:val="22"/>
      </w:rPr>
    </w:lvl>
    <w:lvl w:ilvl="2">
      <w:start w:val="1"/>
      <w:numFmt w:val="decimal"/>
      <w:lvlText w:val="%1.%2.%3"/>
      <w:lvlJc w:val="left"/>
      <w:pPr>
        <w:ind w:left="1440" w:hanging="720"/>
      </w:pPr>
      <w:rPr>
        <w:rFonts w:hint="default"/>
        <w:color w:val="000000" w:themeColor="text1"/>
        <w:sz w:val="22"/>
      </w:rPr>
    </w:lvl>
    <w:lvl w:ilvl="3">
      <w:start w:val="1"/>
      <w:numFmt w:val="decimal"/>
      <w:lvlText w:val="%1.%2.%3.%4"/>
      <w:lvlJc w:val="left"/>
      <w:pPr>
        <w:ind w:left="1800" w:hanging="720"/>
      </w:pPr>
      <w:rPr>
        <w:rFonts w:hint="default"/>
        <w:color w:val="000000" w:themeColor="text1"/>
        <w:sz w:val="22"/>
      </w:rPr>
    </w:lvl>
    <w:lvl w:ilvl="4">
      <w:start w:val="1"/>
      <w:numFmt w:val="decimal"/>
      <w:lvlText w:val="%1.%2.%3.%4.%5"/>
      <w:lvlJc w:val="left"/>
      <w:pPr>
        <w:ind w:left="2520" w:hanging="1080"/>
      </w:pPr>
      <w:rPr>
        <w:rFonts w:hint="default"/>
        <w:color w:val="000000" w:themeColor="text1"/>
        <w:sz w:val="22"/>
      </w:rPr>
    </w:lvl>
    <w:lvl w:ilvl="5">
      <w:start w:val="1"/>
      <w:numFmt w:val="decimal"/>
      <w:lvlText w:val="%1.%2.%3.%4.%5.%6"/>
      <w:lvlJc w:val="left"/>
      <w:pPr>
        <w:ind w:left="2880" w:hanging="1080"/>
      </w:pPr>
      <w:rPr>
        <w:rFonts w:hint="default"/>
        <w:color w:val="000000" w:themeColor="text1"/>
        <w:sz w:val="22"/>
      </w:rPr>
    </w:lvl>
    <w:lvl w:ilvl="6">
      <w:start w:val="1"/>
      <w:numFmt w:val="decimal"/>
      <w:lvlText w:val="%1.%2.%3.%4.%5.%6.%7"/>
      <w:lvlJc w:val="left"/>
      <w:pPr>
        <w:ind w:left="3600" w:hanging="1440"/>
      </w:pPr>
      <w:rPr>
        <w:rFonts w:hint="default"/>
        <w:color w:val="000000" w:themeColor="text1"/>
        <w:sz w:val="22"/>
      </w:rPr>
    </w:lvl>
    <w:lvl w:ilvl="7">
      <w:start w:val="1"/>
      <w:numFmt w:val="decimal"/>
      <w:lvlText w:val="%1.%2.%3.%4.%5.%6.%7.%8"/>
      <w:lvlJc w:val="left"/>
      <w:pPr>
        <w:ind w:left="3960" w:hanging="1440"/>
      </w:pPr>
      <w:rPr>
        <w:rFonts w:hint="default"/>
        <w:color w:val="000000" w:themeColor="text1"/>
        <w:sz w:val="22"/>
      </w:rPr>
    </w:lvl>
    <w:lvl w:ilvl="8">
      <w:start w:val="1"/>
      <w:numFmt w:val="decimal"/>
      <w:lvlText w:val="%1.%2.%3.%4.%5.%6.%7.%8.%9"/>
      <w:lvlJc w:val="left"/>
      <w:pPr>
        <w:ind w:left="4680" w:hanging="1800"/>
      </w:pPr>
      <w:rPr>
        <w:rFonts w:hint="default"/>
        <w:color w:val="000000" w:themeColor="text1"/>
        <w:sz w:val="22"/>
      </w:rPr>
    </w:lvl>
  </w:abstractNum>
  <w:abstractNum w:abstractNumId="2" w15:restartNumberingAfterBreak="0">
    <w:nsid w:val="100253EC"/>
    <w:multiLevelType w:val="hybridMultilevel"/>
    <w:tmpl w:val="50D0D258"/>
    <w:lvl w:ilvl="0" w:tplc="3F00744E">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6103267"/>
    <w:multiLevelType w:val="hybridMultilevel"/>
    <w:tmpl w:val="CC1257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87E048C"/>
    <w:multiLevelType w:val="hybridMultilevel"/>
    <w:tmpl w:val="EE5E38AC"/>
    <w:lvl w:ilvl="0" w:tplc="AC105BA6">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DF5BEE"/>
    <w:multiLevelType w:val="hybridMultilevel"/>
    <w:tmpl w:val="E2429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E9B05D5"/>
    <w:multiLevelType w:val="hybridMultilevel"/>
    <w:tmpl w:val="B380AD90"/>
    <w:lvl w:ilvl="0" w:tplc="2348C35E">
      <w:start w:val="1"/>
      <w:numFmt w:val="decimal"/>
      <w:lvlText w:val="%1."/>
      <w:lvlJc w:val="left"/>
      <w:pPr>
        <w:ind w:left="720" w:hanging="360"/>
      </w:pPr>
      <w:rPr>
        <w:rFonts w:hint="default"/>
        <w:b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E12AAF"/>
    <w:multiLevelType w:val="multilevel"/>
    <w:tmpl w:val="90D0E108"/>
    <w:lvl w:ilvl="0">
      <w:start w:val="3"/>
      <w:numFmt w:val="decimal"/>
      <w:lvlText w:val="%1"/>
      <w:lvlJc w:val="left"/>
      <w:pPr>
        <w:ind w:left="360" w:hanging="360"/>
      </w:pPr>
      <w:rPr>
        <w:rFonts w:hint="default"/>
        <w:color w:val="000000" w:themeColor="text1"/>
        <w:sz w:val="22"/>
      </w:rPr>
    </w:lvl>
    <w:lvl w:ilvl="1">
      <w:start w:val="1"/>
      <w:numFmt w:val="decimal"/>
      <w:lvlText w:val="%1.%2"/>
      <w:lvlJc w:val="left"/>
      <w:pPr>
        <w:ind w:left="360" w:hanging="360"/>
      </w:pPr>
      <w:rPr>
        <w:rFonts w:hint="default"/>
        <w:color w:val="000000" w:themeColor="text1"/>
        <w:sz w:val="22"/>
      </w:rPr>
    </w:lvl>
    <w:lvl w:ilvl="2">
      <w:start w:val="1"/>
      <w:numFmt w:val="decimal"/>
      <w:lvlText w:val="%1.%2.%3"/>
      <w:lvlJc w:val="left"/>
      <w:pPr>
        <w:ind w:left="720" w:hanging="720"/>
      </w:pPr>
      <w:rPr>
        <w:rFonts w:hint="default"/>
        <w:color w:val="000000" w:themeColor="text1"/>
        <w:sz w:val="22"/>
      </w:rPr>
    </w:lvl>
    <w:lvl w:ilvl="3">
      <w:start w:val="1"/>
      <w:numFmt w:val="decimal"/>
      <w:lvlText w:val="%1.%2.%3.%4"/>
      <w:lvlJc w:val="left"/>
      <w:pPr>
        <w:ind w:left="720" w:hanging="720"/>
      </w:pPr>
      <w:rPr>
        <w:rFonts w:hint="default"/>
        <w:color w:val="000000" w:themeColor="text1"/>
        <w:sz w:val="22"/>
      </w:rPr>
    </w:lvl>
    <w:lvl w:ilvl="4">
      <w:start w:val="1"/>
      <w:numFmt w:val="decimal"/>
      <w:lvlText w:val="%1.%2.%3.%4.%5"/>
      <w:lvlJc w:val="left"/>
      <w:pPr>
        <w:ind w:left="1080" w:hanging="1080"/>
      </w:pPr>
      <w:rPr>
        <w:rFonts w:hint="default"/>
        <w:color w:val="000000" w:themeColor="text1"/>
        <w:sz w:val="22"/>
      </w:rPr>
    </w:lvl>
    <w:lvl w:ilvl="5">
      <w:start w:val="1"/>
      <w:numFmt w:val="decimal"/>
      <w:lvlText w:val="%1.%2.%3.%4.%5.%6"/>
      <w:lvlJc w:val="left"/>
      <w:pPr>
        <w:ind w:left="1080" w:hanging="1080"/>
      </w:pPr>
      <w:rPr>
        <w:rFonts w:hint="default"/>
        <w:color w:val="000000" w:themeColor="text1"/>
        <w:sz w:val="22"/>
      </w:rPr>
    </w:lvl>
    <w:lvl w:ilvl="6">
      <w:start w:val="1"/>
      <w:numFmt w:val="decimal"/>
      <w:lvlText w:val="%1.%2.%3.%4.%5.%6.%7"/>
      <w:lvlJc w:val="left"/>
      <w:pPr>
        <w:ind w:left="1440" w:hanging="1440"/>
      </w:pPr>
      <w:rPr>
        <w:rFonts w:hint="default"/>
        <w:color w:val="000000" w:themeColor="text1"/>
        <w:sz w:val="22"/>
      </w:rPr>
    </w:lvl>
    <w:lvl w:ilvl="7">
      <w:start w:val="1"/>
      <w:numFmt w:val="decimal"/>
      <w:lvlText w:val="%1.%2.%3.%4.%5.%6.%7.%8"/>
      <w:lvlJc w:val="left"/>
      <w:pPr>
        <w:ind w:left="1440" w:hanging="1440"/>
      </w:pPr>
      <w:rPr>
        <w:rFonts w:hint="default"/>
        <w:color w:val="000000" w:themeColor="text1"/>
        <w:sz w:val="22"/>
      </w:rPr>
    </w:lvl>
    <w:lvl w:ilvl="8">
      <w:start w:val="1"/>
      <w:numFmt w:val="decimal"/>
      <w:lvlText w:val="%1.%2.%3.%4.%5.%6.%7.%8.%9"/>
      <w:lvlJc w:val="left"/>
      <w:pPr>
        <w:ind w:left="1800" w:hanging="1800"/>
      </w:pPr>
      <w:rPr>
        <w:rFonts w:hint="default"/>
        <w:color w:val="000000" w:themeColor="text1"/>
        <w:sz w:val="22"/>
      </w:rPr>
    </w:lvl>
  </w:abstractNum>
  <w:abstractNum w:abstractNumId="8" w15:restartNumberingAfterBreak="0">
    <w:nsid w:val="7271345E"/>
    <w:multiLevelType w:val="hybridMultilevel"/>
    <w:tmpl w:val="E2429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F2D22DB"/>
    <w:multiLevelType w:val="hybridMultilevel"/>
    <w:tmpl w:val="E2429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7"/>
  </w:num>
  <w:num w:numId="6">
    <w:abstractNumId w:val="9"/>
  </w:num>
  <w:num w:numId="7">
    <w:abstractNumId w:val="2"/>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1A"/>
    <w:rsid w:val="00017026"/>
    <w:rsid w:val="000329FB"/>
    <w:rsid w:val="000342B3"/>
    <w:rsid w:val="00036733"/>
    <w:rsid w:val="00040798"/>
    <w:rsid w:val="00053E29"/>
    <w:rsid w:val="00090823"/>
    <w:rsid w:val="000922B6"/>
    <w:rsid w:val="000E1911"/>
    <w:rsid w:val="000E1DA7"/>
    <w:rsid w:val="000E241D"/>
    <w:rsid w:val="000E5746"/>
    <w:rsid w:val="000F40E9"/>
    <w:rsid w:val="00110A7E"/>
    <w:rsid w:val="00116429"/>
    <w:rsid w:val="00124402"/>
    <w:rsid w:val="00143118"/>
    <w:rsid w:val="0015626A"/>
    <w:rsid w:val="0016749A"/>
    <w:rsid w:val="00182721"/>
    <w:rsid w:val="001A3CB9"/>
    <w:rsid w:val="001B4A6A"/>
    <w:rsid w:val="001C7447"/>
    <w:rsid w:val="001D2E1A"/>
    <w:rsid w:val="001E3B50"/>
    <w:rsid w:val="001F3C4D"/>
    <w:rsid w:val="002239CE"/>
    <w:rsid w:val="0023010B"/>
    <w:rsid w:val="00244218"/>
    <w:rsid w:val="00251AD1"/>
    <w:rsid w:val="002540BC"/>
    <w:rsid w:val="002549F2"/>
    <w:rsid w:val="0027341D"/>
    <w:rsid w:val="00275A69"/>
    <w:rsid w:val="002A5269"/>
    <w:rsid w:val="002C1B40"/>
    <w:rsid w:val="002D0188"/>
    <w:rsid w:val="00364CED"/>
    <w:rsid w:val="003B6DE9"/>
    <w:rsid w:val="003C2DF6"/>
    <w:rsid w:val="003C7389"/>
    <w:rsid w:val="003D40E9"/>
    <w:rsid w:val="003E2FD4"/>
    <w:rsid w:val="003E4373"/>
    <w:rsid w:val="003E4A5F"/>
    <w:rsid w:val="004310E9"/>
    <w:rsid w:val="00435CFD"/>
    <w:rsid w:val="004472A6"/>
    <w:rsid w:val="00452E41"/>
    <w:rsid w:val="004614C9"/>
    <w:rsid w:val="004A5B40"/>
    <w:rsid w:val="004F694E"/>
    <w:rsid w:val="00524977"/>
    <w:rsid w:val="0056256A"/>
    <w:rsid w:val="00574107"/>
    <w:rsid w:val="00580C04"/>
    <w:rsid w:val="00582F21"/>
    <w:rsid w:val="00582FA5"/>
    <w:rsid w:val="00592C58"/>
    <w:rsid w:val="005A55AF"/>
    <w:rsid w:val="005A7CB7"/>
    <w:rsid w:val="005B240A"/>
    <w:rsid w:val="005E2E1C"/>
    <w:rsid w:val="005E3D43"/>
    <w:rsid w:val="005F7986"/>
    <w:rsid w:val="006045D4"/>
    <w:rsid w:val="00632C60"/>
    <w:rsid w:val="006444C2"/>
    <w:rsid w:val="00660151"/>
    <w:rsid w:val="00687BB9"/>
    <w:rsid w:val="00697F85"/>
    <w:rsid w:val="006B7382"/>
    <w:rsid w:val="006C7E0A"/>
    <w:rsid w:val="006E24EB"/>
    <w:rsid w:val="006E5588"/>
    <w:rsid w:val="006E6DD4"/>
    <w:rsid w:val="006F36CF"/>
    <w:rsid w:val="00702595"/>
    <w:rsid w:val="00712103"/>
    <w:rsid w:val="00713D57"/>
    <w:rsid w:val="00721356"/>
    <w:rsid w:val="007A6F55"/>
    <w:rsid w:val="007D5EC3"/>
    <w:rsid w:val="007E4BBA"/>
    <w:rsid w:val="007F5A3B"/>
    <w:rsid w:val="00860065"/>
    <w:rsid w:val="00866A50"/>
    <w:rsid w:val="00870D37"/>
    <w:rsid w:val="00873813"/>
    <w:rsid w:val="00880E98"/>
    <w:rsid w:val="008A2743"/>
    <w:rsid w:val="008A4152"/>
    <w:rsid w:val="008E36BC"/>
    <w:rsid w:val="008F13E1"/>
    <w:rsid w:val="008F1CE0"/>
    <w:rsid w:val="00910128"/>
    <w:rsid w:val="0091367D"/>
    <w:rsid w:val="00920924"/>
    <w:rsid w:val="00925A3B"/>
    <w:rsid w:val="009417A1"/>
    <w:rsid w:val="009425F1"/>
    <w:rsid w:val="0095632C"/>
    <w:rsid w:val="0096282E"/>
    <w:rsid w:val="009829AA"/>
    <w:rsid w:val="009850B6"/>
    <w:rsid w:val="00987F30"/>
    <w:rsid w:val="00995845"/>
    <w:rsid w:val="00996504"/>
    <w:rsid w:val="009B5403"/>
    <w:rsid w:val="009C7264"/>
    <w:rsid w:val="009D1B33"/>
    <w:rsid w:val="009F28A4"/>
    <w:rsid w:val="00A11C35"/>
    <w:rsid w:val="00A16A4A"/>
    <w:rsid w:val="00A276F5"/>
    <w:rsid w:val="00A4176A"/>
    <w:rsid w:val="00A451A5"/>
    <w:rsid w:val="00A474B5"/>
    <w:rsid w:val="00A77AB2"/>
    <w:rsid w:val="00A86261"/>
    <w:rsid w:val="00AC0E2C"/>
    <w:rsid w:val="00AD05FF"/>
    <w:rsid w:val="00AD271A"/>
    <w:rsid w:val="00AF13AB"/>
    <w:rsid w:val="00B35506"/>
    <w:rsid w:val="00B36BC5"/>
    <w:rsid w:val="00B4041D"/>
    <w:rsid w:val="00B467B8"/>
    <w:rsid w:val="00B53912"/>
    <w:rsid w:val="00B5619E"/>
    <w:rsid w:val="00B82BFF"/>
    <w:rsid w:val="00B96BC4"/>
    <w:rsid w:val="00BC3865"/>
    <w:rsid w:val="00BF3655"/>
    <w:rsid w:val="00C078E5"/>
    <w:rsid w:val="00C2418B"/>
    <w:rsid w:val="00C263BA"/>
    <w:rsid w:val="00C747CA"/>
    <w:rsid w:val="00C927EC"/>
    <w:rsid w:val="00CA32BD"/>
    <w:rsid w:val="00CA6316"/>
    <w:rsid w:val="00CB4F5D"/>
    <w:rsid w:val="00CC328E"/>
    <w:rsid w:val="00CD7056"/>
    <w:rsid w:val="00CE3F40"/>
    <w:rsid w:val="00CF3298"/>
    <w:rsid w:val="00D16A3E"/>
    <w:rsid w:val="00D44776"/>
    <w:rsid w:val="00D51B76"/>
    <w:rsid w:val="00D56C5C"/>
    <w:rsid w:val="00D7504D"/>
    <w:rsid w:val="00DA2C45"/>
    <w:rsid w:val="00DA4416"/>
    <w:rsid w:val="00DB480E"/>
    <w:rsid w:val="00DD073E"/>
    <w:rsid w:val="00DD703A"/>
    <w:rsid w:val="00DE3D91"/>
    <w:rsid w:val="00DE5C84"/>
    <w:rsid w:val="00DE767F"/>
    <w:rsid w:val="00DF02A6"/>
    <w:rsid w:val="00E1611E"/>
    <w:rsid w:val="00E45DC1"/>
    <w:rsid w:val="00E504E5"/>
    <w:rsid w:val="00E51D94"/>
    <w:rsid w:val="00E8082A"/>
    <w:rsid w:val="00E94C7C"/>
    <w:rsid w:val="00EA0614"/>
    <w:rsid w:val="00EA384B"/>
    <w:rsid w:val="00ED255D"/>
    <w:rsid w:val="00F07848"/>
    <w:rsid w:val="00F22453"/>
    <w:rsid w:val="00F46C90"/>
    <w:rsid w:val="00F548EC"/>
    <w:rsid w:val="00F93320"/>
    <w:rsid w:val="00FF26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791A79"/>
  <w15:chartTrackingRefBased/>
  <w15:docId w15:val="{F87A3204-ECDA-4EA8-9C79-3C4E6A11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C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7B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255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276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link w:val="HeaderChar"/>
    <w:unhideWhenUsed/>
    <w:rsid w:val="0096282E"/>
    <w:pPr>
      <w:tabs>
        <w:tab w:val="center" w:pos="4513"/>
        <w:tab w:val="right" w:pos="9026"/>
      </w:tabs>
      <w:spacing w:after="0" w:line="240" w:lineRule="auto"/>
    </w:pPr>
  </w:style>
  <w:style w:type="character" w:customStyle="1" w:styleId="HeaderChar">
    <w:name w:val="Header Char"/>
    <w:aliases w:val="Header Char1 Char,Header Char Char Char"/>
    <w:basedOn w:val="DefaultParagraphFont"/>
    <w:link w:val="Header"/>
    <w:rsid w:val="0096282E"/>
  </w:style>
  <w:style w:type="character" w:customStyle="1" w:styleId="Heading3Char">
    <w:name w:val="Heading 3 Char"/>
    <w:basedOn w:val="DefaultParagraphFont"/>
    <w:link w:val="Heading3"/>
    <w:uiPriority w:val="9"/>
    <w:rsid w:val="00ED255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ED255D"/>
    <w:rPr>
      <w:b/>
      <w:bCs/>
    </w:rPr>
  </w:style>
  <w:style w:type="paragraph" w:styleId="NormalWeb">
    <w:name w:val="Normal (Web)"/>
    <w:basedOn w:val="Normal"/>
    <w:uiPriority w:val="99"/>
    <w:unhideWhenUsed/>
    <w:rsid w:val="00ED255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2">
    <w:name w:val="A2"/>
    <w:uiPriority w:val="99"/>
    <w:rsid w:val="001A3CB9"/>
    <w:rPr>
      <w:b/>
      <w:bCs/>
      <w:color w:val="000000"/>
      <w:sz w:val="20"/>
      <w:szCs w:val="20"/>
    </w:rPr>
  </w:style>
  <w:style w:type="paragraph" w:customStyle="1" w:styleId="NormalBody">
    <w:name w:val="NormalBody"/>
    <w:basedOn w:val="Normal"/>
    <w:rsid w:val="00CA32BD"/>
    <w:pPr>
      <w:spacing w:after="270" w:line="270" w:lineRule="atLeast"/>
    </w:pPr>
    <w:rPr>
      <w:rFonts w:ascii="Sabon" w:eastAsia="Times New Roman" w:hAnsi="Sabon" w:cs="Times New Roman"/>
      <w:szCs w:val="20"/>
      <w:lang w:val="en-US"/>
    </w:rPr>
  </w:style>
  <w:style w:type="table" w:styleId="TableGrid">
    <w:name w:val="Table Grid"/>
    <w:basedOn w:val="TableNormal"/>
    <w:uiPriority w:val="59"/>
    <w:rsid w:val="006C7E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0D37"/>
    <w:rPr>
      <w:i/>
      <w:iCs/>
    </w:rPr>
  </w:style>
  <w:style w:type="character" w:customStyle="1" w:styleId="Heading1Char">
    <w:name w:val="Heading 1 Char"/>
    <w:basedOn w:val="DefaultParagraphFont"/>
    <w:link w:val="Heading1"/>
    <w:uiPriority w:val="9"/>
    <w:rsid w:val="00A11C35"/>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A276F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0342B3"/>
    <w:pPr>
      <w:ind w:left="720"/>
      <w:contextualSpacing/>
    </w:pPr>
    <w:rPr>
      <w:lang w:val="en-US"/>
    </w:rPr>
  </w:style>
  <w:style w:type="character" w:styleId="Hyperlink">
    <w:name w:val="Hyperlink"/>
    <w:basedOn w:val="DefaultParagraphFont"/>
    <w:uiPriority w:val="99"/>
    <w:unhideWhenUsed/>
    <w:rsid w:val="000342B3"/>
    <w:rPr>
      <w:color w:val="0000FF"/>
      <w:u w:val="single"/>
    </w:rPr>
  </w:style>
  <w:style w:type="character" w:customStyle="1" w:styleId="A6">
    <w:name w:val="A6"/>
    <w:uiPriority w:val="99"/>
    <w:rsid w:val="000342B3"/>
    <w:rPr>
      <w:rFonts w:cs="Minion Pro"/>
      <w:color w:val="221E1F"/>
      <w:sz w:val="18"/>
      <w:szCs w:val="18"/>
    </w:rPr>
  </w:style>
  <w:style w:type="character" w:customStyle="1" w:styleId="Heading2Char">
    <w:name w:val="Heading 2 Char"/>
    <w:basedOn w:val="DefaultParagraphFont"/>
    <w:link w:val="Heading2"/>
    <w:uiPriority w:val="9"/>
    <w:rsid w:val="00687BB9"/>
    <w:rPr>
      <w:rFonts w:asciiTheme="majorHAnsi" w:eastAsiaTheme="majorEastAsia" w:hAnsiTheme="majorHAnsi" w:cstheme="majorBidi"/>
      <w:color w:val="2F5496" w:themeColor="accent1" w:themeShade="BF"/>
      <w:sz w:val="26"/>
      <w:szCs w:val="26"/>
    </w:rPr>
  </w:style>
  <w:style w:type="paragraph" w:customStyle="1" w:styleId="Author">
    <w:name w:val="Author"/>
    <w:basedOn w:val="Normal"/>
    <w:rsid w:val="00687BB9"/>
    <w:pPr>
      <w:spacing w:after="0" w:line="280" w:lineRule="exact"/>
      <w:jc w:val="right"/>
    </w:pPr>
    <w:rPr>
      <w:rFonts w:ascii="Helvetica" w:eastAsia="Times New Roman" w:hAnsi="Helvetica" w:cs="Times New Roman"/>
      <w:b/>
      <w:sz w:val="24"/>
      <w:szCs w:val="20"/>
      <w:lang w:val="en-US"/>
    </w:rPr>
  </w:style>
  <w:style w:type="paragraph" w:styleId="NoSpacing">
    <w:name w:val="No Spacing"/>
    <w:uiPriority w:val="1"/>
    <w:qFormat/>
    <w:rsid w:val="00687BB9"/>
    <w:pPr>
      <w:spacing w:after="0" w:line="240" w:lineRule="auto"/>
      <w:jc w:val="both"/>
    </w:pPr>
    <w:rPr>
      <w:rFonts w:ascii="Palatino Linotype" w:eastAsia="SimSun" w:hAnsi="Palatino Linotype" w:cs="Times New Roman"/>
      <w:noProof/>
      <w:color w:val="000000"/>
      <w:sz w:val="20"/>
      <w:szCs w:val="20"/>
      <w:lang w:val="en-US" w:eastAsia="zh-CN"/>
    </w:rPr>
  </w:style>
  <w:style w:type="paragraph" w:customStyle="1" w:styleId="Body">
    <w:name w:val="Body"/>
    <w:basedOn w:val="Normal"/>
    <w:rsid w:val="00687BB9"/>
    <w:pPr>
      <w:spacing w:after="240" w:line="240" w:lineRule="auto"/>
      <w:jc w:val="both"/>
    </w:pPr>
    <w:rPr>
      <w:rFonts w:ascii="Helvetica" w:eastAsia="Times New Roman" w:hAnsi="Helvetica" w:cs="Times New Roman"/>
      <w:sz w:val="20"/>
      <w:szCs w:val="20"/>
      <w:lang w:val="en-US"/>
    </w:rPr>
  </w:style>
  <w:style w:type="paragraph" w:styleId="Footer">
    <w:name w:val="footer"/>
    <w:basedOn w:val="Normal"/>
    <w:link w:val="FooterChar"/>
    <w:uiPriority w:val="99"/>
    <w:unhideWhenUsed/>
    <w:rsid w:val="00687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BB9"/>
  </w:style>
  <w:style w:type="character" w:styleId="FollowedHyperlink">
    <w:name w:val="FollowedHyperlink"/>
    <w:basedOn w:val="DefaultParagraphFont"/>
    <w:uiPriority w:val="99"/>
    <w:semiHidden/>
    <w:unhideWhenUsed/>
    <w:rsid w:val="00143118"/>
    <w:rPr>
      <w:color w:val="954F72" w:themeColor="followedHyperlink"/>
      <w:u w:val="single"/>
    </w:rPr>
  </w:style>
  <w:style w:type="character" w:styleId="LineNumber">
    <w:name w:val="line number"/>
    <w:basedOn w:val="DefaultParagraphFont"/>
    <w:uiPriority w:val="99"/>
    <w:semiHidden/>
    <w:unhideWhenUsed/>
    <w:rsid w:val="00EA0614"/>
  </w:style>
  <w:style w:type="character" w:styleId="UnresolvedMention">
    <w:name w:val="Unresolved Mention"/>
    <w:basedOn w:val="DefaultParagraphFont"/>
    <w:uiPriority w:val="99"/>
    <w:semiHidden/>
    <w:unhideWhenUsed/>
    <w:rsid w:val="00AD0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7855">
      <w:bodyDiv w:val="1"/>
      <w:marLeft w:val="0"/>
      <w:marRight w:val="0"/>
      <w:marTop w:val="0"/>
      <w:marBottom w:val="0"/>
      <w:divBdr>
        <w:top w:val="none" w:sz="0" w:space="0" w:color="auto"/>
        <w:left w:val="none" w:sz="0" w:space="0" w:color="auto"/>
        <w:bottom w:val="none" w:sz="0" w:space="0" w:color="auto"/>
        <w:right w:val="none" w:sz="0" w:space="0" w:color="auto"/>
      </w:divBdr>
    </w:div>
    <w:div w:id="92634782">
      <w:bodyDiv w:val="1"/>
      <w:marLeft w:val="0"/>
      <w:marRight w:val="0"/>
      <w:marTop w:val="0"/>
      <w:marBottom w:val="0"/>
      <w:divBdr>
        <w:top w:val="none" w:sz="0" w:space="0" w:color="auto"/>
        <w:left w:val="none" w:sz="0" w:space="0" w:color="auto"/>
        <w:bottom w:val="none" w:sz="0" w:space="0" w:color="auto"/>
        <w:right w:val="none" w:sz="0" w:space="0" w:color="auto"/>
      </w:divBdr>
    </w:div>
    <w:div w:id="134954415">
      <w:bodyDiv w:val="1"/>
      <w:marLeft w:val="0"/>
      <w:marRight w:val="0"/>
      <w:marTop w:val="0"/>
      <w:marBottom w:val="0"/>
      <w:divBdr>
        <w:top w:val="none" w:sz="0" w:space="0" w:color="auto"/>
        <w:left w:val="none" w:sz="0" w:space="0" w:color="auto"/>
        <w:bottom w:val="none" w:sz="0" w:space="0" w:color="auto"/>
        <w:right w:val="none" w:sz="0" w:space="0" w:color="auto"/>
      </w:divBdr>
    </w:div>
    <w:div w:id="264846229">
      <w:bodyDiv w:val="1"/>
      <w:marLeft w:val="0"/>
      <w:marRight w:val="0"/>
      <w:marTop w:val="0"/>
      <w:marBottom w:val="0"/>
      <w:divBdr>
        <w:top w:val="none" w:sz="0" w:space="0" w:color="auto"/>
        <w:left w:val="none" w:sz="0" w:space="0" w:color="auto"/>
        <w:bottom w:val="none" w:sz="0" w:space="0" w:color="auto"/>
        <w:right w:val="none" w:sz="0" w:space="0" w:color="auto"/>
      </w:divBdr>
    </w:div>
    <w:div w:id="324819271">
      <w:bodyDiv w:val="1"/>
      <w:marLeft w:val="0"/>
      <w:marRight w:val="0"/>
      <w:marTop w:val="0"/>
      <w:marBottom w:val="0"/>
      <w:divBdr>
        <w:top w:val="none" w:sz="0" w:space="0" w:color="auto"/>
        <w:left w:val="none" w:sz="0" w:space="0" w:color="auto"/>
        <w:bottom w:val="none" w:sz="0" w:space="0" w:color="auto"/>
        <w:right w:val="none" w:sz="0" w:space="0" w:color="auto"/>
      </w:divBdr>
    </w:div>
    <w:div w:id="408038436">
      <w:bodyDiv w:val="1"/>
      <w:marLeft w:val="0"/>
      <w:marRight w:val="0"/>
      <w:marTop w:val="0"/>
      <w:marBottom w:val="0"/>
      <w:divBdr>
        <w:top w:val="none" w:sz="0" w:space="0" w:color="auto"/>
        <w:left w:val="none" w:sz="0" w:space="0" w:color="auto"/>
        <w:bottom w:val="none" w:sz="0" w:space="0" w:color="auto"/>
        <w:right w:val="none" w:sz="0" w:space="0" w:color="auto"/>
      </w:divBdr>
    </w:div>
    <w:div w:id="505562648">
      <w:bodyDiv w:val="1"/>
      <w:marLeft w:val="0"/>
      <w:marRight w:val="0"/>
      <w:marTop w:val="0"/>
      <w:marBottom w:val="0"/>
      <w:divBdr>
        <w:top w:val="none" w:sz="0" w:space="0" w:color="auto"/>
        <w:left w:val="none" w:sz="0" w:space="0" w:color="auto"/>
        <w:bottom w:val="none" w:sz="0" w:space="0" w:color="auto"/>
        <w:right w:val="none" w:sz="0" w:space="0" w:color="auto"/>
      </w:divBdr>
    </w:div>
    <w:div w:id="523402084">
      <w:bodyDiv w:val="1"/>
      <w:marLeft w:val="0"/>
      <w:marRight w:val="0"/>
      <w:marTop w:val="0"/>
      <w:marBottom w:val="0"/>
      <w:divBdr>
        <w:top w:val="none" w:sz="0" w:space="0" w:color="auto"/>
        <w:left w:val="none" w:sz="0" w:space="0" w:color="auto"/>
        <w:bottom w:val="none" w:sz="0" w:space="0" w:color="auto"/>
        <w:right w:val="none" w:sz="0" w:space="0" w:color="auto"/>
      </w:divBdr>
    </w:div>
    <w:div w:id="646400567">
      <w:bodyDiv w:val="1"/>
      <w:marLeft w:val="0"/>
      <w:marRight w:val="0"/>
      <w:marTop w:val="0"/>
      <w:marBottom w:val="0"/>
      <w:divBdr>
        <w:top w:val="none" w:sz="0" w:space="0" w:color="auto"/>
        <w:left w:val="none" w:sz="0" w:space="0" w:color="auto"/>
        <w:bottom w:val="none" w:sz="0" w:space="0" w:color="auto"/>
        <w:right w:val="none" w:sz="0" w:space="0" w:color="auto"/>
      </w:divBdr>
    </w:div>
    <w:div w:id="717239389">
      <w:bodyDiv w:val="1"/>
      <w:marLeft w:val="0"/>
      <w:marRight w:val="0"/>
      <w:marTop w:val="0"/>
      <w:marBottom w:val="0"/>
      <w:divBdr>
        <w:top w:val="none" w:sz="0" w:space="0" w:color="auto"/>
        <w:left w:val="none" w:sz="0" w:space="0" w:color="auto"/>
        <w:bottom w:val="none" w:sz="0" w:space="0" w:color="auto"/>
        <w:right w:val="none" w:sz="0" w:space="0" w:color="auto"/>
      </w:divBdr>
    </w:div>
    <w:div w:id="842554083">
      <w:bodyDiv w:val="1"/>
      <w:marLeft w:val="0"/>
      <w:marRight w:val="0"/>
      <w:marTop w:val="0"/>
      <w:marBottom w:val="0"/>
      <w:divBdr>
        <w:top w:val="none" w:sz="0" w:space="0" w:color="auto"/>
        <w:left w:val="none" w:sz="0" w:space="0" w:color="auto"/>
        <w:bottom w:val="none" w:sz="0" w:space="0" w:color="auto"/>
        <w:right w:val="none" w:sz="0" w:space="0" w:color="auto"/>
      </w:divBdr>
    </w:div>
    <w:div w:id="867185090">
      <w:bodyDiv w:val="1"/>
      <w:marLeft w:val="0"/>
      <w:marRight w:val="0"/>
      <w:marTop w:val="0"/>
      <w:marBottom w:val="0"/>
      <w:divBdr>
        <w:top w:val="none" w:sz="0" w:space="0" w:color="auto"/>
        <w:left w:val="none" w:sz="0" w:space="0" w:color="auto"/>
        <w:bottom w:val="none" w:sz="0" w:space="0" w:color="auto"/>
        <w:right w:val="none" w:sz="0" w:space="0" w:color="auto"/>
      </w:divBdr>
    </w:div>
    <w:div w:id="1078672543">
      <w:bodyDiv w:val="1"/>
      <w:marLeft w:val="0"/>
      <w:marRight w:val="0"/>
      <w:marTop w:val="0"/>
      <w:marBottom w:val="0"/>
      <w:divBdr>
        <w:top w:val="none" w:sz="0" w:space="0" w:color="auto"/>
        <w:left w:val="none" w:sz="0" w:space="0" w:color="auto"/>
        <w:bottom w:val="none" w:sz="0" w:space="0" w:color="auto"/>
        <w:right w:val="none" w:sz="0" w:space="0" w:color="auto"/>
      </w:divBdr>
    </w:div>
    <w:div w:id="1086263962">
      <w:bodyDiv w:val="1"/>
      <w:marLeft w:val="0"/>
      <w:marRight w:val="0"/>
      <w:marTop w:val="0"/>
      <w:marBottom w:val="0"/>
      <w:divBdr>
        <w:top w:val="none" w:sz="0" w:space="0" w:color="auto"/>
        <w:left w:val="none" w:sz="0" w:space="0" w:color="auto"/>
        <w:bottom w:val="none" w:sz="0" w:space="0" w:color="auto"/>
        <w:right w:val="none" w:sz="0" w:space="0" w:color="auto"/>
      </w:divBdr>
    </w:div>
    <w:div w:id="1104689000">
      <w:bodyDiv w:val="1"/>
      <w:marLeft w:val="0"/>
      <w:marRight w:val="0"/>
      <w:marTop w:val="0"/>
      <w:marBottom w:val="0"/>
      <w:divBdr>
        <w:top w:val="none" w:sz="0" w:space="0" w:color="auto"/>
        <w:left w:val="none" w:sz="0" w:space="0" w:color="auto"/>
        <w:bottom w:val="none" w:sz="0" w:space="0" w:color="auto"/>
        <w:right w:val="none" w:sz="0" w:space="0" w:color="auto"/>
      </w:divBdr>
    </w:div>
    <w:div w:id="1120614217">
      <w:bodyDiv w:val="1"/>
      <w:marLeft w:val="0"/>
      <w:marRight w:val="0"/>
      <w:marTop w:val="0"/>
      <w:marBottom w:val="0"/>
      <w:divBdr>
        <w:top w:val="none" w:sz="0" w:space="0" w:color="auto"/>
        <w:left w:val="none" w:sz="0" w:space="0" w:color="auto"/>
        <w:bottom w:val="none" w:sz="0" w:space="0" w:color="auto"/>
        <w:right w:val="none" w:sz="0" w:space="0" w:color="auto"/>
      </w:divBdr>
    </w:div>
    <w:div w:id="1262881525">
      <w:bodyDiv w:val="1"/>
      <w:marLeft w:val="0"/>
      <w:marRight w:val="0"/>
      <w:marTop w:val="0"/>
      <w:marBottom w:val="0"/>
      <w:divBdr>
        <w:top w:val="none" w:sz="0" w:space="0" w:color="auto"/>
        <w:left w:val="none" w:sz="0" w:space="0" w:color="auto"/>
        <w:bottom w:val="none" w:sz="0" w:space="0" w:color="auto"/>
        <w:right w:val="none" w:sz="0" w:space="0" w:color="auto"/>
      </w:divBdr>
    </w:div>
    <w:div w:id="1503277292">
      <w:bodyDiv w:val="1"/>
      <w:marLeft w:val="0"/>
      <w:marRight w:val="0"/>
      <w:marTop w:val="0"/>
      <w:marBottom w:val="0"/>
      <w:divBdr>
        <w:top w:val="none" w:sz="0" w:space="0" w:color="auto"/>
        <w:left w:val="none" w:sz="0" w:space="0" w:color="auto"/>
        <w:bottom w:val="none" w:sz="0" w:space="0" w:color="auto"/>
        <w:right w:val="none" w:sz="0" w:space="0" w:color="auto"/>
      </w:divBdr>
    </w:div>
    <w:div w:id="1520847543">
      <w:bodyDiv w:val="1"/>
      <w:marLeft w:val="0"/>
      <w:marRight w:val="0"/>
      <w:marTop w:val="0"/>
      <w:marBottom w:val="0"/>
      <w:divBdr>
        <w:top w:val="none" w:sz="0" w:space="0" w:color="auto"/>
        <w:left w:val="none" w:sz="0" w:space="0" w:color="auto"/>
        <w:bottom w:val="none" w:sz="0" w:space="0" w:color="auto"/>
        <w:right w:val="none" w:sz="0" w:space="0" w:color="auto"/>
      </w:divBdr>
    </w:div>
    <w:div w:id="1548949526">
      <w:bodyDiv w:val="1"/>
      <w:marLeft w:val="0"/>
      <w:marRight w:val="0"/>
      <w:marTop w:val="0"/>
      <w:marBottom w:val="0"/>
      <w:divBdr>
        <w:top w:val="none" w:sz="0" w:space="0" w:color="auto"/>
        <w:left w:val="none" w:sz="0" w:space="0" w:color="auto"/>
        <w:bottom w:val="none" w:sz="0" w:space="0" w:color="auto"/>
        <w:right w:val="none" w:sz="0" w:space="0" w:color="auto"/>
      </w:divBdr>
    </w:div>
    <w:div w:id="1621182482">
      <w:bodyDiv w:val="1"/>
      <w:marLeft w:val="0"/>
      <w:marRight w:val="0"/>
      <w:marTop w:val="0"/>
      <w:marBottom w:val="0"/>
      <w:divBdr>
        <w:top w:val="none" w:sz="0" w:space="0" w:color="auto"/>
        <w:left w:val="none" w:sz="0" w:space="0" w:color="auto"/>
        <w:bottom w:val="none" w:sz="0" w:space="0" w:color="auto"/>
        <w:right w:val="none" w:sz="0" w:space="0" w:color="auto"/>
      </w:divBdr>
    </w:div>
    <w:div w:id="1682245969">
      <w:bodyDiv w:val="1"/>
      <w:marLeft w:val="0"/>
      <w:marRight w:val="0"/>
      <w:marTop w:val="0"/>
      <w:marBottom w:val="0"/>
      <w:divBdr>
        <w:top w:val="none" w:sz="0" w:space="0" w:color="auto"/>
        <w:left w:val="none" w:sz="0" w:space="0" w:color="auto"/>
        <w:bottom w:val="none" w:sz="0" w:space="0" w:color="auto"/>
        <w:right w:val="none" w:sz="0" w:space="0" w:color="auto"/>
      </w:divBdr>
    </w:div>
    <w:div w:id="1781486669">
      <w:bodyDiv w:val="1"/>
      <w:marLeft w:val="0"/>
      <w:marRight w:val="0"/>
      <w:marTop w:val="0"/>
      <w:marBottom w:val="0"/>
      <w:divBdr>
        <w:top w:val="none" w:sz="0" w:space="0" w:color="auto"/>
        <w:left w:val="none" w:sz="0" w:space="0" w:color="auto"/>
        <w:bottom w:val="none" w:sz="0" w:space="0" w:color="auto"/>
        <w:right w:val="none" w:sz="0" w:space="0" w:color="auto"/>
      </w:divBdr>
    </w:div>
    <w:div w:id="1789854730">
      <w:bodyDiv w:val="1"/>
      <w:marLeft w:val="0"/>
      <w:marRight w:val="0"/>
      <w:marTop w:val="0"/>
      <w:marBottom w:val="0"/>
      <w:divBdr>
        <w:top w:val="none" w:sz="0" w:space="0" w:color="auto"/>
        <w:left w:val="none" w:sz="0" w:space="0" w:color="auto"/>
        <w:bottom w:val="none" w:sz="0" w:space="0" w:color="auto"/>
        <w:right w:val="none" w:sz="0" w:space="0" w:color="auto"/>
      </w:divBdr>
    </w:div>
    <w:div w:id="20678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928-0987(01)00095-1" TargetMode="External"/><Relationship Id="rId18" Type="http://schemas.openxmlformats.org/officeDocument/2006/relationships/hyperlink" Target="https://doi.org/10.1186/2008-2231-20-21" TargetMode="External"/><Relationship Id="rId26" Type="http://schemas.openxmlformats.org/officeDocument/2006/relationships/hyperlink" Target="https://doi.org/10.22159/ijpps.2016v8i11.13806" TargetMode="External"/><Relationship Id="rId3" Type="http://schemas.openxmlformats.org/officeDocument/2006/relationships/styles" Target="styles.xml"/><Relationship Id="rId21" Type="http://schemas.openxmlformats.org/officeDocument/2006/relationships/hyperlink" Target="https://doi.org/10.3109/03639045.2015.1104346"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390/polym16050601" TargetMode="External"/><Relationship Id="rId17" Type="http://schemas.openxmlformats.org/officeDocument/2006/relationships/hyperlink" Target="https://doi.org/10.1016/0378-5173(94)90236-4" TargetMode="External"/><Relationship Id="rId25" Type="http://schemas.openxmlformats.org/officeDocument/2006/relationships/hyperlink" Target="https://zenodo.org/records/17297703"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02/jps.2600521210" TargetMode="External"/><Relationship Id="rId20" Type="http://schemas.openxmlformats.org/officeDocument/2006/relationships/hyperlink" Target="https://doi.org/10.1016/j.jddst.2015.10.01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jpb.2006.12.015" TargetMode="External"/><Relationship Id="rId24" Type="http://schemas.openxmlformats.org/officeDocument/2006/relationships/hyperlink" Target="https://doi.org/10.9734/jpri/2025/v37i127795"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2/jps.2600501018" TargetMode="External"/><Relationship Id="rId23" Type="http://schemas.openxmlformats.org/officeDocument/2006/relationships/hyperlink" Target="https://doi.org/10.33545/26648822.2025.v7.i1a.26" TargetMode="External"/><Relationship Id="rId28" Type="http://schemas.openxmlformats.org/officeDocument/2006/relationships/hyperlink" Target="https://doi.org/10.22037/IJPR.2016.1791"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doi.org/10.3109/10837450.2010.53582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9734/JPRI/2024/v36i37506" TargetMode="External"/><Relationship Id="rId22" Type="http://schemas.openxmlformats.org/officeDocument/2006/relationships/hyperlink" Target="https://doi.org/10.3109/10717544.2011.557786" TargetMode="External"/><Relationship Id="rId27" Type="http://schemas.openxmlformats.org/officeDocument/2006/relationships/hyperlink" Target="https://doi.org/10.9734/JPRI/2021/v33i40A3223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fileserver\FRD\Miscellaneous\Articles%20&amp;%20Technical%20Presentations\Metformin%20Hcl_Floating\Asian%20Journal%20of%20Research%20in%20Medical%20and%20Pharmaceutical%20Sciences\BE%20Summary_099-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fileserver\FRD\Miscellaneous\Articles%20&amp;%20Technical%20Presentations\Metformin%20Hcl_Floating\Asian%20Journal%20of%20Research%20in%20Medical%20and%20Pharmaceutical%20Sciences\BE%20Summary_099-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25167870622994"/>
          <c:y val="2.5011456901220679E-2"/>
          <c:w val="0.85220882398676823"/>
          <c:h val="0.83291939698013939"/>
        </c:manualLayout>
      </c:layout>
      <c:scatterChart>
        <c:scatterStyle val="lineMarker"/>
        <c:varyColors val="0"/>
        <c:ser>
          <c:idx val="0"/>
          <c:order val="0"/>
          <c:tx>
            <c:strRef>
              <c:f>'Mean Conc (2)'!$B$2</c:f>
              <c:strCache>
                <c:ptCount val="1"/>
                <c:pt idx="0">
                  <c:v>RLD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(2)'!$B$3:$B$14</c:f>
              <c:numCache>
                <c:formatCode>General</c:formatCode>
                <c:ptCount val="12"/>
                <c:pt idx="0">
                  <c:v>0</c:v>
                </c:pt>
                <c:pt idx="1">
                  <c:v>12.1</c:v>
                </c:pt>
                <c:pt idx="2">
                  <c:v>19.8</c:v>
                </c:pt>
                <c:pt idx="3">
                  <c:v>33.5</c:v>
                </c:pt>
                <c:pt idx="4">
                  <c:v>41.5</c:v>
                </c:pt>
                <c:pt idx="5">
                  <c:v>57.5</c:v>
                </c:pt>
                <c:pt idx="6">
                  <c:v>66.8</c:v>
                </c:pt>
                <c:pt idx="7">
                  <c:v>79.2</c:v>
                </c:pt>
                <c:pt idx="8">
                  <c:v>86.4</c:v>
                </c:pt>
                <c:pt idx="9">
                  <c:v>95.2</c:v>
                </c:pt>
                <c:pt idx="10">
                  <c:v>98.1</c:v>
                </c:pt>
                <c:pt idx="11">
                  <c:v>99.8</c:v>
                </c:pt>
              </c:numCache>
            </c:numRef>
          </c:yVal>
          <c:smooth val="0"/>
          <c:extLst>
            <c:ext xmlns:c16="http://schemas.microsoft.com/office/drawing/2014/chart" uri="{C3380CC4-5D6E-409C-BE32-E72D297353CC}">
              <c16:uniqueId val="{00000000-2520-4E83-B23C-D7D3824DE50B}"/>
            </c:ext>
          </c:extLst>
        </c:ser>
        <c:ser>
          <c:idx val="1"/>
          <c:order val="1"/>
          <c:tx>
            <c:strRef>
              <c:f>'Mean Conc (2)'!$C$2</c:f>
              <c:strCache>
                <c:ptCount val="1"/>
                <c:pt idx="0">
                  <c:v>MTH1</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(2)'!$C$3:$C$14</c:f>
              <c:numCache>
                <c:formatCode>General</c:formatCode>
                <c:ptCount val="12"/>
                <c:pt idx="0">
                  <c:v>0</c:v>
                </c:pt>
                <c:pt idx="1">
                  <c:v>30.7</c:v>
                </c:pt>
                <c:pt idx="2">
                  <c:v>52.1</c:v>
                </c:pt>
                <c:pt idx="3">
                  <c:v>68.8</c:v>
                </c:pt>
                <c:pt idx="4">
                  <c:v>82.7</c:v>
                </c:pt>
                <c:pt idx="5">
                  <c:v>90.4</c:v>
                </c:pt>
                <c:pt idx="6">
                  <c:v>97.9</c:v>
                </c:pt>
                <c:pt idx="7">
                  <c:v>98.9</c:v>
                </c:pt>
                <c:pt idx="8">
                  <c:v>99.5</c:v>
                </c:pt>
                <c:pt idx="9">
                  <c:v>99.5</c:v>
                </c:pt>
                <c:pt idx="10">
                  <c:v>99.6</c:v>
                </c:pt>
                <c:pt idx="11">
                  <c:v>99.8</c:v>
                </c:pt>
              </c:numCache>
            </c:numRef>
          </c:yVal>
          <c:smooth val="0"/>
          <c:extLst>
            <c:ext xmlns:c16="http://schemas.microsoft.com/office/drawing/2014/chart" uri="{C3380CC4-5D6E-409C-BE32-E72D297353CC}">
              <c16:uniqueId val="{00000001-2520-4E83-B23C-D7D3824DE50B}"/>
            </c:ext>
          </c:extLst>
        </c:ser>
        <c:ser>
          <c:idx val="2"/>
          <c:order val="2"/>
          <c:tx>
            <c:strRef>
              <c:f>'Mean Conc (2)'!$D$2</c:f>
              <c:strCache>
                <c:ptCount val="1"/>
                <c:pt idx="0">
                  <c:v>MTH2</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(2)'!$D$3:$D$14</c:f>
              <c:numCache>
                <c:formatCode>General</c:formatCode>
                <c:ptCount val="12"/>
                <c:pt idx="0">
                  <c:v>0</c:v>
                </c:pt>
                <c:pt idx="1">
                  <c:v>20.2</c:v>
                </c:pt>
                <c:pt idx="2">
                  <c:v>33.6</c:v>
                </c:pt>
                <c:pt idx="3">
                  <c:v>48.5</c:v>
                </c:pt>
                <c:pt idx="4">
                  <c:v>60.8</c:v>
                </c:pt>
                <c:pt idx="5">
                  <c:v>72.8</c:v>
                </c:pt>
                <c:pt idx="6">
                  <c:v>89.7</c:v>
                </c:pt>
                <c:pt idx="7">
                  <c:v>96.2</c:v>
                </c:pt>
                <c:pt idx="8">
                  <c:v>99.8</c:v>
                </c:pt>
                <c:pt idx="9">
                  <c:v>99.6</c:v>
                </c:pt>
                <c:pt idx="10">
                  <c:v>99.8</c:v>
                </c:pt>
                <c:pt idx="11">
                  <c:v>99.9</c:v>
                </c:pt>
              </c:numCache>
            </c:numRef>
          </c:yVal>
          <c:smooth val="0"/>
          <c:extLst>
            <c:ext xmlns:c16="http://schemas.microsoft.com/office/drawing/2014/chart" uri="{C3380CC4-5D6E-409C-BE32-E72D297353CC}">
              <c16:uniqueId val="{00000002-2520-4E83-B23C-D7D3824DE50B}"/>
            </c:ext>
          </c:extLst>
        </c:ser>
        <c:ser>
          <c:idx val="3"/>
          <c:order val="3"/>
          <c:tx>
            <c:strRef>
              <c:f>'Mean Conc (2)'!$E$2</c:f>
              <c:strCache>
                <c:ptCount val="1"/>
                <c:pt idx="0">
                  <c:v>MTH3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(2)'!$E$3:$E$14</c:f>
              <c:numCache>
                <c:formatCode>General</c:formatCode>
                <c:ptCount val="12"/>
                <c:pt idx="0">
                  <c:v>0</c:v>
                </c:pt>
                <c:pt idx="1">
                  <c:v>9.8000000000000007</c:v>
                </c:pt>
                <c:pt idx="2">
                  <c:v>20.399999999999999</c:v>
                </c:pt>
                <c:pt idx="3">
                  <c:v>32.4</c:v>
                </c:pt>
                <c:pt idx="4">
                  <c:v>43.2</c:v>
                </c:pt>
                <c:pt idx="5">
                  <c:v>58.6</c:v>
                </c:pt>
                <c:pt idx="6">
                  <c:v>67.400000000000006</c:v>
                </c:pt>
                <c:pt idx="7">
                  <c:v>77.900000000000006</c:v>
                </c:pt>
                <c:pt idx="8">
                  <c:v>87.4</c:v>
                </c:pt>
                <c:pt idx="9">
                  <c:v>96.2</c:v>
                </c:pt>
                <c:pt idx="10">
                  <c:v>98.7</c:v>
                </c:pt>
                <c:pt idx="11">
                  <c:v>99.4</c:v>
                </c:pt>
              </c:numCache>
            </c:numRef>
          </c:yVal>
          <c:smooth val="0"/>
          <c:extLst>
            <c:ext xmlns:c16="http://schemas.microsoft.com/office/drawing/2014/chart" uri="{C3380CC4-5D6E-409C-BE32-E72D297353CC}">
              <c16:uniqueId val="{00000003-2520-4E83-B23C-D7D3824DE50B}"/>
            </c:ext>
          </c:extLst>
        </c:ser>
        <c:ser>
          <c:idx val="4"/>
          <c:order val="4"/>
          <c:tx>
            <c:strRef>
              <c:f>'Mean Conc (2)'!$F$2</c:f>
              <c:strCache>
                <c:ptCount val="1"/>
                <c:pt idx="0">
                  <c:v>MTH4</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(2)'!$F$3:$F$14</c:f>
              <c:numCache>
                <c:formatCode>General</c:formatCode>
                <c:ptCount val="12"/>
                <c:pt idx="0">
                  <c:v>0</c:v>
                </c:pt>
                <c:pt idx="1">
                  <c:v>6.2</c:v>
                </c:pt>
                <c:pt idx="2">
                  <c:v>13.7</c:v>
                </c:pt>
                <c:pt idx="3">
                  <c:v>19.8</c:v>
                </c:pt>
                <c:pt idx="4">
                  <c:v>29.7</c:v>
                </c:pt>
                <c:pt idx="5">
                  <c:v>36.9</c:v>
                </c:pt>
                <c:pt idx="6">
                  <c:v>42.7</c:v>
                </c:pt>
                <c:pt idx="7">
                  <c:v>58.3</c:v>
                </c:pt>
                <c:pt idx="8">
                  <c:v>66.8</c:v>
                </c:pt>
                <c:pt idx="9">
                  <c:v>75.900000000000006</c:v>
                </c:pt>
                <c:pt idx="10">
                  <c:v>83.3</c:v>
                </c:pt>
                <c:pt idx="11">
                  <c:v>85.8</c:v>
                </c:pt>
              </c:numCache>
            </c:numRef>
          </c:yVal>
          <c:smooth val="0"/>
          <c:extLst>
            <c:ext xmlns:c16="http://schemas.microsoft.com/office/drawing/2014/chart" uri="{C3380CC4-5D6E-409C-BE32-E72D297353CC}">
              <c16:uniqueId val="{00000004-2520-4E83-B23C-D7D3824DE50B}"/>
            </c:ext>
          </c:extLst>
        </c:ser>
        <c:ser>
          <c:idx val="5"/>
          <c:order val="5"/>
          <c:tx>
            <c:strRef>
              <c:f>'Mean Conc (2)'!$G$2</c:f>
              <c:strCache>
                <c:ptCount val="1"/>
                <c:pt idx="0">
                  <c:v>MTH5</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errBars>
            <c:errDir val="y"/>
            <c:errBarType val="both"/>
            <c:errValType val="percentage"/>
            <c:noEndCap val="0"/>
            <c:val val="5"/>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(2)'!$G$3:$G$14</c:f>
              <c:numCache>
                <c:formatCode>General</c:formatCode>
                <c:ptCount val="12"/>
                <c:pt idx="0">
                  <c:v>0</c:v>
                </c:pt>
                <c:pt idx="1">
                  <c:v>29.1</c:v>
                </c:pt>
                <c:pt idx="2">
                  <c:v>45.6</c:v>
                </c:pt>
                <c:pt idx="3">
                  <c:v>71.8</c:v>
                </c:pt>
                <c:pt idx="4">
                  <c:v>85.1</c:v>
                </c:pt>
                <c:pt idx="5">
                  <c:v>91.5</c:v>
                </c:pt>
                <c:pt idx="6">
                  <c:v>95.7</c:v>
                </c:pt>
                <c:pt idx="7">
                  <c:v>98.1</c:v>
                </c:pt>
                <c:pt idx="8">
                  <c:v>99.1</c:v>
                </c:pt>
                <c:pt idx="9">
                  <c:v>99.2</c:v>
                </c:pt>
                <c:pt idx="10">
                  <c:v>99.6</c:v>
                </c:pt>
                <c:pt idx="11">
                  <c:v>99.8</c:v>
                </c:pt>
              </c:numCache>
            </c:numRef>
          </c:yVal>
          <c:smooth val="0"/>
          <c:extLst>
            <c:ext xmlns:c16="http://schemas.microsoft.com/office/drawing/2014/chart" uri="{C3380CC4-5D6E-409C-BE32-E72D297353CC}">
              <c16:uniqueId val="{00000005-2520-4E83-B23C-D7D3824DE50B}"/>
            </c:ext>
          </c:extLst>
        </c:ser>
        <c:ser>
          <c:idx val="6"/>
          <c:order val="6"/>
          <c:tx>
            <c:strRef>
              <c:f>'Mean Conc (2)'!$H$2</c:f>
              <c:strCache>
                <c:ptCount val="1"/>
                <c:pt idx="0">
                  <c:v>MTH6</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(2)'!$H$3:$H$14</c:f>
              <c:numCache>
                <c:formatCode>General</c:formatCode>
                <c:ptCount val="12"/>
                <c:pt idx="0">
                  <c:v>0</c:v>
                </c:pt>
                <c:pt idx="1">
                  <c:v>11.5</c:v>
                </c:pt>
                <c:pt idx="2">
                  <c:v>21.5</c:v>
                </c:pt>
                <c:pt idx="3">
                  <c:v>34.200000000000003</c:v>
                </c:pt>
                <c:pt idx="4">
                  <c:v>40.5</c:v>
                </c:pt>
                <c:pt idx="5">
                  <c:v>58.1</c:v>
                </c:pt>
                <c:pt idx="6">
                  <c:v>68.2</c:v>
                </c:pt>
                <c:pt idx="7">
                  <c:v>81.599999999999994</c:v>
                </c:pt>
                <c:pt idx="8">
                  <c:v>88.2</c:v>
                </c:pt>
                <c:pt idx="9">
                  <c:v>94.3</c:v>
                </c:pt>
                <c:pt idx="10">
                  <c:v>98.1</c:v>
                </c:pt>
                <c:pt idx="11">
                  <c:v>98.5</c:v>
                </c:pt>
              </c:numCache>
            </c:numRef>
          </c:yVal>
          <c:smooth val="0"/>
          <c:extLst>
            <c:ext xmlns:c16="http://schemas.microsoft.com/office/drawing/2014/chart" uri="{C3380CC4-5D6E-409C-BE32-E72D297353CC}">
              <c16:uniqueId val="{00000006-2520-4E83-B23C-D7D3824DE50B}"/>
            </c:ext>
          </c:extLst>
        </c:ser>
        <c:ser>
          <c:idx val="7"/>
          <c:order val="7"/>
          <c:tx>
            <c:strRef>
              <c:f>'Mean Conc (2)'!$I$2</c:f>
              <c:strCache>
                <c:ptCount val="1"/>
                <c:pt idx="0">
                  <c:v>MTH7</c:v>
                </c:pt>
              </c:strCache>
            </c:strRef>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(2)'!$I$3:$I$14</c:f>
              <c:numCache>
                <c:formatCode>General</c:formatCode>
                <c:ptCount val="12"/>
                <c:pt idx="0">
                  <c:v>0</c:v>
                </c:pt>
                <c:pt idx="1">
                  <c:v>4.5</c:v>
                </c:pt>
                <c:pt idx="2">
                  <c:v>15.4</c:v>
                </c:pt>
                <c:pt idx="3">
                  <c:v>18.600000000000001</c:v>
                </c:pt>
                <c:pt idx="4">
                  <c:v>24.2</c:v>
                </c:pt>
                <c:pt idx="5">
                  <c:v>25.6</c:v>
                </c:pt>
                <c:pt idx="6">
                  <c:v>34.5</c:v>
                </c:pt>
                <c:pt idx="7">
                  <c:v>58.6</c:v>
                </c:pt>
                <c:pt idx="8">
                  <c:v>61.5</c:v>
                </c:pt>
                <c:pt idx="9">
                  <c:v>66.400000000000006</c:v>
                </c:pt>
                <c:pt idx="10">
                  <c:v>68.099999999999994</c:v>
                </c:pt>
                <c:pt idx="11">
                  <c:v>72.8</c:v>
                </c:pt>
              </c:numCache>
            </c:numRef>
          </c:yVal>
          <c:smooth val="0"/>
          <c:extLst>
            <c:ext xmlns:c16="http://schemas.microsoft.com/office/drawing/2014/chart" uri="{C3380CC4-5D6E-409C-BE32-E72D297353CC}">
              <c16:uniqueId val="{00000007-2520-4E83-B23C-D7D3824DE50B}"/>
            </c:ext>
          </c:extLst>
        </c:ser>
        <c:dLbls>
          <c:showLegendKey val="0"/>
          <c:showVal val="0"/>
          <c:showCatName val="0"/>
          <c:showSerName val="0"/>
          <c:showPercent val="0"/>
          <c:showBubbleSize val="0"/>
        </c:dLbls>
        <c:axId val="1020268223"/>
        <c:axId val="1020260735"/>
      </c:scatterChart>
      <c:valAx>
        <c:axId val="1020268223"/>
        <c:scaling>
          <c:orientation val="minMax"/>
          <c:max val="20.059999999999999"/>
          <c:min val="0"/>
        </c:scaling>
        <c:delete val="0"/>
        <c:axPos val="b"/>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IN"/>
                  <a:t>Time (h)</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20260735"/>
        <c:crosses val="autoZero"/>
        <c:crossBetween val="midCat"/>
        <c:majorUnit val="2"/>
      </c:valAx>
      <c:valAx>
        <c:axId val="1020260735"/>
        <c:scaling>
          <c:orientation val="minMax"/>
          <c:max val="1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IN"/>
                  <a:t>% Drug Release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20268223"/>
        <c:crosses val="autoZero"/>
        <c:crossBetween val="midCat"/>
      </c:valAx>
      <c:spPr>
        <a:noFill/>
        <a:ln>
          <a:noFill/>
        </a:ln>
        <a:effectLst/>
      </c:spPr>
    </c:plotArea>
    <c:legend>
      <c:legendPos val="r"/>
      <c:layout>
        <c:manualLayout>
          <c:xMode val="edge"/>
          <c:yMode val="edge"/>
          <c:x val="0.54055581287633159"/>
          <c:y val="0.53124621971868269"/>
          <c:w val="0.35797080036177797"/>
          <c:h val="0.2901387570807962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4570012879172"/>
          <c:y val="1.8907021813504975E-2"/>
          <c:w val="0.85465917637488298"/>
          <c:h val="0.83151452114852598"/>
        </c:manualLayout>
      </c:layout>
      <c:lineChart>
        <c:grouping val="standard"/>
        <c:varyColors val="0"/>
        <c:ser>
          <c:idx val="0"/>
          <c:order val="0"/>
          <c:tx>
            <c:strRef>
              <c:f>'Mean Conc'!$F$4</c:f>
              <c:strCache>
                <c:ptCount val="1"/>
                <c:pt idx="0">
                  <c:v>Mean Plasma Concentration of MTH3</c:v>
                </c:pt>
              </c:strCache>
            </c:strRef>
          </c:tx>
          <c:errBars>
            <c:errDir val="y"/>
            <c:errBarType val="both"/>
            <c:errValType val="percentage"/>
            <c:noEndCap val="0"/>
            <c:val val="13"/>
          </c:errBars>
          <c:cat>
            <c:numRef>
              <c:f>'Mean Conc'!$D$5:$D$28</c:f>
              <c:numCache>
                <c:formatCode>0.00</c:formatCode>
                <c:ptCount val="24"/>
                <c:pt idx="0">
                  <c:v>0</c:v>
                </c:pt>
                <c:pt idx="1">
                  <c:v>1</c:v>
                </c:pt>
                <c:pt idx="2">
                  <c:v>2</c:v>
                </c:pt>
                <c:pt idx="3">
                  <c:v>3</c:v>
                </c:pt>
                <c:pt idx="4">
                  <c:v>3.33</c:v>
                </c:pt>
                <c:pt idx="5">
                  <c:v>3.67</c:v>
                </c:pt>
                <c:pt idx="6">
                  <c:v>4</c:v>
                </c:pt>
                <c:pt idx="7">
                  <c:v>4.33</c:v>
                </c:pt>
                <c:pt idx="8">
                  <c:v>4.67</c:v>
                </c:pt>
                <c:pt idx="9">
                  <c:v>5</c:v>
                </c:pt>
                <c:pt idx="10">
                  <c:v>5.33</c:v>
                </c:pt>
                <c:pt idx="11">
                  <c:v>5.67</c:v>
                </c:pt>
                <c:pt idx="12">
                  <c:v>6</c:v>
                </c:pt>
                <c:pt idx="13">
                  <c:v>6.33</c:v>
                </c:pt>
                <c:pt idx="14">
                  <c:v>6.67</c:v>
                </c:pt>
                <c:pt idx="15">
                  <c:v>7</c:v>
                </c:pt>
                <c:pt idx="16">
                  <c:v>8</c:v>
                </c:pt>
                <c:pt idx="17">
                  <c:v>10</c:v>
                </c:pt>
                <c:pt idx="18">
                  <c:v>12</c:v>
                </c:pt>
                <c:pt idx="19">
                  <c:v>16</c:v>
                </c:pt>
                <c:pt idx="20">
                  <c:v>24</c:v>
                </c:pt>
                <c:pt idx="21">
                  <c:v>36</c:v>
                </c:pt>
                <c:pt idx="22">
                  <c:v>48</c:v>
                </c:pt>
                <c:pt idx="23">
                  <c:v>72</c:v>
                </c:pt>
              </c:numCache>
            </c:numRef>
          </c:cat>
          <c:val>
            <c:numRef>
              <c:f>'Mean Conc'!$F$5:$F$28</c:f>
              <c:numCache>
                <c:formatCode>0.000</c:formatCode>
                <c:ptCount val="24"/>
                <c:pt idx="0">
                  <c:v>0</c:v>
                </c:pt>
                <c:pt idx="1">
                  <c:v>90.35</c:v>
                </c:pt>
                <c:pt idx="2">
                  <c:v>250.36</c:v>
                </c:pt>
                <c:pt idx="3">
                  <c:v>299.58</c:v>
                </c:pt>
                <c:pt idx="4">
                  <c:v>389.76</c:v>
                </c:pt>
                <c:pt idx="5">
                  <c:v>512.14</c:v>
                </c:pt>
                <c:pt idx="6">
                  <c:v>550.36</c:v>
                </c:pt>
                <c:pt idx="7">
                  <c:v>700.14</c:v>
                </c:pt>
                <c:pt idx="8">
                  <c:v>710.25</c:v>
                </c:pt>
                <c:pt idx="9">
                  <c:v>770.36</c:v>
                </c:pt>
                <c:pt idx="10">
                  <c:v>790.25</c:v>
                </c:pt>
                <c:pt idx="11">
                  <c:v>791.15</c:v>
                </c:pt>
                <c:pt idx="12">
                  <c:v>812.36900000000003</c:v>
                </c:pt>
                <c:pt idx="13">
                  <c:v>800.35</c:v>
                </c:pt>
                <c:pt idx="14">
                  <c:v>789.36</c:v>
                </c:pt>
                <c:pt idx="15">
                  <c:v>689.35</c:v>
                </c:pt>
                <c:pt idx="16">
                  <c:v>550.98</c:v>
                </c:pt>
                <c:pt idx="17">
                  <c:v>485.36700000000002</c:v>
                </c:pt>
                <c:pt idx="18">
                  <c:v>300.25799999999998</c:v>
                </c:pt>
                <c:pt idx="19">
                  <c:v>200.369</c:v>
                </c:pt>
                <c:pt idx="20">
                  <c:v>189.67</c:v>
                </c:pt>
                <c:pt idx="21">
                  <c:v>150.26900000000001</c:v>
                </c:pt>
                <c:pt idx="22">
                  <c:v>55.378</c:v>
                </c:pt>
                <c:pt idx="23">
                  <c:v>18.401</c:v>
                </c:pt>
              </c:numCache>
            </c:numRef>
          </c:val>
          <c:smooth val="0"/>
          <c:extLst>
            <c:ext xmlns:c16="http://schemas.microsoft.com/office/drawing/2014/chart" uri="{C3380CC4-5D6E-409C-BE32-E72D297353CC}">
              <c16:uniqueId val="{00000000-D3B4-47DF-B661-ECF36E601C89}"/>
            </c:ext>
          </c:extLst>
        </c:ser>
        <c:ser>
          <c:idx val="1"/>
          <c:order val="1"/>
          <c:tx>
            <c:strRef>
              <c:f>'Mean Conc'!$G$4</c:f>
              <c:strCache>
                <c:ptCount val="1"/>
                <c:pt idx="0">
                  <c:v>Mean Plasma Concentration of RLD</c:v>
                </c:pt>
              </c:strCache>
            </c:strRef>
          </c:tx>
          <c:errBars>
            <c:errDir val="y"/>
            <c:errBarType val="both"/>
            <c:errValType val="percentage"/>
            <c:noEndCap val="0"/>
            <c:val val="15"/>
          </c:errBars>
          <c:cat>
            <c:numRef>
              <c:f>'Mean Conc'!$D$5:$D$28</c:f>
              <c:numCache>
                <c:formatCode>0.00</c:formatCode>
                <c:ptCount val="24"/>
                <c:pt idx="0">
                  <c:v>0</c:v>
                </c:pt>
                <c:pt idx="1">
                  <c:v>1</c:v>
                </c:pt>
                <c:pt idx="2">
                  <c:v>2</c:v>
                </c:pt>
                <c:pt idx="3">
                  <c:v>3</c:v>
                </c:pt>
                <c:pt idx="4">
                  <c:v>3.33</c:v>
                </c:pt>
                <c:pt idx="5">
                  <c:v>3.67</c:v>
                </c:pt>
                <c:pt idx="6">
                  <c:v>4</c:v>
                </c:pt>
                <c:pt idx="7">
                  <c:v>4.33</c:v>
                </c:pt>
                <c:pt idx="8">
                  <c:v>4.67</c:v>
                </c:pt>
                <c:pt idx="9">
                  <c:v>5</c:v>
                </c:pt>
                <c:pt idx="10">
                  <c:v>5.33</c:v>
                </c:pt>
                <c:pt idx="11">
                  <c:v>5.67</c:v>
                </c:pt>
                <c:pt idx="12">
                  <c:v>6</c:v>
                </c:pt>
                <c:pt idx="13">
                  <c:v>6.33</c:v>
                </c:pt>
                <c:pt idx="14">
                  <c:v>6.67</c:v>
                </c:pt>
                <c:pt idx="15">
                  <c:v>7</c:v>
                </c:pt>
                <c:pt idx="16">
                  <c:v>8</c:v>
                </c:pt>
                <c:pt idx="17">
                  <c:v>10</c:v>
                </c:pt>
                <c:pt idx="18">
                  <c:v>12</c:v>
                </c:pt>
                <c:pt idx="19">
                  <c:v>16</c:v>
                </c:pt>
                <c:pt idx="20">
                  <c:v>24</c:v>
                </c:pt>
                <c:pt idx="21">
                  <c:v>36</c:v>
                </c:pt>
                <c:pt idx="22">
                  <c:v>48</c:v>
                </c:pt>
                <c:pt idx="23">
                  <c:v>72</c:v>
                </c:pt>
              </c:numCache>
            </c:numRef>
          </c:cat>
          <c:val>
            <c:numRef>
              <c:f>'Mean Conc'!$G$5:$G$28</c:f>
              <c:numCache>
                <c:formatCode>0.000</c:formatCode>
                <c:ptCount val="24"/>
                <c:pt idx="0">
                  <c:v>0</c:v>
                </c:pt>
                <c:pt idx="1">
                  <c:v>100.13</c:v>
                </c:pt>
                <c:pt idx="2">
                  <c:v>219.48</c:v>
                </c:pt>
                <c:pt idx="3">
                  <c:v>301.25</c:v>
                </c:pt>
                <c:pt idx="4">
                  <c:v>415.68</c:v>
                </c:pt>
                <c:pt idx="5">
                  <c:v>500.25</c:v>
                </c:pt>
                <c:pt idx="6">
                  <c:v>600.13499999999999</c:v>
                </c:pt>
                <c:pt idx="7">
                  <c:v>690.25</c:v>
                </c:pt>
                <c:pt idx="8">
                  <c:v>700.35900000000004</c:v>
                </c:pt>
                <c:pt idx="9">
                  <c:v>765.81</c:v>
                </c:pt>
                <c:pt idx="10">
                  <c:v>770.36</c:v>
                </c:pt>
                <c:pt idx="11">
                  <c:v>789.35</c:v>
                </c:pt>
                <c:pt idx="12">
                  <c:v>816.55</c:v>
                </c:pt>
                <c:pt idx="13">
                  <c:v>802.54700000000003</c:v>
                </c:pt>
                <c:pt idx="14">
                  <c:v>779.35</c:v>
                </c:pt>
                <c:pt idx="15">
                  <c:v>690.87</c:v>
                </c:pt>
                <c:pt idx="16">
                  <c:v>580.47</c:v>
                </c:pt>
                <c:pt idx="17">
                  <c:v>509.85</c:v>
                </c:pt>
                <c:pt idx="18">
                  <c:v>330.459</c:v>
                </c:pt>
                <c:pt idx="19">
                  <c:v>212.59</c:v>
                </c:pt>
                <c:pt idx="20">
                  <c:v>199.69800000000001</c:v>
                </c:pt>
                <c:pt idx="21">
                  <c:v>159.66999999999999</c:v>
                </c:pt>
                <c:pt idx="22">
                  <c:v>58.369</c:v>
                </c:pt>
                <c:pt idx="23">
                  <c:v>23.988</c:v>
                </c:pt>
              </c:numCache>
            </c:numRef>
          </c:val>
          <c:smooth val="0"/>
          <c:extLst>
            <c:ext xmlns:c16="http://schemas.microsoft.com/office/drawing/2014/chart" uri="{C3380CC4-5D6E-409C-BE32-E72D297353CC}">
              <c16:uniqueId val="{00000001-D3B4-47DF-B661-ECF36E601C89}"/>
            </c:ext>
          </c:extLst>
        </c:ser>
        <c:ser>
          <c:idx val="2"/>
          <c:order val="2"/>
          <c:tx>
            <c:strRef>
              <c:f>'Mean Conc'!$E$4</c:f>
              <c:strCache>
                <c:ptCount val="1"/>
                <c:pt idx="0">
                  <c:v>Mean Plasma Concentration of MTH6</c:v>
                </c:pt>
              </c:strCache>
            </c:strRef>
          </c:tx>
          <c:spPr>
            <a:ln>
              <a:solidFill>
                <a:schemeClr val="accent6"/>
              </a:solidFill>
            </a:ln>
          </c:spPr>
          <c:marker>
            <c:spPr>
              <a:ln>
                <a:solidFill>
                  <a:schemeClr val="accent6"/>
                </a:solidFill>
              </a:ln>
            </c:spPr>
          </c:marker>
          <c:dPt>
            <c:idx val="12"/>
            <c:marker>
              <c:spPr>
                <a:solidFill>
                  <a:schemeClr val="accent6"/>
                </a:solidFill>
                <a:ln>
                  <a:solidFill>
                    <a:schemeClr val="accent6"/>
                  </a:solidFill>
                </a:ln>
              </c:spPr>
            </c:marker>
            <c:bubble3D val="0"/>
            <c:extLst>
              <c:ext xmlns:c16="http://schemas.microsoft.com/office/drawing/2014/chart" uri="{C3380CC4-5D6E-409C-BE32-E72D297353CC}">
                <c16:uniqueId val="{00000003-D3B4-47DF-B661-ECF36E601C89}"/>
              </c:ext>
            </c:extLst>
          </c:dPt>
          <c:errBars>
            <c:errDir val="y"/>
            <c:errBarType val="both"/>
            <c:errValType val="percentage"/>
            <c:noEndCap val="0"/>
            <c:val val="40"/>
          </c:errBars>
          <c:val>
            <c:numRef>
              <c:f>'Mean Conc'!$E$5:$E$28</c:f>
              <c:numCache>
                <c:formatCode>0.000</c:formatCode>
                <c:ptCount val="24"/>
                <c:pt idx="0">
                  <c:v>0</c:v>
                </c:pt>
                <c:pt idx="1">
                  <c:v>25.48</c:v>
                </c:pt>
                <c:pt idx="2">
                  <c:v>128.36000000000001</c:v>
                </c:pt>
                <c:pt idx="3">
                  <c:v>350.36</c:v>
                </c:pt>
                <c:pt idx="4">
                  <c:v>360.22</c:v>
                </c:pt>
                <c:pt idx="5">
                  <c:v>420.13</c:v>
                </c:pt>
                <c:pt idx="6">
                  <c:v>418.25</c:v>
                </c:pt>
                <c:pt idx="7">
                  <c:v>690.25</c:v>
                </c:pt>
                <c:pt idx="8">
                  <c:v>688.25</c:v>
                </c:pt>
                <c:pt idx="9">
                  <c:v>700.21</c:v>
                </c:pt>
                <c:pt idx="10">
                  <c:v>720.14</c:v>
                </c:pt>
                <c:pt idx="11">
                  <c:v>710.25</c:v>
                </c:pt>
                <c:pt idx="12">
                  <c:v>800.14</c:v>
                </c:pt>
                <c:pt idx="13">
                  <c:v>650.25</c:v>
                </c:pt>
                <c:pt idx="14">
                  <c:v>680.11</c:v>
                </c:pt>
                <c:pt idx="15">
                  <c:v>500.24</c:v>
                </c:pt>
                <c:pt idx="16">
                  <c:v>400.15</c:v>
                </c:pt>
                <c:pt idx="17">
                  <c:v>250.25</c:v>
                </c:pt>
                <c:pt idx="18">
                  <c:v>185.23</c:v>
                </c:pt>
                <c:pt idx="19">
                  <c:v>201</c:v>
                </c:pt>
                <c:pt idx="20">
                  <c:v>100.12</c:v>
                </c:pt>
                <c:pt idx="21">
                  <c:v>50.22</c:v>
                </c:pt>
                <c:pt idx="22">
                  <c:v>15.12</c:v>
                </c:pt>
                <c:pt idx="23">
                  <c:v>18.401</c:v>
                </c:pt>
              </c:numCache>
            </c:numRef>
          </c:val>
          <c:smooth val="0"/>
          <c:extLst>
            <c:ext xmlns:c16="http://schemas.microsoft.com/office/drawing/2014/chart" uri="{C3380CC4-5D6E-409C-BE32-E72D297353CC}">
              <c16:uniqueId val="{00000002-D3B4-47DF-B661-ECF36E601C89}"/>
            </c:ext>
          </c:extLst>
        </c:ser>
        <c:dLbls>
          <c:showLegendKey val="0"/>
          <c:showVal val="0"/>
          <c:showCatName val="0"/>
          <c:showSerName val="0"/>
          <c:showPercent val="0"/>
          <c:showBubbleSize val="0"/>
        </c:dLbls>
        <c:marker val="1"/>
        <c:smooth val="0"/>
        <c:axId val="268974080"/>
        <c:axId val="268973688"/>
      </c:lineChart>
      <c:catAx>
        <c:axId val="268974080"/>
        <c:scaling>
          <c:orientation val="minMax"/>
        </c:scaling>
        <c:delete val="0"/>
        <c:axPos val="b"/>
        <c:title>
          <c:tx>
            <c:rich>
              <a:bodyPr/>
              <a:lstStyle/>
              <a:p>
                <a:pPr>
                  <a:defRPr/>
                </a:pPr>
                <a:r>
                  <a:rPr lang="en-US"/>
                  <a:t>Time (hrs)</a:t>
                </a:r>
              </a:p>
            </c:rich>
          </c:tx>
          <c:overlay val="0"/>
        </c:title>
        <c:numFmt formatCode="0" sourceLinked="0"/>
        <c:majorTickMark val="none"/>
        <c:minorTickMark val="none"/>
        <c:tickLblPos val="nextTo"/>
        <c:crossAx val="268973688"/>
        <c:crosses val="autoZero"/>
        <c:auto val="1"/>
        <c:lblAlgn val="ctr"/>
        <c:lblOffset val="100"/>
        <c:noMultiLvlLbl val="0"/>
      </c:catAx>
      <c:valAx>
        <c:axId val="268973688"/>
        <c:scaling>
          <c:orientation val="minMax"/>
          <c:max val="1000"/>
          <c:min val="0"/>
        </c:scaling>
        <c:delete val="0"/>
        <c:axPos val="l"/>
        <c:title>
          <c:tx>
            <c:rich>
              <a:bodyPr/>
              <a:lstStyle/>
              <a:p>
                <a:pPr algn="ctr" rtl="0">
                  <a:defRPr/>
                </a:pPr>
                <a:r>
                  <a:rPr lang="en-US"/>
                  <a:t>Concentration (µg/mL)</a:t>
                </a:r>
              </a:p>
            </c:rich>
          </c:tx>
          <c:layout>
            <c:manualLayout>
              <c:xMode val="edge"/>
              <c:yMode val="edge"/>
              <c:x val="1.1740134349458262E-2"/>
              <c:y val="0.27691192629037703"/>
            </c:manualLayout>
          </c:layout>
          <c:overlay val="0"/>
        </c:title>
        <c:numFmt formatCode="0" sourceLinked="0"/>
        <c:majorTickMark val="out"/>
        <c:minorTickMark val="none"/>
        <c:tickLblPos val="nextTo"/>
        <c:crossAx val="268974080"/>
        <c:crosses val="autoZero"/>
        <c:crossBetween val="between"/>
      </c:valAx>
      <c:spPr>
        <a:noFill/>
        <a:ln>
          <a:noFill/>
        </a:ln>
      </c:spPr>
    </c:plotArea>
    <c:legend>
      <c:legendPos val="r"/>
      <c:layout>
        <c:manualLayout>
          <c:xMode val="edge"/>
          <c:yMode val="edge"/>
          <c:x val="0.28624760316216841"/>
          <c:y val="0.6723695099060909"/>
          <c:w val="0.45517341852321641"/>
          <c:h val="0.16836606456487133"/>
        </c:manualLayout>
      </c:layout>
      <c:overlay val="0"/>
    </c:legend>
    <c:plotVisOnly val="1"/>
    <c:dispBlanksAs val="gap"/>
    <c:showDLblsOverMax val="0"/>
  </c:chart>
  <c:txPr>
    <a:bodyPr/>
    <a:lstStyle/>
    <a:p>
      <a:pPr>
        <a:defRPr sz="1000" b="1">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8ABC5-BC5C-48FD-B418-D4C2A6CE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13</Pages>
  <Words>7165</Words>
  <Characters>40847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Chinna Reddy Palem</dc:creator>
  <cp:keywords/>
  <dc:description/>
  <cp:lastModifiedBy>SDI 1084</cp:lastModifiedBy>
  <cp:revision>88</cp:revision>
  <dcterms:created xsi:type="dcterms:W3CDTF">2025-12-08T09:00:00Z</dcterms:created>
  <dcterms:modified xsi:type="dcterms:W3CDTF">2026-03-12T06:49:00Z</dcterms:modified>
</cp:coreProperties>
</file>