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39B8B" w14:textId="0FBD91A6" w:rsidR="00B93F32" w:rsidRPr="00B93F32" w:rsidRDefault="00B93F32" w:rsidP="00B93F32">
      <w:pPr>
        <w:rPr>
          <w:rFonts w:ascii="Times New Roman" w:hAnsi="Times New Roman" w:cs="Times New Roman"/>
          <w:b/>
          <w:bCs/>
          <w:u w:val="single"/>
        </w:rPr>
      </w:pPr>
      <w:r w:rsidRPr="00B93F32">
        <w:rPr>
          <w:rFonts w:ascii="Times New Roman" w:hAnsi="Times New Roman" w:cs="Times New Roman"/>
          <w:b/>
          <w:bCs/>
          <w:u w:val="single"/>
        </w:rPr>
        <w:t>Original Research Article</w:t>
      </w:r>
    </w:p>
    <w:p w14:paraId="05A12A40" w14:textId="7F3F887A" w:rsidR="00265A75" w:rsidRPr="00265A75" w:rsidRDefault="003B3CFC" w:rsidP="00E53407">
      <w:pPr>
        <w:jc w:val="center"/>
        <w:rPr>
          <w:rFonts w:ascii="Times New Roman" w:hAnsi="Times New Roman" w:cs="Times New Roman"/>
          <w:b/>
          <w:bCs/>
        </w:rPr>
      </w:pPr>
      <w:r w:rsidRPr="003B3CFC">
        <w:rPr>
          <w:rFonts w:ascii="Times New Roman" w:hAnsi="Times New Roman" w:cs="Times New Roman"/>
          <w:b/>
          <w:bCs/>
        </w:rPr>
        <w:t>Linkage to Care and Retention Outcomes Following Community-Based HIV Testing: One-Year Post-Implementation Evidence from Taraba State, Nigeria</w:t>
      </w:r>
    </w:p>
    <w:p w14:paraId="45FE4D3B" w14:textId="77777777" w:rsidR="00E53407" w:rsidRDefault="00E53407" w:rsidP="00E53407">
      <w:pPr>
        <w:jc w:val="center"/>
        <w:rPr>
          <w:rFonts w:ascii="Times New Roman" w:hAnsi="Times New Roman" w:cs="Times New Roman"/>
          <w:b/>
          <w:bCs/>
        </w:rPr>
      </w:pPr>
    </w:p>
    <w:p w14:paraId="202C4484" w14:textId="77777777" w:rsidR="003B3CFC" w:rsidRDefault="00265A75" w:rsidP="00C91B0B">
      <w:pPr>
        <w:jc w:val="center"/>
        <w:rPr>
          <w:rFonts w:ascii="Times New Roman" w:hAnsi="Times New Roman" w:cs="Times New Roman"/>
          <w:b/>
          <w:bCs/>
        </w:rPr>
      </w:pPr>
      <w:r w:rsidRPr="00265A75">
        <w:rPr>
          <w:rFonts w:ascii="Times New Roman" w:hAnsi="Times New Roman" w:cs="Times New Roman"/>
          <w:b/>
          <w:bCs/>
        </w:rPr>
        <w:t>Abstract</w:t>
      </w:r>
    </w:p>
    <w:p w14:paraId="5FAD1F15" w14:textId="77777777" w:rsidR="003B3CFC" w:rsidRDefault="003B3CFC" w:rsidP="008155AC">
      <w:pPr>
        <w:pStyle w:val="NormalWeb"/>
        <w:jc w:val="both"/>
      </w:pPr>
      <w:r>
        <w:rPr>
          <w:rStyle w:val="Strong"/>
          <w:rFonts w:eastAsiaTheme="majorEastAsia"/>
        </w:rPr>
        <w:t>Background:</w:t>
      </w:r>
      <w:r>
        <w:t xml:space="preserve"> Community-based HIV testing services (HTS) are critical for identifying undiagnosed people living with HIV in underserved settings; however, gaps in linkage to care and long-term retention persist, particularly in rural areas of Nigeria. This study assessed linkage to care, retention, and viral suppression outcomes one year after implementing a community-based HTS and facilitated linkage intervention in Taraba State, Nigeria.</w:t>
      </w:r>
    </w:p>
    <w:p w14:paraId="0F8E5E32" w14:textId="77777777" w:rsidR="003B3CFC" w:rsidRDefault="003B3CFC" w:rsidP="008155AC">
      <w:pPr>
        <w:pStyle w:val="NormalWeb"/>
        <w:jc w:val="both"/>
      </w:pPr>
      <w:r>
        <w:rPr>
          <w:rStyle w:val="Strong"/>
          <w:rFonts w:eastAsiaTheme="majorEastAsia"/>
        </w:rPr>
        <w:t>Methods:</w:t>
      </w:r>
      <w:r>
        <w:t xml:space="preserve"> A comprehensive community-based HIV testing and linkage package was implemented in Karim-Lamido, </w:t>
      </w:r>
      <w:proofErr w:type="spellStart"/>
      <w:r>
        <w:t>Sardauna</w:t>
      </w:r>
      <w:proofErr w:type="spellEnd"/>
      <w:r>
        <w:t xml:space="preserve">, and </w:t>
      </w:r>
      <w:proofErr w:type="spellStart"/>
      <w:r>
        <w:t>Ussa</w:t>
      </w:r>
      <w:proofErr w:type="spellEnd"/>
      <w:r>
        <w:t xml:space="preserve"> Local Government Areas (LGAs). The intervention included WHO-aligned HIV testing, index/contact testing, immediate facilitated linkage to antiretroviral therapy (ART), and active follow-up by trained community volunteers. Routine program records were reviewed to extract testing outcomes, ART initiation within 30 days (linkage), retention in care at 12 months, and viral load results. Descriptive analyses were conducted.</w:t>
      </w:r>
    </w:p>
    <w:p w14:paraId="63C0576A" w14:textId="77777777" w:rsidR="003B3CFC" w:rsidRDefault="003B3CFC" w:rsidP="008155AC">
      <w:pPr>
        <w:pStyle w:val="NormalWeb"/>
        <w:jc w:val="both"/>
      </w:pPr>
      <w:r>
        <w:rPr>
          <w:rStyle w:val="Strong"/>
          <w:rFonts w:eastAsiaTheme="majorEastAsia"/>
        </w:rPr>
        <w:t>Results:</w:t>
      </w:r>
      <w:r>
        <w:t xml:space="preserve"> Between implementation and one-year follow-up, 8,990 individuals were tested for HIV (49.5% male; 50.5% female). Overall HIV positivity was 2.6% (233/8,990). Among those diagnosed, 163 individuals (70.0%) were linked to care within 30 days. Linkage varied by LGA: </w:t>
      </w:r>
      <w:proofErr w:type="spellStart"/>
      <w:r>
        <w:t>Ussa</w:t>
      </w:r>
      <w:proofErr w:type="spellEnd"/>
      <w:r>
        <w:t xml:space="preserve"> achieved the highest linkage rate (93.1%), followed by Karim-Lamido (73.9%), while Sardauna recorded the lowest (52.9%). Females accounted for 69.5% of positive cases and demonstrated slightly higher linkage rates than males. Of the 143 clients currently on ART, 91 had valid viral load results, with 97% achieving viral suppression.</w:t>
      </w:r>
    </w:p>
    <w:p w14:paraId="64E660A3" w14:textId="77777777" w:rsidR="003B3CFC" w:rsidRDefault="003B3CFC" w:rsidP="008155AC">
      <w:pPr>
        <w:pStyle w:val="NormalWeb"/>
        <w:jc w:val="both"/>
      </w:pPr>
      <w:r>
        <w:rPr>
          <w:rStyle w:val="Strong"/>
          <w:rFonts w:eastAsiaTheme="majorEastAsia"/>
        </w:rPr>
        <w:t>Conclusion:</w:t>
      </w:r>
      <w:r>
        <w:t xml:space="preserve"> Community-based HIV testing in rural Taraba State effectively identified new HIV cases, but linkage outcomes varied substantially across LGAs. High linkage and viral suppression in </w:t>
      </w:r>
      <w:proofErr w:type="spellStart"/>
      <w:r>
        <w:t>Ussa</w:t>
      </w:r>
      <w:proofErr w:type="spellEnd"/>
      <w:r>
        <w:t xml:space="preserve"> highlight the value of active, community-driven referral and follow-up mechanisms. Strengthening facilitated linkage strategies, particularly in lower-performing LGAs, is essential to improve continuity of care and advance progress toward HIV epidemic control.</w:t>
      </w:r>
    </w:p>
    <w:p w14:paraId="246FF6F6" w14:textId="77777777" w:rsidR="001A097D" w:rsidRPr="008155AC" w:rsidRDefault="001A097D" w:rsidP="001A097D">
      <w:pPr>
        <w:pStyle w:val="Heading2"/>
        <w:rPr>
          <w:color w:val="auto"/>
        </w:rPr>
      </w:pPr>
      <w:r w:rsidRPr="008155AC">
        <w:rPr>
          <w:rStyle w:val="Strong"/>
          <w:bCs w:val="0"/>
          <w:color w:val="auto"/>
        </w:rPr>
        <w:t>Introduction</w:t>
      </w:r>
    </w:p>
    <w:p w14:paraId="76620F49" w14:textId="77777777" w:rsidR="001A097D" w:rsidRPr="001A097D" w:rsidRDefault="001A097D" w:rsidP="001A097D">
      <w:pPr>
        <w:pStyle w:val="NormalWeb"/>
        <w:spacing w:line="360" w:lineRule="auto"/>
        <w:jc w:val="both"/>
      </w:pPr>
      <w:r w:rsidRPr="001A097D">
        <w:t xml:space="preserve">Despite notable global progress toward ending the HIV epidemic, substantial gaps remain along the HIV care cascade, particularly in low- and middle-income countries. The Joint United Nations </w:t>
      </w:r>
      <w:proofErr w:type="spellStart"/>
      <w:r w:rsidRPr="001A097D">
        <w:t>Programme</w:t>
      </w:r>
      <w:proofErr w:type="spellEnd"/>
      <w:r w:rsidRPr="001A097D">
        <w:t xml:space="preserve"> on HIV/AIDS (UNAIDS) introduced the 95–95–95 targets, which aim for 95% of people living with HIV (PLHIV) to know their status, 95% of those diagnosed to be on sustained antiretroviral therapy (ART), and 95% of those on treatment to achieve viral suppression. Achieving these targets is essential for epidemic control; however, many settings continue to face challenges related to HIV case identification, timely linkage to care, and long-</w:t>
      </w:r>
      <w:r w:rsidRPr="001A097D">
        <w:lastRenderedPageBreak/>
        <w:t>term retention in treatment, especially in rural and hard-to-reach communities (UNAIDS, 2021).</w:t>
      </w:r>
    </w:p>
    <w:p w14:paraId="2AF14E25" w14:textId="77777777" w:rsidR="001A097D" w:rsidRPr="001A097D" w:rsidRDefault="001A097D" w:rsidP="001A097D">
      <w:pPr>
        <w:pStyle w:val="NormalWeb"/>
        <w:spacing w:line="360" w:lineRule="auto"/>
        <w:jc w:val="both"/>
      </w:pPr>
      <w:r w:rsidRPr="001A097D">
        <w:t>In Nigeria, the HIV epidemic is characterized by marked geographic heterogeneity in prevalence and program performance. Findings from the Nigeria HIV/AIDS Indicator and Impact Survey (NAIIS) revealed wide sub-national variations in HIV prevalence, knowledge of HIV status, ART coverage, and viral suppression, highlighting the need for targeted and context-specific interventions (National Agency for the Control of AIDS [NACA], 2021). Rural and underserved Local Government Areas (LGAs) often experience lower access to facility-based health services due to structural barriers such as distance, transportation costs, stigma, and limited health system capacity. These challenges contribute to delayed diagnosis, poor linkage to ART, and suboptimal retention outcomes.</w:t>
      </w:r>
    </w:p>
    <w:p w14:paraId="064FA734" w14:textId="77777777" w:rsidR="001A097D" w:rsidRPr="001A097D" w:rsidRDefault="001A097D" w:rsidP="001A097D">
      <w:pPr>
        <w:pStyle w:val="NormalWeb"/>
        <w:spacing w:line="360" w:lineRule="auto"/>
        <w:jc w:val="both"/>
      </w:pPr>
      <w:r w:rsidRPr="001A097D">
        <w:t>Community-based HIV testing services (HTS) have emerged as a critical strategy for addressing gaps in the first UNAIDS 95 by improving access to HIV testing among underserved populations. Approaches such as index/contact testing, mobile outreach, and community-led testing have demonstrated effectiveness in increasing case identification, particularly among individuals who may not routinely access health facilities (</w:t>
      </w:r>
      <w:proofErr w:type="spellStart"/>
      <w:r w:rsidRPr="001A097D">
        <w:t>Meribe</w:t>
      </w:r>
      <w:proofErr w:type="spellEnd"/>
      <w:r w:rsidRPr="001A097D">
        <w:t xml:space="preserve"> et al., 2021). In Nigeria, community case-finding strategies implemented under initiatives such as the ART Surge have contributed significantly to improved HIV diagnosis rates. However, evidence consistently shows that community-based HTS alone is insufficient to ensure optimal outcomes across the care cascade.</w:t>
      </w:r>
    </w:p>
    <w:p w14:paraId="38CE2D7D" w14:textId="77777777" w:rsidR="001A097D" w:rsidRPr="001A097D" w:rsidRDefault="001A097D" w:rsidP="001A097D">
      <w:pPr>
        <w:pStyle w:val="NormalWeb"/>
        <w:spacing w:line="360" w:lineRule="auto"/>
        <w:jc w:val="both"/>
      </w:pPr>
      <w:r w:rsidRPr="001A097D">
        <w:t>A persistent challenge following community-based HIV testing is the linkage of newly diagnosed individuals to ART services and their subsequent retention in care. Several studies have reported lower linkage and retention rates following community testing compared with facility-based testing unless deliberate and active linkage strategies are employed (Okafor et al., 2021). Barriers to linkage and retention include fear of stigma, inadequate post-test counseling, lack of follow-up, and weak referral systems between community and facility services. These gaps threaten progress toward the second and third UNAIDS 95 targets and undermine the long-term impact of community HTS interventions.</w:t>
      </w:r>
    </w:p>
    <w:p w14:paraId="58B3E5B5" w14:textId="77777777" w:rsidR="001A097D" w:rsidRPr="001A097D" w:rsidRDefault="001A097D" w:rsidP="001A097D">
      <w:pPr>
        <w:pStyle w:val="NormalWeb"/>
        <w:spacing w:line="360" w:lineRule="auto"/>
        <w:jc w:val="both"/>
      </w:pPr>
      <w:r w:rsidRPr="001A097D">
        <w:t xml:space="preserve">To address these challenges, differentiated service delivery models that incorporate active linkage and retention support mechanisms have been recommended. Such strategies include immediate post-test counseling, escorted referrals to ART facilities, follow-up by trained </w:t>
      </w:r>
      <w:r w:rsidRPr="001A097D">
        <w:lastRenderedPageBreak/>
        <w:t>community volunteers, and the use of index testing to identify and link additional PLHIV within social and sexual networks. Evidence suggests that combining community testing with structured linkage and follow-up interventions can significantly improve ART initiation and retention outcomes (</w:t>
      </w:r>
      <w:proofErr w:type="spellStart"/>
      <w:r w:rsidRPr="001A097D">
        <w:t>Meribe</w:t>
      </w:r>
      <w:proofErr w:type="spellEnd"/>
      <w:r w:rsidRPr="001A097D">
        <w:t xml:space="preserve"> et al., 2021).</w:t>
      </w:r>
    </w:p>
    <w:p w14:paraId="08802DAB" w14:textId="77777777" w:rsidR="001A097D" w:rsidRPr="001A097D" w:rsidRDefault="001A097D" w:rsidP="001A097D">
      <w:pPr>
        <w:pStyle w:val="NormalWeb"/>
        <w:spacing w:line="360" w:lineRule="auto"/>
        <w:jc w:val="both"/>
      </w:pPr>
      <w:r w:rsidRPr="001A097D">
        <w:t xml:space="preserve">Against this backdrop, this project implemented a comprehensive package of community-based HIV testing and linkage interventions in Karim-Lamido, </w:t>
      </w:r>
      <w:proofErr w:type="spellStart"/>
      <w:r w:rsidRPr="001A097D">
        <w:t>Sardauna</w:t>
      </w:r>
      <w:proofErr w:type="spellEnd"/>
      <w:r w:rsidRPr="001A097D">
        <w:t xml:space="preserve">, and </w:t>
      </w:r>
      <w:proofErr w:type="spellStart"/>
      <w:r w:rsidRPr="001A097D">
        <w:t>Ussa</w:t>
      </w:r>
      <w:proofErr w:type="spellEnd"/>
      <w:r w:rsidRPr="001A097D">
        <w:t xml:space="preserve"> Local Government Areas. The intervention emphasized active linkage to care through immediate counseling, escorted referrals, community volunteer follow-up, and index testing. This paper examines linkage to care and retention outcomes </w:t>
      </w:r>
      <w:proofErr w:type="gramStart"/>
      <w:r w:rsidRPr="001A097D">
        <w:t>one year</w:t>
      </w:r>
      <w:proofErr w:type="gramEnd"/>
      <w:r w:rsidRPr="001A097D">
        <w:t xml:space="preserve"> post-implementation, contributing to the growing body of evidence on effective strategies for strengthening the HIV care continuum in rural Nigerian settings.</w:t>
      </w:r>
    </w:p>
    <w:p w14:paraId="7A0EB8E2" w14:textId="77777777" w:rsidR="0010660F" w:rsidRPr="0010660F" w:rsidRDefault="0010660F" w:rsidP="0010660F">
      <w:pPr>
        <w:jc w:val="both"/>
        <w:rPr>
          <w:rFonts w:ascii="Times New Roman" w:hAnsi="Times New Roman" w:cs="Times New Roman"/>
          <w:b/>
          <w:bCs/>
        </w:rPr>
      </w:pPr>
      <w:r w:rsidRPr="0010660F">
        <w:rPr>
          <w:rFonts w:ascii="Times New Roman" w:hAnsi="Times New Roman" w:cs="Times New Roman"/>
          <w:b/>
          <w:bCs/>
        </w:rPr>
        <w:t>Methods</w:t>
      </w:r>
    </w:p>
    <w:p w14:paraId="21D7A440" w14:textId="77777777" w:rsidR="0010660F" w:rsidRPr="0010660F" w:rsidRDefault="0010660F" w:rsidP="0010660F">
      <w:pPr>
        <w:jc w:val="both"/>
        <w:rPr>
          <w:rFonts w:ascii="Times New Roman" w:hAnsi="Times New Roman" w:cs="Times New Roman"/>
          <w:b/>
          <w:bCs/>
        </w:rPr>
      </w:pPr>
      <w:r w:rsidRPr="0010660F">
        <w:rPr>
          <w:rFonts w:ascii="Times New Roman" w:hAnsi="Times New Roman" w:cs="Times New Roman"/>
          <w:b/>
          <w:bCs/>
        </w:rPr>
        <w:t>Study Design</w:t>
      </w:r>
    </w:p>
    <w:p w14:paraId="68C4DF53" w14:textId="77777777" w:rsidR="0010660F" w:rsidRPr="0010660F" w:rsidRDefault="0010660F" w:rsidP="0010660F">
      <w:pPr>
        <w:jc w:val="both"/>
        <w:rPr>
          <w:rFonts w:ascii="Times New Roman" w:hAnsi="Times New Roman" w:cs="Times New Roman"/>
          <w:bCs/>
        </w:rPr>
      </w:pPr>
      <w:r w:rsidRPr="0010660F">
        <w:rPr>
          <w:rFonts w:ascii="Times New Roman" w:hAnsi="Times New Roman" w:cs="Times New Roman"/>
          <w:bCs/>
        </w:rPr>
        <w:t>This study employed a retrospective programmatic cohort design to evaluate linkage to care, retention, and viral suppression outcomes following implementation of a community-based HIV testing and facilitated linkage intervention. The analysis covered a one-year post-implementation period.</w:t>
      </w:r>
    </w:p>
    <w:p w14:paraId="63B85635" w14:textId="77777777" w:rsidR="0010660F" w:rsidRPr="0010660F" w:rsidRDefault="0010660F" w:rsidP="0010660F">
      <w:pPr>
        <w:jc w:val="both"/>
        <w:rPr>
          <w:rFonts w:ascii="Times New Roman" w:hAnsi="Times New Roman" w:cs="Times New Roman"/>
          <w:b/>
          <w:bCs/>
        </w:rPr>
      </w:pPr>
      <w:r w:rsidRPr="0010660F">
        <w:rPr>
          <w:rFonts w:ascii="Times New Roman" w:hAnsi="Times New Roman" w:cs="Times New Roman"/>
          <w:b/>
          <w:bCs/>
        </w:rPr>
        <w:t>Study Setting</w:t>
      </w:r>
    </w:p>
    <w:p w14:paraId="31D00E0A" w14:textId="77777777" w:rsidR="0010660F" w:rsidRPr="0010660F" w:rsidRDefault="0010660F" w:rsidP="0010660F">
      <w:pPr>
        <w:jc w:val="both"/>
        <w:rPr>
          <w:rFonts w:ascii="Times New Roman" w:hAnsi="Times New Roman" w:cs="Times New Roman"/>
          <w:bCs/>
        </w:rPr>
      </w:pPr>
      <w:r w:rsidRPr="0010660F">
        <w:rPr>
          <w:rFonts w:ascii="Times New Roman" w:hAnsi="Times New Roman" w:cs="Times New Roman"/>
          <w:bCs/>
        </w:rPr>
        <w:t xml:space="preserve">The intervention was conducted in three rural and hard-to-reach Local Government Areas (LGAs) of Taraba State, Nigeria: Karim-Lamido, </w:t>
      </w:r>
      <w:proofErr w:type="spellStart"/>
      <w:r w:rsidRPr="0010660F">
        <w:rPr>
          <w:rFonts w:ascii="Times New Roman" w:hAnsi="Times New Roman" w:cs="Times New Roman"/>
          <w:bCs/>
        </w:rPr>
        <w:t>Sardauna</w:t>
      </w:r>
      <w:proofErr w:type="spellEnd"/>
      <w:r w:rsidRPr="0010660F">
        <w:rPr>
          <w:rFonts w:ascii="Times New Roman" w:hAnsi="Times New Roman" w:cs="Times New Roman"/>
          <w:bCs/>
        </w:rPr>
        <w:t xml:space="preserve">, and </w:t>
      </w:r>
      <w:proofErr w:type="spellStart"/>
      <w:r w:rsidRPr="0010660F">
        <w:rPr>
          <w:rFonts w:ascii="Times New Roman" w:hAnsi="Times New Roman" w:cs="Times New Roman"/>
          <w:bCs/>
        </w:rPr>
        <w:t>Ussa</w:t>
      </w:r>
      <w:proofErr w:type="spellEnd"/>
      <w:r w:rsidRPr="0010660F">
        <w:rPr>
          <w:rFonts w:ascii="Times New Roman" w:hAnsi="Times New Roman" w:cs="Times New Roman"/>
          <w:bCs/>
        </w:rPr>
        <w:t>. These LGAs are characterized by dispersed settlements, limited access to facility-based services, and documented HIV burden. Community-based HIV testing services were implemented in collaboration with local stakeholders and health facilities providing antiretroviral therapy (ART).</w:t>
      </w:r>
    </w:p>
    <w:p w14:paraId="193DE4C9" w14:textId="77777777" w:rsidR="0010660F" w:rsidRPr="00DF5611" w:rsidRDefault="0010660F" w:rsidP="0010660F">
      <w:pPr>
        <w:jc w:val="both"/>
        <w:rPr>
          <w:rFonts w:ascii="Times New Roman" w:hAnsi="Times New Roman" w:cs="Times New Roman"/>
          <w:b/>
        </w:rPr>
      </w:pPr>
      <w:r w:rsidRPr="00DF5611">
        <w:rPr>
          <w:rFonts w:ascii="Times New Roman" w:hAnsi="Times New Roman" w:cs="Times New Roman"/>
          <w:b/>
          <w:noProof/>
        </w:rPr>
        <w:lastRenderedPageBreak/>
        <w:drawing>
          <wp:anchor distT="0" distB="0" distL="114300" distR="114300" simplePos="0" relativeHeight="251680768" behindDoc="0" locked="0" layoutInCell="1" allowOverlap="1" wp14:anchorId="571CF09B" wp14:editId="0C474400">
            <wp:simplePos x="0" y="0"/>
            <wp:positionH relativeFrom="margin">
              <wp:posOffset>0</wp:posOffset>
            </wp:positionH>
            <wp:positionV relativeFrom="paragraph">
              <wp:posOffset>304165</wp:posOffset>
            </wp:positionV>
            <wp:extent cx="2108200" cy="2314575"/>
            <wp:effectExtent l="0" t="0" r="635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8200" cy="2314575"/>
                    </a:xfrm>
                    <a:prstGeom prst="rect">
                      <a:avLst/>
                    </a:prstGeom>
                    <a:noFill/>
                  </pic:spPr>
                </pic:pic>
              </a:graphicData>
            </a:graphic>
          </wp:anchor>
        </w:drawing>
      </w:r>
      <w:r w:rsidRPr="00DF5611">
        <w:rPr>
          <w:rFonts w:ascii="Times New Roman" w:hAnsi="Times New Roman" w:cs="Times New Roman"/>
          <w:b/>
        </w:rPr>
        <w:t xml:space="preserve">Figure 1: Map of Taraba State showing LGAs of Intervention </w:t>
      </w:r>
    </w:p>
    <w:p w14:paraId="767EA598" w14:textId="77777777" w:rsidR="0010660F" w:rsidRDefault="0010660F" w:rsidP="0010660F">
      <w:pPr>
        <w:spacing w:after="0"/>
        <w:rPr>
          <w:sz w:val="16"/>
          <w:szCs w:val="16"/>
          <w:lang w:val="en-GB"/>
        </w:rPr>
      </w:pPr>
    </w:p>
    <w:p w14:paraId="73A3A95C" w14:textId="77777777" w:rsidR="0010660F" w:rsidRDefault="0010660F" w:rsidP="0010660F">
      <w:pPr>
        <w:spacing w:after="0"/>
        <w:rPr>
          <w:sz w:val="16"/>
          <w:szCs w:val="16"/>
          <w:lang w:val="en-GB"/>
        </w:rPr>
      </w:pPr>
      <w:r w:rsidRPr="00EC3258">
        <w:rPr>
          <w:noProof/>
        </w:rPr>
        <mc:AlternateContent>
          <mc:Choice Requires="wps">
            <w:drawing>
              <wp:anchor distT="45720" distB="45720" distL="114300" distR="114300" simplePos="0" relativeHeight="251678720" behindDoc="0" locked="0" layoutInCell="1" allowOverlap="1" wp14:anchorId="250877BD" wp14:editId="50E648ED">
                <wp:simplePos x="0" y="0"/>
                <wp:positionH relativeFrom="column">
                  <wp:posOffset>181952</wp:posOffset>
                </wp:positionH>
                <wp:positionV relativeFrom="paragraph">
                  <wp:posOffset>8402</wp:posOffset>
                </wp:positionV>
                <wp:extent cx="1777365" cy="477520"/>
                <wp:effectExtent l="0" t="0" r="13335" b="17780"/>
                <wp:wrapSquare wrapText="bothSides"/>
                <wp:docPr id="1626981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477520"/>
                        </a:xfrm>
                        <a:prstGeom prst="rect">
                          <a:avLst/>
                        </a:prstGeom>
                        <a:solidFill>
                          <a:srgbClr val="FFFFFF"/>
                        </a:solidFill>
                        <a:ln w="9525">
                          <a:solidFill>
                            <a:srgbClr val="000000"/>
                          </a:solidFill>
                          <a:miter lim="800000"/>
                          <a:headEnd/>
                          <a:tailEnd/>
                        </a:ln>
                      </wps:spPr>
                      <wps:txbx>
                        <w:txbxContent>
                          <w:p w14:paraId="06434D7D" w14:textId="77777777" w:rsidR="0010660F" w:rsidRPr="00EC3258" w:rsidRDefault="0010660F" w:rsidP="0010660F">
                            <w:pPr>
                              <w:spacing w:after="0"/>
                              <w:jc w:val="right"/>
                              <w:rPr>
                                <w:b/>
                                <w:bCs/>
                                <w:sz w:val="20"/>
                                <w:szCs w:val="20"/>
                              </w:rPr>
                            </w:pPr>
                            <w:r w:rsidRPr="00EC3258">
                              <w:rPr>
                                <w:b/>
                                <w:bCs/>
                                <w:sz w:val="20"/>
                                <w:szCs w:val="20"/>
                              </w:rPr>
                              <w:t>Legend</w:t>
                            </w:r>
                          </w:p>
                          <w:p w14:paraId="5F0071B3" w14:textId="77777777" w:rsidR="0010660F" w:rsidRDefault="0010660F" w:rsidP="0010660F">
                            <w:pPr>
                              <w:spacing w:line="240" w:lineRule="auto"/>
                              <w:rPr>
                                <w:sz w:val="20"/>
                                <w:szCs w:val="20"/>
                              </w:rPr>
                            </w:pPr>
                            <w:r w:rsidRPr="00EC3258">
                              <w:rPr>
                                <w:sz w:val="20"/>
                                <w:szCs w:val="20"/>
                              </w:rPr>
                              <w:t>LGAs of Intervention</w:t>
                            </w:r>
                          </w:p>
                          <w:p w14:paraId="2F16D032" w14:textId="77777777" w:rsidR="0010660F" w:rsidRPr="00EC3258" w:rsidRDefault="0010660F" w:rsidP="0010660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877BD" id="_x0000_t202" coordsize="21600,21600" o:spt="202" path="m,l,21600r21600,l21600,xe">
                <v:stroke joinstyle="miter"/>
                <v:path gradientshapeok="t" o:connecttype="rect"/>
              </v:shapetype>
              <v:shape id="Text Box 2" o:spid="_x0000_s1026" type="#_x0000_t202" style="position:absolute;margin-left:14.35pt;margin-top:.65pt;width:139.95pt;height:37.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">
                <v:textbox>
                  <w:txbxContent>
                    <w:p w14:paraId="06434D7D" w14:textId="77777777" w:rsidR="0010660F" w:rsidRPr="00EC3258" w:rsidRDefault="0010660F" w:rsidP="0010660F">
                      <w:pPr>
                        <w:spacing w:after="0"/>
                        <w:jc w:val="right"/>
                        <w:rPr>
                          <w:b/>
                          <w:bCs/>
                          <w:sz w:val="20"/>
                          <w:szCs w:val="20"/>
                        </w:rPr>
                      </w:pPr>
                      <w:r w:rsidRPr="00EC3258">
                        <w:rPr>
                          <w:b/>
                          <w:bCs/>
                          <w:sz w:val="20"/>
                          <w:szCs w:val="20"/>
                        </w:rPr>
                        <w:t>Legend</w:t>
                      </w:r>
                    </w:p>
                    <w:p w14:paraId="5F0071B3" w14:textId="77777777" w:rsidR="0010660F" w:rsidRDefault="0010660F" w:rsidP="0010660F">
                      <w:pPr>
                        <w:spacing w:line="240" w:lineRule="auto"/>
                        <w:rPr>
                          <w:sz w:val="20"/>
                          <w:szCs w:val="20"/>
                        </w:rPr>
                      </w:pPr>
                      <w:r w:rsidRPr="00EC3258">
                        <w:rPr>
                          <w:sz w:val="20"/>
                          <w:szCs w:val="20"/>
                        </w:rPr>
                        <w:t>LGAs of Intervention</w:t>
                      </w:r>
                    </w:p>
                    <w:p w14:paraId="2F16D032" w14:textId="77777777" w:rsidR="0010660F" w:rsidRPr="00EC3258" w:rsidRDefault="0010660F" w:rsidP="0010660F">
                      <w:pPr>
                        <w:rPr>
                          <w:sz w:val="20"/>
                          <w:szCs w:val="20"/>
                        </w:rPr>
                      </w:pPr>
                    </w:p>
                  </w:txbxContent>
                </v:textbox>
                <w10:wrap type="square"/>
              </v:shape>
            </w:pict>
          </mc:Fallback>
        </mc:AlternateContent>
      </w:r>
    </w:p>
    <w:p w14:paraId="68A5130C" w14:textId="77777777" w:rsidR="0010660F" w:rsidRDefault="0010660F" w:rsidP="0010660F">
      <w:pPr>
        <w:spacing w:after="0"/>
        <w:rPr>
          <w:sz w:val="16"/>
          <w:szCs w:val="16"/>
          <w:lang w:val="en-GB"/>
        </w:rPr>
      </w:pPr>
      <w:r>
        <w:rPr>
          <w:noProof/>
        </w:rPr>
        <mc:AlternateContent>
          <mc:Choice Requires="wps">
            <w:drawing>
              <wp:anchor distT="0" distB="0" distL="114300" distR="114300" simplePos="0" relativeHeight="251679744" behindDoc="0" locked="0" layoutInCell="1" allowOverlap="1" wp14:anchorId="2D889FF0" wp14:editId="6D6C8CFB">
                <wp:simplePos x="0" y="0"/>
                <wp:positionH relativeFrom="column">
                  <wp:posOffset>1486480</wp:posOffset>
                </wp:positionH>
                <wp:positionV relativeFrom="paragraph">
                  <wp:posOffset>130451</wp:posOffset>
                </wp:positionV>
                <wp:extent cx="385281" cy="158863"/>
                <wp:effectExtent l="0" t="0" r="15240" b="12700"/>
                <wp:wrapNone/>
                <wp:docPr id="1219452920" name="Rectangle 1"/>
                <wp:cNvGraphicFramePr/>
                <a:graphic xmlns:a="http://schemas.openxmlformats.org/drawingml/2006/main">
                  <a:graphicData uri="http://schemas.microsoft.com/office/word/2010/wordprocessingShape">
                    <wps:wsp>
                      <wps:cNvSpPr/>
                      <wps:spPr>
                        <a:xfrm>
                          <a:off x="0" y="0"/>
                          <a:ext cx="385281" cy="158863"/>
                        </a:xfrm>
                        <a:prstGeom prst="rect">
                          <a:avLst/>
                        </a:prstGeom>
                        <a:solidFill>
                          <a:srgbClr val="0000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258954" id="Rectangle 1" o:spid="_x0000_s1026" style="position:absolute;margin-left:117.05pt;margin-top:10.25pt;width:30.35pt;height:1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" fillcolor="blue" strokecolor="#030e13 [484]" strokeweight="1pt"/>
            </w:pict>
          </mc:Fallback>
        </mc:AlternateContent>
      </w:r>
    </w:p>
    <w:p w14:paraId="1FD8B177" w14:textId="7B76DE25" w:rsidR="0010660F" w:rsidRDefault="008465AA" w:rsidP="0010660F">
      <w:pPr>
        <w:jc w:val="both"/>
        <w:rPr>
          <w:rFonts w:ascii="Times New Roman" w:hAnsi="Times New Roman" w:cs="Times New Roman"/>
        </w:rPr>
      </w:pPr>
      <w:r>
        <w:rPr>
          <w:rFonts w:ascii="Times New Roman" w:hAnsi="Times New Roman" w:cs="Times New Roman"/>
        </w:rPr>
        <w:t xml:space="preserve"> </w:t>
      </w:r>
    </w:p>
    <w:p w14:paraId="15B766DC" w14:textId="77777777" w:rsidR="0010660F" w:rsidRPr="0010660F" w:rsidRDefault="0010660F" w:rsidP="0010660F">
      <w:pPr>
        <w:jc w:val="both"/>
        <w:rPr>
          <w:rFonts w:ascii="Times New Roman" w:hAnsi="Times New Roman" w:cs="Times New Roman"/>
          <w:b/>
          <w:bCs/>
        </w:rPr>
      </w:pPr>
      <w:r w:rsidRPr="0010660F">
        <w:rPr>
          <w:rFonts w:ascii="Times New Roman" w:hAnsi="Times New Roman" w:cs="Times New Roman"/>
          <w:b/>
          <w:bCs/>
        </w:rPr>
        <w:t>Study Population</w:t>
      </w:r>
    </w:p>
    <w:p w14:paraId="37F1B581" w14:textId="77777777" w:rsidR="0010660F" w:rsidRPr="0010660F" w:rsidRDefault="0010660F" w:rsidP="0010660F">
      <w:pPr>
        <w:jc w:val="both"/>
        <w:rPr>
          <w:rFonts w:ascii="Times New Roman" w:hAnsi="Times New Roman" w:cs="Times New Roman"/>
          <w:bCs/>
        </w:rPr>
      </w:pPr>
      <w:r w:rsidRPr="0010660F">
        <w:rPr>
          <w:rFonts w:ascii="Times New Roman" w:hAnsi="Times New Roman" w:cs="Times New Roman"/>
          <w:bCs/>
        </w:rPr>
        <w:t>The study population comprised individuals who received HIV testing through community-based outreach activities within the three LGAs during the implementation period. Individuals newly diagnosed with HIV through these services were included in the linkage and retention analysis. Clients previously known to be HIV-positive were excluded from new case identification but included where relevant for re-linkage documentation.</w:t>
      </w:r>
    </w:p>
    <w:p w14:paraId="4ECCD673" w14:textId="77777777" w:rsidR="0010660F" w:rsidRPr="0010660F" w:rsidRDefault="0010660F" w:rsidP="0010660F">
      <w:pPr>
        <w:jc w:val="both"/>
        <w:rPr>
          <w:rFonts w:ascii="Times New Roman" w:hAnsi="Times New Roman" w:cs="Times New Roman"/>
          <w:b/>
          <w:bCs/>
        </w:rPr>
      </w:pPr>
      <w:r w:rsidRPr="0010660F">
        <w:rPr>
          <w:rFonts w:ascii="Times New Roman" w:hAnsi="Times New Roman" w:cs="Times New Roman"/>
          <w:b/>
          <w:bCs/>
        </w:rPr>
        <w:t>Intervention Description</w:t>
      </w:r>
    </w:p>
    <w:p w14:paraId="234BE9A6" w14:textId="77777777" w:rsidR="0010660F" w:rsidRPr="0010660F" w:rsidRDefault="0010660F" w:rsidP="0010660F">
      <w:pPr>
        <w:jc w:val="both"/>
        <w:rPr>
          <w:rFonts w:ascii="Times New Roman" w:hAnsi="Times New Roman" w:cs="Times New Roman"/>
          <w:bCs/>
        </w:rPr>
      </w:pPr>
      <w:r w:rsidRPr="0010660F">
        <w:rPr>
          <w:rFonts w:ascii="Times New Roman" w:hAnsi="Times New Roman" w:cs="Times New Roman"/>
          <w:bCs/>
        </w:rPr>
        <w:t>The intervention package included:</w:t>
      </w:r>
    </w:p>
    <w:p w14:paraId="324F400D" w14:textId="77777777" w:rsidR="0010660F" w:rsidRPr="0010660F" w:rsidRDefault="0010660F" w:rsidP="0010660F">
      <w:pPr>
        <w:numPr>
          <w:ilvl w:val="0"/>
          <w:numId w:val="6"/>
        </w:numPr>
        <w:jc w:val="both"/>
        <w:rPr>
          <w:rFonts w:ascii="Times New Roman" w:hAnsi="Times New Roman" w:cs="Times New Roman"/>
          <w:bCs/>
        </w:rPr>
      </w:pPr>
      <w:r w:rsidRPr="0010660F">
        <w:rPr>
          <w:rFonts w:ascii="Times New Roman" w:hAnsi="Times New Roman" w:cs="Times New Roman"/>
          <w:bCs/>
        </w:rPr>
        <w:t>Community-based HIV testing services (HTS) conducted using World Health Organization (WHO)-recommended serial testing algorithms and national guidelines, with pre- and post-test counselling.</w:t>
      </w:r>
    </w:p>
    <w:p w14:paraId="2558F5C9" w14:textId="77777777" w:rsidR="0010660F" w:rsidRPr="0010660F" w:rsidRDefault="0010660F" w:rsidP="0010660F">
      <w:pPr>
        <w:numPr>
          <w:ilvl w:val="0"/>
          <w:numId w:val="6"/>
        </w:numPr>
        <w:jc w:val="both"/>
        <w:rPr>
          <w:rFonts w:ascii="Times New Roman" w:hAnsi="Times New Roman" w:cs="Times New Roman"/>
          <w:bCs/>
        </w:rPr>
      </w:pPr>
      <w:r w:rsidRPr="0010660F">
        <w:rPr>
          <w:rFonts w:ascii="Times New Roman" w:hAnsi="Times New Roman" w:cs="Times New Roman"/>
          <w:bCs/>
        </w:rPr>
        <w:t>Index/contact testing offered to sexual partners and household contacts of newly identified positive clients.</w:t>
      </w:r>
    </w:p>
    <w:p w14:paraId="60D9E94C" w14:textId="77777777" w:rsidR="0010660F" w:rsidRPr="0010660F" w:rsidRDefault="0010660F" w:rsidP="0010660F">
      <w:pPr>
        <w:numPr>
          <w:ilvl w:val="0"/>
          <w:numId w:val="6"/>
        </w:numPr>
        <w:jc w:val="both"/>
        <w:rPr>
          <w:rFonts w:ascii="Times New Roman" w:hAnsi="Times New Roman" w:cs="Times New Roman"/>
          <w:bCs/>
        </w:rPr>
      </w:pPr>
      <w:r w:rsidRPr="0010660F">
        <w:rPr>
          <w:rFonts w:ascii="Times New Roman" w:hAnsi="Times New Roman" w:cs="Times New Roman"/>
          <w:bCs/>
        </w:rPr>
        <w:t>Immediate facilitated linkage to ART services, including same-day or next-day escorted referral to designated treatment facilities, or community ART initiation where permitted by national policy.</w:t>
      </w:r>
    </w:p>
    <w:p w14:paraId="22D7FB2D" w14:textId="77777777" w:rsidR="0010660F" w:rsidRPr="0010660F" w:rsidRDefault="0010660F" w:rsidP="0010660F">
      <w:pPr>
        <w:numPr>
          <w:ilvl w:val="0"/>
          <w:numId w:val="6"/>
        </w:numPr>
        <w:jc w:val="both"/>
        <w:rPr>
          <w:rFonts w:ascii="Times New Roman" w:hAnsi="Times New Roman" w:cs="Times New Roman"/>
          <w:bCs/>
        </w:rPr>
      </w:pPr>
      <w:r w:rsidRPr="0010660F">
        <w:rPr>
          <w:rFonts w:ascii="Times New Roman" w:hAnsi="Times New Roman" w:cs="Times New Roman"/>
          <w:bCs/>
        </w:rPr>
        <w:t>Active follow-up by trained community volunteers and community-based organization (CBO) staff to support appointment attendance, adherence, and early retention.</w:t>
      </w:r>
    </w:p>
    <w:p w14:paraId="52CBBCC5" w14:textId="77777777" w:rsidR="0010660F" w:rsidRPr="0010660F" w:rsidRDefault="0010660F" w:rsidP="0010660F">
      <w:pPr>
        <w:jc w:val="both"/>
        <w:rPr>
          <w:rFonts w:ascii="Times New Roman" w:hAnsi="Times New Roman" w:cs="Times New Roman"/>
          <w:b/>
          <w:bCs/>
        </w:rPr>
      </w:pPr>
      <w:r w:rsidRPr="0010660F">
        <w:rPr>
          <w:rFonts w:ascii="Times New Roman" w:hAnsi="Times New Roman" w:cs="Times New Roman"/>
          <w:b/>
          <w:bCs/>
        </w:rPr>
        <w:t>Data Sources and Variables</w:t>
      </w:r>
    </w:p>
    <w:p w14:paraId="6D15C015" w14:textId="77777777" w:rsidR="0010660F" w:rsidRPr="0010660F" w:rsidRDefault="0010660F" w:rsidP="0010660F">
      <w:pPr>
        <w:jc w:val="both"/>
        <w:rPr>
          <w:rFonts w:ascii="Times New Roman" w:hAnsi="Times New Roman" w:cs="Times New Roman"/>
          <w:bCs/>
        </w:rPr>
      </w:pPr>
      <w:r w:rsidRPr="0010660F">
        <w:rPr>
          <w:rFonts w:ascii="Times New Roman" w:hAnsi="Times New Roman" w:cs="Times New Roman"/>
          <w:bCs/>
        </w:rPr>
        <w:t>Data were extracted from routine program registers, HTS logs, referral tracking tools, and ART clinic records. Key variables included:</w:t>
      </w:r>
    </w:p>
    <w:p w14:paraId="7676E2C2" w14:textId="77777777" w:rsidR="0010660F" w:rsidRPr="0010660F" w:rsidRDefault="0010660F" w:rsidP="0010660F">
      <w:pPr>
        <w:numPr>
          <w:ilvl w:val="0"/>
          <w:numId w:val="7"/>
        </w:numPr>
        <w:jc w:val="both"/>
        <w:rPr>
          <w:rFonts w:ascii="Times New Roman" w:hAnsi="Times New Roman" w:cs="Times New Roman"/>
          <w:bCs/>
        </w:rPr>
      </w:pPr>
      <w:r w:rsidRPr="0010660F">
        <w:rPr>
          <w:rFonts w:ascii="Times New Roman" w:hAnsi="Times New Roman" w:cs="Times New Roman"/>
          <w:bCs/>
        </w:rPr>
        <w:t>Demographic characteristics (age, sex, LGA)</w:t>
      </w:r>
    </w:p>
    <w:p w14:paraId="49E61381" w14:textId="77777777" w:rsidR="0010660F" w:rsidRPr="0010660F" w:rsidRDefault="0010660F" w:rsidP="0010660F">
      <w:pPr>
        <w:numPr>
          <w:ilvl w:val="0"/>
          <w:numId w:val="7"/>
        </w:numPr>
        <w:jc w:val="both"/>
        <w:rPr>
          <w:rFonts w:ascii="Times New Roman" w:hAnsi="Times New Roman" w:cs="Times New Roman"/>
          <w:bCs/>
        </w:rPr>
      </w:pPr>
      <w:r w:rsidRPr="0010660F">
        <w:rPr>
          <w:rFonts w:ascii="Times New Roman" w:hAnsi="Times New Roman" w:cs="Times New Roman"/>
          <w:bCs/>
        </w:rPr>
        <w:lastRenderedPageBreak/>
        <w:t>HIV test results</w:t>
      </w:r>
    </w:p>
    <w:p w14:paraId="1A870C6A" w14:textId="77777777" w:rsidR="0010660F" w:rsidRPr="0010660F" w:rsidRDefault="0010660F" w:rsidP="0010660F">
      <w:pPr>
        <w:numPr>
          <w:ilvl w:val="0"/>
          <w:numId w:val="7"/>
        </w:numPr>
        <w:jc w:val="both"/>
        <w:rPr>
          <w:rFonts w:ascii="Times New Roman" w:hAnsi="Times New Roman" w:cs="Times New Roman"/>
          <w:bCs/>
        </w:rPr>
      </w:pPr>
      <w:r w:rsidRPr="0010660F">
        <w:rPr>
          <w:rFonts w:ascii="Times New Roman" w:hAnsi="Times New Roman" w:cs="Times New Roman"/>
          <w:bCs/>
        </w:rPr>
        <w:t>Date of HIV diagnosis</w:t>
      </w:r>
    </w:p>
    <w:p w14:paraId="49F3FC19" w14:textId="77777777" w:rsidR="0010660F" w:rsidRPr="0010660F" w:rsidRDefault="0010660F" w:rsidP="0010660F">
      <w:pPr>
        <w:numPr>
          <w:ilvl w:val="0"/>
          <w:numId w:val="7"/>
        </w:numPr>
        <w:jc w:val="both"/>
        <w:rPr>
          <w:rFonts w:ascii="Times New Roman" w:hAnsi="Times New Roman" w:cs="Times New Roman"/>
          <w:bCs/>
        </w:rPr>
      </w:pPr>
      <w:r w:rsidRPr="0010660F">
        <w:rPr>
          <w:rFonts w:ascii="Times New Roman" w:hAnsi="Times New Roman" w:cs="Times New Roman"/>
          <w:bCs/>
        </w:rPr>
        <w:t>Date of ART initiation</w:t>
      </w:r>
    </w:p>
    <w:p w14:paraId="301B30C3" w14:textId="77777777" w:rsidR="0010660F" w:rsidRPr="0010660F" w:rsidRDefault="0010660F" w:rsidP="0010660F">
      <w:pPr>
        <w:numPr>
          <w:ilvl w:val="0"/>
          <w:numId w:val="7"/>
        </w:numPr>
        <w:jc w:val="both"/>
        <w:rPr>
          <w:rFonts w:ascii="Times New Roman" w:hAnsi="Times New Roman" w:cs="Times New Roman"/>
          <w:bCs/>
        </w:rPr>
      </w:pPr>
      <w:r w:rsidRPr="0010660F">
        <w:rPr>
          <w:rFonts w:ascii="Times New Roman" w:hAnsi="Times New Roman" w:cs="Times New Roman"/>
          <w:bCs/>
        </w:rPr>
        <w:t>Retention status at 12 months (documented clinic attendance or ART refill within the 12-month window)</w:t>
      </w:r>
    </w:p>
    <w:p w14:paraId="1E2A6EFA" w14:textId="77777777" w:rsidR="0010660F" w:rsidRPr="0010660F" w:rsidRDefault="0010660F" w:rsidP="0010660F">
      <w:pPr>
        <w:numPr>
          <w:ilvl w:val="0"/>
          <w:numId w:val="7"/>
        </w:numPr>
        <w:jc w:val="both"/>
        <w:rPr>
          <w:rFonts w:ascii="Times New Roman" w:hAnsi="Times New Roman" w:cs="Times New Roman"/>
          <w:bCs/>
        </w:rPr>
      </w:pPr>
      <w:r w:rsidRPr="0010660F">
        <w:rPr>
          <w:rFonts w:ascii="Times New Roman" w:hAnsi="Times New Roman" w:cs="Times New Roman"/>
          <w:bCs/>
        </w:rPr>
        <w:t>Most recent viral load result</w:t>
      </w:r>
    </w:p>
    <w:p w14:paraId="5CF020E5" w14:textId="77777777" w:rsidR="0010660F" w:rsidRPr="0010660F" w:rsidRDefault="0010660F" w:rsidP="0010660F">
      <w:pPr>
        <w:jc w:val="both"/>
        <w:rPr>
          <w:rFonts w:ascii="Times New Roman" w:hAnsi="Times New Roman" w:cs="Times New Roman"/>
          <w:b/>
          <w:bCs/>
        </w:rPr>
      </w:pPr>
      <w:r w:rsidRPr="0010660F">
        <w:rPr>
          <w:rFonts w:ascii="Times New Roman" w:hAnsi="Times New Roman" w:cs="Times New Roman"/>
          <w:b/>
          <w:bCs/>
        </w:rPr>
        <w:t>Outcome Definitions</w:t>
      </w:r>
    </w:p>
    <w:p w14:paraId="032AD440" w14:textId="77777777" w:rsidR="0010660F" w:rsidRPr="0010660F" w:rsidRDefault="0010660F" w:rsidP="0010660F">
      <w:pPr>
        <w:numPr>
          <w:ilvl w:val="0"/>
          <w:numId w:val="8"/>
        </w:numPr>
        <w:jc w:val="both"/>
        <w:rPr>
          <w:rFonts w:ascii="Times New Roman" w:hAnsi="Times New Roman" w:cs="Times New Roman"/>
          <w:bCs/>
        </w:rPr>
      </w:pPr>
      <w:r w:rsidRPr="0010660F">
        <w:rPr>
          <w:rFonts w:ascii="Times New Roman" w:hAnsi="Times New Roman" w:cs="Times New Roman"/>
          <w:bCs/>
        </w:rPr>
        <w:t>HIV positivity rate: Number of individuals testing positive divided by total individuals tested.</w:t>
      </w:r>
    </w:p>
    <w:p w14:paraId="1D1D53AC" w14:textId="77777777" w:rsidR="0010660F" w:rsidRPr="0010660F" w:rsidRDefault="0010660F" w:rsidP="0010660F">
      <w:pPr>
        <w:numPr>
          <w:ilvl w:val="0"/>
          <w:numId w:val="8"/>
        </w:numPr>
        <w:jc w:val="both"/>
        <w:rPr>
          <w:rFonts w:ascii="Times New Roman" w:hAnsi="Times New Roman" w:cs="Times New Roman"/>
          <w:bCs/>
        </w:rPr>
      </w:pPr>
      <w:r w:rsidRPr="0010660F">
        <w:rPr>
          <w:rFonts w:ascii="Times New Roman" w:hAnsi="Times New Roman" w:cs="Times New Roman"/>
          <w:bCs/>
        </w:rPr>
        <w:t>Linkage to care: Initiation of ART within 30 days of HIV diagnosis.</w:t>
      </w:r>
    </w:p>
    <w:p w14:paraId="091FBEB6" w14:textId="77777777" w:rsidR="0010660F" w:rsidRPr="0010660F" w:rsidRDefault="0010660F" w:rsidP="0010660F">
      <w:pPr>
        <w:numPr>
          <w:ilvl w:val="0"/>
          <w:numId w:val="8"/>
        </w:numPr>
        <w:jc w:val="both"/>
        <w:rPr>
          <w:rFonts w:ascii="Times New Roman" w:hAnsi="Times New Roman" w:cs="Times New Roman"/>
          <w:bCs/>
        </w:rPr>
      </w:pPr>
      <w:r w:rsidRPr="0010660F">
        <w:rPr>
          <w:rFonts w:ascii="Times New Roman" w:hAnsi="Times New Roman" w:cs="Times New Roman"/>
          <w:bCs/>
        </w:rPr>
        <w:t>Retention at 12 months: Documented evidence of continued engagement in care (clinic visit or ART refill) 12 months after ART initiation.</w:t>
      </w:r>
    </w:p>
    <w:p w14:paraId="21E412B4" w14:textId="77777777" w:rsidR="0010660F" w:rsidRPr="0010660F" w:rsidRDefault="0010660F" w:rsidP="0010660F">
      <w:pPr>
        <w:numPr>
          <w:ilvl w:val="0"/>
          <w:numId w:val="8"/>
        </w:numPr>
        <w:jc w:val="both"/>
        <w:rPr>
          <w:rFonts w:ascii="Times New Roman" w:hAnsi="Times New Roman" w:cs="Times New Roman"/>
          <w:bCs/>
        </w:rPr>
      </w:pPr>
      <w:r w:rsidRPr="0010660F">
        <w:rPr>
          <w:rFonts w:ascii="Times New Roman" w:hAnsi="Times New Roman" w:cs="Times New Roman"/>
          <w:bCs/>
        </w:rPr>
        <w:t>Viral suppression: Viral load below the national threshold for suppression (≤1,000 copies/mL, as per national guidelines).</w:t>
      </w:r>
    </w:p>
    <w:p w14:paraId="45AE3AEA" w14:textId="77777777" w:rsidR="0010660F" w:rsidRPr="0010660F" w:rsidRDefault="0010660F" w:rsidP="0010660F">
      <w:pPr>
        <w:jc w:val="both"/>
        <w:rPr>
          <w:rFonts w:ascii="Times New Roman" w:hAnsi="Times New Roman" w:cs="Times New Roman"/>
          <w:b/>
          <w:bCs/>
        </w:rPr>
      </w:pPr>
      <w:r w:rsidRPr="0010660F">
        <w:rPr>
          <w:rFonts w:ascii="Times New Roman" w:hAnsi="Times New Roman" w:cs="Times New Roman"/>
          <w:b/>
          <w:bCs/>
        </w:rPr>
        <w:t>Data Analysis</w:t>
      </w:r>
    </w:p>
    <w:p w14:paraId="4816ED56" w14:textId="77777777" w:rsidR="0010660F" w:rsidRPr="0010660F" w:rsidRDefault="0010660F" w:rsidP="0010660F">
      <w:pPr>
        <w:jc w:val="both"/>
        <w:rPr>
          <w:rFonts w:ascii="Times New Roman" w:hAnsi="Times New Roman" w:cs="Times New Roman"/>
          <w:bCs/>
        </w:rPr>
      </w:pPr>
      <w:r w:rsidRPr="0010660F">
        <w:rPr>
          <w:rFonts w:ascii="Times New Roman" w:hAnsi="Times New Roman" w:cs="Times New Roman"/>
          <w:bCs/>
        </w:rPr>
        <w:t>Data were entered into Microsoft Excel and analyzed descriptively. Frequencies and proportions were calculated for HIV positivity, linkage to care within 30 days, retention at 12 months, and viral suppression among clients with available viral load results. Outcomes were disaggregated by LGA, sex, and population group where applicable. Given the programmatic nature of the dataset, inferential statistical testing was not conducted; analysis focused on describing service cascade performance and identifying programmatic trends.</w:t>
      </w:r>
    </w:p>
    <w:p w14:paraId="329BDD47" w14:textId="77777777" w:rsidR="0010660F" w:rsidRPr="0010660F" w:rsidRDefault="0010660F" w:rsidP="0010660F">
      <w:pPr>
        <w:jc w:val="both"/>
        <w:rPr>
          <w:rFonts w:ascii="Times New Roman" w:hAnsi="Times New Roman" w:cs="Times New Roman"/>
          <w:b/>
          <w:bCs/>
        </w:rPr>
      </w:pPr>
      <w:r w:rsidRPr="0010660F">
        <w:rPr>
          <w:rFonts w:ascii="Times New Roman" w:hAnsi="Times New Roman" w:cs="Times New Roman"/>
          <w:b/>
          <w:bCs/>
        </w:rPr>
        <w:t>Ethical Considerations</w:t>
      </w:r>
    </w:p>
    <w:p w14:paraId="2084A8E3" w14:textId="77777777" w:rsidR="0010660F" w:rsidRPr="0010660F" w:rsidRDefault="0010660F" w:rsidP="0010660F">
      <w:pPr>
        <w:jc w:val="both"/>
        <w:rPr>
          <w:rFonts w:ascii="Times New Roman" w:hAnsi="Times New Roman" w:cs="Times New Roman"/>
          <w:bCs/>
        </w:rPr>
      </w:pPr>
      <w:r w:rsidRPr="0010660F">
        <w:rPr>
          <w:rFonts w:ascii="Times New Roman" w:hAnsi="Times New Roman" w:cs="Times New Roman"/>
          <w:bCs/>
        </w:rPr>
        <w:t>The study utilized de-identified routine program data collected as part of service delivery. Ethical approval and authorization for use of program data were obtained in accordance with local regulatory requirements. Client confidentiality was maintained throughout data extraction and analysis.</w:t>
      </w:r>
    </w:p>
    <w:p w14:paraId="0A26AD30" w14:textId="77777777" w:rsidR="0010660F" w:rsidRPr="00265A75" w:rsidRDefault="0010660F" w:rsidP="00265A75">
      <w:pPr>
        <w:jc w:val="both"/>
        <w:rPr>
          <w:rFonts w:ascii="Times New Roman" w:hAnsi="Times New Roman" w:cs="Times New Roman"/>
          <w:b/>
          <w:bCs/>
        </w:rPr>
      </w:pPr>
    </w:p>
    <w:p w14:paraId="7E16F34A" w14:textId="6D5B8528" w:rsidR="00265A75" w:rsidRPr="00265A75" w:rsidRDefault="00265A75" w:rsidP="00265A75">
      <w:pPr>
        <w:jc w:val="both"/>
        <w:rPr>
          <w:rFonts w:ascii="Times New Roman" w:hAnsi="Times New Roman" w:cs="Times New Roman"/>
          <w:b/>
          <w:bCs/>
        </w:rPr>
      </w:pPr>
      <w:r w:rsidRPr="00265A75">
        <w:rPr>
          <w:rFonts w:ascii="Times New Roman" w:hAnsi="Times New Roman" w:cs="Times New Roman"/>
          <w:b/>
          <w:bCs/>
        </w:rPr>
        <w:t>Setting and population</w:t>
      </w:r>
    </w:p>
    <w:p w14:paraId="518053F8" w14:textId="13A21F44" w:rsidR="00265A75" w:rsidRDefault="00265A75" w:rsidP="00265A75">
      <w:pPr>
        <w:jc w:val="both"/>
        <w:rPr>
          <w:rFonts w:ascii="Times New Roman" w:hAnsi="Times New Roman" w:cs="Times New Roman"/>
        </w:rPr>
      </w:pPr>
      <w:r w:rsidRPr="00265A75">
        <w:rPr>
          <w:rFonts w:ascii="Times New Roman" w:hAnsi="Times New Roman" w:cs="Times New Roman"/>
        </w:rPr>
        <w:t xml:space="preserve">The intervention was implemented in three LGAs of Taraba State—Karim-Lamido, </w:t>
      </w:r>
      <w:proofErr w:type="spellStart"/>
      <w:r w:rsidRPr="00265A75">
        <w:rPr>
          <w:rFonts w:ascii="Times New Roman" w:hAnsi="Times New Roman" w:cs="Times New Roman"/>
        </w:rPr>
        <w:t>Sardauna</w:t>
      </w:r>
      <w:proofErr w:type="spellEnd"/>
      <w:r w:rsidRPr="00265A75">
        <w:rPr>
          <w:rFonts w:ascii="Times New Roman" w:hAnsi="Times New Roman" w:cs="Times New Roman"/>
        </w:rPr>
        <w:t xml:space="preserve"> and </w:t>
      </w:r>
      <w:proofErr w:type="spellStart"/>
      <w:r w:rsidRPr="00265A75">
        <w:rPr>
          <w:rFonts w:ascii="Times New Roman" w:hAnsi="Times New Roman" w:cs="Times New Roman"/>
        </w:rPr>
        <w:t>Ussa</w:t>
      </w:r>
      <w:proofErr w:type="spellEnd"/>
      <w:r w:rsidRPr="00265A75">
        <w:rPr>
          <w:rFonts w:ascii="Times New Roman" w:hAnsi="Times New Roman" w:cs="Times New Roman"/>
        </w:rPr>
        <w:t>—areas characterized by rural, hard-to-reach communities with known HIV burden. Program clients comprised individuals newly diagnosed with HIV through CFID/partner community testing activities (data provided by the user).</w:t>
      </w:r>
    </w:p>
    <w:p w14:paraId="66F05136" w14:textId="1BC76FAC" w:rsidR="00DF5611" w:rsidRPr="00265A75" w:rsidRDefault="00DF5611" w:rsidP="00265A75">
      <w:pPr>
        <w:jc w:val="both"/>
        <w:rPr>
          <w:rFonts w:ascii="Times New Roman" w:hAnsi="Times New Roman" w:cs="Times New Roman"/>
        </w:rPr>
      </w:pPr>
    </w:p>
    <w:p w14:paraId="43223520" w14:textId="77777777" w:rsidR="00265A75" w:rsidRPr="00265A75" w:rsidRDefault="00265A75" w:rsidP="00265A75">
      <w:pPr>
        <w:jc w:val="both"/>
        <w:rPr>
          <w:rFonts w:ascii="Times New Roman" w:hAnsi="Times New Roman" w:cs="Times New Roman"/>
          <w:b/>
          <w:bCs/>
        </w:rPr>
      </w:pPr>
      <w:r w:rsidRPr="00265A75">
        <w:rPr>
          <w:rFonts w:ascii="Times New Roman" w:hAnsi="Times New Roman" w:cs="Times New Roman"/>
          <w:b/>
          <w:bCs/>
        </w:rPr>
        <w:t>Intervention package</w:t>
      </w:r>
    </w:p>
    <w:p w14:paraId="125CD2E9" w14:textId="77777777" w:rsidR="00265A75" w:rsidRPr="00265A75" w:rsidRDefault="00265A75" w:rsidP="00265A75">
      <w:pPr>
        <w:jc w:val="both"/>
        <w:rPr>
          <w:rFonts w:ascii="Times New Roman" w:hAnsi="Times New Roman" w:cs="Times New Roman"/>
        </w:rPr>
      </w:pPr>
      <w:r w:rsidRPr="00265A75">
        <w:rPr>
          <w:rFonts w:ascii="Times New Roman" w:hAnsi="Times New Roman" w:cs="Times New Roman"/>
        </w:rPr>
        <w:lastRenderedPageBreak/>
        <w:t>The core components included:</w:t>
      </w:r>
    </w:p>
    <w:p w14:paraId="0E13F6A9" w14:textId="77777777" w:rsidR="00265A75" w:rsidRPr="00265A75" w:rsidRDefault="00265A75" w:rsidP="00265A75">
      <w:pPr>
        <w:numPr>
          <w:ilvl w:val="0"/>
          <w:numId w:val="1"/>
        </w:numPr>
        <w:jc w:val="both"/>
        <w:rPr>
          <w:rFonts w:ascii="Times New Roman" w:hAnsi="Times New Roman" w:cs="Times New Roman"/>
        </w:rPr>
      </w:pPr>
      <w:r w:rsidRPr="00265A75">
        <w:rPr>
          <w:rFonts w:ascii="Times New Roman" w:hAnsi="Times New Roman" w:cs="Times New Roman"/>
        </w:rPr>
        <w:t xml:space="preserve">Community-based HIV testing using WHO-recommended testing algorithms and pre/post-test counselling per national guidance. </w:t>
      </w:r>
      <w:hyperlink r:id="rId8" w:tgtFrame="_blank" w:history="1">
        <w:r w:rsidRPr="00265A75">
          <w:rPr>
            <w:rStyle w:val="Hyperlink"/>
            <w:rFonts w:ascii="Times New Roman" w:hAnsi="Times New Roman" w:cs="Times New Roman"/>
          </w:rPr>
          <w:t>World Health Organization</w:t>
        </w:r>
      </w:hyperlink>
    </w:p>
    <w:p w14:paraId="2EEA65D9" w14:textId="77777777" w:rsidR="00265A75" w:rsidRPr="00265A75" w:rsidRDefault="00265A75" w:rsidP="00265A75">
      <w:pPr>
        <w:numPr>
          <w:ilvl w:val="0"/>
          <w:numId w:val="1"/>
        </w:numPr>
        <w:jc w:val="both"/>
        <w:rPr>
          <w:rFonts w:ascii="Times New Roman" w:hAnsi="Times New Roman" w:cs="Times New Roman"/>
        </w:rPr>
      </w:pPr>
      <w:r w:rsidRPr="00265A75">
        <w:rPr>
          <w:rFonts w:ascii="Times New Roman" w:hAnsi="Times New Roman" w:cs="Times New Roman"/>
        </w:rPr>
        <w:t>Index/contact testing offered to sexual partners and household contacts.</w:t>
      </w:r>
    </w:p>
    <w:p w14:paraId="7151EF00" w14:textId="77777777" w:rsidR="00265A75" w:rsidRPr="00265A75" w:rsidRDefault="00265A75" w:rsidP="00265A75">
      <w:pPr>
        <w:numPr>
          <w:ilvl w:val="0"/>
          <w:numId w:val="1"/>
        </w:numPr>
        <w:jc w:val="both"/>
        <w:rPr>
          <w:rFonts w:ascii="Times New Roman" w:hAnsi="Times New Roman" w:cs="Times New Roman"/>
        </w:rPr>
      </w:pPr>
      <w:r w:rsidRPr="00265A75">
        <w:rPr>
          <w:rFonts w:ascii="Times New Roman" w:hAnsi="Times New Roman" w:cs="Times New Roman"/>
        </w:rPr>
        <w:t>Immediate facilitated linkage: same-day or next-day escorted referral to a designated ART clinic, or community ART initiation where policy allowed.</w:t>
      </w:r>
    </w:p>
    <w:p w14:paraId="6F4AC38A" w14:textId="77777777" w:rsidR="00265A75" w:rsidRPr="00265A75" w:rsidRDefault="00265A75" w:rsidP="00265A75">
      <w:pPr>
        <w:numPr>
          <w:ilvl w:val="0"/>
          <w:numId w:val="1"/>
        </w:numPr>
        <w:jc w:val="both"/>
        <w:rPr>
          <w:rFonts w:ascii="Times New Roman" w:hAnsi="Times New Roman" w:cs="Times New Roman"/>
        </w:rPr>
      </w:pPr>
      <w:r w:rsidRPr="00265A75">
        <w:rPr>
          <w:rFonts w:ascii="Times New Roman" w:hAnsi="Times New Roman" w:cs="Times New Roman"/>
        </w:rPr>
        <w:t xml:space="preserve">Active follow-up by community volunteers / CBO staff to support appointment attendance and adherence. Evidence supports the role of CBOs in improving linkage and retention. </w:t>
      </w:r>
      <w:hyperlink r:id="rId9" w:tgtFrame="_blank" w:history="1">
        <w:r w:rsidRPr="00265A75">
          <w:rPr>
            <w:rStyle w:val="Hyperlink"/>
            <w:rFonts w:ascii="Times New Roman" w:hAnsi="Times New Roman" w:cs="Times New Roman"/>
          </w:rPr>
          <w:t>PMC</w:t>
        </w:r>
      </w:hyperlink>
    </w:p>
    <w:p w14:paraId="223C7EBE" w14:textId="77777777" w:rsidR="00265A75" w:rsidRPr="00265A75" w:rsidRDefault="00265A75" w:rsidP="00265A75">
      <w:pPr>
        <w:jc w:val="both"/>
        <w:rPr>
          <w:rFonts w:ascii="Times New Roman" w:hAnsi="Times New Roman" w:cs="Times New Roman"/>
          <w:b/>
          <w:bCs/>
        </w:rPr>
      </w:pPr>
      <w:r w:rsidRPr="00265A75">
        <w:rPr>
          <w:rFonts w:ascii="Times New Roman" w:hAnsi="Times New Roman" w:cs="Times New Roman"/>
          <w:b/>
          <w:bCs/>
        </w:rPr>
        <w:t>Data collection and outcomes</w:t>
      </w:r>
    </w:p>
    <w:p w14:paraId="05D71160" w14:textId="77777777" w:rsidR="00265A75" w:rsidRPr="00265A75" w:rsidRDefault="00265A75" w:rsidP="00265A75">
      <w:pPr>
        <w:jc w:val="both"/>
        <w:rPr>
          <w:rFonts w:ascii="Times New Roman" w:hAnsi="Times New Roman" w:cs="Times New Roman"/>
        </w:rPr>
      </w:pPr>
      <w:r w:rsidRPr="00265A75">
        <w:rPr>
          <w:rFonts w:ascii="Times New Roman" w:hAnsi="Times New Roman" w:cs="Times New Roman"/>
        </w:rPr>
        <w:t>Routine program registers and patient records were used to extract: date of diagnosis, date of ART initiation, documented retention at 12 months (clinic visit/ART pickup within the 12-month window), and most recent viral load result. Linkage was defined as ART initiation within 30 days of diagnosis. Viral suppression was defined per national guidelines and WHO definitions (e.g., &lt;1,000 copies/mL or as per national cutoff; many programs use &lt;200 or &lt;1,000—program definition recorded in patient files). Ethical approvals and informed consent for program data use were obtained per local norms.</w:t>
      </w:r>
    </w:p>
    <w:p w14:paraId="26C234E4" w14:textId="77777777" w:rsidR="00265A75" w:rsidRPr="00265A75" w:rsidRDefault="00265A75" w:rsidP="00265A75">
      <w:pPr>
        <w:jc w:val="both"/>
        <w:rPr>
          <w:rFonts w:ascii="Times New Roman" w:hAnsi="Times New Roman" w:cs="Times New Roman"/>
          <w:b/>
          <w:bCs/>
        </w:rPr>
      </w:pPr>
      <w:r w:rsidRPr="00265A75">
        <w:rPr>
          <w:rFonts w:ascii="Times New Roman" w:hAnsi="Times New Roman" w:cs="Times New Roman"/>
          <w:b/>
          <w:bCs/>
        </w:rPr>
        <w:t>Analysis</w:t>
      </w:r>
    </w:p>
    <w:p w14:paraId="0373DE55" w14:textId="77777777" w:rsidR="00265A75" w:rsidRPr="00265A75" w:rsidRDefault="00265A75" w:rsidP="00265A75">
      <w:pPr>
        <w:jc w:val="both"/>
        <w:rPr>
          <w:rFonts w:ascii="Times New Roman" w:hAnsi="Times New Roman" w:cs="Times New Roman"/>
        </w:rPr>
      </w:pPr>
      <w:r w:rsidRPr="00265A75">
        <w:rPr>
          <w:rFonts w:ascii="Times New Roman" w:hAnsi="Times New Roman" w:cs="Times New Roman"/>
        </w:rPr>
        <w:t>Descriptive analysis reported counts and proportions for linkage within 30 days, retention at 12 months, and viral suppression among retained clients. Given the small sample size (N=14 newly diagnosed), no inferential statistics were conducted; emphasis was on programmatic outcomes and lessons learned.</w:t>
      </w:r>
    </w:p>
    <w:p w14:paraId="1B3C653A" w14:textId="77777777" w:rsidR="00265A75" w:rsidRDefault="00265A75" w:rsidP="00265A75">
      <w:pPr>
        <w:jc w:val="both"/>
        <w:rPr>
          <w:rFonts w:ascii="Times New Roman" w:hAnsi="Times New Roman" w:cs="Times New Roman"/>
          <w:b/>
          <w:bCs/>
        </w:rPr>
      </w:pPr>
      <w:r w:rsidRPr="00265A75">
        <w:rPr>
          <w:rFonts w:ascii="Times New Roman" w:hAnsi="Times New Roman" w:cs="Times New Roman"/>
          <w:b/>
          <w:bCs/>
        </w:rPr>
        <w:t>Results</w:t>
      </w:r>
    </w:p>
    <w:p w14:paraId="69028DDD" w14:textId="2ABB603D" w:rsidR="00C53EFF" w:rsidRPr="00C53EFF" w:rsidRDefault="00C53EFF" w:rsidP="00C53EFF">
      <w:pPr>
        <w:jc w:val="both"/>
        <w:rPr>
          <w:rFonts w:ascii="Times New Roman" w:hAnsi="Times New Roman" w:cs="Times New Roman"/>
          <w:b/>
          <w:bCs/>
        </w:rPr>
      </w:pPr>
      <w:r w:rsidRPr="00C53EFF">
        <w:rPr>
          <w:rFonts w:ascii="Times New Roman" w:hAnsi="Times New Roman" w:cs="Times New Roman"/>
          <w:b/>
          <w:bCs/>
        </w:rPr>
        <w:t>Table 1</w:t>
      </w:r>
      <w:r>
        <w:rPr>
          <w:rFonts w:ascii="Times New Roman" w:hAnsi="Times New Roman" w:cs="Times New Roman"/>
          <w:b/>
          <w:bCs/>
        </w:rPr>
        <w:t xml:space="preserve">: </w:t>
      </w:r>
      <w:r w:rsidRPr="00C53EFF">
        <w:rPr>
          <w:rFonts w:ascii="Times New Roman" w:hAnsi="Times New Roman" w:cs="Times New Roman"/>
          <w:b/>
          <w:bCs/>
        </w:rPr>
        <w:t>HIV Testing, Positivity, and Linkage to Care by Sex and Local Government Area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4"/>
        <w:gridCol w:w="811"/>
        <w:gridCol w:w="911"/>
        <w:gridCol w:w="856"/>
        <w:gridCol w:w="917"/>
        <w:gridCol w:w="983"/>
        <w:gridCol w:w="934"/>
        <w:gridCol w:w="820"/>
        <w:gridCol w:w="920"/>
        <w:gridCol w:w="880"/>
      </w:tblGrid>
      <w:tr w:rsidR="00C53EFF" w:rsidRPr="00C53EFF" w14:paraId="1706CD72" w14:textId="77777777" w:rsidTr="00C53EFF">
        <w:trPr>
          <w:tblHeader/>
          <w:tblCellSpacing w:w="15" w:type="dxa"/>
        </w:trPr>
        <w:tc>
          <w:tcPr>
            <w:tcW w:w="0" w:type="auto"/>
            <w:tcBorders>
              <w:top w:val="single" w:sz="4" w:space="0" w:color="auto"/>
            </w:tcBorders>
            <w:vAlign w:val="center"/>
            <w:hideMark/>
          </w:tcPr>
          <w:p w14:paraId="3F9C5867" w14:textId="77777777" w:rsidR="00C53EFF" w:rsidRPr="00C53EFF" w:rsidRDefault="00C53EFF" w:rsidP="00C53EFF">
            <w:pPr>
              <w:spacing w:after="0" w:line="240" w:lineRule="auto"/>
              <w:jc w:val="center"/>
              <w:rPr>
                <w:rFonts w:ascii="Times New Roman" w:eastAsia="Times New Roman" w:hAnsi="Times New Roman" w:cs="Times New Roman"/>
                <w:b/>
                <w:bCs/>
                <w:kern w:val="0"/>
                <w:sz w:val="20"/>
                <w:szCs w:val="20"/>
                <w14:ligatures w14:val="none"/>
              </w:rPr>
            </w:pPr>
            <w:r w:rsidRPr="00C53EFF">
              <w:rPr>
                <w:rFonts w:ascii="Times New Roman" w:eastAsia="Times New Roman" w:hAnsi="Times New Roman" w:cs="Times New Roman"/>
                <w:b/>
                <w:bCs/>
                <w:kern w:val="0"/>
                <w:sz w:val="20"/>
                <w:szCs w:val="20"/>
                <w14:ligatures w14:val="none"/>
              </w:rPr>
              <w:t>LGA</w:t>
            </w:r>
          </w:p>
        </w:tc>
        <w:tc>
          <w:tcPr>
            <w:tcW w:w="0" w:type="auto"/>
            <w:tcBorders>
              <w:top w:val="single" w:sz="4" w:space="0" w:color="auto"/>
            </w:tcBorders>
            <w:vAlign w:val="center"/>
            <w:hideMark/>
          </w:tcPr>
          <w:p w14:paraId="6BF83424" w14:textId="77777777" w:rsidR="00C53EFF" w:rsidRPr="00C53EFF" w:rsidRDefault="00C53EFF" w:rsidP="00C53EFF">
            <w:pPr>
              <w:spacing w:after="0" w:line="240" w:lineRule="auto"/>
              <w:jc w:val="right"/>
              <w:rPr>
                <w:rFonts w:ascii="Times New Roman" w:eastAsia="Times New Roman" w:hAnsi="Times New Roman" w:cs="Times New Roman"/>
                <w:b/>
                <w:bCs/>
                <w:kern w:val="0"/>
                <w:sz w:val="20"/>
                <w:szCs w:val="20"/>
                <w14:ligatures w14:val="none"/>
              </w:rPr>
            </w:pPr>
            <w:r w:rsidRPr="00C53EFF">
              <w:rPr>
                <w:rFonts w:ascii="Times New Roman" w:eastAsia="Times New Roman" w:hAnsi="Times New Roman" w:cs="Times New Roman"/>
                <w:b/>
                <w:bCs/>
                <w:kern w:val="0"/>
                <w:sz w:val="20"/>
                <w:szCs w:val="20"/>
                <w14:ligatures w14:val="none"/>
              </w:rPr>
              <w:t>Male Tested</w:t>
            </w:r>
          </w:p>
        </w:tc>
        <w:tc>
          <w:tcPr>
            <w:tcW w:w="0" w:type="auto"/>
            <w:tcBorders>
              <w:top w:val="single" w:sz="4" w:space="0" w:color="auto"/>
            </w:tcBorders>
            <w:vAlign w:val="center"/>
            <w:hideMark/>
          </w:tcPr>
          <w:p w14:paraId="2BF54948" w14:textId="77777777" w:rsidR="00C53EFF" w:rsidRPr="00C53EFF" w:rsidRDefault="00C53EFF" w:rsidP="00C53EFF">
            <w:pPr>
              <w:spacing w:after="0" w:line="240" w:lineRule="auto"/>
              <w:jc w:val="right"/>
              <w:rPr>
                <w:rFonts w:ascii="Times New Roman" w:eastAsia="Times New Roman" w:hAnsi="Times New Roman" w:cs="Times New Roman"/>
                <w:b/>
                <w:bCs/>
                <w:kern w:val="0"/>
                <w:sz w:val="20"/>
                <w:szCs w:val="20"/>
                <w14:ligatures w14:val="none"/>
              </w:rPr>
            </w:pPr>
            <w:r w:rsidRPr="00C53EFF">
              <w:rPr>
                <w:rFonts w:ascii="Times New Roman" w:eastAsia="Times New Roman" w:hAnsi="Times New Roman" w:cs="Times New Roman"/>
                <w:b/>
                <w:bCs/>
                <w:kern w:val="0"/>
                <w:sz w:val="20"/>
                <w:szCs w:val="20"/>
                <w14:ligatures w14:val="none"/>
              </w:rPr>
              <w:t>Male Positive</w:t>
            </w:r>
          </w:p>
        </w:tc>
        <w:tc>
          <w:tcPr>
            <w:tcW w:w="0" w:type="auto"/>
            <w:tcBorders>
              <w:top w:val="single" w:sz="4" w:space="0" w:color="auto"/>
            </w:tcBorders>
            <w:vAlign w:val="center"/>
            <w:hideMark/>
          </w:tcPr>
          <w:p w14:paraId="7C0920E6" w14:textId="77777777" w:rsidR="00C53EFF" w:rsidRPr="00C53EFF" w:rsidRDefault="00C53EFF" w:rsidP="00C53EFF">
            <w:pPr>
              <w:spacing w:after="0" w:line="240" w:lineRule="auto"/>
              <w:jc w:val="right"/>
              <w:rPr>
                <w:rFonts w:ascii="Times New Roman" w:eastAsia="Times New Roman" w:hAnsi="Times New Roman" w:cs="Times New Roman"/>
                <w:b/>
                <w:bCs/>
                <w:kern w:val="0"/>
                <w:sz w:val="20"/>
                <w:szCs w:val="20"/>
                <w14:ligatures w14:val="none"/>
              </w:rPr>
            </w:pPr>
            <w:r w:rsidRPr="00C53EFF">
              <w:rPr>
                <w:rFonts w:ascii="Times New Roman" w:eastAsia="Times New Roman" w:hAnsi="Times New Roman" w:cs="Times New Roman"/>
                <w:b/>
                <w:bCs/>
                <w:kern w:val="0"/>
                <w:sz w:val="20"/>
                <w:szCs w:val="20"/>
                <w14:ligatures w14:val="none"/>
              </w:rPr>
              <w:t>Male Linked</w:t>
            </w:r>
          </w:p>
        </w:tc>
        <w:tc>
          <w:tcPr>
            <w:tcW w:w="0" w:type="auto"/>
            <w:tcBorders>
              <w:top w:val="single" w:sz="4" w:space="0" w:color="auto"/>
            </w:tcBorders>
            <w:vAlign w:val="center"/>
            <w:hideMark/>
          </w:tcPr>
          <w:p w14:paraId="05401E48" w14:textId="77777777" w:rsidR="00C53EFF" w:rsidRPr="00C53EFF" w:rsidRDefault="00C53EFF" w:rsidP="00C53EFF">
            <w:pPr>
              <w:spacing w:after="0" w:line="240" w:lineRule="auto"/>
              <w:jc w:val="right"/>
              <w:rPr>
                <w:rFonts w:ascii="Times New Roman" w:eastAsia="Times New Roman" w:hAnsi="Times New Roman" w:cs="Times New Roman"/>
                <w:b/>
                <w:bCs/>
                <w:kern w:val="0"/>
                <w:sz w:val="20"/>
                <w:szCs w:val="20"/>
                <w14:ligatures w14:val="none"/>
              </w:rPr>
            </w:pPr>
            <w:r w:rsidRPr="00C53EFF">
              <w:rPr>
                <w:rFonts w:ascii="Times New Roman" w:eastAsia="Times New Roman" w:hAnsi="Times New Roman" w:cs="Times New Roman"/>
                <w:b/>
                <w:bCs/>
                <w:kern w:val="0"/>
                <w:sz w:val="20"/>
                <w:szCs w:val="20"/>
                <w14:ligatures w14:val="none"/>
              </w:rPr>
              <w:t>Female Tested</w:t>
            </w:r>
          </w:p>
        </w:tc>
        <w:tc>
          <w:tcPr>
            <w:tcW w:w="0" w:type="auto"/>
            <w:tcBorders>
              <w:top w:val="single" w:sz="4" w:space="0" w:color="auto"/>
            </w:tcBorders>
            <w:vAlign w:val="center"/>
            <w:hideMark/>
          </w:tcPr>
          <w:p w14:paraId="07D6540D" w14:textId="77777777" w:rsidR="00C53EFF" w:rsidRPr="00C53EFF" w:rsidRDefault="00C53EFF" w:rsidP="00C53EFF">
            <w:pPr>
              <w:spacing w:after="0" w:line="240" w:lineRule="auto"/>
              <w:jc w:val="right"/>
              <w:rPr>
                <w:rFonts w:ascii="Times New Roman" w:eastAsia="Times New Roman" w:hAnsi="Times New Roman" w:cs="Times New Roman"/>
                <w:b/>
                <w:bCs/>
                <w:kern w:val="0"/>
                <w:sz w:val="20"/>
                <w:szCs w:val="20"/>
                <w14:ligatures w14:val="none"/>
              </w:rPr>
            </w:pPr>
            <w:r w:rsidRPr="00C53EFF">
              <w:rPr>
                <w:rFonts w:ascii="Times New Roman" w:eastAsia="Times New Roman" w:hAnsi="Times New Roman" w:cs="Times New Roman"/>
                <w:b/>
                <w:bCs/>
                <w:kern w:val="0"/>
                <w:sz w:val="20"/>
                <w:szCs w:val="20"/>
                <w14:ligatures w14:val="none"/>
              </w:rPr>
              <w:t>Female Positive</w:t>
            </w:r>
          </w:p>
        </w:tc>
        <w:tc>
          <w:tcPr>
            <w:tcW w:w="0" w:type="auto"/>
            <w:tcBorders>
              <w:top w:val="single" w:sz="4" w:space="0" w:color="auto"/>
            </w:tcBorders>
            <w:vAlign w:val="center"/>
            <w:hideMark/>
          </w:tcPr>
          <w:p w14:paraId="44632A6C" w14:textId="77777777" w:rsidR="00C53EFF" w:rsidRPr="00C53EFF" w:rsidRDefault="00C53EFF" w:rsidP="00C53EFF">
            <w:pPr>
              <w:spacing w:after="0" w:line="240" w:lineRule="auto"/>
              <w:jc w:val="right"/>
              <w:rPr>
                <w:rFonts w:ascii="Times New Roman" w:eastAsia="Times New Roman" w:hAnsi="Times New Roman" w:cs="Times New Roman"/>
                <w:b/>
                <w:bCs/>
                <w:kern w:val="0"/>
                <w:sz w:val="20"/>
                <w:szCs w:val="20"/>
                <w14:ligatures w14:val="none"/>
              </w:rPr>
            </w:pPr>
            <w:r w:rsidRPr="00C53EFF">
              <w:rPr>
                <w:rFonts w:ascii="Times New Roman" w:eastAsia="Times New Roman" w:hAnsi="Times New Roman" w:cs="Times New Roman"/>
                <w:b/>
                <w:bCs/>
                <w:kern w:val="0"/>
                <w:sz w:val="20"/>
                <w:szCs w:val="20"/>
                <w14:ligatures w14:val="none"/>
              </w:rPr>
              <w:t>Female Linked</w:t>
            </w:r>
          </w:p>
        </w:tc>
        <w:tc>
          <w:tcPr>
            <w:tcW w:w="0" w:type="auto"/>
            <w:tcBorders>
              <w:top w:val="single" w:sz="4" w:space="0" w:color="auto"/>
            </w:tcBorders>
            <w:vAlign w:val="center"/>
            <w:hideMark/>
          </w:tcPr>
          <w:p w14:paraId="2B5F57D0" w14:textId="77777777" w:rsidR="00C53EFF" w:rsidRPr="00C53EFF" w:rsidRDefault="00C53EFF" w:rsidP="00C53EFF">
            <w:pPr>
              <w:spacing w:after="0" w:line="240" w:lineRule="auto"/>
              <w:jc w:val="right"/>
              <w:rPr>
                <w:rFonts w:ascii="Times New Roman" w:eastAsia="Times New Roman" w:hAnsi="Times New Roman" w:cs="Times New Roman"/>
                <w:b/>
                <w:bCs/>
                <w:kern w:val="0"/>
                <w:sz w:val="20"/>
                <w:szCs w:val="20"/>
                <w14:ligatures w14:val="none"/>
              </w:rPr>
            </w:pPr>
            <w:r w:rsidRPr="00C53EFF">
              <w:rPr>
                <w:rFonts w:ascii="Times New Roman" w:eastAsia="Times New Roman" w:hAnsi="Times New Roman" w:cs="Times New Roman"/>
                <w:b/>
                <w:bCs/>
                <w:kern w:val="0"/>
                <w:sz w:val="20"/>
                <w:szCs w:val="20"/>
                <w14:ligatures w14:val="none"/>
              </w:rPr>
              <w:t>Total Tested</w:t>
            </w:r>
          </w:p>
        </w:tc>
        <w:tc>
          <w:tcPr>
            <w:tcW w:w="0" w:type="auto"/>
            <w:tcBorders>
              <w:top w:val="single" w:sz="4" w:space="0" w:color="auto"/>
            </w:tcBorders>
            <w:vAlign w:val="center"/>
            <w:hideMark/>
          </w:tcPr>
          <w:p w14:paraId="03B89398" w14:textId="77777777" w:rsidR="00C53EFF" w:rsidRPr="00C53EFF" w:rsidRDefault="00C53EFF" w:rsidP="00C53EFF">
            <w:pPr>
              <w:spacing w:after="0" w:line="240" w:lineRule="auto"/>
              <w:jc w:val="right"/>
              <w:rPr>
                <w:rFonts w:ascii="Times New Roman" w:eastAsia="Times New Roman" w:hAnsi="Times New Roman" w:cs="Times New Roman"/>
                <w:b/>
                <w:bCs/>
                <w:kern w:val="0"/>
                <w:sz w:val="20"/>
                <w:szCs w:val="20"/>
                <w14:ligatures w14:val="none"/>
              </w:rPr>
            </w:pPr>
            <w:r w:rsidRPr="00C53EFF">
              <w:rPr>
                <w:rFonts w:ascii="Times New Roman" w:eastAsia="Times New Roman" w:hAnsi="Times New Roman" w:cs="Times New Roman"/>
                <w:b/>
                <w:bCs/>
                <w:kern w:val="0"/>
                <w:sz w:val="20"/>
                <w:szCs w:val="20"/>
                <w14:ligatures w14:val="none"/>
              </w:rPr>
              <w:t>Total Positive</w:t>
            </w:r>
          </w:p>
        </w:tc>
        <w:tc>
          <w:tcPr>
            <w:tcW w:w="0" w:type="auto"/>
            <w:tcBorders>
              <w:top w:val="single" w:sz="4" w:space="0" w:color="auto"/>
            </w:tcBorders>
            <w:vAlign w:val="center"/>
            <w:hideMark/>
          </w:tcPr>
          <w:p w14:paraId="5B02D734" w14:textId="77777777" w:rsidR="00C53EFF" w:rsidRPr="00C53EFF" w:rsidRDefault="00C53EFF" w:rsidP="00C53EFF">
            <w:pPr>
              <w:spacing w:after="0" w:line="240" w:lineRule="auto"/>
              <w:jc w:val="right"/>
              <w:rPr>
                <w:rFonts w:ascii="Times New Roman" w:eastAsia="Times New Roman" w:hAnsi="Times New Roman" w:cs="Times New Roman"/>
                <w:b/>
                <w:bCs/>
                <w:kern w:val="0"/>
                <w:sz w:val="20"/>
                <w:szCs w:val="20"/>
                <w14:ligatures w14:val="none"/>
              </w:rPr>
            </w:pPr>
            <w:r w:rsidRPr="00C53EFF">
              <w:rPr>
                <w:rFonts w:ascii="Times New Roman" w:eastAsia="Times New Roman" w:hAnsi="Times New Roman" w:cs="Times New Roman"/>
                <w:b/>
                <w:bCs/>
                <w:kern w:val="0"/>
                <w:sz w:val="20"/>
                <w:szCs w:val="20"/>
                <w14:ligatures w14:val="none"/>
              </w:rPr>
              <w:t>Total Linked</w:t>
            </w:r>
          </w:p>
        </w:tc>
      </w:tr>
      <w:tr w:rsidR="00C53EFF" w:rsidRPr="00C53EFF" w14:paraId="672C485C" w14:textId="77777777" w:rsidTr="00C53EFF">
        <w:trPr>
          <w:tblCellSpacing w:w="15" w:type="dxa"/>
        </w:trPr>
        <w:tc>
          <w:tcPr>
            <w:tcW w:w="0" w:type="auto"/>
            <w:tcBorders>
              <w:top w:val="single" w:sz="4" w:space="0" w:color="auto"/>
            </w:tcBorders>
            <w:vAlign w:val="center"/>
            <w:hideMark/>
          </w:tcPr>
          <w:p w14:paraId="7B0442EF" w14:textId="77777777" w:rsidR="00C53EFF" w:rsidRPr="00C53EFF" w:rsidRDefault="00C53EFF" w:rsidP="00C53EFF">
            <w:pPr>
              <w:spacing w:after="0" w:line="240" w:lineRule="auto"/>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Karim-Lamido</w:t>
            </w:r>
          </w:p>
        </w:tc>
        <w:tc>
          <w:tcPr>
            <w:tcW w:w="0" w:type="auto"/>
            <w:tcBorders>
              <w:top w:val="single" w:sz="4" w:space="0" w:color="auto"/>
            </w:tcBorders>
            <w:vAlign w:val="center"/>
            <w:hideMark/>
          </w:tcPr>
          <w:p w14:paraId="6D88D7B0"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1,263</w:t>
            </w:r>
          </w:p>
        </w:tc>
        <w:tc>
          <w:tcPr>
            <w:tcW w:w="0" w:type="auto"/>
            <w:tcBorders>
              <w:top w:val="single" w:sz="4" w:space="0" w:color="auto"/>
            </w:tcBorders>
            <w:vAlign w:val="center"/>
            <w:hideMark/>
          </w:tcPr>
          <w:p w14:paraId="35C7675C"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36</w:t>
            </w:r>
          </w:p>
        </w:tc>
        <w:tc>
          <w:tcPr>
            <w:tcW w:w="0" w:type="auto"/>
            <w:tcBorders>
              <w:top w:val="single" w:sz="4" w:space="0" w:color="auto"/>
            </w:tcBorders>
            <w:vAlign w:val="center"/>
            <w:hideMark/>
          </w:tcPr>
          <w:p w14:paraId="3DD507F8"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27</w:t>
            </w:r>
          </w:p>
        </w:tc>
        <w:tc>
          <w:tcPr>
            <w:tcW w:w="0" w:type="auto"/>
            <w:tcBorders>
              <w:top w:val="single" w:sz="4" w:space="0" w:color="auto"/>
            </w:tcBorders>
            <w:vAlign w:val="center"/>
            <w:hideMark/>
          </w:tcPr>
          <w:p w14:paraId="309F7CE0"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1,194</w:t>
            </w:r>
          </w:p>
        </w:tc>
        <w:tc>
          <w:tcPr>
            <w:tcW w:w="0" w:type="auto"/>
            <w:tcBorders>
              <w:top w:val="single" w:sz="4" w:space="0" w:color="auto"/>
            </w:tcBorders>
            <w:vAlign w:val="center"/>
            <w:hideMark/>
          </w:tcPr>
          <w:p w14:paraId="718677A9"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98</w:t>
            </w:r>
          </w:p>
        </w:tc>
        <w:tc>
          <w:tcPr>
            <w:tcW w:w="0" w:type="auto"/>
            <w:tcBorders>
              <w:top w:val="single" w:sz="4" w:space="0" w:color="auto"/>
            </w:tcBorders>
            <w:vAlign w:val="center"/>
            <w:hideMark/>
          </w:tcPr>
          <w:p w14:paraId="4EA989E0"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72</w:t>
            </w:r>
          </w:p>
        </w:tc>
        <w:tc>
          <w:tcPr>
            <w:tcW w:w="0" w:type="auto"/>
            <w:tcBorders>
              <w:top w:val="single" w:sz="4" w:space="0" w:color="auto"/>
            </w:tcBorders>
            <w:vAlign w:val="center"/>
            <w:hideMark/>
          </w:tcPr>
          <w:p w14:paraId="591B3D66"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2,457</w:t>
            </w:r>
          </w:p>
        </w:tc>
        <w:tc>
          <w:tcPr>
            <w:tcW w:w="0" w:type="auto"/>
            <w:tcBorders>
              <w:top w:val="single" w:sz="4" w:space="0" w:color="auto"/>
            </w:tcBorders>
            <w:vAlign w:val="center"/>
            <w:hideMark/>
          </w:tcPr>
          <w:p w14:paraId="050F68E5"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134</w:t>
            </w:r>
          </w:p>
        </w:tc>
        <w:tc>
          <w:tcPr>
            <w:tcW w:w="0" w:type="auto"/>
            <w:tcBorders>
              <w:top w:val="single" w:sz="4" w:space="0" w:color="auto"/>
            </w:tcBorders>
            <w:vAlign w:val="center"/>
            <w:hideMark/>
          </w:tcPr>
          <w:p w14:paraId="3B37CFD1"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99</w:t>
            </w:r>
          </w:p>
        </w:tc>
      </w:tr>
      <w:tr w:rsidR="00C53EFF" w:rsidRPr="00C53EFF" w14:paraId="76CC6804" w14:textId="77777777" w:rsidTr="00C53EFF">
        <w:trPr>
          <w:tblCellSpacing w:w="15" w:type="dxa"/>
        </w:trPr>
        <w:tc>
          <w:tcPr>
            <w:tcW w:w="0" w:type="auto"/>
            <w:vAlign w:val="center"/>
            <w:hideMark/>
          </w:tcPr>
          <w:p w14:paraId="28E0DD8C" w14:textId="77777777" w:rsidR="00C53EFF" w:rsidRPr="00C53EFF" w:rsidRDefault="00C53EFF" w:rsidP="00C53EFF">
            <w:pPr>
              <w:spacing w:after="0" w:line="240" w:lineRule="auto"/>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Sardauna</w:t>
            </w:r>
          </w:p>
        </w:tc>
        <w:tc>
          <w:tcPr>
            <w:tcW w:w="0" w:type="auto"/>
            <w:vAlign w:val="center"/>
            <w:hideMark/>
          </w:tcPr>
          <w:p w14:paraId="559FFB75"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1,721</w:t>
            </w:r>
          </w:p>
        </w:tc>
        <w:tc>
          <w:tcPr>
            <w:tcW w:w="0" w:type="auto"/>
            <w:vAlign w:val="center"/>
            <w:hideMark/>
          </w:tcPr>
          <w:p w14:paraId="757E88CC"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27</w:t>
            </w:r>
          </w:p>
        </w:tc>
        <w:tc>
          <w:tcPr>
            <w:tcW w:w="0" w:type="auto"/>
            <w:vAlign w:val="center"/>
            <w:hideMark/>
          </w:tcPr>
          <w:p w14:paraId="1252FD63"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13</w:t>
            </w:r>
          </w:p>
        </w:tc>
        <w:tc>
          <w:tcPr>
            <w:tcW w:w="0" w:type="auto"/>
            <w:vAlign w:val="center"/>
            <w:hideMark/>
          </w:tcPr>
          <w:p w14:paraId="14CF7B6F"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1,765</w:t>
            </w:r>
          </w:p>
        </w:tc>
        <w:tc>
          <w:tcPr>
            <w:tcW w:w="0" w:type="auto"/>
            <w:vAlign w:val="center"/>
            <w:hideMark/>
          </w:tcPr>
          <w:p w14:paraId="76BF1B33"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43</w:t>
            </w:r>
          </w:p>
        </w:tc>
        <w:tc>
          <w:tcPr>
            <w:tcW w:w="0" w:type="auto"/>
            <w:vAlign w:val="center"/>
            <w:hideMark/>
          </w:tcPr>
          <w:p w14:paraId="1C83777B"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24</w:t>
            </w:r>
          </w:p>
        </w:tc>
        <w:tc>
          <w:tcPr>
            <w:tcW w:w="0" w:type="auto"/>
            <w:vAlign w:val="center"/>
            <w:hideMark/>
          </w:tcPr>
          <w:p w14:paraId="7A8B5836"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3,486</w:t>
            </w:r>
          </w:p>
        </w:tc>
        <w:tc>
          <w:tcPr>
            <w:tcW w:w="0" w:type="auto"/>
            <w:vAlign w:val="center"/>
            <w:hideMark/>
          </w:tcPr>
          <w:p w14:paraId="4EC4081A"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70</w:t>
            </w:r>
          </w:p>
        </w:tc>
        <w:tc>
          <w:tcPr>
            <w:tcW w:w="0" w:type="auto"/>
            <w:vAlign w:val="center"/>
            <w:hideMark/>
          </w:tcPr>
          <w:p w14:paraId="5177AA48"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37</w:t>
            </w:r>
          </w:p>
        </w:tc>
      </w:tr>
      <w:tr w:rsidR="00C53EFF" w:rsidRPr="00C53EFF" w14:paraId="04C56DFE" w14:textId="77777777" w:rsidTr="00C53EFF">
        <w:trPr>
          <w:tblCellSpacing w:w="15" w:type="dxa"/>
        </w:trPr>
        <w:tc>
          <w:tcPr>
            <w:tcW w:w="0" w:type="auto"/>
            <w:vAlign w:val="center"/>
            <w:hideMark/>
          </w:tcPr>
          <w:p w14:paraId="1ABF55D2" w14:textId="77777777" w:rsidR="00C53EFF" w:rsidRPr="00C53EFF" w:rsidRDefault="00C53EFF" w:rsidP="00C53EFF">
            <w:pPr>
              <w:spacing w:after="0" w:line="240" w:lineRule="auto"/>
              <w:rPr>
                <w:rFonts w:ascii="Times New Roman" w:eastAsia="Times New Roman" w:hAnsi="Times New Roman" w:cs="Times New Roman"/>
                <w:kern w:val="0"/>
                <w:sz w:val="20"/>
                <w:szCs w:val="20"/>
                <w14:ligatures w14:val="none"/>
              </w:rPr>
            </w:pPr>
            <w:proofErr w:type="spellStart"/>
            <w:r w:rsidRPr="00C53EFF">
              <w:rPr>
                <w:rFonts w:ascii="Times New Roman" w:eastAsia="Times New Roman" w:hAnsi="Times New Roman" w:cs="Times New Roman"/>
                <w:kern w:val="0"/>
                <w:sz w:val="20"/>
                <w:szCs w:val="20"/>
                <w14:ligatures w14:val="none"/>
              </w:rPr>
              <w:t>Ussa</w:t>
            </w:r>
            <w:proofErr w:type="spellEnd"/>
          </w:p>
        </w:tc>
        <w:tc>
          <w:tcPr>
            <w:tcW w:w="0" w:type="auto"/>
            <w:vAlign w:val="center"/>
            <w:hideMark/>
          </w:tcPr>
          <w:p w14:paraId="394C1036"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1,462</w:t>
            </w:r>
          </w:p>
        </w:tc>
        <w:tc>
          <w:tcPr>
            <w:tcW w:w="0" w:type="auto"/>
            <w:vAlign w:val="center"/>
            <w:hideMark/>
          </w:tcPr>
          <w:p w14:paraId="3616C6ED"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8</w:t>
            </w:r>
          </w:p>
        </w:tc>
        <w:tc>
          <w:tcPr>
            <w:tcW w:w="0" w:type="auto"/>
            <w:vAlign w:val="center"/>
            <w:hideMark/>
          </w:tcPr>
          <w:p w14:paraId="22DA4DBD"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8</w:t>
            </w:r>
          </w:p>
        </w:tc>
        <w:tc>
          <w:tcPr>
            <w:tcW w:w="0" w:type="auto"/>
            <w:vAlign w:val="center"/>
            <w:hideMark/>
          </w:tcPr>
          <w:p w14:paraId="2BE504C2"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1,585</w:t>
            </w:r>
          </w:p>
        </w:tc>
        <w:tc>
          <w:tcPr>
            <w:tcW w:w="0" w:type="auto"/>
            <w:vAlign w:val="center"/>
            <w:hideMark/>
          </w:tcPr>
          <w:p w14:paraId="0BF449B1"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21</w:t>
            </w:r>
          </w:p>
        </w:tc>
        <w:tc>
          <w:tcPr>
            <w:tcW w:w="0" w:type="auto"/>
            <w:vAlign w:val="center"/>
            <w:hideMark/>
          </w:tcPr>
          <w:p w14:paraId="35BBBC28"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19</w:t>
            </w:r>
          </w:p>
        </w:tc>
        <w:tc>
          <w:tcPr>
            <w:tcW w:w="0" w:type="auto"/>
            <w:vAlign w:val="center"/>
            <w:hideMark/>
          </w:tcPr>
          <w:p w14:paraId="7E2E0E7D"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3,047</w:t>
            </w:r>
          </w:p>
        </w:tc>
        <w:tc>
          <w:tcPr>
            <w:tcW w:w="0" w:type="auto"/>
            <w:vAlign w:val="center"/>
            <w:hideMark/>
          </w:tcPr>
          <w:p w14:paraId="47EEC7F2"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29</w:t>
            </w:r>
          </w:p>
        </w:tc>
        <w:tc>
          <w:tcPr>
            <w:tcW w:w="0" w:type="auto"/>
            <w:vAlign w:val="center"/>
            <w:hideMark/>
          </w:tcPr>
          <w:p w14:paraId="2E79768B"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kern w:val="0"/>
                <w:sz w:val="20"/>
                <w:szCs w:val="20"/>
                <w14:ligatures w14:val="none"/>
              </w:rPr>
              <w:t>27</w:t>
            </w:r>
          </w:p>
        </w:tc>
      </w:tr>
      <w:tr w:rsidR="00C53EFF" w:rsidRPr="00C53EFF" w14:paraId="6DF23849" w14:textId="77777777" w:rsidTr="00C53EFF">
        <w:trPr>
          <w:tblCellSpacing w:w="15" w:type="dxa"/>
        </w:trPr>
        <w:tc>
          <w:tcPr>
            <w:tcW w:w="0" w:type="auto"/>
            <w:tcBorders>
              <w:bottom w:val="single" w:sz="4" w:space="0" w:color="auto"/>
            </w:tcBorders>
            <w:vAlign w:val="center"/>
            <w:hideMark/>
          </w:tcPr>
          <w:p w14:paraId="2519654B" w14:textId="77777777" w:rsidR="00C53EFF" w:rsidRPr="00C53EFF" w:rsidRDefault="00C53EFF" w:rsidP="00C53EFF">
            <w:pPr>
              <w:spacing w:after="0" w:line="240" w:lineRule="auto"/>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b/>
                <w:bCs/>
                <w:kern w:val="0"/>
                <w:sz w:val="20"/>
                <w:szCs w:val="20"/>
                <w14:ligatures w14:val="none"/>
              </w:rPr>
              <w:t>Total</w:t>
            </w:r>
          </w:p>
        </w:tc>
        <w:tc>
          <w:tcPr>
            <w:tcW w:w="0" w:type="auto"/>
            <w:tcBorders>
              <w:bottom w:val="single" w:sz="4" w:space="0" w:color="auto"/>
            </w:tcBorders>
            <w:vAlign w:val="center"/>
            <w:hideMark/>
          </w:tcPr>
          <w:p w14:paraId="5A4FB4AD"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b/>
                <w:bCs/>
                <w:kern w:val="0"/>
                <w:sz w:val="20"/>
                <w:szCs w:val="20"/>
                <w14:ligatures w14:val="none"/>
              </w:rPr>
              <w:t>4,446</w:t>
            </w:r>
          </w:p>
        </w:tc>
        <w:tc>
          <w:tcPr>
            <w:tcW w:w="0" w:type="auto"/>
            <w:tcBorders>
              <w:bottom w:val="single" w:sz="4" w:space="0" w:color="auto"/>
            </w:tcBorders>
            <w:vAlign w:val="center"/>
            <w:hideMark/>
          </w:tcPr>
          <w:p w14:paraId="3ED34729"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b/>
                <w:bCs/>
                <w:kern w:val="0"/>
                <w:sz w:val="20"/>
                <w:szCs w:val="20"/>
                <w14:ligatures w14:val="none"/>
              </w:rPr>
              <w:t>71</w:t>
            </w:r>
          </w:p>
        </w:tc>
        <w:tc>
          <w:tcPr>
            <w:tcW w:w="0" w:type="auto"/>
            <w:tcBorders>
              <w:bottom w:val="single" w:sz="4" w:space="0" w:color="auto"/>
            </w:tcBorders>
            <w:vAlign w:val="center"/>
            <w:hideMark/>
          </w:tcPr>
          <w:p w14:paraId="4A5DC277"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b/>
                <w:bCs/>
                <w:kern w:val="0"/>
                <w:sz w:val="20"/>
                <w:szCs w:val="20"/>
                <w14:ligatures w14:val="none"/>
              </w:rPr>
              <w:t>48</w:t>
            </w:r>
          </w:p>
        </w:tc>
        <w:tc>
          <w:tcPr>
            <w:tcW w:w="0" w:type="auto"/>
            <w:tcBorders>
              <w:bottom w:val="single" w:sz="4" w:space="0" w:color="auto"/>
            </w:tcBorders>
            <w:vAlign w:val="center"/>
            <w:hideMark/>
          </w:tcPr>
          <w:p w14:paraId="09FA2F84"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b/>
                <w:bCs/>
                <w:kern w:val="0"/>
                <w:sz w:val="20"/>
                <w:szCs w:val="20"/>
                <w14:ligatures w14:val="none"/>
              </w:rPr>
              <w:t>4,544</w:t>
            </w:r>
          </w:p>
        </w:tc>
        <w:tc>
          <w:tcPr>
            <w:tcW w:w="0" w:type="auto"/>
            <w:tcBorders>
              <w:bottom w:val="single" w:sz="4" w:space="0" w:color="auto"/>
            </w:tcBorders>
            <w:vAlign w:val="center"/>
            <w:hideMark/>
          </w:tcPr>
          <w:p w14:paraId="5DFD9E16"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b/>
                <w:bCs/>
                <w:kern w:val="0"/>
                <w:sz w:val="20"/>
                <w:szCs w:val="20"/>
                <w14:ligatures w14:val="none"/>
              </w:rPr>
              <w:t>162</w:t>
            </w:r>
          </w:p>
        </w:tc>
        <w:tc>
          <w:tcPr>
            <w:tcW w:w="0" w:type="auto"/>
            <w:tcBorders>
              <w:bottom w:val="single" w:sz="4" w:space="0" w:color="auto"/>
            </w:tcBorders>
            <w:vAlign w:val="center"/>
            <w:hideMark/>
          </w:tcPr>
          <w:p w14:paraId="65A6A89A"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b/>
                <w:bCs/>
                <w:kern w:val="0"/>
                <w:sz w:val="20"/>
                <w:szCs w:val="20"/>
                <w14:ligatures w14:val="none"/>
              </w:rPr>
              <w:t>115</w:t>
            </w:r>
          </w:p>
        </w:tc>
        <w:tc>
          <w:tcPr>
            <w:tcW w:w="0" w:type="auto"/>
            <w:tcBorders>
              <w:bottom w:val="single" w:sz="4" w:space="0" w:color="auto"/>
            </w:tcBorders>
            <w:vAlign w:val="center"/>
            <w:hideMark/>
          </w:tcPr>
          <w:p w14:paraId="459F0A64"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b/>
                <w:bCs/>
                <w:kern w:val="0"/>
                <w:sz w:val="20"/>
                <w:szCs w:val="20"/>
                <w14:ligatures w14:val="none"/>
              </w:rPr>
              <w:t>8,990</w:t>
            </w:r>
          </w:p>
        </w:tc>
        <w:tc>
          <w:tcPr>
            <w:tcW w:w="0" w:type="auto"/>
            <w:tcBorders>
              <w:bottom w:val="single" w:sz="4" w:space="0" w:color="auto"/>
            </w:tcBorders>
            <w:vAlign w:val="center"/>
            <w:hideMark/>
          </w:tcPr>
          <w:p w14:paraId="015E6E22"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b/>
                <w:bCs/>
                <w:kern w:val="0"/>
                <w:sz w:val="20"/>
                <w:szCs w:val="20"/>
                <w14:ligatures w14:val="none"/>
              </w:rPr>
              <w:t>233</w:t>
            </w:r>
          </w:p>
        </w:tc>
        <w:tc>
          <w:tcPr>
            <w:tcW w:w="0" w:type="auto"/>
            <w:tcBorders>
              <w:bottom w:val="single" w:sz="4" w:space="0" w:color="auto"/>
            </w:tcBorders>
            <w:vAlign w:val="center"/>
            <w:hideMark/>
          </w:tcPr>
          <w:p w14:paraId="1EB3ACA0" w14:textId="77777777" w:rsidR="00C53EFF" w:rsidRPr="00C53EFF" w:rsidRDefault="00C53EFF" w:rsidP="00C53EFF">
            <w:pPr>
              <w:spacing w:after="0" w:line="240" w:lineRule="auto"/>
              <w:jc w:val="right"/>
              <w:rPr>
                <w:rFonts w:ascii="Times New Roman" w:eastAsia="Times New Roman" w:hAnsi="Times New Roman" w:cs="Times New Roman"/>
                <w:kern w:val="0"/>
                <w:sz w:val="20"/>
                <w:szCs w:val="20"/>
                <w14:ligatures w14:val="none"/>
              </w:rPr>
            </w:pPr>
            <w:r w:rsidRPr="00C53EFF">
              <w:rPr>
                <w:rFonts w:ascii="Times New Roman" w:eastAsia="Times New Roman" w:hAnsi="Times New Roman" w:cs="Times New Roman"/>
                <w:b/>
                <w:bCs/>
                <w:kern w:val="0"/>
                <w:sz w:val="20"/>
                <w:szCs w:val="20"/>
                <w14:ligatures w14:val="none"/>
              </w:rPr>
              <w:t>163</w:t>
            </w:r>
          </w:p>
        </w:tc>
      </w:tr>
    </w:tbl>
    <w:p w14:paraId="636D66A2" w14:textId="77777777" w:rsidR="007C473C" w:rsidRDefault="007C473C" w:rsidP="00265A75">
      <w:pPr>
        <w:jc w:val="both"/>
        <w:rPr>
          <w:rFonts w:ascii="Times New Roman" w:hAnsi="Times New Roman" w:cs="Times New Roman"/>
          <w:b/>
          <w:bCs/>
        </w:rPr>
      </w:pPr>
    </w:p>
    <w:p w14:paraId="0E7127BB" w14:textId="2C0DC17C" w:rsidR="00DF5611" w:rsidRDefault="00165C2E" w:rsidP="00265A75">
      <w:pPr>
        <w:jc w:val="both"/>
        <w:rPr>
          <w:rFonts w:ascii="Times New Roman" w:hAnsi="Times New Roman" w:cs="Times New Roman"/>
          <w:b/>
          <w:bCs/>
        </w:rPr>
      </w:pPr>
      <w:r>
        <w:rPr>
          <w:rFonts w:ascii="Times New Roman" w:hAnsi="Times New Roman" w:cs="Times New Roman"/>
          <w:b/>
          <w:bCs/>
        </w:rPr>
        <w:t xml:space="preserve">Figure </w:t>
      </w:r>
      <w:r w:rsidR="007C0676">
        <w:rPr>
          <w:rFonts w:ascii="Times New Roman" w:hAnsi="Times New Roman" w:cs="Times New Roman"/>
          <w:b/>
          <w:bCs/>
        </w:rPr>
        <w:t>2</w:t>
      </w:r>
      <w:r w:rsidR="00DF5611">
        <w:rPr>
          <w:rFonts w:ascii="Times New Roman" w:hAnsi="Times New Roman" w:cs="Times New Roman"/>
          <w:b/>
          <w:bCs/>
        </w:rPr>
        <w:t xml:space="preserve">: Target reached across LGAs of intervention </w:t>
      </w:r>
    </w:p>
    <w:p w14:paraId="4AAEE861" w14:textId="07EA1B5B" w:rsidR="00DF5611" w:rsidRDefault="00DF5611" w:rsidP="00DF5611">
      <w:pPr>
        <w:spacing w:line="360" w:lineRule="auto"/>
      </w:pPr>
      <w:r>
        <w:rPr>
          <w:noProof/>
        </w:rPr>
        <w:lastRenderedPageBreak/>
        <w:drawing>
          <wp:inline distT="0" distB="0" distL="0" distR="0" wp14:anchorId="1EFA5AC1" wp14:editId="4DE6C3A0">
            <wp:extent cx="6165850" cy="2781300"/>
            <wp:effectExtent l="0" t="0" r="6350" b="0"/>
            <wp:docPr id="1062344317" name="Chart 1">
              <a:extLst xmlns:a="http://schemas.openxmlformats.org/drawingml/2006/main">
                <a:ext uri="{FF2B5EF4-FFF2-40B4-BE49-F238E27FC236}">
                  <a16:creationId xmlns:a16="http://schemas.microsoft.com/office/drawing/2014/main" id="{B26E184F-E04C-4D56-93FD-C4FE488E8F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t xml:space="preserve"> </w:t>
      </w:r>
    </w:p>
    <w:p w14:paraId="4A544265" w14:textId="5C29214B" w:rsidR="00DF5611" w:rsidRPr="00DF5611" w:rsidRDefault="00165C2E" w:rsidP="00DF5611">
      <w:pPr>
        <w:spacing w:line="360" w:lineRule="auto"/>
      </w:pPr>
      <w:r>
        <w:t xml:space="preserve">Figure </w:t>
      </w:r>
      <w:r w:rsidR="007C0676">
        <w:t>3</w:t>
      </w:r>
      <w:r w:rsidR="00DF5611">
        <w:t xml:space="preserve">: Distribution of Target reached across Groups </w:t>
      </w:r>
    </w:p>
    <w:p w14:paraId="3B34B321" w14:textId="639093EF" w:rsidR="00DF5611" w:rsidRDefault="00DF5611">
      <w:r>
        <w:rPr>
          <w:noProof/>
        </w:rPr>
        <w:drawing>
          <wp:inline distT="0" distB="0" distL="0" distR="0" wp14:anchorId="76AB763F" wp14:editId="551E0ED1">
            <wp:extent cx="5854700" cy="1955800"/>
            <wp:effectExtent l="0" t="0" r="12700" b="6350"/>
            <wp:docPr id="1" name="Chart 1">
              <a:extLst xmlns:a="http://schemas.openxmlformats.org/drawingml/2006/main">
                <a:ext uri="{FF2B5EF4-FFF2-40B4-BE49-F238E27FC236}">
                  <a16:creationId xmlns:a16="http://schemas.microsoft.com/office/drawing/2014/main" id="{3133ECB6-51D7-E93B-541F-517AEAB8CD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2DD3EC" w14:textId="42C8AA96" w:rsidR="00DF5611" w:rsidRDefault="00DF5611" w:rsidP="00DF5611">
      <w:r>
        <w:t xml:space="preserve">Table </w:t>
      </w:r>
      <w:r w:rsidR="000125C1">
        <w:t>2</w:t>
      </w:r>
      <w:r>
        <w:t>: HTS Contribution by LGAs</w:t>
      </w:r>
    </w:p>
    <w:tbl>
      <w:tblPr>
        <w:tblStyle w:val="TableGrid"/>
        <w:tblW w:w="7692" w:type="dxa"/>
        <w:tblLook w:val="04A0" w:firstRow="1" w:lastRow="0" w:firstColumn="1" w:lastColumn="0" w:noHBand="0" w:noVBand="1"/>
      </w:tblPr>
      <w:tblGrid>
        <w:gridCol w:w="1447"/>
        <w:gridCol w:w="3835"/>
        <w:gridCol w:w="2410"/>
      </w:tblGrid>
      <w:tr w:rsidR="00DF5611" w14:paraId="4F84D024" w14:textId="77777777" w:rsidTr="00DF5611">
        <w:trPr>
          <w:trHeight w:val="361"/>
        </w:trPr>
        <w:tc>
          <w:tcPr>
            <w:tcW w:w="0" w:type="auto"/>
          </w:tcPr>
          <w:p w14:paraId="6027B67C" w14:textId="77777777" w:rsidR="00DF5611" w:rsidRDefault="00DF5611" w:rsidP="00D41D04">
            <w:r>
              <w:t>S/N</w:t>
            </w:r>
          </w:p>
        </w:tc>
        <w:tc>
          <w:tcPr>
            <w:tcW w:w="0" w:type="auto"/>
          </w:tcPr>
          <w:p w14:paraId="6E90A443" w14:textId="77777777" w:rsidR="00DF5611" w:rsidRDefault="00DF5611" w:rsidP="00D41D04">
            <w:r>
              <w:t>LGA</w:t>
            </w:r>
          </w:p>
        </w:tc>
        <w:tc>
          <w:tcPr>
            <w:tcW w:w="0" w:type="auto"/>
          </w:tcPr>
          <w:p w14:paraId="3DFA89CA" w14:textId="77777777" w:rsidR="00DF5611" w:rsidRDefault="00DF5611" w:rsidP="00D41D04">
            <w:r>
              <w:t>Percent</w:t>
            </w:r>
          </w:p>
        </w:tc>
      </w:tr>
      <w:tr w:rsidR="00DF5611" w14:paraId="0EE41958" w14:textId="77777777" w:rsidTr="00DF5611">
        <w:trPr>
          <w:trHeight w:val="376"/>
        </w:trPr>
        <w:tc>
          <w:tcPr>
            <w:tcW w:w="0" w:type="auto"/>
          </w:tcPr>
          <w:p w14:paraId="3531D30A" w14:textId="77777777" w:rsidR="00DF5611" w:rsidRDefault="00DF5611" w:rsidP="00D41D04">
            <w:r>
              <w:t>1</w:t>
            </w:r>
          </w:p>
        </w:tc>
        <w:tc>
          <w:tcPr>
            <w:tcW w:w="0" w:type="auto"/>
          </w:tcPr>
          <w:p w14:paraId="5379F7EE" w14:textId="77777777" w:rsidR="00DF5611" w:rsidRDefault="00DF5611" w:rsidP="00D41D04">
            <w:r>
              <w:t>Karim Lamido</w:t>
            </w:r>
          </w:p>
        </w:tc>
        <w:tc>
          <w:tcPr>
            <w:tcW w:w="0" w:type="auto"/>
          </w:tcPr>
          <w:p w14:paraId="09294260" w14:textId="77777777" w:rsidR="00DF5611" w:rsidRDefault="00DF5611" w:rsidP="00D41D04">
            <w:r>
              <w:t>31%</w:t>
            </w:r>
          </w:p>
        </w:tc>
      </w:tr>
      <w:tr w:rsidR="00DF5611" w14:paraId="4EBED274" w14:textId="77777777" w:rsidTr="00DF5611">
        <w:trPr>
          <w:trHeight w:val="361"/>
        </w:trPr>
        <w:tc>
          <w:tcPr>
            <w:tcW w:w="0" w:type="auto"/>
          </w:tcPr>
          <w:p w14:paraId="5FAD0ED9" w14:textId="77777777" w:rsidR="00DF5611" w:rsidRDefault="00DF5611" w:rsidP="00D41D04">
            <w:r>
              <w:t>2</w:t>
            </w:r>
          </w:p>
        </w:tc>
        <w:tc>
          <w:tcPr>
            <w:tcW w:w="0" w:type="auto"/>
          </w:tcPr>
          <w:p w14:paraId="0D1F786C" w14:textId="77777777" w:rsidR="00DF5611" w:rsidRDefault="00DF5611" w:rsidP="00D41D04">
            <w:proofErr w:type="spellStart"/>
            <w:r>
              <w:t>Ussa</w:t>
            </w:r>
            <w:proofErr w:type="spellEnd"/>
          </w:p>
        </w:tc>
        <w:tc>
          <w:tcPr>
            <w:tcW w:w="0" w:type="auto"/>
          </w:tcPr>
          <w:p w14:paraId="0B5B75B2" w14:textId="77777777" w:rsidR="00DF5611" w:rsidRDefault="00DF5611" w:rsidP="00D41D04">
            <w:r>
              <w:t>25%</w:t>
            </w:r>
          </w:p>
        </w:tc>
      </w:tr>
      <w:tr w:rsidR="00DF5611" w14:paraId="3A1AB4C4" w14:textId="77777777" w:rsidTr="00DF5611">
        <w:trPr>
          <w:trHeight w:val="361"/>
        </w:trPr>
        <w:tc>
          <w:tcPr>
            <w:tcW w:w="0" w:type="auto"/>
          </w:tcPr>
          <w:p w14:paraId="099C8D1A" w14:textId="77777777" w:rsidR="00DF5611" w:rsidRDefault="00DF5611" w:rsidP="00D41D04">
            <w:r>
              <w:t>3</w:t>
            </w:r>
          </w:p>
        </w:tc>
        <w:tc>
          <w:tcPr>
            <w:tcW w:w="0" w:type="auto"/>
          </w:tcPr>
          <w:p w14:paraId="55DDD392" w14:textId="77777777" w:rsidR="00DF5611" w:rsidRDefault="00DF5611" w:rsidP="00D41D04">
            <w:r>
              <w:t>Sardauna</w:t>
            </w:r>
          </w:p>
        </w:tc>
        <w:tc>
          <w:tcPr>
            <w:tcW w:w="0" w:type="auto"/>
          </w:tcPr>
          <w:p w14:paraId="3A0A5990" w14:textId="77777777" w:rsidR="00DF5611" w:rsidRDefault="00DF5611" w:rsidP="00D41D04">
            <w:r>
              <w:t>44%</w:t>
            </w:r>
          </w:p>
        </w:tc>
      </w:tr>
    </w:tbl>
    <w:p w14:paraId="2D9599AC" w14:textId="77777777" w:rsidR="00DF5611" w:rsidRDefault="00DF5611" w:rsidP="00DF5611"/>
    <w:p w14:paraId="6E2EEF3B" w14:textId="5F60DBF9" w:rsidR="00DF5611" w:rsidRDefault="00DF5611" w:rsidP="00DF5611">
      <w:r>
        <w:rPr>
          <w:noProof/>
        </w:rPr>
        <w:lastRenderedPageBreak/>
        <w:drawing>
          <wp:anchor distT="0" distB="0" distL="114300" distR="114300" simplePos="0" relativeHeight="251667456" behindDoc="0" locked="0" layoutInCell="1" allowOverlap="1" wp14:anchorId="29BB476E" wp14:editId="1BF2758F">
            <wp:simplePos x="0" y="0"/>
            <wp:positionH relativeFrom="margin">
              <wp:align>left</wp:align>
            </wp:positionH>
            <wp:positionV relativeFrom="paragraph">
              <wp:posOffset>304800</wp:posOffset>
            </wp:positionV>
            <wp:extent cx="4888865" cy="3009900"/>
            <wp:effectExtent l="0" t="0" r="6985" b="0"/>
            <wp:wrapTopAndBottom/>
            <wp:docPr id="2" name="Chart 1">
              <a:extLst xmlns:a="http://schemas.openxmlformats.org/drawingml/2006/main">
                <a:ext uri="{FF2B5EF4-FFF2-40B4-BE49-F238E27FC236}">
                  <a16:creationId xmlns:a16="http://schemas.microsoft.com/office/drawing/2014/main" id="{00000000-0008-0000-07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00165C2E">
        <w:t xml:space="preserve">Figure </w:t>
      </w:r>
      <w:r w:rsidR="007C0676">
        <w:t>4</w:t>
      </w:r>
      <w:r>
        <w:t>: HTS Contribution by LGAs</w:t>
      </w:r>
    </w:p>
    <w:p w14:paraId="32736127" w14:textId="77777777" w:rsidR="00DF5611" w:rsidRDefault="00DF5611" w:rsidP="00DF5611"/>
    <w:p w14:paraId="5F35267C" w14:textId="6A17EA56" w:rsidR="00DF5611" w:rsidRDefault="00675B85" w:rsidP="00DF5611">
      <w:r w:rsidRPr="00675B85">
        <w:t xml:space="preserve">Table </w:t>
      </w:r>
      <w:r w:rsidR="000125C1">
        <w:t>3</w:t>
      </w:r>
      <w:r w:rsidR="005441EA">
        <w:t>: Pie chart showing the HTS Contribution by LGAs</w:t>
      </w:r>
    </w:p>
    <w:tbl>
      <w:tblPr>
        <w:tblStyle w:val="TableGrid"/>
        <w:tblW w:w="8952" w:type="dxa"/>
        <w:tblLook w:val="04A0" w:firstRow="1" w:lastRow="0" w:firstColumn="1" w:lastColumn="0" w:noHBand="0" w:noVBand="1"/>
      </w:tblPr>
      <w:tblGrid>
        <w:gridCol w:w="1714"/>
        <w:gridCol w:w="4422"/>
        <w:gridCol w:w="2816"/>
      </w:tblGrid>
      <w:tr w:rsidR="00DF5611" w14:paraId="3EB2A98C" w14:textId="77777777" w:rsidTr="00DF5611">
        <w:trPr>
          <w:trHeight w:val="276"/>
        </w:trPr>
        <w:tc>
          <w:tcPr>
            <w:tcW w:w="0" w:type="auto"/>
          </w:tcPr>
          <w:p w14:paraId="15125C6F" w14:textId="77777777" w:rsidR="00DF5611" w:rsidRPr="00DF5611" w:rsidRDefault="00DF5611" w:rsidP="00D41D04">
            <w:pPr>
              <w:rPr>
                <w:b/>
              </w:rPr>
            </w:pPr>
            <w:r w:rsidRPr="00DF5611">
              <w:rPr>
                <w:b/>
              </w:rPr>
              <w:t>S/N</w:t>
            </w:r>
          </w:p>
        </w:tc>
        <w:tc>
          <w:tcPr>
            <w:tcW w:w="0" w:type="auto"/>
          </w:tcPr>
          <w:p w14:paraId="7C70CBB0" w14:textId="77777777" w:rsidR="00DF5611" w:rsidRPr="00DF5611" w:rsidRDefault="00DF5611" w:rsidP="00D41D04">
            <w:pPr>
              <w:rPr>
                <w:b/>
              </w:rPr>
            </w:pPr>
            <w:r w:rsidRPr="00DF5611">
              <w:rPr>
                <w:b/>
              </w:rPr>
              <w:t>LGA</w:t>
            </w:r>
          </w:p>
        </w:tc>
        <w:tc>
          <w:tcPr>
            <w:tcW w:w="0" w:type="auto"/>
          </w:tcPr>
          <w:p w14:paraId="0E431614" w14:textId="77777777" w:rsidR="00DF5611" w:rsidRPr="00DF5611" w:rsidRDefault="00DF5611" w:rsidP="00D41D04">
            <w:pPr>
              <w:rPr>
                <w:b/>
              </w:rPr>
            </w:pPr>
            <w:r w:rsidRPr="00DF5611">
              <w:rPr>
                <w:b/>
              </w:rPr>
              <w:t>Percent</w:t>
            </w:r>
          </w:p>
        </w:tc>
      </w:tr>
      <w:tr w:rsidR="00DF5611" w14:paraId="7FC24863" w14:textId="77777777" w:rsidTr="00DF5611">
        <w:trPr>
          <w:trHeight w:val="287"/>
        </w:trPr>
        <w:tc>
          <w:tcPr>
            <w:tcW w:w="0" w:type="auto"/>
          </w:tcPr>
          <w:p w14:paraId="671F471C" w14:textId="77777777" w:rsidR="00DF5611" w:rsidRDefault="00DF5611" w:rsidP="00D41D04">
            <w:r>
              <w:t>1</w:t>
            </w:r>
          </w:p>
        </w:tc>
        <w:tc>
          <w:tcPr>
            <w:tcW w:w="0" w:type="auto"/>
          </w:tcPr>
          <w:p w14:paraId="35F7E28D" w14:textId="77777777" w:rsidR="00DF5611" w:rsidRDefault="00DF5611" w:rsidP="00D41D04">
            <w:r>
              <w:t>Karim Lamido</w:t>
            </w:r>
          </w:p>
        </w:tc>
        <w:tc>
          <w:tcPr>
            <w:tcW w:w="0" w:type="auto"/>
          </w:tcPr>
          <w:p w14:paraId="01BB0BDA" w14:textId="77777777" w:rsidR="00DF5611" w:rsidRDefault="00DF5611" w:rsidP="00D41D04">
            <w:r>
              <w:t>1.5%</w:t>
            </w:r>
          </w:p>
        </w:tc>
      </w:tr>
      <w:tr w:rsidR="00DF5611" w14:paraId="1F7B75A7" w14:textId="77777777" w:rsidTr="00DF5611">
        <w:trPr>
          <w:trHeight w:val="276"/>
        </w:trPr>
        <w:tc>
          <w:tcPr>
            <w:tcW w:w="0" w:type="auto"/>
          </w:tcPr>
          <w:p w14:paraId="5B6005E3" w14:textId="77777777" w:rsidR="00DF5611" w:rsidRDefault="00DF5611" w:rsidP="00D41D04">
            <w:r>
              <w:t>2</w:t>
            </w:r>
          </w:p>
        </w:tc>
        <w:tc>
          <w:tcPr>
            <w:tcW w:w="0" w:type="auto"/>
          </w:tcPr>
          <w:p w14:paraId="0DCEB30E" w14:textId="77777777" w:rsidR="00DF5611" w:rsidRDefault="00DF5611" w:rsidP="00D41D04">
            <w:proofErr w:type="spellStart"/>
            <w:r>
              <w:t>Ussa</w:t>
            </w:r>
            <w:proofErr w:type="spellEnd"/>
          </w:p>
        </w:tc>
        <w:tc>
          <w:tcPr>
            <w:tcW w:w="0" w:type="auto"/>
          </w:tcPr>
          <w:p w14:paraId="4DB7CE8A" w14:textId="77777777" w:rsidR="00DF5611" w:rsidRDefault="00DF5611" w:rsidP="00D41D04">
            <w:r>
              <w:t>0.3%</w:t>
            </w:r>
          </w:p>
        </w:tc>
      </w:tr>
      <w:tr w:rsidR="00DF5611" w14:paraId="39050E96" w14:textId="77777777" w:rsidTr="00DF5611">
        <w:trPr>
          <w:trHeight w:val="276"/>
        </w:trPr>
        <w:tc>
          <w:tcPr>
            <w:tcW w:w="0" w:type="auto"/>
          </w:tcPr>
          <w:p w14:paraId="5E5D4243" w14:textId="77777777" w:rsidR="00DF5611" w:rsidRDefault="00DF5611" w:rsidP="00D41D04">
            <w:r>
              <w:t>3</w:t>
            </w:r>
          </w:p>
        </w:tc>
        <w:tc>
          <w:tcPr>
            <w:tcW w:w="0" w:type="auto"/>
          </w:tcPr>
          <w:p w14:paraId="3AC3DFD4" w14:textId="77777777" w:rsidR="00DF5611" w:rsidRDefault="00DF5611" w:rsidP="00D41D04">
            <w:r>
              <w:t>Sardauna</w:t>
            </w:r>
          </w:p>
        </w:tc>
        <w:tc>
          <w:tcPr>
            <w:tcW w:w="0" w:type="auto"/>
          </w:tcPr>
          <w:p w14:paraId="076E998B" w14:textId="77777777" w:rsidR="00DF5611" w:rsidRDefault="00DF5611" w:rsidP="00D41D04">
            <w:r>
              <w:t>0.8%</w:t>
            </w:r>
          </w:p>
        </w:tc>
      </w:tr>
      <w:tr w:rsidR="00DF5611" w14:paraId="37279E23" w14:textId="77777777" w:rsidTr="00DF5611">
        <w:trPr>
          <w:trHeight w:val="276"/>
        </w:trPr>
        <w:tc>
          <w:tcPr>
            <w:tcW w:w="0" w:type="auto"/>
          </w:tcPr>
          <w:p w14:paraId="120D66F6" w14:textId="77777777" w:rsidR="00DF5611" w:rsidRDefault="00DF5611" w:rsidP="00D41D04"/>
        </w:tc>
        <w:tc>
          <w:tcPr>
            <w:tcW w:w="0" w:type="auto"/>
          </w:tcPr>
          <w:p w14:paraId="2733B65F" w14:textId="77777777" w:rsidR="00DF5611" w:rsidRDefault="00DF5611" w:rsidP="00D41D04">
            <w:r>
              <w:t xml:space="preserve">Overall </w:t>
            </w:r>
          </w:p>
        </w:tc>
        <w:tc>
          <w:tcPr>
            <w:tcW w:w="0" w:type="auto"/>
          </w:tcPr>
          <w:p w14:paraId="05E82D89" w14:textId="77777777" w:rsidR="00DF5611" w:rsidRDefault="00DF5611" w:rsidP="00D41D04">
            <w:r>
              <w:t>2.6%</w:t>
            </w:r>
          </w:p>
        </w:tc>
      </w:tr>
    </w:tbl>
    <w:p w14:paraId="05EA757E" w14:textId="77777777" w:rsidR="00DF5611" w:rsidRDefault="00DF5611" w:rsidP="00DF5611"/>
    <w:p w14:paraId="5C7C3742" w14:textId="39C998F4" w:rsidR="00675B85" w:rsidRDefault="00675B85" w:rsidP="00DF5611">
      <w:r w:rsidRPr="00675B85">
        <w:t xml:space="preserve">Figure </w:t>
      </w:r>
      <w:r w:rsidR="007C0676">
        <w:t>5</w:t>
      </w:r>
      <w:r w:rsidRPr="00675B85">
        <w:t>: Proportion of Positives across LGAs</w:t>
      </w:r>
    </w:p>
    <w:p w14:paraId="40BC824E" w14:textId="472B45C8" w:rsidR="00DF5611" w:rsidRDefault="00DF5611" w:rsidP="00DF5611">
      <w:r>
        <w:rPr>
          <w:noProof/>
        </w:rPr>
        <w:drawing>
          <wp:anchor distT="0" distB="0" distL="114300" distR="114300" simplePos="0" relativeHeight="251674624" behindDoc="0" locked="0" layoutInCell="1" allowOverlap="1" wp14:anchorId="03A4A5E8" wp14:editId="2A04D1D5">
            <wp:simplePos x="0" y="0"/>
            <wp:positionH relativeFrom="column">
              <wp:posOffset>0</wp:posOffset>
            </wp:positionH>
            <wp:positionV relativeFrom="paragraph">
              <wp:posOffset>-2540</wp:posOffset>
            </wp:positionV>
            <wp:extent cx="5727700" cy="3105150"/>
            <wp:effectExtent l="0" t="0" r="6350" b="0"/>
            <wp:wrapTopAndBottom/>
            <wp:docPr id="803924793" name="Chart 1">
              <a:extLst xmlns:a="http://schemas.openxmlformats.org/drawingml/2006/main">
                <a:ext uri="{FF2B5EF4-FFF2-40B4-BE49-F238E27FC236}">
                  <a16:creationId xmlns:a16="http://schemas.microsoft.com/office/drawing/2014/main" id="{C6478D47-DDA2-ABC4-0774-09FC14C57D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EAA0EE9" w14:textId="461C9656" w:rsidR="00DF5611" w:rsidRPr="00165C2E" w:rsidRDefault="00165C2E" w:rsidP="00DF5611">
      <w:pPr>
        <w:rPr>
          <w:b/>
        </w:rPr>
      </w:pPr>
      <w:r w:rsidRPr="00165C2E">
        <w:rPr>
          <w:b/>
        </w:rPr>
        <w:lastRenderedPageBreak/>
        <w:t xml:space="preserve">Table </w:t>
      </w:r>
      <w:r w:rsidR="000125C1">
        <w:rPr>
          <w:b/>
        </w:rPr>
        <w:t>4</w:t>
      </w:r>
      <w:r w:rsidRPr="00165C2E">
        <w:rPr>
          <w:b/>
        </w:rPr>
        <w:t xml:space="preserve">: </w:t>
      </w:r>
      <w:r w:rsidR="00865DB5" w:rsidRPr="00165C2E">
        <w:rPr>
          <w:b/>
        </w:rPr>
        <w:t xml:space="preserve">Distribution of patients </w:t>
      </w:r>
      <w:r w:rsidR="00DF5611" w:rsidRPr="00165C2E">
        <w:rPr>
          <w:b/>
        </w:rPr>
        <w:t>Tested by target groups</w:t>
      </w:r>
    </w:p>
    <w:tbl>
      <w:tblPr>
        <w:tblStyle w:val="TableGrid"/>
        <w:tblW w:w="0" w:type="auto"/>
        <w:tblLook w:val="04A0" w:firstRow="1" w:lastRow="0" w:firstColumn="1" w:lastColumn="0" w:noHBand="0" w:noVBand="1"/>
      </w:tblPr>
      <w:tblGrid>
        <w:gridCol w:w="1503"/>
        <w:gridCol w:w="1287"/>
        <w:gridCol w:w="2136"/>
        <w:gridCol w:w="1659"/>
      </w:tblGrid>
      <w:tr w:rsidR="006D11A7" w14:paraId="3DD1A55C" w14:textId="77777777" w:rsidTr="00D41D04">
        <w:tc>
          <w:tcPr>
            <w:tcW w:w="0" w:type="auto"/>
          </w:tcPr>
          <w:p w14:paraId="0E98BBD8" w14:textId="77777777" w:rsidR="006D11A7" w:rsidRDefault="006D11A7" w:rsidP="00D41D04">
            <w:r>
              <w:t>Population</w:t>
            </w:r>
          </w:p>
        </w:tc>
        <w:tc>
          <w:tcPr>
            <w:tcW w:w="0" w:type="auto"/>
          </w:tcPr>
          <w:p w14:paraId="146AF6FB" w14:textId="77777777" w:rsidR="006D11A7" w:rsidRDefault="006D11A7" w:rsidP="00D41D04">
            <w:r>
              <w:t>Total tested</w:t>
            </w:r>
          </w:p>
        </w:tc>
        <w:tc>
          <w:tcPr>
            <w:tcW w:w="0" w:type="auto"/>
          </w:tcPr>
          <w:p w14:paraId="6691C6C9" w14:textId="77777777" w:rsidR="006D11A7" w:rsidRDefault="006D11A7" w:rsidP="00D41D04">
            <w:r>
              <w:t>Frequency of positive</w:t>
            </w:r>
          </w:p>
        </w:tc>
        <w:tc>
          <w:tcPr>
            <w:tcW w:w="0" w:type="auto"/>
          </w:tcPr>
          <w:p w14:paraId="0183F16D" w14:textId="77777777" w:rsidR="006D11A7" w:rsidRDefault="006D11A7" w:rsidP="00D41D04">
            <w:r>
              <w:t>Percent positive</w:t>
            </w:r>
          </w:p>
        </w:tc>
      </w:tr>
      <w:tr w:rsidR="006D11A7" w14:paraId="25C30292" w14:textId="77777777" w:rsidTr="00D41D04">
        <w:tc>
          <w:tcPr>
            <w:tcW w:w="0" w:type="auto"/>
          </w:tcPr>
          <w:p w14:paraId="5278D5F3" w14:textId="77777777" w:rsidR="006D11A7" w:rsidRDefault="006D11A7" w:rsidP="00D41D04">
            <w:proofErr w:type="gramStart"/>
            <w:r>
              <w:t>Children(</w:t>
            </w:r>
            <w:proofErr w:type="gramEnd"/>
            <w:r>
              <w:t>0-14)</w:t>
            </w:r>
          </w:p>
        </w:tc>
        <w:tc>
          <w:tcPr>
            <w:tcW w:w="0" w:type="auto"/>
          </w:tcPr>
          <w:p w14:paraId="00B4B78E" w14:textId="77777777" w:rsidR="006D11A7" w:rsidRDefault="006D11A7" w:rsidP="00D41D04">
            <w:r>
              <w:t>2675</w:t>
            </w:r>
          </w:p>
        </w:tc>
        <w:tc>
          <w:tcPr>
            <w:tcW w:w="0" w:type="auto"/>
          </w:tcPr>
          <w:p w14:paraId="2FF261C2" w14:textId="77777777" w:rsidR="006D11A7" w:rsidRDefault="006D11A7" w:rsidP="00D41D04">
            <w:r>
              <w:t>22</w:t>
            </w:r>
          </w:p>
        </w:tc>
        <w:tc>
          <w:tcPr>
            <w:tcW w:w="0" w:type="auto"/>
          </w:tcPr>
          <w:p w14:paraId="009D1889" w14:textId="77777777" w:rsidR="006D11A7" w:rsidRDefault="006D11A7" w:rsidP="00D41D04">
            <w:r>
              <w:t>0.8%</w:t>
            </w:r>
          </w:p>
        </w:tc>
      </w:tr>
      <w:tr w:rsidR="006D11A7" w14:paraId="20BF9C21" w14:textId="77777777" w:rsidTr="00D41D04">
        <w:tc>
          <w:tcPr>
            <w:tcW w:w="0" w:type="auto"/>
          </w:tcPr>
          <w:p w14:paraId="37BBAE7B" w14:textId="77777777" w:rsidR="006D11A7" w:rsidRDefault="006D11A7" w:rsidP="00D41D04">
            <w:r>
              <w:t>AYP (15-24)</w:t>
            </w:r>
          </w:p>
        </w:tc>
        <w:tc>
          <w:tcPr>
            <w:tcW w:w="0" w:type="auto"/>
          </w:tcPr>
          <w:p w14:paraId="36218172" w14:textId="77777777" w:rsidR="006D11A7" w:rsidRDefault="006D11A7" w:rsidP="00D41D04">
            <w:r>
              <w:t>2591</w:t>
            </w:r>
          </w:p>
        </w:tc>
        <w:tc>
          <w:tcPr>
            <w:tcW w:w="0" w:type="auto"/>
          </w:tcPr>
          <w:p w14:paraId="3E6FC74F" w14:textId="77777777" w:rsidR="006D11A7" w:rsidRDefault="006D11A7" w:rsidP="00D41D04">
            <w:r>
              <w:t>40</w:t>
            </w:r>
          </w:p>
        </w:tc>
        <w:tc>
          <w:tcPr>
            <w:tcW w:w="0" w:type="auto"/>
          </w:tcPr>
          <w:p w14:paraId="613DF3D2" w14:textId="77777777" w:rsidR="006D11A7" w:rsidRDefault="006D11A7" w:rsidP="00D41D04">
            <w:r>
              <w:t>1.5%</w:t>
            </w:r>
          </w:p>
        </w:tc>
      </w:tr>
      <w:tr w:rsidR="006D11A7" w14:paraId="23A322DA" w14:textId="77777777" w:rsidTr="00D41D04">
        <w:tc>
          <w:tcPr>
            <w:tcW w:w="0" w:type="auto"/>
          </w:tcPr>
          <w:p w14:paraId="1FF0B06A" w14:textId="77777777" w:rsidR="006D11A7" w:rsidRDefault="006D11A7" w:rsidP="00D41D04">
            <w:r>
              <w:t>Caregivers</w:t>
            </w:r>
          </w:p>
        </w:tc>
        <w:tc>
          <w:tcPr>
            <w:tcW w:w="0" w:type="auto"/>
          </w:tcPr>
          <w:p w14:paraId="6FAC896D" w14:textId="77777777" w:rsidR="006D11A7" w:rsidRDefault="006D11A7" w:rsidP="00D41D04">
            <w:r>
              <w:t>1509</w:t>
            </w:r>
          </w:p>
        </w:tc>
        <w:tc>
          <w:tcPr>
            <w:tcW w:w="0" w:type="auto"/>
          </w:tcPr>
          <w:p w14:paraId="49212045" w14:textId="77777777" w:rsidR="006D11A7" w:rsidRDefault="006D11A7" w:rsidP="00D41D04">
            <w:r>
              <w:t>71</w:t>
            </w:r>
          </w:p>
        </w:tc>
        <w:tc>
          <w:tcPr>
            <w:tcW w:w="0" w:type="auto"/>
          </w:tcPr>
          <w:p w14:paraId="16DFD2B5" w14:textId="77777777" w:rsidR="006D11A7" w:rsidRDefault="006D11A7" w:rsidP="00D41D04">
            <w:r>
              <w:t>4.7%</w:t>
            </w:r>
          </w:p>
        </w:tc>
      </w:tr>
      <w:tr w:rsidR="006D11A7" w14:paraId="74AE96E3" w14:textId="77777777" w:rsidTr="00D41D04">
        <w:tc>
          <w:tcPr>
            <w:tcW w:w="0" w:type="auto"/>
          </w:tcPr>
          <w:p w14:paraId="02211500" w14:textId="77777777" w:rsidR="006D11A7" w:rsidRDefault="006D11A7" w:rsidP="00D41D04">
            <w:r>
              <w:t>Gen. pop</w:t>
            </w:r>
          </w:p>
        </w:tc>
        <w:tc>
          <w:tcPr>
            <w:tcW w:w="0" w:type="auto"/>
          </w:tcPr>
          <w:p w14:paraId="4A2F64F6" w14:textId="77777777" w:rsidR="006D11A7" w:rsidRDefault="006D11A7" w:rsidP="00D41D04">
            <w:r>
              <w:t>2215</w:t>
            </w:r>
          </w:p>
        </w:tc>
        <w:tc>
          <w:tcPr>
            <w:tcW w:w="0" w:type="auto"/>
          </w:tcPr>
          <w:p w14:paraId="1741018C" w14:textId="77777777" w:rsidR="006D11A7" w:rsidRDefault="006D11A7" w:rsidP="00D41D04">
            <w:r>
              <w:t>100</w:t>
            </w:r>
          </w:p>
        </w:tc>
        <w:tc>
          <w:tcPr>
            <w:tcW w:w="0" w:type="auto"/>
          </w:tcPr>
          <w:p w14:paraId="33E5099D" w14:textId="77777777" w:rsidR="006D11A7" w:rsidRDefault="006D11A7" w:rsidP="00D41D04">
            <w:r>
              <w:t>4.5%</w:t>
            </w:r>
          </w:p>
        </w:tc>
      </w:tr>
      <w:tr w:rsidR="006D11A7" w14:paraId="0A12CAF9" w14:textId="77777777" w:rsidTr="00D41D04">
        <w:tc>
          <w:tcPr>
            <w:tcW w:w="0" w:type="auto"/>
          </w:tcPr>
          <w:p w14:paraId="5E886FC4" w14:textId="4FDFA50F" w:rsidR="006D11A7" w:rsidRPr="007164F3" w:rsidRDefault="00165C2E" w:rsidP="00D41D04">
            <w:pPr>
              <w:rPr>
                <w:b/>
              </w:rPr>
            </w:pPr>
            <w:r w:rsidRPr="007164F3">
              <w:rPr>
                <w:b/>
              </w:rPr>
              <w:t>O</w:t>
            </w:r>
            <w:r w:rsidR="006D11A7" w:rsidRPr="007164F3">
              <w:rPr>
                <w:b/>
              </w:rPr>
              <w:t>verall</w:t>
            </w:r>
          </w:p>
        </w:tc>
        <w:tc>
          <w:tcPr>
            <w:tcW w:w="0" w:type="auto"/>
          </w:tcPr>
          <w:p w14:paraId="3334902A" w14:textId="77777777" w:rsidR="006D11A7" w:rsidRPr="007164F3" w:rsidRDefault="006D11A7" w:rsidP="00D41D04">
            <w:pPr>
              <w:rPr>
                <w:b/>
              </w:rPr>
            </w:pPr>
            <w:r w:rsidRPr="007164F3">
              <w:rPr>
                <w:b/>
              </w:rPr>
              <w:t>8990</w:t>
            </w:r>
          </w:p>
        </w:tc>
        <w:tc>
          <w:tcPr>
            <w:tcW w:w="0" w:type="auto"/>
          </w:tcPr>
          <w:p w14:paraId="028B6C8F" w14:textId="77777777" w:rsidR="006D11A7" w:rsidRPr="007164F3" w:rsidRDefault="006D11A7" w:rsidP="00D41D04">
            <w:pPr>
              <w:rPr>
                <w:b/>
              </w:rPr>
            </w:pPr>
            <w:r w:rsidRPr="007164F3">
              <w:rPr>
                <w:b/>
              </w:rPr>
              <w:t>233</w:t>
            </w:r>
          </w:p>
        </w:tc>
        <w:tc>
          <w:tcPr>
            <w:tcW w:w="0" w:type="auto"/>
          </w:tcPr>
          <w:p w14:paraId="39D0607F" w14:textId="77777777" w:rsidR="006D11A7" w:rsidRPr="007164F3" w:rsidRDefault="006D11A7" w:rsidP="00D41D04">
            <w:pPr>
              <w:rPr>
                <w:b/>
              </w:rPr>
            </w:pPr>
            <w:r w:rsidRPr="007164F3">
              <w:rPr>
                <w:b/>
              </w:rPr>
              <w:t>2.6%</w:t>
            </w:r>
          </w:p>
        </w:tc>
      </w:tr>
    </w:tbl>
    <w:p w14:paraId="0E016CFB" w14:textId="77777777" w:rsidR="00DF5611" w:rsidRDefault="00DF5611" w:rsidP="00DF5611"/>
    <w:p w14:paraId="4D0A3118" w14:textId="1C7155E8" w:rsidR="00865DB5" w:rsidRDefault="00675B85" w:rsidP="007C0676">
      <w:pPr>
        <w:jc w:val="center"/>
      </w:pPr>
      <w:r w:rsidRPr="00675B85">
        <w:t xml:space="preserve">Figure </w:t>
      </w:r>
      <w:r w:rsidR="007C0676">
        <w:t>6</w:t>
      </w:r>
      <w:r w:rsidR="00865DB5">
        <w:rPr>
          <w:noProof/>
        </w:rPr>
        <w:drawing>
          <wp:anchor distT="0" distB="0" distL="114300" distR="114300" simplePos="0" relativeHeight="251676672" behindDoc="0" locked="0" layoutInCell="1" allowOverlap="1" wp14:anchorId="3F894D15" wp14:editId="115EF1E1">
            <wp:simplePos x="0" y="0"/>
            <wp:positionH relativeFrom="margin">
              <wp:posOffset>0</wp:posOffset>
            </wp:positionH>
            <wp:positionV relativeFrom="paragraph">
              <wp:posOffset>304165</wp:posOffset>
            </wp:positionV>
            <wp:extent cx="5955527" cy="3586039"/>
            <wp:effectExtent l="0" t="0" r="7620" b="14605"/>
            <wp:wrapTopAndBottom/>
            <wp:docPr id="851664758" name="Chart 1">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404627C" w14:textId="77777777" w:rsidR="00865DB5" w:rsidRDefault="00865DB5" w:rsidP="00DF5611"/>
    <w:p w14:paraId="7CC4CE83" w14:textId="55D6681A" w:rsidR="00DF5611" w:rsidRDefault="00675B85" w:rsidP="00DF5611">
      <w:r w:rsidRPr="00675B85">
        <w:t>Table</w:t>
      </w:r>
      <w:r w:rsidR="000125C1">
        <w:t xml:space="preserve"> 5.</w:t>
      </w:r>
      <w:r w:rsidRPr="00675B85">
        <w:t xml:space="preserve"> </w:t>
      </w:r>
      <w:r w:rsidR="00DF5611">
        <w:t>Distribution of Retention Rate by LGA</w:t>
      </w:r>
    </w:p>
    <w:tbl>
      <w:tblPr>
        <w:tblStyle w:val="TableGrid"/>
        <w:tblW w:w="0" w:type="auto"/>
        <w:tblLook w:val="04A0" w:firstRow="1" w:lastRow="0" w:firstColumn="1" w:lastColumn="0" w:noHBand="0" w:noVBand="1"/>
      </w:tblPr>
      <w:tblGrid>
        <w:gridCol w:w="545"/>
        <w:gridCol w:w="1445"/>
        <w:gridCol w:w="1934"/>
        <w:gridCol w:w="1702"/>
        <w:gridCol w:w="1799"/>
      </w:tblGrid>
      <w:tr w:rsidR="00DF5611" w14:paraId="1484F87C" w14:textId="77777777" w:rsidTr="00D41D04">
        <w:tc>
          <w:tcPr>
            <w:tcW w:w="0" w:type="auto"/>
          </w:tcPr>
          <w:p w14:paraId="25337CF7" w14:textId="77777777" w:rsidR="00DF5611" w:rsidRDefault="00DF5611" w:rsidP="00D41D04">
            <w:r>
              <w:t>S/N</w:t>
            </w:r>
          </w:p>
        </w:tc>
        <w:tc>
          <w:tcPr>
            <w:tcW w:w="0" w:type="auto"/>
          </w:tcPr>
          <w:p w14:paraId="434DCF7F" w14:textId="77777777" w:rsidR="00DF5611" w:rsidRDefault="00DF5611" w:rsidP="00D41D04">
            <w:r>
              <w:t>LGA</w:t>
            </w:r>
          </w:p>
        </w:tc>
        <w:tc>
          <w:tcPr>
            <w:tcW w:w="0" w:type="auto"/>
          </w:tcPr>
          <w:p w14:paraId="1B1E04B8" w14:textId="77777777" w:rsidR="00DF5611" w:rsidRDefault="00DF5611" w:rsidP="00D41D04">
            <w:r>
              <w:t>Total linked to care</w:t>
            </w:r>
          </w:p>
        </w:tc>
        <w:tc>
          <w:tcPr>
            <w:tcW w:w="0" w:type="auto"/>
          </w:tcPr>
          <w:p w14:paraId="69A7C88E" w14:textId="77777777" w:rsidR="00DF5611" w:rsidRDefault="00DF5611" w:rsidP="00D41D04">
            <w:r>
              <w:t>Currently in care</w:t>
            </w:r>
          </w:p>
        </w:tc>
        <w:tc>
          <w:tcPr>
            <w:tcW w:w="0" w:type="auto"/>
          </w:tcPr>
          <w:p w14:paraId="64C5D4E3" w14:textId="77777777" w:rsidR="00DF5611" w:rsidRDefault="00DF5611" w:rsidP="00D41D04">
            <w:r>
              <w:t xml:space="preserve">Percent retention </w:t>
            </w:r>
          </w:p>
        </w:tc>
      </w:tr>
      <w:tr w:rsidR="00DF5611" w14:paraId="2F30AF95" w14:textId="77777777" w:rsidTr="00D41D04">
        <w:tc>
          <w:tcPr>
            <w:tcW w:w="0" w:type="auto"/>
          </w:tcPr>
          <w:p w14:paraId="4C3D75BA" w14:textId="77777777" w:rsidR="00DF5611" w:rsidRDefault="00DF5611" w:rsidP="00D41D04">
            <w:r>
              <w:t>1</w:t>
            </w:r>
          </w:p>
        </w:tc>
        <w:tc>
          <w:tcPr>
            <w:tcW w:w="0" w:type="auto"/>
          </w:tcPr>
          <w:p w14:paraId="6CDA41C0" w14:textId="77777777" w:rsidR="00DF5611" w:rsidRDefault="00DF5611" w:rsidP="00D41D04">
            <w:r>
              <w:t>Karim Lamido</w:t>
            </w:r>
          </w:p>
        </w:tc>
        <w:tc>
          <w:tcPr>
            <w:tcW w:w="0" w:type="auto"/>
          </w:tcPr>
          <w:p w14:paraId="0C195325" w14:textId="77777777" w:rsidR="00DF5611" w:rsidRDefault="00DF5611" w:rsidP="00D41D04">
            <w:r>
              <w:t>99</w:t>
            </w:r>
          </w:p>
        </w:tc>
        <w:tc>
          <w:tcPr>
            <w:tcW w:w="0" w:type="auto"/>
          </w:tcPr>
          <w:p w14:paraId="4297779A" w14:textId="77777777" w:rsidR="00DF5611" w:rsidRDefault="00DF5611" w:rsidP="00D41D04">
            <w:r>
              <w:t>94</w:t>
            </w:r>
          </w:p>
        </w:tc>
        <w:tc>
          <w:tcPr>
            <w:tcW w:w="0" w:type="auto"/>
          </w:tcPr>
          <w:p w14:paraId="47D41B86" w14:textId="77777777" w:rsidR="00DF5611" w:rsidRDefault="00DF5611" w:rsidP="00D41D04">
            <w:r>
              <w:t>95%</w:t>
            </w:r>
          </w:p>
        </w:tc>
      </w:tr>
      <w:tr w:rsidR="00DF5611" w14:paraId="69E34DB5" w14:textId="77777777" w:rsidTr="00D41D04">
        <w:tc>
          <w:tcPr>
            <w:tcW w:w="0" w:type="auto"/>
          </w:tcPr>
          <w:p w14:paraId="79CCC10A" w14:textId="77777777" w:rsidR="00DF5611" w:rsidRDefault="00DF5611" w:rsidP="00D41D04">
            <w:r>
              <w:t>2</w:t>
            </w:r>
          </w:p>
        </w:tc>
        <w:tc>
          <w:tcPr>
            <w:tcW w:w="0" w:type="auto"/>
          </w:tcPr>
          <w:p w14:paraId="3F169BA3" w14:textId="77777777" w:rsidR="00DF5611" w:rsidRDefault="00DF5611" w:rsidP="00D41D04">
            <w:proofErr w:type="spellStart"/>
            <w:r>
              <w:t>Ussa</w:t>
            </w:r>
            <w:proofErr w:type="spellEnd"/>
          </w:p>
        </w:tc>
        <w:tc>
          <w:tcPr>
            <w:tcW w:w="0" w:type="auto"/>
          </w:tcPr>
          <w:p w14:paraId="615D918E" w14:textId="77777777" w:rsidR="00DF5611" w:rsidRDefault="00DF5611" w:rsidP="00D41D04">
            <w:r>
              <w:t>27</w:t>
            </w:r>
          </w:p>
        </w:tc>
        <w:tc>
          <w:tcPr>
            <w:tcW w:w="0" w:type="auto"/>
          </w:tcPr>
          <w:p w14:paraId="5DA5F084" w14:textId="77777777" w:rsidR="00DF5611" w:rsidRDefault="00DF5611" w:rsidP="00D41D04">
            <w:r>
              <w:t>22</w:t>
            </w:r>
          </w:p>
        </w:tc>
        <w:tc>
          <w:tcPr>
            <w:tcW w:w="0" w:type="auto"/>
          </w:tcPr>
          <w:p w14:paraId="4208E26D" w14:textId="77777777" w:rsidR="00DF5611" w:rsidRDefault="00DF5611" w:rsidP="00D41D04">
            <w:r>
              <w:t>81%</w:t>
            </w:r>
          </w:p>
        </w:tc>
      </w:tr>
      <w:tr w:rsidR="00DF5611" w14:paraId="7D7EFCFC" w14:textId="77777777" w:rsidTr="00D41D04">
        <w:tc>
          <w:tcPr>
            <w:tcW w:w="0" w:type="auto"/>
          </w:tcPr>
          <w:p w14:paraId="5028F7FD" w14:textId="77777777" w:rsidR="00DF5611" w:rsidRDefault="00DF5611" w:rsidP="00D41D04">
            <w:r>
              <w:t>3</w:t>
            </w:r>
          </w:p>
        </w:tc>
        <w:tc>
          <w:tcPr>
            <w:tcW w:w="0" w:type="auto"/>
          </w:tcPr>
          <w:p w14:paraId="4EBE7994" w14:textId="77777777" w:rsidR="00DF5611" w:rsidRDefault="00DF5611" w:rsidP="00D41D04">
            <w:r>
              <w:t>Sardauna</w:t>
            </w:r>
          </w:p>
        </w:tc>
        <w:tc>
          <w:tcPr>
            <w:tcW w:w="0" w:type="auto"/>
          </w:tcPr>
          <w:p w14:paraId="7C4B0658" w14:textId="77777777" w:rsidR="00DF5611" w:rsidRDefault="00DF5611" w:rsidP="00D41D04">
            <w:r>
              <w:t>37</w:t>
            </w:r>
          </w:p>
        </w:tc>
        <w:tc>
          <w:tcPr>
            <w:tcW w:w="0" w:type="auto"/>
          </w:tcPr>
          <w:p w14:paraId="653F472B" w14:textId="77777777" w:rsidR="00DF5611" w:rsidRDefault="00DF5611" w:rsidP="00D41D04">
            <w:r>
              <w:t>27</w:t>
            </w:r>
          </w:p>
        </w:tc>
        <w:tc>
          <w:tcPr>
            <w:tcW w:w="0" w:type="auto"/>
          </w:tcPr>
          <w:p w14:paraId="479A175C" w14:textId="77777777" w:rsidR="00DF5611" w:rsidRDefault="00DF5611" w:rsidP="00D41D04">
            <w:r>
              <w:t>73%</w:t>
            </w:r>
          </w:p>
        </w:tc>
      </w:tr>
      <w:tr w:rsidR="00DF5611" w14:paraId="72E24166" w14:textId="77777777" w:rsidTr="00D41D04">
        <w:tc>
          <w:tcPr>
            <w:tcW w:w="0" w:type="auto"/>
          </w:tcPr>
          <w:p w14:paraId="0BBC4437" w14:textId="77777777" w:rsidR="00DF5611" w:rsidRDefault="00DF5611" w:rsidP="00D41D04"/>
        </w:tc>
        <w:tc>
          <w:tcPr>
            <w:tcW w:w="0" w:type="auto"/>
          </w:tcPr>
          <w:p w14:paraId="50919E6A" w14:textId="77777777" w:rsidR="00DF5611" w:rsidRDefault="00DF5611" w:rsidP="00D41D04">
            <w:r>
              <w:t xml:space="preserve">Overall </w:t>
            </w:r>
          </w:p>
        </w:tc>
        <w:tc>
          <w:tcPr>
            <w:tcW w:w="0" w:type="auto"/>
          </w:tcPr>
          <w:p w14:paraId="7D771754" w14:textId="77777777" w:rsidR="00DF5611" w:rsidRDefault="00DF5611" w:rsidP="00D41D04">
            <w:r>
              <w:t>163</w:t>
            </w:r>
          </w:p>
        </w:tc>
        <w:tc>
          <w:tcPr>
            <w:tcW w:w="0" w:type="auto"/>
          </w:tcPr>
          <w:p w14:paraId="5CC6F503" w14:textId="77777777" w:rsidR="00DF5611" w:rsidRDefault="00DF5611" w:rsidP="00D41D04">
            <w:r>
              <w:t>143</w:t>
            </w:r>
          </w:p>
        </w:tc>
        <w:tc>
          <w:tcPr>
            <w:tcW w:w="0" w:type="auto"/>
          </w:tcPr>
          <w:p w14:paraId="57B26BE6" w14:textId="77777777" w:rsidR="00DF5611" w:rsidRDefault="00DF5611" w:rsidP="00D41D04">
            <w:r>
              <w:t>88%</w:t>
            </w:r>
          </w:p>
        </w:tc>
      </w:tr>
    </w:tbl>
    <w:p w14:paraId="6CF3E701" w14:textId="77777777" w:rsidR="00DF5611" w:rsidRDefault="00DF5611" w:rsidP="00DF5611"/>
    <w:p w14:paraId="36A9DF47" w14:textId="0D29D8C1" w:rsidR="00865DB5" w:rsidRDefault="00865DB5" w:rsidP="00DF5611"/>
    <w:p w14:paraId="63F2026E" w14:textId="61E5B6E8" w:rsidR="00DF5611" w:rsidRDefault="00675B85" w:rsidP="00DF5611">
      <w:r w:rsidRPr="00675B85">
        <w:t xml:space="preserve">Table </w:t>
      </w:r>
      <w:r w:rsidR="000125C1">
        <w:t xml:space="preserve">6. </w:t>
      </w:r>
      <w:r w:rsidR="00DF5611">
        <w:t xml:space="preserve">Distribution of Retention Rate Across </w:t>
      </w:r>
      <w:proofErr w:type="gramStart"/>
      <w:r w:rsidR="00DF5611">
        <w:t>target</w:t>
      </w:r>
      <w:proofErr w:type="gramEnd"/>
      <w:r w:rsidR="00DF5611">
        <w:t xml:space="preserve"> Groups </w:t>
      </w:r>
    </w:p>
    <w:tbl>
      <w:tblPr>
        <w:tblStyle w:val="TableGrid"/>
        <w:tblW w:w="0" w:type="auto"/>
        <w:tblLook w:val="04A0" w:firstRow="1" w:lastRow="0" w:firstColumn="1" w:lastColumn="0" w:noHBand="0" w:noVBand="1"/>
      </w:tblPr>
      <w:tblGrid>
        <w:gridCol w:w="1514"/>
        <w:gridCol w:w="2259"/>
        <w:gridCol w:w="1732"/>
        <w:gridCol w:w="2068"/>
      </w:tblGrid>
      <w:tr w:rsidR="00165C2E" w14:paraId="615EB414" w14:textId="77777777" w:rsidTr="00D41D04">
        <w:tc>
          <w:tcPr>
            <w:tcW w:w="0" w:type="auto"/>
          </w:tcPr>
          <w:p w14:paraId="727EB6AD" w14:textId="47379461" w:rsidR="00165C2E" w:rsidRPr="00165C2E" w:rsidRDefault="00165C2E" w:rsidP="00165C2E">
            <w:pPr>
              <w:rPr>
                <w:b/>
              </w:rPr>
            </w:pPr>
            <w:r w:rsidRPr="00165C2E">
              <w:rPr>
                <w:b/>
              </w:rPr>
              <w:t xml:space="preserve">Target </w:t>
            </w:r>
            <w:r>
              <w:rPr>
                <w:b/>
              </w:rPr>
              <w:t>Groups</w:t>
            </w:r>
            <w:r w:rsidRPr="00165C2E">
              <w:rPr>
                <w:b/>
              </w:rPr>
              <w:t xml:space="preserve"> </w:t>
            </w:r>
          </w:p>
        </w:tc>
        <w:tc>
          <w:tcPr>
            <w:tcW w:w="0" w:type="auto"/>
          </w:tcPr>
          <w:p w14:paraId="0232FC5E" w14:textId="77777777" w:rsidR="00165C2E" w:rsidRPr="00165C2E" w:rsidRDefault="00165C2E" w:rsidP="00D41D04">
            <w:pPr>
              <w:rPr>
                <w:b/>
              </w:rPr>
            </w:pPr>
            <w:r w:rsidRPr="00165C2E">
              <w:rPr>
                <w:b/>
              </w:rPr>
              <w:t>Number linked to care</w:t>
            </w:r>
          </w:p>
        </w:tc>
        <w:tc>
          <w:tcPr>
            <w:tcW w:w="0" w:type="auto"/>
          </w:tcPr>
          <w:p w14:paraId="79085CD0" w14:textId="77777777" w:rsidR="00165C2E" w:rsidRPr="00165C2E" w:rsidRDefault="00165C2E" w:rsidP="00D41D04">
            <w:pPr>
              <w:rPr>
                <w:b/>
              </w:rPr>
            </w:pPr>
            <w:r w:rsidRPr="00165C2E">
              <w:rPr>
                <w:b/>
              </w:rPr>
              <w:t>Currently in care</w:t>
            </w:r>
          </w:p>
        </w:tc>
        <w:tc>
          <w:tcPr>
            <w:tcW w:w="0" w:type="auto"/>
          </w:tcPr>
          <w:p w14:paraId="50DDA062" w14:textId="77777777" w:rsidR="00165C2E" w:rsidRPr="00165C2E" w:rsidRDefault="00165C2E" w:rsidP="00D41D04">
            <w:pPr>
              <w:rPr>
                <w:b/>
              </w:rPr>
            </w:pPr>
            <w:r w:rsidRPr="00165C2E">
              <w:rPr>
                <w:b/>
              </w:rPr>
              <w:t>Percent of retention</w:t>
            </w:r>
          </w:p>
        </w:tc>
      </w:tr>
      <w:tr w:rsidR="00165C2E" w14:paraId="4D84ADDD" w14:textId="77777777" w:rsidTr="00D41D04">
        <w:tc>
          <w:tcPr>
            <w:tcW w:w="0" w:type="auto"/>
          </w:tcPr>
          <w:p w14:paraId="779DC011" w14:textId="77777777" w:rsidR="00165C2E" w:rsidRDefault="00165C2E" w:rsidP="00D41D04">
            <w:proofErr w:type="gramStart"/>
            <w:r>
              <w:t>Children(</w:t>
            </w:r>
            <w:proofErr w:type="gramEnd"/>
            <w:r>
              <w:t>0-14)</w:t>
            </w:r>
          </w:p>
        </w:tc>
        <w:tc>
          <w:tcPr>
            <w:tcW w:w="0" w:type="auto"/>
          </w:tcPr>
          <w:p w14:paraId="79DE4F99" w14:textId="77777777" w:rsidR="00165C2E" w:rsidRDefault="00165C2E" w:rsidP="00D41D04">
            <w:r>
              <w:t>16</w:t>
            </w:r>
          </w:p>
        </w:tc>
        <w:tc>
          <w:tcPr>
            <w:tcW w:w="0" w:type="auto"/>
          </w:tcPr>
          <w:p w14:paraId="60A0917F" w14:textId="77777777" w:rsidR="00165C2E" w:rsidRDefault="00165C2E" w:rsidP="00D41D04">
            <w:r>
              <w:t>14</w:t>
            </w:r>
          </w:p>
        </w:tc>
        <w:tc>
          <w:tcPr>
            <w:tcW w:w="0" w:type="auto"/>
          </w:tcPr>
          <w:p w14:paraId="0AFAAB27" w14:textId="77777777" w:rsidR="00165C2E" w:rsidRDefault="00165C2E" w:rsidP="00D41D04">
            <w:r>
              <w:t>9%</w:t>
            </w:r>
          </w:p>
        </w:tc>
      </w:tr>
      <w:tr w:rsidR="00165C2E" w14:paraId="58A8C8BE" w14:textId="77777777" w:rsidTr="00D41D04">
        <w:tc>
          <w:tcPr>
            <w:tcW w:w="0" w:type="auto"/>
          </w:tcPr>
          <w:p w14:paraId="34E922B9" w14:textId="77777777" w:rsidR="00165C2E" w:rsidRDefault="00165C2E" w:rsidP="00D41D04">
            <w:r>
              <w:t>AYP (15-24)</w:t>
            </w:r>
          </w:p>
        </w:tc>
        <w:tc>
          <w:tcPr>
            <w:tcW w:w="0" w:type="auto"/>
          </w:tcPr>
          <w:p w14:paraId="6EE5F18A" w14:textId="77777777" w:rsidR="00165C2E" w:rsidRDefault="00165C2E" w:rsidP="00D41D04">
            <w:r>
              <w:t>32</w:t>
            </w:r>
          </w:p>
        </w:tc>
        <w:tc>
          <w:tcPr>
            <w:tcW w:w="0" w:type="auto"/>
          </w:tcPr>
          <w:p w14:paraId="06702F47" w14:textId="77777777" w:rsidR="00165C2E" w:rsidRDefault="00165C2E" w:rsidP="00D41D04">
            <w:r>
              <w:t>32</w:t>
            </w:r>
          </w:p>
        </w:tc>
        <w:tc>
          <w:tcPr>
            <w:tcW w:w="0" w:type="auto"/>
          </w:tcPr>
          <w:p w14:paraId="18D258E3" w14:textId="77777777" w:rsidR="00165C2E" w:rsidRDefault="00165C2E" w:rsidP="00D41D04">
            <w:r>
              <w:t>20%</w:t>
            </w:r>
          </w:p>
        </w:tc>
      </w:tr>
      <w:tr w:rsidR="00165C2E" w14:paraId="7B4F39A5" w14:textId="77777777" w:rsidTr="00D41D04">
        <w:tc>
          <w:tcPr>
            <w:tcW w:w="0" w:type="auto"/>
          </w:tcPr>
          <w:p w14:paraId="0B0587E9" w14:textId="77777777" w:rsidR="00165C2E" w:rsidRDefault="00165C2E" w:rsidP="00D41D04">
            <w:r>
              <w:t>Caregivers</w:t>
            </w:r>
          </w:p>
        </w:tc>
        <w:tc>
          <w:tcPr>
            <w:tcW w:w="0" w:type="auto"/>
          </w:tcPr>
          <w:p w14:paraId="6E3BA66C" w14:textId="77777777" w:rsidR="00165C2E" w:rsidRDefault="00165C2E" w:rsidP="00D41D04">
            <w:r>
              <w:t>45</w:t>
            </w:r>
          </w:p>
        </w:tc>
        <w:tc>
          <w:tcPr>
            <w:tcW w:w="0" w:type="auto"/>
          </w:tcPr>
          <w:p w14:paraId="016C6098" w14:textId="77777777" w:rsidR="00165C2E" w:rsidRDefault="00165C2E" w:rsidP="00D41D04">
            <w:r>
              <w:t>42</w:t>
            </w:r>
          </w:p>
        </w:tc>
        <w:tc>
          <w:tcPr>
            <w:tcW w:w="0" w:type="auto"/>
          </w:tcPr>
          <w:p w14:paraId="35C2554D" w14:textId="77777777" w:rsidR="00165C2E" w:rsidRDefault="00165C2E" w:rsidP="00D41D04">
            <w:r>
              <w:t>26%</w:t>
            </w:r>
          </w:p>
        </w:tc>
      </w:tr>
      <w:tr w:rsidR="00165C2E" w14:paraId="4DD594F8" w14:textId="77777777" w:rsidTr="00D41D04">
        <w:tc>
          <w:tcPr>
            <w:tcW w:w="0" w:type="auto"/>
          </w:tcPr>
          <w:p w14:paraId="66CB4ED7" w14:textId="77777777" w:rsidR="00165C2E" w:rsidRDefault="00165C2E" w:rsidP="00D41D04">
            <w:r>
              <w:lastRenderedPageBreak/>
              <w:t>Gen. pop</w:t>
            </w:r>
          </w:p>
        </w:tc>
        <w:tc>
          <w:tcPr>
            <w:tcW w:w="0" w:type="auto"/>
          </w:tcPr>
          <w:p w14:paraId="209C6E77" w14:textId="77777777" w:rsidR="00165C2E" w:rsidRDefault="00165C2E" w:rsidP="00D41D04">
            <w:r>
              <w:t>70</w:t>
            </w:r>
          </w:p>
        </w:tc>
        <w:tc>
          <w:tcPr>
            <w:tcW w:w="0" w:type="auto"/>
          </w:tcPr>
          <w:p w14:paraId="2C469556" w14:textId="77777777" w:rsidR="00165C2E" w:rsidRDefault="00165C2E" w:rsidP="00D41D04">
            <w:r>
              <w:t>55</w:t>
            </w:r>
          </w:p>
        </w:tc>
        <w:tc>
          <w:tcPr>
            <w:tcW w:w="0" w:type="auto"/>
          </w:tcPr>
          <w:p w14:paraId="2ADBD05F" w14:textId="77777777" w:rsidR="00165C2E" w:rsidRDefault="00165C2E" w:rsidP="00D41D04">
            <w:r>
              <w:t>34%</w:t>
            </w:r>
          </w:p>
        </w:tc>
      </w:tr>
      <w:tr w:rsidR="00165C2E" w14:paraId="76CD4333" w14:textId="77777777" w:rsidTr="00D41D04">
        <w:tc>
          <w:tcPr>
            <w:tcW w:w="0" w:type="auto"/>
          </w:tcPr>
          <w:p w14:paraId="1DBAA4E8" w14:textId="403D7A2E" w:rsidR="00165C2E" w:rsidRPr="007164F3" w:rsidRDefault="00165C2E" w:rsidP="00D41D04">
            <w:pPr>
              <w:rPr>
                <w:b/>
              </w:rPr>
            </w:pPr>
            <w:r w:rsidRPr="007164F3">
              <w:rPr>
                <w:b/>
              </w:rPr>
              <w:t>Overall</w:t>
            </w:r>
          </w:p>
        </w:tc>
        <w:tc>
          <w:tcPr>
            <w:tcW w:w="0" w:type="auto"/>
          </w:tcPr>
          <w:p w14:paraId="1C551C52" w14:textId="77777777" w:rsidR="00165C2E" w:rsidRPr="0099144A" w:rsidRDefault="00165C2E" w:rsidP="00D41D04">
            <w:pPr>
              <w:rPr>
                <w:b/>
              </w:rPr>
            </w:pPr>
            <w:r w:rsidRPr="0099144A">
              <w:rPr>
                <w:b/>
              </w:rPr>
              <w:t>163</w:t>
            </w:r>
          </w:p>
        </w:tc>
        <w:tc>
          <w:tcPr>
            <w:tcW w:w="0" w:type="auto"/>
          </w:tcPr>
          <w:p w14:paraId="082C2692" w14:textId="77777777" w:rsidR="00165C2E" w:rsidRPr="0099144A" w:rsidRDefault="00165C2E" w:rsidP="00D41D04">
            <w:pPr>
              <w:rPr>
                <w:b/>
              </w:rPr>
            </w:pPr>
            <w:r w:rsidRPr="0099144A">
              <w:rPr>
                <w:b/>
              </w:rPr>
              <w:t>143</w:t>
            </w:r>
          </w:p>
        </w:tc>
        <w:tc>
          <w:tcPr>
            <w:tcW w:w="0" w:type="auto"/>
          </w:tcPr>
          <w:p w14:paraId="20D06C08" w14:textId="77777777" w:rsidR="00165C2E" w:rsidRPr="0099144A" w:rsidRDefault="00165C2E" w:rsidP="00D41D04">
            <w:pPr>
              <w:rPr>
                <w:b/>
              </w:rPr>
            </w:pPr>
            <w:r w:rsidRPr="0099144A">
              <w:rPr>
                <w:b/>
              </w:rPr>
              <w:t>88%</w:t>
            </w:r>
          </w:p>
        </w:tc>
      </w:tr>
    </w:tbl>
    <w:p w14:paraId="3B97E2A1" w14:textId="77777777" w:rsidR="00DF5611" w:rsidRDefault="00DF5611" w:rsidP="00DF5611"/>
    <w:p w14:paraId="4CDE11EE" w14:textId="539BEEAF" w:rsidR="00DF5611" w:rsidRDefault="00675B85" w:rsidP="00DF5611">
      <w:r w:rsidRPr="00675B85">
        <w:t xml:space="preserve">Table </w:t>
      </w:r>
      <w:r w:rsidR="000125C1">
        <w:t xml:space="preserve">7. </w:t>
      </w:r>
      <w:r w:rsidR="00DF5611">
        <w:t>Third 95: Viral Suppression</w:t>
      </w:r>
    </w:p>
    <w:tbl>
      <w:tblPr>
        <w:tblStyle w:val="TableGrid"/>
        <w:tblW w:w="8594" w:type="dxa"/>
        <w:tblLook w:val="04A0" w:firstRow="1" w:lastRow="0" w:firstColumn="1" w:lastColumn="0" w:noHBand="0" w:noVBand="1"/>
      </w:tblPr>
      <w:tblGrid>
        <w:gridCol w:w="1274"/>
        <w:gridCol w:w="5095"/>
        <w:gridCol w:w="2225"/>
      </w:tblGrid>
      <w:tr w:rsidR="00DF5611" w14:paraId="7C38A756" w14:textId="77777777" w:rsidTr="00DF5611">
        <w:trPr>
          <w:trHeight w:val="337"/>
        </w:trPr>
        <w:tc>
          <w:tcPr>
            <w:tcW w:w="0" w:type="auto"/>
          </w:tcPr>
          <w:p w14:paraId="7E62B053" w14:textId="77777777" w:rsidR="00DF5611" w:rsidRDefault="00DF5611" w:rsidP="00D41D04">
            <w:r>
              <w:t>S/N</w:t>
            </w:r>
          </w:p>
        </w:tc>
        <w:tc>
          <w:tcPr>
            <w:tcW w:w="0" w:type="auto"/>
          </w:tcPr>
          <w:p w14:paraId="2B134A54" w14:textId="77777777" w:rsidR="00DF5611" w:rsidRDefault="00DF5611" w:rsidP="00D41D04">
            <w:r>
              <w:t xml:space="preserve">Clients </w:t>
            </w:r>
          </w:p>
        </w:tc>
        <w:tc>
          <w:tcPr>
            <w:tcW w:w="0" w:type="auto"/>
          </w:tcPr>
          <w:p w14:paraId="1E173AD4" w14:textId="77777777" w:rsidR="00DF5611" w:rsidRDefault="00DF5611" w:rsidP="00D41D04">
            <w:r>
              <w:t>Number</w:t>
            </w:r>
          </w:p>
        </w:tc>
      </w:tr>
      <w:tr w:rsidR="00DF5611" w14:paraId="0F206086" w14:textId="77777777" w:rsidTr="00DF5611">
        <w:trPr>
          <w:trHeight w:val="351"/>
        </w:trPr>
        <w:tc>
          <w:tcPr>
            <w:tcW w:w="0" w:type="auto"/>
          </w:tcPr>
          <w:p w14:paraId="247883A8" w14:textId="77777777" w:rsidR="00DF5611" w:rsidRDefault="00DF5611" w:rsidP="00D41D04">
            <w:r>
              <w:t>1</w:t>
            </w:r>
          </w:p>
        </w:tc>
        <w:tc>
          <w:tcPr>
            <w:tcW w:w="0" w:type="auto"/>
          </w:tcPr>
          <w:p w14:paraId="3E5F8FC9" w14:textId="77777777" w:rsidR="00DF5611" w:rsidRDefault="00DF5611" w:rsidP="00D41D04">
            <w:r>
              <w:t>TX cur</w:t>
            </w:r>
          </w:p>
        </w:tc>
        <w:tc>
          <w:tcPr>
            <w:tcW w:w="0" w:type="auto"/>
          </w:tcPr>
          <w:p w14:paraId="731BDDFE" w14:textId="77777777" w:rsidR="00DF5611" w:rsidRDefault="00DF5611" w:rsidP="00D41D04">
            <w:r>
              <w:t>143</w:t>
            </w:r>
          </w:p>
        </w:tc>
      </w:tr>
      <w:tr w:rsidR="00DF5611" w14:paraId="4C58D630" w14:textId="77777777" w:rsidTr="00DF5611">
        <w:trPr>
          <w:trHeight w:val="337"/>
        </w:trPr>
        <w:tc>
          <w:tcPr>
            <w:tcW w:w="0" w:type="auto"/>
          </w:tcPr>
          <w:p w14:paraId="6823A2E9" w14:textId="77777777" w:rsidR="00DF5611" w:rsidRDefault="00DF5611" w:rsidP="00D41D04">
            <w:r>
              <w:t>2</w:t>
            </w:r>
          </w:p>
        </w:tc>
        <w:tc>
          <w:tcPr>
            <w:tcW w:w="0" w:type="auto"/>
          </w:tcPr>
          <w:p w14:paraId="3A2DA142" w14:textId="77777777" w:rsidR="00DF5611" w:rsidRDefault="00DF5611" w:rsidP="00D41D04">
            <w:r>
              <w:t>Valid viral load results</w:t>
            </w:r>
          </w:p>
        </w:tc>
        <w:tc>
          <w:tcPr>
            <w:tcW w:w="0" w:type="auto"/>
          </w:tcPr>
          <w:p w14:paraId="039027F0" w14:textId="77777777" w:rsidR="00DF5611" w:rsidRDefault="00DF5611" w:rsidP="00D41D04">
            <w:r>
              <w:t>91</w:t>
            </w:r>
          </w:p>
        </w:tc>
      </w:tr>
      <w:tr w:rsidR="00DF5611" w14:paraId="5B780812" w14:textId="77777777" w:rsidTr="00DF5611">
        <w:trPr>
          <w:trHeight w:val="337"/>
        </w:trPr>
        <w:tc>
          <w:tcPr>
            <w:tcW w:w="0" w:type="auto"/>
          </w:tcPr>
          <w:p w14:paraId="071DCB87" w14:textId="77777777" w:rsidR="00DF5611" w:rsidRDefault="00DF5611" w:rsidP="00D41D04">
            <w:r>
              <w:t>3</w:t>
            </w:r>
          </w:p>
        </w:tc>
        <w:tc>
          <w:tcPr>
            <w:tcW w:w="0" w:type="auto"/>
          </w:tcPr>
          <w:p w14:paraId="1D15B696" w14:textId="77777777" w:rsidR="00DF5611" w:rsidRDefault="00DF5611" w:rsidP="00D41D04">
            <w:r>
              <w:t>Virally suppressed</w:t>
            </w:r>
          </w:p>
        </w:tc>
        <w:tc>
          <w:tcPr>
            <w:tcW w:w="0" w:type="auto"/>
          </w:tcPr>
          <w:p w14:paraId="650A6956" w14:textId="77777777" w:rsidR="00DF5611" w:rsidRDefault="00DF5611" w:rsidP="00D41D04">
            <w:r>
              <w:t>88</w:t>
            </w:r>
          </w:p>
        </w:tc>
      </w:tr>
      <w:tr w:rsidR="00DF5611" w14:paraId="6ED4DCEC" w14:textId="77777777" w:rsidTr="00DF5611">
        <w:trPr>
          <w:trHeight w:val="337"/>
        </w:trPr>
        <w:tc>
          <w:tcPr>
            <w:tcW w:w="0" w:type="auto"/>
          </w:tcPr>
          <w:p w14:paraId="26DA6FBC" w14:textId="77777777" w:rsidR="00DF5611" w:rsidRDefault="00DF5611" w:rsidP="00D41D04"/>
        </w:tc>
        <w:tc>
          <w:tcPr>
            <w:tcW w:w="0" w:type="auto"/>
          </w:tcPr>
          <w:p w14:paraId="24FD46EE" w14:textId="77777777" w:rsidR="00DF5611" w:rsidRDefault="00DF5611" w:rsidP="00D41D04">
            <w:r>
              <w:t xml:space="preserve">Percent suppression </w:t>
            </w:r>
          </w:p>
        </w:tc>
        <w:tc>
          <w:tcPr>
            <w:tcW w:w="0" w:type="auto"/>
          </w:tcPr>
          <w:p w14:paraId="2396E4D1" w14:textId="77777777" w:rsidR="00DF5611" w:rsidRDefault="00DF5611" w:rsidP="00D41D04">
            <w:r>
              <w:t>97%</w:t>
            </w:r>
          </w:p>
        </w:tc>
      </w:tr>
    </w:tbl>
    <w:p w14:paraId="56C3FF0F" w14:textId="77777777" w:rsidR="00B374CD" w:rsidRDefault="00B374CD" w:rsidP="00B374CD"/>
    <w:p w14:paraId="381CC07C" w14:textId="0F888A66" w:rsidR="00B374CD" w:rsidRDefault="00675B85" w:rsidP="00B374CD">
      <w:r w:rsidRPr="00675B85">
        <w:t>Table</w:t>
      </w:r>
      <w:r w:rsidR="000125C1">
        <w:t xml:space="preserve"> 8.</w:t>
      </w:r>
      <w:r w:rsidRPr="00675B85">
        <w:t xml:space="preserve"> </w:t>
      </w:r>
      <w:r w:rsidR="00B374CD">
        <w:t xml:space="preserve">Third 95: Viral </w:t>
      </w:r>
      <w:proofErr w:type="spellStart"/>
      <w:r w:rsidR="00B374CD">
        <w:t>Surpression</w:t>
      </w:r>
      <w:proofErr w:type="spellEnd"/>
    </w:p>
    <w:tbl>
      <w:tblPr>
        <w:tblStyle w:val="TableGrid"/>
        <w:tblW w:w="9484" w:type="dxa"/>
        <w:tblLook w:val="04A0" w:firstRow="1" w:lastRow="0" w:firstColumn="1" w:lastColumn="0" w:noHBand="0" w:noVBand="1"/>
      </w:tblPr>
      <w:tblGrid>
        <w:gridCol w:w="1406"/>
        <w:gridCol w:w="5623"/>
        <w:gridCol w:w="2455"/>
      </w:tblGrid>
      <w:tr w:rsidR="00B374CD" w14:paraId="10FAE9C7" w14:textId="77777777" w:rsidTr="00A0516B">
        <w:trPr>
          <w:trHeight w:val="355"/>
        </w:trPr>
        <w:tc>
          <w:tcPr>
            <w:tcW w:w="0" w:type="auto"/>
          </w:tcPr>
          <w:p w14:paraId="42112D50" w14:textId="77777777" w:rsidR="00B374CD" w:rsidRDefault="00B374CD" w:rsidP="00D41D04">
            <w:r>
              <w:t>S/N</w:t>
            </w:r>
          </w:p>
        </w:tc>
        <w:tc>
          <w:tcPr>
            <w:tcW w:w="0" w:type="auto"/>
          </w:tcPr>
          <w:p w14:paraId="28042EDB" w14:textId="77777777" w:rsidR="00B374CD" w:rsidRDefault="00B374CD" w:rsidP="00D41D04">
            <w:r>
              <w:t xml:space="preserve">Clients </w:t>
            </w:r>
          </w:p>
        </w:tc>
        <w:tc>
          <w:tcPr>
            <w:tcW w:w="0" w:type="auto"/>
          </w:tcPr>
          <w:p w14:paraId="43864467" w14:textId="77777777" w:rsidR="00B374CD" w:rsidRDefault="00B374CD" w:rsidP="00D41D04">
            <w:r>
              <w:t>Number</w:t>
            </w:r>
          </w:p>
        </w:tc>
      </w:tr>
      <w:tr w:rsidR="00B374CD" w14:paraId="3707E3A5" w14:textId="77777777" w:rsidTr="00A0516B">
        <w:trPr>
          <w:trHeight w:val="369"/>
        </w:trPr>
        <w:tc>
          <w:tcPr>
            <w:tcW w:w="0" w:type="auto"/>
          </w:tcPr>
          <w:p w14:paraId="04E74047" w14:textId="77777777" w:rsidR="00B374CD" w:rsidRDefault="00B374CD" w:rsidP="00D41D04">
            <w:r>
              <w:t>1</w:t>
            </w:r>
          </w:p>
        </w:tc>
        <w:tc>
          <w:tcPr>
            <w:tcW w:w="0" w:type="auto"/>
          </w:tcPr>
          <w:p w14:paraId="3699941F" w14:textId="77777777" w:rsidR="00B374CD" w:rsidRDefault="00B374CD" w:rsidP="00D41D04">
            <w:r>
              <w:t>TX cur</w:t>
            </w:r>
          </w:p>
        </w:tc>
        <w:tc>
          <w:tcPr>
            <w:tcW w:w="0" w:type="auto"/>
          </w:tcPr>
          <w:p w14:paraId="3CD4492C" w14:textId="77777777" w:rsidR="00B374CD" w:rsidRDefault="00B374CD" w:rsidP="00D41D04">
            <w:r>
              <w:t>143</w:t>
            </w:r>
          </w:p>
        </w:tc>
      </w:tr>
      <w:tr w:rsidR="00B374CD" w14:paraId="2D2C5780" w14:textId="77777777" w:rsidTr="00A0516B">
        <w:trPr>
          <w:trHeight w:val="355"/>
        </w:trPr>
        <w:tc>
          <w:tcPr>
            <w:tcW w:w="0" w:type="auto"/>
          </w:tcPr>
          <w:p w14:paraId="44B4EF6F" w14:textId="77777777" w:rsidR="00B374CD" w:rsidRDefault="00B374CD" w:rsidP="00D41D04">
            <w:r>
              <w:t>2</w:t>
            </w:r>
          </w:p>
        </w:tc>
        <w:tc>
          <w:tcPr>
            <w:tcW w:w="0" w:type="auto"/>
          </w:tcPr>
          <w:p w14:paraId="6C523B88" w14:textId="77777777" w:rsidR="00B374CD" w:rsidRDefault="00B374CD" w:rsidP="00D41D04">
            <w:r>
              <w:t>Valid viral load results</w:t>
            </w:r>
          </w:p>
        </w:tc>
        <w:tc>
          <w:tcPr>
            <w:tcW w:w="0" w:type="auto"/>
          </w:tcPr>
          <w:p w14:paraId="29C2B1D1" w14:textId="77777777" w:rsidR="00B374CD" w:rsidRDefault="00B374CD" w:rsidP="00D41D04">
            <w:r>
              <w:t>91</w:t>
            </w:r>
          </w:p>
        </w:tc>
      </w:tr>
      <w:tr w:rsidR="00B374CD" w14:paraId="41C43AE1" w14:textId="77777777" w:rsidTr="00A0516B">
        <w:trPr>
          <w:trHeight w:val="369"/>
        </w:trPr>
        <w:tc>
          <w:tcPr>
            <w:tcW w:w="0" w:type="auto"/>
          </w:tcPr>
          <w:p w14:paraId="1925824C" w14:textId="77777777" w:rsidR="00B374CD" w:rsidRDefault="00B374CD" w:rsidP="00D41D04">
            <w:r>
              <w:t>3</w:t>
            </w:r>
          </w:p>
        </w:tc>
        <w:tc>
          <w:tcPr>
            <w:tcW w:w="0" w:type="auto"/>
          </w:tcPr>
          <w:p w14:paraId="4F046B4F" w14:textId="77777777" w:rsidR="00B374CD" w:rsidRDefault="00B374CD" w:rsidP="00D41D04">
            <w:r>
              <w:t>Virally suppressed</w:t>
            </w:r>
          </w:p>
        </w:tc>
        <w:tc>
          <w:tcPr>
            <w:tcW w:w="0" w:type="auto"/>
          </w:tcPr>
          <w:p w14:paraId="77959D66" w14:textId="77777777" w:rsidR="00B374CD" w:rsidRDefault="00B374CD" w:rsidP="00D41D04">
            <w:r>
              <w:t>88</w:t>
            </w:r>
          </w:p>
        </w:tc>
      </w:tr>
      <w:tr w:rsidR="00B374CD" w14:paraId="5739D9A8" w14:textId="77777777" w:rsidTr="00A0516B">
        <w:trPr>
          <w:trHeight w:val="355"/>
        </w:trPr>
        <w:tc>
          <w:tcPr>
            <w:tcW w:w="0" w:type="auto"/>
          </w:tcPr>
          <w:p w14:paraId="2013A813" w14:textId="77777777" w:rsidR="00B374CD" w:rsidRDefault="00B374CD" w:rsidP="00D41D04"/>
        </w:tc>
        <w:tc>
          <w:tcPr>
            <w:tcW w:w="0" w:type="auto"/>
          </w:tcPr>
          <w:p w14:paraId="2D23AEAE" w14:textId="77777777" w:rsidR="00B374CD" w:rsidRPr="00A0516B" w:rsidRDefault="00B374CD" w:rsidP="00D41D04">
            <w:pPr>
              <w:rPr>
                <w:b/>
              </w:rPr>
            </w:pPr>
            <w:r w:rsidRPr="00A0516B">
              <w:rPr>
                <w:b/>
              </w:rPr>
              <w:t xml:space="preserve">Percent suppression </w:t>
            </w:r>
          </w:p>
        </w:tc>
        <w:tc>
          <w:tcPr>
            <w:tcW w:w="0" w:type="auto"/>
          </w:tcPr>
          <w:p w14:paraId="4CF11184" w14:textId="77777777" w:rsidR="00B374CD" w:rsidRPr="00A0516B" w:rsidRDefault="00B374CD" w:rsidP="00D41D04">
            <w:pPr>
              <w:rPr>
                <w:b/>
              </w:rPr>
            </w:pPr>
            <w:r w:rsidRPr="00A0516B">
              <w:rPr>
                <w:b/>
              </w:rPr>
              <w:t>97%</w:t>
            </w:r>
          </w:p>
        </w:tc>
      </w:tr>
    </w:tbl>
    <w:p w14:paraId="615FE0AA" w14:textId="77777777" w:rsidR="00B374CD" w:rsidRDefault="00B374CD" w:rsidP="00B374CD"/>
    <w:p w14:paraId="6C20DB22" w14:textId="77777777" w:rsidR="00B374CD" w:rsidRDefault="00B374CD" w:rsidP="00265A75">
      <w:pPr>
        <w:jc w:val="both"/>
        <w:rPr>
          <w:rFonts w:ascii="Times New Roman" w:hAnsi="Times New Roman" w:cs="Times New Roman"/>
          <w:b/>
          <w:bCs/>
        </w:rPr>
      </w:pPr>
    </w:p>
    <w:p w14:paraId="0F8679C8" w14:textId="075C40BA" w:rsidR="009C6326" w:rsidRDefault="009C6326" w:rsidP="009C6326">
      <w:pPr>
        <w:rPr>
          <w:lang w:val="en-GB"/>
        </w:rPr>
      </w:pPr>
    </w:p>
    <w:p w14:paraId="34FAA9C0" w14:textId="77777777" w:rsidR="009C6326" w:rsidRDefault="009C6326" w:rsidP="009C6326">
      <w:pPr>
        <w:rPr>
          <w:lang w:val="en-GB"/>
        </w:rPr>
      </w:pPr>
    </w:p>
    <w:p w14:paraId="0F4EF827" w14:textId="77777777" w:rsidR="009C6326" w:rsidRDefault="009C6326" w:rsidP="009C6326">
      <w:pPr>
        <w:rPr>
          <w:lang w:val="en-GB"/>
        </w:rPr>
      </w:pPr>
    </w:p>
    <w:p w14:paraId="6392BBFE" w14:textId="28DFD032" w:rsidR="009C6326" w:rsidRDefault="009C6326" w:rsidP="009C6326">
      <w:pPr>
        <w:rPr>
          <w:lang w:val="en-GB"/>
        </w:rPr>
      </w:pPr>
    </w:p>
    <w:p w14:paraId="0F42F896" w14:textId="77777777" w:rsidR="009C6326" w:rsidRDefault="009C6326" w:rsidP="009C6326">
      <w:pPr>
        <w:rPr>
          <w:lang w:val="en-GB"/>
        </w:rPr>
      </w:pPr>
      <w:r>
        <w:rPr>
          <w:lang w:val="en-GB"/>
        </w:rPr>
        <w:br w:type="textWrapping" w:clear="all"/>
      </w:r>
    </w:p>
    <w:p w14:paraId="174748E5" w14:textId="77777777" w:rsidR="009C6326" w:rsidRDefault="009C6326" w:rsidP="009C6326">
      <w:pPr>
        <w:rPr>
          <w:lang w:val="en-GB"/>
        </w:rPr>
      </w:pPr>
    </w:p>
    <w:p w14:paraId="24C427B9" w14:textId="77777777" w:rsidR="009C6326" w:rsidRDefault="009C6326" w:rsidP="009C6326">
      <w:pPr>
        <w:rPr>
          <w:lang w:val="en-GB"/>
        </w:rPr>
      </w:pPr>
    </w:p>
    <w:p w14:paraId="1434B655" w14:textId="77777777" w:rsidR="009C6326" w:rsidRDefault="009C6326" w:rsidP="009C6326">
      <w:pPr>
        <w:rPr>
          <w:lang w:val="en-GB"/>
        </w:rPr>
      </w:pPr>
      <w:r>
        <w:rPr>
          <w:noProof/>
        </w:rPr>
        <w:lastRenderedPageBreak/>
        <w:drawing>
          <wp:anchor distT="0" distB="0" distL="114300" distR="114300" simplePos="0" relativeHeight="251665408" behindDoc="0" locked="0" layoutInCell="1" allowOverlap="1" wp14:anchorId="604E9180" wp14:editId="73F4B6F0">
            <wp:simplePos x="0" y="0"/>
            <wp:positionH relativeFrom="column">
              <wp:posOffset>0</wp:posOffset>
            </wp:positionH>
            <wp:positionV relativeFrom="paragraph">
              <wp:posOffset>0</wp:posOffset>
            </wp:positionV>
            <wp:extent cx="4889289" cy="3364359"/>
            <wp:effectExtent l="0" t="0" r="6985" b="7620"/>
            <wp:wrapTopAndBottom/>
            <wp:docPr id="2139017508" name="Chart 1">
              <a:extLst xmlns:a="http://schemas.openxmlformats.org/drawingml/2006/main">
                <a:ext uri="{FF2B5EF4-FFF2-40B4-BE49-F238E27FC236}">
                  <a16:creationId xmlns:a16="http://schemas.microsoft.com/office/drawing/2014/main" id="{00000000-0008-0000-07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4543915A" w14:textId="77777777" w:rsidR="009C6326" w:rsidRPr="00D953C7" w:rsidRDefault="009C6326" w:rsidP="009C6326">
      <w:pPr>
        <w:rPr>
          <w:b/>
          <w:bCs/>
          <w:sz w:val="40"/>
          <w:szCs w:val="40"/>
          <w:u w:val="single"/>
          <w:lang w:val="en-GB"/>
        </w:rPr>
      </w:pPr>
      <w:r w:rsidRPr="00D953C7">
        <w:rPr>
          <w:b/>
          <w:bCs/>
          <w:sz w:val="40"/>
          <w:szCs w:val="40"/>
          <w:u w:val="single"/>
          <w:lang w:val="en-GB"/>
        </w:rPr>
        <w:t>First 95</w:t>
      </w:r>
      <w:r>
        <w:rPr>
          <w:b/>
          <w:bCs/>
          <w:sz w:val="40"/>
          <w:szCs w:val="40"/>
          <w:u w:val="single"/>
          <w:lang w:val="en-GB"/>
        </w:rPr>
        <w:t>: Case finding</w:t>
      </w:r>
    </w:p>
    <w:p w14:paraId="4C2C058F" w14:textId="7247C239" w:rsidR="009C6326" w:rsidRDefault="009C6326" w:rsidP="009C6326">
      <w:pPr>
        <w:pStyle w:val="Caption"/>
        <w:keepNext/>
      </w:pPr>
      <w:r>
        <w:t xml:space="preserve">Figure </w:t>
      </w:r>
      <w:r w:rsidR="007C0676">
        <w:t>7</w:t>
      </w:r>
      <w:r>
        <w:t xml:space="preserve"> LGAs of Intervention</w:t>
      </w:r>
    </w:p>
    <w:p w14:paraId="4FDE0CF3" w14:textId="77777777" w:rsidR="009C6326" w:rsidRDefault="009C6326" w:rsidP="009C6326">
      <w:pPr>
        <w:rPr>
          <w:lang w:val="en-GB"/>
        </w:rPr>
      </w:pPr>
      <w:r>
        <w:rPr>
          <w:lang w:val="en-GB"/>
        </w:rPr>
        <w:tab/>
      </w:r>
    </w:p>
    <w:p w14:paraId="14A3A37E" w14:textId="77777777" w:rsidR="009C6326" w:rsidRDefault="009C6326" w:rsidP="009C6326">
      <w:pPr>
        <w:rPr>
          <w:lang w:val="en-GB"/>
        </w:rPr>
      </w:pPr>
    </w:p>
    <w:p w14:paraId="64C3CAC0" w14:textId="77777777" w:rsidR="009C6326" w:rsidRDefault="009C6326" w:rsidP="009C6326">
      <w:pPr>
        <w:rPr>
          <w:lang w:val="en-GB"/>
        </w:rPr>
      </w:pPr>
    </w:p>
    <w:p w14:paraId="46460782" w14:textId="77777777" w:rsidR="009C6326" w:rsidRDefault="009C6326" w:rsidP="009C6326">
      <w:pPr>
        <w:rPr>
          <w:lang w:val="en-GB"/>
        </w:rPr>
      </w:pPr>
    </w:p>
    <w:p w14:paraId="079AE550" w14:textId="77777777" w:rsidR="009C6326" w:rsidRDefault="009C6326" w:rsidP="009C6326">
      <w:pPr>
        <w:rPr>
          <w:lang w:val="en-GB"/>
        </w:rPr>
      </w:pPr>
    </w:p>
    <w:p w14:paraId="5C5BF4CB" w14:textId="77777777" w:rsidR="009C6326" w:rsidRDefault="009C6326" w:rsidP="009C6326">
      <w:pPr>
        <w:rPr>
          <w:lang w:val="en-GB"/>
        </w:rPr>
      </w:pPr>
    </w:p>
    <w:p w14:paraId="4ECAFB91" w14:textId="77777777" w:rsidR="009C6326" w:rsidRDefault="009C6326" w:rsidP="009C6326">
      <w:pPr>
        <w:spacing w:after="0"/>
        <w:rPr>
          <w:sz w:val="16"/>
          <w:szCs w:val="16"/>
          <w:lang w:val="en-GB"/>
        </w:rPr>
      </w:pPr>
    </w:p>
    <w:p w14:paraId="0C93166C" w14:textId="77777777" w:rsidR="009C6326" w:rsidRDefault="009C6326" w:rsidP="009C6326">
      <w:pPr>
        <w:spacing w:after="0"/>
        <w:rPr>
          <w:sz w:val="16"/>
          <w:szCs w:val="16"/>
          <w:lang w:val="en-GB"/>
        </w:rPr>
      </w:pPr>
    </w:p>
    <w:p w14:paraId="01CFDCF8" w14:textId="77777777" w:rsidR="009C6326" w:rsidRDefault="009C6326" w:rsidP="009C6326">
      <w:pPr>
        <w:spacing w:after="0"/>
        <w:rPr>
          <w:sz w:val="16"/>
          <w:szCs w:val="16"/>
          <w:lang w:val="en-GB"/>
        </w:rPr>
      </w:pPr>
    </w:p>
    <w:p w14:paraId="1E5CBE42" w14:textId="77777777" w:rsidR="009C6326" w:rsidRPr="001A7ADE" w:rsidRDefault="009C6326" w:rsidP="009C6326">
      <w:pPr>
        <w:rPr>
          <w:sz w:val="16"/>
          <w:szCs w:val="16"/>
          <w:lang w:val="en-GB"/>
        </w:rPr>
      </w:pPr>
    </w:p>
    <w:p w14:paraId="66FBAB3D" w14:textId="77777777" w:rsidR="009C6326" w:rsidRDefault="009C6326" w:rsidP="009C6326">
      <w:pPr>
        <w:rPr>
          <w:sz w:val="16"/>
          <w:szCs w:val="16"/>
          <w:lang w:val="en-GB"/>
        </w:rPr>
      </w:pPr>
    </w:p>
    <w:p w14:paraId="5FE53C05" w14:textId="77777777" w:rsidR="009C6326" w:rsidRDefault="009C6326" w:rsidP="009C6326">
      <w:pPr>
        <w:tabs>
          <w:tab w:val="left" w:pos="1565"/>
        </w:tabs>
        <w:rPr>
          <w:sz w:val="16"/>
          <w:szCs w:val="16"/>
          <w:lang w:val="en-GB"/>
        </w:rPr>
      </w:pPr>
    </w:p>
    <w:p w14:paraId="783C6521" w14:textId="35788EF2" w:rsidR="009C6326" w:rsidRDefault="009C6326" w:rsidP="009C6326">
      <w:pPr>
        <w:tabs>
          <w:tab w:val="left" w:pos="1565"/>
        </w:tabs>
        <w:rPr>
          <w:sz w:val="16"/>
          <w:szCs w:val="16"/>
          <w:lang w:val="en-GB"/>
        </w:rPr>
      </w:pPr>
    </w:p>
    <w:p w14:paraId="4000909C" w14:textId="77777777" w:rsidR="009C6326" w:rsidRDefault="009C6326" w:rsidP="009C6326">
      <w:pPr>
        <w:tabs>
          <w:tab w:val="left" w:pos="1565"/>
        </w:tabs>
        <w:rPr>
          <w:sz w:val="16"/>
          <w:szCs w:val="16"/>
          <w:lang w:val="en-GB"/>
        </w:rPr>
      </w:pPr>
    </w:p>
    <w:p w14:paraId="70B8809E" w14:textId="77777777" w:rsidR="009C6326" w:rsidRDefault="009C6326" w:rsidP="009C6326">
      <w:pPr>
        <w:tabs>
          <w:tab w:val="left" w:pos="1565"/>
        </w:tabs>
        <w:rPr>
          <w:sz w:val="16"/>
          <w:szCs w:val="16"/>
          <w:lang w:val="en-GB"/>
        </w:rPr>
      </w:pPr>
    </w:p>
    <w:p w14:paraId="712B2654" w14:textId="77777777" w:rsidR="009C6326" w:rsidRDefault="009C6326" w:rsidP="009C6326">
      <w:pPr>
        <w:tabs>
          <w:tab w:val="left" w:pos="1565"/>
        </w:tabs>
        <w:rPr>
          <w:sz w:val="16"/>
          <w:szCs w:val="16"/>
          <w:lang w:val="en-GB"/>
        </w:rPr>
      </w:pPr>
    </w:p>
    <w:p w14:paraId="1F6A6B50" w14:textId="77777777" w:rsidR="009C6326" w:rsidRDefault="009C6326" w:rsidP="009C6326">
      <w:pPr>
        <w:tabs>
          <w:tab w:val="left" w:pos="1565"/>
        </w:tabs>
        <w:rPr>
          <w:sz w:val="16"/>
          <w:szCs w:val="16"/>
          <w:lang w:val="en-GB"/>
        </w:rPr>
      </w:pPr>
    </w:p>
    <w:p w14:paraId="3157BEF2" w14:textId="77777777" w:rsidR="00675B85" w:rsidRDefault="00675B85" w:rsidP="009C6326">
      <w:pPr>
        <w:tabs>
          <w:tab w:val="left" w:pos="1565"/>
        </w:tabs>
        <w:rPr>
          <w:sz w:val="16"/>
          <w:szCs w:val="16"/>
          <w:lang w:val="en-GB"/>
        </w:rPr>
      </w:pPr>
    </w:p>
    <w:p w14:paraId="0B0F7098" w14:textId="1746CE03" w:rsidR="00675B85" w:rsidRPr="007C0676" w:rsidRDefault="00675B85" w:rsidP="007C0676">
      <w:pPr>
        <w:tabs>
          <w:tab w:val="left" w:pos="1565"/>
        </w:tabs>
        <w:jc w:val="center"/>
        <w:rPr>
          <w:sz w:val="20"/>
          <w:szCs w:val="20"/>
          <w:lang w:val="en-GB"/>
        </w:rPr>
      </w:pPr>
      <w:r w:rsidRPr="007C0676">
        <w:rPr>
          <w:sz w:val="20"/>
          <w:szCs w:val="20"/>
        </w:rPr>
        <w:lastRenderedPageBreak/>
        <w:t>Figure</w:t>
      </w:r>
      <w:r w:rsidR="007C0676" w:rsidRPr="007C0676">
        <w:rPr>
          <w:sz w:val="20"/>
          <w:szCs w:val="20"/>
        </w:rPr>
        <w:t xml:space="preserve"> 8</w:t>
      </w:r>
    </w:p>
    <w:p w14:paraId="50A3AD36" w14:textId="77777777" w:rsidR="009C6326" w:rsidRDefault="009C6326" w:rsidP="009C6326">
      <w:pPr>
        <w:tabs>
          <w:tab w:val="left" w:pos="1565"/>
        </w:tabs>
        <w:rPr>
          <w:sz w:val="16"/>
          <w:szCs w:val="16"/>
          <w:lang w:val="en-GB"/>
        </w:rPr>
      </w:pPr>
    </w:p>
    <w:p w14:paraId="3238BF98" w14:textId="77777777" w:rsidR="009C6326" w:rsidRDefault="009C6326" w:rsidP="009C6326">
      <w:pPr>
        <w:tabs>
          <w:tab w:val="left" w:pos="1565"/>
        </w:tabs>
        <w:rPr>
          <w:sz w:val="16"/>
          <w:szCs w:val="16"/>
          <w:lang w:val="en-GB"/>
        </w:rPr>
      </w:pPr>
      <w:r>
        <w:rPr>
          <w:noProof/>
        </w:rPr>
        <w:drawing>
          <wp:inline distT="0" distB="0" distL="0" distR="0" wp14:anchorId="483C8533" wp14:editId="07956E24">
            <wp:extent cx="5820355" cy="3578087"/>
            <wp:effectExtent l="0" t="0" r="9525" b="3810"/>
            <wp:docPr id="1654146742" name="Chart 1">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1AEEEE" w14:textId="77777777" w:rsidR="009C6326" w:rsidRDefault="009C6326" w:rsidP="009C6326">
      <w:pPr>
        <w:tabs>
          <w:tab w:val="left" w:pos="1565"/>
        </w:tabs>
        <w:rPr>
          <w:sz w:val="16"/>
          <w:szCs w:val="16"/>
          <w:lang w:val="en-GB"/>
        </w:rPr>
      </w:pPr>
    </w:p>
    <w:p w14:paraId="124CE998" w14:textId="032942AD" w:rsidR="009C6326" w:rsidRPr="007C0676" w:rsidRDefault="00675B85" w:rsidP="009C6326">
      <w:pPr>
        <w:tabs>
          <w:tab w:val="left" w:pos="1565"/>
        </w:tabs>
        <w:rPr>
          <w:b/>
          <w:bCs/>
          <w:sz w:val="36"/>
          <w:szCs w:val="36"/>
          <w:lang w:val="en-GB"/>
        </w:rPr>
      </w:pPr>
      <w:r w:rsidRPr="007C0676">
        <w:rPr>
          <w:b/>
          <w:bCs/>
          <w:sz w:val="36"/>
          <w:szCs w:val="36"/>
          <w:lang w:val="en-GB"/>
        </w:rPr>
        <w:t>Figure</w:t>
      </w:r>
      <w:r w:rsidR="007C0676">
        <w:rPr>
          <w:b/>
          <w:bCs/>
          <w:sz w:val="36"/>
          <w:szCs w:val="36"/>
          <w:lang w:val="en-GB"/>
        </w:rPr>
        <w:t xml:space="preserve"> </w:t>
      </w:r>
      <w:r w:rsidR="007C0676" w:rsidRPr="007C0676">
        <w:rPr>
          <w:b/>
          <w:bCs/>
          <w:sz w:val="36"/>
          <w:szCs w:val="36"/>
          <w:lang w:val="en-GB"/>
        </w:rPr>
        <w:t xml:space="preserve">9. </w:t>
      </w:r>
      <w:r w:rsidRPr="007C0676">
        <w:rPr>
          <w:b/>
          <w:bCs/>
          <w:sz w:val="36"/>
          <w:szCs w:val="36"/>
          <w:lang w:val="en-GB"/>
        </w:rPr>
        <w:t xml:space="preserve"> </w:t>
      </w:r>
      <w:r w:rsidR="009C6326" w:rsidRPr="007C0676">
        <w:rPr>
          <w:b/>
          <w:bCs/>
          <w:sz w:val="36"/>
          <w:szCs w:val="36"/>
          <w:lang w:val="en-GB"/>
        </w:rPr>
        <w:t>Second 95: Linked to care</w:t>
      </w:r>
    </w:p>
    <w:p w14:paraId="2BAA2A7C" w14:textId="77777777" w:rsidR="009C6326" w:rsidRPr="003D6915" w:rsidRDefault="009C6326" w:rsidP="009C6326">
      <w:pPr>
        <w:tabs>
          <w:tab w:val="left" w:pos="1565"/>
        </w:tabs>
        <w:rPr>
          <w:noProof/>
          <w:color w:val="D1D1D1" w:themeColor="background2" w:themeShade="E6"/>
        </w:rPr>
      </w:pPr>
      <w:r>
        <w:rPr>
          <w:noProof/>
        </w:rPr>
        <w:t>Linkage rate by target group</w:t>
      </w:r>
    </w:p>
    <w:p w14:paraId="3A2CAEB7" w14:textId="77777777" w:rsidR="009C6326" w:rsidRDefault="009C6326" w:rsidP="009C6326">
      <w:pPr>
        <w:tabs>
          <w:tab w:val="left" w:pos="1565"/>
        </w:tabs>
        <w:rPr>
          <w:noProof/>
        </w:rPr>
      </w:pPr>
      <w:r>
        <w:rPr>
          <w:noProof/>
        </w:rPr>
        <w:drawing>
          <wp:inline distT="0" distB="0" distL="0" distR="0" wp14:anchorId="1F2F4CAE" wp14:editId="0E6E4A16">
            <wp:extent cx="5731510" cy="3393195"/>
            <wp:effectExtent l="0" t="0" r="2540" b="17145"/>
            <wp:docPr id="556937979" name="Chart 1">
              <a:extLst xmlns:a="http://schemas.openxmlformats.org/drawingml/2006/main">
                <a:ext uri="{FF2B5EF4-FFF2-40B4-BE49-F238E27FC236}">
                  <a16:creationId xmlns:a16="http://schemas.microsoft.com/office/drawing/2014/main" id="{E42A2D5E-90BE-A405-CB87-6194829D75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3769E3" w14:textId="37515BDC" w:rsidR="009C6326" w:rsidRDefault="00675B85" w:rsidP="007C0676">
      <w:pPr>
        <w:tabs>
          <w:tab w:val="left" w:pos="1565"/>
        </w:tabs>
        <w:jc w:val="center"/>
        <w:rPr>
          <w:noProof/>
        </w:rPr>
      </w:pPr>
      <w:r w:rsidRPr="00675B85">
        <w:rPr>
          <w:noProof/>
        </w:rPr>
        <w:lastRenderedPageBreak/>
        <w:t>Figure</w:t>
      </w:r>
      <w:r w:rsidR="007C0676">
        <w:rPr>
          <w:noProof/>
        </w:rPr>
        <w:t xml:space="preserve"> 10</w:t>
      </w:r>
    </w:p>
    <w:p w14:paraId="6BE60746" w14:textId="77777777" w:rsidR="009C6326" w:rsidRDefault="009C6326" w:rsidP="009C6326">
      <w:pPr>
        <w:tabs>
          <w:tab w:val="left" w:pos="1565"/>
        </w:tabs>
        <w:rPr>
          <w:noProof/>
        </w:rPr>
      </w:pPr>
      <w:r>
        <w:rPr>
          <w:noProof/>
        </w:rPr>
        <w:drawing>
          <wp:inline distT="0" distB="0" distL="0" distR="0" wp14:anchorId="57CE09DB" wp14:editId="165CEE9A">
            <wp:extent cx="5516880" cy="2463800"/>
            <wp:effectExtent l="0" t="0" r="7620" b="12700"/>
            <wp:docPr id="147427280" name="Chart 1">
              <a:extLst xmlns:a="http://schemas.openxmlformats.org/drawingml/2006/main">
                <a:ext uri="{FF2B5EF4-FFF2-40B4-BE49-F238E27FC236}">
                  <a16:creationId xmlns:a16="http://schemas.microsoft.com/office/drawing/2014/main" id="{6C9082E1-0E1B-9C07-2B7B-FFB573A112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2B1F227" w14:textId="77777777" w:rsidR="009C6326" w:rsidRDefault="009C6326" w:rsidP="009C6326">
      <w:pPr>
        <w:tabs>
          <w:tab w:val="left" w:pos="1565"/>
        </w:tabs>
        <w:rPr>
          <w:noProof/>
        </w:rPr>
      </w:pPr>
    </w:p>
    <w:p w14:paraId="2FA3A766" w14:textId="77777777" w:rsidR="009C6326" w:rsidRDefault="009C6326" w:rsidP="009C6326">
      <w:pPr>
        <w:tabs>
          <w:tab w:val="left" w:pos="1565"/>
        </w:tabs>
        <w:rPr>
          <w:noProof/>
        </w:rPr>
      </w:pPr>
      <w:r>
        <w:rPr>
          <w:noProof/>
        </w:rPr>
        <w:drawing>
          <wp:inline distT="0" distB="0" distL="0" distR="0" wp14:anchorId="063A4DD6" wp14:editId="3E375067">
            <wp:extent cx="5353459" cy="3158817"/>
            <wp:effectExtent l="0" t="0" r="0" b="3810"/>
            <wp:docPr id="1468907075" name="Chart 1">
              <a:extLst xmlns:a="http://schemas.openxmlformats.org/drawingml/2006/main">
                <a:ext uri="{FF2B5EF4-FFF2-40B4-BE49-F238E27FC236}">
                  <a16:creationId xmlns:a16="http://schemas.microsoft.com/office/drawing/2014/main" id="{64854F5A-47BC-B952-63FA-D11BC14C3A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59B6D1" w14:textId="77777777" w:rsidR="009C6326" w:rsidRPr="007C0676" w:rsidRDefault="009C6326" w:rsidP="009C6326">
      <w:pPr>
        <w:rPr>
          <w:sz w:val="16"/>
          <w:szCs w:val="16"/>
          <w:lang w:val="en-GB"/>
        </w:rPr>
      </w:pPr>
    </w:p>
    <w:p w14:paraId="70C743B1" w14:textId="323CD3B9" w:rsidR="009C6326" w:rsidRDefault="00675B85" w:rsidP="009C6326">
      <w:pPr>
        <w:tabs>
          <w:tab w:val="left" w:pos="1461"/>
        </w:tabs>
        <w:rPr>
          <w:b/>
          <w:bCs/>
          <w:noProof/>
        </w:rPr>
      </w:pPr>
      <w:r w:rsidRPr="007C0676">
        <w:rPr>
          <w:b/>
          <w:bCs/>
          <w:noProof/>
        </w:rPr>
        <w:t xml:space="preserve">Figure  </w:t>
      </w:r>
      <w:r w:rsidR="007C0676" w:rsidRPr="007C0676">
        <w:rPr>
          <w:b/>
          <w:bCs/>
          <w:noProof/>
        </w:rPr>
        <w:t xml:space="preserve">11. </w:t>
      </w:r>
      <w:r w:rsidR="009C6326" w:rsidRPr="007C0676">
        <w:rPr>
          <w:b/>
          <w:bCs/>
          <w:noProof/>
        </w:rPr>
        <w:t>Third 95: Viral suppression</w:t>
      </w:r>
    </w:p>
    <w:p w14:paraId="7287501A" w14:textId="77777777" w:rsidR="007C0676" w:rsidRDefault="007C0676" w:rsidP="009C6326">
      <w:pPr>
        <w:tabs>
          <w:tab w:val="left" w:pos="1461"/>
        </w:tabs>
        <w:rPr>
          <w:b/>
          <w:bCs/>
          <w:noProof/>
        </w:rPr>
      </w:pPr>
    </w:p>
    <w:p w14:paraId="7286AAA4" w14:textId="77777777" w:rsidR="007C0676" w:rsidRDefault="007C0676" w:rsidP="009C6326">
      <w:pPr>
        <w:tabs>
          <w:tab w:val="left" w:pos="1461"/>
        </w:tabs>
        <w:rPr>
          <w:b/>
          <w:bCs/>
          <w:noProof/>
        </w:rPr>
      </w:pPr>
    </w:p>
    <w:p w14:paraId="36D862E3" w14:textId="77777777" w:rsidR="007C0676" w:rsidRDefault="007C0676" w:rsidP="009C6326">
      <w:pPr>
        <w:tabs>
          <w:tab w:val="left" w:pos="1461"/>
        </w:tabs>
        <w:rPr>
          <w:b/>
          <w:bCs/>
          <w:noProof/>
        </w:rPr>
      </w:pPr>
    </w:p>
    <w:p w14:paraId="5D244796" w14:textId="77777777" w:rsidR="007C0676" w:rsidRDefault="007C0676" w:rsidP="009C6326">
      <w:pPr>
        <w:tabs>
          <w:tab w:val="left" w:pos="1461"/>
        </w:tabs>
        <w:rPr>
          <w:b/>
          <w:bCs/>
          <w:noProof/>
        </w:rPr>
      </w:pPr>
    </w:p>
    <w:p w14:paraId="19D79FD6" w14:textId="77777777" w:rsidR="007C0676" w:rsidRDefault="007C0676" w:rsidP="009C6326">
      <w:pPr>
        <w:tabs>
          <w:tab w:val="left" w:pos="1461"/>
        </w:tabs>
        <w:rPr>
          <w:b/>
          <w:bCs/>
          <w:noProof/>
        </w:rPr>
      </w:pPr>
    </w:p>
    <w:p w14:paraId="3CD52C0A" w14:textId="3DB33887" w:rsidR="007C0676" w:rsidRPr="007C0676" w:rsidRDefault="007C0676" w:rsidP="007C0676">
      <w:pPr>
        <w:tabs>
          <w:tab w:val="left" w:pos="1461"/>
        </w:tabs>
        <w:jc w:val="center"/>
        <w:rPr>
          <w:b/>
          <w:bCs/>
          <w:noProof/>
        </w:rPr>
      </w:pPr>
      <w:r w:rsidRPr="007C0676">
        <w:rPr>
          <w:b/>
          <w:bCs/>
          <w:noProof/>
        </w:rPr>
        <w:lastRenderedPageBreak/>
        <w:t>Figure</w:t>
      </w:r>
      <w:r>
        <w:rPr>
          <w:b/>
          <w:bCs/>
          <w:noProof/>
        </w:rPr>
        <w:t xml:space="preserve"> 12</w:t>
      </w:r>
    </w:p>
    <w:p w14:paraId="277CE05A" w14:textId="77777777" w:rsidR="009C6326" w:rsidRPr="0035204D" w:rsidRDefault="009C6326" w:rsidP="009C6326">
      <w:pPr>
        <w:tabs>
          <w:tab w:val="left" w:pos="1461"/>
        </w:tabs>
        <w:rPr>
          <w:sz w:val="16"/>
          <w:szCs w:val="16"/>
          <w:lang w:val="en-GB"/>
        </w:rPr>
      </w:pPr>
      <w:r>
        <w:rPr>
          <w:noProof/>
        </w:rPr>
        <w:drawing>
          <wp:inline distT="0" distB="0" distL="0" distR="0" wp14:anchorId="7EB818B9" wp14:editId="1D148B1C">
            <wp:extent cx="5643282" cy="2698376"/>
            <wp:effectExtent l="0" t="0" r="14605" b="6985"/>
            <wp:docPr id="609267457" name="Chart 1">
              <a:extLst xmlns:a="http://schemas.openxmlformats.org/drawingml/2006/main">
                <a:ext uri="{FF2B5EF4-FFF2-40B4-BE49-F238E27FC236}">
                  <a16:creationId xmlns:a16="http://schemas.microsoft.com/office/drawing/2014/main" id="{86E338BF-7CB3-CB79-9E8D-028D144849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4994" w:type="pct"/>
        <w:tblInd w:w="5" w:type="dxa"/>
        <w:tblLook w:val="04A0" w:firstRow="1" w:lastRow="0" w:firstColumn="1" w:lastColumn="0" w:noHBand="0" w:noVBand="1"/>
      </w:tblPr>
      <w:tblGrid>
        <w:gridCol w:w="9021"/>
      </w:tblGrid>
      <w:tr w:rsidR="00216C5D" w:rsidRPr="00543C5D" w14:paraId="3679F041" w14:textId="77777777" w:rsidTr="008543E8">
        <w:trPr>
          <w:trHeight w:val="290"/>
        </w:trPr>
        <w:tc>
          <w:tcPr>
            <w:tcW w:w="5000" w:type="pct"/>
            <w:tcBorders>
              <w:top w:val="nil"/>
              <w:left w:val="nil"/>
              <w:bottom w:val="nil"/>
              <w:right w:val="nil"/>
            </w:tcBorders>
            <w:noWrap/>
            <w:vAlign w:val="bottom"/>
            <w:hideMark/>
          </w:tcPr>
          <w:p w14:paraId="41D289AA" w14:textId="442DF134" w:rsidR="00B366F7" w:rsidRPr="00B366F7" w:rsidRDefault="00B366F7" w:rsidP="00B366F7">
            <w:pPr>
              <w:pStyle w:val="NormalWeb"/>
              <w:spacing w:line="360" w:lineRule="auto"/>
              <w:jc w:val="both"/>
            </w:pPr>
            <w:r w:rsidRPr="00B366F7">
              <w:t xml:space="preserve">A total of 8,990 individuals were tested for HIV across the three Local Government Areas (LGAs) of Karim Lamido, </w:t>
            </w:r>
            <w:proofErr w:type="spellStart"/>
            <w:r w:rsidRPr="00B366F7">
              <w:t>Sardauna</w:t>
            </w:r>
            <w:proofErr w:type="spellEnd"/>
            <w:r w:rsidRPr="00B366F7">
              <w:t xml:space="preserve">, and </w:t>
            </w:r>
            <w:proofErr w:type="spellStart"/>
            <w:r w:rsidRPr="00B366F7">
              <w:t>Ussa</w:t>
            </w:r>
            <w:proofErr w:type="spellEnd"/>
            <w:r w:rsidRPr="00B366F7">
              <w:t>, with a near-equal sex distribution comprising 4,446 males (49.5%) and 4,544 females (50.5%), indicating balanced testing co</w:t>
            </w:r>
            <w:r>
              <w:t>verage between males and females</w:t>
            </w:r>
            <w:r w:rsidRPr="00B366F7">
              <w:t xml:space="preserve"> during the reporting period. Overall, 233 individuals were identified as HIV-positive, representing an overall positivity rate of 2.6%, and among those who tested positive, 163 individuals (70.0%) were successfully linked to care and treatment services, demonstrating moderate performance in post-diagnosis service uptake.</w:t>
            </w:r>
          </w:p>
          <w:p w14:paraId="44F81CF1" w14:textId="3DBBCD96" w:rsidR="00B366F7" w:rsidRPr="00B366F7" w:rsidRDefault="00B366F7" w:rsidP="00B366F7">
            <w:pPr>
              <w:pStyle w:val="NormalWeb"/>
              <w:spacing w:line="360" w:lineRule="auto"/>
              <w:jc w:val="both"/>
            </w:pPr>
            <w:r w:rsidRPr="00B366F7">
              <w:t>In Karim Lamido LGA, a total of 2,457 individuals were tested, including 1,263 males and 1,194 females, and this LGA recorded the highest number of HIV-positive cases among the three LG</w:t>
            </w:r>
            <w:r>
              <w:t>As, with 134 individuals tested</w:t>
            </w:r>
            <w:r w:rsidRPr="00B366F7">
              <w:t xml:space="preserve"> positive overall. Among males in Karim Lamido, 36 individuals </w:t>
            </w:r>
            <w:r>
              <w:t xml:space="preserve">were </w:t>
            </w:r>
            <w:r w:rsidRPr="00B366F7">
              <w:t>tested positive, corresponding to a positivity rate of 2.9%, of whom 27 (75.0%) were linked to care, whereas among females, 98 tested positive, representing a substantially higher positivity rate of 8.2%, and 72 (73.5%) of these were linked to care, resulting in an overall linkage rate of 73.9% within the LGA. These findings suggest a comparatively higher burden of HIV infection among females in Karim Lamido, alongside relatively strong linkage performance compared to some of the other LGAs.</w:t>
            </w:r>
          </w:p>
          <w:p w14:paraId="7D7B2FC0" w14:textId="77777777" w:rsidR="00B366F7" w:rsidRPr="00B366F7" w:rsidRDefault="00B366F7" w:rsidP="00B366F7">
            <w:pPr>
              <w:pStyle w:val="NormalWeb"/>
              <w:spacing w:line="360" w:lineRule="auto"/>
              <w:jc w:val="both"/>
            </w:pPr>
            <w:r w:rsidRPr="00B366F7">
              <w:t xml:space="preserve">In Sardauna LGA, 3,486 individuals were tested, comprising 1,721 males and 1,765 females, making it the LGA with the highest testing volume, although it recorded 70 positive cases overall, which corresponds to a lower overall positivity rate compared to Karim Lamido. Among males in Sardauna, 27 individuals tested positive (1.6%), with only 13 (48.1%) </w:t>
            </w:r>
            <w:r w:rsidRPr="00B366F7">
              <w:lastRenderedPageBreak/>
              <w:t>successfully linked to care, while among females, 43 tested positive (2.4%), and 24 (55.8%) were linked to care, resulting in an overall linkage rate of 52.9% for the LGA. Although testing uptake was high in Sardauna, the comparatively lower linkage-to-care rates indicate potential gaps in post-diagnosis follow-up and service engagement that may require targeted programmatic strengthening.</w:t>
            </w:r>
          </w:p>
          <w:p w14:paraId="79E3CFA8" w14:textId="77777777" w:rsidR="00B366F7" w:rsidRPr="00B366F7" w:rsidRDefault="00B366F7" w:rsidP="00B366F7">
            <w:pPr>
              <w:pStyle w:val="NormalWeb"/>
              <w:spacing w:line="360" w:lineRule="auto"/>
              <w:jc w:val="both"/>
            </w:pPr>
            <w:r w:rsidRPr="00B366F7">
              <w:t xml:space="preserve">In </w:t>
            </w:r>
            <w:proofErr w:type="spellStart"/>
            <w:r w:rsidRPr="00B366F7">
              <w:t>Ussa</w:t>
            </w:r>
            <w:proofErr w:type="spellEnd"/>
            <w:r w:rsidRPr="00B366F7">
              <w:t xml:space="preserve"> LGA, 3,047 individuals were tested, including 1,462 males and 1,585 females, and a total of 29 individuals tested positive, yielding the lowest positivity rate among the three LGAs. Among males, 8 individuals tested positive (0.5%), and all were successfully linked to care, reflecting a 100% linkage rate, while among females, 21 tested positive (1.3%), with 19 (90.5%) linked to care, resulting in an overall linkage rate of 93.1% for the LGA. Despite having the lowest number of identified positive cases, </w:t>
            </w:r>
            <w:proofErr w:type="spellStart"/>
            <w:r w:rsidRPr="00B366F7">
              <w:t>Ussa</w:t>
            </w:r>
            <w:proofErr w:type="spellEnd"/>
            <w:r w:rsidRPr="00B366F7">
              <w:t xml:space="preserve"> demonstrated the strongest performance in ensuring that individuals diagnosed with HIV were promptly linked to care and treatment services.</w:t>
            </w:r>
          </w:p>
          <w:p w14:paraId="33A26A6D" w14:textId="77777777" w:rsidR="00B366F7" w:rsidRPr="00D41D04" w:rsidRDefault="00B366F7" w:rsidP="00B366F7">
            <w:pPr>
              <w:pStyle w:val="NormalWeb"/>
              <w:spacing w:line="360" w:lineRule="auto"/>
              <w:jc w:val="both"/>
              <w:rPr>
                <w:b/>
              </w:rPr>
            </w:pPr>
            <w:r w:rsidRPr="00B366F7">
              <w:t xml:space="preserve">When aggregated by sex across all LGAs, females accounted for a larger proportion of HIV-positive cases (162 of 233 cases, 69.5%) and had a higher overall positivity rate (3.6%) compared to males (1.6%), while linkage-to-care rates were slightly higher among females (71.0%) than males (67.6%). Taken together, these findings reveal notable geographic and gender disparities in HIV positivity and linkage outcomes, with Karim Lamido contributing the largest share of positive cases, Sardauna demonstrating the need for improved linkage systems, and </w:t>
            </w:r>
            <w:proofErr w:type="spellStart"/>
            <w:r w:rsidRPr="00B366F7">
              <w:t>Ussa</w:t>
            </w:r>
            <w:proofErr w:type="spellEnd"/>
            <w:r w:rsidRPr="00B366F7">
              <w:t xml:space="preserve"> showing exemplary performance in connecting diagnosed individuals to care, thereby highlighting important areas for targeted public health interventions and </w:t>
            </w:r>
            <w:r w:rsidRPr="00D41D04">
              <w:t>program optimization.</w:t>
            </w:r>
          </w:p>
          <w:p w14:paraId="2FB926C5" w14:textId="77777777" w:rsidR="00B366F7" w:rsidRPr="00D41D04" w:rsidRDefault="00B366F7" w:rsidP="00B366F7">
            <w:pPr>
              <w:pStyle w:val="Heading3"/>
              <w:rPr>
                <w:b/>
                <w:color w:val="auto"/>
              </w:rPr>
            </w:pPr>
            <w:r w:rsidRPr="00D41D04">
              <w:rPr>
                <w:rStyle w:val="Strong"/>
                <w:bCs w:val="0"/>
                <w:color w:val="auto"/>
              </w:rPr>
              <w:t>Discussion</w:t>
            </w:r>
          </w:p>
          <w:p w14:paraId="6D112F34" w14:textId="77777777" w:rsidR="00B366F7" w:rsidRPr="00D41D04" w:rsidRDefault="00B366F7" w:rsidP="00D41D04">
            <w:pPr>
              <w:pStyle w:val="NormalWeb"/>
              <w:jc w:val="both"/>
            </w:pPr>
            <w:r w:rsidRPr="00D41D04">
              <w:t xml:space="preserve">The present analysis of community-based HIV testing in the LGAs of Karim-Lamido, </w:t>
            </w:r>
            <w:proofErr w:type="spellStart"/>
            <w:r w:rsidRPr="00D41D04">
              <w:t>Sardauna</w:t>
            </w:r>
            <w:proofErr w:type="spellEnd"/>
            <w:r w:rsidRPr="00D41D04">
              <w:t xml:space="preserve">, and </w:t>
            </w:r>
            <w:proofErr w:type="spellStart"/>
            <w:r w:rsidRPr="00D41D04">
              <w:t>Ussa</w:t>
            </w:r>
            <w:proofErr w:type="spellEnd"/>
            <w:r w:rsidRPr="00D41D04">
              <w:t xml:space="preserve"> revealed that of 8,990 individuals tested, 233 (2.6%) were newly diagnosed HIV positive and 163 (70.0%) of these were successfully linked to care. These findings align with national evidence from Nigeria’s HIV/AIDS Indicator and Impact Survey (NAIIS), which documented that approximately 67.6% of newly diagnosed individuals in community settings were linked to care, highlighting persistent gaps in translating testing into treatment engagement in low-resource settings (</w:t>
            </w:r>
            <w:proofErr w:type="spellStart"/>
            <w:r w:rsidRPr="00D41D04">
              <w:t>Jahun</w:t>
            </w:r>
            <w:proofErr w:type="spellEnd"/>
            <w:r w:rsidRPr="00D41D04">
              <w:t xml:space="preserve"> et al., 2021). </w:t>
            </w:r>
          </w:p>
          <w:p w14:paraId="474CBD59" w14:textId="77777777" w:rsidR="00B366F7" w:rsidRPr="00D41D04" w:rsidRDefault="00B366F7" w:rsidP="00D41D04">
            <w:pPr>
              <w:pStyle w:val="NormalWeb"/>
              <w:jc w:val="both"/>
            </w:pPr>
            <w:r w:rsidRPr="00D41D04">
              <w:t xml:space="preserve">In </w:t>
            </w:r>
            <w:r w:rsidRPr="00D41D04">
              <w:rPr>
                <w:rStyle w:val="Strong"/>
                <w:rFonts w:eastAsiaTheme="majorEastAsia"/>
              </w:rPr>
              <w:t>Karim-Lamido</w:t>
            </w:r>
            <w:r w:rsidRPr="00D41D04">
              <w:t>, the linkage rate of 73.9% suggests that community-based testing efforts can achieve moderate linkage levels when compared to more intensive strategies such as the ART Surge in Nigeria, where active linkage efforts pushed linkage rates above 90% in some cohorts when community teams and mobile health tools were deployed (</w:t>
            </w:r>
            <w:proofErr w:type="spellStart"/>
            <w:r w:rsidRPr="00D41D04">
              <w:t>Jahun</w:t>
            </w:r>
            <w:proofErr w:type="spellEnd"/>
            <w:r w:rsidRPr="00D41D04">
              <w:t xml:space="preserve"> et al., 2021). </w:t>
            </w:r>
            <w:r w:rsidRPr="00D41D04">
              <w:lastRenderedPageBreak/>
              <w:t xml:space="preserve">The relatively higher positivity among females in Karim-Lamido also echoes patterns reported in systematic reviews from sub-Saharan Africa showing that women often present more readily for HIV testing and subsequent care services than men, a demographic trend that can drive differential HIV outcomes between sexes (Hlongwa et al., 2022). </w:t>
            </w:r>
          </w:p>
          <w:p w14:paraId="6608E90E" w14:textId="77777777" w:rsidR="00B366F7" w:rsidRPr="00D41D04" w:rsidRDefault="00B366F7" w:rsidP="00D41D04">
            <w:pPr>
              <w:pStyle w:val="NormalWeb"/>
              <w:jc w:val="both"/>
            </w:pPr>
            <w:r w:rsidRPr="00D41D04">
              <w:t xml:space="preserve">In contrast, </w:t>
            </w:r>
            <w:r w:rsidRPr="00D41D04">
              <w:rPr>
                <w:rStyle w:val="Strong"/>
                <w:rFonts w:eastAsiaTheme="majorEastAsia"/>
              </w:rPr>
              <w:t>Sardauna’s</w:t>
            </w:r>
            <w:r w:rsidRPr="00D41D04">
              <w:t xml:space="preserve"> linkage rate of 52.9% post-testing highlights the challenges of passive community referral systems, which systematic reviews have consistently identified as being less effective than facilitated linkage strategies (Owusu et al., 2019). For instance, linkage interventions that incorporate immediate point-of-care CD4 testing, appointment reminders, and care facilitation have shown significantly improved linkage and retention outcomes in other sub-Saharan African contexts, such as in urban Swaziland (McNairy et al., 2017). </w:t>
            </w:r>
          </w:p>
          <w:p w14:paraId="7EE1A33C" w14:textId="77777777" w:rsidR="00B366F7" w:rsidRPr="00D41D04" w:rsidRDefault="00B366F7" w:rsidP="00D41D04">
            <w:pPr>
              <w:pStyle w:val="NormalWeb"/>
              <w:jc w:val="both"/>
            </w:pPr>
            <w:r w:rsidRPr="00D41D04">
              <w:t xml:space="preserve">The exceptionally high linkage rates observed in </w:t>
            </w:r>
            <w:proofErr w:type="spellStart"/>
            <w:r w:rsidRPr="00D41D04">
              <w:rPr>
                <w:rStyle w:val="Strong"/>
                <w:rFonts w:eastAsiaTheme="majorEastAsia"/>
              </w:rPr>
              <w:t>Ussa</w:t>
            </w:r>
            <w:proofErr w:type="spellEnd"/>
            <w:r w:rsidRPr="00D41D04">
              <w:rPr>
                <w:rStyle w:val="Strong"/>
                <w:rFonts w:eastAsiaTheme="majorEastAsia"/>
              </w:rPr>
              <w:t xml:space="preserve"> (93.1%)</w:t>
            </w:r>
            <w:r w:rsidRPr="00D41D04">
              <w:t xml:space="preserve"> reflect best practices noted in the literature where active community engagement, peer outreach, and simplified referral mechanisms substantially improved linkage outcomes. Community-led interventions in southern Africa have been associated with improved linkage and sustained engagement in care, demonstrating the potential benefits of localized programs that leverage social support structures and integrated referral systems (Moyo et al., 2025). </w:t>
            </w:r>
          </w:p>
          <w:p w14:paraId="31403D3E" w14:textId="77777777" w:rsidR="00B366F7" w:rsidRPr="00D41D04" w:rsidRDefault="00B366F7" w:rsidP="00D41D04">
            <w:pPr>
              <w:pStyle w:val="NormalWeb"/>
              <w:jc w:val="both"/>
            </w:pPr>
            <w:r w:rsidRPr="00D41D04">
              <w:t xml:space="preserve">Sex differences in linkage outcomes, with females generally showing higher linkage and retention, are consistent with findings from other sub-Saharan African settings where men’s linkage and early retention remain lower despite high uptake of community testing interventions (Hlongwa et al., 2022). This trend is also observed in targeted studies of men’s linkage to care in KwaZulu-Natal, where, despite the universal test-and-treat strategy improving linkage rates (85% within three months), retention beyond 12 months was limited, particularly among men, indicating structural and psychosocial barriers to sustained care engagement (Hlongwa et al., 2024). </w:t>
            </w:r>
          </w:p>
          <w:p w14:paraId="087A4486" w14:textId="77777777" w:rsidR="00B366F7" w:rsidRPr="00D41D04" w:rsidRDefault="00B366F7" w:rsidP="00D41D04">
            <w:pPr>
              <w:pStyle w:val="NormalWeb"/>
              <w:jc w:val="both"/>
            </w:pPr>
            <w:r w:rsidRPr="00D41D04">
              <w:t xml:space="preserve">Retention in care—though not directly measured in the present dataset—remains a critical concern. Evidence from the universal test-and-treat era in South Africa shows that while initial linkage can be high (82.7% within three months), retention at 12 months post-ART initiation can drop below 50% (Nicol et al., 2023). Additionally, linkage case management has been shown to improve early retention and clinic attendance, illustrating that structured follow-up and case support can yield better retention outcomes in HIV care cascades (McNairy et al., 2017). </w:t>
            </w:r>
          </w:p>
          <w:p w14:paraId="55A389B7" w14:textId="77777777" w:rsidR="00B366F7" w:rsidRPr="00D41D04" w:rsidRDefault="00B366F7" w:rsidP="00D41D04">
            <w:pPr>
              <w:pStyle w:val="NormalWeb"/>
              <w:jc w:val="both"/>
            </w:pPr>
            <w:r w:rsidRPr="00D41D04">
              <w:t xml:space="preserve">The literature also underscores the role of tailored services and community partnerships in improving linkage outcomes. Programs that integrate traditional birth attendants and case manager support in Nigeria demonstrated improved referral and linkage for pregnant women, emphasizing the importance of culturally competent linkage strategies (Ogunyemi et al., 2024). </w:t>
            </w:r>
          </w:p>
          <w:p w14:paraId="7DE724CB" w14:textId="77777777" w:rsidR="00B366F7" w:rsidRPr="00D41D04" w:rsidRDefault="00B366F7" w:rsidP="00D41D04">
            <w:pPr>
              <w:pStyle w:val="NormalWeb"/>
              <w:jc w:val="both"/>
            </w:pPr>
            <w:r w:rsidRPr="00D41D04">
              <w:t xml:space="preserve">In West Africa, HIV self-testing strategies showed that confirmatory linkage and treatment initiation among those confirming positive results were high once individuals sought confirmatory care, though overall follow-up remained a challenge due to stigma and access barriers (Peer Community Journal, 2024). Combined, these studies illustrate that community-based testing can identify large numbers of previously undiagnosed individuals, </w:t>
            </w:r>
            <w:r w:rsidRPr="00D41D04">
              <w:lastRenderedPageBreak/>
              <w:t>but linkage to care and subsequent retention vary widely depending on the intensity of linkage support mechanisms, demographic factors such as sex, and structural barriers.</w:t>
            </w:r>
          </w:p>
          <w:p w14:paraId="57237355" w14:textId="77777777" w:rsidR="00D41D04" w:rsidRPr="00FD6050" w:rsidRDefault="00D41D04" w:rsidP="00FD6050">
            <w:pPr>
              <w:pStyle w:val="Heading3"/>
              <w:jc w:val="both"/>
              <w:rPr>
                <w:color w:val="auto"/>
              </w:rPr>
            </w:pPr>
            <w:r w:rsidRPr="00FD6050">
              <w:rPr>
                <w:rStyle w:val="Strong"/>
                <w:bCs w:val="0"/>
                <w:color w:val="auto"/>
              </w:rPr>
              <w:t>Conclusion</w:t>
            </w:r>
          </w:p>
          <w:p w14:paraId="060C56FA" w14:textId="77777777" w:rsidR="00D41D04" w:rsidRPr="00FD6050" w:rsidRDefault="00D41D04" w:rsidP="00FD6050">
            <w:pPr>
              <w:pStyle w:val="NormalWeb"/>
              <w:jc w:val="both"/>
            </w:pPr>
            <w:r w:rsidRPr="00FD6050">
              <w:t xml:space="preserve">One year after implementation, community-based HIV testing in Karim-Lamido, </w:t>
            </w:r>
            <w:proofErr w:type="spellStart"/>
            <w:r w:rsidRPr="00FD6050">
              <w:t>Sardauna</w:t>
            </w:r>
            <w:proofErr w:type="spellEnd"/>
            <w:r w:rsidRPr="00FD6050">
              <w:t xml:space="preserve">, and </w:t>
            </w:r>
            <w:proofErr w:type="spellStart"/>
            <w:r w:rsidRPr="00FD6050">
              <w:t>Ussa</w:t>
            </w:r>
            <w:proofErr w:type="spellEnd"/>
            <w:r w:rsidRPr="00FD6050">
              <w:t xml:space="preserve"> LGAs successfully identified new HIV cases; however, linkage to care outcomes varied significantly across LGAs. Overall linkage was 70.0%, indicating moderate performance. </w:t>
            </w:r>
            <w:proofErr w:type="spellStart"/>
            <w:r w:rsidRPr="00FD6050">
              <w:t>Ussa</w:t>
            </w:r>
            <w:proofErr w:type="spellEnd"/>
            <w:r w:rsidRPr="00FD6050">
              <w:t xml:space="preserve"> achieved very high linkage (93.1%), demonstrating effective post-diagnosis follow-up systems, while Sardauna recorded low linkage (52.9%), suggesting gaps in referral and patient tracking mechanisms. Karim-Lamido had moderate linkage but the highest burden of positive cases. Females showed higher positivity rates and slightly better linkage outcomes than males, highlighting persistent gender disparities. Strengthening linkage systems is essential to ensure that case identification translates into sustained treatment engagement.</w:t>
            </w:r>
          </w:p>
          <w:p w14:paraId="7641C02E" w14:textId="77777777" w:rsidR="00D41D04" w:rsidRPr="00D41D04" w:rsidRDefault="00D41D04" w:rsidP="00D41D04">
            <w:pPr>
              <w:pStyle w:val="Heading3"/>
              <w:rPr>
                <w:color w:val="auto"/>
              </w:rPr>
            </w:pPr>
            <w:r w:rsidRPr="00D41D04">
              <w:rPr>
                <w:rStyle w:val="Strong"/>
                <w:bCs w:val="0"/>
                <w:color w:val="auto"/>
              </w:rPr>
              <w:t>Recommendations</w:t>
            </w:r>
          </w:p>
          <w:p w14:paraId="53769DF2" w14:textId="77777777" w:rsidR="00D41D04" w:rsidRDefault="00D41D04" w:rsidP="00675B85">
            <w:pPr>
              <w:pStyle w:val="NormalWeb"/>
              <w:numPr>
                <w:ilvl w:val="0"/>
                <w:numId w:val="5"/>
              </w:numPr>
            </w:pPr>
            <w:r>
              <w:t>Implement active linkage strategies such as peer navigation, escorted referrals, and same-day ART initiation.</w:t>
            </w:r>
          </w:p>
          <w:p w14:paraId="089622DC" w14:textId="77777777" w:rsidR="00D41D04" w:rsidRDefault="00D41D04" w:rsidP="00675B85">
            <w:pPr>
              <w:pStyle w:val="NormalWeb"/>
              <w:numPr>
                <w:ilvl w:val="0"/>
                <w:numId w:val="5"/>
              </w:numPr>
            </w:pPr>
            <w:r>
              <w:t xml:space="preserve">Scale up best practices from </w:t>
            </w:r>
            <w:proofErr w:type="spellStart"/>
            <w:r>
              <w:t>Ussa</w:t>
            </w:r>
            <w:proofErr w:type="spellEnd"/>
            <w:r>
              <w:t xml:space="preserve"> to lower-performing LGAs, particularly Sardauna.</w:t>
            </w:r>
          </w:p>
          <w:p w14:paraId="02C41284" w14:textId="77777777" w:rsidR="00D41D04" w:rsidRDefault="00D41D04" w:rsidP="00675B85">
            <w:pPr>
              <w:pStyle w:val="NormalWeb"/>
              <w:numPr>
                <w:ilvl w:val="0"/>
                <w:numId w:val="5"/>
              </w:numPr>
            </w:pPr>
            <w:r>
              <w:t>Introduce targeted male-focused interventions to improve men’s engagement in care.</w:t>
            </w:r>
          </w:p>
          <w:p w14:paraId="3706F518" w14:textId="77777777" w:rsidR="00D41D04" w:rsidRDefault="00D41D04" w:rsidP="00675B85">
            <w:pPr>
              <w:pStyle w:val="NormalWeb"/>
              <w:numPr>
                <w:ilvl w:val="0"/>
                <w:numId w:val="5"/>
              </w:numPr>
            </w:pPr>
            <w:r>
              <w:t>Expand differentiated service delivery models to improve retention.</w:t>
            </w:r>
          </w:p>
          <w:p w14:paraId="20F57AD5" w14:textId="77777777" w:rsidR="00D41D04" w:rsidRDefault="00D41D04" w:rsidP="00675B85">
            <w:pPr>
              <w:pStyle w:val="NormalWeb"/>
              <w:numPr>
                <w:ilvl w:val="0"/>
                <w:numId w:val="5"/>
              </w:numPr>
            </w:pPr>
            <w:r>
              <w:t>Strengthen routine monitoring of linkage and 12-month retention outcomes to track long-term program performance.</w:t>
            </w:r>
          </w:p>
          <w:p w14:paraId="792CACF1" w14:textId="77777777" w:rsidR="00675B85" w:rsidRPr="00265A75" w:rsidRDefault="00675B85" w:rsidP="00675B85">
            <w:pPr>
              <w:jc w:val="both"/>
              <w:rPr>
                <w:rFonts w:ascii="Times New Roman" w:hAnsi="Times New Roman" w:cs="Times New Roman"/>
                <w:b/>
                <w:bCs/>
              </w:rPr>
            </w:pPr>
            <w:r w:rsidRPr="00265A75">
              <w:rPr>
                <w:rFonts w:ascii="Times New Roman" w:hAnsi="Times New Roman" w:cs="Times New Roman"/>
                <w:b/>
                <w:bCs/>
              </w:rPr>
              <w:t>Limitations</w:t>
            </w:r>
          </w:p>
          <w:p w14:paraId="41F38898" w14:textId="77777777" w:rsidR="00675B85" w:rsidRPr="00265A75" w:rsidRDefault="00675B85" w:rsidP="00675B85">
            <w:pPr>
              <w:numPr>
                <w:ilvl w:val="0"/>
                <w:numId w:val="5"/>
              </w:numPr>
              <w:jc w:val="both"/>
              <w:rPr>
                <w:rFonts w:ascii="Times New Roman" w:hAnsi="Times New Roman" w:cs="Times New Roman"/>
              </w:rPr>
            </w:pPr>
            <w:r w:rsidRPr="00265A75">
              <w:rPr>
                <w:rFonts w:ascii="Times New Roman" w:hAnsi="Times New Roman" w:cs="Times New Roman"/>
              </w:rPr>
              <w:t>Small sample size (14 cases) limits generalizability and precludes statistical inference.</w:t>
            </w:r>
          </w:p>
          <w:p w14:paraId="36CC108D" w14:textId="77777777" w:rsidR="00675B85" w:rsidRPr="00265A75" w:rsidRDefault="00675B85" w:rsidP="00675B85">
            <w:pPr>
              <w:numPr>
                <w:ilvl w:val="0"/>
                <w:numId w:val="5"/>
              </w:numPr>
              <w:jc w:val="both"/>
              <w:rPr>
                <w:rFonts w:ascii="Times New Roman" w:hAnsi="Times New Roman" w:cs="Times New Roman"/>
              </w:rPr>
            </w:pPr>
            <w:r w:rsidRPr="00265A75">
              <w:rPr>
                <w:rFonts w:ascii="Times New Roman" w:hAnsi="Times New Roman" w:cs="Times New Roman"/>
              </w:rPr>
              <w:t>Program data may be subject to documentation errors or incomplete follow-up outside the monitoring system.</w:t>
            </w:r>
          </w:p>
          <w:p w14:paraId="4DA3C930" w14:textId="77777777" w:rsidR="00675B85" w:rsidRPr="00265A75" w:rsidRDefault="00675B85" w:rsidP="00675B85">
            <w:pPr>
              <w:numPr>
                <w:ilvl w:val="0"/>
                <w:numId w:val="5"/>
              </w:numPr>
              <w:jc w:val="both"/>
              <w:rPr>
                <w:rFonts w:ascii="Times New Roman" w:hAnsi="Times New Roman" w:cs="Times New Roman"/>
              </w:rPr>
            </w:pPr>
            <w:r w:rsidRPr="00265A75">
              <w:rPr>
                <w:rFonts w:ascii="Times New Roman" w:hAnsi="Times New Roman" w:cs="Times New Roman"/>
              </w:rPr>
              <w:t>The viral load threshold and timing relative to ART initiation were not standardized across all clients in the program dataset provided.</w:t>
            </w:r>
          </w:p>
          <w:p w14:paraId="5DC567D1" w14:textId="77777777" w:rsidR="00675B85" w:rsidRDefault="00675B85" w:rsidP="00675B85">
            <w:pPr>
              <w:pStyle w:val="NormalWeb"/>
              <w:ind w:left="720"/>
            </w:pPr>
          </w:p>
          <w:p w14:paraId="2B27930F" w14:textId="77777777" w:rsidR="00675B85" w:rsidRDefault="00675B85" w:rsidP="00675B85">
            <w:pPr>
              <w:pStyle w:val="NormalWeb"/>
            </w:pPr>
          </w:p>
          <w:p w14:paraId="2AC39C91" w14:textId="77777777" w:rsidR="00675B85" w:rsidRDefault="00675B85" w:rsidP="00675B85">
            <w:pPr>
              <w:pStyle w:val="NormalWeb"/>
            </w:pPr>
            <w:r>
              <w:t>COMPETING INTERESTS DISCLAIMER:</w:t>
            </w:r>
          </w:p>
          <w:p w14:paraId="4439B251" w14:textId="2D5A2B63" w:rsidR="00675B85" w:rsidRDefault="00675B85" w:rsidP="00675B85">
            <w:pPr>
              <w:pStyle w:val="NormalWeb"/>
            </w:pPr>
            <w:r>
              <w:t>Authors have declared that they have no known competing financial interests OR non-financial interests OR personal relationships that could have appeared to influence the work reported in this paper.</w:t>
            </w:r>
          </w:p>
          <w:p w14:paraId="5A7EC8E2" w14:textId="7F99DCAC" w:rsidR="00B366F7" w:rsidRPr="005441EA" w:rsidRDefault="00D41D04" w:rsidP="00B366F7">
            <w:pPr>
              <w:pStyle w:val="Heading3"/>
              <w:rPr>
                <w:lang w:val="es-US"/>
              </w:rPr>
            </w:pPr>
            <w:proofErr w:type="spellStart"/>
            <w:r w:rsidRPr="005441EA">
              <w:rPr>
                <w:rStyle w:val="Strong"/>
                <w:b w:val="0"/>
                <w:bCs w:val="0"/>
                <w:lang w:val="es-US"/>
              </w:rPr>
              <w:lastRenderedPageBreak/>
              <w:t>References</w:t>
            </w:r>
            <w:proofErr w:type="spellEnd"/>
          </w:p>
          <w:p w14:paraId="4CED67E2" w14:textId="77777777" w:rsidR="00B366F7" w:rsidRDefault="00B366F7" w:rsidP="00B366F7">
            <w:pPr>
              <w:pStyle w:val="NormalWeb"/>
            </w:pPr>
            <w:proofErr w:type="spellStart"/>
            <w:r w:rsidRPr="005441EA">
              <w:rPr>
                <w:lang w:val="es-US"/>
              </w:rPr>
              <w:t>Jahun</w:t>
            </w:r>
            <w:proofErr w:type="spellEnd"/>
            <w:r w:rsidRPr="005441EA">
              <w:rPr>
                <w:lang w:val="es-US"/>
              </w:rPr>
              <w:t xml:space="preserve">, I., et al. </w:t>
            </w:r>
            <w:r>
              <w:t xml:space="preserve">(2021). </w:t>
            </w:r>
            <w:r>
              <w:rPr>
                <w:rStyle w:val="Emphasis"/>
                <w:rFonts w:eastAsiaTheme="majorEastAsia"/>
              </w:rPr>
              <w:t>Optimizing community linkage to care and antiretroviral therapy initiation: Lessons from the Nigeria HIV/AIDS Indicator and Impact Survey (NAIIS) and their adaptation in Nigeria ART Surge</w:t>
            </w:r>
            <w:r>
              <w:t xml:space="preserve">. </w:t>
            </w:r>
            <w:proofErr w:type="spellStart"/>
            <w:r>
              <w:t>PLoS</w:t>
            </w:r>
            <w:proofErr w:type="spellEnd"/>
            <w:r>
              <w:t xml:space="preserve"> One. </w:t>
            </w:r>
          </w:p>
          <w:p w14:paraId="4AB72484" w14:textId="77777777" w:rsidR="00B366F7" w:rsidRDefault="00B366F7" w:rsidP="00B366F7">
            <w:pPr>
              <w:pStyle w:val="NormalWeb"/>
            </w:pPr>
            <w:r>
              <w:t xml:space="preserve">Hlongwa, M., </w:t>
            </w:r>
            <w:proofErr w:type="spellStart"/>
            <w:r>
              <w:t>Hlongwana</w:t>
            </w:r>
            <w:proofErr w:type="spellEnd"/>
            <w:r>
              <w:t xml:space="preserve">, K., Makhunga, S., Choko, A. T., </w:t>
            </w:r>
            <w:proofErr w:type="spellStart"/>
            <w:r>
              <w:t>Dzinamarira</w:t>
            </w:r>
            <w:proofErr w:type="spellEnd"/>
            <w:r>
              <w:t xml:space="preserve">, T., Conserve, D., &amp; Tsai, A. C. (2022). </w:t>
            </w:r>
            <w:r>
              <w:rPr>
                <w:rStyle w:val="Emphasis"/>
                <w:rFonts w:eastAsiaTheme="majorEastAsia"/>
              </w:rPr>
              <w:t>Linkage to HIV care following HIV self-testing among men: Systematic review of quantitative and qualitative studies from six countries in sub-Saharan Africa</w:t>
            </w:r>
            <w:r>
              <w:t xml:space="preserve">. AIDS and Behavior. </w:t>
            </w:r>
          </w:p>
          <w:p w14:paraId="6F00A681" w14:textId="77777777" w:rsidR="00B366F7" w:rsidRDefault="00B366F7" w:rsidP="00B366F7">
            <w:pPr>
              <w:pStyle w:val="NormalWeb"/>
            </w:pPr>
            <w:r>
              <w:t xml:space="preserve">Owusu, K., et al. (2019). </w:t>
            </w:r>
            <w:r>
              <w:rPr>
                <w:rStyle w:val="Emphasis"/>
                <w:rFonts w:eastAsiaTheme="majorEastAsia"/>
              </w:rPr>
              <w:t>Strategies to improve linkage to HIV care in urban areas of sub-Saharan Africa: A systematic review</w:t>
            </w:r>
            <w:r>
              <w:t xml:space="preserve">. PubMed. </w:t>
            </w:r>
          </w:p>
          <w:p w14:paraId="070098CE" w14:textId="77777777" w:rsidR="00B366F7" w:rsidRDefault="00B366F7" w:rsidP="00B366F7">
            <w:pPr>
              <w:pStyle w:val="NormalWeb"/>
            </w:pPr>
            <w:r>
              <w:t xml:space="preserve">McNairy, M. L., et al. (2017). </w:t>
            </w:r>
            <w:r>
              <w:rPr>
                <w:rStyle w:val="Emphasis"/>
                <w:rFonts w:eastAsiaTheme="majorEastAsia"/>
              </w:rPr>
              <w:t>Effectiveness of a combination strategy for linkage and retention in adult HIV care in Swaziland: The Link4Health cluster randomized trial</w:t>
            </w:r>
            <w:r>
              <w:t xml:space="preserve">. </w:t>
            </w:r>
            <w:proofErr w:type="spellStart"/>
            <w:r>
              <w:t>PLoS</w:t>
            </w:r>
            <w:proofErr w:type="spellEnd"/>
            <w:r>
              <w:t xml:space="preserve"> Medicine. </w:t>
            </w:r>
          </w:p>
          <w:p w14:paraId="3CF2C6B7" w14:textId="77777777" w:rsidR="00B366F7" w:rsidRDefault="00B366F7" w:rsidP="00B366F7">
            <w:pPr>
              <w:pStyle w:val="NormalWeb"/>
            </w:pPr>
            <w:r>
              <w:t xml:space="preserve">Moyo, N. A., et al. (2025). </w:t>
            </w:r>
            <w:r>
              <w:rPr>
                <w:rStyle w:val="Emphasis"/>
                <w:rFonts w:eastAsiaTheme="majorEastAsia"/>
              </w:rPr>
              <w:t>Community-led interventions for HIV and AIDS prevention, treatment, and care in Southern Africa: A scoping review</w:t>
            </w:r>
            <w:r>
              <w:t xml:space="preserve">. Discover Public Health. </w:t>
            </w:r>
          </w:p>
          <w:p w14:paraId="48BE36F1" w14:textId="77777777" w:rsidR="00B366F7" w:rsidRDefault="00B366F7" w:rsidP="00B366F7">
            <w:pPr>
              <w:pStyle w:val="NormalWeb"/>
            </w:pPr>
            <w:r>
              <w:t xml:space="preserve">Nicol, E., </w:t>
            </w:r>
            <w:proofErr w:type="spellStart"/>
            <w:r>
              <w:t>Basera</w:t>
            </w:r>
            <w:proofErr w:type="spellEnd"/>
            <w:r>
              <w:t xml:space="preserve">, W., </w:t>
            </w:r>
            <w:proofErr w:type="spellStart"/>
            <w:r>
              <w:t>Mukumbang</w:t>
            </w:r>
            <w:proofErr w:type="spellEnd"/>
            <w:r>
              <w:t xml:space="preserve">, F. C., et al. (2023). </w:t>
            </w:r>
            <w:r>
              <w:rPr>
                <w:rStyle w:val="Emphasis"/>
                <w:rFonts w:eastAsiaTheme="majorEastAsia"/>
              </w:rPr>
              <w:t>Linkage to HIV care and early retention in care rates in the universal test-and-treat era: A population-based prospective study in KwaZulu-Natal, South Africa</w:t>
            </w:r>
            <w:r>
              <w:t xml:space="preserve">. AIDS and Behavior. </w:t>
            </w:r>
          </w:p>
          <w:p w14:paraId="444E9AEF" w14:textId="77777777" w:rsidR="00B366F7" w:rsidRDefault="00B366F7" w:rsidP="00B366F7">
            <w:pPr>
              <w:pStyle w:val="NormalWeb"/>
            </w:pPr>
            <w:r>
              <w:t xml:space="preserve">Hlongwa, M., et al. (2024). </w:t>
            </w:r>
            <w:r>
              <w:rPr>
                <w:rStyle w:val="Emphasis"/>
                <w:rFonts w:eastAsiaTheme="majorEastAsia"/>
              </w:rPr>
              <w:t>Linkage to HIV care and early retention in HIV care among men in the ‘universal test-and-treat’ era in a high HIV-burdened district, KwaZulu-Natal, South Africa</w:t>
            </w:r>
            <w:r>
              <w:t xml:space="preserve">. BMC Health Services Research. </w:t>
            </w:r>
          </w:p>
          <w:p w14:paraId="169AA56F" w14:textId="77777777" w:rsidR="00B366F7" w:rsidRDefault="00B366F7" w:rsidP="00B366F7">
            <w:pPr>
              <w:pStyle w:val="NormalWeb"/>
            </w:pPr>
            <w:r>
              <w:t xml:space="preserve">Ogunyemi, A. O., et al. (2024). </w:t>
            </w:r>
            <w:r>
              <w:rPr>
                <w:rStyle w:val="Emphasis"/>
                <w:rFonts w:eastAsiaTheme="majorEastAsia"/>
              </w:rPr>
              <w:t>Impact of training and case manager support for traditional birth attendants in the linkage of care among HIV-positive pregnant women in Southwest Nigeria: A 3-arm cluster randomized control trial</w:t>
            </w:r>
            <w:r>
              <w:t xml:space="preserve">. BMC Pregnancy and Childbirth. </w:t>
            </w:r>
          </w:p>
          <w:p w14:paraId="45C9484C" w14:textId="77777777" w:rsidR="00B366F7" w:rsidRDefault="00B366F7" w:rsidP="00B366F7">
            <w:pPr>
              <w:pStyle w:val="NormalWeb"/>
            </w:pPr>
            <w:r>
              <w:t xml:space="preserve">Peer Community Journal. (2024). </w:t>
            </w:r>
            <w:r>
              <w:rPr>
                <w:rStyle w:val="Emphasis"/>
                <w:rFonts w:eastAsiaTheme="majorEastAsia"/>
              </w:rPr>
              <w:t>HIV self-testing positivity rate and linkage to confirmatory testing and care: A telephone survey in Côte d’Ivoire, Mali, and Senegal</w:t>
            </w:r>
            <w:r>
              <w:t xml:space="preserve">. </w:t>
            </w:r>
          </w:p>
          <w:p w14:paraId="024C0124" w14:textId="77777777" w:rsidR="00B366F7" w:rsidRDefault="00B366F7" w:rsidP="00D41D04">
            <w:pPr>
              <w:spacing w:after="0" w:line="240" w:lineRule="auto"/>
              <w:rPr>
                <w:rFonts w:ascii="Times New Roman" w:eastAsia="Times New Roman" w:hAnsi="Times New Roman" w:cs="Times New Roman"/>
                <w:color w:val="000000"/>
                <w:kern w:val="0"/>
                <w14:ligatures w14:val="none"/>
              </w:rPr>
            </w:pPr>
          </w:p>
          <w:p w14:paraId="42579EF5" w14:textId="77777777" w:rsidR="00216C5D" w:rsidRPr="00543C5D" w:rsidRDefault="00216C5D" w:rsidP="00D41D04">
            <w:pPr>
              <w:spacing w:after="0" w:line="240" w:lineRule="auto"/>
              <w:rPr>
                <w:rFonts w:ascii="Times New Roman" w:eastAsia="Times New Roman" w:hAnsi="Times New Roman" w:cs="Times New Roman"/>
                <w:color w:val="000000"/>
                <w:kern w:val="0"/>
                <w14:ligatures w14:val="none"/>
              </w:rPr>
            </w:pPr>
          </w:p>
        </w:tc>
      </w:tr>
    </w:tbl>
    <w:p w14:paraId="167497C0" w14:textId="31B4DFCD" w:rsidR="00265A75" w:rsidRPr="00265A75" w:rsidRDefault="00265A75" w:rsidP="00265A75">
      <w:pPr>
        <w:jc w:val="both"/>
        <w:rPr>
          <w:rFonts w:ascii="Times New Roman" w:hAnsi="Times New Roman" w:cs="Times New Roman"/>
        </w:rPr>
      </w:pPr>
    </w:p>
    <w:p w14:paraId="73784040" w14:textId="5EE39F33" w:rsidR="00265A75" w:rsidRPr="00265A75" w:rsidRDefault="00265A75" w:rsidP="00265A75">
      <w:pPr>
        <w:jc w:val="both"/>
        <w:rPr>
          <w:rFonts w:ascii="Times New Roman" w:hAnsi="Times New Roman" w:cs="Times New Roman"/>
        </w:rPr>
      </w:pPr>
      <w:bookmarkStart w:id="0" w:name="_GoBack"/>
      <w:bookmarkEnd w:id="0"/>
    </w:p>
    <w:p w14:paraId="6745DDAB" w14:textId="77777777" w:rsidR="00265A75" w:rsidRPr="00265A75" w:rsidRDefault="00265A75" w:rsidP="00265A75">
      <w:pPr>
        <w:jc w:val="both"/>
        <w:rPr>
          <w:rFonts w:ascii="Times New Roman" w:hAnsi="Times New Roman" w:cs="Times New Roman"/>
        </w:rPr>
      </w:pPr>
      <w:r w:rsidRPr="00265A75">
        <w:rPr>
          <w:rFonts w:ascii="Times New Roman" w:hAnsi="Times New Roman" w:cs="Times New Roman"/>
          <w:b/>
          <w:bCs/>
        </w:rPr>
        <w:t>Note on the dataset used:</w:t>
      </w:r>
      <w:r w:rsidRPr="00265A75">
        <w:rPr>
          <w:rFonts w:ascii="Times New Roman" w:hAnsi="Times New Roman" w:cs="Times New Roman"/>
        </w:rPr>
        <w:t xml:space="preserve"> The manuscript uses the programmatic outcome summary provided by the user indicating that </w:t>
      </w:r>
      <w:proofErr w:type="gramStart"/>
      <w:r w:rsidRPr="00265A75">
        <w:rPr>
          <w:rFonts w:ascii="Times New Roman" w:hAnsi="Times New Roman" w:cs="Times New Roman"/>
        </w:rPr>
        <w:t>one year</w:t>
      </w:r>
      <w:proofErr w:type="gramEnd"/>
      <w:r w:rsidRPr="00265A75">
        <w:rPr>
          <w:rFonts w:ascii="Times New Roman" w:hAnsi="Times New Roman" w:cs="Times New Roman"/>
        </w:rPr>
        <w:t xml:space="preserve"> post-implementation, of 14 diagnosed cases, all were retained in care with documented viral load suppression (100%). The small sample size is emphasized throughout, and the need for larger evaluation is noted.</w:t>
      </w:r>
    </w:p>
    <w:p w14:paraId="27DEC057" w14:textId="77777777" w:rsidR="006F6D66" w:rsidRPr="00265A75" w:rsidRDefault="006F6D66" w:rsidP="00265A75">
      <w:pPr>
        <w:jc w:val="both"/>
        <w:rPr>
          <w:rFonts w:ascii="Times New Roman" w:hAnsi="Times New Roman" w:cs="Times New Roman"/>
        </w:rPr>
      </w:pPr>
    </w:p>
    <w:sectPr w:rsidR="006F6D66" w:rsidRPr="00265A75">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F3DF0" w14:textId="77777777" w:rsidR="006F26E3" w:rsidRDefault="006F26E3" w:rsidP="00CB3AE5">
      <w:pPr>
        <w:spacing w:after="0" w:line="240" w:lineRule="auto"/>
      </w:pPr>
      <w:r>
        <w:separator/>
      </w:r>
    </w:p>
  </w:endnote>
  <w:endnote w:type="continuationSeparator" w:id="0">
    <w:p w14:paraId="04ECD680" w14:textId="77777777" w:rsidR="006F26E3" w:rsidRDefault="006F26E3" w:rsidP="00CB3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F5B4" w14:textId="77777777" w:rsidR="00521714" w:rsidRDefault="00521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FA0D2" w14:textId="77777777" w:rsidR="00521714" w:rsidRDefault="00521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04AE" w14:textId="77777777" w:rsidR="00521714" w:rsidRDefault="00521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A3D09" w14:textId="77777777" w:rsidR="006F26E3" w:rsidRDefault="006F26E3" w:rsidP="00CB3AE5">
      <w:pPr>
        <w:spacing w:after="0" w:line="240" w:lineRule="auto"/>
      </w:pPr>
      <w:r>
        <w:separator/>
      </w:r>
    </w:p>
  </w:footnote>
  <w:footnote w:type="continuationSeparator" w:id="0">
    <w:p w14:paraId="75A6080A" w14:textId="77777777" w:rsidR="006F26E3" w:rsidRDefault="006F26E3" w:rsidP="00CB3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88AD3" w14:textId="7FC16A84" w:rsidR="00521714" w:rsidRDefault="00521714">
    <w:pPr>
      <w:pStyle w:val="Header"/>
    </w:pPr>
    <w:r>
      <w:rPr>
        <w:noProof/>
      </w:rPr>
      <w:pict w14:anchorId="6F648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43120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F641" w14:textId="747EF7DA" w:rsidR="00521714" w:rsidRDefault="00521714">
    <w:pPr>
      <w:pStyle w:val="Header"/>
    </w:pPr>
    <w:r>
      <w:rPr>
        <w:noProof/>
      </w:rPr>
      <w:pict w14:anchorId="3380E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43120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EE82C" w14:textId="1777BDCD" w:rsidR="00521714" w:rsidRDefault="00521714">
    <w:pPr>
      <w:pStyle w:val="Header"/>
    </w:pPr>
    <w:r>
      <w:rPr>
        <w:noProof/>
      </w:rPr>
      <w:pict w14:anchorId="7C2E4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43120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91E7A"/>
    <w:multiLevelType w:val="multilevel"/>
    <w:tmpl w:val="C6E2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B786E"/>
    <w:multiLevelType w:val="multilevel"/>
    <w:tmpl w:val="A81A9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D34DC"/>
    <w:multiLevelType w:val="multilevel"/>
    <w:tmpl w:val="3AF0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95583"/>
    <w:multiLevelType w:val="multilevel"/>
    <w:tmpl w:val="B55CF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E54B1"/>
    <w:multiLevelType w:val="multilevel"/>
    <w:tmpl w:val="C18EF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0C301C"/>
    <w:multiLevelType w:val="multilevel"/>
    <w:tmpl w:val="C766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0910D6"/>
    <w:multiLevelType w:val="multilevel"/>
    <w:tmpl w:val="39FC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DA5B19"/>
    <w:multiLevelType w:val="multilevel"/>
    <w:tmpl w:val="29AE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0MzSzNDU3MDQ0NzZR0lEKTi0uzszPAykwrAUAY9c3MCwAAAA="/>
  </w:docVars>
  <w:rsids>
    <w:rsidRoot w:val="00265A75"/>
    <w:rsid w:val="000125C1"/>
    <w:rsid w:val="0010660F"/>
    <w:rsid w:val="00165C2E"/>
    <w:rsid w:val="0017782D"/>
    <w:rsid w:val="001A097D"/>
    <w:rsid w:val="00216C5D"/>
    <w:rsid w:val="00216F90"/>
    <w:rsid w:val="00250074"/>
    <w:rsid w:val="00262D4C"/>
    <w:rsid w:val="00265A75"/>
    <w:rsid w:val="00374CC3"/>
    <w:rsid w:val="003B3CFC"/>
    <w:rsid w:val="00401253"/>
    <w:rsid w:val="0041080F"/>
    <w:rsid w:val="004319EE"/>
    <w:rsid w:val="004713A5"/>
    <w:rsid w:val="004A03D4"/>
    <w:rsid w:val="00521714"/>
    <w:rsid w:val="005441EA"/>
    <w:rsid w:val="005B7E20"/>
    <w:rsid w:val="00675B85"/>
    <w:rsid w:val="006D11A7"/>
    <w:rsid w:val="006E6882"/>
    <w:rsid w:val="006F26E3"/>
    <w:rsid w:val="006F6D66"/>
    <w:rsid w:val="007C0676"/>
    <w:rsid w:val="007C473C"/>
    <w:rsid w:val="008155AC"/>
    <w:rsid w:val="008465AA"/>
    <w:rsid w:val="0085205A"/>
    <w:rsid w:val="008543E8"/>
    <w:rsid w:val="00865DB5"/>
    <w:rsid w:val="00910669"/>
    <w:rsid w:val="00977A99"/>
    <w:rsid w:val="009C6326"/>
    <w:rsid w:val="00A0516B"/>
    <w:rsid w:val="00A54E91"/>
    <w:rsid w:val="00B366F7"/>
    <w:rsid w:val="00B374CD"/>
    <w:rsid w:val="00B93F32"/>
    <w:rsid w:val="00C4649A"/>
    <w:rsid w:val="00C53EFF"/>
    <w:rsid w:val="00C91B0B"/>
    <w:rsid w:val="00C94FE0"/>
    <w:rsid w:val="00CB3AE5"/>
    <w:rsid w:val="00D41D04"/>
    <w:rsid w:val="00DF5611"/>
    <w:rsid w:val="00E53407"/>
    <w:rsid w:val="00E831AD"/>
    <w:rsid w:val="00F675E9"/>
    <w:rsid w:val="00F746A8"/>
    <w:rsid w:val="00FD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B4A070"/>
  <w15:chartTrackingRefBased/>
  <w15:docId w15:val="{F56BAB16-CB75-4BAB-A025-35BDA75B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A75"/>
    <w:rPr>
      <w:rFonts w:eastAsiaTheme="majorEastAsia" w:cstheme="majorBidi"/>
      <w:color w:val="272727" w:themeColor="text1" w:themeTint="D8"/>
    </w:rPr>
  </w:style>
  <w:style w:type="paragraph" w:styleId="Title">
    <w:name w:val="Title"/>
    <w:basedOn w:val="Normal"/>
    <w:next w:val="Normal"/>
    <w:link w:val="TitleChar"/>
    <w:uiPriority w:val="10"/>
    <w:qFormat/>
    <w:rsid w:val="00265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A75"/>
    <w:pPr>
      <w:spacing w:before="160"/>
      <w:jc w:val="center"/>
    </w:pPr>
    <w:rPr>
      <w:i/>
      <w:iCs/>
      <w:color w:val="404040" w:themeColor="text1" w:themeTint="BF"/>
    </w:rPr>
  </w:style>
  <w:style w:type="character" w:customStyle="1" w:styleId="QuoteChar">
    <w:name w:val="Quote Char"/>
    <w:basedOn w:val="DefaultParagraphFont"/>
    <w:link w:val="Quote"/>
    <w:uiPriority w:val="29"/>
    <w:rsid w:val="00265A75"/>
    <w:rPr>
      <w:i/>
      <w:iCs/>
      <w:color w:val="404040" w:themeColor="text1" w:themeTint="BF"/>
    </w:rPr>
  </w:style>
  <w:style w:type="paragraph" w:styleId="ListParagraph">
    <w:name w:val="List Paragraph"/>
    <w:basedOn w:val="Normal"/>
    <w:uiPriority w:val="34"/>
    <w:qFormat/>
    <w:rsid w:val="00265A75"/>
    <w:pPr>
      <w:ind w:left="720"/>
      <w:contextualSpacing/>
    </w:pPr>
  </w:style>
  <w:style w:type="character" w:styleId="IntenseEmphasis">
    <w:name w:val="Intense Emphasis"/>
    <w:basedOn w:val="DefaultParagraphFont"/>
    <w:uiPriority w:val="21"/>
    <w:qFormat/>
    <w:rsid w:val="00265A75"/>
    <w:rPr>
      <w:i/>
      <w:iCs/>
      <w:color w:val="0F4761" w:themeColor="accent1" w:themeShade="BF"/>
    </w:rPr>
  </w:style>
  <w:style w:type="paragraph" w:styleId="IntenseQuote">
    <w:name w:val="Intense Quote"/>
    <w:basedOn w:val="Normal"/>
    <w:next w:val="Normal"/>
    <w:link w:val="IntenseQuoteChar"/>
    <w:uiPriority w:val="30"/>
    <w:qFormat/>
    <w:rsid w:val="00265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A75"/>
    <w:rPr>
      <w:i/>
      <w:iCs/>
      <w:color w:val="0F4761" w:themeColor="accent1" w:themeShade="BF"/>
    </w:rPr>
  </w:style>
  <w:style w:type="character" w:styleId="IntenseReference">
    <w:name w:val="Intense Reference"/>
    <w:basedOn w:val="DefaultParagraphFont"/>
    <w:uiPriority w:val="32"/>
    <w:qFormat/>
    <w:rsid w:val="00265A75"/>
    <w:rPr>
      <w:b/>
      <w:bCs/>
      <w:smallCaps/>
      <w:color w:val="0F4761" w:themeColor="accent1" w:themeShade="BF"/>
      <w:spacing w:val="5"/>
    </w:rPr>
  </w:style>
  <w:style w:type="character" w:styleId="Hyperlink">
    <w:name w:val="Hyperlink"/>
    <w:basedOn w:val="DefaultParagraphFont"/>
    <w:uiPriority w:val="99"/>
    <w:unhideWhenUsed/>
    <w:rsid w:val="00265A75"/>
    <w:rPr>
      <w:color w:val="467886" w:themeColor="hyperlink"/>
      <w:u w:val="single"/>
    </w:rPr>
  </w:style>
  <w:style w:type="character" w:customStyle="1" w:styleId="UnresolvedMention1">
    <w:name w:val="Unresolved Mention1"/>
    <w:basedOn w:val="DefaultParagraphFont"/>
    <w:uiPriority w:val="99"/>
    <w:semiHidden/>
    <w:unhideWhenUsed/>
    <w:rsid w:val="00265A75"/>
    <w:rPr>
      <w:color w:val="605E5C"/>
      <w:shd w:val="clear" w:color="auto" w:fill="E1DFDD"/>
    </w:rPr>
  </w:style>
  <w:style w:type="character" w:styleId="Strong">
    <w:name w:val="Strong"/>
    <w:basedOn w:val="DefaultParagraphFont"/>
    <w:uiPriority w:val="22"/>
    <w:qFormat/>
    <w:rsid w:val="001A097D"/>
    <w:rPr>
      <w:b/>
      <w:bCs/>
    </w:rPr>
  </w:style>
  <w:style w:type="paragraph" w:styleId="NormalWeb">
    <w:name w:val="Normal (Web)"/>
    <w:basedOn w:val="Normal"/>
    <w:uiPriority w:val="99"/>
    <w:semiHidden/>
    <w:unhideWhenUsed/>
    <w:rsid w:val="001A097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9C6326"/>
    <w:pPr>
      <w:spacing w:after="200" w:line="240" w:lineRule="auto"/>
    </w:pPr>
    <w:rPr>
      <w:i/>
      <w:iCs/>
      <w:color w:val="0E2841" w:themeColor="text2"/>
      <w:sz w:val="18"/>
      <w:szCs w:val="18"/>
    </w:rPr>
  </w:style>
  <w:style w:type="character" w:styleId="Emphasis">
    <w:name w:val="Emphasis"/>
    <w:basedOn w:val="DefaultParagraphFont"/>
    <w:uiPriority w:val="20"/>
    <w:qFormat/>
    <w:rsid w:val="00A54E91"/>
    <w:rPr>
      <w:i/>
      <w:iCs/>
    </w:rPr>
  </w:style>
  <w:style w:type="table" w:styleId="TableGrid">
    <w:name w:val="Table Grid"/>
    <w:basedOn w:val="TableNormal"/>
    <w:uiPriority w:val="39"/>
    <w:rsid w:val="00B374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8155AC"/>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8155AC"/>
    <w:pPr>
      <w:spacing w:after="240" w:line="240" w:lineRule="exact"/>
      <w:jc w:val="right"/>
    </w:pPr>
    <w:rPr>
      <w:rFonts w:ascii="Helvetica" w:eastAsia="Times New Roman" w:hAnsi="Helvetica" w:cs="Times New Roman"/>
      <w:kern w:val="0"/>
      <w:sz w:val="20"/>
      <w:szCs w:val="20"/>
      <w14:ligatures w14:val="none"/>
    </w:rPr>
  </w:style>
  <w:style w:type="character" w:styleId="UnresolvedMention">
    <w:name w:val="Unresolved Mention"/>
    <w:basedOn w:val="DefaultParagraphFont"/>
    <w:uiPriority w:val="99"/>
    <w:semiHidden/>
    <w:unhideWhenUsed/>
    <w:rsid w:val="00B93F32"/>
    <w:rPr>
      <w:color w:val="605E5C"/>
      <w:shd w:val="clear" w:color="auto" w:fill="E1DFDD"/>
    </w:rPr>
  </w:style>
  <w:style w:type="paragraph" w:styleId="Header">
    <w:name w:val="header"/>
    <w:basedOn w:val="Normal"/>
    <w:link w:val="HeaderChar"/>
    <w:uiPriority w:val="99"/>
    <w:unhideWhenUsed/>
    <w:rsid w:val="00521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714"/>
  </w:style>
  <w:style w:type="paragraph" w:styleId="Footer">
    <w:name w:val="footer"/>
    <w:basedOn w:val="Normal"/>
    <w:link w:val="FooterChar"/>
    <w:uiPriority w:val="99"/>
    <w:unhideWhenUsed/>
    <w:rsid w:val="00521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29079">
      <w:bodyDiv w:val="1"/>
      <w:marLeft w:val="0"/>
      <w:marRight w:val="0"/>
      <w:marTop w:val="0"/>
      <w:marBottom w:val="0"/>
      <w:divBdr>
        <w:top w:val="none" w:sz="0" w:space="0" w:color="auto"/>
        <w:left w:val="none" w:sz="0" w:space="0" w:color="auto"/>
        <w:bottom w:val="none" w:sz="0" w:space="0" w:color="auto"/>
        <w:right w:val="none" w:sz="0" w:space="0" w:color="auto"/>
      </w:divBdr>
    </w:div>
    <w:div w:id="460347668">
      <w:bodyDiv w:val="1"/>
      <w:marLeft w:val="0"/>
      <w:marRight w:val="0"/>
      <w:marTop w:val="0"/>
      <w:marBottom w:val="0"/>
      <w:divBdr>
        <w:top w:val="none" w:sz="0" w:space="0" w:color="auto"/>
        <w:left w:val="none" w:sz="0" w:space="0" w:color="auto"/>
        <w:bottom w:val="none" w:sz="0" w:space="0" w:color="auto"/>
        <w:right w:val="none" w:sz="0" w:space="0" w:color="auto"/>
      </w:divBdr>
      <w:divsChild>
        <w:div w:id="26764225">
          <w:marLeft w:val="0"/>
          <w:marRight w:val="0"/>
          <w:marTop w:val="0"/>
          <w:marBottom w:val="0"/>
          <w:divBdr>
            <w:top w:val="none" w:sz="0" w:space="0" w:color="auto"/>
            <w:left w:val="none" w:sz="0" w:space="0" w:color="auto"/>
            <w:bottom w:val="none" w:sz="0" w:space="0" w:color="auto"/>
            <w:right w:val="none" w:sz="0" w:space="0" w:color="auto"/>
          </w:divBdr>
          <w:divsChild>
            <w:div w:id="1485394326">
              <w:marLeft w:val="0"/>
              <w:marRight w:val="0"/>
              <w:marTop w:val="0"/>
              <w:marBottom w:val="0"/>
              <w:divBdr>
                <w:top w:val="none" w:sz="0" w:space="0" w:color="auto"/>
                <w:left w:val="none" w:sz="0" w:space="0" w:color="auto"/>
                <w:bottom w:val="none" w:sz="0" w:space="0" w:color="auto"/>
                <w:right w:val="none" w:sz="0" w:space="0" w:color="auto"/>
              </w:divBdr>
              <w:divsChild>
                <w:div w:id="1088040125">
                  <w:marLeft w:val="0"/>
                  <w:marRight w:val="0"/>
                  <w:marTop w:val="0"/>
                  <w:marBottom w:val="0"/>
                  <w:divBdr>
                    <w:top w:val="none" w:sz="0" w:space="0" w:color="auto"/>
                    <w:left w:val="none" w:sz="0" w:space="0" w:color="auto"/>
                    <w:bottom w:val="none" w:sz="0" w:space="0" w:color="auto"/>
                    <w:right w:val="none" w:sz="0" w:space="0" w:color="auto"/>
                  </w:divBdr>
                  <w:divsChild>
                    <w:div w:id="372196305">
                      <w:marLeft w:val="0"/>
                      <w:marRight w:val="0"/>
                      <w:marTop w:val="0"/>
                      <w:marBottom w:val="0"/>
                      <w:divBdr>
                        <w:top w:val="none" w:sz="0" w:space="0" w:color="auto"/>
                        <w:left w:val="none" w:sz="0" w:space="0" w:color="auto"/>
                        <w:bottom w:val="none" w:sz="0" w:space="0" w:color="auto"/>
                        <w:right w:val="none" w:sz="0" w:space="0" w:color="auto"/>
                      </w:divBdr>
                      <w:divsChild>
                        <w:div w:id="1582136656">
                          <w:marLeft w:val="0"/>
                          <w:marRight w:val="0"/>
                          <w:marTop w:val="0"/>
                          <w:marBottom w:val="0"/>
                          <w:divBdr>
                            <w:top w:val="none" w:sz="0" w:space="0" w:color="auto"/>
                            <w:left w:val="none" w:sz="0" w:space="0" w:color="auto"/>
                            <w:bottom w:val="none" w:sz="0" w:space="0" w:color="auto"/>
                            <w:right w:val="none" w:sz="0" w:space="0" w:color="auto"/>
                          </w:divBdr>
                          <w:divsChild>
                            <w:div w:id="2068455292">
                              <w:marLeft w:val="0"/>
                              <w:marRight w:val="0"/>
                              <w:marTop w:val="0"/>
                              <w:marBottom w:val="0"/>
                              <w:divBdr>
                                <w:top w:val="none" w:sz="0" w:space="0" w:color="auto"/>
                                <w:left w:val="none" w:sz="0" w:space="0" w:color="auto"/>
                                <w:bottom w:val="none" w:sz="0" w:space="0" w:color="auto"/>
                                <w:right w:val="none" w:sz="0" w:space="0" w:color="auto"/>
                              </w:divBdr>
                              <w:divsChild>
                                <w:div w:id="12551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2252">
      <w:bodyDiv w:val="1"/>
      <w:marLeft w:val="0"/>
      <w:marRight w:val="0"/>
      <w:marTop w:val="0"/>
      <w:marBottom w:val="0"/>
      <w:divBdr>
        <w:top w:val="none" w:sz="0" w:space="0" w:color="auto"/>
        <w:left w:val="none" w:sz="0" w:space="0" w:color="auto"/>
        <w:bottom w:val="none" w:sz="0" w:space="0" w:color="auto"/>
        <w:right w:val="none" w:sz="0" w:space="0" w:color="auto"/>
      </w:divBdr>
      <w:divsChild>
        <w:div w:id="510070028">
          <w:marLeft w:val="0"/>
          <w:marRight w:val="0"/>
          <w:marTop w:val="0"/>
          <w:marBottom w:val="0"/>
          <w:divBdr>
            <w:top w:val="none" w:sz="0" w:space="0" w:color="auto"/>
            <w:left w:val="none" w:sz="0" w:space="0" w:color="auto"/>
            <w:bottom w:val="none" w:sz="0" w:space="0" w:color="auto"/>
            <w:right w:val="none" w:sz="0" w:space="0" w:color="auto"/>
          </w:divBdr>
          <w:divsChild>
            <w:div w:id="127359553">
              <w:marLeft w:val="0"/>
              <w:marRight w:val="0"/>
              <w:marTop w:val="0"/>
              <w:marBottom w:val="0"/>
              <w:divBdr>
                <w:top w:val="none" w:sz="0" w:space="0" w:color="auto"/>
                <w:left w:val="none" w:sz="0" w:space="0" w:color="auto"/>
                <w:bottom w:val="none" w:sz="0" w:space="0" w:color="auto"/>
                <w:right w:val="none" w:sz="0" w:space="0" w:color="auto"/>
              </w:divBdr>
              <w:divsChild>
                <w:div w:id="800265194">
                  <w:marLeft w:val="0"/>
                  <w:marRight w:val="0"/>
                  <w:marTop w:val="0"/>
                  <w:marBottom w:val="0"/>
                  <w:divBdr>
                    <w:top w:val="none" w:sz="0" w:space="0" w:color="auto"/>
                    <w:left w:val="none" w:sz="0" w:space="0" w:color="auto"/>
                    <w:bottom w:val="none" w:sz="0" w:space="0" w:color="auto"/>
                    <w:right w:val="none" w:sz="0" w:space="0" w:color="auto"/>
                  </w:divBdr>
                  <w:divsChild>
                    <w:div w:id="679351819">
                      <w:marLeft w:val="0"/>
                      <w:marRight w:val="0"/>
                      <w:marTop w:val="0"/>
                      <w:marBottom w:val="0"/>
                      <w:divBdr>
                        <w:top w:val="none" w:sz="0" w:space="0" w:color="auto"/>
                        <w:left w:val="none" w:sz="0" w:space="0" w:color="auto"/>
                        <w:bottom w:val="none" w:sz="0" w:space="0" w:color="auto"/>
                        <w:right w:val="none" w:sz="0" w:space="0" w:color="auto"/>
                      </w:divBdr>
                      <w:divsChild>
                        <w:div w:id="98260992">
                          <w:marLeft w:val="0"/>
                          <w:marRight w:val="0"/>
                          <w:marTop w:val="0"/>
                          <w:marBottom w:val="0"/>
                          <w:divBdr>
                            <w:top w:val="none" w:sz="0" w:space="0" w:color="auto"/>
                            <w:left w:val="none" w:sz="0" w:space="0" w:color="auto"/>
                            <w:bottom w:val="none" w:sz="0" w:space="0" w:color="auto"/>
                            <w:right w:val="none" w:sz="0" w:space="0" w:color="auto"/>
                          </w:divBdr>
                          <w:divsChild>
                            <w:div w:id="1201017864">
                              <w:marLeft w:val="0"/>
                              <w:marRight w:val="0"/>
                              <w:marTop w:val="0"/>
                              <w:marBottom w:val="0"/>
                              <w:divBdr>
                                <w:top w:val="none" w:sz="0" w:space="0" w:color="auto"/>
                                <w:left w:val="none" w:sz="0" w:space="0" w:color="auto"/>
                                <w:bottom w:val="none" w:sz="0" w:space="0" w:color="auto"/>
                                <w:right w:val="none" w:sz="0" w:space="0" w:color="auto"/>
                              </w:divBdr>
                              <w:divsChild>
                                <w:div w:id="9430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113286">
      <w:bodyDiv w:val="1"/>
      <w:marLeft w:val="0"/>
      <w:marRight w:val="0"/>
      <w:marTop w:val="0"/>
      <w:marBottom w:val="0"/>
      <w:divBdr>
        <w:top w:val="none" w:sz="0" w:space="0" w:color="auto"/>
        <w:left w:val="none" w:sz="0" w:space="0" w:color="auto"/>
        <w:bottom w:val="none" w:sz="0" w:space="0" w:color="auto"/>
        <w:right w:val="none" w:sz="0" w:space="0" w:color="auto"/>
      </w:divBdr>
    </w:div>
    <w:div w:id="493499031">
      <w:bodyDiv w:val="1"/>
      <w:marLeft w:val="0"/>
      <w:marRight w:val="0"/>
      <w:marTop w:val="0"/>
      <w:marBottom w:val="0"/>
      <w:divBdr>
        <w:top w:val="none" w:sz="0" w:space="0" w:color="auto"/>
        <w:left w:val="none" w:sz="0" w:space="0" w:color="auto"/>
        <w:bottom w:val="none" w:sz="0" w:space="0" w:color="auto"/>
        <w:right w:val="none" w:sz="0" w:space="0" w:color="auto"/>
      </w:divBdr>
    </w:div>
    <w:div w:id="588586049">
      <w:bodyDiv w:val="1"/>
      <w:marLeft w:val="0"/>
      <w:marRight w:val="0"/>
      <w:marTop w:val="0"/>
      <w:marBottom w:val="0"/>
      <w:divBdr>
        <w:top w:val="none" w:sz="0" w:space="0" w:color="auto"/>
        <w:left w:val="none" w:sz="0" w:space="0" w:color="auto"/>
        <w:bottom w:val="none" w:sz="0" w:space="0" w:color="auto"/>
        <w:right w:val="none" w:sz="0" w:space="0" w:color="auto"/>
      </w:divBdr>
    </w:div>
    <w:div w:id="727142634">
      <w:bodyDiv w:val="1"/>
      <w:marLeft w:val="0"/>
      <w:marRight w:val="0"/>
      <w:marTop w:val="0"/>
      <w:marBottom w:val="0"/>
      <w:divBdr>
        <w:top w:val="none" w:sz="0" w:space="0" w:color="auto"/>
        <w:left w:val="none" w:sz="0" w:space="0" w:color="auto"/>
        <w:bottom w:val="none" w:sz="0" w:space="0" w:color="auto"/>
        <w:right w:val="none" w:sz="0" w:space="0" w:color="auto"/>
      </w:divBdr>
    </w:div>
    <w:div w:id="794520199">
      <w:bodyDiv w:val="1"/>
      <w:marLeft w:val="0"/>
      <w:marRight w:val="0"/>
      <w:marTop w:val="0"/>
      <w:marBottom w:val="0"/>
      <w:divBdr>
        <w:top w:val="none" w:sz="0" w:space="0" w:color="auto"/>
        <w:left w:val="none" w:sz="0" w:space="0" w:color="auto"/>
        <w:bottom w:val="none" w:sz="0" w:space="0" w:color="auto"/>
        <w:right w:val="none" w:sz="0" w:space="0" w:color="auto"/>
      </w:divBdr>
      <w:divsChild>
        <w:div w:id="642347728">
          <w:marLeft w:val="0"/>
          <w:marRight w:val="0"/>
          <w:marTop w:val="0"/>
          <w:marBottom w:val="0"/>
          <w:divBdr>
            <w:top w:val="none" w:sz="0" w:space="0" w:color="auto"/>
            <w:left w:val="none" w:sz="0" w:space="0" w:color="auto"/>
            <w:bottom w:val="none" w:sz="0" w:space="0" w:color="auto"/>
            <w:right w:val="none" w:sz="0" w:space="0" w:color="auto"/>
          </w:divBdr>
          <w:divsChild>
            <w:div w:id="97533814">
              <w:marLeft w:val="0"/>
              <w:marRight w:val="0"/>
              <w:marTop w:val="0"/>
              <w:marBottom w:val="0"/>
              <w:divBdr>
                <w:top w:val="none" w:sz="0" w:space="0" w:color="auto"/>
                <w:left w:val="none" w:sz="0" w:space="0" w:color="auto"/>
                <w:bottom w:val="none" w:sz="0" w:space="0" w:color="auto"/>
                <w:right w:val="none" w:sz="0" w:space="0" w:color="auto"/>
              </w:divBdr>
              <w:divsChild>
                <w:div w:id="418913656">
                  <w:marLeft w:val="0"/>
                  <w:marRight w:val="0"/>
                  <w:marTop w:val="0"/>
                  <w:marBottom w:val="0"/>
                  <w:divBdr>
                    <w:top w:val="none" w:sz="0" w:space="0" w:color="auto"/>
                    <w:left w:val="none" w:sz="0" w:space="0" w:color="auto"/>
                    <w:bottom w:val="none" w:sz="0" w:space="0" w:color="auto"/>
                    <w:right w:val="none" w:sz="0" w:space="0" w:color="auto"/>
                  </w:divBdr>
                  <w:divsChild>
                    <w:div w:id="1353653534">
                      <w:marLeft w:val="0"/>
                      <w:marRight w:val="0"/>
                      <w:marTop w:val="0"/>
                      <w:marBottom w:val="0"/>
                      <w:divBdr>
                        <w:top w:val="none" w:sz="0" w:space="0" w:color="auto"/>
                        <w:left w:val="none" w:sz="0" w:space="0" w:color="auto"/>
                        <w:bottom w:val="none" w:sz="0" w:space="0" w:color="auto"/>
                        <w:right w:val="none" w:sz="0" w:space="0" w:color="auto"/>
                      </w:divBdr>
                      <w:divsChild>
                        <w:div w:id="1277297680">
                          <w:marLeft w:val="0"/>
                          <w:marRight w:val="0"/>
                          <w:marTop w:val="0"/>
                          <w:marBottom w:val="0"/>
                          <w:divBdr>
                            <w:top w:val="none" w:sz="0" w:space="0" w:color="auto"/>
                            <w:left w:val="none" w:sz="0" w:space="0" w:color="auto"/>
                            <w:bottom w:val="none" w:sz="0" w:space="0" w:color="auto"/>
                            <w:right w:val="none" w:sz="0" w:space="0" w:color="auto"/>
                          </w:divBdr>
                          <w:divsChild>
                            <w:div w:id="2025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594849">
      <w:bodyDiv w:val="1"/>
      <w:marLeft w:val="0"/>
      <w:marRight w:val="0"/>
      <w:marTop w:val="0"/>
      <w:marBottom w:val="0"/>
      <w:divBdr>
        <w:top w:val="none" w:sz="0" w:space="0" w:color="auto"/>
        <w:left w:val="none" w:sz="0" w:space="0" w:color="auto"/>
        <w:bottom w:val="none" w:sz="0" w:space="0" w:color="auto"/>
        <w:right w:val="none" w:sz="0" w:space="0" w:color="auto"/>
      </w:divBdr>
    </w:div>
    <w:div w:id="1041707543">
      <w:bodyDiv w:val="1"/>
      <w:marLeft w:val="0"/>
      <w:marRight w:val="0"/>
      <w:marTop w:val="0"/>
      <w:marBottom w:val="0"/>
      <w:divBdr>
        <w:top w:val="none" w:sz="0" w:space="0" w:color="auto"/>
        <w:left w:val="none" w:sz="0" w:space="0" w:color="auto"/>
        <w:bottom w:val="none" w:sz="0" w:space="0" w:color="auto"/>
        <w:right w:val="none" w:sz="0" w:space="0" w:color="auto"/>
      </w:divBdr>
      <w:divsChild>
        <w:div w:id="30158963">
          <w:marLeft w:val="0"/>
          <w:marRight w:val="0"/>
          <w:marTop w:val="0"/>
          <w:marBottom w:val="0"/>
          <w:divBdr>
            <w:top w:val="none" w:sz="0" w:space="0" w:color="auto"/>
            <w:left w:val="none" w:sz="0" w:space="0" w:color="auto"/>
            <w:bottom w:val="none" w:sz="0" w:space="0" w:color="auto"/>
            <w:right w:val="none" w:sz="0" w:space="0" w:color="auto"/>
          </w:divBdr>
          <w:divsChild>
            <w:div w:id="595750262">
              <w:marLeft w:val="0"/>
              <w:marRight w:val="0"/>
              <w:marTop w:val="0"/>
              <w:marBottom w:val="0"/>
              <w:divBdr>
                <w:top w:val="none" w:sz="0" w:space="0" w:color="auto"/>
                <w:left w:val="none" w:sz="0" w:space="0" w:color="auto"/>
                <w:bottom w:val="none" w:sz="0" w:space="0" w:color="auto"/>
                <w:right w:val="none" w:sz="0" w:space="0" w:color="auto"/>
              </w:divBdr>
              <w:divsChild>
                <w:div w:id="1359038623">
                  <w:marLeft w:val="0"/>
                  <w:marRight w:val="0"/>
                  <w:marTop w:val="0"/>
                  <w:marBottom w:val="0"/>
                  <w:divBdr>
                    <w:top w:val="none" w:sz="0" w:space="0" w:color="auto"/>
                    <w:left w:val="none" w:sz="0" w:space="0" w:color="auto"/>
                    <w:bottom w:val="none" w:sz="0" w:space="0" w:color="auto"/>
                    <w:right w:val="none" w:sz="0" w:space="0" w:color="auto"/>
                  </w:divBdr>
                  <w:divsChild>
                    <w:div w:id="518813236">
                      <w:marLeft w:val="0"/>
                      <w:marRight w:val="0"/>
                      <w:marTop w:val="0"/>
                      <w:marBottom w:val="0"/>
                      <w:divBdr>
                        <w:top w:val="none" w:sz="0" w:space="0" w:color="auto"/>
                        <w:left w:val="none" w:sz="0" w:space="0" w:color="auto"/>
                        <w:bottom w:val="none" w:sz="0" w:space="0" w:color="auto"/>
                        <w:right w:val="none" w:sz="0" w:space="0" w:color="auto"/>
                      </w:divBdr>
                      <w:divsChild>
                        <w:div w:id="1952083389">
                          <w:marLeft w:val="0"/>
                          <w:marRight w:val="0"/>
                          <w:marTop w:val="0"/>
                          <w:marBottom w:val="0"/>
                          <w:divBdr>
                            <w:top w:val="none" w:sz="0" w:space="0" w:color="auto"/>
                            <w:left w:val="none" w:sz="0" w:space="0" w:color="auto"/>
                            <w:bottom w:val="none" w:sz="0" w:space="0" w:color="auto"/>
                            <w:right w:val="none" w:sz="0" w:space="0" w:color="auto"/>
                          </w:divBdr>
                          <w:divsChild>
                            <w:div w:id="3690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199473">
      <w:bodyDiv w:val="1"/>
      <w:marLeft w:val="0"/>
      <w:marRight w:val="0"/>
      <w:marTop w:val="0"/>
      <w:marBottom w:val="0"/>
      <w:divBdr>
        <w:top w:val="none" w:sz="0" w:space="0" w:color="auto"/>
        <w:left w:val="none" w:sz="0" w:space="0" w:color="auto"/>
        <w:bottom w:val="none" w:sz="0" w:space="0" w:color="auto"/>
        <w:right w:val="none" w:sz="0" w:space="0" w:color="auto"/>
      </w:divBdr>
    </w:div>
    <w:div w:id="1356730140">
      <w:bodyDiv w:val="1"/>
      <w:marLeft w:val="0"/>
      <w:marRight w:val="0"/>
      <w:marTop w:val="0"/>
      <w:marBottom w:val="0"/>
      <w:divBdr>
        <w:top w:val="none" w:sz="0" w:space="0" w:color="auto"/>
        <w:left w:val="none" w:sz="0" w:space="0" w:color="auto"/>
        <w:bottom w:val="none" w:sz="0" w:space="0" w:color="auto"/>
        <w:right w:val="none" w:sz="0" w:space="0" w:color="auto"/>
      </w:divBdr>
    </w:div>
    <w:div w:id="1475491219">
      <w:bodyDiv w:val="1"/>
      <w:marLeft w:val="0"/>
      <w:marRight w:val="0"/>
      <w:marTop w:val="0"/>
      <w:marBottom w:val="0"/>
      <w:divBdr>
        <w:top w:val="none" w:sz="0" w:space="0" w:color="auto"/>
        <w:left w:val="none" w:sz="0" w:space="0" w:color="auto"/>
        <w:bottom w:val="none" w:sz="0" w:space="0" w:color="auto"/>
        <w:right w:val="none" w:sz="0" w:space="0" w:color="auto"/>
      </w:divBdr>
    </w:div>
    <w:div w:id="1553691397">
      <w:bodyDiv w:val="1"/>
      <w:marLeft w:val="0"/>
      <w:marRight w:val="0"/>
      <w:marTop w:val="0"/>
      <w:marBottom w:val="0"/>
      <w:divBdr>
        <w:top w:val="none" w:sz="0" w:space="0" w:color="auto"/>
        <w:left w:val="none" w:sz="0" w:space="0" w:color="auto"/>
        <w:bottom w:val="none" w:sz="0" w:space="0" w:color="auto"/>
        <w:right w:val="none" w:sz="0" w:space="0" w:color="auto"/>
      </w:divBdr>
    </w:div>
    <w:div w:id="1715881971">
      <w:bodyDiv w:val="1"/>
      <w:marLeft w:val="0"/>
      <w:marRight w:val="0"/>
      <w:marTop w:val="0"/>
      <w:marBottom w:val="0"/>
      <w:divBdr>
        <w:top w:val="none" w:sz="0" w:space="0" w:color="auto"/>
        <w:left w:val="none" w:sz="0" w:space="0" w:color="auto"/>
        <w:bottom w:val="none" w:sz="0" w:space="0" w:color="auto"/>
        <w:right w:val="none" w:sz="0" w:space="0" w:color="auto"/>
      </w:divBdr>
      <w:divsChild>
        <w:div w:id="237715797">
          <w:marLeft w:val="0"/>
          <w:marRight w:val="0"/>
          <w:marTop w:val="0"/>
          <w:marBottom w:val="0"/>
          <w:divBdr>
            <w:top w:val="none" w:sz="0" w:space="0" w:color="auto"/>
            <w:left w:val="none" w:sz="0" w:space="0" w:color="auto"/>
            <w:bottom w:val="none" w:sz="0" w:space="0" w:color="auto"/>
            <w:right w:val="none" w:sz="0" w:space="0" w:color="auto"/>
          </w:divBdr>
          <w:divsChild>
            <w:div w:id="20590619">
              <w:marLeft w:val="0"/>
              <w:marRight w:val="0"/>
              <w:marTop w:val="0"/>
              <w:marBottom w:val="0"/>
              <w:divBdr>
                <w:top w:val="none" w:sz="0" w:space="0" w:color="auto"/>
                <w:left w:val="none" w:sz="0" w:space="0" w:color="auto"/>
                <w:bottom w:val="none" w:sz="0" w:space="0" w:color="auto"/>
                <w:right w:val="none" w:sz="0" w:space="0" w:color="auto"/>
              </w:divBdr>
              <w:divsChild>
                <w:div w:id="590041367">
                  <w:marLeft w:val="0"/>
                  <w:marRight w:val="0"/>
                  <w:marTop w:val="0"/>
                  <w:marBottom w:val="0"/>
                  <w:divBdr>
                    <w:top w:val="none" w:sz="0" w:space="0" w:color="auto"/>
                    <w:left w:val="none" w:sz="0" w:space="0" w:color="auto"/>
                    <w:bottom w:val="none" w:sz="0" w:space="0" w:color="auto"/>
                    <w:right w:val="none" w:sz="0" w:space="0" w:color="auto"/>
                  </w:divBdr>
                  <w:divsChild>
                    <w:div w:id="810025148">
                      <w:marLeft w:val="0"/>
                      <w:marRight w:val="0"/>
                      <w:marTop w:val="0"/>
                      <w:marBottom w:val="0"/>
                      <w:divBdr>
                        <w:top w:val="none" w:sz="0" w:space="0" w:color="auto"/>
                        <w:left w:val="none" w:sz="0" w:space="0" w:color="auto"/>
                        <w:bottom w:val="none" w:sz="0" w:space="0" w:color="auto"/>
                        <w:right w:val="none" w:sz="0" w:space="0" w:color="auto"/>
                      </w:divBdr>
                      <w:divsChild>
                        <w:div w:id="362437166">
                          <w:marLeft w:val="0"/>
                          <w:marRight w:val="0"/>
                          <w:marTop w:val="0"/>
                          <w:marBottom w:val="0"/>
                          <w:divBdr>
                            <w:top w:val="none" w:sz="0" w:space="0" w:color="auto"/>
                            <w:left w:val="none" w:sz="0" w:space="0" w:color="auto"/>
                            <w:bottom w:val="none" w:sz="0" w:space="0" w:color="auto"/>
                            <w:right w:val="none" w:sz="0" w:space="0" w:color="auto"/>
                          </w:divBdr>
                          <w:divsChild>
                            <w:div w:id="12567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90164">
      <w:bodyDiv w:val="1"/>
      <w:marLeft w:val="0"/>
      <w:marRight w:val="0"/>
      <w:marTop w:val="0"/>
      <w:marBottom w:val="0"/>
      <w:divBdr>
        <w:top w:val="none" w:sz="0" w:space="0" w:color="auto"/>
        <w:left w:val="none" w:sz="0" w:space="0" w:color="auto"/>
        <w:bottom w:val="none" w:sz="0" w:space="0" w:color="auto"/>
        <w:right w:val="none" w:sz="0" w:space="0" w:color="auto"/>
      </w:divBdr>
    </w:div>
    <w:div w:id="20205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0031593?utm_source=chatgpt.com"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hyperlink" Target="https://pmc.ncbi.nlm.nih.gov/articles/PMC11502260/?utm_source=chatgpt.com" TargetMode="External"/><Relationship Id="rId14" Type="http://schemas.openxmlformats.org/officeDocument/2006/relationships/chart" Target="charts/chart5.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b43229cc981058f/Documents/ViiV/ViiV%20dash%20board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57aafcaccf557d51/&#904;&#947;&#947;&#961;&#945;&#966;&#945;/ViiV/ViiV%20dash%20board1.xlsx" TargetMode="External"/><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57aafcaccf557d51/&#904;&#947;&#947;&#961;&#945;&#966;&#945;/ViiV/ViiV%20dash%20board1.xlsx" TargetMode="External"/><Relationship Id="rId2" Type="http://schemas.microsoft.com/office/2011/relationships/chartColorStyle" Target="colors7.xml"/><Relationship Id="rId1" Type="http://schemas.microsoft.com/office/2011/relationships/chartStyle" Target="style7.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db43229cc981058f/Documents/ViiV/ViiV%20dash%20board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db43229cc981058f/Documents/ViiV/ViiV%20final%20data15-08-2024.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db43229cc981058f/Documents/ViiV/ViiV%20dash%20board1.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oleObject" Target="https://d.docs.live.net/db43229cc981058f/Documents/ViiV/ViiV%20dash%20board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d.docs.live.net/db43229cc981058f/Documents/ViiV/ViiV%20final%20data15-08-202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d.docs.live.net/db43229cc981058f/Documents/ViiV/ViiV%20dash%20board1.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db43229cc981058f/Documents/ViiV/ViiV%20dash%20board1.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db43229cc981058f/Documents/ViiV/ViiV%20dash%20board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Sheet12!$C$18</c:f>
              <c:strCache>
                <c:ptCount val="1"/>
                <c:pt idx="0">
                  <c:v>Total tested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Sheet12!$B$19:$B$22</c:f>
              <c:strCache>
                <c:ptCount val="4"/>
                <c:pt idx="0">
                  <c:v>Karim Lamido</c:v>
                </c:pt>
                <c:pt idx="1">
                  <c:v>Sardauna</c:v>
                </c:pt>
                <c:pt idx="2">
                  <c:v>Ussa</c:v>
                </c:pt>
                <c:pt idx="3">
                  <c:v>Total</c:v>
                </c:pt>
              </c:strCache>
            </c:strRef>
          </c:cat>
          <c:val>
            <c:numRef>
              <c:f>Sheet12!$C$19:$C$22</c:f>
              <c:numCache>
                <c:formatCode>General</c:formatCode>
                <c:ptCount val="4"/>
                <c:pt idx="0">
                  <c:v>2457</c:v>
                </c:pt>
                <c:pt idx="1">
                  <c:v>3486</c:v>
                </c:pt>
                <c:pt idx="2">
                  <c:v>3047</c:v>
                </c:pt>
                <c:pt idx="3">
                  <c:v>8990</c:v>
                </c:pt>
              </c:numCache>
            </c:numRef>
          </c:val>
          <c:extLst>
            <c:ext xmlns:c16="http://schemas.microsoft.com/office/drawing/2014/chart" uri="{C3380CC4-5D6E-409C-BE32-E72D297353CC}">
              <c16:uniqueId val="{00000000-8C34-40E6-8001-0A2A9C6551E8}"/>
            </c:ext>
          </c:extLst>
        </c:ser>
        <c:dLbls>
          <c:showLegendKey val="0"/>
          <c:showVal val="1"/>
          <c:showCatName val="0"/>
          <c:showSerName val="0"/>
          <c:showPercent val="0"/>
          <c:showBubbleSize val="0"/>
        </c:dLbls>
        <c:gapWidth val="150"/>
        <c:overlap val="-25"/>
        <c:axId val="440560504"/>
        <c:axId val="440553840"/>
      </c:barChart>
      <c:catAx>
        <c:axId val="440560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40553840"/>
        <c:crosses val="autoZero"/>
        <c:auto val="1"/>
        <c:lblAlgn val="ctr"/>
        <c:lblOffset val="100"/>
        <c:noMultiLvlLbl val="0"/>
      </c:catAx>
      <c:valAx>
        <c:axId val="440553840"/>
        <c:scaling>
          <c:orientation val="minMax"/>
        </c:scaling>
        <c:delete val="1"/>
        <c:axPos val="l"/>
        <c:numFmt formatCode="General" sourceLinked="1"/>
        <c:majorTickMark val="none"/>
        <c:minorTickMark val="none"/>
        <c:tickLblPos val="nextTo"/>
        <c:crossAx val="440560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Retention Rate by Target Group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2194543297746143E-2"/>
          <c:y val="0.28552092930482603"/>
          <c:w val="0.9478054567022538"/>
          <c:h val="0.53577595623225027"/>
        </c:manualLayout>
      </c:layout>
      <c:barChart>
        <c:barDir val="col"/>
        <c:grouping val="clustered"/>
        <c:varyColors val="0"/>
        <c:ser>
          <c:idx val="0"/>
          <c:order val="0"/>
          <c:tx>
            <c:strRef>
              <c:f>Sheet12!$C$71</c:f>
              <c:strCache>
                <c:ptCount val="1"/>
                <c:pt idx="0">
                  <c:v>Total Linked to Care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Sheet12!$B$72:$B$76</c:f>
              <c:strCache>
                <c:ptCount val="5"/>
                <c:pt idx="0">
                  <c:v>Children</c:v>
                </c:pt>
                <c:pt idx="1">
                  <c:v>Caregivers</c:v>
                </c:pt>
                <c:pt idx="2">
                  <c:v>AYP</c:v>
                </c:pt>
                <c:pt idx="3">
                  <c:v>General population</c:v>
                </c:pt>
                <c:pt idx="4">
                  <c:v>Total</c:v>
                </c:pt>
              </c:strCache>
            </c:strRef>
          </c:cat>
          <c:val>
            <c:numRef>
              <c:f>Sheet12!$C$72:$C$76</c:f>
              <c:numCache>
                <c:formatCode>General</c:formatCode>
                <c:ptCount val="5"/>
                <c:pt idx="0">
                  <c:v>16</c:v>
                </c:pt>
                <c:pt idx="1">
                  <c:v>45</c:v>
                </c:pt>
                <c:pt idx="2">
                  <c:v>32</c:v>
                </c:pt>
                <c:pt idx="3">
                  <c:v>70</c:v>
                </c:pt>
                <c:pt idx="4">
                  <c:v>163</c:v>
                </c:pt>
              </c:numCache>
            </c:numRef>
          </c:val>
          <c:extLst>
            <c:ext xmlns:c16="http://schemas.microsoft.com/office/drawing/2014/chart" uri="{C3380CC4-5D6E-409C-BE32-E72D297353CC}">
              <c16:uniqueId val="{00000000-209E-4216-ABF5-6ED69227772E}"/>
            </c:ext>
          </c:extLst>
        </c:ser>
        <c:ser>
          <c:idx val="1"/>
          <c:order val="1"/>
          <c:tx>
            <c:strRef>
              <c:f>Sheet12!$D$71</c:f>
              <c:strCache>
                <c:ptCount val="1"/>
                <c:pt idx="0">
                  <c:v>curently in care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Sheet12!$B$72:$B$76</c:f>
              <c:strCache>
                <c:ptCount val="5"/>
                <c:pt idx="0">
                  <c:v>Children</c:v>
                </c:pt>
                <c:pt idx="1">
                  <c:v>Caregivers</c:v>
                </c:pt>
                <c:pt idx="2">
                  <c:v>AYP</c:v>
                </c:pt>
                <c:pt idx="3">
                  <c:v>General population</c:v>
                </c:pt>
                <c:pt idx="4">
                  <c:v>Total</c:v>
                </c:pt>
              </c:strCache>
            </c:strRef>
          </c:cat>
          <c:val>
            <c:numRef>
              <c:f>Sheet12!$D$72:$D$76</c:f>
              <c:numCache>
                <c:formatCode>General</c:formatCode>
                <c:ptCount val="5"/>
                <c:pt idx="0">
                  <c:v>14</c:v>
                </c:pt>
                <c:pt idx="1">
                  <c:v>42</c:v>
                </c:pt>
                <c:pt idx="2">
                  <c:v>32</c:v>
                </c:pt>
                <c:pt idx="3">
                  <c:v>55</c:v>
                </c:pt>
                <c:pt idx="4">
                  <c:v>143</c:v>
                </c:pt>
              </c:numCache>
            </c:numRef>
          </c:val>
          <c:extLst>
            <c:ext xmlns:c16="http://schemas.microsoft.com/office/drawing/2014/chart" uri="{C3380CC4-5D6E-409C-BE32-E72D297353CC}">
              <c16:uniqueId val="{00000001-209E-4216-ABF5-6ED69227772E}"/>
            </c:ext>
          </c:extLst>
        </c:ser>
        <c:dLbls>
          <c:showLegendKey val="0"/>
          <c:showVal val="1"/>
          <c:showCatName val="0"/>
          <c:showSerName val="0"/>
          <c:showPercent val="0"/>
          <c:showBubbleSize val="0"/>
        </c:dLbls>
        <c:gapWidth val="150"/>
        <c:overlap val="-25"/>
        <c:axId val="548842784"/>
        <c:axId val="548843176"/>
      </c:barChart>
      <c:lineChart>
        <c:grouping val="standard"/>
        <c:varyColors val="0"/>
        <c:ser>
          <c:idx val="2"/>
          <c:order val="2"/>
          <c:tx>
            <c:strRef>
              <c:f>Sheet12!$E$71</c:f>
              <c:strCache>
                <c:ptCount val="1"/>
                <c:pt idx="0">
                  <c:v>Retention rate</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Sheet12!$B$72:$B$76</c:f>
              <c:strCache>
                <c:ptCount val="5"/>
                <c:pt idx="0">
                  <c:v>Children</c:v>
                </c:pt>
                <c:pt idx="1">
                  <c:v>Caregivers</c:v>
                </c:pt>
                <c:pt idx="2">
                  <c:v>AYP</c:v>
                </c:pt>
                <c:pt idx="3">
                  <c:v>General population</c:v>
                </c:pt>
                <c:pt idx="4">
                  <c:v>Total</c:v>
                </c:pt>
              </c:strCache>
            </c:strRef>
          </c:cat>
          <c:val>
            <c:numRef>
              <c:f>Sheet12!$E$72:$E$76</c:f>
              <c:numCache>
                <c:formatCode>0%</c:formatCode>
                <c:ptCount val="5"/>
                <c:pt idx="0">
                  <c:v>8.5889570552147243E-2</c:v>
                </c:pt>
                <c:pt idx="1">
                  <c:v>0.25766871165644173</c:v>
                </c:pt>
                <c:pt idx="2">
                  <c:v>0.19631901840490798</c:v>
                </c:pt>
                <c:pt idx="3">
                  <c:v>0.33742331288343558</c:v>
                </c:pt>
                <c:pt idx="4">
                  <c:v>0.87730061349693256</c:v>
                </c:pt>
              </c:numCache>
            </c:numRef>
          </c:val>
          <c:smooth val="0"/>
          <c:extLst>
            <c:ext xmlns:c16="http://schemas.microsoft.com/office/drawing/2014/chart" uri="{C3380CC4-5D6E-409C-BE32-E72D297353CC}">
              <c16:uniqueId val="{00000002-209E-4216-ABF5-6ED69227772E}"/>
            </c:ext>
          </c:extLst>
        </c:ser>
        <c:dLbls>
          <c:showLegendKey val="0"/>
          <c:showVal val="1"/>
          <c:showCatName val="0"/>
          <c:showSerName val="0"/>
          <c:showPercent val="0"/>
          <c:showBubbleSize val="0"/>
        </c:dLbls>
        <c:marker val="1"/>
        <c:smooth val="0"/>
        <c:axId val="799092336"/>
        <c:axId val="301316040"/>
      </c:lineChart>
      <c:catAx>
        <c:axId val="54884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48843176"/>
        <c:crosses val="autoZero"/>
        <c:auto val="1"/>
        <c:lblAlgn val="ctr"/>
        <c:lblOffset val="100"/>
        <c:noMultiLvlLbl val="0"/>
      </c:catAx>
      <c:valAx>
        <c:axId val="548843176"/>
        <c:scaling>
          <c:orientation val="minMax"/>
        </c:scaling>
        <c:delete val="1"/>
        <c:axPos val="l"/>
        <c:numFmt formatCode="General" sourceLinked="1"/>
        <c:majorTickMark val="none"/>
        <c:minorTickMark val="none"/>
        <c:tickLblPos val="nextTo"/>
        <c:crossAx val="548842784"/>
        <c:crosses val="autoZero"/>
        <c:crossBetween val="between"/>
      </c:valAx>
      <c:valAx>
        <c:axId val="301316040"/>
        <c:scaling>
          <c:orientation val="minMax"/>
        </c:scaling>
        <c:delete val="1"/>
        <c:axPos val="r"/>
        <c:numFmt formatCode="0%" sourceLinked="1"/>
        <c:majorTickMark val="none"/>
        <c:minorTickMark val="none"/>
        <c:tickLblPos val="nextTo"/>
        <c:crossAx val="799092336"/>
        <c:crosses val="max"/>
        <c:crossBetween val="between"/>
      </c:valAx>
      <c:catAx>
        <c:axId val="799092336"/>
        <c:scaling>
          <c:orientation val="minMax"/>
        </c:scaling>
        <c:delete val="1"/>
        <c:axPos val="b"/>
        <c:numFmt formatCode="General" sourceLinked="1"/>
        <c:majorTickMark val="none"/>
        <c:minorTickMark val="none"/>
        <c:tickLblPos val="nextTo"/>
        <c:crossAx val="301316040"/>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Sheet12!$B$90</c:f>
              <c:strCache>
                <c:ptCount val="1"/>
                <c:pt idx="0">
                  <c:v>Number of clients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Sheet12!$C$89:$F$89</c:f>
              <c:strCache>
                <c:ptCount val="4"/>
                <c:pt idx="0">
                  <c:v>TX Cur</c:v>
                </c:pt>
                <c:pt idx="1">
                  <c:v>Valid viral laod result</c:v>
                </c:pt>
                <c:pt idx="2">
                  <c:v>virally suppressed</c:v>
                </c:pt>
                <c:pt idx="3">
                  <c:v>supression rate</c:v>
                </c:pt>
              </c:strCache>
            </c:strRef>
          </c:cat>
          <c:val>
            <c:numRef>
              <c:f>Sheet12!$C$90:$F$90</c:f>
              <c:numCache>
                <c:formatCode>General</c:formatCode>
                <c:ptCount val="4"/>
                <c:pt idx="0">
                  <c:v>143</c:v>
                </c:pt>
                <c:pt idx="1">
                  <c:v>91</c:v>
                </c:pt>
                <c:pt idx="2">
                  <c:v>88</c:v>
                </c:pt>
                <c:pt idx="3" formatCode="0%">
                  <c:v>0.96703296703296704</c:v>
                </c:pt>
              </c:numCache>
            </c:numRef>
          </c:val>
          <c:extLst>
            <c:ext xmlns:c16="http://schemas.microsoft.com/office/drawing/2014/chart" uri="{C3380CC4-5D6E-409C-BE32-E72D297353CC}">
              <c16:uniqueId val="{00000000-734E-4663-8A77-E627AF777B79}"/>
            </c:ext>
          </c:extLst>
        </c:ser>
        <c:dLbls>
          <c:showLegendKey val="0"/>
          <c:showVal val="1"/>
          <c:showCatName val="0"/>
          <c:showSerName val="0"/>
          <c:showPercent val="0"/>
          <c:showBubbleSize val="0"/>
        </c:dLbls>
        <c:gapWidth val="150"/>
        <c:overlap val="-25"/>
        <c:axId val="799090768"/>
        <c:axId val="799093120"/>
      </c:barChart>
      <c:catAx>
        <c:axId val="79909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99093120"/>
        <c:crosses val="autoZero"/>
        <c:auto val="1"/>
        <c:lblAlgn val="ctr"/>
        <c:lblOffset val="100"/>
        <c:noMultiLvlLbl val="0"/>
      </c:catAx>
      <c:valAx>
        <c:axId val="799093120"/>
        <c:scaling>
          <c:orientation val="minMax"/>
        </c:scaling>
        <c:delete val="1"/>
        <c:axPos val="l"/>
        <c:numFmt formatCode="General" sourceLinked="1"/>
        <c:majorTickMark val="none"/>
        <c:minorTickMark val="none"/>
        <c:tickLblPos val="nextTo"/>
        <c:crossAx val="799090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Sheet12!$I$19</c:f>
              <c:strCache>
                <c:ptCount val="1"/>
                <c:pt idx="0">
                  <c:v>Achievement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Sheet12!$H$20:$H$24</c:f>
              <c:strCache>
                <c:ptCount val="5"/>
                <c:pt idx="0">
                  <c:v>Children (0-14)</c:v>
                </c:pt>
                <c:pt idx="1">
                  <c:v>AYP (15-24)</c:v>
                </c:pt>
                <c:pt idx="2">
                  <c:v>Care givers</c:v>
                </c:pt>
                <c:pt idx="3">
                  <c:v>General Population</c:v>
                </c:pt>
                <c:pt idx="4">
                  <c:v>Total</c:v>
                </c:pt>
              </c:strCache>
            </c:strRef>
          </c:cat>
          <c:val>
            <c:numRef>
              <c:f>Sheet12!$I$20:$I$24</c:f>
              <c:numCache>
                <c:formatCode>General</c:formatCode>
                <c:ptCount val="5"/>
                <c:pt idx="0">
                  <c:v>2675</c:v>
                </c:pt>
                <c:pt idx="1">
                  <c:v>2591</c:v>
                </c:pt>
                <c:pt idx="2">
                  <c:v>1509</c:v>
                </c:pt>
                <c:pt idx="3">
                  <c:v>2215</c:v>
                </c:pt>
                <c:pt idx="4">
                  <c:v>8990</c:v>
                </c:pt>
              </c:numCache>
            </c:numRef>
          </c:val>
          <c:extLst>
            <c:ext xmlns:c16="http://schemas.microsoft.com/office/drawing/2014/chart" uri="{C3380CC4-5D6E-409C-BE32-E72D297353CC}">
              <c16:uniqueId val="{00000000-383A-4E49-9E42-6AB419DC21DC}"/>
            </c:ext>
          </c:extLst>
        </c:ser>
        <c:dLbls>
          <c:showLegendKey val="0"/>
          <c:showVal val="1"/>
          <c:showCatName val="0"/>
          <c:showSerName val="0"/>
          <c:showPercent val="0"/>
          <c:showBubbleSize val="0"/>
        </c:dLbls>
        <c:gapWidth val="150"/>
        <c:overlap val="-25"/>
        <c:axId val="440553056"/>
        <c:axId val="440557368"/>
      </c:barChart>
      <c:catAx>
        <c:axId val="44055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557368"/>
        <c:crosses val="autoZero"/>
        <c:auto val="1"/>
        <c:lblAlgn val="ctr"/>
        <c:lblOffset val="100"/>
        <c:noMultiLvlLbl val="0"/>
      </c:catAx>
      <c:valAx>
        <c:axId val="440557368"/>
        <c:scaling>
          <c:orientation val="minMax"/>
        </c:scaling>
        <c:delete val="1"/>
        <c:axPos val="l"/>
        <c:numFmt formatCode="General" sourceLinked="1"/>
        <c:majorTickMark val="none"/>
        <c:minorTickMark val="none"/>
        <c:tickLblPos val="nextTo"/>
        <c:crossAx val="440553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Sheet12!$L$19</c:f>
              <c:strCache>
                <c:ptCount val="1"/>
                <c:pt idx="0">
                  <c:v>Total Tested</c:v>
                </c:pt>
              </c:strCache>
            </c:strRef>
          </c:tx>
          <c:dLbls>
            <c:dLbl>
              <c:idx val="0"/>
              <c:spPr>
                <a:noFill/>
              </c:spPr>
              <c:txPr>
                <a:bodyPr/>
                <a:lstStyle/>
                <a:p>
                  <a:pPr>
                    <a:defRPr b="1">
                      <a:solidFill>
                        <a:schemeClr val="bg1"/>
                      </a:solidFill>
                    </a:defRPr>
                  </a:pPr>
                  <a:endParaRPr lang="en-US"/>
                </a:p>
              </c:txPr>
              <c:showLegendKey val="0"/>
              <c:showVal val="0"/>
              <c:showCatName val="1"/>
              <c:showSerName val="0"/>
              <c:showPercent val="1"/>
              <c:showBubbleSize val="0"/>
              <c:extLst>
                <c:ext xmlns:c16="http://schemas.microsoft.com/office/drawing/2014/chart" uri="{C3380CC4-5D6E-409C-BE32-E72D297353CC}">
                  <c16:uniqueId val="{00000000-F4C8-4934-92DB-3EE729E34F27}"/>
                </c:ext>
              </c:extLst>
            </c:dLbl>
            <c:dLbl>
              <c:idx val="1"/>
              <c:spPr>
                <a:noFill/>
              </c:spPr>
              <c:txPr>
                <a:bodyPr/>
                <a:lstStyle/>
                <a:p>
                  <a:pPr>
                    <a:defRPr b="1">
                      <a:solidFill>
                        <a:schemeClr val="bg1"/>
                      </a:solidFill>
                    </a:defRPr>
                  </a:pPr>
                  <a:endParaRPr lang="en-US"/>
                </a:p>
              </c:txPr>
              <c:showLegendKey val="0"/>
              <c:showVal val="0"/>
              <c:showCatName val="1"/>
              <c:showSerName val="0"/>
              <c:showPercent val="1"/>
              <c:showBubbleSize val="0"/>
              <c:extLst>
                <c:ext xmlns:c16="http://schemas.microsoft.com/office/drawing/2014/chart" uri="{C3380CC4-5D6E-409C-BE32-E72D297353CC}">
                  <c16:uniqueId val="{00000001-F4C8-4934-92DB-3EE729E34F27}"/>
                </c:ext>
              </c:extLst>
            </c:dLbl>
            <c:dLbl>
              <c:idx val="2"/>
              <c:spPr>
                <a:noFill/>
              </c:spPr>
              <c:txPr>
                <a:bodyPr/>
                <a:lstStyle/>
                <a:p>
                  <a:pPr>
                    <a:defRPr b="1">
                      <a:solidFill>
                        <a:schemeClr val="bg1"/>
                      </a:solidFill>
                    </a:defRPr>
                  </a:pPr>
                  <a:endParaRPr lang="en-US"/>
                </a:p>
              </c:txPr>
              <c:showLegendKey val="0"/>
              <c:showVal val="0"/>
              <c:showCatName val="1"/>
              <c:showSerName val="0"/>
              <c:showPercent val="1"/>
              <c:showBubbleSize val="0"/>
              <c:extLst>
                <c:ext xmlns:c16="http://schemas.microsoft.com/office/drawing/2014/chart" uri="{C3380CC4-5D6E-409C-BE32-E72D297353CC}">
                  <c16:uniqueId val="{00000002-F4C8-4934-92DB-3EE729E34F27}"/>
                </c:ext>
              </c:extLst>
            </c:dLbl>
            <c:spPr>
              <a:noFill/>
            </c:spPr>
            <c:showLegendKey val="0"/>
            <c:showVal val="0"/>
            <c:showCatName val="1"/>
            <c:showSerName val="0"/>
            <c:showPercent val="1"/>
            <c:showBubbleSize val="0"/>
            <c:showLeaderLines val="1"/>
            <c:extLst>
              <c:ext xmlns:c15="http://schemas.microsoft.com/office/drawing/2012/chart" uri="{CE6537A1-D6FC-4f65-9D91-7224C49458BB}"/>
            </c:extLst>
          </c:dLbls>
          <c:cat>
            <c:strRef>
              <c:f>Sheet12!$K$20:$K$22</c:f>
              <c:strCache>
                <c:ptCount val="3"/>
                <c:pt idx="0">
                  <c:v>Ussa</c:v>
                </c:pt>
                <c:pt idx="1">
                  <c:v>Sardauna</c:v>
                </c:pt>
                <c:pt idx="2">
                  <c:v>Karim Lamido</c:v>
                </c:pt>
              </c:strCache>
            </c:strRef>
          </c:cat>
          <c:val>
            <c:numRef>
              <c:f>Sheet12!$L$20:$L$22</c:f>
              <c:numCache>
                <c:formatCode>General</c:formatCode>
                <c:ptCount val="3"/>
                <c:pt idx="0">
                  <c:v>2047</c:v>
                </c:pt>
                <c:pt idx="1">
                  <c:v>3486</c:v>
                </c:pt>
                <c:pt idx="2">
                  <c:v>2457</c:v>
                </c:pt>
              </c:numCache>
            </c:numRef>
          </c:val>
          <c:extLst>
            <c:ext xmlns:c16="http://schemas.microsoft.com/office/drawing/2014/chart" uri="{C3380CC4-5D6E-409C-BE32-E72D297353CC}">
              <c16:uniqueId val="{00000003-9507-4EF1-84BE-ADD926CAD89E}"/>
            </c:ext>
          </c:extLst>
        </c:ser>
        <c:ser>
          <c:idx val="1"/>
          <c:order val="1"/>
          <c:tx>
            <c:strRef>
              <c:f>Sheet12!$M$19</c:f>
              <c:strCache>
                <c:ptCount val="1"/>
                <c:pt idx="0">
                  <c:v>Positives identified</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Sheet12!$K$20:$K$22</c:f>
              <c:strCache>
                <c:ptCount val="3"/>
                <c:pt idx="0">
                  <c:v>Ussa</c:v>
                </c:pt>
                <c:pt idx="1">
                  <c:v>Sardauna</c:v>
                </c:pt>
                <c:pt idx="2">
                  <c:v>Karim Lamido</c:v>
                </c:pt>
              </c:strCache>
            </c:strRef>
          </c:cat>
          <c:val>
            <c:numRef>
              <c:f>Sheet12!$M$20:$M$22</c:f>
              <c:numCache>
                <c:formatCode>General</c:formatCode>
                <c:ptCount val="3"/>
                <c:pt idx="0">
                  <c:v>29</c:v>
                </c:pt>
                <c:pt idx="1">
                  <c:v>70</c:v>
                </c:pt>
                <c:pt idx="2">
                  <c:v>134</c:v>
                </c:pt>
              </c:numCache>
            </c:numRef>
          </c:val>
          <c:extLst>
            <c:ext xmlns:c16="http://schemas.microsoft.com/office/drawing/2014/chart" uri="{C3380CC4-5D6E-409C-BE32-E72D297353CC}">
              <c16:uniqueId val="{00000004-9507-4EF1-84BE-ADD926CAD89E}"/>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Sheet12!$I$3</c:f>
              <c:strCache>
                <c:ptCount val="1"/>
                <c:pt idx="0">
                  <c:v>Positivity rate</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01F9-4B4A-9C41-CF357FA73F57}"/>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01F9-4B4A-9C41-CF357FA73F57}"/>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01F9-4B4A-9C41-CF357FA73F57}"/>
              </c:ext>
            </c:extLst>
          </c:dPt>
          <c:dLbls>
            <c:dLbl>
              <c:idx val="0"/>
              <c:tx>
                <c:rich>
                  <a:bodyPr/>
                  <a:lstStyle/>
                  <a:p>
                    <a:fld id="{4D3199F0-46D9-4B60-929E-2A9FED4AB139}" type="CATEGORYNAME">
                      <a:rPr lang="en-US"/>
                      <a:pPr/>
                      <a:t>[CATEGORY NAME]</a:t>
                    </a:fld>
                    <a:r>
                      <a:rPr lang="en-US" baseline="0"/>
                      <a:t>
1.5%</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1F9-4B4A-9C41-CF357FA73F57}"/>
                </c:ext>
              </c:extLst>
            </c:dLbl>
            <c:dLbl>
              <c:idx val="1"/>
              <c:tx>
                <c:rich>
                  <a:bodyPr/>
                  <a:lstStyle/>
                  <a:p>
                    <a:fld id="{372AF44B-43EC-4C1E-B689-3E6E1C2F08A1}" type="CATEGORYNAME">
                      <a:rPr lang="en-US"/>
                      <a:pPr/>
                      <a:t>[CATEGORY NAME]</a:t>
                    </a:fld>
                    <a:r>
                      <a:rPr lang="en-US" baseline="0"/>
                      <a:t>
0.8%</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1F9-4B4A-9C41-CF357FA73F57}"/>
                </c:ext>
              </c:extLst>
            </c:dLbl>
            <c:dLbl>
              <c:idx val="2"/>
              <c:tx>
                <c:rich>
                  <a:bodyPr/>
                  <a:lstStyle/>
                  <a:p>
                    <a:fld id="{2A536A3C-04AD-41F7-89D2-8E85F9AF759E}" type="CATEGORYNAME">
                      <a:rPr lang="en-US"/>
                      <a:pPr/>
                      <a:t>[CATEGORY NAME]</a:t>
                    </a:fld>
                    <a:r>
                      <a:rPr lang="en-US" baseline="0"/>
                      <a:t>
0.3</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1F9-4B4A-9C41-CF357FA73F5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Sheet12!$H$4:$H$6</c:f>
              <c:strCache>
                <c:ptCount val="3"/>
                <c:pt idx="0">
                  <c:v>Karim Lamido</c:v>
                </c:pt>
                <c:pt idx="1">
                  <c:v>Sardauna</c:v>
                </c:pt>
                <c:pt idx="2">
                  <c:v>Ussa</c:v>
                </c:pt>
              </c:strCache>
            </c:strRef>
          </c:cat>
          <c:val>
            <c:numRef>
              <c:f>Sheet12!$I$4:$I$6</c:f>
              <c:numCache>
                <c:formatCode>0.0%</c:formatCode>
                <c:ptCount val="3"/>
                <c:pt idx="0">
                  <c:v>1.4999999999999999E-2</c:v>
                </c:pt>
                <c:pt idx="1">
                  <c:v>8.0000000000000002E-3</c:v>
                </c:pt>
                <c:pt idx="2">
                  <c:v>3.0000000000000001E-3</c:v>
                </c:pt>
              </c:numCache>
            </c:numRef>
          </c:val>
          <c:extLst>
            <c:ext xmlns:c16="http://schemas.microsoft.com/office/drawing/2014/chart" uri="{C3380CC4-5D6E-409C-BE32-E72D297353CC}">
              <c16:uniqueId val="{00000006-01F9-4B4A-9C41-CF357FA73F57}"/>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Total tested</a:t>
            </a:r>
            <a:r>
              <a:rPr lang="en-US" baseline="0"/>
              <a:t> by target groups</a:t>
            </a:r>
            <a:endParaRPr lang="en-US"/>
          </a:p>
        </c:rich>
      </c:tx>
      <c:overlay val="0"/>
    </c:title>
    <c:autoTitleDeleted val="0"/>
    <c:plotArea>
      <c:layout/>
      <c:barChart>
        <c:barDir val="col"/>
        <c:grouping val="percentStacked"/>
        <c:varyColors val="0"/>
        <c:ser>
          <c:idx val="0"/>
          <c:order val="0"/>
          <c:tx>
            <c:strRef>
              <c:f>Sheet12!$C$26</c:f>
              <c:strCache>
                <c:ptCount val="1"/>
                <c:pt idx="0">
                  <c:v>Total tested</c:v>
                </c:pt>
              </c:strCache>
            </c:strRef>
          </c:tx>
          <c:invertIfNegative val="0"/>
          <c:dLbls>
            <c:spPr>
              <a:noFill/>
              <a:ln>
                <a:noFill/>
              </a:ln>
              <a:effectLst/>
            </c:spPr>
            <c:txPr>
              <a:bodyPr/>
              <a:lstStyle/>
              <a:p>
                <a:pPr>
                  <a:defRPr sz="1600" b="1" cap="none" spc="0">
                    <a:ln w="6600">
                      <a:solidFill>
                        <a:schemeClr val="accent2"/>
                      </a:solidFill>
                      <a:prstDash val="solid"/>
                    </a:ln>
                    <a:solidFill>
                      <a:srgbClr val="FFFFFF"/>
                    </a:solidFill>
                    <a:effectLst>
                      <a:outerShdw dist="38100" dir="2700000" algn="tl" rotWithShape="0">
                        <a:schemeClr val="accent2"/>
                      </a:outerShdw>
                    </a:effectLs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Sheet12!$B$27:$B$31</c:f>
              <c:strCache>
                <c:ptCount val="5"/>
                <c:pt idx="0">
                  <c:v>Children 0-14</c:v>
                </c:pt>
                <c:pt idx="1">
                  <c:v>AYP 15-24</c:v>
                </c:pt>
                <c:pt idx="2">
                  <c:v>Caregivers</c:v>
                </c:pt>
                <c:pt idx="3">
                  <c:v>General population</c:v>
                </c:pt>
                <c:pt idx="4">
                  <c:v>Total</c:v>
                </c:pt>
              </c:strCache>
            </c:strRef>
          </c:cat>
          <c:val>
            <c:numRef>
              <c:f>Sheet12!$C$27:$C$31</c:f>
              <c:numCache>
                <c:formatCode>General</c:formatCode>
                <c:ptCount val="5"/>
                <c:pt idx="0">
                  <c:v>2675</c:v>
                </c:pt>
                <c:pt idx="1">
                  <c:v>2591</c:v>
                </c:pt>
                <c:pt idx="2">
                  <c:v>1509</c:v>
                </c:pt>
                <c:pt idx="3">
                  <c:v>2215</c:v>
                </c:pt>
                <c:pt idx="4">
                  <c:v>8990</c:v>
                </c:pt>
              </c:numCache>
            </c:numRef>
          </c:val>
          <c:extLst>
            <c:ext xmlns:c16="http://schemas.microsoft.com/office/drawing/2014/chart" uri="{C3380CC4-5D6E-409C-BE32-E72D297353CC}">
              <c16:uniqueId val="{00000000-0619-4854-9F6E-812C158A77F8}"/>
            </c:ext>
          </c:extLst>
        </c:ser>
        <c:ser>
          <c:idx val="1"/>
          <c:order val="1"/>
          <c:tx>
            <c:strRef>
              <c:f>Sheet12!$D$26</c:f>
              <c:strCache>
                <c:ptCount val="1"/>
                <c:pt idx="0">
                  <c:v>Total Positive</c:v>
                </c:pt>
              </c:strCache>
            </c:strRef>
          </c:tx>
          <c:invertIfNegative val="0"/>
          <c:dLbls>
            <c:spPr>
              <a:noFill/>
              <a:ln>
                <a:noFill/>
              </a:ln>
              <a:effectLst/>
            </c:spPr>
            <c:txPr>
              <a:bodyPr/>
              <a:lstStyle/>
              <a:p>
                <a:pPr>
                  <a:defRPr sz="1600"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Sheet12!$B$27:$B$31</c:f>
              <c:strCache>
                <c:ptCount val="5"/>
                <c:pt idx="0">
                  <c:v>Children 0-14</c:v>
                </c:pt>
                <c:pt idx="1">
                  <c:v>AYP 15-24</c:v>
                </c:pt>
                <c:pt idx="2">
                  <c:v>Caregivers</c:v>
                </c:pt>
                <c:pt idx="3">
                  <c:v>General population</c:v>
                </c:pt>
                <c:pt idx="4">
                  <c:v>Total</c:v>
                </c:pt>
              </c:strCache>
            </c:strRef>
          </c:cat>
          <c:val>
            <c:numRef>
              <c:f>Sheet12!$D$27:$D$31</c:f>
              <c:numCache>
                <c:formatCode>General</c:formatCode>
                <c:ptCount val="5"/>
                <c:pt idx="0">
                  <c:v>22</c:v>
                </c:pt>
                <c:pt idx="1">
                  <c:v>40</c:v>
                </c:pt>
                <c:pt idx="2">
                  <c:v>71</c:v>
                </c:pt>
                <c:pt idx="3">
                  <c:v>100</c:v>
                </c:pt>
                <c:pt idx="4">
                  <c:v>233</c:v>
                </c:pt>
              </c:numCache>
            </c:numRef>
          </c:val>
          <c:extLst>
            <c:ext xmlns:c16="http://schemas.microsoft.com/office/drawing/2014/chart" uri="{C3380CC4-5D6E-409C-BE32-E72D297353CC}">
              <c16:uniqueId val="{00000001-0619-4854-9F6E-812C158A77F8}"/>
            </c:ext>
          </c:extLst>
        </c:ser>
        <c:ser>
          <c:idx val="2"/>
          <c:order val="2"/>
          <c:tx>
            <c:strRef>
              <c:f>Sheet12!$E$26</c:f>
              <c:strCache>
                <c:ptCount val="1"/>
                <c:pt idx="0">
                  <c:v>Positivy rate</c:v>
                </c:pt>
              </c:strCache>
            </c:strRef>
          </c:tx>
          <c:invertIfNegative val="0"/>
          <c:dLbls>
            <c:dLbl>
              <c:idx val="0"/>
              <c:layout>
                <c:manualLayout>
                  <c:x val="0"/>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619-4854-9F6E-812C158A77F8}"/>
                </c:ext>
              </c:extLst>
            </c:dLbl>
            <c:dLbl>
              <c:idx val="1"/>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19-4854-9F6E-812C158A77F8}"/>
                </c:ext>
              </c:extLst>
            </c:dLbl>
            <c:dLbl>
              <c:idx val="2"/>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619-4854-9F6E-812C158A77F8}"/>
                </c:ext>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Sheet12!$B$27:$B$31</c:f>
              <c:strCache>
                <c:ptCount val="5"/>
                <c:pt idx="0">
                  <c:v>Children 0-14</c:v>
                </c:pt>
                <c:pt idx="1">
                  <c:v>AYP 15-24</c:v>
                </c:pt>
                <c:pt idx="2">
                  <c:v>Caregivers</c:v>
                </c:pt>
                <c:pt idx="3">
                  <c:v>General population</c:v>
                </c:pt>
                <c:pt idx="4">
                  <c:v>Total</c:v>
                </c:pt>
              </c:strCache>
            </c:strRef>
          </c:cat>
          <c:val>
            <c:numRef>
              <c:f>Sheet12!$E$27:$E$31</c:f>
              <c:numCache>
                <c:formatCode>0.0%</c:formatCode>
                <c:ptCount val="5"/>
                <c:pt idx="0">
                  <c:v>8.2242990654205605E-3</c:v>
                </c:pt>
                <c:pt idx="1">
                  <c:v>1.5438054805094558E-2</c:v>
                </c:pt>
                <c:pt idx="2">
                  <c:v>4.7051027170311462E-2</c:v>
                </c:pt>
                <c:pt idx="3">
                  <c:v>4.5146726862302484E-2</c:v>
                </c:pt>
                <c:pt idx="4">
                  <c:v>2.5917686318131256E-2</c:v>
                </c:pt>
              </c:numCache>
            </c:numRef>
          </c:val>
          <c:extLst>
            <c:ext xmlns:c16="http://schemas.microsoft.com/office/drawing/2014/chart" uri="{C3380CC4-5D6E-409C-BE32-E72D297353CC}">
              <c16:uniqueId val="{00000005-0619-4854-9F6E-812C158A77F8}"/>
            </c:ext>
          </c:extLst>
        </c:ser>
        <c:dLbls>
          <c:showLegendKey val="0"/>
          <c:showVal val="1"/>
          <c:showCatName val="0"/>
          <c:showSerName val="0"/>
          <c:showPercent val="0"/>
          <c:showBubbleSize val="0"/>
        </c:dLbls>
        <c:gapWidth val="95"/>
        <c:overlap val="100"/>
        <c:axId val="440557760"/>
        <c:axId val="440555800"/>
      </c:barChart>
      <c:catAx>
        <c:axId val="440557760"/>
        <c:scaling>
          <c:orientation val="minMax"/>
        </c:scaling>
        <c:delete val="0"/>
        <c:axPos val="b"/>
        <c:numFmt formatCode="General" sourceLinked="0"/>
        <c:majorTickMark val="none"/>
        <c:minorTickMark val="none"/>
        <c:tickLblPos val="nextTo"/>
        <c:txPr>
          <a:bodyPr/>
          <a:lstStyle/>
          <a:p>
            <a:pPr>
              <a:defRPr sz="1400"/>
            </a:pPr>
            <a:endParaRPr lang="en-US"/>
          </a:p>
        </c:txPr>
        <c:crossAx val="440555800"/>
        <c:crosses val="autoZero"/>
        <c:auto val="1"/>
        <c:lblAlgn val="ctr"/>
        <c:lblOffset val="100"/>
        <c:noMultiLvlLbl val="0"/>
      </c:catAx>
      <c:valAx>
        <c:axId val="440555800"/>
        <c:scaling>
          <c:orientation val="minMax"/>
        </c:scaling>
        <c:delete val="1"/>
        <c:axPos val="l"/>
        <c:numFmt formatCode="0%" sourceLinked="1"/>
        <c:majorTickMark val="out"/>
        <c:minorTickMark val="none"/>
        <c:tickLblPos val="nextTo"/>
        <c:crossAx val="440557760"/>
        <c:crosses val="autoZero"/>
        <c:crossBetween val="between"/>
      </c:valAx>
    </c:plotArea>
    <c:legend>
      <c:legendPos val="t"/>
      <c:overlay val="0"/>
      <c:txPr>
        <a:bodyPr/>
        <a:lstStyle/>
        <a:p>
          <a:pPr>
            <a:defRPr sz="1400"/>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HTS contribution</a:t>
            </a:r>
            <a:r>
              <a:rPr lang="en-US" baseline="0"/>
              <a:t> by LGA</a:t>
            </a:r>
            <a:endParaRPr lang="en-US"/>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Sheet12!$L$19</c:f>
              <c:strCache>
                <c:ptCount val="1"/>
                <c:pt idx="0">
                  <c:v>Total Tested</c:v>
                </c:pt>
              </c:strCache>
            </c:strRef>
          </c:tx>
          <c:dLbls>
            <c:dLbl>
              <c:idx val="0"/>
              <c:spPr>
                <a:noFill/>
              </c:spPr>
              <c:txPr>
                <a:bodyPr/>
                <a:lstStyle/>
                <a:p>
                  <a:pPr>
                    <a:defRPr b="1">
                      <a:solidFill>
                        <a:schemeClr val="bg1"/>
                      </a:solidFill>
                    </a:defRPr>
                  </a:pPr>
                  <a:endParaRPr lang="en-US"/>
                </a:p>
              </c:txPr>
              <c:showLegendKey val="0"/>
              <c:showVal val="0"/>
              <c:showCatName val="1"/>
              <c:showSerName val="0"/>
              <c:showPercent val="1"/>
              <c:showBubbleSize val="0"/>
              <c:extLst>
                <c:ext xmlns:c16="http://schemas.microsoft.com/office/drawing/2014/chart" uri="{C3380CC4-5D6E-409C-BE32-E72D297353CC}">
                  <c16:uniqueId val="{00000000-B3A2-4494-A3A4-0608DE77D642}"/>
                </c:ext>
              </c:extLst>
            </c:dLbl>
            <c:dLbl>
              <c:idx val="1"/>
              <c:spPr>
                <a:noFill/>
              </c:spPr>
              <c:txPr>
                <a:bodyPr/>
                <a:lstStyle/>
                <a:p>
                  <a:pPr>
                    <a:defRPr b="1">
                      <a:solidFill>
                        <a:schemeClr val="bg1"/>
                      </a:solidFill>
                    </a:defRPr>
                  </a:pPr>
                  <a:endParaRPr lang="en-US"/>
                </a:p>
              </c:txPr>
              <c:showLegendKey val="0"/>
              <c:showVal val="0"/>
              <c:showCatName val="1"/>
              <c:showSerName val="0"/>
              <c:showPercent val="1"/>
              <c:showBubbleSize val="0"/>
              <c:extLst>
                <c:ext xmlns:c16="http://schemas.microsoft.com/office/drawing/2014/chart" uri="{C3380CC4-5D6E-409C-BE32-E72D297353CC}">
                  <c16:uniqueId val="{00000001-B3A2-4494-A3A4-0608DE77D642}"/>
                </c:ext>
              </c:extLst>
            </c:dLbl>
            <c:dLbl>
              <c:idx val="2"/>
              <c:spPr>
                <a:noFill/>
              </c:spPr>
              <c:txPr>
                <a:bodyPr/>
                <a:lstStyle/>
                <a:p>
                  <a:pPr>
                    <a:defRPr b="1">
                      <a:solidFill>
                        <a:schemeClr val="bg1"/>
                      </a:solidFill>
                    </a:defRPr>
                  </a:pPr>
                  <a:endParaRPr lang="en-US"/>
                </a:p>
              </c:txPr>
              <c:showLegendKey val="0"/>
              <c:showVal val="0"/>
              <c:showCatName val="1"/>
              <c:showSerName val="0"/>
              <c:showPercent val="1"/>
              <c:showBubbleSize val="0"/>
              <c:extLst>
                <c:ext xmlns:c16="http://schemas.microsoft.com/office/drawing/2014/chart" uri="{C3380CC4-5D6E-409C-BE32-E72D297353CC}">
                  <c16:uniqueId val="{00000002-B3A2-4494-A3A4-0608DE77D642}"/>
                </c:ext>
              </c:extLst>
            </c:dLbl>
            <c:spPr>
              <a:noFill/>
            </c:spPr>
            <c:showLegendKey val="0"/>
            <c:showVal val="0"/>
            <c:showCatName val="1"/>
            <c:showSerName val="0"/>
            <c:showPercent val="1"/>
            <c:showBubbleSize val="0"/>
            <c:showLeaderLines val="1"/>
            <c:extLst>
              <c:ext xmlns:c15="http://schemas.microsoft.com/office/drawing/2012/chart" uri="{CE6537A1-D6FC-4f65-9D91-7224C49458BB}"/>
            </c:extLst>
          </c:dLbls>
          <c:cat>
            <c:strRef>
              <c:f>Sheet12!$K$20:$K$22</c:f>
              <c:strCache>
                <c:ptCount val="3"/>
                <c:pt idx="0">
                  <c:v>Ussa</c:v>
                </c:pt>
                <c:pt idx="1">
                  <c:v>Sardauna</c:v>
                </c:pt>
                <c:pt idx="2">
                  <c:v>Karim Lamido</c:v>
                </c:pt>
              </c:strCache>
            </c:strRef>
          </c:cat>
          <c:val>
            <c:numRef>
              <c:f>Sheet12!$L$20:$L$22</c:f>
              <c:numCache>
                <c:formatCode>General</c:formatCode>
                <c:ptCount val="3"/>
                <c:pt idx="0">
                  <c:v>2047</c:v>
                </c:pt>
                <c:pt idx="1">
                  <c:v>3486</c:v>
                </c:pt>
                <c:pt idx="2">
                  <c:v>2457</c:v>
                </c:pt>
              </c:numCache>
            </c:numRef>
          </c:val>
          <c:extLst>
            <c:ext xmlns:c16="http://schemas.microsoft.com/office/drawing/2014/chart" uri="{C3380CC4-5D6E-409C-BE32-E72D297353CC}">
              <c16:uniqueId val="{00000003-9507-4EF1-84BE-ADD926CAD89E}"/>
            </c:ext>
          </c:extLst>
        </c:ser>
        <c:ser>
          <c:idx val="1"/>
          <c:order val="1"/>
          <c:tx>
            <c:strRef>
              <c:f>Sheet12!$M$19</c:f>
              <c:strCache>
                <c:ptCount val="1"/>
                <c:pt idx="0">
                  <c:v>Positives identified</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Sheet12!$K$20:$K$22</c:f>
              <c:strCache>
                <c:ptCount val="3"/>
                <c:pt idx="0">
                  <c:v>Ussa</c:v>
                </c:pt>
                <c:pt idx="1">
                  <c:v>Sardauna</c:v>
                </c:pt>
                <c:pt idx="2">
                  <c:v>Karim Lamido</c:v>
                </c:pt>
              </c:strCache>
            </c:strRef>
          </c:cat>
          <c:val>
            <c:numRef>
              <c:f>Sheet12!$M$20:$M$22</c:f>
              <c:numCache>
                <c:formatCode>General</c:formatCode>
                <c:ptCount val="3"/>
                <c:pt idx="0">
                  <c:v>29</c:v>
                </c:pt>
                <c:pt idx="1">
                  <c:v>70</c:v>
                </c:pt>
                <c:pt idx="2">
                  <c:v>134</c:v>
                </c:pt>
              </c:numCache>
            </c:numRef>
          </c:val>
          <c:extLst>
            <c:ext xmlns:c16="http://schemas.microsoft.com/office/drawing/2014/chart" uri="{C3380CC4-5D6E-409C-BE32-E72D297353CC}">
              <c16:uniqueId val="{00000004-9507-4EF1-84BE-ADD926CAD89E}"/>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Positivity Rate by LGA</a:t>
            </a:r>
          </a:p>
        </c:rich>
      </c:tx>
      <c:overlay val="0"/>
    </c:title>
    <c:autoTitleDeleted val="0"/>
    <c:plotArea>
      <c:layout>
        <c:manualLayout>
          <c:layoutTarget val="inner"/>
          <c:xMode val="edge"/>
          <c:yMode val="edge"/>
          <c:x val="0"/>
          <c:y val="0.26726527628850943"/>
          <c:w val="0.93923433081969931"/>
          <c:h val="0.66212163687621606"/>
        </c:manualLayout>
      </c:layout>
      <c:barChart>
        <c:barDir val="col"/>
        <c:grouping val="clustered"/>
        <c:varyColors val="0"/>
        <c:ser>
          <c:idx val="0"/>
          <c:order val="0"/>
          <c:tx>
            <c:strRef>
              <c:f>Sheet12!$C$18</c:f>
              <c:strCache>
                <c:ptCount val="1"/>
                <c:pt idx="0">
                  <c:v>Total tested</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Sheet12!$B$19:$B$22</c:f>
              <c:strCache>
                <c:ptCount val="4"/>
                <c:pt idx="0">
                  <c:v>Karim Lamido</c:v>
                </c:pt>
                <c:pt idx="1">
                  <c:v>Sardauna</c:v>
                </c:pt>
                <c:pt idx="2">
                  <c:v>Ussa</c:v>
                </c:pt>
                <c:pt idx="3">
                  <c:v>Total</c:v>
                </c:pt>
              </c:strCache>
            </c:strRef>
          </c:cat>
          <c:val>
            <c:numRef>
              <c:f>Sheet12!$C$19:$C$22</c:f>
              <c:numCache>
                <c:formatCode>General</c:formatCode>
                <c:ptCount val="4"/>
                <c:pt idx="0">
                  <c:v>2457</c:v>
                </c:pt>
                <c:pt idx="1">
                  <c:v>3486</c:v>
                </c:pt>
                <c:pt idx="2">
                  <c:v>3047</c:v>
                </c:pt>
                <c:pt idx="3">
                  <c:v>8990</c:v>
                </c:pt>
              </c:numCache>
            </c:numRef>
          </c:val>
          <c:extLst>
            <c:ext xmlns:c16="http://schemas.microsoft.com/office/drawing/2014/chart" uri="{C3380CC4-5D6E-409C-BE32-E72D297353CC}">
              <c16:uniqueId val="{00000000-EE61-4FAF-92D0-CCE6D3F68D12}"/>
            </c:ext>
          </c:extLst>
        </c:ser>
        <c:ser>
          <c:idx val="1"/>
          <c:order val="1"/>
          <c:tx>
            <c:strRef>
              <c:f>Sheet12!$D$18</c:f>
              <c:strCache>
                <c:ptCount val="1"/>
                <c:pt idx="0">
                  <c:v>Total Positive</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Sheet12!$B$19:$B$22</c:f>
              <c:strCache>
                <c:ptCount val="4"/>
                <c:pt idx="0">
                  <c:v>Karim Lamido</c:v>
                </c:pt>
                <c:pt idx="1">
                  <c:v>Sardauna</c:v>
                </c:pt>
                <c:pt idx="2">
                  <c:v>Ussa</c:v>
                </c:pt>
                <c:pt idx="3">
                  <c:v>Total</c:v>
                </c:pt>
              </c:strCache>
            </c:strRef>
          </c:cat>
          <c:val>
            <c:numRef>
              <c:f>Sheet12!$D$19:$D$22</c:f>
              <c:numCache>
                <c:formatCode>General</c:formatCode>
                <c:ptCount val="4"/>
                <c:pt idx="0">
                  <c:v>134</c:v>
                </c:pt>
                <c:pt idx="1">
                  <c:v>70</c:v>
                </c:pt>
                <c:pt idx="2">
                  <c:v>29</c:v>
                </c:pt>
                <c:pt idx="3">
                  <c:v>233</c:v>
                </c:pt>
              </c:numCache>
            </c:numRef>
          </c:val>
          <c:extLst>
            <c:ext xmlns:c16="http://schemas.microsoft.com/office/drawing/2014/chart" uri="{C3380CC4-5D6E-409C-BE32-E72D297353CC}">
              <c16:uniqueId val="{00000001-EE61-4FAF-92D0-CCE6D3F68D12}"/>
            </c:ext>
          </c:extLst>
        </c:ser>
        <c:ser>
          <c:idx val="2"/>
          <c:order val="2"/>
          <c:tx>
            <c:strRef>
              <c:f>Sheet12!$E$18</c:f>
              <c:strCache>
                <c:ptCount val="1"/>
                <c:pt idx="0">
                  <c:v>Positivity Rate</c:v>
                </c:pt>
              </c:strCache>
            </c:strRef>
          </c:tx>
          <c:invertIfNegative val="0"/>
          <c:dLbls>
            <c:dLbl>
              <c:idx val="0"/>
              <c:layout>
                <c:manualLayout>
                  <c:x val="1.6666666666666666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61-4FAF-92D0-CCE6D3F68D12}"/>
                </c:ext>
              </c:extLst>
            </c:dLbl>
            <c:dLbl>
              <c:idx val="1"/>
              <c:layout>
                <c:manualLayout>
                  <c:x val="1.9444006999125109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61-4FAF-92D0-CCE6D3F68D12}"/>
                </c:ext>
              </c:extLst>
            </c:dLbl>
            <c:dLbl>
              <c:idx val="2"/>
              <c:layout>
                <c:manualLayout>
                  <c:x val="1.1111111111111112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61-4FAF-92D0-CCE6D3F68D12}"/>
                </c:ext>
              </c:extLst>
            </c:dLbl>
            <c:dLbl>
              <c:idx val="3"/>
              <c:layout>
                <c:manualLayout>
                  <c:x val="2.2222222222222223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E61-4FAF-92D0-CCE6D3F68D12}"/>
                </c:ext>
              </c:extLst>
            </c:dLbl>
            <c:spPr>
              <a:noFill/>
            </c:spPr>
            <c:txPr>
              <a:bodyPr/>
              <a:lstStyle/>
              <a:p>
                <a:pPr>
                  <a:defRPr sz="1400" b="1">
                    <a:solidFill>
                      <a:srgbClr val="FF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Sheet12!$B$19:$B$22</c:f>
              <c:strCache>
                <c:ptCount val="4"/>
                <c:pt idx="0">
                  <c:v>Karim Lamido</c:v>
                </c:pt>
                <c:pt idx="1">
                  <c:v>Sardauna</c:v>
                </c:pt>
                <c:pt idx="2">
                  <c:v>Ussa</c:v>
                </c:pt>
                <c:pt idx="3">
                  <c:v>Total</c:v>
                </c:pt>
              </c:strCache>
            </c:strRef>
          </c:cat>
          <c:val>
            <c:numRef>
              <c:f>Sheet12!$E$19:$E$22</c:f>
              <c:numCache>
                <c:formatCode>0.0%</c:formatCode>
                <c:ptCount val="4"/>
                <c:pt idx="0">
                  <c:v>1.4905450500556174E-2</c:v>
                </c:pt>
                <c:pt idx="1">
                  <c:v>7.7864293659621799E-3</c:v>
                </c:pt>
                <c:pt idx="2">
                  <c:v>3.2258064516129032E-3</c:v>
                </c:pt>
                <c:pt idx="3">
                  <c:v>2.591768631813126E-2</c:v>
                </c:pt>
              </c:numCache>
            </c:numRef>
          </c:val>
          <c:extLst>
            <c:ext xmlns:c16="http://schemas.microsoft.com/office/drawing/2014/chart" uri="{C3380CC4-5D6E-409C-BE32-E72D297353CC}">
              <c16:uniqueId val="{00000006-EE61-4FAF-92D0-CCE6D3F68D12}"/>
            </c:ext>
          </c:extLst>
        </c:ser>
        <c:dLbls>
          <c:showLegendKey val="0"/>
          <c:showVal val="1"/>
          <c:showCatName val="0"/>
          <c:showSerName val="0"/>
          <c:showPercent val="0"/>
          <c:showBubbleSize val="0"/>
        </c:dLbls>
        <c:gapWidth val="150"/>
        <c:overlap val="-25"/>
        <c:axId val="385593048"/>
        <c:axId val="385593832"/>
      </c:barChart>
      <c:catAx>
        <c:axId val="385593048"/>
        <c:scaling>
          <c:orientation val="minMax"/>
        </c:scaling>
        <c:delete val="0"/>
        <c:axPos val="b"/>
        <c:numFmt formatCode="General" sourceLinked="0"/>
        <c:majorTickMark val="none"/>
        <c:minorTickMark val="none"/>
        <c:tickLblPos val="nextTo"/>
        <c:crossAx val="385593832"/>
        <c:crosses val="autoZero"/>
        <c:auto val="1"/>
        <c:lblAlgn val="ctr"/>
        <c:lblOffset val="100"/>
        <c:noMultiLvlLbl val="0"/>
      </c:catAx>
      <c:valAx>
        <c:axId val="385593832"/>
        <c:scaling>
          <c:orientation val="minMax"/>
        </c:scaling>
        <c:delete val="1"/>
        <c:axPos val="l"/>
        <c:numFmt formatCode="General" sourceLinked="1"/>
        <c:majorTickMark val="out"/>
        <c:minorTickMark val="none"/>
        <c:tickLblPos val="nextTo"/>
        <c:crossAx val="385593048"/>
        <c:crosses val="autoZero"/>
        <c:crossBetween val="between"/>
      </c:valAx>
    </c:plotArea>
    <c:legend>
      <c:legendPos val="t"/>
      <c:overlay val="0"/>
      <c:txPr>
        <a:bodyPr/>
        <a:lstStyle/>
        <a:p>
          <a:pPr>
            <a:defRPr sz="1400"/>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Sheet12!$C$39</c:f>
              <c:strCache>
                <c:ptCount val="1"/>
                <c:pt idx="0">
                  <c:v>Total positive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bg2">
                        <a:lumMod val="9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Sheet12!$B$40:$B$44</c:f>
              <c:strCache>
                <c:ptCount val="5"/>
                <c:pt idx="0">
                  <c:v>Children</c:v>
                </c:pt>
                <c:pt idx="1">
                  <c:v>Caregivers</c:v>
                </c:pt>
                <c:pt idx="2">
                  <c:v>AYP</c:v>
                </c:pt>
                <c:pt idx="3">
                  <c:v>General population</c:v>
                </c:pt>
                <c:pt idx="4">
                  <c:v>Total</c:v>
                </c:pt>
              </c:strCache>
            </c:strRef>
          </c:cat>
          <c:val>
            <c:numRef>
              <c:f>Sheet12!$C$40:$C$44</c:f>
              <c:numCache>
                <c:formatCode>General</c:formatCode>
                <c:ptCount val="5"/>
                <c:pt idx="0">
                  <c:v>22</c:v>
                </c:pt>
                <c:pt idx="1">
                  <c:v>71</c:v>
                </c:pt>
                <c:pt idx="2">
                  <c:v>40</c:v>
                </c:pt>
                <c:pt idx="3">
                  <c:v>100</c:v>
                </c:pt>
                <c:pt idx="4">
                  <c:v>233</c:v>
                </c:pt>
              </c:numCache>
            </c:numRef>
          </c:val>
          <c:extLst>
            <c:ext xmlns:c16="http://schemas.microsoft.com/office/drawing/2014/chart" uri="{C3380CC4-5D6E-409C-BE32-E72D297353CC}">
              <c16:uniqueId val="{00000000-0753-44B4-856F-7BB072D427FE}"/>
            </c:ext>
          </c:extLst>
        </c:ser>
        <c:ser>
          <c:idx val="1"/>
          <c:order val="1"/>
          <c:tx>
            <c:strRef>
              <c:f>Sheet12!$D$39</c:f>
              <c:strCache>
                <c:ptCount val="1"/>
                <c:pt idx="0">
                  <c:v>Total linked/relined to care</c:v>
                </c:pt>
              </c:strCache>
            </c:strRef>
          </c:tx>
          <c:spPr>
            <a:solidFill>
              <a:schemeClr val="accent2"/>
            </a:solidFill>
            <a:ln>
              <a:noFill/>
            </a:ln>
            <a:effectLst/>
          </c:spPr>
          <c:invertIfNegative val="0"/>
          <c:dLbls>
            <c:dLbl>
              <c:idx val="0"/>
              <c:layout>
                <c:manualLayout>
                  <c:x val="4.4316419233325945E-3"/>
                  <c:y val="-2.2459292532285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753-44B4-856F-7BB072D427FE}"/>
                </c:ext>
              </c:extLst>
            </c:dLbl>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Sheet12!$B$40:$B$44</c:f>
              <c:strCache>
                <c:ptCount val="5"/>
                <c:pt idx="0">
                  <c:v>Children</c:v>
                </c:pt>
                <c:pt idx="1">
                  <c:v>Caregivers</c:v>
                </c:pt>
                <c:pt idx="2">
                  <c:v>AYP</c:v>
                </c:pt>
                <c:pt idx="3">
                  <c:v>General population</c:v>
                </c:pt>
                <c:pt idx="4">
                  <c:v>Total</c:v>
                </c:pt>
              </c:strCache>
            </c:strRef>
          </c:cat>
          <c:val>
            <c:numRef>
              <c:f>Sheet12!$D$40:$D$44</c:f>
              <c:numCache>
                <c:formatCode>General</c:formatCode>
                <c:ptCount val="5"/>
                <c:pt idx="0">
                  <c:v>16</c:v>
                </c:pt>
                <c:pt idx="1">
                  <c:v>45</c:v>
                </c:pt>
                <c:pt idx="2">
                  <c:v>32</c:v>
                </c:pt>
                <c:pt idx="3">
                  <c:v>70</c:v>
                </c:pt>
                <c:pt idx="4">
                  <c:v>163</c:v>
                </c:pt>
              </c:numCache>
            </c:numRef>
          </c:val>
          <c:extLst>
            <c:ext xmlns:c16="http://schemas.microsoft.com/office/drawing/2014/chart" uri="{C3380CC4-5D6E-409C-BE32-E72D297353CC}">
              <c16:uniqueId val="{00000001-0753-44B4-856F-7BB072D427FE}"/>
            </c:ext>
          </c:extLst>
        </c:ser>
        <c:ser>
          <c:idx val="2"/>
          <c:order val="2"/>
          <c:tx>
            <c:strRef>
              <c:f>Sheet12!$E$39</c:f>
              <c:strCache>
                <c:ptCount val="1"/>
                <c:pt idx="0">
                  <c:v>Linkage rate</c:v>
                </c:pt>
              </c:strCache>
            </c:strRef>
          </c:tx>
          <c:spPr>
            <a:solidFill>
              <a:schemeClr val="accent3"/>
            </a:solidFill>
            <a:ln>
              <a:noFill/>
            </a:ln>
            <a:effectLst/>
          </c:spPr>
          <c:invertIfNegative val="0"/>
          <c:dLbls>
            <c:dLbl>
              <c:idx val="0"/>
              <c:layout>
                <c:manualLayout>
                  <c:x val="-3.5848273171745124E-3"/>
                  <c:y val="-9.1051540620744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53-44B4-856F-7BB072D427FE}"/>
                </c:ext>
              </c:extLst>
            </c:dLbl>
            <c:dLbl>
              <c:idx val="1"/>
              <c:layout>
                <c:manualLayout>
                  <c:x val="-3.2860537466366787E-17"/>
                  <c:y val="-8.01253557462555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53-44B4-856F-7BB072D427FE}"/>
                </c:ext>
              </c:extLst>
            </c:dLbl>
            <c:dLbl>
              <c:idx val="2"/>
              <c:layout>
                <c:manualLayout>
                  <c:x val="-3.5848273171745783E-3"/>
                  <c:y val="-8.01253557462555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53-44B4-856F-7BB072D427FE}"/>
                </c:ext>
              </c:extLst>
            </c:dLbl>
            <c:dLbl>
              <c:idx val="3"/>
              <c:layout>
                <c:manualLayout>
                  <c:x val="-5.3772409757617684E-3"/>
                  <c:y val="-8.74094789959151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53-44B4-856F-7BB072D427FE}"/>
                </c:ext>
              </c:extLst>
            </c:dLbl>
            <c:dLbl>
              <c:idx val="4"/>
              <c:layout>
                <c:manualLayout>
                  <c:x val="-1.7924136585872562E-3"/>
                  <c:y val="-7.2841232496595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53-44B4-856F-7BB072D427FE}"/>
                </c:ext>
              </c:extLst>
            </c:dLbl>
            <c:spPr>
              <a:solidFill>
                <a:schemeClr val="accent3"/>
              </a:solid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Sheet12!$B$40:$B$44</c:f>
              <c:strCache>
                <c:ptCount val="5"/>
                <c:pt idx="0">
                  <c:v>Children</c:v>
                </c:pt>
                <c:pt idx="1">
                  <c:v>Caregivers</c:v>
                </c:pt>
                <c:pt idx="2">
                  <c:v>AYP</c:v>
                </c:pt>
                <c:pt idx="3">
                  <c:v>General population</c:v>
                </c:pt>
                <c:pt idx="4">
                  <c:v>Total</c:v>
                </c:pt>
              </c:strCache>
            </c:strRef>
          </c:cat>
          <c:val>
            <c:numRef>
              <c:f>Sheet12!$E$40:$E$44</c:f>
              <c:numCache>
                <c:formatCode>0%</c:formatCode>
                <c:ptCount val="5"/>
                <c:pt idx="0">
                  <c:v>0.72727272727272729</c:v>
                </c:pt>
                <c:pt idx="1">
                  <c:v>0.63380281690140849</c:v>
                </c:pt>
                <c:pt idx="2">
                  <c:v>0.8</c:v>
                </c:pt>
                <c:pt idx="3">
                  <c:v>0.7</c:v>
                </c:pt>
                <c:pt idx="4">
                  <c:v>0.69957081545064381</c:v>
                </c:pt>
              </c:numCache>
            </c:numRef>
          </c:val>
          <c:extLst>
            <c:ext xmlns:c16="http://schemas.microsoft.com/office/drawing/2014/chart" uri="{C3380CC4-5D6E-409C-BE32-E72D297353CC}">
              <c16:uniqueId val="{00000007-0753-44B4-856F-7BB072D427FE}"/>
            </c:ext>
          </c:extLst>
        </c:ser>
        <c:dLbls>
          <c:showLegendKey val="0"/>
          <c:showVal val="1"/>
          <c:showCatName val="0"/>
          <c:showSerName val="0"/>
          <c:showPercent val="0"/>
          <c:showBubbleSize val="0"/>
        </c:dLbls>
        <c:gapWidth val="95"/>
        <c:overlap val="100"/>
        <c:axId val="385595008"/>
        <c:axId val="385595400"/>
      </c:barChart>
      <c:catAx>
        <c:axId val="38559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385595400"/>
        <c:crosses val="autoZero"/>
        <c:auto val="1"/>
        <c:lblAlgn val="ctr"/>
        <c:lblOffset val="100"/>
        <c:noMultiLvlLbl val="0"/>
      </c:catAx>
      <c:valAx>
        <c:axId val="385595400"/>
        <c:scaling>
          <c:orientation val="minMax"/>
        </c:scaling>
        <c:delete val="1"/>
        <c:axPos val="l"/>
        <c:numFmt formatCode="General" sourceLinked="1"/>
        <c:majorTickMark val="none"/>
        <c:minorTickMark val="none"/>
        <c:tickLblPos val="nextTo"/>
        <c:crossAx val="3855950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t>Retention Rate by LGA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Sheet12!$C$46</c:f>
              <c:strCache>
                <c:ptCount val="1"/>
                <c:pt idx="0">
                  <c:v>Total linked to care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Sheet12!$B$47:$B$50</c:f>
              <c:strCache>
                <c:ptCount val="4"/>
                <c:pt idx="0">
                  <c:v>Karim-lamido</c:v>
                </c:pt>
                <c:pt idx="1">
                  <c:v>Sardauna</c:v>
                </c:pt>
                <c:pt idx="2">
                  <c:v>Ussa</c:v>
                </c:pt>
                <c:pt idx="3">
                  <c:v>Total</c:v>
                </c:pt>
              </c:strCache>
            </c:strRef>
          </c:cat>
          <c:val>
            <c:numRef>
              <c:f>Sheet12!$C$47:$C$50</c:f>
              <c:numCache>
                <c:formatCode>General</c:formatCode>
                <c:ptCount val="4"/>
                <c:pt idx="0">
                  <c:v>99</c:v>
                </c:pt>
                <c:pt idx="1">
                  <c:v>37</c:v>
                </c:pt>
                <c:pt idx="2">
                  <c:v>27</c:v>
                </c:pt>
                <c:pt idx="3">
                  <c:v>163</c:v>
                </c:pt>
              </c:numCache>
            </c:numRef>
          </c:val>
          <c:extLst>
            <c:ext xmlns:c16="http://schemas.microsoft.com/office/drawing/2014/chart" uri="{C3380CC4-5D6E-409C-BE32-E72D297353CC}">
              <c16:uniqueId val="{00000000-CBD1-4C9A-999B-AB8304D1A1CB}"/>
            </c:ext>
          </c:extLst>
        </c:ser>
        <c:ser>
          <c:idx val="1"/>
          <c:order val="1"/>
          <c:tx>
            <c:strRef>
              <c:f>Sheet12!$D$46</c:f>
              <c:strCache>
                <c:ptCount val="1"/>
                <c:pt idx="0">
                  <c:v>Currently in care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Sheet12!$B$47:$B$50</c:f>
              <c:strCache>
                <c:ptCount val="4"/>
                <c:pt idx="0">
                  <c:v>Karim-lamido</c:v>
                </c:pt>
                <c:pt idx="1">
                  <c:v>Sardauna</c:v>
                </c:pt>
                <c:pt idx="2">
                  <c:v>Ussa</c:v>
                </c:pt>
                <c:pt idx="3">
                  <c:v>Total</c:v>
                </c:pt>
              </c:strCache>
            </c:strRef>
          </c:cat>
          <c:val>
            <c:numRef>
              <c:f>Sheet12!$D$47:$D$50</c:f>
              <c:numCache>
                <c:formatCode>General</c:formatCode>
                <c:ptCount val="4"/>
                <c:pt idx="0">
                  <c:v>94</c:v>
                </c:pt>
                <c:pt idx="1">
                  <c:v>27</c:v>
                </c:pt>
                <c:pt idx="2">
                  <c:v>22</c:v>
                </c:pt>
                <c:pt idx="3">
                  <c:v>143</c:v>
                </c:pt>
              </c:numCache>
            </c:numRef>
          </c:val>
          <c:extLst>
            <c:ext xmlns:c16="http://schemas.microsoft.com/office/drawing/2014/chart" uri="{C3380CC4-5D6E-409C-BE32-E72D297353CC}">
              <c16:uniqueId val="{00000001-CBD1-4C9A-999B-AB8304D1A1CB}"/>
            </c:ext>
          </c:extLst>
        </c:ser>
        <c:dLbls>
          <c:showLegendKey val="0"/>
          <c:showVal val="1"/>
          <c:showCatName val="0"/>
          <c:showSerName val="0"/>
          <c:showPercent val="0"/>
          <c:showBubbleSize val="0"/>
        </c:dLbls>
        <c:gapWidth val="150"/>
        <c:overlap val="-25"/>
        <c:axId val="382680400"/>
        <c:axId val="382681184"/>
      </c:barChart>
      <c:lineChart>
        <c:grouping val="standard"/>
        <c:varyColors val="0"/>
        <c:ser>
          <c:idx val="2"/>
          <c:order val="2"/>
          <c:tx>
            <c:strRef>
              <c:f>Sheet12!$E$46</c:f>
              <c:strCache>
                <c:ptCount val="1"/>
                <c:pt idx="0">
                  <c:v>Retention rate</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Sheet12!$B$47:$B$50</c:f>
              <c:strCache>
                <c:ptCount val="4"/>
                <c:pt idx="0">
                  <c:v>Karim-lamido</c:v>
                </c:pt>
                <c:pt idx="1">
                  <c:v>Sardauna</c:v>
                </c:pt>
                <c:pt idx="2">
                  <c:v>Ussa</c:v>
                </c:pt>
                <c:pt idx="3">
                  <c:v>Total</c:v>
                </c:pt>
              </c:strCache>
            </c:strRef>
          </c:cat>
          <c:val>
            <c:numRef>
              <c:f>Sheet12!$E$47:$E$50</c:f>
              <c:numCache>
                <c:formatCode>0%</c:formatCode>
                <c:ptCount val="4"/>
                <c:pt idx="0">
                  <c:v>0.9494949494949495</c:v>
                </c:pt>
                <c:pt idx="1">
                  <c:v>0.72972972972972971</c:v>
                </c:pt>
                <c:pt idx="2">
                  <c:v>0.81481481481481477</c:v>
                </c:pt>
                <c:pt idx="3">
                  <c:v>0.87730061349693256</c:v>
                </c:pt>
              </c:numCache>
            </c:numRef>
          </c:val>
          <c:smooth val="0"/>
          <c:extLst>
            <c:ext xmlns:c16="http://schemas.microsoft.com/office/drawing/2014/chart" uri="{C3380CC4-5D6E-409C-BE32-E72D297353CC}">
              <c16:uniqueId val="{00000002-CBD1-4C9A-999B-AB8304D1A1CB}"/>
            </c:ext>
          </c:extLst>
        </c:ser>
        <c:dLbls>
          <c:showLegendKey val="0"/>
          <c:showVal val="1"/>
          <c:showCatName val="0"/>
          <c:showSerName val="0"/>
          <c:showPercent val="0"/>
          <c:showBubbleSize val="0"/>
        </c:dLbls>
        <c:marker val="1"/>
        <c:smooth val="0"/>
        <c:axId val="382678440"/>
        <c:axId val="382681576"/>
      </c:lineChart>
      <c:catAx>
        <c:axId val="3826804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2681184"/>
        <c:crosses val="autoZero"/>
        <c:auto val="1"/>
        <c:lblAlgn val="ctr"/>
        <c:lblOffset val="100"/>
        <c:noMultiLvlLbl val="0"/>
      </c:catAx>
      <c:valAx>
        <c:axId val="3826811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2680400"/>
        <c:crosses val="autoZero"/>
        <c:crossBetween val="between"/>
      </c:valAx>
      <c:valAx>
        <c:axId val="382681576"/>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2678440"/>
        <c:crosses val="max"/>
        <c:crossBetween val="between"/>
      </c:valAx>
      <c:catAx>
        <c:axId val="382678440"/>
        <c:scaling>
          <c:orientation val="minMax"/>
        </c:scaling>
        <c:delete val="1"/>
        <c:axPos val="b"/>
        <c:numFmt formatCode="General" sourceLinked="1"/>
        <c:majorTickMark val="none"/>
        <c:minorTickMark val="none"/>
        <c:tickLblPos val="nextTo"/>
        <c:crossAx val="3826815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2977</TotalTime>
  <Pages>18</Pages>
  <Words>3947</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Helmina Bantar</dc:creator>
  <cp:keywords/>
  <dc:description/>
  <cp:lastModifiedBy>SDI 1084</cp:lastModifiedBy>
  <cp:revision>40</cp:revision>
  <dcterms:created xsi:type="dcterms:W3CDTF">2025-12-18T12:39:00Z</dcterms:created>
  <dcterms:modified xsi:type="dcterms:W3CDTF">2026-03-05T09:27:00Z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88d639a4-2087-4048-8f6a-116e6b2e0527</vt:lpwstr>
  </property>
</Properties>
</file>