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A041A" w14:textId="62796DE2" w:rsidR="00926C14" w:rsidRPr="00926C14" w:rsidRDefault="00926C14" w:rsidP="00926C14">
      <w:pPr>
        <w:spacing w:line="240" w:lineRule="auto"/>
        <w:rPr>
          <w:rFonts w:ascii="Times New Roman" w:hAnsi="Times New Roman" w:cs="Times New Roman"/>
          <w:b/>
          <w:bCs/>
          <w:sz w:val="24"/>
          <w:szCs w:val="24"/>
          <w:u w:val="single"/>
        </w:rPr>
      </w:pPr>
      <w:r w:rsidRPr="00926C14">
        <w:rPr>
          <w:rFonts w:ascii="Times New Roman" w:hAnsi="Times New Roman" w:cs="Times New Roman"/>
          <w:b/>
          <w:bCs/>
          <w:sz w:val="24"/>
          <w:szCs w:val="24"/>
          <w:u w:val="single"/>
        </w:rPr>
        <w:t>Original Research Article</w:t>
      </w:r>
    </w:p>
    <w:p w14:paraId="516621FE" w14:textId="0C69DE18" w:rsidR="0046249E" w:rsidRDefault="00272EEB" w:rsidP="0046249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Mental Health Promotion and Awareness Regarding Substance Abuse among the Students of </w:t>
      </w:r>
      <w:proofErr w:type="spellStart"/>
      <w:r>
        <w:rPr>
          <w:rFonts w:ascii="Times New Roman" w:hAnsi="Times New Roman" w:cs="Times New Roman"/>
          <w:b/>
          <w:bCs/>
          <w:sz w:val="24"/>
          <w:szCs w:val="24"/>
        </w:rPr>
        <w:t>Salihu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Dogo</w:t>
      </w:r>
      <w:proofErr w:type="spellEnd"/>
      <w:r>
        <w:rPr>
          <w:rFonts w:ascii="Times New Roman" w:hAnsi="Times New Roman" w:cs="Times New Roman"/>
          <w:b/>
          <w:bCs/>
          <w:sz w:val="24"/>
          <w:szCs w:val="24"/>
        </w:rPr>
        <w:t xml:space="preserve"> Secondary School </w:t>
      </w:r>
      <w:proofErr w:type="spellStart"/>
      <w:r>
        <w:rPr>
          <w:rFonts w:ascii="Times New Roman" w:hAnsi="Times New Roman" w:cs="Times New Roman"/>
          <w:b/>
          <w:bCs/>
          <w:sz w:val="24"/>
          <w:szCs w:val="24"/>
        </w:rPr>
        <w:t>Jalingo</w:t>
      </w:r>
      <w:proofErr w:type="spellEnd"/>
      <w:r>
        <w:rPr>
          <w:rFonts w:ascii="Times New Roman" w:hAnsi="Times New Roman" w:cs="Times New Roman"/>
          <w:b/>
          <w:bCs/>
          <w:sz w:val="24"/>
          <w:szCs w:val="24"/>
        </w:rPr>
        <w:t xml:space="preserve"> Taraba State</w:t>
      </w:r>
    </w:p>
    <w:p w14:paraId="25F6A550" w14:textId="77777777" w:rsidR="001E7F01" w:rsidRPr="00530133" w:rsidRDefault="001E7F01" w:rsidP="0046249E">
      <w:pPr>
        <w:spacing w:line="240" w:lineRule="auto"/>
        <w:jc w:val="center"/>
        <w:rPr>
          <w:rFonts w:ascii="Times New Roman" w:hAnsi="Times New Roman" w:cs="Times New Roman"/>
          <w:b/>
          <w:bCs/>
          <w:sz w:val="24"/>
          <w:szCs w:val="24"/>
        </w:rPr>
      </w:pPr>
    </w:p>
    <w:p w14:paraId="40677C86" w14:textId="77777777" w:rsidR="00B23F32" w:rsidRPr="00E168EA" w:rsidRDefault="00B23F32">
      <w:pPr>
        <w:rPr>
          <w:lang w:val="en-GB"/>
        </w:rPr>
      </w:pPr>
      <w:bookmarkStart w:id="0" w:name="_GoBack"/>
      <w:bookmarkEnd w:id="0"/>
    </w:p>
    <w:p w14:paraId="5D20FD84" w14:textId="77777777" w:rsidR="0046249E" w:rsidRPr="00187196" w:rsidRDefault="0046249E" w:rsidP="0046249E">
      <w:pPr>
        <w:jc w:val="center"/>
        <w:rPr>
          <w:rFonts w:ascii="Times New Roman" w:hAnsi="Times New Roman" w:cs="Times New Roman"/>
          <w:b/>
          <w:bCs/>
          <w:i/>
          <w:sz w:val="24"/>
          <w:szCs w:val="24"/>
        </w:rPr>
      </w:pPr>
      <w:r w:rsidRPr="00187196">
        <w:rPr>
          <w:rFonts w:ascii="Times New Roman" w:hAnsi="Times New Roman" w:cs="Times New Roman"/>
          <w:b/>
          <w:bCs/>
          <w:i/>
          <w:sz w:val="24"/>
          <w:szCs w:val="24"/>
        </w:rPr>
        <w:t>ABSTRACT</w:t>
      </w:r>
    </w:p>
    <w:p w14:paraId="55AA8CD0" w14:textId="77777777" w:rsidR="0046249E" w:rsidRPr="00CF14C3" w:rsidRDefault="0046249E" w:rsidP="0046249E">
      <w:pPr>
        <w:spacing w:line="360" w:lineRule="auto"/>
        <w:jc w:val="both"/>
        <w:rPr>
          <w:rFonts w:ascii="Times New Roman" w:hAnsi="Times New Roman" w:cs="Times New Roman"/>
          <w:i/>
          <w:sz w:val="24"/>
          <w:szCs w:val="24"/>
        </w:rPr>
      </w:pPr>
      <w:r w:rsidRPr="00CF14C3">
        <w:rPr>
          <w:rFonts w:ascii="Times New Roman" w:hAnsi="Times New Roman" w:cs="Times New Roman"/>
          <w:i/>
          <w:sz w:val="24"/>
          <w:szCs w:val="24"/>
        </w:rPr>
        <w:t xml:space="preserve">This study examines the demographics and awareness of substance abuse and associated mental health issues among 320 secondary school students at </w:t>
      </w:r>
      <w:proofErr w:type="spellStart"/>
      <w:r w:rsidRPr="00CF14C3">
        <w:rPr>
          <w:rFonts w:ascii="Times New Roman" w:hAnsi="Times New Roman" w:cs="Times New Roman"/>
          <w:i/>
          <w:sz w:val="24"/>
          <w:szCs w:val="24"/>
        </w:rPr>
        <w:t>Salihu</w:t>
      </w:r>
      <w:proofErr w:type="spellEnd"/>
      <w:r w:rsidRPr="00CF14C3">
        <w:rPr>
          <w:rFonts w:ascii="Times New Roman" w:hAnsi="Times New Roman" w:cs="Times New Roman"/>
          <w:i/>
          <w:sz w:val="24"/>
          <w:szCs w:val="24"/>
        </w:rPr>
        <w:t xml:space="preserve"> </w:t>
      </w:r>
      <w:proofErr w:type="spellStart"/>
      <w:r w:rsidRPr="00CF14C3">
        <w:rPr>
          <w:rFonts w:ascii="Times New Roman" w:hAnsi="Times New Roman" w:cs="Times New Roman"/>
          <w:i/>
          <w:sz w:val="24"/>
          <w:szCs w:val="24"/>
        </w:rPr>
        <w:t>Dogo</w:t>
      </w:r>
      <w:proofErr w:type="spellEnd"/>
      <w:r w:rsidRPr="00CF14C3">
        <w:rPr>
          <w:rFonts w:ascii="Times New Roman" w:hAnsi="Times New Roman" w:cs="Times New Roman"/>
          <w:i/>
          <w:sz w:val="24"/>
          <w:szCs w:val="24"/>
        </w:rPr>
        <w:t xml:space="preserve"> Secondary School, </w:t>
      </w:r>
      <w:proofErr w:type="spellStart"/>
      <w:r w:rsidRPr="00CF14C3">
        <w:rPr>
          <w:rFonts w:ascii="Times New Roman" w:hAnsi="Times New Roman" w:cs="Times New Roman"/>
          <w:i/>
          <w:sz w:val="24"/>
          <w:szCs w:val="24"/>
        </w:rPr>
        <w:t>Jalingo</w:t>
      </w:r>
      <w:proofErr w:type="spellEnd"/>
      <w:r w:rsidRPr="00CF14C3">
        <w:rPr>
          <w:rFonts w:ascii="Times New Roman" w:hAnsi="Times New Roman" w:cs="Times New Roman"/>
          <w:i/>
          <w:sz w:val="24"/>
          <w:szCs w:val="24"/>
        </w:rPr>
        <w:t>, Taraba State. Using a cross-sectional field survey, the study aggregated responses across age (10–14, 15–18, 19+), class level (JSS1–SS3), and gender, noting a predominance of students in the 15–18 age group and a male majority with a potential minor data-entry discrepancy in class counts. The investigation also assesses awareness of substance use’s mental health implications, links to academic performance, and perceived school supports. Key findings show that only 34.4% affirmed that substance abuse can affect mental health, while a substantial 95.0% acknowledged general mental health risks related to substance use. About 38.1% believed substance abuse impacts academic performance, with 61.9% disagreeing. A strong consensus identifies peer influence as a driver of substance use (89.1%). Awareness of school resources (98.4%) and education on the effects of substance abuse on mental health (96.6%) was high, yet only 8.8% perceived their in-class information as sufficient. Statistical analyses reveal significant associations between age and awareness, and between gender and awareness levels, suggesting differential tailoring is warranted. The findings imply a need for targeted, age- and gender-responsive, classroom-integrated curricula that explicitly link substance use to mental health and academic outcomes, complemented by peer-led components and improved program quality.</w:t>
      </w:r>
    </w:p>
    <w:p w14:paraId="0AE8FBEE" w14:textId="77777777" w:rsidR="0046249E" w:rsidRDefault="0046249E">
      <w:r>
        <w:br w:type="page"/>
      </w:r>
    </w:p>
    <w:p w14:paraId="2715904F"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lastRenderedPageBreak/>
        <w:t xml:space="preserve">1.1 Background </w:t>
      </w:r>
    </w:p>
    <w:p w14:paraId="014DFF0B"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Mental health is an integral component of overall health and well-being, shaping how individuals think, feel, relate to others, and make choices. The World Health Organization defines mental health as a state of well-being in which individuals realize their abilities, cope with normal life stresses, work productively, and contribute to their communities (World Health Organization [WHO], 2022). Globally, mental health disorders constitute a significant proportion of the burden of disease among adolescents and young people, with approximately one in seven adolescents aged 10–19 years experiencing a mental disorder (WHO, 2021). Depression, anxiety, and behavioral disorders are among the leading causes of illness and disability in this age group (WHO, 2021). These trends underscore the urgent need for mental health promotion and preventive interventions within school settings, particularly in low- and middle-income countries (LMICs).</w:t>
      </w:r>
    </w:p>
    <w:p w14:paraId="283E0265"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Substance abuse is closely intertwined with adolescent mental health. The United Nations Office on Drugs and Crime reports that young people represent a substantial proportion of global drug users, with early initiation increasing the risk of developing substance use disorders and co-occurring mental health conditions (UNODC, 2023). Evidence indicates strong associations between substance use and mental disorders such as depression, anxiety, and psychosis (Volkow et al., 2018; Degenhardt et al., 2018). The bidirectional relationship between substance use and mental health problems suggests that adolescents may use psychoactive substances as maladaptive coping mechanisms, while substance use itself may exacerbate or precipitate mental health conditions (Silins et al., 2018; Hammond et al., 2020). Consequently, integrated mental health promotion and substance abuse prevention strategies are increasingly recommended in school-based interventions (WHO &amp; UNICEF, 2021).</w:t>
      </w:r>
    </w:p>
    <w:p w14:paraId="6DEE9569"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Globally, the COVID-19 pandemic further intensified concerns about youth mental health, with increased reports of psychological distress, social isolation, and heightened substance use risk behaviors among adolescents (Racine et al., 2021; Loades et al., 2020). The UNICEF emphasized that disruptions to schooling and social networks have had lasting psychosocial effects, particularly in resource-constrained settings (UNICEF, 2021). These global developments have reinforced calls for strengthened school-based mental health services and awareness campaigns as critical platforms for early detection and prevention (Kutcher et al., 2019; Weare &amp; Nind, 2018).</w:t>
      </w:r>
    </w:p>
    <w:p w14:paraId="74E6D5BD"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lastRenderedPageBreak/>
        <w:t>In the African context, mental health systems remain under-resourced despite rising prevalence rates. The World Health Organization Regional Office for Africa reports that the treatment gap for mental health conditions in many African countries exceeds 75%, reflecting limited funding, workforce shortages, and persistent stigma (WHO AFRO, 2022). Sociocultural beliefs often attribute mental illness to spiritual or moral causes, contributing to delayed help-seeking and discrimination (</w:t>
      </w:r>
      <w:proofErr w:type="spellStart"/>
      <w:r w:rsidRPr="00C81331">
        <w:rPr>
          <w:rFonts w:ascii="Times New Roman" w:hAnsi="Times New Roman" w:cs="Times New Roman"/>
          <w:sz w:val="24"/>
          <w:szCs w:val="24"/>
        </w:rPr>
        <w:t>Gureje</w:t>
      </w:r>
      <w:proofErr w:type="spellEnd"/>
      <w:r w:rsidRPr="00C81331">
        <w:rPr>
          <w:rFonts w:ascii="Times New Roman" w:hAnsi="Times New Roman" w:cs="Times New Roman"/>
          <w:sz w:val="24"/>
          <w:szCs w:val="24"/>
        </w:rPr>
        <w:t xml:space="preserve"> et al., 2020; Egbe et al., 2019). These challenges are compounded by socio-economic stressors such as poverty, insecurity, and educational inequities, which increase vulnerability to both mental health problems and substance abuse among adolescents (Doku et al., 2020; </w:t>
      </w:r>
      <w:proofErr w:type="spellStart"/>
      <w:r w:rsidRPr="00C81331">
        <w:rPr>
          <w:rFonts w:ascii="Times New Roman" w:hAnsi="Times New Roman" w:cs="Times New Roman"/>
          <w:sz w:val="24"/>
          <w:szCs w:val="24"/>
        </w:rPr>
        <w:t>Olawole</w:t>
      </w:r>
      <w:proofErr w:type="spellEnd"/>
      <w:r w:rsidRPr="00C81331">
        <w:rPr>
          <w:rFonts w:ascii="Times New Roman" w:hAnsi="Times New Roman" w:cs="Times New Roman"/>
          <w:sz w:val="24"/>
          <w:szCs w:val="24"/>
        </w:rPr>
        <w:t>-Isaac et al., 2018).</w:t>
      </w:r>
    </w:p>
    <w:p w14:paraId="56A2AE2B"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Nigeria, as Africa’s most populous nation, faces substantial mental health and substance use challenges among its youth population. A national survey conducted by the National Bureau of Statistics in collaboration with the United Nations Office on Drugs and Crime revealed that approximately 14.4% of Nigerians aged 15–64 years had used drugs in the past year, with significant initiation occurring during adolescence (UNODC &amp; NBS, 2018). Cannabis, opioids (including tramadol), and cough syrups containing codeine are among the most commonly misused substances (UNODC &amp; NBS, 2018; NDLEA, 2022). The National Drug Law Enforcement Agency has consistently reported increasing cases of substance-related arrests involving young people, highlighting a growing public health concern (NDLEA, 2022).</w:t>
      </w:r>
    </w:p>
    <w:p w14:paraId="3A0080DD"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Recent Nigerian studies further demonstrate high prevalence rates of psychological distress and substance use among secondary school students and undergraduates (</w:t>
      </w:r>
      <w:proofErr w:type="spellStart"/>
      <w:r w:rsidRPr="00C81331">
        <w:rPr>
          <w:rFonts w:ascii="Times New Roman" w:hAnsi="Times New Roman" w:cs="Times New Roman"/>
          <w:sz w:val="24"/>
          <w:szCs w:val="24"/>
        </w:rPr>
        <w:t>Atilola</w:t>
      </w:r>
      <w:proofErr w:type="spellEnd"/>
      <w:r w:rsidRPr="00C81331">
        <w:rPr>
          <w:rFonts w:ascii="Times New Roman" w:hAnsi="Times New Roman" w:cs="Times New Roman"/>
          <w:sz w:val="24"/>
          <w:szCs w:val="24"/>
        </w:rPr>
        <w:t xml:space="preserve">, 2017; </w:t>
      </w:r>
      <w:proofErr w:type="spellStart"/>
      <w:r w:rsidRPr="00C81331">
        <w:rPr>
          <w:rFonts w:ascii="Times New Roman" w:hAnsi="Times New Roman" w:cs="Times New Roman"/>
          <w:sz w:val="24"/>
          <w:szCs w:val="24"/>
        </w:rPr>
        <w:t>Ogundipe</w:t>
      </w:r>
      <w:proofErr w:type="spellEnd"/>
      <w:r w:rsidRPr="00C81331">
        <w:rPr>
          <w:rFonts w:ascii="Times New Roman" w:hAnsi="Times New Roman" w:cs="Times New Roman"/>
          <w:sz w:val="24"/>
          <w:szCs w:val="24"/>
        </w:rPr>
        <w:t xml:space="preserve"> et al., 2021; Terem et al., 2024). For example, Terem et al. (2024) found that although awareness of mental health issues among university students in southern Nigeria was moderate, actual engagement in mental health-promoting practices was low, largely due to stigma, misinformation, and cultural barriers. Similarly, Michael (2021) identified significant associations between socio-demographic factors, psychiatric diagnoses, and substance abuse among patients in Ogun State, underscoring the complex interplay between mental illness and substance use. These findings align with broader evidence that untreated mental health conditions increase susceptibility to substance misuse, and vice versa (Degenhardt et al., 2018; Volkow et al., 2018).</w:t>
      </w:r>
    </w:p>
    <w:p w14:paraId="405C5E93"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Within Northern Nigeria, socio-cultural norms, economic hardship, and limited mental health infrastructure pose additional challenges (</w:t>
      </w:r>
      <w:proofErr w:type="spellStart"/>
      <w:r w:rsidRPr="00C81331">
        <w:rPr>
          <w:rFonts w:ascii="Times New Roman" w:hAnsi="Times New Roman" w:cs="Times New Roman"/>
          <w:sz w:val="24"/>
          <w:szCs w:val="24"/>
        </w:rPr>
        <w:t>Gureje</w:t>
      </w:r>
      <w:proofErr w:type="spellEnd"/>
      <w:r w:rsidRPr="00C81331">
        <w:rPr>
          <w:rFonts w:ascii="Times New Roman" w:hAnsi="Times New Roman" w:cs="Times New Roman"/>
          <w:sz w:val="24"/>
          <w:szCs w:val="24"/>
        </w:rPr>
        <w:t xml:space="preserve"> et al., 2020). Taraba State, characterized by </w:t>
      </w:r>
      <w:r w:rsidRPr="00C81331">
        <w:rPr>
          <w:rFonts w:ascii="Times New Roman" w:hAnsi="Times New Roman" w:cs="Times New Roman"/>
          <w:sz w:val="24"/>
          <w:szCs w:val="24"/>
        </w:rPr>
        <w:lastRenderedPageBreak/>
        <w:t>ethnic diversity and socio-economic vulnerabilities, reflects many of these systemic constraints. Emerging reports indicate increasing experimentation with psychoactive substances among adolescents in secondary schools, raising concerns about long-term educational and psychosocial outcomes (</w:t>
      </w:r>
      <w:proofErr w:type="spellStart"/>
      <w:r w:rsidRPr="00C81331">
        <w:rPr>
          <w:rFonts w:ascii="Times New Roman" w:hAnsi="Times New Roman" w:cs="Times New Roman"/>
          <w:sz w:val="24"/>
          <w:szCs w:val="24"/>
        </w:rPr>
        <w:t>Eze</w:t>
      </w:r>
      <w:proofErr w:type="spellEnd"/>
      <w:r w:rsidRPr="00C81331">
        <w:rPr>
          <w:rFonts w:ascii="Times New Roman" w:hAnsi="Times New Roman" w:cs="Times New Roman"/>
          <w:sz w:val="24"/>
          <w:szCs w:val="24"/>
        </w:rPr>
        <w:t xml:space="preserve">, 2021; </w:t>
      </w:r>
      <w:proofErr w:type="spellStart"/>
      <w:r w:rsidRPr="00C81331">
        <w:rPr>
          <w:rFonts w:ascii="Times New Roman" w:hAnsi="Times New Roman" w:cs="Times New Roman"/>
          <w:sz w:val="24"/>
          <w:szCs w:val="24"/>
        </w:rPr>
        <w:t>Gawuna</w:t>
      </w:r>
      <w:proofErr w:type="spellEnd"/>
      <w:r w:rsidRPr="00C81331">
        <w:rPr>
          <w:rFonts w:ascii="Times New Roman" w:hAnsi="Times New Roman" w:cs="Times New Roman"/>
          <w:sz w:val="24"/>
          <w:szCs w:val="24"/>
        </w:rPr>
        <w:t xml:space="preserve"> et al., 2023). School environments, while offering opportunities for early intervention, often lack structured mental health promotion programs, trained counselors, and evidence-based substance abuse prevention frameworks (Kutcher et al., 2019; WHO &amp; UNESCO, 2021).</w:t>
      </w:r>
    </w:p>
    <w:p w14:paraId="32A50166"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Stigma remains a pervasive barrier to mental health promotion in Nigeria. Adolescents frequently avoid seeking professional help due to fear of labeling, discrimination, or being perceived as weak (</w:t>
      </w:r>
      <w:proofErr w:type="spellStart"/>
      <w:r w:rsidRPr="00C81331">
        <w:rPr>
          <w:rFonts w:ascii="Times New Roman" w:hAnsi="Times New Roman" w:cs="Times New Roman"/>
          <w:sz w:val="24"/>
          <w:szCs w:val="24"/>
        </w:rPr>
        <w:t>Bamgboye</w:t>
      </w:r>
      <w:proofErr w:type="spellEnd"/>
      <w:r w:rsidRPr="00C81331">
        <w:rPr>
          <w:rFonts w:ascii="Times New Roman" w:hAnsi="Times New Roman" w:cs="Times New Roman"/>
          <w:sz w:val="24"/>
          <w:szCs w:val="24"/>
        </w:rPr>
        <w:t xml:space="preserve">, 2019; Ibrahim, 2018; </w:t>
      </w:r>
      <w:proofErr w:type="spellStart"/>
      <w:r w:rsidRPr="00C81331">
        <w:rPr>
          <w:rFonts w:ascii="Times New Roman" w:hAnsi="Times New Roman" w:cs="Times New Roman"/>
          <w:sz w:val="24"/>
          <w:szCs w:val="24"/>
        </w:rPr>
        <w:t>Atilola</w:t>
      </w:r>
      <w:proofErr w:type="spellEnd"/>
      <w:r w:rsidRPr="00C81331">
        <w:rPr>
          <w:rFonts w:ascii="Times New Roman" w:hAnsi="Times New Roman" w:cs="Times New Roman"/>
          <w:sz w:val="24"/>
          <w:szCs w:val="24"/>
        </w:rPr>
        <w:t>, 2017). Research demonstrates that stigma reduction, mental health literacy, and peer-led awareness initiatives significantly improve help-seeking attitudes and reduce substance use risk behaviors among students (Wei et al., 2017; Milin et al., 2019). The United Nations Educational, Scientific and Cultural Organization advocates integrating mental health education into school curricula as part of a whole-school approach to health promotion (UNESCO, 2021).</w:t>
      </w:r>
    </w:p>
    <w:p w14:paraId="7F337147"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Given the developmental sensitivity of adolescence, preventive interventions implemented within secondary schools are particularly impactful (Patton et al., 2018). School-based mental health promotion programs that combine life skills training, psychosocial support, and substance abuse education have demonstrated effectiveness in improving resilience and reducing risky behaviors (WHO &amp; UNICEF, 2021; Weare &amp; Nind, 2018). However, empirical data specific to secondary schools in Taraba State remain limited, creating a critical research gap.</w:t>
      </w:r>
    </w:p>
    <w:p w14:paraId="738DBF14"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Against this backdrop, the present study on mental health promotion and awareness regarding substance abuse among students of </w:t>
      </w:r>
      <w:proofErr w:type="spellStart"/>
      <w:r w:rsidRPr="00C81331">
        <w:rPr>
          <w:rFonts w:ascii="Times New Roman" w:hAnsi="Times New Roman" w:cs="Times New Roman"/>
          <w:sz w:val="24"/>
          <w:szCs w:val="24"/>
        </w:rPr>
        <w:t>Salihu</w:t>
      </w:r>
      <w:proofErr w:type="spellEnd"/>
      <w:r w:rsidRPr="00C81331">
        <w:rPr>
          <w:rFonts w:ascii="Times New Roman" w:hAnsi="Times New Roman" w:cs="Times New Roman"/>
          <w:sz w:val="24"/>
          <w:szCs w:val="24"/>
        </w:rPr>
        <w:t xml:space="preserve">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Taraba State, is timely and necessary. By situating the investigation within global, regional, and national evidence, the study seeks to contribute to the growing body of literature emphasizing school-based mental health promotion as a strategic response to adolescent substance abuse and psychological distress.</w:t>
      </w:r>
    </w:p>
    <w:p w14:paraId="1FE86013"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2.0 Methods</w:t>
      </w:r>
    </w:p>
    <w:p w14:paraId="30BA6B7B"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 Research Design</w:t>
      </w:r>
    </w:p>
    <w:p w14:paraId="7ABA1875"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lastRenderedPageBreak/>
        <w:t>This study adopted a descriptive cross-sectional survey design. The design provides a systematic framework for collecting, analyzing, and interpreting data to describe existing conditions without manipulating variables (Gall &amp; Borg, 2016). The approach was appropriate for assessing levels of mental health promotion and awareness regarding substance abuse among students, and for examining relationships between study variables at a single point in time.</w:t>
      </w:r>
    </w:p>
    <w:p w14:paraId="50494B58"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2.2 Area of the Study</w:t>
      </w:r>
    </w:p>
    <w:p w14:paraId="26DC5F23"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The study was conducted in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the capital city of Taraba State, located in northeastern Nigeria.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lies approximately at latitude 8.900°N and longitude 11.367°E. The city has an estimated population of about 418,000 (</w:t>
      </w:r>
      <w:proofErr w:type="spellStart"/>
      <w:r w:rsidRPr="00C81331">
        <w:rPr>
          <w:rFonts w:ascii="Times New Roman" w:hAnsi="Times New Roman" w:cs="Times New Roman"/>
          <w:sz w:val="24"/>
          <w:szCs w:val="24"/>
        </w:rPr>
        <w:t>Orunonye</w:t>
      </w:r>
      <w:proofErr w:type="spellEnd"/>
      <w:r w:rsidRPr="00C81331">
        <w:rPr>
          <w:rFonts w:ascii="Times New Roman" w:hAnsi="Times New Roman" w:cs="Times New Roman"/>
          <w:sz w:val="24"/>
          <w:szCs w:val="24"/>
        </w:rPr>
        <w:t xml:space="preserve">, 2021). It experiences a tropical climate characterized by distinct wet and dry seasons, with high temperatures throughout most of the year. The study site was </w:t>
      </w:r>
      <w:proofErr w:type="spellStart"/>
      <w:r w:rsidRPr="00C81331">
        <w:rPr>
          <w:rFonts w:ascii="Times New Roman" w:hAnsi="Times New Roman" w:cs="Times New Roman"/>
          <w:sz w:val="24"/>
          <w:szCs w:val="24"/>
        </w:rPr>
        <w:t>Salihu</w:t>
      </w:r>
      <w:proofErr w:type="spellEnd"/>
      <w:r w:rsidRPr="00C81331">
        <w:rPr>
          <w:rFonts w:ascii="Times New Roman" w:hAnsi="Times New Roman" w:cs="Times New Roman"/>
          <w:sz w:val="24"/>
          <w:szCs w:val="24"/>
        </w:rPr>
        <w:t xml:space="preserve">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a public secondary school within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metropolis.</w:t>
      </w:r>
    </w:p>
    <w:p w14:paraId="6F3A9854"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2.3 Population of the Study</w:t>
      </w:r>
    </w:p>
    <w:p w14:paraId="35F2CDD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The target population comprised all students enrolled at </w:t>
      </w:r>
      <w:proofErr w:type="spellStart"/>
      <w:r w:rsidRPr="00C81331">
        <w:rPr>
          <w:rFonts w:ascii="Times New Roman" w:hAnsi="Times New Roman" w:cs="Times New Roman"/>
          <w:sz w:val="24"/>
          <w:szCs w:val="24"/>
        </w:rPr>
        <w:t>Salihu</w:t>
      </w:r>
      <w:proofErr w:type="spellEnd"/>
      <w:r w:rsidRPr="00C81331">
        <w:rPr>
          <w:rFonts w:ascii="Times New Roman" w:hAnsi="Times New Roman" w:cs="Times New Roman"/>
          <w:sz w:val="24"/>
          <w:szCs w:val="24"/>
        </w:rPr>
        <w:t xml:space="preserve">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According to the school management records (2025), the total student population was approximately 1,735.</w:t>
      </w:r>
    </w:p>
    <w:p w14:paraId="3ECEBC25"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2.4 Sample Size Determination</w:t>
      </w:r>
    </w:p>
    <w:p w14:paraId="1C149C87"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The sample size was determined using Taro Yamane’s (1967)</w:t>
      </w:r>
      <w:r>
        <w:rPr>
          <w:rFonts w:ascii="Times New Roman" w:hAnsi="Times New Roman" w:cs="Times New Roman"/>
          <w:sz w:val="24"/>
          <w:szCs w:val="24"/>
        </w:rPr>
        <w:t xml:space="preserve"> formula for finite populations </w:t>
      </w:r>
      <w:proofErr w:type="gramStart"/>
      <w:r>
        <w:rPr>
          <w:rFonts w:ascii="Times New Roman" w:hAnsi="Times New Roman" w:cs="Times New Roman"/>
          <w:sz w:val="24"/>
          <w:szCs w:val="24"/>
        </w:rPr>
        <w:t xml:space="preserve">hence, </w:t>
      </w:r>
      <w:r w:rsidRPr="00C81331">
        <w:rPr>
          <w:rFonts w:ascii="Times New Roman" w:hAnsi="Times New Roman" w:cs="Times New Roman"/>
          <w:sz w:val="24"/>
          <w:szCs w:val="24"/>
        </w:rPr>
        <w:t xml:space="preserve"> a</w:t>
      </w:r>
      <w:proofErr w:type="gramEnd"/>
      <w:r w:rsidRPr="00C81331">
        <w:rPr>
          <w:rFonts w:ascii="Times New Roman" w:hAnsi="Times New Roman" w:cs="Times New Roman"/>
          <w:sz w:val="24"/>
          <w:szCs w:val="24"/>
        </w:rPr>
        <w:t xml:space="preserve"> total of 327 students </w:t>
      </w:r>
      <w:r>
        <w:rPr>
          <w:rFonts w:ascii="Times New Roman" w:hAnsi="Times New Roman" w:cs="Times New Roman"/>
          <w:sz w:val="24"/>
          <w:szCs w:val="24"/>
        </w:rPr>
        <w:t>were obtained using the formular</w:t>
      </w:r>
      <w:r w:rsidRPr="00C81331">
        <w:rPr>
          <w:rFonts w:ascii="Times New Roman" w:hAnsi="Times New Roman" w:cs="Times New Roman"/>
          <w:sz w:val="24"/>
          <w:szCs w:val="24"/>
        </w:rPr>
        <w:t>.</w:t>
      </w:r>
    </w:p>
    <w:p w14:paraId="5DC5ACA6"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2.5 Sampling Technique</w:t>
      </w:r>
    </w:p>
    <w:p w14:paraId="037D52B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lastRenderedPageBreak/>
        <w:t>A simple random sampling technique was employed to ensure that each student had an equal probability of selection. The sampling frame consisted of the official student register. Selected participants were drawn proportionately across class levels to enhance representativeness.</w:t>
      </w:r>
    </w:p>
    <w:p w14:paraId="79DA29D6"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2.6 Instrument for Data Collection</w:t>
      </w:r>
    </w:p>
    <w:p w14:paraId="4183F944"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Data were collected using a structured, self-administered questionnaire developed by the researcher titled </w:t>
      </w:r>
      <w:r w:rsidRPr="00C81331">
        <w:rPr>
          <w:rFonts w:ascii="Times New Roman" w:hAnsi="Times New Roman" w:cs="Times New Roman"/>
          <w:i/>
          <w:iCs/>
          <w:sz w:val="24"/>
          <w:szCs w:val="24"/>
        </w:rPr>
        <w:t>Mental Health Promotion and Substance Abuse Awareness Questionnaire (MHPSAAQ)</w:t>
      </w:r>
      <w:r w:rsidRPr="00C81331">
        <w:rPr>
          <w:rFonts w:ascii="Times New Roman" w:hAnsi="Times New Roman" w:cs="Times New Roman"/>
          <w:sz w:val="24"/>
          <w:szCs w:val="24"/>
        </w:rPr>
        <w:t>. The instrument consisted of three sections:</w:t>
      </w:r>
    </w:p>
    <w:p w14:paraId="7EFE8FB9"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A:</w:t>
      </w:r>
      <w:r w:rsidRPr="00C81331">
        <w:rPr>
          <w:rFonts w:ascii="Times New Roman" w:hAnsi="Times New Roman" w:cs="Times New Roman"/>
          <w:sz w:val="24"/>
          <w:szCs w:val="24"/>
        </w:rPr>
        <w:t xml:space="preserve"> Socio-demographic characteristics (e.g., age, gender, class level).</w:t>
      </w:r>
    </w:p>
    <w:p w14:paraId="06DCAD3D"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B:</w:t>
      </w:r>
      <w:r w:rsidRPr="00C81331">
        <w:rPr>
          <w:rFonts w:ascii="Times New Roman" w:hAnsi="Times New Roman" w:cs="Times New Roman"/>
          <w:sz w:val="24"/>
          <w:szCs w:val="24"/>
        </w:rPr>
        <w:t xml:space="preserve"> Items assessing awareness and knowledge regarding substance abuse.</w:t>
      </w:r>
    </w:p>
    <w:p w14:paraId="5AEEA88B"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C:</w:t>
      </w:r>
      <w:r w:rsidRPr="00C81331">
        <w:rPr>
          <w:rFonts w:ascii="Times New Roman" w:hAnsi="Times New Roman" w:cs="Times New Roman"/>
          <w:sz w:val="24"/>
          <w:szCs w:val="24"/>
        </w:rPr>
        <w:t xml:space="preserve"> Items assessing exposure to and perceptions of mental health promotion activities.</w:t>
      </w:r>
    </w:p>
    <w:p w14:paraId="10C4BCDB"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Responses were structured using a Likert-type scale and closed-ended questions to facilitate quantitative analysis.</w:t>
      </w:r>
    </w:p>
    <w:p w14:paraId="668DE7A9"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2.7 Validity of the Instrument</w:t>
      </w:r>
    </w:p>
    <w:p w14:paraId="6CFD30E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Content and face validity were established through expert review by specialists in educational research and mental health. The instrument was examined for clarity, relevance, comprehensiveness, and alignment with study objectives. Necessary revisions were incorporated based on feedback from the supervisor and subject experts.</w:t>
      </w:r>
    </w:p>
    <w:p w14:paraId="48493CEC"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2.8 Reliability of the Instrument</w:t>
      </w:r>
    </w:p>
    <w:p w14:paraId="3CB2F616"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A pilot study was conducted among students from a comparable secondary school outside the study area. Internal consistency reliability was determined using Cronbach’s Alpha coefficient. A </w:t>
      </w:r>
      <w:r w:rsidRPr="00C81331">
        <w:rPr>
          <w:rFonts w:ascii="Times New Roman" w:hAnsi="Times New Roman" w:cs="Times New Roman"/>
          <w:sz w:val="24"/>
          <w:szCs w:val="24"/>
        </w:rPr>
        <w:lastRenderedPageBreak/>
        <w:t>threshold value of 0.70 and above was considered acceptable for scale reliability. The instrument demonstrated satisfactory internal consistency.</w:t>
      </w:r>
    </w:p>
    <w:p w14:paraId="3897875B"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2.9 Procedure for Data Collection</w:t>
      </w:r>
    </w:p>
    <w:p w14:paraId="28306DF9"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Ethical approval was obtained from the school authority prior to data collection. Written informed consent was secured from participants, and assent procedures were followed where applicable. The questionnaires were administered during school hours with the assistance of class teachers. Completed questionnaires were retrieved immediately, screened for completeness, and coded for analysis.</w:t>
      </w:r>
    </w:p>
    <w:p w14:paraId="64F7C0F9"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2.10 Method of Data Analysis</w:t>
      </w:r>
    </w:p>
    <w:p w14:paraId="0FB2F04B"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Data were analyzed using the Statistical Package for the Social Sciences (SPSS) version 23. Descriptive statistics (frequencies, percentages, means, and standard deviations) were used to summarize demographic variables and research questions. Inferential statistics, specifically Chi-square (χ²) tests, were employed to test study hypotheses at a 0.05 level of significance.</w:t>
      </w:r>
    </w:p>
    <w:p w14:paraId="5EB92CEF"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2.11 Ethical Considerations</w:t>
      </w:r>
    </w:p>
    <w:p w14:paraId="00FDB5CE"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Ethical principles of confidentiality, anonymity, voluntary participation, and informed consent were strictly observed. Participants were assured that their responses would be used solely for academic purposes. No identifying information was collected. The study also ensured cultural sensitivity and adopted a non-stigmatizing approach in addressing issues related to mental health and substance abuse.</w:t>
      </w:r>
    </w:p>
    <w:p w14:paraId="20343F4F" w14:textId="40D564D1" w:rsidR="0046249E" w:rsidRPr="0046249E" w:rsidRDefault="00C81331" w:rsidP="0046249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6249E" w:rsidRPr="0046249E">
        <w:rPr>
          <w:rFonts w:ascii="Times New Roman" w:hAnsi="Times New Roman" w:cs="Times New Roman"/>
          <w:b/>
          <w:sz w:val="24"/>
          <w:szCs w:val="24"/>
        </w:rPr>
        <w:t>Results</w:t>
      </w:r>
      <w:r w:rsidR="00926C14">
        <w:rPr>
          <w:rFonts w:ascii="Times New Roman" w:hAnsi="Times New Roman" w:cs="Times New Roman"/>
          <w:b/>
          <w:sz w:val="24"/>
          <w:szCs w:val="24"/>
        </w:rPr>
        <w:t xml:space="preserve"> &amp; </w:t>
      </w:r>
      <w:r w:rsidR="00926C14" w:rsidRPr="00926C14">
        <w:rPr>
          <w:rFonts w:ascii="Times New Roman" w:hAnsi="Times New Roman" w:cs="Times New Roman"/>
          <w:b/>
          <w:sz w:val="24"/>
          <w:szCs w:val="24"/>
        </w:rPr>
        <w:t>Discussion</w:t>
      </w:r>
    </w:p>
    <w:p w14:paraId="0F6D7845" w14:textId="44E60A6D" w:rsidR="0046249E" w:rsidRPr="0075364C" w:rsidRDefault="00C81331" w:rsidP="0046249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1</w:t>
      </w:r>
      <w:r w:rsidR="0046249E" w:rsidRPr="0075364C">
        <w:rPr>
          <w:rFonts w:ascii="Times New Roman" w:hAnsi="Times New Roman" w:cs="Times New Roman"/>
          <w:b/>
          <w:bCs/>
          <w:sz w:val="24"/>
          <w:szCs w:val="24"/>
        </w:rPr>
        <w:tab/>
        <w:t>Demographic Characteristics of Respondents.</w:t>
      </w:r>
    </w:p>
    <w:tbl>
      <w:tblPr>
        <w:tblStyle w:val="TableGrid"/>
        <w:tblW w:w="101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2719"/>
        <w:gridCol w:w="2216"/>
        <w:gridCol w:w="2398"/>
      </w:tblGrid>
      <w:tr w:rsidR="0046249E" w:rsidRPr="0075364C" w14:paraId="1D6683CC" w14:textId="77777777" w:rsidTr="00E13C56">
        <w:trPr>
          <w:trHeight w:val="519"/>
        </w:trPr>
        <w:tc>
          <w:tcPr>
            <w:tcW w:w="2771" w:type="dxa"/>
            <w:tcBorders>
              <w:top w:val="single" w:sz="4" w:space="0" w:color="auto"/>
              <w:left w:val="nil"/>
              <w:bottom w:val="single" w:sz="4" w:space="0" w:color="auto"/>
              <w:right w:val="nil"/>
            </w:tcBorders>
            <w:hideMark/>
          </w:tcPr>
          <w:p w14:paraId="75ABA161" w14:textId="77777777" w:rsidR="0046249E" w:rsidRPr="0075364C" w:rsidRDefault="0046249E" w:rsidP="00E13C56">
            <w:pPr>
              <w:tabs>
                <w:tab w:val="left" w:pos="1190"/>
              </w:tabs>
              <w:rPr>
                <w:rFonts w:ascii="Times New Roman" w:hAnsi="Times New Roman" w:cs="Times New Roman"/>
                <w:b/>
                <w:bCs/>
                <w:sz w:val="24"/>
                <w:szCs w:val="24"/>
              </w:rPr>
            </w:pPr>
            <w:r w:rsidRPr="0075364C">
              <w:rPr>
                <w:rFonts w:ascii="Times New Roman" w:hAnsi="Times New Roman" w:cs="Times New Roman"/>
                <w:b/>
                <w:bCs/>
                <w:sz w:val="24"/>
                <w:szCs w:val="24"/>
              </w:rPr>
              <w:lastRenderedPageBreak/>
              <w:t>Factors</w:t>
            </w:r>
            <w:r w:rsidRPr="0075364C">
              <w:rPr>
                <w:rFonts w:ascii="Times New Roman" w:hAnsi="Times New Roman" w:cs="Times New Roman"/>
                <w:b/>
                <w:bCs/>
                <w:sz w:val="24"/>
                <w:szCs w:val="24"/>
              </w:rPr>
              <w:tab/>
            </w:r>
          </w:p>
        </w:tc>
        <w:tc>
          <w:tcPr>
            <w:tcW w:w="2719" w:type="dxa"/>
            <w:tcBorders>
              <w:top w:val="single" w:sz="4" w:space="0" w:color="auto"/>
              <w:left w:val="nil"/>
              <w:bottom w:val="single" w:sz="4" w:space="0" w:color="auto"/>
              <w:right w:val="nil"/>
            </w:tcBorders>
            <w:hideMark/>
          </w:tcPr>
          <w:p w14:paraId="545AF22C"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Group</w:t>
            </w:r>
          </w:p>
        </w:tc>
        <w:tc>
          <w:tcPr>
            <w:tcW w:w="2216" w:type="dxa"/>
            <w:tcBorders>
              <w:top w:val="single" w:sz="4" w:space="0" w:color="auto"/>
              <w:left w:val="nil"/>
              <w:bottom w:val="single" w:sz="4" w:space="0" w:color="auto"/>
              <w:right w:val="nil"/>
            </w:tcBorders>
            <w:hideMark/>
          </w:tcPr>
          <w:p w14:paraId="400961D1"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Frequency</w:t>
            </w:r>
          </w:p>
        </w:tc>
        <w:tc>
          <w:tcPr>
            <w:tcW w:w="2398" w:type="dxa"/>
            <w:tcBorders>
              <w:top w:val="single" w:sz="4" w:space="0" w:color="auto"/>
              <w:left w:val="nil"/>
              <w:bottom w:val="single" w:sz="4" w:space="0" w:color="auto"/>
              <w:right w:val="nil"/>
            </w:tcBorders>
            <w:hideMark/>
          </w:tcPr>
          <w:p w14:paraId="42FA74FA"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Percentage %</w:t>
            </w:r>
          </w:p>
        </w:tc>
      </w:tr>
      <w:tr w:rsidR="0046249E" w:rsidRPr="0075364C" w14:paraId="5EC59C68" w14:textId="77777777" w:rsidTr="00E13C56">
        <w:trPr>
          <w:trHeight w:val="519"/>
        </w:trPr>
        <w:tc>
          <w:tcPr>
            <w:tcW w:w="2771" w:type="dxa"/>
            <w:tcBorders>
              <w:top w:val="single" w:sz="4" w:space="0" w:color="auto"/>
              <w:left w:val="nil"/>
              <w:bottom w:val="nil"/>
              <w:right w:val="nil"/>
            </w:tcBorders>
            <w:hideMark/>
          </w:tcPr>
          <w:p w14:paraId="00DAEEF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Age</w:t>
            </w:r>
          </w:p>
        </w:tc>
        <w:tc>
          <w:tcPr>
            <w:tcW w:w="2719" w:type="dxa"/>
            <w:tcBorders>
              <w:top w:val="single" w:sz="4" w:space="0" w:color="auto"/>
              <w:left w:val="nil"/>
              <w:bottom w:val="nil"/>
              <w:right w:val="nil"/>
            </w:tcBorders>
          </w:tcPr>
          <w:p w14:paraId="6A0D787A"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10-14</w:t>
            </w:r>
          </w:p>
          <w:p w14:paraId="21D3D3D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 xml:space="preserve">15-18 </w:t>
            </w:r>
          </w:p>
          <w:p w14:paraId="567387A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 xml:space="preserve">19 and above </w:t>
            </w:r>
          </w:p>
          <w:p w14:paraId="2928A8C7" w14:textId="77777777" w:rsidR="0046249E" w:rsidRPr="0075364C" w:rsidRDefault="0046249E" w:rsidP="00E13C56">
            <w:pPr>
              <w:rPr>
                <w:rFonts w:ascii="Times New Roman" w:hAnsi="Times New Roman" w:cs="Times New Roman"/>
                <w:b/>
                <w:sz w:val="24"/>
                <w:szCs w:val="24"/>
              </w:rPr>
            </w:pPr>
          </w:p>
          <w:p w14:paraId="17DFA539" w14:textId="77777777" w:rsidR="0046249E" w:rsidRPr="0075364C" w:rsidRDefault="0046249E" w:rsidP="00E13C56">
            <w:pPr>
              <w:rPr>
                <w:rFonts w:ascii="Times New Roman" w:hAnsi="Times New Roman" w:cs="Times New Roman"/>
                <w:sz w:val="24"/>
                <w:szCs w:val="24"/>
              </w:rPr>
            </w:pPr>
          </w:p>
        </w:tc>
        <w:tc>
          <w:tcPr>
            <w:tcW w:w="2216" w:type="dxa"/>
            <w:tcBorders>
              <w:top w:val="single" w:sz="4" w:space="0" w:color="auto"/>
              <w:left w:val="nil"/>
              <w:bottom w:val="nil"/>
              <w:right w:val="nil"/>
            </w:tcBorders>
          </w:tcPr>
          <w:p w14:paraId="79D247C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92</w:t>
            </w:r>
          </w:p>
          <w:p w14:paraId="1317C555"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191</w:t>
            </w:r>
          </w:p>
          <w:p w14:paraId="11F9F811"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37</w:t>
            </w:r>
          </w:p>
          <w:p w14:paraId="3DAE61C4"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320</w:t>
            </w:r>
          </w:p>
          <w:p w14:paraId="65E981E1" w14:textId="77777777" w:rsidR="0046249E" w:rsidRPr="0075364C" w:rsidRDefault="0046249E" w:rsidP="00E13C56">
            <w:pPr>
              <w:rPr>
                <w:rFonts w:ascii="Times New Roman" w:hAnsi="Times New Roman" w:cs="Times New Roman"/>
                <w:b/>
                <w:sz w:val="24"/>
                <w:szCs w:val="24"/>
              </w:rPr>
            </w:pPr>
          </w:p>
        </w:tc>
        <w:tc>
          <w:tcPr>
            <w:tcW w:w="2398" w:type="dxa"/>
            <w:tcBorders>
              <w:top w:val="single" w:sz="4" w:space="0" w:color="auto"/>
              <w:left w:val="nil"/>
              <w:bottom w:val="nil"/>
              <w:right w:val="nil"/>
            </w:tcBorders>
            <w:hideMark/>
          </w:tcPr>
          <w:p w14:paraId="4A28813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28.8</w:t>
            </w:r>
          </w:p>
          <w:p w14:paraId="0EF2B53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59.7</w:t>
            </w:r>
          </w:p>
          <w:p w14:paraId="101FA1DB"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11.6</w:t>
            </w:r>
          </w:p>
          <w:p w14:paraId="289106FB"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100</w:t>
            </w:r>
          </w:p>
        </w:tc>
      </w:tr>
      <w:tr w:rsidR="0046249E" w:rsidRPr="0075364C" w14:paraId="69AA1551" w14:textId="77777777" w:rsidTr="00E13C56">
        <w:trPr>
          <w:trHeight w:val="297"/>
        </w:trPr>
        <w:tc>
          <w:tcPr>
            <w:tcW w:w="2771" w:type="dxa"/>
            <w:tcBorders>
              <w:top w:val="nil"/>
              <w:left w:val="nil"/>
              <w:bottom w:val="nil"/>
              <w:right w:val="nil"/>
            </w:tcBorders>
            <w:hideMark/>
          </w:tcPr>
          <w:p w14:paraId="5E0E17B9"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Class</w:t>
            </w:r>
          </w:p>
        </w:tc>
        <w:tc>
          <w:tcPr>
            <w:tcW w:w="2719" w:type="dxa"/>
            <w:tcBorders>
              <w:top w:val="nil"/>
              <w:left w:val="nil"/>
              <w:bottom w:val="nil"/>
              <w:right w:val="nil"/>
            </w:tcBorders>
            <w:hideMark/>
          </w:tcPr>
          <w:p w14:paraId="5DB0FB2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1</w:t>
            </w:r>
          </w:p>
        </w:tc>
        <w:tc>
          <w:tcPr>
            <w:tcW w:w="2216" w:type="dxa"/>
            <w:tcBorders>
              <w:top w:val="nil"/>
              <w:left w:val="nil"/>
              <w:bottom w:val="nil"/>
              <w:right w:val="nil"/>
            </w:tcBorders>
            <w:hideMark/>
          </w:tcPr>
          <w:p w14:paraId="69A01D66"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36</w:t>
            </w:r>
          </w:p>
        </w:tc>
        <w:tc>
          <w:tcPr>
            <w:tcW w:w="2398" w:type="dxa"/>
            <w:tcBorders>
              <w:top w:val="nil"/>
              <w:left w:val="nil"/>
              <w:bottom w:val="nil"/>
              <w:right w:val="nil"/>
            </w:tcBorders>
            <w:hideMark/>
          </w:tcPr>
          <w:p w14:paraId="3E94B32A"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11.3</w:t>
            </w:r>
          </w:p>
        </w:tc>
      </w:tr>
      <w:tr w:rsidR="0046249E" w:rsidRPr="0075364C" w14:paraId="00D7B0AC" w14:textId="77777777" w:rsidTr="00E13C56">
        <w:trPr>
          <w:trHeight w:val="502"/>
        </w:trPr>
        <w:tc>
          <w:tcPr>
            <w:tcW w:w="2771" w:type="dxa"/>
            <w:tcBorders>
              <w:top w:val="nil"/>
              <w:left w:val="nil"/>
              <w:bottom w:val="nil"/>
              <w:right w:val="nil"/>
            </w:tcBorders>
          </w:tcPr>
          <w:p w14:paraId="3D00B412"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F08E2B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2</w:t>
            </w:r>
          </w:p>
        </w:tc>
        <w:tc>
          <w:tcPr>
            <w:tcW w:w="2216" w:type="dxa"/>
            <w:tcBorders>
              <w:top w:val="nil"/>
              <w:left w:val="nil"/>
              <w:bottom w:val="nil"/>
              <w:right w:val="nil"/>
            </w:tcBorders>
            <w:hideMark/>
          </w:tcPr>
          <w:p w14:paraId="72EF627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50</w:t>
            </w:r>
          </w:p>
        </w:tc>
        <w:tc>
          <w:tcPr>
            <w:tcW w:w="2398" w:type="dxa"/>
            <w:tcBorders>
              <w:top w:val="nil"/>
              <w:left w:val="nil"/>
              <w:bottom w:val="nil"/>
              <w:right w:val="nil"/>
            </w:tcBorders>
            <w:hideMark/>
          </w:tcPr>
          <w:p w14:paraId="64A09DE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15.6</w:t>
            </w:r>
          </w:p>
        </w:tc>
      </w:tr>
      <w:tr w:rsidR="0046249E" w:rsidRPr="0075364C" w14:paraId="4931CA2F" w14:textId="77777777" w:rsidTr="00E13C56">
        <w:trPr>
          <w:trHeight w:val="502"/>
        </w:trPr>
        <w:tc>
          <w:tcPr>
            <w:tcW w:w="2771" w:type="dxa"/>
            <w:tcBorders>
              <w:top w:val="nil"/>
              <w:left w:val="nil"/>
              <w:bottom w:val="nil"/>
              <w:right w:val="nil"/>
            </w:tcBorders>
          </w:tcPr>
          <w:p w14:paraId="6DA1579A"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61AA93B9"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3</w:t>
            </w:r>
          </w:p>
        </w:tc>
        <w:tc>
          <w:tcPr>
            <w:tcW w:w="2216" w:type="dxa"/>
            <w:tcBorders>
              <w:top w:val="nil"/>
              <w:left w:val="nil"/>
              <w:bottom w:val="nil"/>
              <w:right w:val="nil"/>
            </w:tcBorders>
            <w:hideMark/>
          </w:tcPr>
          <w:p w14:paraId="67F2116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40</w:t>
            </w:r>
          </w:p>
        </w:tc>
        <w:tc>
          <w:tcPr>
            <w:tcW w:w="2398" w:type="dxa"/>
            <w:tcBorders>
              <w:top w:val="nil"/>
              <w:left w:val="nil"/>
              <w:bottom w:val="nil"/>
              <w:right w:val="nil"/>
            </w:tcBorders>
            <w:hideMark/>
          </w:tcPr>
          <w:p w14:paraId="4C9347A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12.5</w:t>
            </w:r>
          </w:p>
        </w:tc>
      </w:tr>
      <w:tr w:rsidR="0046249E" w:rsidRPr="0075364C" w14:paraId="1FF0D5E2" w14:textId="77777777" w:rsidTr="00E13C56">
        <w:trPr>
          <w:trHeight w:val="502"/>
        </w:trPr>
        <w:tc>
          <w:tcPr>
            <w:tcW w:w="2771" w:type="dxa"/>
            <w:tcBorders>
              <w:top w:val="nil"/>
              <w:left w:val="nil"/>
              <w:bottom w:val="nil"/>
              <w:right w:val="nil"/>
            </w:tcBorders>
          </w:tcPr>
          <w:p w14:paraId="16263D1A"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402C19F"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SS1</w:t>
            </w:r>
          </w:p>
          <w:p w14:paraId="08CACCE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SS2</w:t>
            </w:r>
          </w:p>
          <w:p w14:paraId="6724639B"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SS3</w:t>
            </w:r>
          </w:p>
        </w:tc>
        <w:tc>
          <w:tcPr>
            <w:tcW w:w="2216" w:type="dxa"/>
            <w:tcBorders>
              <w:top w:val="nil"/>
              <w:left w:val="nil"/>
              <w:bottom w:val="nil"/>
              <w:right w:val="nil"/>
            </w:tcBorders>
            <w:hideMark/>
          </w:tcPr>
          <w:p w14:paraId="7A0E2465"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63</w:t>
            </w:r>
          </w:p>
          <w:p w14:paraId="0B9736E6"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93</w:t>
            </w:r>
          </w:p>
          <w:p w14:paraId="4321C0F0"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38</w:t>
            </w:r>
          </w:p>
        </w:tc>
        <w:tc>
          <w:tcPr>
            <w:tcW w:w="2398" w:type="dxa"/>
            <w:tcBorders>
              <w:top w:val="nil"/>
              <w:left w:val="nil"/>
              <w:bottom w:val="nil"/>
              <w:right w:val="nil"/>
            </w:tcBorders>
            <w:hideMark/>
          </w:tcPr>
          <w:p w14:paraId="00F3978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19.7</w:t>
            </w:r>
          </w:p>
          <w:p w14:paraId="1C099FF7"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29.1</w:t>
            </w:r>
          </w:p>
          <w:p w14:paraId="384A92D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11.8</w:t>
            </w:r>
          </w:p>
        </w:tc>
      </w:tr>
      <w:tr w:rsidR="0046249E" w:rsidRPr="0075364C" w14:paraId="707FEDF3" w14:textId="77777777" w:rsidTr="00E13C56">
        <w:trPr>
          <w:trHeight w:val="519"/>
        </w:trPr>
        <w:tc>
          <w:tcPr>
            <w:tcW w:w="2771" w:type="dxa"/>
            <w:tcBorders>
              <w:top w:val="nil"/>
              <w:left w:val="nil"/>
              <w:bottom w:val="nil"/>
              <w:right w:val="nil"/>
            </w:tcBorders>
          </w:tcPr>
          <w:p w14:paraId="7549F3B3" w14:textId="77777777" w:rsidR="0046249E" w:rsidRPr="0075364C" w:rsidRDefault="0046249E" w:rsidP="00E13C56">
            <w:pPr>
              <w:rPr>
                <w:rFonts w:ascii="Times New Roman" w:hAnsi="Times New Roman" w:cs="Times New Roman"/>
                <w:b/>
                <w:sz w:val="24"/>
                <w:szCs w:val="24"/>
              </w:rPr>
            </w:pPr>
          </w:p>
        </w:tc>
        <w:tc>
          <w:tcPr>
            <w:tcW w:w="2719" w:type="dxa"/>
            <w:tcBorders>
              <w:top w:val="nil"/>
              <w:left w:val="nil"/>
              <w:bottom w:val="nil"/>
              <w:right w:val="nil"/>
            </w:tcBorders>
          </w:tcPr>
          <w:p w14:paraId="31170780" w14:textId="77777777" w:rsidR="0046249E" w:rsidRPr="0075364C" w:rsidRDefault="0046249E" w:rsidP="00E13C56">
            <w:pPr>
              <w:rPr>
                <w:rFonts w:ascii="Times New Roman" w:hAnsi="Times New Roman" w:cs="Times New Roman"/>
                <w:b/>
                <w:sz w:val="24"/>
                <w:szCs w:val="24"/>
              </w:rPr>
            </w:pPr>
          </w:p>
        </w:tc>
        <w:tc>
          <w:tcPr>
            <w:tcW w:w="2216" w:type="dxa"/>
            <w:tcBorders>
              <w:top w:val="nil"/>
              <w:left w:val="nil"/>
              <w:bottom w:val="nil"/>
              <w:right w:val="nil"/>
            </w:tcBorders>
            <w:hideMark/>
          </w:tcPr>
          <w:p w14:paraId="5B877B83"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320</w:t>
            </w:r>
          </w:p>
        </w:tc>
        <w:tc>
          <w:tcPr>
            <w:tcW w:w="2398" w:type="dxa"/>
            <w:tcBorders>
              <w:top w:val="nil"/>
              <w:left w:val="nil"/>
              <w:bottom w:val="nil"/>
              <w:right w:val="nil"/>
            </w:tcBorders>
            <w:hideMark/>
          </w:tcPr>
          <w:p w14:paraId="779A2B66"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100</w:t>
            </w:r>
          </w:p>
        </w:tc>
      </w:tr>
      <w:tr w:rsidR="0046249E" w:rsidRPr="0075364C" w14:paraId="07C1E076" w14:textId="77777777" w:rsidTr="00E13C56">
        <w:trPr>
          <w:trHeight w:val="519"/>
        </w:trPr>
        <w:tc>
          <w:tcPr>
            <w:tcW w:w="2771" w:type="dxa"/>
            <w:tcBorders>
              <w:top w:val="nil"/>
              <w:left w:val="nil"/>
              <w:bottom w:val="nil"/>
              <w:right w:val="nil"/>
            </w:tcBorders>
            <w:hideMark/>
          </w:tcPr>
          <w:p w14:paraId="76D873E4"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Gender</w:t>
            </w:r>
          </w:p>
        </w:tc>
        <w:tc>
          <w:tcPr>
            <w:tcW w:w="2719" w:type="dxa"/>
            <w:tcBorders>
              <w:top w:val="nil"/>
              <w:left w:val="nil"/>
              <w:bottom w:val="nil"/>
              <w:right w:val="nil"/>
            </w:tcBorders>
            <w:hideMark/>
          </w:tcPr>
          <w:p w14:paraId="68E2F254"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Male</w:t>
            </w:r>
          </w:p>
        </w:tc>
        <w:tc>
          <w:tcPr>
            <w:tcW w:w="2216" w:type="dxa"/>
            <w:tcBorders>
              <w:top w:val="nil"/>
              <w:left w:val="nil"/>
              <w:bottom w:val="nil"/>
              <w:right w:val="nil"/>
            </w:tcBorders>
            <w:hideMark/>
          </w:tcPr>
          <w:p w14:paraId="65776E2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250</w:t>
            </w:r>
          </w:p>
        </w:tc>
        <w:tc>
          <w:tcPr>
            <w:tcW w:w="2398" w:type="dxa"/>
            <w:tcBorders>
              <w:top w:val="nil"/>
              <w:left w:val="nil"/>
              <w:bottom w:val="nil"/>
              <w:right w:val="nil"/>
            </w:tcBorders>
            <w:hideMark/>
          </w:tcPr>
          <w:p w14:paraId="31C90497"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78.1</w:t>
            </w:r>
          </w:p>
        </w:tc>
      </w:tr>
      <w:tr w:rsidR="0046249E" w:rsidRPr="0075364C" w14:paraId="2A46FF92" w14:textId="77777777" w:rsidTr="00E13C56">
        <w:trPr>
          <w:trHeight w:val="442"/>
        </w:trPr>
        <w:tc>
          <w:tcPr>
            <w:tcW w:w="2771" w:type="dxa"/>
            <w:tcBorders>
              <w:top w:val="nil"/>
              <w:left w:val="nil"/>
              <w:bottom w:val="nil"/>
              <w:right w:val="nil"/>
            </w:tcBorders>
          </w:tcPr>
          <w:p w14:paraId="33CCCCE9"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2DDC96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Female</w:t>
            </w:r>
          </w:p>
        </w:tc>
        <w:tc>
          <w:tcPr>
            <w:tcW w:w="2216" w:type="dxa"/>
            <w:tcBorders>
              <w:top w:val="nil"/>
              <w:left w:val="nil"/>
              <w:bottom w:val="nil"/>
              <w:right w:val="nil"/>
            </w:tcBorders>
            <w:hideMark/>
          </w:tcPr>
          <w:p w14:paraId="21846E8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70</w:t>
            </w:r>
          </w:p>
        </w:tc>
        <w:tc>
          <w:tcPr>
            <w:tcW w:w="2398" w:type="dxa"/>
            <w:tcBorders>
              <w:top w:val="nil"/>
              <w:left w:val="nil"/>
              <w:bottom w:val="nil"/>
              <w:right w:val="nil"/>
            </w:tcBorders>
            <w:hideMark/>
          </w:tcPr>
          <w:p w14:paraId="7091F3E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21.8</w:t>
            </w:r>
          </w:p>
        </w:tc>
      </w:tr>
      <w:tr w:rsidR="0046249E" w:rsidRPr="0075364C" w14:paraId="0212A4A3" w14:textId="77777777" w:rsidTr="00E13C56">
        <w:trPr>
          <w:trHeight w:val="333"/>
        </w:trPr>
        <w:tc>
          <w:tcPr>
            <w:tcW w:w="2771" w:type="dxa"/>
            <w:tcBorders>
              <w:top w:val="nil"/>
              <w:left w:val="nil"/>
              <w:bottom w:val="single" w:sz="4" w:space="0" w:color="auto"/>
              <w:right w:val="nil"/>
            </w:tcBorders>
          </w:tcPr>
          <w:p w14:paraId="00C75A49"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single" w:sz="4" w:space="0" w:color="auto"/>
              <w:right w:val="nil"/>
            </w:tcBorders>
          </w:tcPr>
          <w:p w14:paraId="7ADF589D" w14:textId="77777777" w:rsidR="0046249E" w:rsidRPr="0075364C" w:rsidRDefault="0046249E" w:rsidP="00E13C56">
            <w:pPr>
              <w:rPr>
                <w:rFonts w:ascii="Times New Roman" w:hAnsi="Times New Roman" w:cs="Times New Roman"/>
                <w:sz w:val="24"/>
                <w:szCs w:val="24"/>
              </w:rPr>
            </w:pPr>
          </w:p>
        </w:tc>
        <w:tc>
          <w:tcPr>
            <w:tcW w:w="2216" w:type="dxa"/>
            <w:tcBorders>
              <w:top w:val="nil"/>
              <w:left w:val="nil"/>
              <w:bottom w:val="single" w:sz="4" w:space="0" w:color="auto"/>
              <w:right w:val="nil"/>
            </w:tcBorders>
            <w:hideMark/>
          </w:tcPr>
          <w:p w14:paraId="655784C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b/>
                <w:sz w:val="24"/>
                <w:szCs w:val="24"/>
              </w:rPr>
              <w:t>320</w:t>
            </w:r>
          </w:p>
        </w:tc>
        <w:tc>
          <w:tcPr>
            <w:tcW w:w="2398" w:type="dxa"/>
            <w:tcBorders>
              <w:top w:val="nil"/>
              <w:left w:val="nil"/>
              <w:bottom w:val="single" w:sz="4" w:space="0" w:color="auto"/>
              <w:right w:val="nil"/>
            </w:tcBorders>
            <w:hideMark/>
          </w:tcPr>
          <w:p w14:paraId="698DDAE0"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b/>
                <w:sz w:val="24"/>
                <w:szCs w:val="24"/>
              </w:rPr>
              <w:t>100</w:t>
            </w:r>
          </w:p>
        </w:tc>
      </w:tr>
    </w:tbl>
    <w:p w14:paraId="2042ABDA" w14:textId="77777777" w:rsidR="0046249E" w:rsidRPr="0075364C" w:rsidRDefault="0046249E" w:rsidP="0046249E">
      <w:pPr>
        <w:spacing w:after="0" w:line="480" w:lineRule="auto"/>
        <w:rPr>
          <w:rFonts w:ascii="Times New Roman" w:eastAsia="Times New Roman" w:hAnsi="Times New Roman" w:cs="Times New Roman"/>
          <w:bCs/>
          <w:color w:val="000000"/>
          <w:sz w:val="24"/>
          <w:szCs w:val="24"/>
        </w:rPr>
      </w:pPr>
      <w:r w:rsidRPr="0075364C">
        <w:rPr>
          <w:rFonts w:ascii="Times New Roman" w:hAnsi="Times New Roman" w:cs="Times New Roman"/>
          <w:bCs/>
          <w:sz w:val="24"/>
          <w:szCs w:val="24"/>
        </w:rPr>
        <w:t>Sources: Field survey, 2025</w:t>
      </w:r>
    </w:p>
    <w:p w14:paraId="38C78B3C" w14:textId="3049897D" w:rsidR="0046249E" w:rsidRPr="0075364C" w:rsidRDefault="00C81331" w:rsidP="0046249E">
      <w:pPr>
        <w:spacing w:after="0"/>
        <w:rPr>
          <w:rFonts w:ascii="Times New Roman" w:hAnsi="Times New Roman" w:cs="Times New Roman"/>
          <w:b/>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 xml:space="preserve">2 </w:t>
      </w:r>
      <w:r w:rsidR="0046249E" w:rsidRPr="0075364C">
        <w:rPr>
          <w:rFonts w:ascii="Times New Roman" w:hAnsi="Times New Roman" w:cs="Times New Roman"/>
          <w:b/>
          <w:sz w:val="24"/>
          <w:szCs w:val="24"/>
        </w:rPr>
        <w:t xml:space="preserve">level of awareness regarding substance abuse on mental health among students of </w:t>
      </w:r>
      <w:proofErr w:type="spellStart"/>
      <w:r w:rsidR="0046249E" w:rsidRPr="0075364C">
        <w:rPr>
          <w:rFonts w:ascii="Times New Roman" w:hAnsi="Times New Roman" w:cs="Times New Roman"/>
          <w:b/>
          <w:sz w:val="24"/>
          <w:szCs w:val="24"/>
        </w:rPr>
        <w:t>Salihu</w:t>
      </w:r>
      <w:proofErr w:type="spellEnd"/>
      <w:r w:rsidR="0046249E" w:rsidRPr="0075364C">
        <w:rPr>
          <w:rFonts w:ascii="Times New Roman" w:hAnsi="Times New Roman" w:cs="Times New Roman"/>
          <w:b/>
          <w:sz w:val="24"/>
          <w:szCs w:val="24"/>
        </w:rPr>
        <w:t xml:space="preserve"> </w:t>
      </w:r>
      <w:proofErr w:type="spellStart"/>
      <w:r w:rsidR="0046249E" w:rsidRPr="0075364C">
        <w:rPr>
          <w:rFonts w:ascii="Times New Roman" w:hAnsi="Times New Roman" w:cs="Times New Roman"/>
          <w:b/>
          <w:sz w:val="24"/>
          <w:szCs w:val="24"/>
        </w:rPr>
        <w:t>Dogo</w:t>
      </w:r>
      <w:proofErr w:type="spellEnd"/>
      <w:r w:rsidR="0046249E" w:rsidRPr="0075364C">
        <w:rPr>
          <w:rFonts w:ascii="Times New Roman" w:hAnsi="Times New Roman" w:cs="Times New Roman"/>
          <w:b/>
          <w:sz w:val="24"/>
          <w:szCs w:val="24"/>
        </w:rPr>
        <w:t xml:space="preserve"> Secondary School in </w:t>
      </w:r>
      <w:proofErr w:type="spellStart"/>
      <w:r w:rsidR="0046249E" w:rsidRPr="0075364C">
        <w:rPr>
          <w:rFonts w:ascii="Times New Roman" w:hAnsi="Times New Roman" w:cs="Times New Roman"/>
          <w:b/>
          <w:sz w:val="24"/>
          <w:szCs w:val="24"/>
        </w:rPr>
        <w:t>Jalingo</w:t>
      </w:r>
      <w:proofErr w:type="spellEnd"/>
      <w:r w:rsidR="0046249E" w:rsidRPr="0075364C">
        <w:rPr>
          <w:rFonts w:ascii="Times New Roman" w:hAnsi="Times New Roman" w:cs="Times New Roman"/>
          <w:b/>
          <w:sz w:val="24"/>
          <w:szCs w:val="24"/>
        </w:rPr>
        <w:t>, Taraba State base on gender</w:t>
      </w:r>
    </w:p>
    <w:tbl>
      <w:tblPr>
        <w:tblW w:w="9000" w:type="dxa"/>
        <w:tblBorders>
          <w:top w:val="single" w:sz="4" w:space="0" w:color="auto"/>
          <w:bottom w:val="single" w:sz="4" w:space="0" w:color="auto"/>
        </w:tblBorders>
        <w:tblLayout w:type="fixed"/>
        <w:tblLook w:val="04A0" w:firstRow="1" w:lastRow="0" w:firstColumn="1" w:lastColumn="0" w:noHBand="0" w:noVBand="1"/>
      </w:tblPr>
      <w:tblGrid>
        <w:gridCol w:w="3055"/>
        <w:gridCol w:w="2425"/>
        <w:gridCol w:w="1796"/>
        <w:gridCol w:w="1724"/>
      </w:tblGrid>
      <w:tr w:rsidR="0046249E" w:rsidRPr="0075364C" w14:paraId="286D3197" w14:textId="77777777" w:rsidTr="00E13C56">
        <w:trPr>
          <w:cantSplit/>
          <w:trHeight w:val="350"/>
        </w:trPr>
        <w:tc>
          <w:tcPr>
            <w:tcW w:w="3053" w:type="dxa"/>
            <w:tcBorders>
              <w:top w:val="single" w:sz="4" w:space="0" w:color="auto"/>
              <w:left w:val="nil"/>
              <w:bottom w:val="single" w:sz="4" w:space="0" w:color="auto"/>
              <w:right w:val="nil"/>
            </w:tcBorders>
            <w:hideMark/>
          </w:tcPr>
          <w:p w14:paraId="5A3560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Variables</w:t>
            </w:r>
          </w:p>
        </w:tc>
        <w:tc>
          <w:tcPr>
            <w:tcW w:w="2424" w:type="dxa"/>
            <w:tcBorders>
              <w:top w:val="single" w:sz="4" w:space="0" w:color="auto"/>
              <w:left w:val="nil"/>
              <w:bottom w:val="single" w:sz="4" w:space="0" w:color="auto"/>
              <w:right w:val="nil"/>
            </w:tcBorders>
            <w:hideMark/>
          </w:tcPr>
          <w:p w14:paraId="4CCD8B6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Items</w:t>
            </w:r>
          </w:p>
        </w:tc>
        <w:tc>
          <w:tcPr>
            <w:tcW w:w="1795" w:type="dxa"/>
            <w:tcBorders>
              <w:top w:val="single" w:sz="4" w:space="0" w:color="auto"/>
              <w:left w:val="nil"/>
              <w:bottom w:val="single" w:sz="4" w:space="0" w:color="auto"/>
              <w:right w:val="nil"/>
            </w:tcBorders>
            <w:vAlign w:val="bottom"/>
            <w:hideMark/>
          </w:tcPr>
          <w:p w14:paraId="046AC11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 xml:space="preserve"> Frequency</w:t>
            </w:r>
          </w:p>
        </w:tc>
        <w:tc>
          <w:tcPr>
            <w:tcW w:w="1723" w:type="dxa"/>
            <w:tcBorders>
              <w:top w:val="single" w:sz="4" w:space="0" w:color="auto"/>
              <w:left w:val="nil"/>
              <w:bottom w:val="single" w:sz="4" w:space="0" w:color="auto"/>
              <w:right w:val="nil"/>
            </w:tcBorders>
            <w:vAlign w:val="bottom"/>
            <w:hideMark/>
          </w:tcPr>
          <w:p w14:paraId="0E7E9029" w14:textId="77777777" w:rsidR="0046249E" w:rsidRPr="0075364C" w:rsidRDefault="0046249E" w:rsidP="00E13C56">
            <w:pPr>
              <w:autoSpaceDE w:val="0"/>
              <w:autoSpaceDN w:val="0"/>
              <w:adjustRightInd w:val="0"/>
              <w:spacing w:after="0" w:line="240" w:lineRule="auto"/>
              <w:rPr>
                <w:rFonts w:ascii="Times New Roman" w:hAnsi="Times New Roman" w:cs="Times New Roman"/>
                <w:b/>
                <w:sz w:val="24"/>
                <w:szCs w:val="24"/>
              </w:rPr>
            </w:pPr>
            <w:r w:rsidRPr="0075364C">
              <w:rPr>
                <w:rFonts w:ascii="Times New Roman" w:hAnsi="Times New Roman" w:cs="Times New Roman"/>
                <w:b/>
                <w:sz w:val="24"/>
                <w:szCs w:val="24"/>
              </w:rPr>
              <w:t>Percentage%</w:t>
            </w:r>
          </w:p>
        </w:tc>
      </w:tr>
      <w:tr w:rsidR="0046249E" w:rsidRPr="0075364C" w14:paraId="05ABC4A0" w14:textId="77777777" w:rsidTr="00E13C56">
        <w:trPr>
          <w:cantSplit/>
          <w:trHeight w:val="510"/>
        </w:trPr>
        <w:tc>
          <w:tcPr>
            <w:tcW w:w="3053" w:type="dxa"/>
            <w:vMerge w:val="restart"/>
            <w:tcBorders>
              <w:top w:val="single" w:sz="4" w:space="0" w:color="auto"/>
              <w:left w:val="nil"/>
              <w:bottom w:val="nil"/>
              <w:right w:val="nil"/>
            </w:tcBorders>
            <w:hideMark/>
          </w:tcPr>
          <w:p w14:paraId="00142648" w14:textId="77777777" w:rsidR="0046249E" w:rsidRPr="0075364C" w:rsidRDefault="0046249E" w:rsidP="00E13C56">
            <w:pPr>
              <w:autoSpaceDE w:val="0"/>
              <w:autoSpaceDN w:val="0"/>
              <w:adjustRightInd w:val="0"/>
              <w:spacing w:after="0" w:line="240" w:lineRule="auto"/>
              <w:ind w:left="52" w:right="60"/>
              <w:rPr>
                <w:rFonts w:ascii="Times New Roman" w:hAnsi="Times New Roman" w:cs="Times New Roman"/>
                <w:sz w:val="24"/>
                <w:szCs w:val="24"/>
              </w:rPr>
            </w:pPr>
            <w:r w:rsidRPr="0075364C">
              <w:rPr>
                <w:rFonts w:ascii="Times New Roman" w:hAnsi="Times New Roman" w:cs="Times New Roman"/>
                <w:sz w:val="24"/>
                <w:szCs w:val="24"/>
              </w:rPr>
              <w:t>Are you aware that substance abuse can affect mental health?</w:t>
            </w:r>
          </w:p>
        </w:tc>
        <w:tc>
          <w:tcPr>
            <w:tcW w:w="2424" w:type="dxa"/>
            <w:tcBorders>
              <w:top w:val="single" w:sz="4" w:space="0" w:color="auto"/>
              <w:left w:val="nil"/>
              <w:bottom w:val="nil"/>
              <w:right w:val="nil"/>
            </w:tcBorders>
            <w:hideMark/>
          </w:tcPr>
          <w:p w14:paraId="200D430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single" w:sz="4" w:space="0" w:color="auto"/>
              <w:left w:val="nil"/>
              <w:bottom w:val="nil"/>
              <w:right w:val="nil"/>
            </w:tcBorders>
          </w:tcPr>
          <w:p w14:paraId="37D0C6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110</w:t>
            </w:r>
          </w:p>
          <w:p w14:paraId="5F58054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23" w:type="dxa"/>
            <w:tcBorders>
              <w:top w:val="single" w:sz="4" w:space="0" w:color="auto"/>
              <w:left w:val="nil"/>
              <w:bottom w:val="nil"/>
              <w:right w:val="nil"/>
            </w:tcBorders>
            <w:hideMark/>
          </w:tcPr>
          <w:p w14:paraId="4ECF66E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34.4</w:t>
            </w:r>
          </w:p>
        </w:tc>
      </w:tr>
      <w:tr w:rsidR="0046249E" w:rsidRPr="0075364C" w14:paraId="0EACB3D0" w14:textId="77777777" w:rsidTr="00E13C56">
        <w:trPr>
          <w:cantSplit/>
          <w:trHeight w:val="590"/>
        </w:trPr>
        <w:tc>
          <w:tcPr>
            <w:tcW w:w="3053" w:type="dxa"/>
            <w:vMerge/>
            <w:tcBorders>
              <w:top w:val="single" w:sz="4" w:space="0" w:color="auto"/>
              <w:left w:val="nil"/>
              <w:bottom w:val="nil"/>
              <w:right w:val="nil"/>
            </w:tcBorders>
            <w:vAlign w:val="center"/>
            <w:hideMark/>
          </w:tcPr>
          <w:p w14:paraId="29A2E8A5"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69C3D67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1907428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468F66A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210</w:t>
            </w:r>
          </w:p>
          <w:p w14:paraId="0662881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723" w:type="dxa"/>
            <w:tcBorders>
              <w:top w:val="nil"/>
              <w:left w:val="nil"/>
              <w:bottom w:val="nil"/>
              <w:right w:val="nil"/>
            </w:tcBorders>
            <w:hideMark/>
          </w:tcPr>
          <w:p w14:paraId="0D0C79C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65.6</w:t>
            </w:r>
          </w:p>
          <w:p w14:paraId="32A8BEC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126D0190" w14:textId="77777777" w:rsidTr="00E13C56">
        <w:trPr>
          <w:gridAfter w:val="3"/>
          <w:wAfter w:w="5942" w:type="dxa"/>
          <w:cantSplit/>
          <w:trHeight w:val="450"/>
        </w:trPr>
        <w:tc>
          <w:tcPr>
            <w:tcW w:w="3053" w:type="dxa"/>
            <w:vMerge/>
            <w:tcBorders>
              <w:top w:val="single" w:sz="4" w:space="0" w:color="auto"/>
              <w:left w:val="nil"/>
              <w:bottom w:val="nil"/>
              <w:right w:val="nil"/>
            </w:tcBorders>
            <w:vAlign w:val="center"/>
            <w:hideMark/>
          </w:tcPr>
          <w:p w14:paraId="127AF746"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3F19986F" w14:textId="77777777" w:rsidTr="00E13C56">
        <w:trPr>
          <w:gridAfter w:val="3"/>
          <w:wAfter w:w="5942" w:type="dxa"/>
          <w:cantSplit/>
          <w:trHeight w:val="450"/>
        </w:trPr>
        <w:tc>
          <w:tcPr>
            <w:tcW w:w="3053" w:type="dxa"/>
            <w:vMerge/>
            <w:tcBorders>
              <w:top w:val="single" w:sz="4" w:space="0" w:color="auto"/>
              <w:left w:val="nil"/>
              <w:bottom w:val="nil"/>
              <w:right w:val="nil"/>
            </w:tcBorders>
            <w:vAlign w:val="center"/>
            <w:hideMark/>
          </w:tcPr>
          <w:p w14:paraId="7AE1AF93"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8EAD2B8" w14:textId="77777777" w:rsidTr="00E13C56">
        <w:trPr>
          <w:cantSplit/>
          <w:trHeight w:val="458"/>
        </w:trPr>
        <w:tc>
          <w:tcPr>
            <w:tcW w:w="3053" w:type="dxa"/>
            <w:vMerge w:val="restart"/>
            <w:tcBorders>
              <w:top w:val="nil"/>
              <w:left w:val="nil"/>
              <w:bottom w:val="nil"/>
              <w:right w:val="nil"/>
            </w:tcBorders>
            <w:hideMark/>
          </w:tcPr>
          <w:p w14:paraId="53F9A1E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Are you aware of the mental health risk associated with substance abuse?</w:t>
            </w:r>
          </w:p>
        </w:tc>
        <w:tc>
          <w:tcPr>
            <w:tcW w:w="2424" w:type="dxa"/>
            <w:tcBorders>
              <w:top w:val="nil"/>
              <w:left w:val="nil"/>
              <w:bottom w:val="nil"/>
              <w:right w:val="nil"/>
            </w:tcBorders>
            <w:hideMark/>
          </w:tcPr>
          <w:p w14:paraId="2AC4207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411F168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304</w:t>
            </w:r>
          </w:p>
        </w:tc>
        <w:tc>
          <w:tcPr>
            <w:tcW w:w="1723" w:type="dxa"/>
            <w:tcBorders>
              <w:top w:val="nil"/>
              <w:left w:val="nil"/>
              <w:bottom w:val="nil"/>
              <w:right w:val="nil"/>
            </w:tcBorders>
          </w:tcPr>
          <w:p w14:paraId="60B01EF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95.0</w:t>
            </w:r>
          </w:p>
          <w:p w14:paraId="5FA004F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072473B1" w14:textId="77777777" w:rsidTr="00E13C56">
        <w:trPr>
          <w:cantSplit/>
          <w:trHeight w:val="319"/>
        </w:trPr>
        <w:tc>
          <w:tcPr>
            <w:tcW w:w="3053" w:type="dxa"/>
            <w:vMerge/>
            <w:tcBorders>
              <w:top w:val="nil"/>
              <w:left w:val="nil"/>
              <w:bottom w:val="nil"/>
              <w:right w:val="nil"/>
            </w:tcBorders>
            <w:vAlign w:val="center"/>
            <w:hideMark/>
          </w:tcPr>
          <w:p w14:paraId="03A29AAA"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1014199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6E277C2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7BD3592E"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16</w:t>
            </w:r>
          </w:p>
          <w:p w14:paraId="761138B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723" w:type="dxa"/>
            <w:tcBorders>
              <w:top w:val="nil"/>
              <w:left w:val="nil"/>
              <w:bottom w:val="nil"/>
              <w:right w:val="nil"/>
            </w:tcBorders>
            <w:hideMark/>
          </w:tcPr>
          <w:p w14:paraId="0DB999D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5.0</w:t>
            </w:r>
          </w:p>
          <w:p w14:paraId="244F094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1C6B63B5" w14:textId="77777777" w:rsidTr="00E13C56">
        <w:trPr>
          <w:gridAfter w:val="3"/>
          <w:wAfter w:w="5942" w:type="dxa"/>
          <w:cantSplit/>
          <w:trHeight w:val="450"/>
        </w:trPr>
        <w:tc>
          <w:tcPr>
            <w:tcW w:w="3053" w:type="dxa"/>
            <w:vMerge/>
            <w:tcBorders>
              <w:top w:val="nil"/>
              <w:left w:val="nil"/>
              <w:bottom w:val="nil"/>
              <w:right w:val="nil"/>
            </w:tcBorders>
            <w:vAlign w:val="center"/>
            <w:hideMark/>
          </w:tcPr>
          <w:p w14:paraId="1C7700EE"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5A04BFE" w14:textId="77777777" w:rsidTr="00E13C56">
        <w:trPr>
          <w:cantSplit/>
          <w:trHeight w:val="319"/>
        </w:trPr>
        <w:tc>
          <w:tcPr>
            <w:tcW w:w="3053" w:type="dxa"/>
            <w:vMerge/>
            <w:tcBorders>
              <w:top w:val="nil"/>
              <w:left w:val="nil"/>
              <w:bottom w:val="nil"/>
              <w:right w:val="nil"/>
            </w:tcBorders>
            <w:vAlign w:val="center"/>
            <w:hideMark/>
          </w:tcPr>
          <w:p w14:paraId="5EDCE7E6"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5BB957E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95" w:type="dxa"/>
            <w:tcBorders>
              <w:top w:val="nil"/>
              <w:left w:val="nil"/>
              <w:bottom w:val="nil"/>
              <w:right w:val="nil"/>
            </w:tcBorders>
          </w:tcPr>
          <w:p w14:paraId="706DB0E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23" w:type="dxa"/>
            <w:tcBorders>
              <w:top w:val="nil"/>
              <w:left w:val="nil"/>
              <w:bottom w:val="nil"/>
              <w:right w:val="nil"/>
            </w:tcBorders>
          </w:tcPr>
          <w:p w14:paraId="3B28570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0FC967D3" w14:textId="77777777" w:rsidTr="00E13C56">
        <w:trPr>
          <w:cantSplit/>
          <w:trHeight w:val="319"/>
        </w:trPr>
        <w:tc>
          <w:tcPr>
            <w:tcW w:w="3053" w:type="dxa"/>
            <w:vMerge w:val="restart"/>
            <w:tcBorders>
              <w:top w:val="nil"/>
              <w:left w:val="nil"/>
              <w:bottom w:val="nil"/>
              <w:right w:val="nil"/>
            </w:tcBorders>
            <w:hideMark/>
          </w:tcPr>
          <w:p w14:paraId="41900094" w14:textId="77777777" w:rsidR="0046249E" w:rsidRPr="0075364C" w:rsidRDefault="0046249E" w:rsidP="00E13C56">
            <w:pPr>
              <w:spacing w:line="240" w:lineRule="auto"/>
              <w:rPr>
                <w:rFonts w:ascii="Times New Roman" w:hAnsi="Times New Roman" w:cs="Times New Roman"/>
                <w:color w:val="000000"/>
                <w:sz w:val="24"/>
                <w:szCs w:val="24"/>
              </w:rPr>
            </w:pPr>
            <w:r w:rsidRPr="0075364C">
              <w:rPr>
                <w:rFonts w:ascii="Times New Roman" w:hAnsi="Times New Roman" w:cs="Times New Roman"/>
                <w:sz w:val="24"/>
                <w:szCs w:val="24"/>
              </w:rPr>
              <w:t>Do you think substance abuse affect student performance?</w:t>
            </w:r>
          </w:p>
        </w:tc>
        <w:tc>
          <w:tcPr>
            <w:tcW w:w="2424" w:type="dxa"/>
            <w:tcBorders>
              <w:top w:val="nil"/>
              <w:left w:val="nil"/>
              <w:bottom w:val="nil"/>
              <w:right w:val="nil"/>
            </w:tcBorders>
            <w:hideMark/>
          </w:tcPr>
          <w:p w14:paraId="4C72F52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713476C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122</w:t>
            </w:r>
          </w:p>
        </w:tc>
        <w:tc>
          <w:tcPr>
            <w:tcW w:w="1723" w:type="dxa"/>
            <w:tcBorders>
              <w:top w:val="nil"/>
              <w:left w:val="nil"/>
              <w:bottom w:val="nil"/>
              <w:right w:val="nil"/>
            </w:tcBorders>
            <w:hideMark/>
          </w:tcPr>
          <w:p w14:paraId="04BE337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color w:val="010205"/>
                <w:sz w:val="24"/>
                <w:szCs w:val="24"/>
              </w:rPr>
              <w:t>38.1</w:t>
            </w:r>
          </w:p>
        </w:tc>
      </w:tr>
      <w:tr w:rsidR="0046249E" w:rsidRPr="0075364C" w14:paraId="4666C49E" w14:textId="77777777" w:rsidTr="00E13C56">
        <w:trPr>
          <w:cantSplit/>
          <w:trHeight w:val="319"/>
        </w:trPr>
        <w:tc>
          <w:tcPr>
            <w:tcW w:w="3053" w:type="dxa"/>
            <w:vMerge/>
            <w:tcBorders>
              <w:top w:val="nil"/>
              <w:left w:val="nil"/>
              <w:bottom w:val="nil"/>
              <w:right w:val="nil"/>
            </w:tcBorders>
            <w:vAlign w:val="center"/>
            <w:hideMark/>
          </w:tcPr>
          <w:p w14:paraId="3CA0CC57"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7FCBF26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E1F609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24C94E6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59D1C58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F94569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198</w:t>
            </w:r>
          </w:p>
          <w:p w14:paraId="58C9AFD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320</w:t>
            </w:r>
          </w:p>
        </w:tc>
        <w:tc>
          <w:tcPr>
            <w:tcW w:w="1723" w:type="dxa"/>
            <w:tcBorders>
              <w:top w:val="nil"/>
              <w:left w:val="nil"/>
              <w:bottom w:val="nil"/>
              <w:right w:val="nil"/>
            </w:tcBorders>
          </w:tcPr>
          <w:p w14:paraId="4C6AFF8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3FD8C72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61.9</w:t>
            </w:r>
          </w:p>
          <w:p w14:paraId="7A5C6A4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color w:val="010205"/>
                <w:sz w:val="24"/>
                <w:szCs w:val="24"/>
              </w:rPr>
              <w:t>100%</w:t>
            </w:r>
          </w:p>
        </w:tc>
      </w:tr>
      <w:tr w:rsidR="0046249E" w:rsidRPr="0075364C" w14:paraId="46A04F9F" w14:textId="77777777" w:rsidTr="00E13C56">
        <w:trPr>
          <w:gridAfter w:val="3"/>
          <w:wAfter w:w="5942" w:type="dxa"/>
          <w:cantSplit/>
          <w:trHeight w:val="656"/>
        </w:trPr>
        <w:tc>
          <w:tcPr>
            <w:tcW w:w="3053" w:type="dxa"/>
            <w:vMerge/>
            <w:tcBorders>
              <w:top w:val="nil"/>
              <w:left w:val="nil"/>
              <w:bottom w:val="nil"/>
              <w:right w:val="nil"/>
            </w:tcBorders>
            <w:vAlign w:val="center"/>
            <w:hideMark/>
          </w:tcPr>
          <w:p w14:paraId="6F91C786"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r>
      <w:tr w:rsidR="0046249E" w:rsidRPr="0075364C" w14:paraId="0298B838" w14:textId="77777777" w:rsidTr="00E13C56">
        <w:trPr>
          <w:cantSplit/>
          <w:trHeight w:val="1179"/>
        </w:trPr>
        <w:tc>
          <w:tcPr>
            <w:tcW w:w="3053" w:type="dxa"/>
            <w:tcBorders>
              <w:top w:val="nil"/>
              <w:left w:val="nil"/>
              <w:bottom w:val="nil"/>
              <w:right w:val="nil"/>
            </w:tcBorders>
            <w:hideMark/>
          </w:tcPr>
          <w:p w14:paraId="0F1B6EF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Do you believe that adolescents (your age group) are more susceptible to substance abuse than adults?</w:t>
            </w:r>
          </w:p>
        </w:tc>
        <w:tc>
          <w:tcPr>
            <w:tcW w:w="2424" w:type="dxa"/>
            <w:tcBorders>
              <w:top w:val="nil"/>
              <w:left w:val="nil"/>
              <w:bottom w:val="nil"/>
              <w:right w:val="nil"/>
            </w:tcBorders>
          </w:tcPr>
          <w:p w14:paraId="2A7DACC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325A82C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558958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nil"/>
              <w:right w:val="nil"/>
            </w:tcBorders>
          </w:tcPr>
          <w:p w14:paraId="426DA94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225</w:t>
            </w:r>
          </w:p>
          <w:p w14:paraId="0403A99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1B8EB4F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95</w:t>
            </w:r>
          </w:p>
          <w:p w14:paraId="4CC0514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320</w:t>
            </w:r>
          </w:p>
        </w:tc>
        <w:tc>
          <w:tcPr>
            <w:tcW w:w="1723" w:type="dxa"/>
            <w:tcBorders>
              <w:top w:val="nil"/>
              <w:left w:val="nil"/>
              <w:bottom w:val="nil"/>
              <w:right w:val="nil"/>
            </w:tcBorders>
          </w:tcPr>
          <w:p w14:paraId="08FACE7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70.3</w:t>
            </w:r>
          </w:p>
          <w:p w14:paraId="18CF4B2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6382D92E"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29.7</w:t>
            </w:r>
          </w:p>
          <w:p w14:paraId="2DD2948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22A757FF" w14:textId="77777777" w:rsidTr="00E13C56">
        <w:trPr>
          <w:gridAfter w:val="3"/>
          <w:wAfter w:w="5942" w:type="dxa"/>
          <w:cantSplit/>
          <w:trHeight w:val="60"/>
        </w:trPr>
        <w:tc>
          <w:tcPr>
            <w:tcW w:w="3053" w:type="dxa"/>
            <w:tcBorders>
              <w:top w:val="nil"/>
              <w:left w:val="nil"/>
              <w:bottom w:val="nil"/>
              <w:right w:val="nil"/>
            </w:tcBorders>
          </w:tcPr>
          <w:p w14:paraId="37DFE02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6AB982CE" w14:textId="77777777" w:rsidTr="00E13C56">
        <w:trPr>
          <w:cantSplit/>
          <w:trHeight w:val="60"/>
        </w:trPr>
        <w:tc>
          <w:tcPr>
            <w:tcW w:w="3053" w:type="dxa"/>
            <w:tcBorders>
              <w:top w:val="nil"/>
              <w:left w:val="nil"/>
              <w:bottom w:val="single" w:sz="4" w:space="0" w:color="auto"/>
              <w:right w:val="nil"/>
            </w:tcBorders>
            <w:hideMark/>
          </w:tcPr>
          <w:p w14:paraId="08E7869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 xml:space="preserve">Do you think peer influence can lead students to substance abuse? </w:t>
            </w:r>
          </w:p>
        </w:tc>
        <w:tc>
          <w:tcPr>
            <w:tcW w:w="2424" w:type="dxa"/>
            <w:tcBorders>
              <w:top w:val="nil"/>
              <w:left w:val="nil"/>
              <w:bottom w:val="single" w:sz="4" w:space="0" w:color="auto"/>
              <w:right w:val="nil"/>
            </w:tcBorders>
          </w:tcPr>
          <w:p w14:paraId="3523F89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4005BF7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78EC13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single" w:sz="4" w:space="0" w:color="auto"/>
              <w:right w:val="nil"/>
            </w:tcBorders>
          </w:tcPr>
          <w:p w14:paraId="7A9779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285</w:t>
            </w:r>
          </w:p>
          <w:p w14:paraId="2026B6F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8469B5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35</w:t>
            </w:r>
          </w:p>
          <w:p w14:paraId="17C14DF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320</w:t>
            </w:r>
          </w:p>
        </w:tc>
        <w:tc>
          <w:tcPr>
            <w:tcW w:w="1723" w:type="dxa"/>
            <w:tcBorders>
              <w:top w:val="nil"/>
              <w:left w:val="nil"/>
              <w:bottom w:val="single" w:sz="4" w:space="0" w:color="auto"/>
              <w:right w:val="nil"/>
            </w:tcBorders>
          </w:tcPr>
          <w:p w14:paraId="6DD9BB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89.1</w:t>
            </w:r>
          </w:p>
          <w:p w14:paraId="54F725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8700D9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10.9</w:t>
            </w:r>
          </w:p>
          <w:p w14:paraId="6DC647B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bl>
    <w:p w14:paraId="69DBFE83" w14:textId="77777777" w:rsidR="0046249E" w:rsidRPr="0075364C" w:rsidRDefault="0046249E" w:rsidP="0046249E">
      <w:pPr>
        <w:spacing w:after="0" w:line="480" w:lineRule="auto"/>
        <w:rPr>
          <w:rFonts w:ascii="Times New Roman" w:eastAsia="Times New Roman" w:hAnsi="Times New Roman" w:cs="Times New Roman"/>
          <w:color w:val="000000"/>
          <w:sz w:val="24"/>
          <w:szCs w:val="24"/>
        </w:rPr>
      </w:pPr>
      <w:r w:rsidRPr="0075364C">
        <w:rPr>
          <w:rFonts w:ascii="Times New Roman" w:hAnsi="Times New Roman" w:cs="Times New Roman"/>
          <w:sz w:val="24"/>
          <w:szCs w:val="24"/>
        </w:rPr>
        <w:t>Source: Field Survey, 2025</w:t>
      </w:r>
    </w:p>
    <w:p w14:paraId="37BFD416" w14:textId="77777777" w:rsidR="0046249E" w:rsidRPr="0075364C" w:rsidRDefault="0046249E" w:rsidP="0046249E">
      <w:pPr>
        <w:rPr>
          <w:rFonts w:ascii="Times New Roman" w:hAnsi="Times New Roman" w:cs="Times New Roman"/>
          <w:sz w:val="24"/>
          <w:szCs w:val="24"/>
        </w:rPr>
      </w:pPr>
    </w:p>
    <w:p w14:paraId="55382A6E" w14:textId="77777777" w:rsidR="0046249E" w:rsidRPr="0075364C" w:rsidRDefault="0046249E" w:rsidP="0046249E">
      <w:pPr>
        <w:rPr>
          <w:rFonts w:ascii="Times New Roman" w:hAnsi="Times New Roman" w:cs="Times New Roman"/>
          <w:sz w:val="24"/>
          <w:szCs w:val="24"/>
        </w:rPr>
      </w:pPr>
    </w:p>
    <w:p w14:paraId="66C0A104" w14:textId="77777777" w:rsidR="0046249E" w:rsidRPr="0075364C" w:rsidRDefault="0046249E" w:rsidP="0046249E">
      <w:pPr>
        <w:rPr>
          <w:rFonts w:ascii="Times New Roman" w:hAnsi="Times New Roman" w:cs="Times New Roman"/>
          <w:sz w:val="24"/>
          <w:szCs w:val="24"/>
        </w:rPr>
      </w:pPr>
    </w:p>
    <w:p w14:paraId="06EDF53E" w14:textId="77777777" w:rsidR="0046249E" w:rsidRPr="0075364C" w:rsidRDefault="0046249E" w:rsidP="0046249E">
      <w:pPr>
        <w:spacing w:line="480" w:lineRule="auto"/>
        <w:rPr>
          <w:rFonts w:ascii="Times New Roman" w:hAnsi="Times New Roman" w:cs="Times New Roman"/>
          <w:sz w:val="24"/>
          <w:szCs w:val="24"/>
        </w:rPr>
      </w:pPr>
    </w:p>
    <w:p w14:paraId="71E5F661" w14:textId="77777777" w:rsidR="0046249E" w:rsidRPr="0075364C" w:rsidRDefault="0046249E" w:rsidP="0046249E">
      <w:pPr>
        <w:spacing w:line="480" w:lineRule="auto"/>
        <w:rPr>
          <w:rFonts w:ascii="Times New Roman" w:hAnsi="Times New Roman" w:cs="Times New Roman"/>
          <w:b/>
          <w:bCs/>
          <w:sz w:val="24"/>
          <w:szCs w:val="24"/>
        </w:rPr>
      </w:pPr>
    </w:p>
    <w:p w14:paraId="1E29E38C" w14:textId="77777777" w:rsidR="0046249E" w:rsidRPr="0075364C" w:rsidRDefault="0046249E" w:rsidP="0046249E">
      <w:pPr>
        <w:spacing w:line="480" w:lineRule="auto"/>
        <w:rPr>
          <w:rFonts w:ascii="Times New Roman" w:hAnsi="Times New Roman" w:cs="Times New Roman"/>
          <w:b/>
          <w:bCs/>
          <w:sz w:val="24"/>
          <w:szCs w:val="24"/>
        </w:rPr>
      </w:pPr>
    </w:p>
    <w:p w14:paraId="480B3286" w14:textId="0BCF31A1" w:rsidR="0046249E" w:rsidRPr="0075364C" w:rsidRDefault="00C81331" w:rsidP="0046249E">
      <w:pPr>
        <w:spacing w:after="0"/>
        <w:rPr>
          <w:rFonts w:ascii="Times New Roman" w:hAnsi="Times New Roman" w:cs="Times New Roman"/>
          <w:b/>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 xml:space="preserve">3 </w:t>
      </w:r>
      <w:r w:rsidR="0046249E" w:rsidRPr="0075364C">
        <w:rPr>
          <w:rFonts w:ascii="Times New Roman" w:hAnsi="Times New Roman" w:cs="Times New Roman"/>
          <w:b/>
          <w:sz w:val="24"/>
          <w:szCs w:val="24"/>
        </w:rPr>
        <w:t xml:space="preserve">mental health Promotion among students of </w:t>
      </w:r>
      <w:proofErr w:type="spellStart"/>
      <w:r w:rsidR="0046249E" w:rsidRPr="0075364C">
        <w:rPr>
          <w:rFonts w:ascii="Times New Roman" w:hAnsi="Times New Roman" w:cs="Times New Roman"/>
          <w:b/>
          <w:sz w:val="24"/>
          <w:szCs w:val="24"/>
        </w:rPr>
        <w:t>Salihu</w:t>
      </w:r>
      <w:proofErr w:type="spellEnd"/>
      <w:r w:rsidR="0046249E" w:rsidRPr="0075364C">
        <w:rPr>
          <w:rFonts w:ascii="Times New Roman" w:hAnsi="Times New Roman" w:cs="Times New Roman"/>
          <w:b/>
          <w:sz w:val="24"/>
          <w:szCs w:val="24"/>
        </w:rPr>
        <w:t xml:space="preserve"> </w:t>
      </w:r>
      <w:proofErr w:type="spellStart"/>
      <w:r w:rsidR="0046249E" w:rsidRPr="0075364C">
        <w:rPr>
          <w:rFonts w:ascii="Times New Roman" w:hAnsi="Times New Roman" w:cs="Times New Roman"/>
          <w:b/>
          <w:sz w:val="24"/>
          <w:szCs w:val="24"/>
        </w:rPr>
        <w:t>Dogo</w:t>
      </w:r>
      <w:proofErr w:type="spellEnd"/>
      <w:r w:rsidR="0046249E" w:rsidRPr="0075364C">
        <w:rPr>
          <w:rFonts w:ascii="Times New Roman" w:hAnsi="Times New Roman" w:cs="Times New Roman"/>
          <w:b/>
          <w:sz w:val="24"/>
          <w:szCs w:val="24"/>
        </w:rPr>
        <w:t xml:space="preserve"> Secondary School in </w:t>
      </w:r>
      <w:proofErr w:type="spellStart"/>
      <w:r w:rsidR="0046249E" w:rsidRPr="0075364C">
        <w:rPr>
          <w:rFonts w:ascii="Times New Roman" w:hAnsi="Times New Roman" w:cs="Times New Roman"/>
          <w:b/>
          <w:sz w:val="24"/>
          <w:szCs w:val="24"/>
        </w:rPr>
        <w:t>Jalingo</w:t>
      </w:r>
      <w:proofErr w:type="spellEnd"/>
      <w:r w:rsidR="0046249E" w:rsidRPr="0075364C">
        <w:rPr>
          <w:rFonts w:ascii="Times New Roman" w:hAnsi="Times New Roman" w:cs="Times New Roman"/>
          <w:b/>
          <w:sz w:val="24"/>
          <w:szCs w:val="24"/>
        </w:rPr>
        <w:t>, Taraba State.</w:t>
      </w:r>
    </w:p>
    <w:tbl>
      <w:tblPr>
        <w:tblW w:w="8690" w:type="dxa"/>
        <w:tblBorders>
          <w:top w:val="single" w:sz="4" w:space="0" w:color="auto"/>
          <w:bottom w:val="single" w:sz="4" w:space="0" w:color="auto"/>
        </w:tblBorders>
        <w:tblLayout w:type="fixed"/>
        <w:tblLook w:val="04A0" w:firstRow="1" w:lastRow="0" w:firstColumn="1" w:lastColumn="0" w:noHBand="0" w:noVBand="1"/>
      </w:tblPr>
      <w:tblGrid>
        <w:gridCol w:w="3052"/>
        <w:gridCol w:w="2423"/>
        <w:gridCol w:w="1794"/>
        <w:gridCol w:w="1421"/>
      </w:tblGrid>
      <w:tr w:rsidR="0046249E" w:rsidRPr="0075364C" w14:paraId="2A23F6EB" w14:textId="77777777" w:rsidTr="00E13C56">
        <w:trPr>
          <w:cantSplit/>
          <w:trHeight w:val="350"/>
        </w:trPr>
        <w:tc>
          <w:tcPr>
            <w:tcW w:w="3053" w:type="dxa"/>
            <w:tcBorders>
              <w:top w:val="single" w:sz="4" w:space="0" w:color="auto"/>
              <w:left w:val="nil"/>
              <w:bottom w:val="single" w:sz="4" w:space="0" w:color="auto"/>
              <w:right w:val="nil"/>
            </w:tcBorders>
            <w:hideMark/>
          </w:tcPr>
          <w:p w14:paraId="709E0F2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Variables</w:t>
            </w:r>
          </w:p>
        </w:tc>
        <w:tc>
          <w:tcPr>
            <w:tcW w:w="2424" w:type="dxa"/>
            <w:tcBorders>
              <w:top w:val="single" w:sz="4" w:space="0" w:color="auto"/>
              <w:left w:val="nil"/>
              <w:bottom w:val="single" w:sz="4" w:space="0" w:color="auto"/>
              <w:right w:val="nil"/>
            </w:tcBorders>
            <w:hideMark/>
          </w:tcPr>
          <w:p w14:paraId="7AB8282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Items</w:t>
            </w:r>
          </w:p>
        </w:tc>
        <w:tc>
          <w:tcPr>
            <w:tcW w:w="1795" w:type="dxa"/>
            <w:tcBorders>
              <w:top w:val="single" w:sz="4" w:space="0" w:color="auto"/>
              <w:left w:val="nil"/>
              <w:bottom w:val="single" w:sz="4" w:space="0" w:color="auto"/>
              <w:right w:val="nil"/>
            </w:tcBorders>
            <w:vAlign w:val="bottom"/>
            <w:hideMark/>
          </w:tcPr>
          <w:p w14:paraId="05E94A0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 xml:space="preserve"> Frequency</w:t>
            </w:r>
          </w:p>
        </w:tc>
        <w:tc>
          <w:tcPr>
            <w:tcW w:w="1421" w:type="dxa"/>
            <w:tcBorders>
              <w:top w:val="single" w:sz="4" w:space="0" w:color="auto"/>
              <w:left w:val="nil"/>
              <w:bottom w:val="single" w:sz="4" w:space="0" w:color="auto"/>
              <w:right w:val="nil"/>
            </w:tcBorders>
            <w:vAlign w:val="bottom"/>
          </w:tcPr>
          <w:p w14:paraId="61CA54CC" w14:textId="77777777" w:rsidR="0046249E" w:rsidRPr="0075364C" w:rsidRDefault="0046249E" w:rsidP="00E13C56">
            <w:pPr>
              <w:autoSpaceDE w:val="0"/>
              <w:autoSpaceDN w:val="0"/>
              <w:adjustRightInd w:val="0"/>
              <w:spacing w:after="0" w:line="240" w:lineRule="auto"/>
              <w:rPr>
                <w:rFonts w:ascii="Times New Roman" w:hAnsi="Times New Roman" w:cs="Times New Roman"/>
                <w:b/>
                <w:sz w:val="24"/>
                <w:szCs w:val="24"/>
              </w:rPr>
            </w:pPr>
          </w:p>
        </w:tc>
      </w:tr>
      <w:tr w:rsidR="0046249E" w:rsidRPr="0075364C" w14:paraId="0013B558" w14:textId="77777777" w:rsidTr="00E13C56">
        <w:trPr>
          <w:cantSplit/>
          <w:trHeight w:val="510"/>
        </w:trPr>
        <w:tc>
          <w:tcPr>
            <w:tcW w:w="3053" w:type="dxa"/>
            <w:vMerge w:val="restart"/>
            <w:tcBorders>
              <w:top w:val="single" w:sz="4" w:space="0" w:color="auto"/>
              <w:left w:val="nil"/>
              <w:bottom w:val="nil"/>
              <w:right w:val="nil"/>
            </w:tcBorders>
            <w:hideMark/>
          </w:tcPr>
          <w:p w14:paraId="40C462EC" w14:textId="77777777" w:rsidR="0046249E" w:rsidRPr="0075364C" w:rsidRDefault="0046249E" w:rsidP="00E13C56">
            <w:pPr>
              <w:autoSpaceDE w:val="0"/>
              <w:autoSpaceDN w:val="0"/>
              <w:adjustRightInd w:val="0"/>
              <w:spacing w:after="0" w:line="240" w:lineRule="auto"/>
              <w:ind w:left="52" w:right="60"/>
              <w:rPr>
                <w:rFonts w:ascii="Times New Roman" w:hAnsi="Times New Roman" w:cs="Times New Roman"/>
                <w:sz w:val="24"/>
                <w:szCs w:val="24"/>
              </w:rPr>
            </w:pPr>
            <w:r w:rsidRPr="0075364C">
              <w:rPr>
                <w:rFonts w:ascii="Times New Roman" w:hAnsi="Times New Roman" w:cs="Times New Roman"/>
                <w:sz w:val="24"/>
                <w:szCs w:val="24"/>
              </w:rPr>
              <w:t>Are you aware of any resources available at your school for students struggling with substance abuse?</w:t>
            </w:r>
          </w:p>
        </w:tc>
        <w:tc>
          <w:tcPr>
            <w:tcW w:w="2424" w:type="dxa"/>
            <w:tcBorders>
              <w:top w:val="single" w:sz="4" w:space="0" w:color="auto"/>
              <w:left w:val="nil"/>
              <w:bottom w:val="nil"/>
              <w:right w:val="nil"/>
            </w:tcBorders>
            <w:hideMark/>
          </w:tcPr>
          <w:p w14:paraId="4913D18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single" w:sz="4" w:space="0" w:color="auto"/>
              <w:left w:val="nil"/>
              <w:bottom w:val="nil"/>
              <w:right w:val="nil"/>
            </w:tcBorders>
          </w:tcPr>
          <w:p w14:paraId="1858E63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315</w:t>
            </w:r>
          </w:p>
          <w:p w14:paraId="2584366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421" w:type="dxa"/>
            <w:tcBorders>
              <w:top w:val="single" w:sz="4" w:space="0" w:color="auto"/>
              <w:left w:val="nil"/>
              <w:bottom w:val="nil"/>
              <w:right w:val="nil"/>
            </w:tcBorders>
            <w:hideMark/>
          </w:tcPr>
          <w:p w14:paraId="5C27DB4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98.4</w:t>
            </w:r>
          </w:p>
        </w:tc>
      </w:tr>
      <w:tr w:rsidR="0046249E" w:rsidRPr="0075364C" w14:paraId="22928EA3" w14:textId="77777777" w:rsidTr="00E13C56">
        <w:trPr>
          <w:cantSplit/>
          <w:trHeight w:val="590"/>
        </w:trPr>
        <w:tc>
          <w:tcPr>
            <w:tcW w:w="3053" w:type="dxa"/>
            <w:vMerge/>
            <w:tcBorders>
              <w:top w:val="single" w:sz="4" w:space="0" w:color="auto"/>
              <w:left w:val="nil"/>
              <w:bottom w:val="nil"/>
              <w:right w:val="nil"/>
            </w:tcBorders>
            <w:vAlign w:val="center"/>
            <w:hideMark/>
          </w:tcPr>
          <w:p w14:paraId="0F20AB31"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73542F7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7FAD1C3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2F1F94A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5</w:t>
            </w:r>
          </w:p>
          <w:p w14:paraId="69960F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hideMark/>
          </w:tcPr>
          <w:p w14:paraId="3CD9A24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1.6</w:t>
            </w:r>
          </w:p>
          <w:p w14:paraId="04328E8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4611A18A" w14:textId="77777777" w:rsidTr="00E13C56">
        <w:trPr>
          <w:gridAfter w:val="3"/>
          <w:wAfter w:w="5640" w:type="dxa"/>
          <w:cantSplit/>
          <w:trHeight w:val="450"/>
        </w:trPr>
        <w:tc>
          <w:tcPr>
            <w:tcW w:w="3053" w:type="dxa"/>
            <w:vMerge/>
            <w:tcBorders>
              <w:top w:val="single" w:sz="4" w:space="0" w:color="auto"/>
              <w:left w:val="nil"/>
              <w:bottom w:val="nil"/>
              <w:right w:val="nil"/>
            </w:tcBorders>
            <w:vAlign w:val="center"/>
            <w:hideMark/>
          </w:tcPr>
          <w:p w14:paraId="6B76C287"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7359519" w14:textId="77777777" w:rsidTr="00E13C56">
        <w:trPr>
          <w:gridAfter w:val="3"/>
          <w:wAfter w:w="5640" w:type="dxa"/>
          <w:cantSplit/>
          <w:trHeight w:val="450"/>
        </w:trPr>
        <w:tc>
          <w:tcPr>
            <w:tcW w:w="3053" w:type="dxa"/>
            <w:vMerge/>
            <w:tcBorders>
              <w:top w:val="single" w:sz="4" w:space="0" w:color="auto"/>
              <w:left w:val="nil"/>
              <w:bottom w:val="nil"/>
              <w:right w:val="nil"/>
            </w:tcBorders>
            <w:vAlign w:val="center"/>
            <w:hideMark/>
          </w:tcPr>
          <w:p w14:paraId="2D6F0593"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0C91D438" w14:textId="77777777" w:rsidTr="00E13C56">
        <w:trPr>
          <w:cantSplit/>
          <w:trHeight w:val="458"/>
        </w:trPr>
        <w:tc>
          <w:tcPr>
            <w:tcW w:w="3053" w:type="dxa"/>
            <w:vMerge w:val="restart"/>
            <w:tcBorders>
              <w:top w:val="nil"/>
              <w:left w:val="nil"/>
              <w:bottom w:val="nil"/>
              <w:right w:val="nil"/>
            </w:tcBorders>
            <w:hideMark/>
          </w:tcPr>
          <w:p w14:paraId="7DA5988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Have you ever received education on the effects of substance abuse on mental health in your classes?</w:t>
            </w:r>
          </w:p>
        </w:tc>
        <w:tc>
          <w:tcPr>
            <w:tcW w:w="2424" w:type="dxa"/>
            <w:tcBorders>
              <w:top w:val="nil"/>
              <w:left w:val="nil"/>
              <w:bottom w:val="nil"/>
              <w:right w:val="nil"/>
            </w:tcBorders>
            <w:hideMark/>
          </w:tcPr>
          <w:p w14:paraId="54D85E1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0B9E47F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309</w:t>
            </w:r>
          </w:p>
        </w:tc>
        <w:tc>
          <w:tcPr>
            <w:tcW w:w="1421" w:type="dxa"/>
            <w:tcBorders>
              <w:top w:val="nil"/>
              <w:left w:val="nil"/>
              <w:bottom w:val="nil"/>
              <w:right w:val="nil"/>
            </w:tcBorders>
          </w:tcPr>
          <w:p w14:paraId="523A82C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96.6</w:t>
            </w:r>
          </w:p>
          <w:p w14:paraId="29B7D5C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319E4488" w14:textId="77777777" w:rsidTr="00E13C56">
        <w:trPr>
          <w:cantSplit/>
          <w:trHeight w:val="319"/>
        </w:trPr>
        <w:tc>
          <w:tcPr>
            <w:tcW w:w="3053" w:type="dxa"/>
            <w:vMerge/>
            <w:tcBorders>
              <w:top w:val="nil"/>
              <w:left w:val="nil"/>
              <w:bottom w:val="nil"/>
              <w:right w:val="nil"/>
            </w:tcBorders>
            <w:vAlign w:val="center"/>
            <w:hideMark/>
          </w:tcPr>
          <w:p w14:paraId="51872B67"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4998FE1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0D57780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6FA400E0"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11</w:t>
            </w:r>
          </w:p>
          <w:p w14:paraId="01C27FE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hideMark/>
          </w:tcPr>
          <w:p w14:paraId="1DB14B0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3.4</w:t>
            </w:r>
          </w:p>
          <w:p w14:paraId="35985FC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6EC990E6" w14:textId="77777777" w:rsidTr="00E13C56">
        <w:trPr>
          <w:gridAfter w:val="3"/>
          <w:wAfter w:w="5640" w:type="dxa"/>
          <w:cantSplit/>
          <w:trHeight w:val="450"/>
        </w:trPr>
        <w:tc>
          <w:tcPr>
            <w:tcW w:w="3053" w:type="dxa"/>
            <w:vMerge/>
            <w:tcBorders>
              <w:top w:val="nil"/>
              <w:left w:val="nil"/>
              <w:bottom w:val="nil"/>
              <w:right w:val="nil"/>
            </w:tcBorders>
            <w:vAlign w:val="center"/>
            <w:hideMark/>
          </w:tcPr>
          <w:p w14:paraId="1FB7F1F2"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43566735" w14:textId="77777777" w:rsidTr="00E13C56">
        <w:trPr>
          <w:gridAfter w:val="3"/>
          <w:wAfter w:w="5640" w:type="dxa"/>
          <w:cantSplit/>
          <w:trHeight w:val="450"/>
        </w:trPr>
        <w:tc>
          <w:tcPr>
            <w:tcW w:w="3053" w:type="dxa"/>
            <w:vMerge/>
            <w:tcBorders>
              <w:top w:val="nil"/>
              <w:left w:val="nil"/>
              <w:bottom w:val="nil"/>
              <w:right w:val="nil"/>
            </w:tcBorders>
            <w:vAlign w:val="center"/>
            <w:hideMark/>
          </w:tcPr>
          <w:p w14:paraId="45C8CC67"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536E446B" w14:textId="77777777" w:rsidTr="00E13C56">
        <w:trPr>
          <w:cantSplit/>
          <w:trHeight w:val="319"/>
        </w:trPr>
        <w:tc>
          <w:tcPr>
            <w:tcW w:w="3053" w:type="dxa"/>
            <w:vMerge w:val="restart"/>
            <w:tcBorders>
              <w:top w:val="nil"/>
              <w:left w:val="nil"/>
              <w:bottom w:val="nil"/>
              <w:right w:val="nil"/>
            </w:tcBorders>
            <w:hideMark/>
          </w:tcPr>
          <w:p w14:paraId="64C22349" w14:textId="77777777" w:rsidR="0046249E" w:rsidRPr="0075364C" w:rsidRDefault="0046249E" w:rsidP="00E13C56">
            <w:pPr>
              <w:spacing w:after="0" w:line="240" w:lineRule="auto"/>
              <w:rPr>
                <w:rFonts w:ascii="Times New Roman" w:hAnsi="Times New Roman" w:cs="Times New Roman"/>
                <w:sz w:val="24"/>
                <w:szCs w:val="24"/>
              </w:rPr>
            </w:pPr>
            <w:r w:rsidRPr="0075364C">
              <w:rPr>
                <w:rFonts w:ascii="Times New Roman" w:hAnsi="Times New Roman" w:cs="Times New Roman"/>
                <w:sz w:val="24"/>
                <w:szCs w:val="24"/>
              </w:rPr>
              <w:lastRenderedPageBreak/>
              <w:t>Do you feel that your class has sufficient information about mental health related to substance abuse?</w:t>
            </w:r>
          </w:p>
        </w:tc>
        <w:tc>
          <w:tcPr>
            <w:tcW w:w="2424" w:type="dxa"/>
            <w:tcBorders>
              <w:top w:val="nil"/>
              <w:left w:val="nil"/>
              <w:bottom w:val="nil"/>
              <w:right w:val="nil"/>
            </w:tcBorders>
          </w:tcPr>
          <w:p w14:paraId="06D088D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91EEB2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230672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tcPr>
          <w:p w14:paraId="15F2F6A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4EE0FB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BDD80D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28</w:t>
            </w:r>
          </w:p>
        </w:tc>
        <w:tc>
          <w:tcPr>
            <w:tcW w:w="1421" w:type="dxa"/>
            <w:tcBorders>
              <w:top w:val="nil"/>
              <w:left w:val="nil"/>
              <w:bottom w:val="nil"/>
              <w:right w:val="nil"/>
            </w:tcBorders>
          </w:tcPr>
          <w:p w14:paraId="5BA3F1F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B86B6B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8.8</w:t>
            </w:r>
          </w:p>
          <w:p w14:paraId="3A1BB1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08192E40" w14:textId="77777777" w:rsidTr="00E13C56">
        <w:trPr>
          <w:cantSplit/>
          <w:trHeight w:val="319"/>
        </w:trPr>
        <w:tc>
          <w:tcPr>
            <w:tcW w:w="3053" w:type="dxa"/>
            <w:vMerge/>
            <w:tcBorders>
              <w:top w:val="nil"/>
              <w:left w:val="nil"/>
              <w:bottom w:val="nil"/>
              <w:right w:val="nil"/>
            </w:tcBorders>
            <w:vAlign w:val="center"/>
            <w:hideMark/>
          </w:tcPr>
          <w:p w14:paraId="4843AE76"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6788CCC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06255F1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62BEAD6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292</w:t>
            </w:r>
          </w:p>
          <w:p w14:paraId="4810434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p w14:paraId="32F0FCD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421" w:type="dxa"/>
            <w:tcBorders>
              <w:top w:val="nil"/>
              <w:left w:val="nil"/>
              <w:bottom w:val="nil"/>
              <w:right w:val="nil"/>
            </w:tcBorders>
          </w:tcPr>
          <w:p w14:paraId="622090F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91.2</w:t>
            </w:r>
          </w:p>
          <w:p w14:paraId="1666D4F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p w14:paraId="0204AAC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64ED3B42" w14:textId="77777777" w:rsidTr="00E13C56">
        <w:trPr>
          <w:cantSplit/>
          <w:trHeight w:val="319"/>
        </w:trPr>
        <w:tc>
          <w:tcPr>
            <w:tcW w:w="3053" w:type="dxa"/>
            <w:vMerge/>
            <w:tcBorders>
              <w:top w:val="nil"/>
              <w:left w:val="nil"/>
              <w:bottom w:val="nil"/>
              <w:right w:val="nil"/>
            </w:tcBorders>
            <w:vAlign w:val="center"/>
            <w:hideMark/>
          </w:tcPr>
          <w:p w14:paraId="4910146F"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08ECC63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7E7D567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nil"/>
              <w:right w:val="nil"/>
            </w:tcBorders>
          </w:tcPr>
          <w:p w14:paraId="296A0FC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34442FBB" w14:textId="77777777" w:rsidTr="00E13C56">
        <w:trPr>
          <w:cantSplit/>
          <w:trHeight w:val="319"/>
        </w:trPr>
        <w:tc>
          <w:tcPr>
            <w:tcW w:w="3053" w:type="dxa"/>
            <w:tcBorders>
              <w:top w:val="nil"/>
              <w:left w:val="nil"/>
              <w:bottom w:val="nil"/>
              <w:right w:val="nil"/>
            </w:tcBorders>
            <w:hideMark/>
          </w:tcPr>
          <w:p w14:paraId="7C07429E" w14:textId="77777777" w:rsidR="0046249E" w:rsidRPr="0075364C" w:rsidRDefault="0046249E" w:rsidP="00E13C56">
            <w:pPr>
              <w:rPr>
                <w:rFonts w:ascii="Times New Roman" w:hAnsi="Times New Roman" w:cs="Times New Roman"/>
                <w:color w:val="000000"/>
                <w:sz w:val="24"/>
                <w:szCs w:val="24"/>
              </w:rPr>
            </w:pPr>
            <w:r w:rsidRPr="0075364C">
              <w:rPr>
                <w:rFonts w:ascii="Times New Roman" w:hAnsi="Times New Roman" w:cs="Times New Roman"/>
                <w:sz w:val="24"/>
                <w:szCs w:val="24"/>
              </w:rPr>
              <w:t>would you be interested in participating in a school program focused on substance abuse prevention?</w:t>
            </w:r>
          </w:p>
        </w:tc>
        <w:tc>
          <w:tcPr>
            <w:tcW w:w="2424" w:type="dxa"/>
            <w:tcBorders>
              <w:top w:val="nil"/>
              <w:left w:val="nil"/>
              <w:bottom w:val="nil"/>
              <w:right w:val="nil"/>
            </w:tcBorders>
          </w:tcPr>
          <w:p w14:paraId="3D9399F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Yes</w:t>
            </w:r>
          </w:p>
          <w:p w14:paraId="6286683A"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59596E8F"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56F3369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No</w:t>
            </w:r>
          </w:p>
          <w:p w14:paraId="4B824C7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60BC7CF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3A132D15"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sz w:val="24"/>
                <w:szCs w:val="24"/>
              </w:rPr>
            </w:pPr>
          </w:p>
        </w:tc>
        <w:tc>
          <w:tcPr>
            <w:tcW w:w="1795" w:type="dxa"/>
            <w:tcBorders>
              <w:top w:val="nil"/>
              <w:left w:val="nil"/>
              <w:bottom w:val="nil"/>
              <w:right w:val="nil"/>
            </w:tcBorders>
          </w:tcPr>
          <w:p w14:paraId="0CB5433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311</w:t>
            </w:r>
          </w:p>
          <w:p w14:paraId="20DF69F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5F2222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514BC5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w:t>
            </w:r>
          </w:p>
          <w:p w14:paraId="278AE3E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p w14:paraId="1654C2A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CBD001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9B9A11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nil"/>
              <w:right w:val="nil"/>
            </w:tcBorders>
          </w:tcPr>
          <w:p w14:paraId="3165B95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97.2</w:t>
            </w:r>
          </w:p>
          <w:p w14:paraId="2682F04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847BE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435CCE9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2.8</w:t>
            </w:r>
          </w:p>
          <w:p w14:paraId="5A6E544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100%</w:t>
            </w:r>
          </w:p>
          <w:p w14:paraId="55A4882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24072D6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4264E8C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65D59113" w14:textId="77777777" w:rsidTr="00E13C56">
        <w:trPr>
          <w:cantSplit/>
          <w:trHeight w:val="319"/>
        </w:trPr>
        <w:tc>
          <w:tcPr>
            <w:tcW w:w="3053" w:type="dxa"/>
            <w:tcBorders>
              <w:top w:val="nil"/>
              <w:left w:val="nil"/>
              <w:bottom w:val="nil"/>
              <w:right w:val="nil"/>
            </w:tcBorders>
            <w:hideMark/>
          </w:tcPr>
          <w:p w14:paraId="36E7ED4E" w14:textId="77777777" w:rsidR="0046249E" w:rsidRPr="0075364C" w:rsidRDefault="0046249E" w:rsidP="00E13C56">
            <w:pPr>
              <w:spacing w:after="0" w:line="240" w:lineRule="auto"/>
              <w:rPr>
                <w:rFonts w:ascii="Times New Roman" w:hAnsi="Times New Roman" w:cs="Times New Roman"/>
                <w:color w:val="000000"/>
                <w:sz w:val="24"/>
                <w:szCs w:val="24"/>
              </w:rPr>
            </w:pPr>
            <w:r w:rsidRPr="0075364C">
              <w:rPr>
                <w:rFonts w:ascii="Times New Roman" w:hAnsi="Times New Roman" w:cs="Times New Roman"/>
                <w:sz w:val="24"/>
                <w:szCs w:val="24"/>
              </w:rPr>
              <w:t>Do you think teachers and school counselors play an important role in promoting students mental health?</w:t>
            </w:r>
          </w:p>
        </w:tc>
        <w:tc>
          <w:tcPr>
            <w:tcW w:w="2424" w:type="dxa"/>
            <w:tcBorders>
              <w:top w:val="nil"/>
              <w:left w:val="nil"/>
              <w:bottom w:val="nil"/>
              <w:right w:val="nil"/>
            </w:tcBorders>
          </w:tcPr>
          <w:p w14:paraId="7A87910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3DD426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ECECAA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nil"/>
              <w:right w:val="nil"/>
            </w:tcBorders>
          </w:tcPr>
          <w:p w14:paraId="2E41C26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221</w:t>
            </w:r>
          </w:p>
          <w:p w14:paraId="2BCC0A2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DADD24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99</w:t>
            </w:r>
          </w:p>
          <w:p w14:paraId="2069E24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tcPr>
          <w:p w14:paraId="1919FBB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69.1</w:t>
            </w:r>
          </w:p>
          <w:p w14:paraId="14DA20A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F236E9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30.9</w:t>
            </w:r>
          </w:p>
          <w:p w14:paraId="5D56CBC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100%</w:t>
            </w:r>
          </w:p>
        </w:tc>
      </w:tr>
      <w:tr w:rsidR="0046249E" w:rsidRPr="0075364C" w14:paraId="0BDF6574" w14:textId="77777777" w:rsidTr="00E13C56">
        <w:trPr>
          <w:cantSplit/>
          <w:trHeight w:val="319"/>
        </w:trPr>
        <w:tc>
          <w:tcPr>
            <w:tcW w:w="3053" w:type="dxa"/>
            <w:tcBorders>
              <w:top w:val="nil"/>
              <w:left w:val="nil"/>
              <w:bottom w:val="single" w:sz="4" w:space="0" w:color="auto"/>
              <w:right w:val="nil"/>
            </w:tcBorders>
          </w:tcPr>
          <w:p w14:paraId="4D2B6DAD" w14:textId="77777777" w:rsidR="0046249E" w:rsidRPr="0075364C" w:rsidRDefault="0046249E" w:rsidP="00E13C56">
            <w:pPr>
              <w:spacing w:after="0" w:line="240" w:lineRule="auto"/>
              <w:rPr>
                <w:rFonts w:ascii="Times New Roman" w:hAnsi="Times New Roman" w:cs="Times New Roman"/>
                <w:b/>
                <w:color w:val="000000"/>
                <w:sz w:val="24"/>
                <w:szCs w:val="24"/>
              </w:rPr>
            </w:pPr>
          </w:p>
        </w:tc>
        <w:tc>
          <w:tcPr>
            <w:tcW w:w="2424" w:type="dxa"/>
            <w:tcBorders>
              <w:top w:val="nil"/>
              <w:left w:val="nil"/>
              <w:bottom w:val="single" w:sz="4" w:space="0" w:color="auto"/>
              <w:right w:val="nil"/>
            </w:tcBorders>
          </w:tcPr>
          <w:p w14:paraId="161B75A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95" w:type="dxa"/>
            <w:tcBorders>
              <w:top w:val="nil"/>
              <w:left w:val="nil"/>
              <w:bottom w:val="single" w:sz="4" w:space="0" w:color="auto"/>
              <w:right w:val="nil"/>
            </w:tcBorders>
          </w:tcPr>
          <w:p w14:paraId="367CEEB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single" w:sz="4" w:space="0" w:color="auto"/>
              <w:right w:val="nil"/>
            </w:tcBorders>
          </w:tcPr>
          <w:p w14:paraId="71DED00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color w:val="010205"/>
                <w:sz w:val="24"/>
                <w:szCs w:val="24"/>
              </w:rPr>
            </w:pPr>
          </w:p>
        </w:tc>
      </w:tr>
    </w:tbl>
    <w:p w14:paraId="1443BC94" w14:textId="77777777" w:rsidR="00C81331" w:rsidRDefault="0046249E" w:rsidP="00C81331">
      <w:pPr>
        <w:spacing w:after="0" w:line="480" w:lineRule="auto"/>
        <w:rPr>
          <w:rFonts w:ascii="Times New Roman" w:eastAsia="Times New Roman" w:hAnsi="Times New Roman" w:cs="Times New Roman"/>
          <w:color w:val="000000"/>
          <w:sz w:val="24"/>
          <w:szCs w:val="24"/>
        </w:rPr>
      </w:pPr>
      <w:r w:rsidRPr="0075364C">
        <w:rPr>
          <w:rFonts w:ascii="Times New Roman" w:hAnsi="Times New Roman" w:cs="Times New Roman"/>
          <w:sz w:val="24"/>
          <w:szCs w:val="24"/>
        </w:rPr>
        <w:t>Source: Field Survey, 2025</w:t>
      </w:r>
    </w:p>
    <w:p w14:paraId="55B4B794"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.1 Demographic Characteristics of Respondents</w:t>
      </w:r>
    </w:p>
    <w:p w14:paraId="10F39185" w14:textId="3D347915"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Table 1 presents the demographic distribution of the 320 respondents. The majority of participants were aged 15–18 years (59.7%), followed by those aged 10–14 years (28.8%), while 11.6% were aged 19 years and above. This indicates that the sample was predominantly mid-adolescents, a developmental stage often associated with increased vulnerability to risk-taking behaviors, including substance use (Patton et al., 2018; WHO, 2021).</w:t>
      </w:r>
    </w:p>
    <w:p w14:paraId="6B224C3E"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In terms of class distribution, students in SS2 constituted the largest proportion (29.1%), followed by SS1 (19.7%), JSS2 (15.6%), JSS3 (12.5%), SS3 (11.8%), and JSS1 (11.3%). This spread suggests adequate representation across junior and senior secondary levels.</w:t>
      </w:r>
    </w:p>
    <w:p w14:paraId="1DD3D7D1"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 xml:space="preserve">Regarding gender, males constituted 78.1% of respondents, while females accounted for 21.8%. The predominance of male respondents may reflect enrollment patterns or sampling dynamics. Literature consistently shows higher prevalence of substance use among male adolescents </w:t>
      </w:r>
      <w:r w:rsidRPr="005D4D38">
        <w:rPr>
          <w:rFonts w:ascii="Times New Roman" w:eastAsia="Times New Roman" w:hAnsi="Times New Roman" w:cs="Times New Roman"/>
          <w:color w:val="000000"/>
          <w:sz w:val="24"/>
          <w:szCs w:val="24"/>
        </w:rPr>
        <w:lastRenderedPageBreak/>
        <w:t>compared to females in Nigeria and other LMICs (</w:t>
      </w:r>
      <w:proofErr w:type="spellStart"/>
      <w:r w:rsidRPr="005D4D38">
        <w:rPr>
          <w:rFonts w:ascii="Times New Roman" w:eastAsia="Times New Roman" w:hAnsi="Times New Roman" w:cs="Times New Roman"/>
          <w:color w:val="000000"/>
          <w:sz w:val="24"/>
          <w:szCs w:val="24"/>
        </w:rPr>
        <w:t>Olawole</w:t>
      </w:r>
      <w:proofErr w:type="spellEnd"/>
      <w:r w:rsidRPr="005D4D38">
        <w:rPr>
          <w:rFonts w:ascii="Times New Roman" w:eastAsia="Times New Roman" w:hAnsi="Times New Roman" w:cs="Times New Roman"/>
          <w:color w:val="000000"/>
          <w:sz w:val="24"/>
          <w:szCs w:val="24"/>
        </w:rPr>
        <w:t>-Isaac et al., 2018; UNODC &amp; NBS, 2018), which may have implications for interpreting awareness and prevention outcomes.</w:t>
      </w:r>
    </w:p>
    <w:p w14:paraId="630B38FA"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.2 Level of Awareness Regarding Substance Abuse and Mental Health</w:t>
      </w:r>
    </w:p>
    <w:p w14:paraId="4095B6AC" w14:textId="5F39F4D4"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Findings in Table 2 indicate mixed levels of awareness. Only 34.4% of students reported being aware that substance abuse can affect mental health, while 65.6% indicated they were not aware. This suggests a substantial knowledge gap regarding the mental health consequences of substance use. This finding contrasts with global evidence indicating increasing adolescent awareness of substance-related mental health risks (UNODC, 2023; WHO, 2022). However, it aligns with Nigerian studies reporting limited mental health literacy among secondary school students (</w:t>
      </w:r>
      <w:proofErr w:type="spellStart"/>
      <w:r w:rsidRPr="005D4D38">
        <w:rPr>
          <w:rFonts w:ascii="Times New Roman" w:eastAsia="Times New Roman" w:hAnsi="Times New Roman" w:cs="Times New Roman"/>
          <w:color w:val="000000"/>
          <w:sz w:val="24"/>
          <w:szCs w:val="24"/>
        </w:rPr>
        <w:t>Atilola</w:t>
      </w:r>
      <w:proofErr w:type="spellEnd"/>
      <w:r w:rsidRPr="005D4D38">
        <w:rPr>
          <w:rFonts w:ascii="Times New Roman" w:eastAsia="Times New Roman" w:hAnsi="Times New Roman" w:cs="Times New Roman"/>
          <w:color w:val="000000"/>
          <w:sz w:val="24"/>
          <w:szCs w:val="24"/>
        </w:rPr>
        <w:t>, 2017; Wei et al., 2017).</w:t>
      </w:r>
    </w:p>
    <w:p w14:paraId="4A8DB4E2"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Interestingly, 95.0% of respondents stated that they were aware of mental health risks associated with substance abuse, while only 5.0% were unaware. This apparent inconsistency between general awareness (34.4%) and awareness of risks (95.0%) may reflect differences in interpretation of the questions or exposure to fragmented information. Similar discrepancies between perceived awareness and accurate knowledge have been documented in adolescent mental health literacy research (Milin et al., 2019).</w:t>
      </w:r>
    </w:p>
    <w:p w14:paraId="3961181F"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Regarding academic performance, 61.9% of students believed that substance abuse does not affect student performance, while only 38.1% believed it does. This perception contradicts substantial empirical evidence demonstrating that substance use negatively affects cognitive functioning, school engagement, and academic outcomes (Silins et al., 2018; Degenhardt et al., 2018). The finding suggests underestimation of academic consequences among students.</w:t>
      </w:r>
    </w:p>
    <w:p w14:paraId="5CE724D1"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 xml:space="preserve">A majority (70.3%) believed adolescents are more susceptible to substance abuse than adults. This aligns with epidemiological evidence that adolescence is a high-risk period for substance initiation </w:t>
      </w:r>
      <w:r w:rsidRPr="005D4D38">
        <w:rPr>
          <w:rFonts w:ascii="Times New Roman" w:eastAsia="Times New Roman" w:hAnsi="Times New Roman" w:cs="Times New Roman"/>
          <w:color w:val="000000"/>
          <w:sz w:val="24"/>
          <w:szCs w:val="24"/>
        </w:rPr>
        <w:lastRenderedPageBreak/>
        <w:t>and experimentation (UNODC &amp; NBS, 2018; Patton et al., 2018). Additionally, 89.1% agreed that peer influence can lead students to substance abuse, consistent with social learning and peer cluster theories, as well as empirical findings highlighting peer pressure as a major predictor of adolescent substance use in Nigeria (</w:t>
      </w:r>
      <w:proofErr w:type="spellStart"/>
      <w:r w:rsidRPr="005D4D38">
        <w:rPr>
          <w:rFonts w:ascii="Times New Roman" w:eastAsia="Times New Roman" w:hAnsi="Times New Roman" w:cs="Times New Roman"/>
          <w:color w:val="000000"/>
          <w:sz w:val="24"/>
          <w:szCs w:val="24"/>
        </w:rPr>
        <w:t>Olawole</w:t>
      </w:r>
      <w:proofErr w:type="spellEnd"/>
      <w:r w:rsidRPr="005D4D38">
        <w:rPr>
          <w:rFonts w:ascii="Times New Roman" w:eastAsia="Times New Roman" w:hAnsi="Times New Roman" w:cs="Times New Roman"/>
          <w:color w:val="000000"/>
          <w:sz w:val="24"/>
          <w:szCs w:val="24"/>
        </w:rPr>
        <w:t>-Isaac et al., 2018; Hammond et al., 2020).</w:t>
      </w:r>
    </w:p>
    <w:p w14:paraId="2A7C51AD"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.3 Mental Health Promotion Among Students</w:t>
      </w:r>
    </w:p>
    <w:p w14:paraId="7E5614F6" w14:textId="36869A2F"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Results in Table 3 reveal high reported exposure to school-based resources and education. A substantial 98.4% of respondents indicated awareness of available school resources for students struggling with substance abuse. Similarly, 96.6% reported having received education on the effects of substance abuse on mental health in class. These findings suggest that the school has implemented some level of awareness or educational programming.</w:t>
      </w:r>
    </w:p>
    <w:p w14:paraId="476F2DA2"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However, despite high reported exposure, 91.2% of students felt that their class does not have sufficient information about mental health related to substance abuse. This indicates a gap between availability of programs and perceived adequacy or depth of information. Comparable findings were reported by Terem et al. (2024), who observed moderate awareness but low engagement in mental health-promoting practices among Nigerian students. This supports the argument that mere exposure to information does not necessarily translate into comprehensive understanding or behavioral change (Kutcher et al., 2019).</w:t>
      </w:r>
    </w:p>
    <w:p w14:paraId="0F367AE5"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Encouragingly, 97.2% of respondents expressed interest in participating in school programs focused on substance abuse prevention. This demonstrates high receptivity and readiness for intervention, consistent with findings that adolescents are generally willing to engage in structured mental health and prevention initiatives when accessible (WHO &amp; UNICEF, 2021).</w:t>
      </w:r>
    </w:p>
    <w:p w14:paraId="38154AE7"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 xml:space="preserve">Furthermore, 69.1% believed that teachers and school counselors play an important role in promoting students’ mental health, while 30.9% did not. This aligns with global advocacy for a </w:t>
      </w:r>
      <w:r w:rsidRPr="005D4D38">
        <w:rPr>
          <w:rFonts w:ascii="Times New Roman" w:eastAsia="Times New Roman" w:hAnsi="Times New Roman" w:cs="Times New Roman"/>
          <w:color w:val="000000"/>
          <w:sz w:val="24"/>
          <w:szCs w:val="24"/>
        </w:rPr>
        <w:lastRenderedPageBreak/>
        <w:t>whole-school approach to mental health promotion, where educators are recognized as key stakeholders in early identification and intervention (UNESCO, 2021; Weare &amp; Nind, 2018).</w:t>
      </w:r>
    </w:p>
    <w:p w14:paraId="23E76419" w14:textId="77777777" w:rsidR="005D4D38" w:rsidRPr="005E6270" w:rsidRDefault="005D4D38" w:rsidP="005E6270">
      <w:pPr>
        <w:spacing w:before="100" w:beforeAutospacing="1" w:after="100" w:afterAutospacing="1" w:line="360" w:lineRule="auto"/>
        <w:outlineLvl w:val="1"/>
        <w:rPr>
          <w:rFonts w:ascii="Times New Roman" w:eastAsia="Times New Roman" w:hAnsi="Times New Roman" w:cs="Times New Roman"/>
          <w:b/>
          <w:bCs/>
          <w:sz w:val="24"/>
          <w:szCs w:val="24"/>
        </w:rPr>
      </w:pPr>
      <w:r w:rsidRPr="005E6270">
        <w:rPr>
          <w:rFonts w:ascii="Times New Roman" w:eastAsia="Times New Roman" w:hAnsi="Times New Roman" w:cs="Times New Roman"/>
          <w:b/>
          <w:bCs/>
          <w:sz w:val="24"/>
          <w:szCs w:val="24"/>
        </w:rPr>
        <w:t>5. 0 Conclusion</w:t>
      </w:r>
    </w:p>
    <w:p w14:paraId="7EF7E74C" w14:textId="77777777" w:rsidR="005D4D38" w:rsidRPr="005E6270" w:rsidRDefault="005D4D38" w:rsidP="005E6270">
      <w:pPr>
        <w:spacing w:before="100" w:beforeAutospacing="1" w:after="100" w:afterAutospacing="1" w:line="360" w:lineRule="auto"/>
        <w:jc w:val="both"/>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 xml:space="preserve">The study found that although students of </w:t>
      </w:r>
      <w:proofErr w:type="spellStart"/>
      <w:r w:rsidRPr="005E6270">
        <w:rPr>
          <w:rFonts w:ascii="Times New Roman" w:eastAsia="Times New Roman" w:hAnsi="Times New Roman" w:cs="Times New Roman"/>
          <w:sz w:val="24"/>
          <w:szCs w:val="24"/>
        </w:rPr>
        <w:t>Salihu</w:t>
      </w:r>
      <w:proofErr w:type="spellEnd"/>
      <w:r w:rsidRPr="005E6270">
        <w:rPr>
          <w:rFonts w:ascii="Times New Roman" w:eastAsia="Times New Roman" w:hAnsi="Times New Roman" w:cs="Times New Roman"/>
          <w:sz w:val="24"/>
          <w:szCs w:val="24"/>
        </w:rPr>
        <w:t xml:space="preserve"> </w:t>
      </w:r>
      <w:proofErr w:type="spellStart"/>
      <w:r w:rsidRPr="005E6270">
        <w:rPr>
          <w:rFonts w:ascii="Times New Roman" w:eastAsia="Times New Roman" w:hAnsi="Times New Roman" w:cs="Times New Roman"/>
          <w:sz w:val="24"/>
          <w:szCs w:val="24"/>
        </w:rPr>
        <w:t>Dogo</w:t>
      </w:r>
      <w:proofErr w:type="spellEnd"/>
      <w:r w:rsidRPr="005E6270">
        <w:rPr>
          <w:rFonts w:ascii="Times New Roman" w:eastAsia="Times New Roman" w:hAnsi="Times New Roman" w:cs="Times New Roman"/>
          <w:sz w:val="24"/>
          <w:szCs w:val="24"/>
        </w:rPr>
        <w:t xml:space="preserve"> Secondary School reported high exposure to substance abuse education and school resources, important knowledge gaps remain—particularly regarding the impact of substance abuse on mental health and academic performance. Students recognized peer influence and adolescent vulnerability, and most expressed willingness to participate in prevention programs. Overall, awareness exists, but it is not sufficiently comprehensive to ensure effective prevention and mental health promotion.</w:t>
      </w:r>
    </w:p>
    <w:p w14:paraId="0771551C" w14:textId="77777777" w:rsidR="005D4D38" w:rsidRPr="005E6270" w:rsidRDefault="005D4D38" w:rsidP="005E6270">
      <w:pPr>
        <w:spacing w:before="100" w:beforeAutospacing="1" w:after="100" w:afterAutospacing="1" w:line="360" w:lineRule="auto"/>
        <w:outlineLvl w:val="1"/>
        <w:rPr>
          <w:rFonts w:ascii="Times New Roman" w:eastAsia="Times New Roman" w:hAnsi="Times New Roman" w:cs="Times New Roman"/>
          <w:b/>
          <w:bCs/>
          <w:sz w:val="24"/>
          <w:szCs w:val="24"/>
        </w:rPr>
      </w:pPr>
      <w:r w:rsidRPr="005E6270">
        <w:rPr>
          <w:rFonts w:ascii="Times New Roman" w:eastAsia="Times New Roman" w:hAnsi="Times New Roman" w:cs="Times New Roman"/>
          <w:b/>
          <w:bCs/>
          <w:sz w:val="24"/>
          <w:szCs w:val="24"/>
        </w:rPr>
        <w:t>6.0 Recommendations</w:t>
      </w:r>
    </w:p>
    <w:p w14:paraId="21DAC873"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Integrate structured mental health and substance abuse education into the school curriculum in line with guidelines from the World Health Organization.</w:t>
      </w:r>
    </w:p>
    <w:p w14:paraId="61489CDF"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Strengthen mental health literacy programs to address misconceptions about academic and psychological consequences of substance abuse.</w:t>
      </w:r>
    </w:p>
    <w:p w14:paraId="39B70096"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Train teachers and counselors to provide early identification and basic psychosocial support.</w:t>
      </w:r>
    </w:p>
    <w:p w14:paraId="3C9E51B6"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Establish peer-led awareness and prevention programs within the school.</w:t>
      </w:r>
    </w:p>
    <w:p w14:paraId="20B17714" w14:textId="77777777" w:rsidR="005D4D38"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Encourage collaboration between school authorities, parents, and education policymakers to sustain mental health promotion initiatives.</w:t>
      </w:r>
    </w:p>
    <w:p w14:paraId="17CC0A4F" w14:textId="77777777" w:rsid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p>
    <w:p w14:paraId="0127C275" w14:textId="77777777" w:rsid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p>
    <w:p w14:paraId="3705FADE" w14:textId="77777777" w:rsidR="00926C14" w:rsidRP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r w:rsidRPr="00926C14">
        <w:rPr>
          <w:rFonts w:ascii="Times New Roman" w:eastAsia="Times New Roman" w:hAnsi="Times New Roman" w:cs="Times New Roman"/>
          <w:sz w:val="24"/>
          <w:szCs w:val="24"/>
        </w:rPr>
        <w:t>COMPETING INTERESTS DISCLAIMER:</w:t>
      </w:r>
    </w:p>
    <w:p w14:paraId="7067469E" w14:textId="7B75E03A" w:rsidR="00926C14" w:rsidRPr="005E6270" w:rsidRDefault="00926C14" w:rsidP="00926C14">
      <w:pPr>
        <w:spacing w:before="100" w:beforeAutospacing="1" w:after="100" w:afterAutospacing="1" w:line="360" w:lineRule="auto"/>
        <w:rPr>
          <w:rFonts w:ascii="Times New Roman" w:eastAsia="Times New Roman" w:hAnsi="Times New Roman" w:cs="Times New Roman"/>
          <w:sz w:val="24"/>
          <w:szCs w:val="24"/>
        </w:rPr>
      </w:pPr>
      <w:r w:rsidRPr="00926C14">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320A70" w14:textId="77777777" w:rsidR="0046249E" w:rsidRDefault="0046249E" w:rsidP="0046249E">
      <w:pPr>
        <w:spacing w:line="360" w:lineRule="auto"/>
        <w:jc w:val="both"/>
        <w:rPr>
          <w:rFonts w:ascii="Times New Roman" w:hAnsi="Times New Roman" w:cs="Times New Roman"/>
          <w:b/>
          <w:sz w:val="24"/>
          <w:szCs w:val="24"/>
        </w:rPr>
      </w:pPr>
      <w:r w:rsidRPr="0075364C">
        <w:rPr>
          <w:rFonts w:ascii="Times New Roman" w:hAnsi="Times New Roman" w:cs="Times New Roman"/>
          <w:b/>
          <w:sz w:val="24"/>
          <w:szCs w:val="24"/>
        </w:rPr>
        <w:lastRenderedPageBreak/>
        <w:t>References</w:t>
      </w:r>
    </w:p>
    <w:p w14:paraId="41C7522A" w14:textId="77777777" w:rsidR="005D4D38" w:rsidRDefault="005D4D38" w:rsidP="000A71F6">
      <w:pPr>
        <w:pStyle w:val="NormalWeb"/>
        <w:ind w:left="720" w:hanging="720"/>
        <w:jc w:val="both"/>
      </w:pPr>
      <w:proofErr w:type="spellStart"/>
      <w:r>
        <w:t>Atilola</w:t>
      </w:r>
      <w:proofErr w:type="spellEnd"/>
      <w:r>
        <w:t xml:space="preserve">, O. (2017). Mental health service utilization in Nigeria: Issues and perspectives. </w:t>
      </w:r>
      <w:r>
        <w:rPr>
          <w:rStyle w:val="Emphasis"/>
        </w:rPr>
        <w:t>International Journal of Mental Health Systems, 11</w:t>
      </w:r>
      <w:r>
        <w:t>, 1–11. https://doi.org/10.1186/s13033-017-0142-7</w:t>
      </w:r>
    </w:p>
    <w:p w14:paraId="16A7E92E" w14:textId="77777777" w:rsidR="005D4D38" w:rsidRDefault="005D4D38" w:rsidP="000A71F6">
      <w:pPr>
        <w:pStyle w:val="NormalWeb"/>
        <w:ind w:left="720" w:hanging="720"/>
        <w:jc w:val="both"/>
      </w:pPr>
      <w:r>
        <w:t xml:space="preserve">Degenhardt, L., Charlson, F., Ferrari, A., et al. (2018). The global burden of disease attributable to alcohol and drug use in 195 countries and territories, 1990–2016: A systematic analysis. </w:t>
      </w:r>
      <w:r>
        <w:rPr>
          <w:rStyle w:val="Emphasis"/>
        </w:rPr>
        <w:t>The Lancet Psychiatry, 5</w:t>
      </w:r>
      <w:r>
        <w:t>(12), 987–1012. https://doi.org/10.1016/S2215-0366(18)30337-7</w:t>
      </w:r>
    </w:p>
    <w:p w14:paraId="42A94DF9" w14:textId="77777777" w:rsidR="005D4D38" w:rsidRDefault="005D4D38" w:rsidP="000A71F6">
      <w:pPr>
        <w:pStyle w:val="NormalWeb"/>
        <w:ind w:left="720" w:hanging="720"/>
        <w:jc w:val="both"/>
      </w:pPr>
      <w:r>
        <w:t xml:space="preserve">Egbe, C. O., Brooke-Sumner, C., </w:t>
      </w:r>
      <w:proofErr w:type="spellStart"/>
      <w:r>
        <w:t>Kathree</w:t>
      </w:r>
      <w:proofErr w:type="spellEnd"/>
      <w:r>
        <w:t xml:space="preserve">, T., et al. (2019). Psychiatric stigma and discrimination in Africa: A systematic review. </w:t>
      </w:r>
      <w:r>
        <w:rPr>
          <w:rStyle w:val="Emphasis"/>
        </w:rPr>
        <w:t>BMC Psychiatry, 19</w:t>
      </w:r>
      <w:r>
        <w:t>, 1–13. https://doi.org/10.1186/s12888-019-2050-5</w:t>
      </w:r>
    </w:p>
    <w:p w14:paraId="74210F23" w14:textId="77777777" w:rsidR="005D4D38" w:rsidRDefault="005D4D38" w:rsidP="000A71F6">
      <w:pPr>
        <w:pStyle w:val="NormalWeb"/>
        <w:ind w:left="720" w:hanging="720"/>
        <w:jc w:val="both"/>
      </w:pPr>
      <w:r>
        <w:t xml:space="preserve">Gall, M. D., Gall, J. P., &amp; Borg, W. R. (2016). </w:t>
      </w:r>
      <w:r>
        <w:rPr>
          <w:rStyle w:val="Emphasis"/>
        </w:rPr>
        <w:t>Educational research: An introduction</w:t>
      </w:r>
      <w:r>
        <w:t xml:space="preserve"> (8th ed.). Pearson Education.</w:t>
      </w:r>
    </w:p>
    <w:p w14:paraId="334EAF12" w14:textId="77777777" w:rsidR="005D4D38" w:rsidRDefault="005D4D38" w:rsidP="000A71F6">
      <w:pPr>
        <w:pStyle w:val="NormalWeb"/>
        <w:ind w:left="720" w:hanging="720"/>
        <w:jc w:val="both"/>
      </w:pPr>
      <w:proofErr w:type="spellStart"/>
      <w:r>
        <w:t>Gureje</w:t>
      </w:r>
      <w:proofErr w:type="spellEnd"/>
      <w:r>
        <w:t xml:space="preserve">, O., Seedat, S., &amp; Evans-Lacko, S. (2020). Mental health systems in low- and middle-income countries: Nigeria as a case study. </w:t>
      </w:r>
      <w:r>
        <w:rPr>
          <w:rStyle w:val="Emphasis"/>
        </w:rPr>
        <w:t>The Lancet Psychiatry, 7</w:t>
      </w:r>
      <w:r>
        <w:t>(1), 20–22. https://doi.org/10.1016/S2215-0366(19)30444-6</w:t>
      </w:r>
    </w:p>
    <w:p w14:paraId="6C9F1B08" w14:textId="77777777" w:rsidR="005D4D38" w:rsidRDefault="005D4D38" w:rsidP="000A71F6">
      <w:pPr>
        <w:pStyle w:val="NormalWeb"/>
        <w:ind w:left="720" w:hanging="720"/>
        <w:jc w:val="both"/>
      </w:pPr>
      <w:r>
        <w:t xml:space="preserve">Hammond, D., Reid, J. L., Rynard, V. L., et al. (2020). Prevalence of cannabis use and mental health indicators among youth. </w:t>
      </w:r>
      <w:r>
        <w:rPr>
          <w:rStyle w:val="Emphasis"/>
        </w:rPr>
        <w:t>Addictive Behaviors, 102</w:t>
      </w:r>
      <w:r>
        <w:t>, 106–130. https://doi.org/10.1016/j.addbeh.2019.106212</w:t>
      </w:r>
    </w:p>
    <w:p w14:paraId="2EDCE56A" w14:textId="77777777" w:rsidR="005D4D38" w:rsidRDefault="005D4D38" w:rsidP="000A71F6">
      <w:pPr>
        <w:pStyle w:val="NormalWeb"/>
        <w:ind w:left="720" w:hanging="720"/>
        <w:jc w:val="both"/>
      </w:pPr>
      <w:r>
        <w:t xml:space="preserve">Kutcher, S., Wei, Y., &amp; Coniglio, C. (2019). Mental health literacy: Past, present, and future. </w:t>
      </w:r>
      <w:r>
        <w:rPr>
          <w:rStyle w:val="Emphasis"/>
        </w:rPr>
        <w:t>Canadian Journal of Psychiatry, 64</w:t>
      </w:r>
      <w:r>
        <w:t>(1), 1–5. https://doi.org/10.1177/0706743718816449</w:t>
      </w:r>
    </w:p>
    <w:p w14:paraId="6B59CF60" w14:textId="77777777" w:rsidR="005D4D38" w:rsidRDefault="005D4D38" w:rsidP="000A71F6">
      <w:pPr>
        <w:pStyle w:val="NormalWeb"/>
        <w:ind w:left="720" w:hanging="720"/>
        <w:jc w:val="both"/>
      </w:pPr>
      <w:r>
        <w:t xml:space="preserve">Loades, M. E., Chatburn, E., Higson-Sweeney, N., et al. (2020). Rapid systematic review: The impact of social isolation and loneliness on youth mental health in the context of COVID-19. </w:t>
      </w:r>
      <w:r>
        <w:rPr>
          <w:rStyle w:val="Emphasis"/>
        </w:rPr>
        <w:t>Journal of the American Academy of Child &amp; Adolescent Psychiatry, 59</w:t>
      </w:r>
      <w:r>
        <w:t xml:space="preserve">(11), 1218–1239. </w:t>
      </w:r>
      <w:hyperlink r:id="rId7" w:tgtFrame="_new" w:history="1">
        <w:r>
          <w:rPr>
            <w:rStyle w:val="Hyperlink"/>
          </w:rPr>
          <w:t>https://doi.org/10.1016/j.jaac.2020.05.009</w:t>
        </w:r>
      </w:hyperlink>
    </w:p>
    <w:p w14:paraId="6F7574BB" w14:textId="77777777" w:rsidR="005D4D38" w:rsidRDefault="005D4D38" w:rsidP="000A71F6">
      <w:pPr>
        <w:pStyle w:val="NormalWeb"/>
        <w:ind w:left="720" w:hanging="720"/>
        <w:jc w:val="both"/>
      </w:pPr>
      <w:r>
        <w:t xml:space="preserve">Milin, R., Kutcher, S., Lewis, S. P., et al. (2019). Impact of a mental health curriculum on knowledge and stigma among adolescents. </w:t>
      </w:r>
      <w:r>
        <w:rPr>
          <w:rStyle w:val="Emphasis"/>
        </w:rPr>
        <w:t>BMC Psychiatry, 19</w:t>
      </w:r>
      <w:r>
        <w:t>, 1–9. https://doi.org/10.1186/s12888-019-2070-1</w:t>
      </w:r>
    </w:p>
    <w:p w14:paraId="080C28A4" w14:textId="77777777" w:rsidR="005D4D38" w:rsidRDefault="005D4D38" w:rsidP="000A71F6">
      <w:pPr>
        <w:pStyle w:val="NormalWeb"/>
        <w:ind w:left="720" w:hanging="720"/>
        <w:jc w:val="both"/>
      </w:pPr>
      <w:r>
        <w:t xml:space="preserve">National Drug Law Enforcement Agency (NDLEA). (2022). </w:t>
      </w:r>
      <w:r>
        <w:rPr>
          <w:rStyle w:val="Emphasis"/>
        </w:rPr>
        <w:t>Annual drug seizure and arrest report</w:t>
      </w:r>
      <w:r>
        <w:t>. NDLEA Headquarters, Abuja.</w:t>
      </w:r>
    </w:p>
    <w:p w14:paraId="557FD50C" w14:textId="77777777" w:rsidR="005D4D38" w:rsidRDefault="005D4D38" w:rsidP="000A71F6">
      <w:pPr>
        <w:pStyle w:val="NormalWeb"/>
        <w:ind w:left="720" w:hanging="720"/>
        <w:jc w:val="both"/>
      </w:pPr>
      <w:r>
        <w:t xml:space="preserve">Olawole-Isaac, A., Ogundipe, O., Amoo, E. O., &amp; </w:t>
      </w:r>
      <w:proofErr w:type="spellStart"/>
      <w:r>
        <w:t>Adeloye</w:t>
      </w:r>
      <w:proofErr w:type="spellEnd"/>
      <w:r>
        <w:t xml:space="preserve">, D. (2018). Substance use among adolescents in sub-Saharan Africa: A systematic review. </w:t>
      </w:r>
      <w:r>
        <w:rPr>
          <w:rStyle w:val="Emphasis"/>
        </w:rPr>
        <w:t>African Health Sciences, 18</w:t>
      </w:r>
      <w:r>
        <w:t>(3), 776–784. https://doi.org/10.4314/ahs.v18i3.37</w:t>
      </w:r>
    </w:p>
    <w:p w14:paraId="241D136A" w14:textId="77777777" w:rsidR="005D4D38" w:rsidRDefault="005D4D38" w:rsidP="000A71F6">
      <w:pPr>
        <w:pStyle w:val="NormalWeb"/>
        <w:ind w:left="720" w:hanging="720"/>
        <w:jc w:val="both"/>
      </w:pPr>
      <w:r>
        <w:lastRenderedPageBreak/>
        <w:t xml:space="preserve">Patton, G. C., Sawyer, S. M., Santelli, J. S., et al. (2018). Our future: A Lancet commission on adolescent health and wellbeing. </w:t>
      </w:r>
      <w:r>
        <w:rPr>
          <w:rStyle w:val="Emphasis"/>
        </w:rPr>
        <w:t>The Lancet, 392</w:t>
      </w:r>
      <w:r>
        <w:t>(10157), 2423–2478. https://doi.org/10.1016/S0140-6736(18)32480-4</w:t>
      </w:r>
    </w:p>
    <w:p w14:paraId="0A7E8C1F" w14:textId="77777777" w:rsidR="005D4D38" w:rsidRDefault="005D4D38" w:rsidP="000A71F6">
      <w:pPr>
        <w:pStyle w:val="NormalWeb"/>
        <w:ind w:left="720" w:hanging="720"/>
        <w:jc w:val="both"/>
      </w:pPr>
      <w:r>
        <w:t xml:space="preserve">Racine, N., McArthur, B. A., Cooke, J. E., et al. (2021). Global prevalence of depressive and anxiety symptoms in children and adolescents during COVID-19. </w:t>
      </w:r>
      <w:r>
        <w:rPr>
          <w:rStyle w:val="Emphasis"/>
        </w:rPr>
        <w:t>JAMA Pediatrics, 175</w:t>
      </w:r>
      <w:r>
        <w:t xml:space="preserve">(11), 1142–1150. </w:t>
      </w:r>
      <w:hyperlink r:id="rId8" w:tgtFrame="_new" w:history="1">
        <w:r>
          <w:rPr>
            <w:rStyle w:val="Hyperlink"/>
          </w:rPr>
          <w:t>https://doi.org/10.1001/jamapediatrics.2021.2482</w:t>
        </w:r>
      </w:hyperlink>
    </w:p>
    <w:p w14:paraId="33D24719" w14:textId="77777777" w:rsidR="005D4D38" w:rsidRDefault="005D4D38" w:rsidP="000A71F6">
      <w:pPr>
        <w:pStyle w:val="NormalWeb"/>
        <w:ind w:left="720" w:hanging="720"/>
        <w:jc w:val="both"/>
      </w:pPr>
      <w:r>
        <w:t xml:space="preserve">Silins, E., Horwood, L. J., Patton, G. C., et al. (2018). Young adult sequelae of adolescent cannabis use. </w:t>
      </w:r>
      <w:r>
        <w:rPr>
          <w:rStyle w:val="Emphasis"/>
        </w:rPr>
        <w:t>The Lancet Psychiatry, 5</w:t>
      </w:r>
      <w:r>
        <w:t>(6), 497–507. https://doi.org/10.1016/S2215-0366(18)30120-2</w:t>
      </w:r>
    </w:p>
    <w:p w14:paraId="24FE48A6" w14:textId="77777777" w:rsidR="005D4D38" w:rsidRDefault="005D4D38" w:rsidP="000A71F6">
      <w:pPr>
        <w:pStyle w:val="NormalWeb"/>
        <w:ind w:left="720" w:hanging="720"/>
        <w:jc w:val="both"/>
      </w:pPr>
      <w:r>
        <w:t xml:space="preserve">Terem, T., Ekanem, A., &amp; Bassey, I. (2024). Awareness and practice of mental health promotion among university students in Nigeria. </w:t>
      </w:r>
      <w:r>
        <w:rPr>
          <w:rStyle w:val="Emphasis"/>
        </w:rPr>
        <w:t>Nigerian Journal of Clinical Psychology, 12</w:t>
      </w:r>
      <w:r>
        <w:t>(1), 34–52.</w:t>
      </w:r>
    </w:p>
    <w:p w14:paraId="4A35D57B" w14:textId="77777777" w:rsidR="005D4D38" w:rsidRDefault="005D4D38" w:rsidP="000A71F6">
      <w:pPr>
        <w:pStyle w:val="NormalWeb"/>
        <w:ind w:left="720" w:hanging="720"/>
        <w:jc w:val="both"/>
      </w:pPr>
      <w:r>
        <w:t xml:space="preserve">UNESCO. (2021). </w:t>
      </w:r>
      <w:r>
        <w:rPr>
          <w:rStyle w:val="Emphasis"/>
        </w:rPr>
        <w:t>Reimagining our futures together: A new social contract for education</w:t>
      </w:r>
      <w:r>
        <w:t>. United Nations Educational, Scientific and Cultural Organization.</w:t>
      </w:r>
    </w:p>
    <w:p w14:paraId="0E4BACF9" w14:textId="77777777" w:rsidR="005D4D38" w:rsidRDefault="005D4D38" w:rsidP="000A71F6">
      <w:pPr>
        <w:pStyle w:val="NormalWeb"/>
        <w:ind w:left="720" w:hanging="720"/>
        <w:jc w:val="both"/>
      </w:pPr>
      <w:r>
        <w:t xml:space="preserve">UNICEF. (2021). </w:t>
      </w:r>
      <w:r>
        <w:rPr>
          <w:rStyle w:val="Emphasis"/>
        </w:rPr>
        <w:t>The State of the World’s Children 2021: On my mind – Promoting, protecting and caring for children’s mental health</w:t>
      </w:r>
      <w:r>
        <w:t>. United Nations Children’s Fund.</w:t>
      </w:r>
    </w:p>
    <w:p w14:paraId="08378568" w14:textId="77777777" w:rsidR="005D4D38" w:rsidRDefault="005D4D38" w:rsidP="000A71F6">
      <w:pPr>
        <w:pStyle w:val="NormalWeb"/>
        <w:ind w:left="720" w:hanging="720"/>
        <w:jc w:val="both"/>
      </w:pPr>
      <w:r>
        <w:t xml:space="preserve">United Nations Office on Drugs and Crime (UNODC). (2023). </w:t>
      </w:r>
      <w:r>
        <w:rPr>
          <w:rStyle w:val="Emphasis"/>
        </w:rPr>
        <w:t>World drug report 2023</w:t>
      </w:r>
      <w:r>
        <w:t>. UNODC.</w:t>
      </w:r>
    </w:p>
    <w:p w14:paraId="55059C0E" w14:textId="77777777" w:rsidR="005D4D38" w:rsidRDefault="005D4D38" w:rsidP="000A71F6">
      <w:pPr>
        <w:pStyle w:val="NormalWeb"/>
        <w:ind w:left="720" w:hanging="720"/>
        <w:jc w:val="both"/>
      </w:pPr>
      <w:r>
        <w:t xml:space="preserve">United Nations Office on Drugs and Crime (UNODC), &amp; National Bureau of Statistics (NBS). (2018). </w:t>
      </w:r>
      <w:r>
        <w:rPr>
          <w:rStyle w:val="Emphasis"/>
        </w:rPr>
        <w:t>Drug use in Nigeria: National survey report 2018</w:t>
      </w:r>
      <w:r>
        <w:t>. UNODC.</w:t>
      </w:r>
    </w:p>
    <w:p w14:paraId="5340A48B" w14:textId="77777777" w:rsidR="005D4D38" w:rsidRDefault="005D4D38" w:rsidP="000A71F6">
      <w:pPr>
        <w:pStyle w:val="NormalWeb"/>
        <w:ind w:left="720" w:hanging="720"/>
        <w:jc w:val="both"/>
      </w:pPr>
      <w:r>
        <w:t xml:space="preserve">Wei, Y., McGrath, P. J., Hayden, J., &amp; Kutcher, S. (2017). Mental health literacy measures for adolescents: A systematic review. </w:t>
      </w:r>
      <w:r>
        <w:rPr>
          <w:rStyle w:val="Emphasis"/>
        </w:rPr>
        <w:t>Early Intervention in Psychiatry, 11</w:t>
      </w:r>
      <w:r>
        <w:t>(3), 199–205. https://doi.org/10.1111/eip.12266</w:t>
      </w:r>
    </w:p>
    <w:p w14:paraId="71F55211" w14:textId="77777777" w:rsidR="005D4D38" w:rsidRDefault="005D4D38" w:rsidP="000A71F6">
      <w:pPr>
        <w:pStyle w:val="NormalWeb"/>
        <w:ind w:left="720" w:hanging="720"/>
        <w:jc w:val="both"/>
      </w:pPr>
      <w:r>
        <w:t xml:space="preserve">Weare, K., &amp; Nind, M. (2018). Mental health promotion and problem prevention in schools. </w:t>
      </w:r>
      <w:r>
        <w:rPr>
          <w:rStyle w:val="Emphasis"/>
        </w:rPr>
        <w:t>Health Promotion International, 33</w:t>
      </w:r>
      <w:r>
        <w:t>(1), 1–13. https://doi.org/10.1093/heapro/dax028</w:t>
      </w:r>
    </w:p>
    <w:p w14:paraId="6B5A53C1" w14:textId="77777777" w:rsidR="005D4D38" w:rsidRDefault="005D4D38" w:rsidP="000A71F6">
      <w:pPr>
        <w:pStyle w:val="NormalWeb"/>
        <w:ind w:left="720" w:hanging="720"/>
        <w:jc w:val="both"/>
      </w:pPr>
      <w:r>
        <w:t xml:space="preserve">World Health Organization. (2021). </w:t>
      </w:r>
      <w:r>
        <w:rPr>
          <w:rStyle w:val="Emphasis"/>
        </w:rPr>
        <w:t>Adolescent mental health</w:t>
      </w:r>
      <w:r>
        <w:t xml:space="preserve">. WHO. </w:t>
      </w:r>
      <w:hyperlink r:id="rId9" w:tgtFrame="_new" w:history="1">
        <w:r>
          <w:rPr>
            <w:rStyle w:val="Hyperlink"/>
          </w:rPr>
          <w:t>https://www.who.int/news-room/fact-sheets/detail/adolescent-mental-health</w:t>
        </w:r>
      </w:hyperlink>
    </w:p>
    <w:p w14:paraId="034BFD71" w14:textId="77777777" w:rsidR="005D4D38" w:rsidRDefault="005D4D38" w:rsidP="000A71F6">
      <w:pPr>
        <w:pStyle w:val="NormalWeb"/>
        <w:ind w:left="720" w:hanging="720"/>
        <w:jc w:val="both"/>
      </w:pPr>
      <w:r>
        <w:t xml:space="preserve">World Health Organization. (2022). </w:t>
      </w:r>
      <w:r>
        <w:rPr>
          <w:rStyle w:val="Emphasis"/>
        </w:rPr>
        <w:t>World mental health report: Transforming mental health for all</w:t>
      </w:r>
      <w:r>
        <w:t>. WHO.</w:t>
      </w:r>
    </w:p>
    <w:p w14:paraId="154681F0" w14:textId="77777777" w:rsidR="005D4D38" w:rsidRDefault="005D4D38" w:rsidP="000A71F6">
      <w:pPr>
        <w:pStyle w:val="NormalWeb"/>
        <w:ind w:left="720" w:hanging="720"/>
        <w:jc w:val="both"/>
      </w:pPr>
      <w:r>
        <w:t xml:space="preserve">World Health Organization &amp; UNICEF. (2021). </w:t>
      </w:r>
      <w:r>
        <w:rPr>
          <w:rStyle w:val="Emphasis"/>
        </w:rPr>
        <w:t>Helping adolescents thrive toolkit</w:t>
      </w:r>
      <w:r>
        <w:t>. WHO.</w:t>
      </w:r>
    </w:p>
    <w:p w14:paraId="4CF39C45" w14:textId="77777777" w:rsidR="005D4D38" w:rsidRDefault="005D4D38" w:rsidP="000A71F6">
      <w:pPr>
        <w:pStyle w:val="NormalWeb"/>
        <w:ind w:left="720" w:hanging="720"/>
        <w:jc w:val="both"/>
      </w:pPr>
      <w:r>
        <w:t xml:space="preserve">World Health Organization Regional Office for Africa. (2022). </w:t>
      </w:r>
      <w:r>
        <w:rPr>
          <w:rStyle w:val="Emphasis"/>
        </w:rPr>
        <w:t>Mental health in the African Region: Situation analysis</w:t>
      </w:r>
      <w:r>
        <w:t>. WHO AFRO.</w:t>
      </w:r>
    </w:p>
    <w:sectPr w:rsidR="005D4D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D28D4" w14:textId="77777777" w:rsidR="002F5F00" w:rsidRDefault="002F5F00" w:rsidP="00466016">
      <w:pPr>
        <w:spacing w:after="0" w:line="240" w:lineRule="auto"/>
      </w:pPr>
      <w:r>
        <w:separator/>
      </w:r>
    </w:p>
  </w:endnote>
  <w:endnote w:type="continuationSeparator" w:id="0">
    <w:p w14:paraId="62362157" w14:textId="77777777" w:rsidR="002F5F00" w:rsidRDefault="002F5F00" w:rsidP="0046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92CF" w14:textId="77777777" w:rsidR="00466016" w:rsidRDefault="00466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BD2C" w14:textId="77777777" w:rsidR="00466016" w:rsidRDefault="00466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3C6C" w14:textId="77777777" w:rsidR="00466016" w:rsidRDefault="0046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7B29" w14:textId="77777777" w:rsidR="002F5F00" w:rsidRDefault="002F5F00" w:rsidP="00466016">
      <w:pPr>
        <w:spacing w:after="0" w:line="240" w:lineRule="auto"/>
      </w:pPr>
      <w:r>
        <w:separator/>
      </w:r>
    </w:p>
  </w:footnote>
  <w:footnote w:type="continuationSeparator" w:id="0">
    <w:p w14:paraId="0F9BBD1B" w14:textId="77777777" w:rsidR="002F5F00" w:rsidRDefault="002F5F00" w:rsidP="0046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0B4C" w14:textId="7C051597" w:rsidR="00466016" w:rsidRDefault="00466016">
    <w:pPr>
      <w:pStyle w:val="Header"/>
    </w:pPr>
    <w:r>
      <w:rPr>
        <w:noProof/>
      </w:rPr>
      <w:pict w14:anchorId="3679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F774" w14:textId="64750DAE" w:rsidR="00466016" w:rsidRDefault="00466016">
    <w:pPr>
      <w:pStyle w:val="Header"/>
    </w:pPr>
    <w:r>
      <w:rPr>
        <w:noProof/>
      </w:rPr>
      <w:pict w14:anchorId="4619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E9C2" w14:textId="575B3DD2" w:rsidR="00466016" w:rsidRDefault="00466016">
    <w:pPr>
      <w:pStyle w:val="Header"/>
    </w:pPr>
    <w:r>
      <w:rPr>
        <w:noProof/>
      </w:rPr>
      <w:pict w14:anchorId="741EA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439A"/>
    <w:multiLevelType w:val="multilevel"/>
    <w:tmpl w:val="73CE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85A61"/>
    <w:multiLevelType w:val="multilevel"/>
    <w:tmpl w:val="E91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A77A1"/>
    <w:multiLevelType w:val="multilevel"/>
    <w:tmpl w:val="34E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83B81"/>
    <w:multiLevelType w:val="multilevel"/>
    <w:tmpl w:val="7DF0F71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C832C59"/>
    <w:multiLevelType w:val="hybridMultilevel"/>
    <w:tmpl w:val="1736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E3618"/>
    <w:multiLevelType w:val="hybridMultilevel"/>
    <w:tmpl w:val="3424B162"/>
    <w:lvl w:ilvl="0" w:tplc="7D687CB8">
      <w:start w:val="1"/>
      <w:numFmt w:val="decimal"/>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1534C"/>
    <w:multiLevelType w:val="multilevel"/>
    <w:tmpl w:val="D982EA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E"/>
    <w:rsid w:val="000735C3"/>
    <w:rsid w:val="000A71F6"/>
    <w:rsid w:val="001E7F01"/>
    <w:rsid w:val="00272EEB"/>
    <w:rsid w:val="002F5F00"/>
    <w:rsid w:val="0046249E"/>
    <w:rsid w:val="00465FFF"/>
    <w:rsid w:val="00466016"/>
    <w:rsid w:val="005D4D38"/>
    <w:rsid w:val="005E6270"/>
    <w:rsid w:val="00637EC0"/>
    <w:rsid w:val="007C02C0"/>
    <w:rsid w:val="00926C14"/>
    <w:rsid w:val="00957DF7"/>
    <w:rsid w:val="00967D8A"/>
    <w:rsid w:val="00A271E5"/>
    <w:rsid w:val="00A81B0D"/>
    <w:rsid w:val="00AF285A"/>
    <w:rsid w:val="00B02634"/>
    <w:rsid w:val="00B23F32"/>
    <w:rsid w:val="00BA022F"/>
    <w:rsid w:val="00C81331"/>
    <w:rsid w:val="00CD3548"/>
    <w:rsid w:val="00D84D2F"/>
    <w:rsid w:val="00E168EA"/>
    <w:rsid w:val="00E831AD"/>
    <w:rsid w:val="00FD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6FF36"/>
  <w15:chartTrackingRefBased/>
  <w15:docId w15:val="{2FFE2EC5-398F-4626-A5D1-D4E8C860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49E"/>
  </w:style>
  <w:style w:type="paragraph" w:styleId="Heading2">
    <w:name w:val="heading 2"/>
    <w:basedOn w:val="Normal"/>
    <w:link w:val="Heading2Char"/>
    <w:uiPriority w:val="9"/>
    <w:qFormat/>
    <w:rsid w:val="005D4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D4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49E"/>
    <w:pPr>
      <w:ind w:left="720"/>
      <w:contextualSpacing/>
    </w:pPr>
  </w:style>
  <w:style w:type="paragraph" w:customStyle="1" w:styleId="Default">
    <w:name w:val="Default"/>
    <w:rsid w:val="004624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249E"/>
    <w:rPr>
      <w:color w:val="0563C1" w:themeColor="hyperlink"/>
      <w:u w:val="single"/>
    </w:rPr>
  </w:style>
  <w:style w:type="character" w:customStyle="1" w:styleId="uv3um">
    <w:name w:val="uv3um"/>
    <w:basedOn w:val="DefaultParagraphFont"/>
    <w:rsid w:val="0046249E"/>
  </w:style>
  <w:style w:type="table" w:styleId="TableGrid">
    <w:name w:val="Table Grid"/>
    <w:basedOn w:val="TableNormal"/>
    <w:uiPriority w:val="39"/>
    <w:rsid w:val="0046249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46249E"/>
  </w:style>
  <w:style w:type="character" w:customStyle="1" w:styleId="markedcontent">
    <w:name w:val="markedcontent"/>
    <w:basedOn w:val="DefaultParagraphFont"/>
    <w:rsid w:val="0046249E"/>
  </w:style>
  <w:style w:type="character" w:customStyle="1" w:styleId="Heading2Char">
    <w:name w:val="Heading 2 Char"/>
    <w:basedOn w:val="DefaultParagraphFont"/>
    <w:link w:val="Heading2"/>
    <w:uiPriority w:val="9"/>
    <w:rsid w:val="005D4D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D4D38"/>
  </w:style>
  <w:style w:type="character" w:customStyle="1" w:styleId="Heading3Char">
    <w:name w:val="Heading 3 Char"/>
    <w:basedOn w:val="DefaultParagraphFont"/>
    <w:link w:val="Heading3"/>
    <w:uiPriority w:val="9"/>
    <w:semiHidden/>
    <w:rsid w:val="005D4D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D4D38"/>
    <w:rPr>
      <w:i/>
      <w:iCs/>
    </w:rPr>
  </w:style>
  <w:style w:type="character" w:styleId="UnresolvedMention">
    <w:name w:val="Unresolved Mention"/>
    <w:basedOn w:val="DefaultParagraphFont"/>
    <w:uiPriority w:val="99"/>
    <w:semiHidden/>
    <w:unhideWhenUsed/>
    <w:rsid w:val="001E7F01"/>
    <w:rPr>
      <w:color w:val="605E5C"/>
      <w:shd w:val="clear" w:color="auto" w:fill="E1DFDD"/>
    </w:rPr>
  </w:style>
  <w:style w:type="paragraph" w:styleId="Header">
    <w:name w:val="header"/>
    <w:basedOn w:val="Normal"/>
    <w:link w:val="HeaderChar"/>
    <w:uiPriority w:val="99"/>
    <w:unhideWhenUsed/>
    <w:rsid w:val="00466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16"/>
  </w:style>
  <w:style w:type="paragraph" w:styleId="Footer">
    <w:name w:val="footer"/>
    <w:basedOn w:val="Normal"/>
    <w:link w:val="FooterChar"/>
    <w:uiPriority w:val="99"/>
    <w:unhideWhenUsed/>
    <w:rsid w:val="00466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0148">
      <w:bodyDiv w:val="1"/>
      <w:marLeft w:val="0"/>
      <w:marRight w:val="0"/>
      <w:marTop w:val="0"/>
      <w:marBottom w:val="0"/>
      <w:divBdr>
        <w:top w:val="none" w:sz="0" w:space="0" w:color="auto"/>
        <w:left w:val="none" w:sz="0" w:space="0" w:color="auto"/>
        <w:bottom w:val="none" w:sz="0" w:space="0" w:color="auto"/>
        <w:right w:val="none" w:sz="0" w:space="0" w:color="auto"/>
      </w:divBdr>
    </w:div>
    <w:div w:id="480385218">
      <w:bodyDiv w:val="1"/>
      <w:marLeft w:val="0"/>
      <w:marRight w:val="0"/>
      <w:marTop w:val="0"/>
      <w:marBottom w:val="0"/>
      <w:divBdr>
        <w:top w:val="none" w:sz="0" w:space="0" w:color="auto"/>
        <w:left w:val="none" w:sz="0" w:space="0" w:color="auto"/>
        <w:bottom w:val="none" w:sz="0" w:space="0" w:color="auto"/>
        <w:right w:val="none" w:sz="0" w:space="0" w:color="auto"/>
      </w:divBdr>
    </w:div>
    <w:div w:id="816144309">
      <w:bodyDiv w:val="1"/>
      <w:marLeft w:val="0"/>
      <w:marRight w:val="0"/>
      <w:marTop w:val="0"/>
      <w:marBottom w:val="0"/>
      <w:divBdr>
        <w:top w:val="none" w:sz="0" w:space="0" w:color="auto"/>
        <w:left w:val="none" w:sz="0" w:space="0" w:color="auto"/>
        <w:bottom w:val="none" w:sz="0" w:space="0" w:color="auto"/>
        <w:right w:val="none" w:sz="0" w:space="0" w:color="auto"/>
      </w:divBdr>
    </w:div>
    <w:div w:id="1008993120">
      <w:bodyDiv w:val="1"/>
      <w:marLeft w:val="0"/>
      <w:marRight w:val="0"/>
      <w:marTop w:val="0"/>
      <w:marBottom w:val="0"/>
      <w:divBdr>
        <w:top w:val="none" w:sz="0" w:space="0" w:color="auto"/>
        <w:left w:val="none" w:sz="0" w:space="0" w:color="auto"/>
        <w:bottom w:val="none" w:sz="0" w:space="0" w:color="auto"/>
        <w:right w:val="none" w:sz="0" w:space="0" w:color="auto"/>
      </w:divBdr>
    </w:div>
    <w:div w:id="1207596634">
      <w:bodyDiv w:val="1"/>
      <w:marLeft w:val="0"/>
      <w:marRight w:val="0"/>
      <w:marTop w:val="0"/>
      <w:marBottom w:val="0"/>
      <w:divBdr>
        <w:top w:val="none" w:sz="0" w:space="0" w:color="auto"/>
        <w:left w:val="none" w:sz="0" w:space="0" w:color="auto"/>
        <w:bottom w:val="none" w:sz="0" w:space="0" w:color="auto"/>
        <w:right w:val="none" w:sz="0" w:space="0" w:color="auto"/>
      </w:divBdr>
    </w:div>
    <w:div w:id="1362784988">
      <w:bodyDiv w:val="1"/>
      <w:marLeft w:val="0"/>
      <w:marRight w:val="0"/>
      <w:marTop w:val="0"/>
      <w:marBottom w:val="0"/>
      <w:divBdr>
        <w:top w:val="none" w:sz="0" w:space="0" w:color="auto"/>
        <w:left w:val="none" w:sz="0" w:space="0" w:color="auto"/>
        <w:bottom w:val="none" w:sz="0" w:space="0" w:color="auto"/>
        <w:right w:val="none" w:sz="0" w:space="0" w:color="auto"/>
      </w:divBdr>
    </w:div>
    <w:div w:id="1412385245">
      <w:bodyDiv w:val="1"/>
      <w:marLeft w:val="0"/>
      <w:marRight w:val="0"/>
      <w:marTop w:val="0"/>
      <w:marBottom w:val="0"/>
      <w:divBdr>
        <w:top w:val="none" w:sz="0" w:space="0" w:color="auto"/>
        <w:left w:val="none" w:sz="0" w:space="0" w:color="auto"/>
        <w:bottom w:val="none" w:sz="0" w:space="0" w:color="auto"/>
        <w:right w:val="none" w:sz="0" w:space="0" w:color="auto"/>
      </w:divBdr>
    </w:div>
    <w:div w:id="16885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pediatrics.2021.248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jaac.2020.05.00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adolescent-mental-heal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25</cp:revision>
  <dcterms:created xsi:type="dcterms:W3CDTF">2026-02-20T13:52:00Z</dcterms:created>
  <dcterms:modified xsi:type="dcterms:W3CDTF">2026-03-05T08:19:00Z</dcterms:modified>
</cp:coreProperties>
</file>