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5D26" w14:textId="3E1C94DA" w:rsidR="00A82459" w:rsidRPr="00A82459" w:rsidRDefault="00A82459" w:rsidP="00A82459">
      <w:pPr>
        <w:rPr>
          <w:rFonts w:cstheme="minorHAnsi"/>
          <w:b/>
          <w:spacing w:val="1"/>
          <w:sz w:val="28"/>
          <w:szCs w:val="28"/>
          <w:u w:val="single"/>
        </w:rPr>
      </w:pPr>
      <w:r w:rsidRPr="00A82459">
        <w:rPr>
          <w:rFonts w:cstheme="minorHAnsi"/>
          <w:b/>
          <w:spacing w:val="1"/>
          <w:sz w:val="28"/>
          <w:szCs w:val="28"/>
          <w:u w:val="single"/>
        </w:rPr>
        <w:t>Mini Review Article</w:t>
      </w:r>
    </w:p>
    <w:p w14:paraId="4116E992" w14:textId="6C3881A5" w:rsidR="00AE3BA5" w:rsidRPr="00532B2E" w:rsidRDefault="002976DD" w:rsidP="00AE3BA5">
      <w:pPr>
        <w:jc w:val="center"/>
        <w:rPr>
          <w:rFonts w:cstheme="minorHAnsi"/>
          <w:b/>
          <w:spacing w:val="1"/>
          <w:sz w:val="28"/>
          <w:szCs w:val="28"/>
        </w:rPr>
      </w:pPr>
      <w:hyperlink r:id="rId7" w:history="1">
        <w:r w:rsidR="00AE3BA5" w:rsidRPr="00A82459">
          <w:rPr>
            <w:rStyle w:val="Hyperlink"/>
            <w:rFonts w:cstheme="minorHAnsi"/>
            <w:b/>
            <w:spacing w:val="1"/>
            <w:sz w:val="28"/>
            <w:szCs w:val="28"/>
          </w:rPr>
          <w:t>Re-evaluating Solid Oral Dosage Forms in Pharmaceutical Science</w:t>
        </w:r>
      </w:hyperlink>
    </w:p>
    <w:p w14:paraId="270B6FD7" w14:textId="77777777" w:rsidR="00424C76" w:rsidRDefault="00424C76" w:rsidP="00424C76">
      <w:pPr>
        <w:jc w:val="center"/>
        <w:rPr>
          <w:rFonts w:cstheme="minorHAnsi"/>
          <w:spacing w:val="1"/>
        </w:rPr>
      </w:pPr>
    </w:p>
    <w:p w14:paraId="7CCE50DC" w14:textId="77777777" w:rsidR="00B61466" w:rsidRDefault="00B61466" w:rsidP="00424C76">
      <w:pPr>
        <w:jc w:val="center"/>
        <w:rPr>
          <w:rFonts w:cstheme="minorHAnsi"/>
          <w:spacing w:val="1"/>
        </w:rPr>
      </w:pPr>
    </w:p>
    <w:p w14:paraId="37E5CD32" w14:textId="77777777" w:rsidR="00FF7603" w:rsidRDefault="00FF7603" w:rsidP="00AE3BA5">
      <w:pPr>
        <w:jc w:val="both"/>
        <w:rPr>
          <w:rFonts w:cstheme="minorHAnsi"/>
          <w:b/>
          <w:spacing w:val="1"/>
          <w:sz w:val="24"/>
          <w:szCs w:val="24"/>
        </w:rPr>
      </w:pPr>
      <w:r>
        <w:rPr>
          <w:rFonts w:cstheme="minorHAnsi"/>
          <w:b/>
          <w:spacing w:val="1"/>
          <w:sz w:val="24"/>
          <w:szCs w:val="24"/>
        </w:rPr>
        <w:t>Abstract</w:t>
      </w:r>
    </w:p>
    <w:p w14:paraId="05FDCA57" w14:textId="77777777" w:rsidR="00FF7603" w:rsidRDefault="00197E42" w:rsidP="00AE3BA5">
      <w:pPr>
        <w:jc w:val="both"/>
        <w:rPr>
          <w:rFonts w:cstheme="minorHAnsi"/>
          <w:spacing w:val="1"/>
        </w:rPr>
      </w:pPr>
      <w:r>
        <w:rPr>
          <w:rFonts w:cstheme="minorHAnsi"/>
          <w:spacing w:val="1"/>
        </w:rPr>
        <w:t xml:space="preserve">Oral drug delivery system is considered as the most common </w:t>
      </w:r>
      <w:r w:rsidR="00B70CAC">
        <w:rPr>
          <w:rFonts w:cstheme="minorHAnsi"/>
          <w:spacing w:val="1"/>
        </w:rPr>
        <w:t>route of administration, s</w:t>
      </w:r>
      <w:r w:rsidR="00F57AF6">
        <w:rPr>
          <w:rFonts w:cstheme="minorHAnsi"/>
          <w:spacing w:val="1"/>
        </w:rPr>
        <w:t xml:space="preserve">olid oral dosage forms being the most widely accepted one because of </w:t>
      </w:r>
      <w:r w:rsidR="009E3E80">
        <w:rPr>
          <w:rFonts w:cstheme="minorHAnsi"/>
          <w:spacing w:val="1"/>
        </w:rPr>
        <w:t xml:space="preserve">its convenience. Along with these convenience comes few challenges as well. </w:t>
      </w:r>
      <w:r w:rsidR="004C5842">
        <w:rPr>
          <w:rFonts w:cstheme="minorHAnsi"/>
          <w:spacing w:val="1"/>
        </w:rPr>
        <w:t>Pill dysphagia is one of the biggest challenge</w:t>
      </w:r>
      <w:r w:rsidR="007F019D">
        <w:rPr>
          <w:rFonts w:cstheme="minorHAnsi"/>
          <w:spacing w:val="1"/>
        </w:rPr>
        <w:t>s</w:t>
      </w:r>
      <w:r w:rsidR="004C5842">
        <w:rPr>
          <w:rFonts w:cstheme="minorHAnsi"/>
          <w:spacing w:val="1"/>
        </w:rPr>
        <w:t xml:space="preserve"> that happens with the solid oral dosage form along with various other. </w:t>
      </w:r>
      <w:r w:rsidR="009E3E80">
        <w:rPr>
          <w:rFonts w:cstheme="minorHAnsi"/>
          <w:spacing w:val="1"/>
        </w:rPr>
        <w:t xml:space="preserve">This review article discuss about those challenges </w:t>
      </w:r>
      <w:r w:rsidR="00F43BB0">
        <w:rPr>
          <w:rFonts w:cstheme="minorHAnsi"/>
          <w:spacing w:val="1"/>
        </w:rPr>
        <w:t>and how oral liquid dosage form can be a beneficial alternative.</w:t>
      </w:r>
    </w:p>
    <w:p w14:paraId="7448108B" w14:textId="77777777" w:rsidR="004C5842" w:rsidRPr="00FF7603" w:rsidRDefault="004C5842" w:rsidP="00AE3BA5">
      <w:pPr>
        <w:jc w:val="both"/>
        <w:rPr>
          <w:rFonts w:cstheme="minorHAnsi"/>
          <w:spacing w:val="1"/>
        </w:rPr>
      </w:pPr>
      <w:r>
        <w:rPr>
          <w:rFonts w:cstheme="minorHAnsi"/>
          <w:spacing w:val="1"/>
        </w:rPr>
        <w:t>Keywords: Solid oral dosage forms, Dysphagia, Liq</w:t>
      </w:r>
      <w:r w:rsidR="00705244">
        <w:rPr>
          <w:rFonts w:cstheme="minorHAnsi"/>
          <w:spacing w:val="1"/>
        </w:rPr>
        <w:t>uid orals, Swallowing difficulty</w:t>
      </w:r>
      <w:r w:rsidR="00BB7CAF">
        <w:rPr>
          <w:rFonts w:cstheme="minorHAnsi"/>
          <w:spacing w:val="1"/>
        </w:rPr>
        <w:t>.</w:t>
      </w:r>
    </w:p>
    <w:p w14:paraId="0BAF9365" w14:textId="77777777" w:rsidR="00AE3BA5" w:rsidRPr="00532B2E" w:rsidRDefault="00AE3BA5" w:rsidP="00AE3BA5">
      <w:pPr>
        <w:jc w:val="both"/>
        <w:rPr>
          <w:rFonts w:cstheme="minorHAnsi"/>
          <w:b/>
          <w:spacing w:val="1"/>
          <w:sz w:val="24"/>
          <w:szCs w:val="24"/>
        </w:rPr>
      </w:pPr>
      <w:r w:rsidRPr="00532B2E">
        <w:rPr>
          <w:rFonts w:cstheme="minorHAnsi"/>
          <w:b/>
          <w:spacing w:val="1"/>
          <w:sz w:val="24"/>
          <w:szCs w:val="24"/>
        </w:rPr>
        <w:t>Introduction</w:t>
      </w:r>
    </w:p>
    <w:p w14:paraId="69B63692" w14:textId="77777777" w:rsidR="001D63B1" w:rsidRDefault="001D63B1" w:rsidP="00212EE7">
      <w:pPr>
        <w:jc w:val="both"/>
      </w:pPr>
      <w:r>
        <w:t>Oral drug delivery is the most widely used route of administration compared with all other route of administration</w:t>
      </w:r>
      <w:r w:rsidR="00E95D9B">
        <w:t xml:space="preserve"> [1]</w:t>
      </w:r>
      <w:r>
        <w:t>. Oral route is most convenient and safe route of administration. Medicaments may be administered orally like tablets, capsules, pills, powders, syrups, suspensions, etc. [2].</w:t>
      </w:r>
    </w:p>
    <w:p w14:paraId="0E5877AD" w14:textId="77777777" w:rsidR="00212EE7" w:rsidRPr="001D63B1" w:rsidRDefault="00212EE7" w:rsidP="00212EE7">
      <w:pPr>
        <w:jc w:val="both"/>
        <w:rPr>
          <w:rFonts w:cstheme="minorHAnsi"/>
          <w:spacing w:val="1"/>
        </w:rPr>
      </w:pPr>
      <w:r w:rsidRPr="00AE3BA5">
        <w:rPr>
          <w:rFonts w:cstheme="minorHAnsi"/>
          <w:spacing w:val="1"/>
        </w:rPr>
        <w:t>Solid oral dosage forms</w:t>
      </w:r>
      <w:r w:rsidR="006019AB">
        <w:rPr>
          <w:rFonts w:cstheme="minorHAnsi"/>
          <w:spacing w:val="1"/>
        </w:rPr>
        <w:t xml:space="preserve"> (SODF)</w:t>
      </w:r>
      <w:r w:rsidRPr="00AE3BA5">
        <w:rPr>
          <w:rFonts w:cstheme="minorHAnsi"/>
          <w:spacing w:val="1"/>
        </w:rPr>
        <w:t xml:space="preserve">, such as tablets and capsules, have long been the cornerstone of pharmaceutical therapy due to their stability, ease of manufacturing, accurate dosing, and convenience for self-administration. However, despite these inherent advantages and their pervasive use, a critical re-evaluation of their limitations is essential to advance patient-centric drug development. </w:t>
      </w:r>
      <w:r w:rsidRPr="006577CC">
        <w:rPr>
          <w:rFonts w:cstheme="minorHAnsi"/>
          <w:color w:val="282828"/>
          <w:shd w:val="clear" w:color="auto" w:fill="F7F7F7"/>
        </w:rPr>
        <w:t xml:space="preserve">Despite these advantages, the </w:t>
      </w:r>
      <w:r w:rsidR="00C52709">
        <w:rPr>
          <w:rFonts w:cstheme="minorHAnsi"/>
          <w:color w:val="282828"/>
          <w:shd w:val="clear" w:color="auto" w:fill="F7F7F7"/>
        </w:rPr>
        <w:t>administration</w:t>
      </w:r>
      <w:r w:rsidRPr="006577CC">
        <w:rPr>
          <w:rFonts w:cstheme="minorHAnsi"/>
          <w:color w:val="282828"/>
          <w:shd w:val="clear" w:color="auto" w:fill="F7F7F7"/>
        </w:rPr>
        <w:t xml:space="preserve"> of </w:t>
      </w:r>
      <w:r w:rsidR="001D63B1">
        <w:rPr>
          <w:rFonts w:cstheme="minorHAnsi"/>
          <w:color w:val="282828"/>
          <w:shd w:val="clear" w:color="auto" w:fill="F7F7F7"/>
        </w:rPr>
        <w:t>SODF</w:t>
      </w:r>
      <w:r w:rsidRPr="006577CC">
        <w:rPr>
          <w:rFonts w:cstheme="minorHAnsi"/>
          <w:color w:val="282828"/>
          <w:shd w:val="clear" w:color="auto" w:fill="F7F7F7"/>
        </w:rPr>
        <w:t xml:space="preserve"> presents several challenges</w:t>
      </w:r>
      <w:r>
        <w:rPr>
          <w:rFonts w:cstheme="minorHAnsi"/>
          <w:color w:val="282828"/>
          <w:shd w:val="clear" w:color="auto" w:fill="F7F7F7"/>
        </w:rPr>
        <w:t xml:space="preserve"> which p</w:t>
      </w:r>
      <w:r>
        <w:t>rimarily involve </w:t>
      </w:r>
      <w:r w:rsidRPr="00F92B92">
        <w:rPr>
          <w:rStyle w:val="Strong"/>
          <w:b w:val="0"/>
        </w:rPr>
        <w:t>physical discomfort, risk of serious health issues, medication errors, and reduced treatment adherence</w:t>
      </w:r>
      <w:r>
        <w:rPr>
          <w:rStyle w:val="Strong"/>
          <w:b w:val="0"/>
        </w:rPr>
        <w:t xml:space="preserve"> [3].</w:t>
      </w:r>
    </w:p>
    <w:p w14:paraId="72F3EC41" w14:textId="77777777" w:rsidR="00212EE7" w:rsidRPr="0051291A" w:rsidRDefault="00212EE7" w:rsidP="00212EE7">
      <w:pPr>
        <w:jc w:val="both"/>
        <w:rPr>
          <w:rFonts w:cstheme="minorHAnsi"/>
          <w:spacing w:val="1"/>
        </w:rPr>
      </w:pPr>
      <w:r w:rsidRPr="00AE3BA5">
        <w:rPr>
          <w:rFonts w:cstheme="minorHAnsi"/>
          <w:spacing w:val="1"/>
        </w:rPr>
        <w:t xml:space="preserve">A major barrier is the physical act of swallowing the medication, known as pill dysphagia or tablet-swallowing difficulties. </w:t>
      </w:r>
      <w:r w:rsidRPr="002F2897">
        <w:rPr>
          <w:rFonts w:cstheme="minorHAnsi"/>
          <w:color w:val="1B1B1B"/>
          <w:shd w:val="clear" w:color="auto" w:fill="FFFFFF"/>
        </w:rPr>
        <w:t>Globally, the community prevalence of dysphagia ranges between 2% to 20%</w:t>
      </w:r>
      <w:r>
        <w:rPr>
          <w:rFonts w:cstheme="minorHAnsi"/>
          <w:color w:val="1B1B1B"/>
          <w:shd w:val="clear" w:color="auto" w:fill="FFFFFF"/>
        </w:rPr>
        <w:t xml:space="preserve"> [1]</w:t>
      </w:r>
      <w:r w:rsidRPr="002F2897">
        <w:rPr>
          <w:rFonts w:cstheme="minorHAnsi"/>
          <w:color w:val="1B1B1B"/>
          <w:shd w:val="clear" w:color="auto" w:fill="FFFFFF"/>
        </w:rPr>
        <w:t>.</w:t>
      </w:r>
      <w:r>
        <w:rPr>
          <w:rFonts w:cstheme="minorHAnsi"/>
          <w:spacing w:val="1"/>
        </w:rPr>
        <w:t xml:space="preserve"> </w:t>
      </w:r>
      <w:r w:rsidRPr="00AE3BA5">
        <w:rPr>
          <w:rFonts w:cstheme="minorHAnsi"/>
          <w:spacing w:val="1"/>
        </w:rPr>
        <w:t>This common issue is not confined to a specific demographic but is particularly prevalent among p</w:t>
      </w:r>
      <w:r>
        <w:rPr>
          <w:rFonts w:cstheme="minorHAnsi"/>
          <w:spacing w:val="1"/>
        </w:rPr>
        <w:t>a</w:t>
      </w:r>
      <w:r w:rsidRPr="00AE3BA5">
        <w:rPr>
          <w:rFonts w:cstheme="minorHAnsi"/>
          <w:spacing w:val="1"/>
        </w:rPr>
        <w:t xml:space="preserve">ediatric and geriatric populations, often leading to dose-splitting, crushing, or cessation of therapy, thereby compromising the intended pharmacokinetic profile and therapeutic outcome. </w:t>
      </w:r>
    </w:p>
    <w:p w14:paraId="12BB739A" w14:textId="77777777" w:rsidR="00AE3BA5" w:rsidRPr="00AE3BA5" w:rsidRDefault="00212EE7" w:rsidP="00212EE7">
      <w:pPr>
        <w:jc w:val="both"/>
        <w:rPr>
          <w:rFonts w:cstheme="minorHAnsi"/>
          <w:spacing w:val="1"/>
        </w:rPr>
      </w:pPr>
      <w:r>
        <w:rPr>
          <w:rFonts w:cstheme="minorHAnsi"/>
          <w:spacing w:val="1"/>
        </w:rPr>
        <w:t>Beyond s</w:t>
      </w:r>
      <w:r w:rsidRPr="00AE3BA5">
        <w:rPr>
          <w:rFonts w:cstheme="minorHAnsi"/>
          <w:spacing w:val="1"/>
        </w:rPr>
        <w:t xml:space="preserve">wallowing </w:t>
      </w:r>
      <w:r>
        <w:rPr>
          <w:rFonts w:cstheme="minorHAnsi"/>
          <w:spacing w:val="1"/>
        </w:rPr>
        <w:t>d</w:t>
      </w:r>
      <w:r w:rsidRPr="00AE3BA5">
        <w:rPr>
          <w:rFonts w:cstheme="minorHAnsi"/>
          <w:spacing w:val="1"/>
        </w:rPr>
        <w:t>ifficulties</w:t>
      </w:r>
      <w:r>
        <w:rPr>
          <w:rFonts w:cstheme="minorHAnsi"/>
          <w:spacing w:val="1"/>
        </w:rPr>
        <w:t>,</w:t>
      </w:r>
      <w:r w:rsidRPr="00AE3BA5">
        <w:rPr>
          <w:rFonts w:cstheme="minorHAnsi"/>
          <w:spacing w:val="1"/>
        </w:rPr>
        <w:t xml:space="preserve"> solid dosage forms present challenges beyond simple mechanical obstruction. The psychological component, termed pill aversion (or medication non-compliance related to anxiety or fear of ingestion), can create significant patient resistance. Practical physical attributes also contribute to these difficulties; the size and shape of the dosage form are key determinants of ease of ingestion, with large or oddly shaped pills being notably harder to swallow.  </w:t>
      </w:r>
      <w:r>
        <w:rPr>
          <w:rFonts w:cstheme="minorHAnsi"/>
          <w:spacing w:val="1"/>
        </w:rPr>
        <w:t>P</w:t>
      </w:r>
      <w:r w:rsidRPr="00AE3BA5">
        <w:rPr>
          <w:rFonts w:cstheme="minorHAnsi"/>
          <w:spacing w:val="1"/>
        </w:rPr>
        <w:t xml:space="preserve">atient age </w:t>
      </w:r>
      <w:r>
        <w:rPr>
          <w:rFonts w:cstheme="minorHAnsi"/>
          <w:spacing w:val="1"/>
        </w:rPr>
        <w:t xml:space="preserve">also </w:t>
      </w:r>
      <w:r w:rsidRPr="00AE3BA5">
        <w:rPr>
          <w:rFonts w:cstheme="minorHAnsi"/>
          <w:spacing w:val="1"/>
        </w:rPr>
        <w:t xml:space="preserve">must be considered, as physiological changes in the elderly, such as reduced salivary flow and altered pharyngeal motility, exacerbate dysphagia, while the lack of age-appropriate formulations for children necessitates reliance on unsuitable adult preparations. </w:t>
      </w:r>
      <w:r w:rsidRPr="00717698">
        <w:rPr>
          <w:rFonts w:cstheme="minorHAnsi"/>
          <w:spacing w:val="1"/>
        </w:rPr>
        <w:t xml:space="preserve">This review article aims to comprehensively analyse the various disadvantages associated with traditional </w:t>
      </w:r>
      <w:r w:rsidR="006019AB">
        <w:rPr>
          <w:rFonts w:cstheme="minorHAnsi"/>
          <w:spacing w:val="1"/>
        </w:rPr>
        <w:t>SODF</w:t>
      </w:r>
      <w:r w:rsidRPr="00717698">
        <w:rPr>
          <w:rFonts w:cstheme="minorHAnsi"/>
          <w:spacing w:val="1"/>
        </w:rPr>
        <w:t xml:space="preserve"> that significantly impact patient adherence, treatment efficacy, and quality of life.</w:t>
      </w:r>
      <w:r>
        <w:rPr>
          <w:rFonts w:cstheme="minorHAnsi"/>
          <w:spacing w:val="1"/>
        </w:rPr>
        <w:t xml:space="preserve"> All these challenges with various solid dosage forms are summarised in figure 1.</w:t>
      </w:r>
    </w:p>
    <w:p w14:paraId="3C4E8355" w14:textId="77777777" w:rsidR="006D56D5" w:rsidRDefault="00026775" w:rsidP="00520FAE">
      <w:pPr>
        <w:rPr>
          <w:rFonts w:cstheme="minorHAnsi"/>
          <w:b/>
          <w:spacing w:val="1"/>
        </w:rPr>
      </w:pPr>
      <w:r>
        <w:rPr>
          <w:rFonts w:cstheme="minorHAnsi"/>
          <w:b/>
          <w:noProof/>
          <w:spacing w:val="1"/>
          <w:lang w:eastAsia="en-IN"/>
        </w:rPr>
        <w:lastRenderedPageBreak/>
        <w:drawing>
          <wp:inline distT="0" distB="0" distL="0" distR="0" wp14:anchorId="0C4A7FFA" wp14:editId="211C6114">
            <wp:extent cx="5768820" cy="2012950"/>
            <wp:effectExtent l="19050" t="19050" r="2286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76).png"/>
                    <pic:cNvPicPr/>
                  </pic:nvPicPr>
                  <pic:blipFill rotWithShape="1">
                    <a:blip r:embed="rId8">
                      <a:extLst>
                        <a:ext uri="{28A0092B-C50C-407E-A947-70E740481C1C}">
                          <a14:useLocalDpi xmlns:a14="http://schemas.microsoft.com/office/drawing/2010/main" val="0"/>
                        </a:ext>
                      </a:extLst>
                    </a:blip>
                    <a:srcRect l="29803" t="34272" r="18125" b="33426"/>
                    <a:stretch/>
                  </pic:blipFill>
                  <pic:spPr bwMode="auto">
                    <a:xfrm>
                      <a:off x="0" y="0"/>
                      <a:ext cx="5778814" cy="201643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B112A0C" w14:textId="77777777" w:rsidR="00212EE7" w:rsidRDefault="00212EE7" w:rsidP="00520FAE">
      <w:pPr>
        <w:rPr>
          <w:rFonts w:cstheme="minorHAnsi"/>
          <w:b/>
          <w:spacing w:val="1"/>
        </w:rPr>
      </w:pPr>
      <w:r>
        <w:rPr>
          <w:rFonts w:cstheme="minorHAnsi"/>
          <w:b/>
          <w:spacing w:val="1"/>
        </w:rPr>
        <w:t>Figure 1: Challenges with various solid dosage forms</w:t>
      </w:r>
    </w:p>
    <w:p w14:paraId="4C86E3DA" w14:textId="77777777" w:rsidR="00CE234C" w:rsidRDefault="00CE234C" w:rsidP="00520FAE">
      <w:pPr>
        <w:rPr>
          <w:rFonts w:cstheme="minorHAnsi"/>
          <w:b/>
          <w:spacing w:val="1"/>
        </w:rPr>
      </w:pPr>
      <w:r>
        <w:rPr>
          <w:rFonts w:cstheme="minorHAnsi"/>
          <w:b/>
          <w:spacing w:val="1"/>
        </w:rPr>
        <w:t>Dissolution Issue</w:t>
      </w:r>
    </w:p>
    <w:p w14:paraId="6DE005B3" w14:textId="77777777" w:rsidR="00CE234C" w:rsidRPr="00CE234C" w:rsidRDefault="00DE7E6E" w:rsidP="00DE7E6E">
      <w:pPr>
        <w:jc w:val="both"/>
        <w:rPr>
          <w:rFonts w:cstheme="minorHAnsi"/>
          <w:spacing w:val="1"/>
        </w:rPr>
      </w:pPr>
      <w:r w:rsidRPr="00DE7E6E">
        <w:rPr>
          <w:rFonts w:cstheme="minorHAnsi"/>
          <w:spacing w:val="1"/>
        </w:rPr>
        <w:t xml:space="preserve">Disintegration of a </w:t>
      </w:r>
      <w:r w:rsidR="006019AB">
        <w:rPr>
          <w:rFonts w:cstheme="minorHAnsi"/>
          <w:spacing w:val="1"/>
        </w:rPr>
        <w:t>SODF</w:t>
      </w:r>
      <w:r w:rsidRPr="00DE7E6E">
        <w:rPr>
          <w:rFonts w:cstheme="minorHAnsi"/>
          <w:spacing w:val="1"/>
        </w:rPr>
        <w:t xml:space="preserve"> and the dissolution of the active ingredient after the disintegration process is known to be crucial and can be the rate-limiting step for drug absorption</w:t>
      </w:r>
      <w:r>
        <w:rPr>
          <w:rFonts w:cstheme="minorHAnsi"/>
          <w:spacing w:val="1"/>
        </w:rPr>
        <w:t xml:space="preserve"> [</w:t>
      </w:r>
      <w:r w:rsidR="00B66EFE" w:rsidRPr="00782F66">
        <w:rPr>
          <w:rFonts w:cstheme="minorHAnsi"/>
          <w:spacing w:val="1"/>
        </w:rPr>
        <w:t>4</w:t>
      </w:r>
      <w:r>
        <w:rPr>
          <w:rFonts w:cstheme="minorHAnsi"/>
          <w:spacing w:val="1"/>
        </w:rPr>
        <w:t>]</w:t>
      </w:r>
      <w:r w:rsidRPr="00DE7E6E">
        <w:rPr>
          <w:rFonts w:cstheme="minorHAnsi"/>
          <w:spacing w:val="1"/>
        </w:rPr>
        <w:t>.</w:t>
      </w:r>
      <w:r>
        <w:rPr>
          <w:rFonts w:cstheme="minorHAnsi"/>
          <w:spacing w:val="1"/>
        </w:rPr>
        <w:t xml:space="preserve"> </w:t>
      </w:r>
      <w:r w:rsidR="009F5341" w:rsidRPr="009F5341">
        <w:rPr>
          <w:rFonts w:cstheme="minorHAnsi"/>
          <w:spacing w:val="1"/>
        </w:rPr>
        <w:t>Th</w:t>
      </w:r>
      <w:r w:rsidR="00660D87">
        <w:rPr>
          <w:rFonts w:cstheme="minorHAnsi"/>
          <w:spacing w:val="1"/>
        </w:rPr>
        <w:t xml:space="preserve">e low dissolution rate and low </w:t>
      </w:r>
      <w:r w:rsidR="009F5341" w:rsidRPr="009F5341">
        <w:rPr>
          <w:rFonts w:cstheme="minorHAnsi"/>
          <w:spacing w:val="1"/>
        </w:rPr>
        <w:t>solubility in the aqueous gastrointestinal fluids lead t</w:t>
      </w:r>
      <w:r w:rsidR="00660D87">
        <w:rPr>
          <w:rFonts w:cstheme="minorHAnsi"/>
          <w:spacing w:val="1"/>
        </w:rPr>
        <w:t>o inadequate bioavailability [</w:t>
      </w:r>
      <w:r w:rsidR="00B66EFE" w:rsidRPr="00782F66">
        <w:rPr>
          <w:rFonts w:cstheme="minorHAnsi"/>
          <w:spacing w:val="1"/>
        </w:rPr>
        <w:t>5</w:t>
      </w:r>
      <w:r w:rsidR="009F5341" w:rsidRPr="009F5341">
        <w:rPr>
          <w:rFonts w:cstheme="minorHAnsi"/>
          <w:spacing w:val="1"/>
        </w:rPr>
        <w:t>]. The negati</w:t>
      </w:r>
      <w:r w:rsidR="00660D87">
        <w:rPr>
          <w:rFonts w:cstheme="minorHAnsi"/>
          <w:spacing w:val="1"/>
        </w:rPr>
        <w:t xml:space="preserve">ve impact of drugs having poor </w:t>
      </w:r>
      <w:r w:rsidR="009F5341" w:rsidRPr="009F5341">
        <w:rPr>
          <w:rFonts w:cstheme="minorHAnsi"/>
          <w:spacing w:val="1"/>
        </w:rPr>
        <w:t>solubility i</w:t>
      </w:r>
      <w:r w:rsidR="00660D87">
        <w:rPr>
          <w:rFonts w:cstheme="minorHAnsi"/>
          <w:spacing w:val="1"/>
        </w:rPr>
        <w:t xml:space="preserve">nvolves </w:t>
      </w:r>
      <w:r w:rsidR="00E65D03">
        <w:rPr>
          <w:rFonts w:cstheme="minorHAnsi"/>
          <w:spacing w:val="1"/>
        </w:rPr>
        <w:t>lower</w:t>
      </w:r>
      <w:r w:rsidR="00660D87">
        <w:rPr>
          <w:rFonts w:cstheme="minorHAnsi"/>
          <w:spacing w:val="1"/>
        </w:rPr>
        <w:t xml:space="preserve"> bioavailability</w:t>
      </w:r>
      <w:r w:rsidR="00E65D03">
        <w:rPr>
          <w:rFonts w:cstheme="minorHAnsi"/>
          <w:spacing w:val="1"/>
        </w:rPr>
        <w:t xml:space="preserve"> and lesser therapeutic outcomes</w:t>
      </w:r>
      <w:r w:rsidR="00660D87">
        <w:rPr>
          <w:rFonts w:cstheme="minorHAnsi"/>
          <w:spacing w:val="1"/>
        </w:rPr>
        <w:t xml:space="preserve"> [</w:t>
      </w:r>
      <w:r w:rsidR="00B66EFE" w:rsidRPr="00782F66">
        <w:rPr>
          <w:rFonts w:cstheme="minorHAnsi"/>
          <w:spacing w:val="1"/>
        </w:rPr>
        <w:t>6</w:t>
      </w:r>
      <w:r w:rsidR="009F5341" w:rsidRPr="009F5341">
        <w:rPr>
          <w:rFonts w:cstheme="minorHAnsi"/>
          <w:spacing w:val="1"/>
        </w:rPr>
        <w:t>].</w:t>
      </w:r>
    </w:p>
    <w:p w14:paraId="46478642" w14:textId="77777777" w:rsidR="00520FAE" w:rsidRPr="00792EDB" w:rsidRDefault="00520FAE" w:rsidP="00520FAE">
      <w:pPr>
        <w:rPr>
          <w:rFonts w:cstheme="minorHAnsi"/>
          <w:b/>
          <w:spacing w:val="1"/>
        </w:rPr>
      </w:pPr>
      <w:r w:rsidRPr="00792EDB">
        <w:rPr>
          <w:rFonts w:cstheme="minorHAnsi"/>
          <w:b/>
          <w:spacing w:val="1"/>
        </w:rPr>
        <w:t>Psychological and Emotional Consequences of Pill Dysphagia</w:t>
      </w:r>
    </w:p>
    <w:p w14:paraId="40F670E9" w14:textId="77777777" w:rsidR="00520FAE" w:rsidRPr="00792EDB" w:rsidRDefault="00520FAE" w:rsidP="00520FAE">
      <w:pPr>
        <w:jc w:val="both"/>
        <w:rPr>
          <w:rFonts w:cstheme="minorHAnsi"/>
          <w:spacing w:val="1"/>
        </w:rPr>
      </w:pPr>
      <w:r w:rsidRPr="00792EDB">
        <w:rPr>
          <w:rFonts w:cstheme="minorHAnsi"/>
          <w:spacing w:val="1"/>
        </w:rPr>
        <w:t>Pill dysphagia, or physical difficulty swallowing medication tablets or capsules, is common among older adults and has significant psychological impacts. Research shows that although pill dysphagia does not always lead to increased anxiety or depression, it often results in fewer positive emotions, less life satisfaction, and a lower sense of purpose and autonomy [1]. Many people experience anxiety and fear of choking, frustration, and lowered self-esteem, sometimes feeling "stupid" or "foolish" for struggling with pills. These difficulties can also disturb physical comfort and daily routines, leading some to avoid certain activities out of fear or discomfort [2].</w:t>
      </w:r>
    </w:p>
    <w:p w14:paraId="495679CE" w14:textId="77777777" w:rsidR="00520FAE" w:rsidRPr="00792EDB" w:rsidRDefault="00520FAE" w:rsidP="00520FAE">
      <w:pPr>
        <w:jc w:val="both"/>
        <w:rPr>
          <w:rFonts w:cstheme="minorHAnsi"/>
          <w:spacing w:val="1"/>
        </w:rPr>
      </w:pPr>
      <w:r w:rsidRPr="00792EDB">
        <w:rPr>
          <w:rFonts w:cstheme="minorHAnsi"/>
          <w:spacing w:val="1"/>
        </w:rPr>
        <w:t xml:space="preserve">Psychologically, pill dysphagia can cause worry about health impacts from having to alter medication or skip doses, thereby lowering overall wellbeing. It also limits social interactions and autonomy, influencing life satisfaction negatively. Coping strategies vary, with some patients finding small successes in overcoming swallowing challenges [2]. </w:t>
      </w:r>
    </w:p>
    <w:p w14:paraId="158BA18A" w14:textId="77777777" w:rsidR="00520FAE" w:rsidRPr="00792EDB" w:rsidRDefault="00520FAE" w:rsidP="00520FAE">
      <w:pPr>
        <w:jc w:val="both"/>
        <w:rPr>
          <w:rFonts w:cstheme="minorHAnsi"/>
          <w:spacing w:val="1"/>
        </w:rPr>
      </w:pPr>
      <w:r w:rsidRPr="00792EDB">
        <w:rPr>
          <w:rFonts w:cstheme="minorHAnsi"/>
          <w:spacing w:val="1"/>
        </w:rPr>
        <w:t xml:space="preserve">Patients with dysphagia are often at increased risk of developing other medical condition. Unmanaged dysphagia can lead to dehydration, malnutrition, respiratory infections and death [3].     </w:t>
      </w:r>
    </w:p>
    <w:p w14:paraId="28C0EC79" w14:textId="77777777" w:rsidR="00520FAE" w:rsidRPr="00792EDB" w:rsidRDefault="00520FAE" w:rsidP="00520FAE">
      <w:pPr>
        <w:jc w:val="both"/>
        <w:rPr>
          <w:rFonts w:cstheme="minorHAnsi"/>
          <w:spacing w:val="1"/>
        </w:rPr>
      </w:pPr>
      <w:r w:rsidRPr="00792EDB">
        <w:rPr>
          <w:rFonts w:cstheme="minorHAnsi"/>
          <w:spacing w:val="1"/>
        </w:rPr>
        <w:t>This evidence underscores that pill dysphagia is not merely a physical swallowing difficulty but also a condition with significant psychological consequences that must be addressed.</w:t>
      </w:r>
    </w:p>
    <w:p w14:paraId="0C3CA06C" w14:textId="77777777" w:rsidR="00520FAE" w:rsidRPr="00792EDB" w:rsidRDefault="00520FAE" w:rsidP="00520FAE">
      <w:pPr>
        <w:jc w:val="both"/>
        <w:rPr>
          <w:rFonts w:cstheme="minorHAnsi"/>
          <w:b/>
          <w:spacing w:val="1"/>
        </w:rPr>
      </w:pPr>
      <w:r w:rsidRPr="00792EDB">
        <w:rPr>
          <w:rFonts w:cstheme="minorHAnsi"/>
          <w:b/>
          <w:spacing w:val="1"/>
        </w:rPr>
        <w:t>Pill Aversion</w:t>
      </w:r>
    </w:p>
    <w:p w14:paraId="0CE30722" w14:textId="77777777" w:rsidR="00520FAE" w:rsidRPr="00792EDB" w:rsidRDefault="00520FAE" w:rsidP="00520FAE">
      <w:pPr>
        <w:jc w:val="both"/>
        <w:rPr>
          <w:rFonts w:cstheme="minorHAnsi"/>
          <w:spacing w:val="1"/>
        </w:rPr>
      </w:pPr>
      <w:r w:rsidRPr="00792EDB">
        <w:rPr>
          <w:rFonts w:cstheme="minorHAnsi"/>
          <w:spacing w:val="1"/>
        </w:rPr>
        <w:t xml:space="preserve">Pill aversion refers to psychological or </w:t>
      </w:r>
      <w:r w:rsidR="0068344A" w:rsidRPr="00792EDB">
        <w:rPr>
          <w:rFonts w:cstheme="minorHAnsi"/>
          <w:spacing w:val="1"/>
        </w:rPr>
        <w:t>behavioural</w:t>
      </w:r>
      <w:r w:rsidRPr="00792EDB">
        <w:rPr>
          <w:rFonts w:cstheme="minorHAnsi"/>
          <w:spacing w:val="1"/>
        </w:rPr>
        <w:t xml:space="preserve"> difficulties in swallowing medication tablets or capsules in individuals who do not have any physical swallowing impairment. This condition often arises from anxiety or fear of choking and can be rooted in negative experiences with medication intake. Pill aversion may lead to poor medication adherence, impacting treatment effectiveness and overall health. Identification requires thorough clinical evaluation since physical dysphagia is absent [</w:t>
      </w:r>
      <w:r w:rsidR="00E079F3" w:rsidRPr="00782F66">
        <w:rPr>
          <w:rFonts w:cstheme="minorHAnsi"/>
          <w:spacing w:val="1"/>
        </w:rPr>
        <w:t>7</w:t>
      </w:r>
      <w:r w:rsidRPr="00782F66">
        <w:rPr>
          <w:rFonts w:cstheme="minorHAnsi"/>
          <w:spacing w:val="1"/>
        </w:rPr>
        <w:t>,</w:t>
      </w:r>
      <w:r w:rsidR="006513A6" w:rsidRPr="00782F66">
        <w:rPr>
          <w:rFonts w:cstheme="minorHAnsi"/>
          <w:spacing w:val="1"/>
        </w:rPr>
        <w:t xml:space="preserve"> </w:t>
      </w:r>
      <w:r w:rsidR="00E079F3" w:rsidRPr="00782F66">
        <w:rPr>
          <w:rFonts w:cstheme="minorHAnsi"/>
          <w:spacing w:val="1"/>
        </w:rPr>
        <w:t>8</w:t>
      </w:r>
      <w:r w:rsidRPr="00792EDB">
        <w:rPr>
          <w:rFonts w:cstheme="minorHAnsi"/>
          <w:spacing w:val="1"/>
        </w:rPr>
        <w:t>].</w:t>
      </w:r>
    </w:p>
    <w:p w14:paraId="7C956A28" w14:textId="77777777" w:rsidR="00520FAE" w:rsidRPr="00792EDB" w:rsidRDefault="00520FAE" w:rsidP="00520FAE">
      <w:pPr>
        <w:jc w:val="both"/>
        <w:rPr>
          <w:rFonts w:cstheme="minorHAnsi"/>
          <w:b/>
          <w:color w:val="212121"/>
          <w:shd w:val="clear" w:color="auto" w:fill="FFFFFF"/>
        </w:rPr>
      </w:pPr>
      <w:r w:rsidRPr="00792EDB">
        <w:rPr>
          <w:rFonts w:cstheme="minorHAnsi"/>
          <w:b/>
          <w:color w:val="212121"/>
          <w:shd w:val="clear" w:color="auto" w:fill="FFFFFF"/>
        </w:rPr>
        <w:lastRenderedPageBreak/>
        <w:t xml:space="preserve">Swallowing difficulties due to </w:t>
      </w:r>
      <w:r w:rsidR="00D87CCD">
        <w:rPr>
          <w:rFonts w:cstheme="minorHAnsi"/>
          <w:b/>
          <w:color w:val="212121"/>
          <w:shd w:val="clear" w:color="auto" w:fill="FFFFFF"/>
        </w:rPr>
        <w:t>Uvulitis</w:t>
      </w:r>
      <w:r w:rsidRPr="00792EDB">
        <w:rPr>
          <w:rFonts w:cstheme="minorHAnsi"/>
          <w:b/>
          <w:color w:val="212121"/>
          <w:shd w:val="clear" w:color="auto" w:fill="FFFFFF"/>
        </w:rPr>
        <w:t xml:space="preserve"> </w:t>
      </w:r>
    </w:p>
    <w:p w14:paraId="0B167353" w14:textId="77777777" w:rsidR="00520FAE" w:rsidRDefault="00D87CCD" w:rsidP="00520FAE">
      <w:pPr>
        <w:jc w:val="both"/>
        <w:rPr>
          <w:rFonts w:cstheme="minorHAnsi"/>
          <w:spacing w:val="1"/>
        </w:rPr>
      </w:pPr>
      <w:r w:rsidRPr="00D87CCD">
        <w:rPr>
          <w:rFonts w:cstheme="minorHAnsi"/>
          <w:spacing w:val="1"/>
        </w:rPr>
        <w:t xml:space="preserve">Uvulitis is an inflammation of the uvula with several </w:t>
      </w:r>
      <w:proofErr w:type="spellStart"/>
      <w:r w:rsidRPr="00D87CCD">
        <w:rPr>
          <w:rFonts w:cstheme="minorHAnsi"/>
          <w:spacing w:val="1"/>
        </w:rPr>
        <w:t>etiologies</w:t>
      </w:r>
      <w:proofErr w:type="spellEnd"/>
      <w:r w:rsidRPr="00D87CCD">
        <w:rPr>
          <w:rFonts w:cstheme="minorHAnsi"/>
          <w:spacing w:val="1"/>
        </w:rPr>
        <w:t xml:space="preserve">, including trauma, infection, neoplasm, or angioedema. The most important complication of uvulitis is uvular </w:t>
      </w:r>
      <w:proofErr w:type="spellStart"/>
      <w:r w:rsidRPr="00D87CCD">
        <w:rPr>
          <w:rFonts w:cstheme="minorHAnsi"/>
          <w:spacing w:val="1"/>
        </w:rPr>
        <w:t>edema</w:t>
      </w:r>
      <w:proofErr w:type="spellEnd"/>
      <w:r w:rsidRPr="00D87CCD">
        <w:rPr>
          <w:rFonts w:cstheme="minorHAnsi"/>
          <w:spacing w:val="1"/>
        </w:rPr>
        <w:t xml:space="preserve"> and airway obstruction. Patients can present with pharyngitis, dysphagia, odynophagia, foreign body se</w:t>
      </w:r>
      <w:r>
        <w:rPr>
          <w:rFonts w:cstheme="minorHAnsi"/>
          <w:spacing w:val="1"/>
        </w:rPr>
        <w:t>nsation, gagging, and drooling [</w:t>
      </w:r>
      <w:r w:rsidR="00E079F3" w:rsidRPr="00782F66">
        <w:rPr>
          <w:rFonts w:cstheme="minorHAnsi"/>
          <w:spacing w:val="1"/>
        </w:rPr>
        <w:t>9</w:t>
      </w:r>
      <w:r w:rsidR="00A13BA3" w:rsidRPr="00782F66">
        <w:rPr>
          <w:rFonts w:cstheme="minorHAnsi"/>
          <w:spacing w:val="1"/>
        </w:rPr>
        <w:t xml:space="preserve">, </w:t>
      </w:r>
      <w:r w:rsidR="00E079F3" w:rsidRPr="00782F66">
        <w:rPr>
          <w:rFonts w:cstheme="minorHAnsi"/>
          <w:spacing w:val="1"/>
        </w:rPr>
        <w:t>10</w:t>
      </w:r>
      <w:r>
        <w:rPr>
          <w:rFonts w:cstheme="minorHAnsi"/>
          <w:spacing w:val="1"/>
        </w:rPr>
        <w:t>]</w:t>
      </w:r>
      <w:r w:rsidR="00047FF7">
        <w:rPr>
          <w:rFonts w:cstheme="minorHAnsi"/>
          <w:spacing w:val="1"/>
        </w:rPr>
        <w:t>. This can lead to inconvenience in swallowing the solid dosage form.</w:t>
      </w:r>
    </w:p>
    <w:p w14:paraId="7752F51D" w14:textId="77777777" w:rsidR="00181AB1" w:rsidRPr="00181AB1" w:rsidRDefault="005A78D2" w:rsidP="00520FAE">
      <w:pPr>
        <w:jc w:val="both"/>
        <w:rPr>
          <w:rFonts w:cstheme="minorHAnsi"/>
          <w:b/>
          <w:spacing w:val="1"/>
        </w:rPr>
      </w:pPr>
      <w:r>
        <w:rPr>
          <w:rFonts w:cstheme="minorHAnsi"/>
          <w:b/>
          <w:spacing w:val="1"/>
        </w:rPr>
        <w:t>Disease S</w:t>
      </w:r>
      <w:r w:rsidR="00181AB1" w:rsidRPr="00181AB1">
        <w:rPr>
          <w:rFonts w:cstheme="minorHAnsi"/>
          <w:b/>
          <w:spacing w:val="1"/>
        </w:rPr>
        <w:t xml:space="preserve">pecific </w:t>
      </w:r>
      <w:r>
        <w:rPr>
          <w:rFonts w:cstheme="minorHAnsi"/>
          <w:b/>
          <w:spacing w:val="1"/>
        </w:rPr>
        <w:t>D</w:t>
      </w:r>
      <w:r w:rsidR="00181AB1" w:rsidRPr="00181AB1">
        <w:rPr>
          <w:rFonts w:cstheme="minorHAnsi"/>
          <w:b/>
          <w:spacing w:val="1"/>
        </w:rPr>
        <w:t>ysphagia</w:t>
      </w:r>
    </w:p>
    <w:p w14:paraId="4492620E" w14:textId="77777777" w:rsidR="00181AB1" w:rsidRDefault="00181AB1" w:rsidP="00181AB1">
      <w:pPr>
        <w:jc w:val="both"/>
        <w:rPr>
          <w:rFonts w:cstheme="minorHAnsi"/>
        </w:rPr>
      </w:pPr>
      <w:r w:rsidRPr="00181AB1">
        <w:rPr>
          <w:rFonts w:cstheme="minorHAnsi"/>
        </w:rPr>
        <w:t>Anatomical, neuromuscular, infectious, and inflammatory diseases may all present with or contribute to dysphagia</w:t>
      </w:r>
      <w:r>
        <w:rPr>
          <w:rFonts w:cstheme="minorHAnsi"/>
        </w:rPr>
        <w:t xml:space="preserve"> [</w:t>
      </w:r>
      <w:r w:rsidR="00E079F3" w:rsidRPr="00782F66">
        <w:rPr>
          <w:rFonts w:cstheme="minorHAnsi"/>
        </w:rPr>
        <w:t>11</w:t>
      </w:r>
      <w:r>
        <w:rPr>
          <w:rFonts w:cstheme="minorHAnsi"/>
        </w:rPr>
        <w:t>]</w:t>
      </w:r>
      <w:r w:rsidR="00F86C16">
        <w:rPr>
          <w:rFonts w:cstheme="minorHAnsi"/>
        </w:rPr>
        <w:t>:</w:t>
      </w:r>
    </w:p>
    <w:p w14:paraId="3EC88B21" w14:textId="77777777" w:rsidR="001D3B95" w:rsidRDefault="001D3B95" w:rsidP="001D3B95">
      <w:pPr>
        <w:jc w:val="both"/>
        <w:rPr>
          <w:rFonts w:cstheme="minorHAnsi"/>
        </w:rPr>
      </w:pPr>
      <w:r w:rsidRPr="00705244">
        <w:rPr>
          <w:rFonts w:cstheme="minorHAnsi"/>
          <w:i/>
        </w:rPr>
        <w:t>Anatomical:</w:t>
      </w:r>
      <w:r w:rsidRPr="001D3B95">
        <w:rPr>
          <w:rFonts w:cstheme="minorHAnsi"/>
        </w:rPr>
        <w:t xml:space="preserve"> These are structural or physical problem</w:t>
      </w:r>
      <w:r>
        <w:rPr>
          <w:rFonts w:cstheme="minorHAnsi"/>
        </w:rPr>
        <w:t xml:space="preserve">s in the pathway of swallowing. </w:t>
      </w:r>
      <w:r w:rsidRPr="001D3B95">
        <w:rPr>
          <w:rFonts w:cstheme="minorHAnsi"/>
        </w:rPr>
        <w:t xml:space="preserve">Examples include </w:t>
      </w:r>
      <w:r>
        <w:rPr>
          <w:rFonts w:cstheme="minorHAnsi"/>
        </w:rPr>
        <w:t>o</w:t>
      </w:r>
      <w:r w:rsidRPr="001D3B95">
        <w:rPr>
          <w:rFonts w:cstheme="minorHAnsi"/>
        </w:rPr>
        <w:t>esophageal strictures (narrowing), hiatal hernias, and tumo</w:t>
      </w:r>
      <w:r>
        <w:rPr>
          <w:rFonts w:cstheme="minorHAnsi"/>
        </w:rPr>
        <w:t>u</w:t>
      </w:r>
      <w:r w:rsidRPr="001D3B95">
        <w:rPr>
          <w:rFonts w:cstheme="minorHAnsi"/>
        </w:rPr>
        <w:t xml:space="preserve">rs or congenital abnormalities like </w:t>
      </w:r>
      <w:r>
        <w:rPr>
          <w:rFonts w:cstheme="minorHAnsi"/>
        </w:rPr>
        <w:t>o</w:t>
      </w:r>
      <w:r w:rsidRPr="001D3B95">
        <w:rPr>
          <w:rFonts w:cstheme="minorHAnsi"/>
        </w:rPr>
        <w:t>esophageal atresia</w:t>
      </w:r>
      <w:r>
        <w:rPr>
          <w:rFonts w:cstheme="minorHAnsi"/>
        </w:rPr>
        <w:t xml:space="preserve"> [</w:t>
      </w:r>
      <w:r w:rsidR="00E079F3" w:rsidRPr="00782F66">
        <w:rPr>
          <w:rFonts w:cstheme="minorHAnsi"/>
        </w:rPr>
        <w:t>12</w:t>
      </w:r>
      <w:r>
        <w:rPr>
          <w:rFonts w:cstheme="minorHAnsi"/>
        </w:rPr>
        <w:t>]</w:t>
      </w:r>
      <w:r w:rsidRPr="001D3B95">
        <w:rPr>
          <w:rFonts w:cstheme="minorHAnsi"/>
        </w:rPr>
        <w:t>.</w:t>
      </w:r>
    </w:p>
    <w:p w14:paraId="2E8E34E0" w14:textId="77777777" w:rsidR="00F86C16" w:rsidRDefault="00F86C16" w:rsidP="001D3B95">
      <w:pPr>
        <w:jc w:val="both"/>
        <w:rPr>
          <w:rFonts w:cstheme="minorHAnsi"/>
        </w:rPr>
      </w:pPr>
      <w:r w:rsidRPr="00705244">
        <w:rPr>
          <w:rFonts w:cstheme="minorHAnsi"/>
          <w:i/>
        </w:rPr>
        <w:t>Neuromuscular:</w:t>
      </w:r>
      <w:r w:rsidRPr="00F86C16">
        <w:rPr>
          <w:rFonts w:cstheme="minorHAnsi"/>
        </w:rPr>
        <w:t xml:space="preserve"> These diseases affect the nerves and muscles needed for swallowing. They can stem from issues like stroke, Parkinson's, or multiple sclerosis</w:t>
      </w:r>
      <w:r>
        <w:rPr>
          <w:rFonts w:cstheme="minorHAnsi"/>
        </w:rPr>
        <w:t>, which damage the control cent</w:t>
      </w:r>
      <w:r w:rsidRPr="00F86C16">
        <w:rPr>
          <w:rFonts w:cstheme="minorHAnsi"/>
        </w:rPr>
        <w:t>r</w:t>
      </w:r>
      <w:r>
        <w:rPr>
          <w:rFonts w:cstheme="minorHAnsi"/>
        </w:rPr>
        <w:t>e</w:t>
      </w:r>
      <w:r w:rsidRPr="00F86C16">
        <w:rPr>
          <w:rFonts w:cstheme="minorHAnsi"/>
        </w:rPr>
        <w:t>s in the brain and nervous system. Conditions such as achalasia (muscle failure) or myasthenia gravis (muscle weakness) disrupt muscle function directly</w:t>
      </w:r>
      <w:r>
        <w:rPr>
          <w:rFonts w:cstheme="minorHAnsi"/>
        </w:rPr>
        <w:t xml:space="preserve"> [</w:t>
      </w:r>
      <w:r w:rsidR="00E079F3" w:rsidRPr="00782F66">
        <w:rPr>
          <w:rFonts w:cstheme="minorHAnsi"/>
        </w:rPr>
        <w:t>13</w:t>
      </w:r>
      <w:r>
        <w:rPr>
          <w:rFonts w:cstheme="minorHAnsi"/>
        </w:rPr>
        <w:t>]</w:t>
      </w:r>
      <w:r w:rsidRPr="00F86C16">
        <w:rPr>
          <w:rFonts w:cstheme="minorHAnsi"/>
        </w:rPr>
        <w:t>.</w:t>
      </w:r>
    </w:p>
    <w:p w14:paraId="208F3E95" w14:textId="77777777" w:rsidR="004E6BA0" w:rsidRDefault="004E6BA0" w:rsidP="001D3B95">
      <w:pPr>
        <w:jc w:val="both"/>
        <w:rPr>
          <w:rFonts w:cstheme="minorHAnsi"/>
        </w:rPr>
      </w:pPr>
      <w:r w:rsidRPr="00705244">
        <w:rPr>
          <w:rFonts w:cstheme="minorHAnsi"/>
          <w:i/>
        </w:rPr>
        <w:t>Infectious:</w:t>
      </w:r>
      <w:r>
        <w:rPr>
          <w:rFonts w:cstheme="minorHAnsi"/>
        </w:rPr>
        <w:t xml:space="preserve"> Infections that cause swelling and inflammation in the mouth, throat, or oesophagus can </w:t>
      </w:r>
      <w:r w:rsidR="009615D1">
        <w:rPr>
          <w:rFonts w:cstheme="minorHAnsi"/>
        </w:rPr>
        <w:t>impede the swallowing process. Examples include infections like tonsillitis, stomatitis, or viral infections affecting cranial nerves, such as Varicella zoster</w:t>
      </w:r>
      <w:r w:rsidR="00C922A8">
        <w:rPr>
          <w:rFonts w:cstheme="minorHAnsi"/>
        </w:rPr>
        <w:t xml:space="preserve"> [</w:t>
      </w:r>
      <w:r w:rsidR="00E079F3" w:rsidRPr="00782F66">
        <w:rPr>
          <w:rFonts w:cstheme="minorHAnsi"/>
        </w:rPr>
        <w:t>14</w:t>
      </w:r>
      <w:r w:rsidR="00C922A8">
        <w:rPr>
          <w:rFonts w:cstheme="minorHAnsi"/>
        </w:rPr>
        <w:t>]</w:t>
      </w:r>
      <w:r w:rsidR="009615D1">
        <w:rPr>
          <w:rFonts w:cstheme="minorHAnsi"/>
        </w:rPr>
        <w:t xml:space="preserve">. </w:t>
      </w:r>
    </w:p>
    <w:p w14:paraId="32609F5D" w14:textId="77777777" w:rsidR="009615D1" w:rsidRDefault="009615D1" w:rsidP="001D3B95">
      <w:pPr>
        <w:jc w:val="both"/>
        <w:rPr>
          <w:rFonts w:cstheme="minorHAnsi"/>
        </w:rPr>
      </w:pPr>
      <w:r w:rsidRPr="00705244">
        <w:rPr>
          <w:rFonts w:cstheme="minorHAnsi"/>
          <w:i/>
        </w:rPr>
        <w:t>Inflammatory:</w:t>
      </w:r>
      <w:r>
        <w:rPr>
          <w:rFonts w:cstheme="minorHAnsi"/>
        </w:rPr>
        <w:t xml:space="preserve"> these conditions involve swelling due to inflammation, often as part of a chronic condition. Examples include eosinophilic esophagitis, where an allergic or immune response causes inflammation in the oesophagus. Conditions like Crohn’s disease or complications from radiotherapy can also cause inflammatory changes that lead to dysphagia</w:t>
      </w:r>
      <w:r w:rsidR="00C922A8">
        <w:rPr>
          <w:rFonts w:cstheme="minorHAnsi"/>
        </w:rPr>
        <w:t xml:space="preserve"> [</w:t>
      </w:r>
      <w:r w:rsidR="00E079F3" w:rsidRPr="00782F66">
        <w:rPr>
          <w:rFonts w:cstheme="minorHAnsi"/>
        </w:rPr>
        <w:t>15</w:t>
      </w:r>
      <w:r w:rsidR="00C922A8">
        <w:rPr>
          <w:rFonts w:cstheme="minorHAnsi"/>
        </w:rPr>
        <w:t>]</w:t>
      </w:r>
      <w:r>
        <w:rPr>
          <w:rFonts w:cstheme="minorHAnsi"/>
        </w:rPr>
        <w:t xml:space="preserve">. </w:t>
      </w:r>
    </w:p>
    <w:p w14:paraId="3FCE8655" w14:textId="77777777" w:rsidR="00685C3B" w:rsidRPr="00F110B0" w:rsidRDefault="005A78D2" w:rsidP="00181AB1">
      <w:pPr>
        <w:jc w:val="both"/>
        <w:rPr>
          <w:rFonts w:cstheme="minorHAnsi"/>
          <w:b/>
        </w:rPr>
      </w:pPr>
      <w:r>
        <w:rPr>
          <w:rFonts w:cstheme="minorHAnsi"/>
          <w:b/>
        </w:rPr>
        <w:t>Drug S</w:t>
      </w:r>
      <w:r w:rsidR="00F110B0" w:rsidRPr="00F110B0">
        <w:rPr>
          <w:rFonts w:cstheme="minorHAnsi"/>
          <w:b/>
        </w:rPr>
        <w:t xml:space="preserve">pecific </w:t>
      </w:r>
      <w:r>
        <w:rPr>
          <w:rFonts w:cstheme="minorHAnsi"/>
          <w:b/>
        </w:rPr>
        <w:t>D</w:t>
      </w:r>
      <w:r w:rsidR="00685C3B" w:rsidRPr="00F110B0">
        <w:rPr>
          <w:rFonts w:cstheme="minorHAnsi"/>
          <w:b/>
        </w:rPr>
        <w:t>ysphagia</w:t>
      </w:r>
    </w:p>
    <w:p w14:paraId="710432A8" w14:textId="77777777" w:rsidR="00F110B0" w:rsidRDefault="00F110B0" w:rsidP="00F110B0">
      <w:pPr>
        <w:jc w:val="both"/>
        <w:rPr>
          <w:rFonts w:cstheme="minorHAnsi"/>
          <w:color w:val="1B1B1B"/>
          <w:shd w:val="clear" w:color="auto" w:fill="FFFFFF"/>
        </w:rPr>
      </w:pPr>
      <w:r w:rsidRPr="004815AE">
        <w:rPr>
          <w:rFonts w:cstheme="minorHAnsi"/>
          <w:color w:val="1B1B1B"/>
          <w:shd w:val="clear" w:color="auto" w:fill="FFFFFF"/>
        </w:rPr>
        <w:t>Taking certain classes of medications—such as anticholinergics, calcium channel blockers, and dopamine antagonists—has been associated with onset of dysphagia (Table </w:t>
      </w:r>
      <w:r w:rsidRPr="004815AE">
        <w:rPr>
          <w:rFonts w:cstheme="minorHAnsi"/>
          <w:shd w:val="clear" w:color="auto" w:fill="FFFFFF"/>
        </w:rPr>
        <w:t>1</w:t>
      </w:r>
      <w:r w:rsidRPr="004815AE">
        <w:rPr>
          <w:rFonts w:cstheme="minorHAnsi"/>
          <w:color w:val="1B1B1B"/>
          <w:shd w:val="clear" w:color="auto" w:fill="FFFFFF"/>
        </w:rPr>
        <w:t xml:space="preserve">). Medications that affect saliva production, smooth muscles of the </w:t>
      </w:r>
      <w:r w:rsidR="001E1D4B">
        <w:rPr>
          <w:rFonts w:cstheme="minorHAnsi"/>
          <w:color w:val="1B1B1B"/>
          <w:shd w:val="clear" w:color="auto" w:fill="FFFFFF"/>
        </w:rPr>
        <w:t>o</w:t>
      </w:r>
      <w:r w:rsidRPr="004815AE">
        <w:rPr>
          <w:rFonts w:cstheme="minorHAnsi"/>
          <w:color w:val="1B1B1B"/>
          <w:shd w:val="clear" w:color="auto" w:fill="FFFFFF"/>
        </w:rPr>
        <w:t xml:space="preserve">esophagus, or the lower </w:t>
      </w:r>
      <w:r w:rsidR="001E1D4B">
        <w:rPr>
          <w:rFonts w:cstheme="minorHAnsi"/>
          <w:color w:val="1B1B1B"/>
          <w:shd w:val="clear" w:color="auto" w:fill="FFFFFF"/>
        </w:rPr>
        <w:t>o</w:t>
      </w:r>
      <w:r w:rsidRPr="004815AE">
        <w:rPr>
          <w:rFonts w:cstheme="minorHAnsi"/>
          <w:color w:val="1B1B1B"/>
          <w:shd w:val="clear" w:color="auto" w:fill="FFFFFF"/>
        </w:rPr>
        <w:t>esophageal sphincter, as well as those that affect brainstem function or cause dystonia or dyskinesia, can impair swallowing and potentially contribute to dysphagia [</w:t>
      </w:r>
      <w:r w:rsidR="007D4B04" w:rsidRPr="00782F66">
        <w:rPr>
          <w:rFonts w:cstheme="minorHAnsi"/>
          <w:color w:val="1B1B1B"/>
          <w:shd w:val="clear" w:color="auto" w:fill="FFFFFF"/>
        </w:rPr>
        <w:t>16</w:t>
      </w:r>
      <w:r w:rsidRPr="004815AE">
        <w:rPr>
          <w:rFonts w:cstheme="minorHAnsi"/>
          <w:color w:val="1B1B1B"/>
          <w:shd w:val="clear" w:color="auto" w:fill="FFFFFF"/>
        </w:rPr>
        <w:t>].</w:t>
      </w:r>
    </w:p>
    <w:p w14:paraId="491857AF" w14:textId="77777777" w:rsidR="00F110B0" w:rsidRPr="004815AE" w:rsidRDefault="00F110B0" w:rsidP="00F110B0">
      <w:pPr>
        <w:jc w:val="both"/>
        <w:rPr>
          <w:rFonts w:cstheme="minorHAnsi"/>
          <w:color w:val="1B1B1B"/>
          <w:shd w:val="clear" w:color="auto" w:fill="FFFFFF"/>
        </w:rPr>
      </w:pPr>
      <w:r w:rsidRPr="00F110B0">
        <w:rPr>
          <w:rFonts w:cstheme="minorHAnsi"/>
          <w:b/>
          <w:color w:val="1B1B1B"/>
          <w:shd w:val="clear" w:color="auto" w:fill="FFFFFF"/>
        </w:rPr>
        <w:t>Table 1:</w:t>
      </w:r>
      <w:r>
        <w:rPr>
          <w:rFonts w:cstheme="minorHAnsi"/>
          <w:color w:val="1B1B1B"/>
          <w:shd w:val="clear" w:color="auto" w:fill="FFFFFF"/>
        </w:rPr>
        <w:t xml:space="preserve"> </w:t>
      </w:r>
      <w:r w:rsidRPr="00F110B0">
        <w:rPr>
          <w:rFonts w:cstheme="minorHAnsi"/>
          <w:b/>
          <w:color w:val="1B1B1B"/>
          <w:shd w:val="clear" w:color="auto" w:fill="FFFFFF"/>
        </w:rPr>
        <w:t>Examples of medication classes associated with dysphagia</w:t>
      </w:r>
    </w:p>
    <w:tbl>
      <w:tblPr>
        <w:tblStyle w:val="TableGrid"/>
        <w:tblW w:w="0" w:type="auto"/>
        <w:jc w:val="center"/>
        <w:tblLook w:val="04A0" w:firstRow="1" w:lastRow="0" w:firstColumn="1" w:lastColumn="0" w:noHBand="0" w:noVBand="1"/>
      </w:tblPr>
      <w:tblGrid>
        <w:gridCol w:w="2254"/>
        <w:gridCol w:w="2254"/>
        <w:gridCol w:w="2254"/>
        <w:gridCol w:w="1455"/>
      </w:tblGrid>
      <w:tr w:rsidR="00F110B0" w:rsidRPr="004815AE" w14:paraId="28C3305D" w14:textId="77777777" w:rsidTr="00E95D9B">
        <w:trPr>
          <w:jc w:val="center"/>
        </w:trPr>
        <w:tc>
          <w:tcPr>
            <w:tcW w:w="2254" w:type="dxa"/>
          </w:tcPr>
          <w:p w14:paraId="45E8A9C5"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Medication class</w:t>
            </w:r>
          </w:p>
        </w:tc>
        <w:tc>
          <w:tcPr>
            <w:tcW w:w="2254" w:type="dxa"/>
          </w:tcPr>
          <w:p w14:paraId="09C5B234"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Example</w:t>
            </w:r>
          </w:p>
        </w:tc>
        <w:tc>
          <w:tcPr>
            <w:tcW w:w="2254" w:type="dxa"/>
          </w:tcPr>
          <w:p w14:paraId="00521AE2"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Potential mechanism</w:t>
            </w:r>
          </w:p>
        </w:tc>
        <w:tc>
          <w:tcPr>
            <w:tcW w:w="1455" w:type="dxa"/>
          </w:tcPr>
          <w:p w14:paraId="68DE0719"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References</w:t>
            </w:r>
          </w:p>
        </w:tc>
      </w:tr>
      <w:tr w:rsidR="00F110B0" w:rsidRPr="004815AE" w14:paraId="29BE6FCF" w14:textId="77777777" w:rsidTr="00E95D9B">
        <w:trPr>
          <w:jc w:val="center"/>
        </w:trPr>
        <w:tc>
          <w:tcPr>
            <w:tcW w:w="2254" w:type="dxa"/>
          </w:tcPr>
          <w:p w14:paraId="63231F53" w14:textId="77777777" w:rsidR="00F110B0" w:rsidRPr="004815AE" w:rsidRDefault="00F110B0" w:rsidP="00910010">
            <w:pPr>
              <w:jc w:val="both"/>
              <w:rPr>
                <w:rFonts w:cstheme="minorHAnsi"/>
                <w:color w:val="1B1B1B"/>
                <w:shd w:val="clear" w:color="auto" w:fill="FFFFFF"/>
              </w:rPr>
            </w:pPr>
            <w:r w:rsidRPr="004815AE">
              <w:rPr>
                <w:rFonts w:cstheme="minorHAnsi"/>
                <w:color w:val="1B1B1B"/>
                <w:shd w:val="clear" w:color="auto" w:fill="FFFFFF"/>
              </w:rPr>
              <w:t>Anticholinergics</w:t>
            </w:r>
          </w:p>
        </w:tc>
        <w:tc>
          <w:tcPr>
            <w:tcW w:w="2254" w:type="dxa"/>
          </w:tcPr>
          <w:p w14:paraId="55758E30" w14:textId="77777777" w:rsidR="00F110B0" w:rsidRPr="004815AE" w:rsidRDefault="005A78D2" w:rsidP="00910010">
            <w:pPr>
              <w:jc w:val="both"/>
              <w:rPr>
                <w:rFonts w:cstheme="minorHAnsi"/>
                <w:color w:val="1B1B1B"/>
                <w:shd w:val="clear" w:color="auto" w:fill="FFFFFF"/>
              </w:rPr>
            </w:pPr>
            <w:r>
              <w:rPr>
                <w:rFonts w:cstheme="minorHAnsi"/>
                <w:color w:val="1B1B1B"/>
                <w:shd w:val="clear" w:color="auto" w:fill="FFFFFF"/>
              </w:rPr>
              <w:t>Benztropine, O</w:t>
            </w:r>
            <w:r w:rsidR="00F110B0" w:rsidRPr="004815AE">
              <w:rPr>
                <w:rFonts w:cstheme="minorHAnsi"/>
                <w:color w:val="1B1B1B"/>
                <w:shd w:val="clear" w:color="auto" w:fill="FFFFFF"/>
              </w:rPr>
              <w:t>xybutynin</w:t>
            </w:r>
          </w:p>
        </w:tc>
        <w:tc>
          <w:tcPr>
            <w:tcW w:w="2254" w:type="dxa"/>
          </w:tcPr>
          <w:p w14:paraId="19DCBBE1" w14:textId="77777777" w:rsidR="00F110B0" w:rsidRPr="004815AE" w:rsidRDefault="00F110B0" w:rsidP="005A78D2">
            <w:pPr>
              <w:jc w:val="both"/>
              <w:rPr>
                <w:rFonts w:cstheme="minorHAnsi"/>
                <w:color w:val="1B1B1B"/>
                <w:shd w:val="clear" w:color="auto" w:fill="FFFFFF"/>
              </w:rPr>
            </w:pPr>
            <w:r w:rsidRPr="004815AE">
              <w:rPr>
                <w:rFonts w:cstheme="minorHAnsi"/>
                <w:color w:val="1B1B1B"/>
                <w:shd w:val="clear" w:color="auto" w:fill="FFFFFF"/>
              </w:rPr>
              <w:t xml:space="preserve">Alter smooth muscle function, impair lower </w:t>
            </w:r>
            <w:r w:rsidR="00255F9F">
              <w:rPr>
                <w:rFonts w:cstheme="minorHAnsi"/>
                <w:color w:val="1B1B1B"/>
                <w:shd w:val="clear" w:color="auto" w:fill="FFFFFF"/>
              </w:rPr>
              <w:t>o</w:t>
            </w:r>
            <w:r w:rsidRPr="004815AE">
              <w:rPr>
                <w:rFonts w:cstheme="minorHAnsi"/>
                <w:color w:val="1B1B1B"/>
                <w:shd w:val="clear" w:color="auto" w:fill="FFFFFF"/>
              </w:rPr>
              <w:t>esophageal sphincter, cause dry mouth (with increased anticholinergic burden)</w:t>
            </w:r>
          </w:p>
        </w:tc>
        <w:tc>
          <w:tcPr>
            <w:tcW w:w="1455" w:type="dxa"/>
          </w:tcPr>
          <w:p w14:paraId="4420648E"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17</w:t>
            </w:r>
          </w:p>
        </w:tc>
      </w:tr>
      <w:tr w:rsidR="00F110B0" w:rsidRPr="004815AE" w14:paraId="280B1CEF" w14:textId="77777777" w:rsidTr="00E95D9B">
        <w:trPr>
          <w:jc w:val="center"/>
        </w:trPr>
        <w:tc>
          <w:tcPr>
            <w:tcW w:w="2254" w:type="dxa"/>
          </w:tcPr>
          <w:p w14:paraId="09D411F9"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Bisphosphonates</w:t>
            </w:r>
          </w:p>
        </w:tc>
        <w:tc>
          <w:tcPr>
            <w:tcW w:w="2254" w:type="dxa"/>
          </w:tcPr>
          <w:p w14:paraId="27C232A8"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Alendronate</w:t>
            </w:r>
          </w:p>
        </w:tc>
        <w:tc>
          <w:tcPr>
            <w:tcW w:w="2254" w:type="dxa"/>
          </w:tcPr>
          <w:p w14:paraId="601E2F85"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 xml:space="preserve">Cause caustic injury to </w:t>
            </w:r>
            <w:r w:rsidR="00255F9F">
              <w:rPr>
                <w:rFonts w:cstheme="minorHAnsi"/>
                <w:color w:val="1B1B1B"/>
                <w:shd w:val="clear" w:color="auto" w:fill="FFFFFF"/>
              </w:rPr>
              <w:t>o</w:t>
            </w:r>
            <w:r w:rsidRPr="001D63B1">
              <w:rPr>
                <w:rFonts w:cstheme="minorHAnsi"/>
                <w:color w:val="1B1B1B"/>
                <w:shd w:val="clear" w:color="auto" w:fill="FFFFFF"/>
              </w:rPr>
              <w:t>esophagus</w:t>
            </w:r>
          </w:p>
        </w:tc>
        <w:tc>
          <w:tcPr>
            <w:tcW w:w="1455" w:type="dxa"/>
          </w:tcPr>
          <w:p w14:paraId="0111EF04"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18</w:t>
            </w:r>
          </w:p>
        </w:tc>
      </w:tr>
      <w:tr w:rsidR="00F110B0" w:rsidRPr="004815AE" w14:paraId="5E4A2427" w14:textId="77777777" w:rsidTr="00E95D9B">
        <w:trPr>
          <w:jc w:val="center"/>
        </w:trPr>
        <w:tc>
          <w:tcPr>
            <w:tcW w:w="2254" w:type="dxa"/>
          </w:tcPr>
          <w:p w14:paraId="4D61C44E" w14:textId="77777777" w:rsidR="00F110B0" w:rsidRPr="004815AE" w:rsidRDefault="001D63B1" w:rsidP="001D63B1">
            <w:pPr>
              <w:rPr>
                <w:rFonts w:cstheme="minorHAnsi"/>
                <w:color w:val="1B1B1B"/>
                <w:shd w:val="clear" w:color="auto" w:fill="FFFFFF"/>
              </w:rPr>
            </w:pPr>
            <w:r w:rsidRPr="001D63B1">
              <w:rPr>
                <w:rFonts w:cstheme="minorHAnsi"/>
                <w:color w:val="1B1B1B"/>
                <w:shd w:val="clear" w:color="auto" w:fill="FFFFFF"/>
              </w:rPr>
              <w:t>Calcium channel blockers</w:t>
            </w:r>
          </w:p>
        </w:tc>
        <w:tc>
          <w:tcPr>
            <w:tcW w:w="2254" w:type="dxa"/>
          </w:tcPr>
          <w:p w14:paraId="3AB4D49E"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Amlodipine</w:t>
            </w:r>
          </w:p>
        </w:tc>
        <w:tc>
          <w:tcPr>
            <w:tcW w:w="2254" w:type="dxa"/>
          </w:tcPr>
          <w:p w14:paraId="464D7F53"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Alter smooth muscle function</w:t>
            </w:r>
          </w:p>
        </w:tc>
        <w:tc>
          <w:tcPr>
            <w:tcW w:w="1455" w:type="dxa"/>
          </w:tcPr>
          <w:p w14:paraId="261A6966"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19</w:t>
            </w:r>
          </w:p>
        </w:tc>
      </w:tr>
      <w:tr w:rsidR="00F110B0" w:rsidRPr="004815AE" w14:paraId="510805A3" w14:textId="77777777" w:rsidTr="00E95D9B">
        <w:trPr>
          <w:jc w:val="center"/>
        </w:trPr>
        <w:tc>
          <w:tcPr>
            <w:tcW w:w="2254" w:type="dxa"/>
          </w:tcPr>
          <w:p w14:paraId="5D59CB8D"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lastRenderedPageBreak/>
              <w:t>Dopaminergic antagonists</w:t>
            </w:r>
          </w:p>
        </w:tc>
        <w:tc>
          <w:tcPr>
            <w:tcW w:w="2254" w:type="dxa"/>
          </w:tcPr>
          <w:p w14:paraId="58E2C2D4" w14:textId="77777777" w:rsidR="00F110B0" w:rsidRPr="004815AE" w:rsidRDefault="005A78D2" w:rsidP="00910010">
            <w:pPr>
              <w:jc w:val="both"/>
              <w:rPr>
                <w:rFonts w:cstheme="minorHAnsi"/>
                <w:color w:val="1B1B1B"/>
                <w:shd w:val="clear" w:color="auto" w:fill="FFFFFF"/>
              </w:rPr>
            </w:pPr>
            <w:r>
              <w:rPr>
                <w:rFonts w:cstheme="minorHAnsi"/>
                <w:color w:val="1B1B1B"/>
                <w:shd w:val="clear" w:color="auto" w:fill="FFFFFF"/>
              </w:rPr>
              <w:t>Haloperidol, O</w:t>
            </w:r>
            <w:r w:rsidR="001D63B1" w:rsidRPr="001D63B1">
              <w:rPr>
                <w:rFonts w:cstheme="minorHAnsi"/>
                <w:color w:val="1B1B1B"/>
                <w:shd w:val="clear" w:color="auto" w:fill="FFFFFF"/>
              </w:rPr>
              <w:t>lanzapine</w:t>
            </w:r>
          </w:p>
        </w:tc>
        <w:tc>
          <w:tcPr>
            <w:tcW w:w="2254" w:type="dxa"/>
          </w:tcPr>
          <w:p w14:paraId="0E591A5B"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Alter striated muscle function (dystonia, dyskinesia)</w:t>
            </w:r>
          </w:p>
        </w:tc>
        <w:tc>
          <w:tcPr>
            <w:tcW w:w="1455" w:type="dxa"/>
          </w:tcPr>
          <w:p w14:paraId="0B54D8A6"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20</w:t>
            </w:r>
            <w:r w:rsidR="00F110B0">
              <w:rPr>
                <w:rFonts w:cstheme="minorHAnsi"/>
                <w:color w:val="1B1B1B"/>
                <w:shd w:val="clear" w:color="auto" w:fill="FFFFFF"/>
              </w:rPr>
              <w:t xml:space="preserve">, </w:t>
            </w:r>
            <w:r w:rsidRPr="00782F66">
              <w:rPr>
                <w:rFonts w:cstheme="minorHAnsi"/>
                <w:color w:val="1B1B1B"/>
                <w:shd w:val="clear" w:color="auto" w:fill="FFFFFF"/>
              </w:rPr>
              <w:t>21</w:t>
            </w:r>
          </w:p>
        </w:tc>
      </w:tr>
      <w:tr w:rsidR="00F110B0" w:rsidRPr="004815AE" w14:paraId="3171221D" w14:textId="77777777" w:rsidTr="00E95D9B">
        <w:trPr>
          <w:jc w:val="center"/>
        </w:trPr>
        <w:tc>
          <w:tcPr>
            <w:tcW w:w="2254" w:type="dxa"/>
          </w:tcPr>
          <w:p w14:paraId="3BCD13EF"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Opioids</w:t>
            </w:r>
          </w:p>
        </w:tc>
        <w:tc>
          <w:tcPr>
            <w:tcW w:w="2254" w:type="dxa"/>
          </w:tcPr>
          <w:p w14:paraId="458289DF" w14:textId="77777777" w:rsidR="00F110B0" w:rsidRPr="004815AE" w:rsidRDefault="00F110B0" w:rsidP="00910010">
            <w:pPr>
              <w:jc w:val="both"/>
              <w:rPr>
                <w:rFonts w:cstheme="minorHAnsi"/>
                <w:color w:val="1B1B1B"/>
              </w:rPr>
            </w:pPr>
            <w:r w:rsidRPr="004815AE">
              <w:rPr>
                <w:rFonts w:cstheme="minorHAnsi"/>
                <w:color w:val="1B1B1B"/>
              </w:rPr>
              <w:t>Codeine</w:t>
            </w:r>
          </w:p>
          <w:p w14:paraId="3BF005E1" w14:textId="77777777" w:rsidR="00F110B0" w:rsidRPr="004815AE" w:rsidRDefault="00F110B0" w:rsidP="00910010">
            <w:pPr>
              <w:jc w:val="both"/>
              <w:rPr>
                <w:rFonts w:cstheme="minorHAnsi"/>
                <w:color w:val="1B1B1B"/>
                <w:shd w:val="clear" w:color="auto" w:fill="FFFFFF"/>
              </w:rPr>
            </w:pPr>
          </w:p>
        </w:tc>
        <w:tc>
          <w:tcPr>
            <w:tcW w:w="2254" w:type="dxa"/>
          </w:tcPr>
          <w:p w14:paraId="021E68BA"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 xml:space="preserve">Impair </w:t>
            </w:r>
            <w:r w:rsidR="00255F9F">
              <w:rPr>
                <w:rFonts w:cstheme="minorHAnsi"/>
                <w:color w:val="1B1B1B"/>
                <w:shd w:val="clear" w:color="auto" w:fill="FFFFFF"/>
              </w:rPr>
              <w:t>o</w:t>
            </w:r>
            <w:r w:rsidRPr="001D63B1">
              <w:rPr>
                <w:rFonts w:cstheme="minorHAnsi"/>
                <w:color w:val="1B1B1B"/>
                <w:shd w:val="clear" w:color="auto" w:fill="FFFFFF"/>
              </w:rPr>
              <w:t>esophageal motility</w:t>
            </w:r>
          </w:p>
        </w:tc>
        <w:tc>
          <w:tcPr>
            <w:tcW w:w="1455" w:type="dxa"/>
          </w:tcPr>
          <w:p w14:paraId="63A44ED5"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22</w:t>
            </w:r>
          </w:p>
        </w:tc>
      </w:tr>
    </w:tbl>
    <w:p w14:paraId="5C36901F" w14:textId="77777777" w:rsidR="00F110B0" w:rsidRDefault="00F110B0" w:rsidP="00181AB1">
      <w:pPr>
        <w:jc w:val="both"/>
        <w:rPr>
          <w:rFonts w:cstheme="minorHAnsi"/>
        </w:rPr>
      </w:pPr>
    </w:p>
    <w:p w14:paraId="3443CA15" w14:textId="77777777" w:rsidR="003F3B24" w:rsidRDefault="003F3B24" w:rsidP="00520FAE">
      <w:pPr>
        <w:rPr>
          <w:rFonts w:cstheme="minorHAnsi"/>
          <w:b/>
        </w:rPr>
      </w:pPr>
      <w:r>
        <w:rPr>
          <w:rFonts w:cstheme="minorHAnsi"/>
          <w:b/>
        </w:rPr>
        <w:t xml:space="preserve">Medication via a </w:t>
      </w:r>
      <w:r w:rsidR="00957C67">
        <w:rPr>
          <w:rFonts w:cstheme="minorHAnsi"/>
          <w:b/>
        </w:rPr>
        <w:t>Ryle’s</w:t>
      </w:r>
      <w:r>
        <w:rPr>
          <w:rFonts w:cstheme="minorHAnsi"/>
          <w:b/>
        </w:rPr>
        <w:t xml:space="preserve"> tube</w:t>
      </w:r>
    </w:p>
    <w:p w14:paraId="27AC52C9" w14:textId="77777777" w:rsidR="003F3B24" w:rsidRPr="003F3B24" w:rsidRDefault="00957C67" w:rsidP="003F3B24">
      <w:pPr>
        <w:jc w:val="both"/>
        <w:rPr>
          <w:rFonts w:cstheme="minorHAnsi"/>
        </w:rPr>
      </w:pPr>
      <w:r>
        <w:rPr>
          <w:rFonts w:cstheme="minorHAnsi"/>
        </w:rPr>
        <w:t>I</w:t>
      </w:r>
      <w:r w:rsidR="00D7403F" w:rsidRPr="00D7403F">
        <w:rPr>
          <w:rFonts w:cstheme="minorHAnsi"/>
        </w:rPr>
        <w:t>t is generally easier, safer, and more effective to administer liquid medication formulations rather than solid forms (tablets/capsules) when a patient is on a Ryle's tube (nasogastric/enteral tube)</w:t>
      </w:r>
      <w:r w:rsidR="00127395">
        <w:rPr>
          <w:rFonts w:cstheme="minorHAnsi"/>
        </w:rPr>
        <w:t xml:space="preserve"> [</w:t>
      </w:r>
      <w:r w:rsidR="007D4B04" w:rsidRPr="00782F66">
        <w:rPr>
          <w:rFonts w:cstheme="minorHAnsi"/>
        </w:rPr>
        <w:t>23</w:t>
      </w:r>
      <w:r w:rsidR="00127395">
        <w:rPr>
          <w:rFonts w:cstheme="minorHAnsi"/>
        </w:rPr>
        <w:t>]</w:t>
      </w:r>
      <w:r w:rsidR="00D7403F" w:rsidRPr="00D7403F">
        <w:rPr>
          <w:rFonts w:cstheme="minorHAnsi"/>
        </w:rPr>
        <w:t>.  Liquid formulations are the preferred choice in enteral feeding situations to prevent common complications associated with solid medication, such as clogging of the tube or uneven absorption</w:t>
      </w:r>
      <w:r w:rsidR="00703138">
        <w:rPr>
          <w:rFonts w:cstheme="minorHAnsi"/>
        </w:rPr>
        <w:t xml:space="preserve"> [</w:t>
      </w:r>
      <w:r w:rsidR="007D4B04" w:rsidRPr="00782F66">
        <w:rPr>
          <w:rFonts w:cstheme="minorHAnsi"/>
        </w:rPr>
        <w:t>24</w:t>
      </w:r>
      <w:r w:rsidR="00703138">
        <w:rPr>
          <w:rFonts w:cstheme="minorHAnsi"/>
        </w:rPr>
        <w:t>]</w:t>
      </w:r>
      <w:r w:rsidR="00D7403F" w:rsidRPr="00D7403F">
        <w:rPr>
          <w:rFonts w:cstheme="minorHAnsi"/>
        </w:rPr>
        <w:t>.</w:t>
      </w:r>
      <w:r>
        <w:rPr>
          <w:rFonts w:cstheme="minorHAnsi"/>
        </w:rPr>
        <w:t xml:space="preserve"> </w:t>
      </w:r>
      <w:r w:rsidRPr="00957C67">
        <w:rPr>
          <w:rFonts w:cstheme="minorHAnsi"/>
        </w:rPr>
        <w:t>Preparing liquids for administration is faster and cleaner than crushing, mixing, and ensuring solid particles are fully dissolved, which also reduces the risk of aerosol contamination.</w:t>
      </w:r>
      <w:r w:rsidR="00127395">
        <w:rPr>
          <w:rFonts w:cstheme="minorHAnsi"/>
        </w:rPr>
        <w:t xml:space="preserve"> </w:t>
      </w:r>
      <w:r w:rsidR="00127395" w:rsidRPr="00127395">
        <w:rPr>
          <w:rFonts w:cstheme="minorHAnsi"/>
        </w:rPr>
        <w:t>Crushing tablets, especially controlled-release (CR), extended-release (XR), or enteric-coated medications, can destroy their intended mechanism and lead to unpredictable drug levels or toxicity</w:t>
      </w:r>
      <w:r w:rsidR="00703138">
        <w:rPr>
          <w:rFonts w:cstheme="minorHAnsi"/>
        </w:rPr>
        <w:t xml:space="preserve"> [</w:t>
      </w:r>
      <w:r w:rsidR="007D4B04" w:rsidRPr="00782F66">
        <w:rPr>
          <w:rFonts w:cstheme="minorHAnsi"/>
        </w:rPr>
        <w:t>25</w:t>
      </w:r>
      <w:r w:rsidR="00703138">
        <w:rPr>
          <w:rFonts w:cstheme="minorHAnsi"/>
        </w:rPr>
        <w:t xml:space="preserve">, </w:t>
      </w:r>
      <w:r w:rsidR="007D4B04" w:rsidRPr="00782F66">
        <w:rPr>
          <w:rFonts w:cstheme="minorHAnsi"/>
        </w:rPr>
        <w:t>26</w:t>
      </w:r>
      <w:r w:rsidR="00703138">
        <w:rPr>
          <w:rFonts w:cstheme="minorHAnsi"/>
        </w:rPr>
        <w:t>]</w:t>
      </w:r>
      <w:r w:rsidR="00127395" w:rsidRPr="00127395">
        <w:rPr>
          <w:rFonts w:cstheme="minorHAnsi"/>
        </w:rPr>
        <w:t>.</w:t>
      </w:r>
    </w:p>
    <w:p w14:paraId="18F0A39E" w14:textId="77777777" w:rsidR="00520FAE" w:rsidRPr="00792EDB" w:rsidRDefault="00520FAE" w:rsidP="00520FAE">
      <w:pPr>
        <w:rPr>
          <w:rFonts w:cstheme="minorHAnsi"/>
          <w:b/>
        </w:rPr>
      </w:pPr>
      <w:r w:rsidRPr="00792EDB">
        <w:rPr>
          <w:rFonts w:cstheme="minorHAnsi"/>
          <w:b/>
        </w:rPr>
        <w:t>The amount of liquid patients use to take tablets and capsules</w:t>
      </w:r>
    </w:p>
    <w:p w14:paraId="62C19985" w14:textId="77777777" w:rsidR="00520FAE" w:rsidRPr="00A707BA" w:rsidRDefault="00520FAE" w:rsidP="00520FAE">
      <w:pPr>
        <w:spacing w:before="100" w:beforeAutospacing="1" w:after="100" w:afterAutospacing="1" w:line="276" w:lineRule="auto"/>
        <w:jc w:val="both"/>
        <w:rPr>
          <w:rFonts w:eastAsia="Times New Roman" w:cstheme="minorHAnsi"/>
          <w:lang w:eastAsia="en-IN"/>
        </w:rPr>
      </w:pPr>
      <w:r w:rsidRPr="00A707BA">
        <w:rPr>
          <w:rFonts w:eastAsia="Times New Roman" w:cstheme="minorHAnsi"/>
          <w:lang w:eastAsia="en-IN"/>
        </w:rPr>
        <w:t>The correct use of oral medications is critical to ensure treatment efficacy and minimize adverse effects, and adequate fluid intake plays an important role in safe drug administration</w:t>
      </w:r>
      <w:r w:rsidRPr="00792EDB">
        <w:rPr>
          <w:rFonts w:eastAsia="Times New Roman" w:cstheme="minorHAnsi"/>
          <w:lang w:eastAsia="en-IN"/>
        </w:rPr>
        <w:t xml:space="preserve"> [</w:t>
      </w:r>
      <w:r w:rsidR="007D4B04" w:rsidRPr="00782F66">
        <w:rPr>
          <w:rFonts w:eastAsia="Times New Roman" w:cstheme="minorHAnsi"/>
          <w:lang w:eastAsia="en-IN"/>
        </w:rPr>
        <w:t>27</w:t>
      </w:r>
      <w:r w:rsidRPr="00792EDB">
        <w:rPr>
          <w:rFonts w:eastAsia="Times New Roman" w:cstheme="minorHAnsi"/>
          <w:lang w:eastAsia="en-IN"/>
        </w:rPr>
        <w:t>,</w:t>
      </w:r>
      <w:r w:rsidR="005A78D2">
        <w:rPr>
          <w:rFonts w:eastAsia="Times New Roman" w:cstheme="minorHAnsi"/>
          <w:lang w:eastAsia="en-IN"/>
        </w:rPr>
        <w:t xml:space="preserve"> </w:t>
      </w:r>
      <w:r w:rsidR="007D4B04" w:rsidRPr="00782F66">
        <w:rPr>
          <w:rFonts w:eastAsia="Times New Roman" w:cstheme="minorHAnsi"/>
          <w:lang w:eastAsia="en-IN"/>
        </w:rPr>
        <w:t>28</w:t>
      </w:r>
      <w:r w:rsidRPr="00792EDB">
        <w:rPr>
          <w:rFonts w:eastAsia="Times New Roman" w:cstheme="minorHAnsi"/>
          <w:lang w:eastAsia="en-IN"/>
        </w:rPr>
        <w:t>]</w:t>
      </w:r>
      <w:r w:rsidRPr="00A707BA">
        <w:rPr>
          <w:rFonts w:eastAsia="Times New Roman" w:cstheme="minorHAnsi"/>
          <w:lang w:eastAsia="en-IN"/>
        </w:rPr>
        <w:t xml:space="preserve">. Patients should take tablets and capsules with a sufficient volume of water to facilitate rapid transit from the mouth to the stomach and promote optimal dissolution and absorption. Fuchs (2009) reported that the amount of liquid patients used to swallow tablets or capsules varied widely, with many patients consuming insufficient fluid; 81.6% of tablets reached the stomach efficiently when 100 mL of water was consumed, whereas smaller volumes (15–60 mL) resulted in slower or incomplete transit. The study recommended a </w:t>
      </w:r>
      <w:r w:rsidRPr="00792EDB">
        <w:rPr>
          <w:rFonts w:eastAsia="Times New Roman" w:cstheme="minorHAnsi"/>
          <w:bCs/>
          <w:lang w:eastAsia="en-IN"/>
        </w:rPr>
        <w:t>minimum of 60 mL of liquid</w:t>
      </w:r>
      <w:r w:rsidRPr="00A707BA">
        <w:rPr>
          <w:rFonts w:eastAsia="Times New Roman" w:cstheme="minorHAnsi"/>
          <w:lang w:eastAsia="en-IN"/>
        </w:rPr>
        <w:t xml:space="preserve"> and an upright posture of at least 45° to improve tab</w:t>
      </w:r>
      <w:r w:rsidRPr="00792EDB">
        <w:rPr>
          <w:rFonts w:eastAsia="Times New Roman" w:cstheme="minorHAnsi"/>
          <w:lang w:eastAsia="en-IN"/>
        </w:rPr>
        <w:t xml:space="preserve">let passage rates </w:t>
      </w:r>
      <w:r w:rsidRPr="00A707BA">
        <w:rPr>
          <w:rFonts w:eastAsia="Times New Roman" w:cstheme="minorHAnsi"/>
          <w:lang w:eastAsia="en-IN"/>
        </w:rPr>
        <w:t>[</w:t>
      </w:r>
      <w:r w:rsidR="007D4B04" w:rsidRPr="00782F66">
        <w:rPr>
          <w:rFonts w:eastAsia="Times New Roman" w:cstheme="minorHAnsi"/>
          <w:lang w:eastAsia="en-IN"/>
        </w:rPr>
        <w:t>29</w:t>
      </w:r>
      <w:r w:rsidRPr="00A707BA">
        <w:rPr>
          <w:rFonts w:eastAsia="Times New Roman" w:cstheme="minorHAnsi"/>
          <w:lang w:eastAsia="en-IN"/>
        </w:rPr>
        <w:t>].</w:t>
      </w:r>
    </w:p>
    <w:p w14:paraId="382B7B34" w14:textId="77777777" w:rsidR="00520FAE" w:rsidRDefault="00520FAE" w:rsidP="00520FAE">
      <w:pPr>
        <w:jc w:val="both"/>
        <w:rPr>
          <w:b/>
        </w:rPr>
      </w:pPr>
      <w:r w:rsidRPr="00A707BA">
        <w:rPr>
          <w:rFonts w:eastAsia="Times New Roman" w:cstheme="minorHAnsi"/>
          <w:lang w:eastAsia="en-IN"/>
        </w:rPr>
        <w:t xml:space="preserve">Other studies emphasize the importance of upright posture in conjunction with sufficient water intake. For instance, Roro et al. (2021) suggested that </w:t>
      </w:r>
      <w:proofErr w:type="spellStart"/>
      <w:r w:rsidRPr="00A707BA">
        <w:rPr>
          <w:rFonts w:eastAsia="Times New Roman" w:cstheme="minorHAnsi"/>
          <w:lang w:eastAsia="en-IN"/>
        </w:rPr>
        <w:t>esophageal</w:t>
      </w:r>
      <w:proofErr w:type="spellEnd"/>
      <w:r w:rsidRPr="00A707BA">
        <w:rPr>
          <w:rFonts w:eastAsia="Times New Roman" w:cstheme="minorHAnsi"/>
          <w:lang w:eastAsia="en-IN"/>
        </w:rPr>
        <w:t xml:space="preserve"> injury can be minimized by taking pills with &gt;120 mL of water while remaining upright for 15 minutes after </w:t>
      </w:r>
      <w:r w:rsidRPr="00792EDB">
        <w:rPr>
          <w:rFonts w:eastAsia="Times New Roman" w:cstheme="minorHAnsi"/>
          <w:lang w:eastAsia="en-IN"/>
        </w:rPr>
        <w:t>ingestion [</w:t>
      </w:r>
      <w:r w:rsidR="00A65FA7" w:rsidRPr="00782F66">
        <w:rPr>
          <w:rFonts w:eastAsia="Times New Roman" w:cstheme="minorHAnsi"/>
          <w:lang w:eastAsia="en-IN"/>
        </w:rPr>
        <w:t>30</w:t>
      </w:r>
      <w:r w:rsidRPr="00A707BA">
        <w:rPr>
          <w:rFonts w:eastAsia="Times New Roman" w:cstheme="minorHAnsi"/>
          <w:lang w:eastAsia="en-IN"/>
        </w:rPr>
        <w:t>]. Adequate fluid intake is especially relevant when considering the broader impact on physiology, such as nocturia. Nocturia, characterized by increased night</w:t>
      </w:r>
      <w:r w:rsidR="00152BDF">
        <w:rPr>
          <w:rFonts w:eastAsia="Times New Roman" w:cstheme="minorHAnsi"/>
          <w:lang w:eastAsia="en-IN"/>
        </w:rPr>
        <w:t>-</w:t>
      </w:r>
      <w:r w:rsidRPr="00A707BA">
        <w:rPr>
          <w:rFonts w:eastAsia="Times New Roman" w:cstheme="minorHAnsi"/>
          <w:lang w:eastAsia="en-IN"/>
        </w:rPr>
        <w:t xml:space="preserve">time urine production, fragmented sleep, and reduced quality of life, can be exacerbated by fluid intake timing and </w:t>
      </w:r>
      <w:r w:rsidRPr="00792EDB">
        <w:rPr>
          <w:rFonts w:eastAsia="Times New Roman" w:cstheme="minorHAnsi"/>
          <w:lang w:eastAsia="en-IN"/>
        </w:rPr>
        <w:t xml:space="preserve">volume </w:t>
      </w:r>
      <w:r w:rsidRPr="00A707BA">
        <w:rPr>
          <w:rFonts w:eastAsia="Times New Roman" w:cstheme="minorHAnsi"/>
          <w:lang w:eastAsia="en-IN"/>
        </w:rPr>
        <w:t>[</w:t>
      </w:r>
      <w:r w:rsidR="00A65FA7" w:rsidRPr="00782F66">
        <w:rPr>
          <w:rFonts w:eastAsia="Times New Roman" w:cstheme="minorHAnsi"/>
          <w:lang w:eastAsia="en-IN"/>
        </w:rPr>
        <w:t>31</w:t>
      </w:r>
      <w:r w:rsidRPr="00A707BA">
        <w:rPr>
          <w:rFonts w:eastAsia="Times New Roman" w:cstheme="minorHAnsi"/>
          <w:lang w:eastAsia="en-IN"/>
        </w:rPr>
        <w:t>].</w:t>
      </w:r>
    </w:p>
    <w:p w14:paraId="77224557" w14:textId="77777777" w:rsidR="00E74804" w:rsidRPr="00FF3318" w:rsidRDefault="00E74804" w:rsidP="00E74804">
      <w:pPr>
        <w:rPr>
          <w:b/>
        </w:rPr>
      </w:pPr>
      <w:r w:rsidRPr="00FF3318">
        <w:rPr>
          <w:b/>
        </w:rPr>
        <w:t xml:space="preserve">Age </w:t>
      </w:r>
      <w:r w:rsidR="00FF3318" w:rsidRPr="00FF3318">
        <w:rPr>
          <w:b/>
        </w:rPr>
        <w:t>related</w:t>
      </w:r>
      <w:r w:rsidR="00FF3318">
        <w:rPr>
          <w:b/>
        </w:rPr>
        <w:t xml:space="preserve"> issues</w:t>
      </w:r>
    </w:p>
    <w:p w14:paraId="78CB176F" w14:textId="77777777" w:rsidR="00E74804" w:rsidRDefault="00FF3318" w:rsidP="00FF3318">
      <w:pPr>
        <w:jc w:val="both"/>
      </w:pPr>
      <w:r w:rsidRPr="00FF3318">
        <w:rPr>
          <w:i/>
        </w:rPr>
        <w:t>Elderly patients</w:t>
      </w:r>
      <w:r>
        <w:t xml:space="preserve">: </w:t>
      </w:r>
      <w:r w:rsidR="00E74804">
        <w:t>A major challenge faced by elderly patients when taking tablets is difficulty swallowing, or dysphagia, which is often exacerbated by age-related issues. While not considered a normal part of aging, dysphagia risk increases with advanced age due to a reduction in saliva production (leading to a dry mouth) and the weakening of the pharyngeal muscles involved in the swallowing process</w:t>
      </w:r>
      <w:r w:rsidR="00632B21">
        <w:t xml:space="preserve"> [1, 2]</w:t>
      </w:r>
      <w:r w:rsidR="00E74804">
        <w:t xml:space="preserve">. Furthermore, older adults frequently suffer from comorbidities, such as neurological disorders like stroke, Parkinson's disease, and dementia, which are significant underlying causes of oropharyngeal dysphagia, making the ingestion of </w:t>
      </w:r>
      <w:r w:rsidR="006019AB">
        <w:t>SODF</w:t>
      </w:r>
      <w:r w:rsidR="00E74804">
        <w:t>—like tablets and capsules—a considerable risk for choking or pulmonary aspiration</w:t>
      </w:r>
      <w:r w:rsidR="00632B21">
        <w:t xml:space="preserve"> [3, </w:t>
      </w:r>
      <w:r w:rsidR="00A65FA7" w:rsidRPr="00782F66">
        <w:t>7</w:t>
      </w:r>
      <w:r w:rsidR="00632B21">
        <w:t>]</w:t>
      </w:r>
      <w:r w:rsidR="00E74804">
        <w:t>. The complexity is compounded by polypharmacy</w:t>
      </w:r>
      <w:r w:rsidR="00632B21">
        <w:t>, which not only increase</w:t>
      </w:r>
      <w:r w:rsidR="00E74804">
        <w:t xml:space="preserve"> the number of tablets to swallow but also raises the risk of drug-drug interactions and adverse effects like dry mouth or confusion that further impair adh</w:t>
      </w:r>
      <w:r w:rsidR="00632B21">
        <w:t>erence and safe medication use [</w:t>
      </w:r>
      <w:r w:rsidR="00A65FA7" w:rsidRPr="00782F66">
        <w:t>8</w:t>
      </w:r>
      <w:r w:rsidR="00632B21">
        <w:t xml:space="preserve">, </w:t>
      </w:r>
      <w:r w:rsidR="00A65FA7" w:rsidRPr="00782F66">
        <w:t>9</w:t>
      </w:r>
      <w:r w:rsidR="00632B21">
        <w:t>]</w:t>
      </w:r>
      <w:r w:rsidR="00E74804">
        <w:t>.</w:t>
      </w:r>
    </w:p>
    <w:p w14:paraId="224EEED8" w14:textId="77777777" w:rsidR="00FF3318" w:rsidRDefault="00FF3318" w:rsidP="00632B21">
      <w:pPr>
        <w:jc w:val="both"/>
      </w:pPr>
      <w:r w:rsidRPr="00FF3318">
        <w:rPr>
          <w:i/>
        </w:rPr>
        <w:lastRenderedPageBreak/>
        <w:t>Paediatric patients</w:t>
      </w:r>
      <w:r>
        <w:t>: A significant barrier to safe and effective medication for p</w:t>
      </w:r>
      <w:r w:rsidR="008D56DE">
        <w:t>a</w:t>
      </w:r>
      <w:r>
        <w:t xml:space="preserve">ediatric patients, particularly those under five years old, is the difficulty in safely swallowing </w:t>
      </w:r>
      <w:r w:rsidR="006019AB">
        <w:t>SODF</w:t>
      </w:r>
      <w:r>
        <w:t xml:space="preserve"> like tablets and capsules, a challenge intrinsically linked to age-related issues and developmental stages </w:t>
      </w:r>
      <w:r w:rsidR="008D56DE">
        <w:t>[</w:t>
      </w:r>
      <w:r w:rsidR="00A65FA7" w:rsidRPr="00782F66">
        <w:t>10</w:t>
      </w:r>
      <w:r w:rsidR="008D56DE">
        <w:t>]</w:t>
      </w:r>
      <w:r>
        <w:t xml:space="preserve">. Young children generally lack the coordinated swallowing reflex for pills, and the small diameter of their </w:t>
      </w:r>
      <w:r w:rsidR="0082479C">
        <w:t>o</w:t>
      </w:r>
      <w:r>
        <w:t xml:space="preserve">esophagus makes the risk of choking and pulmonary aspiration substantial, often rendering tablets larger than 10 mm unsuitable </w:t>
      </w:r>
      <w:r w:rsidR="008D56DE">
        <w:t>[</w:t>
      </w:r>
      <w:r w:rsidR="00A65FA7" w:rsidRPr="00782F66">
        <w:t>27</w:t>
      </w:r>
      <w:r w:rsidR="008D56DE">
        <w:t xml:space="preserve">, </w:t>
      </w:r>
      <w:r w:rsidR="00A65FA7" w:rsidRPr="00782F66">
        <w:t>28</w:t>
      </w:r>
      <w:r w:rsidR="008D56DE">
        <w:t>]</w:t>
      </w:r>
      <w:r>
        <w:t xml:space="preserve">. Beyond this physical constraint, palatability is a major factor, as children are highly sensitive to the bitter taste often present in medications, leading to refusal, spitting out the dose, and ultimately, poor treatment adherence </w:t>
      </w:r>
      <w:r w:rsidR="008D56DE">
        <w:t>[</w:t>
      </w:r>
      <w:r w:rsidR="00E64144" w:rsidRPr="00782F66">
        <w:t>29</w:t>
      </w:r>
      <w:r w:rsidR="008D56DE">
        <w:t>]</w:t>
      </w:r>
      <w:r>
        <w:t>. Furthermore, the need for precise, weight-based dosing in children means that many commercially available adult tablets must be manipulated (crushed or split), a practice that can jeopardize the drug's safety and efficacy, especially for modified-release or enteric-coated formulations</w:t>
      </w:r>
      <w:r w:rsidR="008D56DE">
        <w:t xml:space="preserve"> [</w:t>
      </w:r>
      <w:r w:rsidR="00E64144" w:rsidRPr="00782F66">
        <w:t>30</w:t>
      </w:r>
      <w:r w:rsidR="008D56DE">
        <w:t>]</w:t>
      </w:r>
      <w:r>
        <w:t>.</w:t>
      </w:r>
    </w:p>
    <w:p w14:paraId="492D8F23" w14:textId="77777777" w:rsidR="008D56DE" w:rsidRDefault="00CB1980" w:rsidP="00632B21">
      <w:pPr>
        <w:jc w:val="both"/>
        <w:rPr>
          <w:b/>
        </w:rPr>
      </w:pPr>
      <w:r>
        <w:rPr>
          <w:b/>
        </w:rPr>
        <w:t>Characteristics</w:t>
      </w:r>
      <w:r w:rsidR="008D56DE" w:rsidRPr="008D56DE">
        <w:rPr>
          <w:b/>
        </w:rPr>
        <w:t xml:space="preserve"> of the dosage form</w:t>
      </w:r>
    </w:p>
    <w:p w14:paraId="73D9142B" w14:textId="77777777" w:rsidR="007E22AE" w:rsidRDefault="00CB1980" w:rsidP="00632B21">
      <w:pPr>
        <w:jc w:val="both"/>
      </w:pPr>
      <w:r>
        <w:t xml:space="preserve">A higher </w:t>
      </w:r>
      <w:r w:rsidR="00B14253">
        <w:t>o</w:t>
      </w:r>
      <w:r>
        <w:t>esophageal contraction force was required by the patients in order swallow large uncoated tablets</w:t>
      </w:r>
      <w:r w:rsidR="00B14253">
        <w:t xml:space="preserve"> [</w:t>
      </w:r>
      <w:r w:rsidR="00E64144" w:rsidRPr="00782F66">
        <w:t>31</w:t>
      </w:r>
      <w:r w:rsidR="00B14253">
        <w:t xml:space="preserve">]. </w:t>
      </w:r>
      <w:r w:rsidR="00FE00CC">
        <w:t>A higher risk for the lodging of SODF in the oesophagus was also identified for uncoated tablets [</w:t>
      </w:r>
      <w:r w:rsidR="00E64144" w:rsidRPr="00782F66">
        <w:t>32</w:t>
      </w:r>
      <w:r w:rsidR="00FE00CC">
        <w:t>].</w:t>
      </w:r>
      <w:r w:rsidR="00C32D99">
        <w:t xml:space="preserve"> The surface roughness of SODF may also increase their likelihood for sticking in the oesophagus, leading to an unpleasant swallowing experience for older patients [</w:t>
      </w:r>
      <w:r w:rsidR="00E64144" w:rsidRPr="00782F66">
        <w:t>31</w:t>
      </w:r>
      <w:r w:rsidR="00C32D99">
        <w:t xml:space="preserve">]. </w:t>
      </w:r>
      <w:r w:rsidR="0030770C">
        <w:t>Also t</w:t>
      </w:r>
      <w:r w:rsidR="00C32D99" w:rsidRPr="00C32D99">
        <w:t xml:space="preserve">he size of a pill can make it difficult to swallow because larger pills can take longer to pass through the </w:t>
      </w:r>
      <w:r w:rsidR="0030770C">
        <w:t>o</w:t>
      </w:r>
      <w:r w:rsidR="00C32D99" w:rsidRPr="00C32D99">
        <w:t>esophagus and get stuck. For some people, size is a top reason for swallowing difficulty, along with factors like shape, texture, and existing conditions like dysphagia (difficulty swallowing). The difficulty increases for those who are older, female, or already have swallowing issues</w:t>
      </w:r>
      <w:r w:rsidR="0030770C">
        <w:t xml:space="preserve"> [</w:t>
      </w:r>
      <w:r w:rsidR="00E64144" w:rsidRPr="00782F66">
        <w:t>33</w:t>
      </w:r>
      <w:r w:rsidR="0030770C">
        <w:t>]</w:t>
      </w:r>
      <w:r w:rsidR="00C32D99" w:rsidRPr="00C32D99">
        <w:t>.</w:t>
      </w:r>
      <w:r w:rsidR="0030770C">
        <w:t xml:space="preserve"> </w:t>
      </w:r>
      <w:r w:rsidR="0030770C" w:rsidRPr="0030770C">
        <w:t>The perception of a pill being too large can trigger a fear of choking or an urge to gag, especially in patients who have experienced swallowing difficulties before</w:t>
      </w:r>
      <w:r w:rsidR="00EF5F88">
        <w:t xml:space="preserve"> [</w:t>
      </w:r>
      <w:r w:rsidR="00E64144" w:rsidRPr="00782F66">
        <w:t>34</w:t>
      </w:r>
      <w:r w:rsidR="00EF5F88">
        <w:t>]</w:t>
      </w:r>
      <w:r w:rsidR="0030770C" w:rsidRPr="0030770C">
        <w:t>.</w:t>
      </w:r>
      <w:r w:rsidR="00151E89">
        <w:t xml:space="preserve"> </w:t>
      </w:r>
    </w:p>
    <w:p w14:paraId="69E7A962" w14:textId="77777777" w:rsidR="008D56DE" w:rsidRDefault="00681AA2" w:rsidP="00632B21">
      <w:pPr>
        <w:jc w:val="both"/>
        <w:rPr>
          <w:b/>
        </w:rPr>
      </w:pPr>
      <w:r>
        <w:rPr>
          <w:b/>
        </w:rPr>
        <w:t xml:space="preserve">Dose </w:t>
      </w:r>
      <w:r w:rsidR="0082479C" w:rsidRPr="0082479C">
        <w:rPr>
          <w:b/>
        </w:rPr>
        <w:t xml:space="preserve">Titration </w:t>
      </w:r>
    </w:p>
    <w:p w14:paraId="775A06DD" w14:textId="77777777" w:rsidR="006E06FB" w:rsidRDefault="00E472DC" w:rsidP="00632B21">
      <w:pPr>
        <w:jc w:val="both"/>
      </w:pPr>
      <w:r>
        <w:t>D</w:t>
      </w:r>
      <w:r w:rsidRPr="00E472DC">
        <w:t>ose titration of solid dosage forms is difficult primarily due to the inflexibility of pre-manufactured dosages and the inaccuracy of dose-splitting, which can lead to inconsistencies in the actual amount of drug administered</w:t>
      </w:r>
      <w:r>
        <w:t xml:space="preserve"> [</w:t>
      </w:r>
      <w:r w:rsidR="00E64144" w:rsidRPr="00782F66">
        <w:t>35</w:t>
      </w:r>
      <w:r>
        <w:t>]</w:t>
      </w:r>
      <w:r w:rsidRPr="00E472DC">
        <w:t>.</w:t>
      </w:r>
      <w:r w:rsidR="00832234">
        <w:t xml:space="preserve"> </w:t>
      </w:r>
      <w:r w:rsidR="006E06FB">
        <w:t>Following are few of the reasons why dose titration is difficult for solid dosage forms:</w:t>
      </w:r>
    </w:p>
    <w:p w14:paraId="53C64C90" w14:textId="77777777" w:rsidR="006E06FB" w:rsidRDefault="00832234" w:rsidP="006E06FB">
      <w:pPr>
        <w:pStyle w:val="ListParagraph"/>
        <w:numPr>
          <w:ilvl w:val="0"/>
          <w:numId w:val="3"/>
        </w:numPr>
        <w:jc w:val="both"/>
      </w:pPr>
      <w:r w:rsidRPr="00705244">
        <w:rPr>
          <w:i/>
        </w:rPr>
        <w:t>Fixed Doses:</w:t>
      </w:r>
      <w:r w:rsidRPr="00832234">
        <w:t xml:space="preserve"> Solid dosage forms produced in fixed, standardized strengths</w:t>
      </w:r>
      <w:r w:rsidR="006F06E2">
        <w:t xml:space="preserve"> has this</w:t>
      </w:r>
      <w:r w:rsidRPr="00832234">
        <w:t xml:space="preserve"> "one-size-fits-all" approach</w:t>
      </w:r>
      <w:r w:rsidR="000A1407">
        <w:t xml:space="preserve"> that</w:t>
      </w:r>
      <w:r w:rsidRPr="00832234">
        <w:t xml:space="preserve"> does not easily accommodate the need for personalized medicine and individualized dosing, which is often required when titrating a drug to find the optimal balance between efficacy and minimizing side effects for a specific patient</w:t>
      </w:r>
      <w:r w:rsidR="005B0E7F">
        <w:t xml:space="preserve"> [</w:t>
      </w:r>
      <w:r w:rsidR="00E64144" w:rsidRPr="00782F66">
        <w:t>36</w:t>
      </w:r>
      <w:r w:rsidR="005B0E7F">
        <w:t>]</w:t>
      </w:r>
      <w:r w:rsidRPr="00832234">
        <w:t xml:space="preserve">. </w:t>
      </w:r>
    </w:p>
    <w:p w14:paraId="797408F3" w14:textId="77777777" w:rsidR="006E06FB" w:rsidRDefault="00832234" w:rsidP="006E06FB">
      <w:pPr>
        <w:pStyle w:val="ListParagraph"/>
        <w:numPr>
          <w:ilvl w:val="0"/>
          <w:numId w:val="3"/>
        </w:numPr>
        <w:jc w:val="both"/>
      </w:pPr>
      <w:r w:rsidRPr="00705244">
        <w:rPr>
          <w:i/>
        </w:rPr>
        <w:t>Inaccurate Splitting:</w:t>
      </w:r>
      <w:r w:rsidRPr="00832234">
        <w:t xml:space="preserve"> A common practice to achieve a lower dose is splitting or breaking tablets</w:t>
      </w:r>
      <w:r w:rsidR="00882EDF">
        <w:t xml:space="preserve"> [37]</w:t>
      </w:r>
      <w:r w:rsidRPr="00832234">
        <w:t xml:space="preserve">. However, this often results in fragments with significant variations in weight and, more importantly, drug content uniformity. This inconsistency in dosage can be particularly dangerous for drugs with a narrow therapeutic index, where small variations in dose can have serious clinical consequences. </w:t>
      </w:r>
    </w:p>
    <w:p w14:paraId="73884DE8" w14:textId="77777777" w:rsidR="006E06FB" w:rsidRDefault="00832234" w:rsidP="006E06FB">
      <w:pPr>
        <w:pStyle w:val="ListParagraph"/>
        <w:numPr>
          <w:ilvl w:val="0"/>
          <w:numId w:val="3"/>
        </w:numPr>
        <w:jc w:val="both"/>
      </w:pPr>
      <w:r w:rsidRPr="00705244">
        <w:rPr>
          <w:i/>
        </w:rPr>
        <w:t>Modified Release Formulations:</w:t>
      </w:r>
      <w:r w:rsidRPr="00832234">
        <w:t xml:space="preserve"> Tablets with specialized coatings or extended-release mechanisms are designed to release the drug in a specific manner over time</w:t>
      </w:r>
      <w:r w:rsidR="00D91C49">
        <w:t xml:space="preserve"> [</w:t>
      </w:r>
      <w:r w:rsidR="00882EDF">
        <w:t>38</w:t>
      </w:r>
      <w:r w:rsidR="00D91C49">
        <w:t>]</w:t>
      </w:r>
      <w:r w:rsidRPr="00832234">
        <w:t>. Splitting or crushing these tablets compromises the integrity of the formulation, altering the intended drug release profile and potentially leading to a rapid, unsafe dose dumping or a lack of therapeutic effect</w:t>
      </w:r>
      <w:r w:rsidR="00F84B0F">
        <w:t xml:space="preserve"> [39, 40]</w:t>
      </w:r>
      <w:r w:rsidRPr="00832234">
        <w:t xml:space="preserve">. </w:t>
      </w:r>
    </w:p>
    <w:p w14:paraId="4F21B265" w14:textId="77777777" w:rsidR="006E06FB" w:rsidRDefault="00832234" w:rsidP="006E06FB">
      <w:pPr>
        <w:pStyle w:val="ListParagraph"/>
        <w:numPr>
          <w:ilvl w:val="0"/>
          <w:numId w:val="3"/>
        </w:numPr>
        <w:jc w:val="both"/>
      </w:pPr>
      <w:r w:rsidRPr="00705244">
        <w:rPr>
          <w:i/>
        </w:rPr>
        <w:t>Capsules and Coated Tablets:</w:t>
      </w:r>
      <w:r w:rsidRPr="00832234">
        <w:t xml:space="preserve"> Capsules and hard-coated tablets are even more difficult to manipulate than non-coated tablets, making accurate dose adjustment nearly impossible for a patient at home</w:t>
      </w:r>
      <w:r w:rsidR="005F2CEF">
        <w:t xml:space="preserve"> [</w:t>
      </w:r>
      <w:r w:rsidR="00F84B0F">
        <w:t>41</w:t>
      </w:r>
      <w:r w:rsidR="005F2CEF">
        <w:t>]</w:t>
      </w:r>
      <w:r w:rsidRPr="00832234">
        <w:t xml:space="preserve">. </w:t>
      </w:r>
    </w:p>
    <w:p w14:paraId="5AC5A2EF" w14:textId="77777777" w:rsidR="00E472DC" w:rsidRPr="00E472DC" w:rsidRDefault="00832234" w:rsidP="006E06FB">
      <w:pPr>
        <w:pStyle w:val="ListParagraph"/>
        <w:numPr>
          <w:ilvl w:val="0"/>
          <w:numId w:val="3"/>
        </w:numPr>
        <w:jc w:val="both"/>
      </w:pPr>
      <w:r w:rsidRPr="00705244">
        <w:rPr>
          <w:i/>
        </w:rPr>
        <w:lastRenderedPageBreak/>
        <w:t>Lack of Suitable Strengths:</w:t>
      </w:r>
      <w:r w:rsidRPr="00832234">
        <w:t xml:space="preserve"> For certain patient populations, such as p</w:t>
      </w:r>
      <w:r w:rsidR="006E06FB">
        <w:t>a</w:t>
      </w:r>
      <w:r w:rsidRPr="00832234">
        <w:t>ediatrics or the elderly, the required specific doses may not be commercially available</w:t>
      </w:r>
      <w:r w:rsidR="00F7675D">
        <w:t xml:space="preserve"> [</w:t>
      </w:r>
      <w:r w:rsidR="00F84B0F">
        <w:t>42</w:t>
      </w:r>
      <w:r w:rsidR="00F7675D">
        <w:t>]</w:t>
      </w:r>
      <w:r w:rsidRPr="00832234">
        <w:t>. This often forces healthcare providers to resort to off-label methods or extemporaneous compounding of liquid formulations, which have their own challenges related to stability and administration accuracy.</w:t>
      </w:r>
    </w:p>
    <w:p w14:paraId="6B088749" w14:textId="77777777" w:rsidR="00A64C72" w:rsidRDefault="00A64C72" w:rsidP="00FF3318">
      <w:pPr>
        <w:rPr>
          <w:b/>
        </w:rPr>
      </w:pPr>
      <w:r>
        <w:rPr>
          <w:b/>
        </w:rPr>
        <w:t>Key Benefits of Oral Liquids</w:t>
      </w:r>
    </w:p>
    <w:p w14:paraId="413ADAE7" w14:textId="77777777" w:rsidR="00644BF5" w:rsidRDefault="00E65D03" w:rsidP="00A64C72">
      <w:pPr>
        <w:jc w:val="both"/>
      </w:pPr>
      <w:r>
        <w:t>Patient</w:t>
      </w:r>
      <w:r w:rsidR="006331DA">
        <w:t xml:space="preserve"> prefer</w:t>
      </w:r>
      <w:r>
        <w:t>ence of</w:t>
      </w:r>
      <w:r w:rsidR="006331DA">
        <w:t xml:space="preserve"> liquid medication over </w:t>
      </w:r>
      <w:r w:rsidR="006019AB">
        <w:t>SODF</w:t>
      </w:r>
      <w:r w:rsidR="006331DA">
        <w:t> depends heavily on the patient's </w:t>
      </w:r>
      <w:r w:rsidR="006331DA" w:rsidRPr="00644BF5">
        <w:rPr>
          <w:rStyle w:val="Strong"/>
          <w:b w:val="0"/>
        </w:rPr>
        <w:t>age and health condition</w:t>
      </w:r>
      <w:r w:rsidR="006331DA">
        <w:rPr>
          <w:rStyle w:val="Strong"/>
          <w:b w:val="0"/>
        </w:rPr>
        <w:t xml:space="preserve"> [</w:t>
      </w:r>
      <w:r w:rsidR="00F84B0F">
        <w:rPr>
          <w:rStyle w:val="Strong"/>
          <w:b w:val="0"/>
        </w:rPr>
        <w:t>43</w:t>
      </w:r>
      <w:r w:rsidR="006331DA">
        <w:rPr>
          <w:rStyle w:val="Strong"/>
          <w:b w:val="0"/>
        </w:rPr>
        <w:t xml:space="preserve">]. </w:t>
      </w:r>
      <w:r w:rsidR="00A64C72" w:rsidRPr="00A64C72">
        <w:t>Oral liquids offer unique advantages that make them indispensable for patient populations with special needs. By addressing challenges like swallowing difficulties, dosing precision, and taste, these formulations ensure better compliance and improved therapeutic outcomes</w:t>
      </w:r>
      <w:r w:rsidR="008E39B3">
        <w:t xml:space="preserve"> [</w:t>
      </w:r>
      <w:r w:rsidR="00F7675D">
        <w:t>4</w:t>
      </w:r>
      <w:r w:rsidR="00F84B0F">
        <w:t>4</w:t>
      </w:r>
      <w:r w:rsidR="008E39B3">
        <w:t>]</w:t>
      </w:r>
      <w:r w:rsidR="00A64C72" w:rsidRPr="00A64C72">
        <w:t>.  One of the most significant benefits of oral liquids is their accessibility for those who struggle with oral solid dosage forms. For geriatric patients suffering from dysphagia or paediatric patients with undeveloped swallowing reflexes, liquids provide a safer and more manageable solution</w:t>
      </w:r>
      <w:r w:rsidR="00372E1F">
        <w:t xml:space="preserve"> [</w:t>
      </w:r>
      <w:r w:rsidR="00F7675D">
        <w:t>4</w:t>
      </w:r>
      <w:r w:rsidR="00F84B0F">
        <w:t>5</w:t>
      </w:r>
      <w:r w:rsidR="00372E1F">
        <w:t>]</w:t>
      </w:r>
      <w:r w:rsidR="00A64C72" w:rsidRPr="00A64C72">
        <w:t>. These formulations also allow for flexible dosing, enabling precise adjustments to accommodate varying weights or clinical needs</w:t>
      </w:r>
      <w:r w:rsidR="00372E1F">
        <w:t xml:space="preserve"> [</w:t>
      </w:r>
      <w:r w:rsidR="00F84B0F">
        <w:t>46</w:t>
      </w:r>
      <w:r w:rsidR="00372E1F">
        <w:t>]</w:t>
      </w:r>
      <w:r w:rsidR="00A64C72" w:rsidRPr="00A64C72">
        <w:t>.  Beyond their accessibility, oral liquids often exhibit improved bioavailability compared to tablets or capsules</w:t>
      </w:r>
      <w:r w:rsidR="00CA5382">
        <w:t xml:space="preserve"> [</w:t>
      </w:r>
      <w:r w:rsidR="00F84B0F">
        <w:t>47</w:t>
      </w:r>
      <w:r w:rsidR="00CA5382">
        <w:t>]</w:t>
      </w:r>
      <w:r w:rsidR="00A64C72" w:rsidRPr="00A64C72">
        <w:t>. Because the drug is already in solution, it bypasses the dissolution phase, ensuring faster absorption and a more rapid onset of action</w:t>
      </w:r>
      <w:r w:rsidR="00372E1F">
        <w:t xml:space="preserve"> [</w:t>
      </w:r>
      <w:r w:rsidR="00882EDF">
        <w:t>4</w:t>
      </w:r>
      <w:r w:rsidR="00F84B0F">
        <w:t>8</w:t>
      </w:r>
      <w:r w:rsidR="00372E1F">
        <w:t>]</w:t>
      </w:r>
      <w:r w:rsidR="00A64C72" w:rsidRPr="00A64C72">
        <w:t>. Additionally, formulations like syrups, suspensions, and emulsions can be designed with sweeteners or flavo</w:t>
      </w:r>
      <w:r w:rsidR="007D22AA">
        <w:t>u</w:t>
      </w:r>
      <w:r w:rsidR="00A64C72" w:rsidRPr="00A64C72">
        <w:t>ring agents to mask unpleasant tastes, further enhancing patient compliance</w:t>
      </w:r>
      <w:r w:rsidR="00372E1F">
        <w:t xml:space="preserve"> [</w:t>
      </w:r>
      <w:r w:rsidR="00F84B0F">
        <w:t>49, 50</w:t>
      </w:r>
      <w:r w:rsidR="00372E1F">
        <w:t>]</w:t>
      </w:r>
      <w:r w:rsidR="00A64C72" w:rsidRPr="00A64C72">
        <w:t xml:space="preserve">.  </w:t>
      </w:r>
    </w:p>
    <w:p w14:paraId="09ECB29A" w14:textId="77777777" w:rsidR="00DE3EDD" w:rsidRPr="00DE3EDD" w:rsidRDefault="00DE3EDD" w:rsidP="00A64C72">
      <w:pPr>
        <w:jc w:val="both"/>
        <w:rPr>
          <w:b/>
        </w:rPr>
      </w:pPr>
      <w:r w:rsidRPr="00DE3EDD">
        <w:rPr>
          <w:b/>
        </w:rPr>
        <w:t>Conclusion</w:t>
      </w:r>
    </w:p>
    <w:p w14:paraId="588C79E3" w14:textId="77777777" w:rsidR="00DE3EDD" w:rsidRDefault="00655A4A" w:rsidP="00A64C72">
      <w:pPr>
        <w:jc w:val="both"/>
      </w:pPr>
      <w:r>
        <w:t>SODF</w:t>
      </w:r>
      <w:r w:rsidR="00882EDF">
        <w:t xml:space="preserve"> being </w:t>
      </w:r>
      <w:r>
        <w:t xml:space="preserve">one of the most commonly used means of drug administration has many challenges while administering it. </w:t>
      </w:r>
      <w:r w:rsidR="00DE3EDD">
        <w:t xml:space="preserve">Looking at the challenges with various </w:t>
      </w:r>
      <w:r w:rsidR="006019AB">
        <w:t>SODF</w:t>
      </w:r>
      <w:r w:rsidR="00DE3EDD">
        <w:t>, it can be concluded that substituting them with oral liquids can be a better approach to achieve better therapeutic response in various populations.</w:t>
      </w:r>
    </w:p>
    <w:p w14:paraId="0DAB6DB4" w14:textId="77777777" w:rsidR="005F542C" w:rsidRDefault="005F542C" w:rsidP="00A64C72">
      <w:pPr>
        <w:jc w:val="both"/>
      </w:pPr>
      <w:bookmarkStart w:id="0" w:name="_GoBack"/>
      <w:bookmarkEnd w:id="0"/>
    </w:p>
    <w:p w14:paraId="39D1E46D" w14:textId="77777777" w:rsidR="005F542C" w:rsidRDefault="005F542C" w:rsidP="005F542C">
      <w:pPr>
        <w:jc w:val="both"/>
      </w:pPr>
      <w:r>
        <w:t>COMPETING INTERESTS DISCLAIMER:</w:t>
      </w:r>
    </w:p>
    <w:p w14:paraId="7B171CF9" w14:textId="4434F49A" w:rsidR="005F542C" w:rsidRPr="00961FF2" w:rsidRDefault="005F542C" w:rsidP="005F542C">
      <w:pPr>
        <w:jc w:val="both"/>
      </w:pPr>
      <w:r>
        <w:t>Authors have declared that they have no known competing financial interests OR non-financial interests OR personal relationships that could have appeared to influence the work reported in this paper.</w:t>
      </w:r>
    </w:p>
    <w:p w14:paraId="4A3B399F" w14:textId="77777777" w:rsidR="00644BF5" w:rsidRDefault="00644BF5" w:rsidP="00FF3318">
      <w:pPr>
        <w:rPr>
          <w:b/>
        </w:rPr>
      </w:pPr>
    </w:p>
    <w:p w14:paraId="5D1E6CA4" w14:textId="1254C43A" w:rsidR="00632B21" w:rsidRPr="008D56DE" w:rsidRDefault="00632B21" w:rsidP="00FF3318">
      <w:pPr>
        <w:rPr>
          <w:b/>
        </w:rPr>
      </w:pPr>
      <w:r w:rsidRPr="008D56DE">
        <w:rPr>
          <w:b/>
        </w:rPr>
        <w:t>References:</w:t>
      </w:r>
    </w:p>
    <w:p w14:paraId="733AAE49" w14:textId="77777777" w:rsidR="00234FA4" w:rsidRPr="00234FA4" w:rsidRDefault="00234FA4" w:rsidP="00234FA4">
      <w:pPr>
        <w:pStyle w:val="ListParagraph"/>
        <w:numPr>
          <w:ilvl w:val="0"/>
          <w:numId w:val="1"/>
        </w:numPr>
        <w:jc w:val="both"/>
      </w:pPr>
      <w:r w:rsidRPr="00234FA4">
        <w:t xml:space="preserve">NHS (2024). Why do the elderly have trouble swallowing? (Referenced via Helping Hands Home Care, 2022). Available at: </w:t>
      </w:r>
      <w:hyperlink r:id="rId9" w:history="1">
        <w:r w:rsidRPr="00234FA4">
          <w:rPr>
            <w:rStyle w:val="Hyperlink"/>
          </w:rPr>
          <w:t>https://www.helpinghandshomecare.co.uk/care-advice/why-do-the-elderly-have-trouble-swallowing/</w:t>
        </w:r>
      </w:hyperlink>
      <w:r w:rsidRPr="00234FA4">
        <w:t>.</w:t>
      </w:r>
    </w:p>
    <w:p w14:paraId="2D3D1723" w14:textId="77777777" w:rsidR="00234FA4" w:rsidRPr="00234FA4" w:rsidRDefault="00234FA4" w:rsidP="00234FA4">
      <w:pPr>
        <w:pStyle w:val="ListParagraph"/>
        <w:numPr>
          <w:ilvl w:val="0"/>
          <w:numId w:val="1"/>
        </w:numPr>
        <w:jc w:val="both"/>
      </w:pPr>
      <w:r w:rsidRPr="00234FA4">
        <w:t xml:space="preserve">ENT Health (2024). Aging and Swallowing. Available at: </w:t>
      </w:r>
      <w:hyperlink r:id="rId10" w:history="1">
        <w:r w:rsidRPr="00234FA4">
          <w:rPr>
            <w:rStyle w:val="Hyperlink"/>
          </w:rPr>
          <w:t>https://www.enthealth.org/conditions/aging-and-swallowing/</w:t>
        </w:r>
      </w:hyperlink>
      <w:r w:rsidRPr="00234FA4">
        <w:t>.</w:t>
      </w:r>
    </w:p>
    <w:p w14:paraId="1BAD73DB" w14:textId="77777777" w:rsidR="00234FA4" w:rsidRPr="00234FA4" w:rsidRDefault="00234FA4" w:rsidP="00234FA4">
      <w:pPr>
        <w:pStyle w:val="ListParagraph"/>
        <w:numPr>
          <w:ilvl w:val="0"/>
          <w:numId w:val="1"/>
        </w:numPr>
        <w:jc w:val="both"/>
      </w:pPr>
      <w:r w:rsidRPr="00234FA4">
        <w:t xml:space="preserve">Health.vic.gov.au (2024). Swallowing. Available at: </w:t>
      </w:r>
      <w:hyperlink r:id="rId11" w:history="1">
        <w:r w:rsidRPr="00234FA4">
          <w:rPr>
            <w:rStyle w:val="Hyperlink"/>
          </w:rPr>
          <w:t>https://www.health.vic.gov.au/older-people-in-hospital/nutrition-and-swallowing-in-older-people/swallowing</w:t>
        </w:r>
      </w:hyperlink>
      <w:r w:rsidRPr="00234FA4">
        <w:t>.</w:t>
      </w:r>
    </w:p>
    <w:p w14:paraId="68425FBD" w14:textId="77777777" w:rsidR="00234FA4" w:rsidRDefault="00234FA4" w:rsidP="00234FA4">
      <w:pPr>
        <w:pStyle w:val="ListParagraph"/>
        <w:numPr>
          <w:ilvl w:val="0"/>
          <w:numId w:val="1"/>
        </w:numPr>
        <w:jc w:val="both"/>
        <w:rPr>
          <w:rFonts w:cstheme="minorHAnsi"/>
        </w:rPr>
      </w:pPr>
      <w:r>
        <w:rPr>
          <w:rFonts w:cstheme="minorHAnsi"/>
        </w:rPr>
        <w:t>van der M</w:t>
      </w:r>
      <w:r w:rsidRPr="00234FA4">
        <w:rPr>
          <w:rFonts w:cstheme="minorHAnsi"/>
        </w:rPr>
        <w:t xml:space="preserve">J, </w:t>
      </w:r>
      <w:proofErr w:type="spellStart"/>
      <w:r w:rsidRPr="00234FA4">
        <w:rPr>
          <w:rFonts w:cstheme="minorHAnsi"/>
        </w:rPr>
        <w:t>Steenekamp</w:t>
      </w:r>
      <w:proofErr w:type="spellEnd"/>
      <w:r w:rsidRPr="00234FA4">
        <w:rPr>
          <w:rFonts w:cstheme="minorHAnsi"/>
        </w:rPr>
        <w:t xml:space="preserve"> J, Steyn D, </w:t>
      </w:r>
      <w:r>
        <w:rPr>
          <w:rFonts w:cstheme="minorHAnsi"/>
        </w:rPr>
        <w:t>et al</w:t>
      </w:r>
      <w:r w:rsidRPr="00234FA4">
        <w:rPr>
          <w:rFonts w:cstheme="minorHAnsi"/>
        </w:rPr>
        <w:t>. The Role of Functional Excipients in Solid Oral Dosage Forms to Overcome Poor Drug Dissolution an</w:t>
      </w:r>
      <w:r>
        <w:rPr>
          <w:rFonts w:cstheme="minorHAnsi"/>
        </w:rPr>
        <w:t>d Bioavailability. Pharm</w:t>
      </w:r>
      <w:r w:rsidRPr="00234FA4">
        <w:rPr>
          <w:rFonts w:cstheme="minorHAnsi"/>
        </w:rPr>
        <w:t>. 2020;</w:t>
      </w:r>
      <w:r>
        <w:rPr>
          <w:rFonts w:cstheme="minorHAnsi"/>
        </w:rPr>
        <w:t xml:space="preserve"> </w:t>
      </w:r>
      <w:r w:rsidRPr="00234FA4">
        <w:rPr>
          <w:rFonts w:cstheme="minorHAnsi"/>
        </w:rPr>
        <w:t>12(5):</w:t>
      </w:r>
      <w:r>
        <w:rPr>
          <w:rFonts w:cstheme="minorHAnsi"/>
        </w:rPr>
        <w:t xml:space="preserve"> </w:t>
      </w:r>
      <w:r w:rsidRPr="00234FA4">
        <w:rPr>
          <w:rFonts w:cstheme="minorHAnsi"/>
        </w:rPr>
        <w:t xml:space="preserve">393. </w:t>
      </w:r>
    </w:p>
    <w:p w14:paraId="555FC4ED" w14:textId="77777777" w:rsidR="00234FA4" w:rsidRPr="00234FA4" w:rsidRDefault="00234FA4" w:rsidP="00234FA4">
      <w:pPr>
        <w:pStyle w:val="ListParagraph"/>
        <w:numPr>
          <w:ilvl w:val="0"/>
          <w:numId w:val="1"/>
        </w:numPr>
        <w:jc w:val="both"/>
        <w:rPr>
          <w:rFonts w:cstheme="minorHAnsi"/>
        </w:rPr>
      </w:pPr>
      <w:proofErr w:type="spellStart"/>
      <w:r w:rsidRPr="00234FA4">
        <w:t>Bhalani</w:t>
      </w:r>
      <w:proofErr w:type="spellEnd"/>
      <w:r w:rsidRPr="00234FA4">
        <w:t xml:space="preserve"> DV, </w:t>
      </w:r>
      <w:proofErr w:type="spellStart"/>
      <w:r w:rsidRPr="00234FA4">
        <w:t>Nutan</w:t>
      </w:r>
      <w:proofErr w:type="spellEnd"/>
      <w:r w:rsidRPr="00234FA4">
        <w:t xml:space="preserve"> B, Kumar A, et al. Bioavailability Enhancement Techniques for Poorly Aqueous Soluble Drugs and Therapeutics. Biomed. 2022; 10(9): 2055. </w:t>
      </w:r>
    </w:p>
    <w:p w14:paraId="5612AE2F" w14:textId="77777777" w:rsidR="00234FA4" w:rsidRPr="00234FA4" w:rsidRDefault="00234FA4" w:rsidP="00234FA4">
      <w:pPr>
        <w:pStyle w:val="ListParagraph"/>
        <w:numPr>
          <w:ilvl w:val="0"/>
          <w:numId w:val="1"/>
        </w:numPr>
        <w:jc w:val="both"/>
      </w:pPr>
      <w:r w:rsidRPr="00234FA4">
        <w:lastRenderedPageBreak/>
        <w:t>Di L, Kerns E. Drug-Like Properties: Concepts, Structure Design and Methods from ADME to Toxicity Optimization. Academic Press; Cambridge, MA, USA: 2015.</w:t>
      </w:r>
    </w:p>
    <w:p w14:paraId="25B1251B" w14:textId="77777777" w:rsidR="00234FA4" w:rsidRPr="00234FA4" w:rsidRDefault="00234FA4" w:rsidP="00234FA4">
      <w:pPr>
        <w:pStyle w:val="ListParagraph"/>
        <w:numPr>
          <w:ilvl w:val="0"/>
          <w:numId w:val="1"/>
        </w:numPr>
        <w:jc w:val="both"/>
      </w:pPr>
      <w:r w:rsidRPr="00234FA4">
        <w:t xml:space="preserve">Rosemont Pharmaceuticals (2017). Swallowing Difficulties. Available at: </w:t>
      </w:r>
      <w:hyperlink r:id="rId12" w:history="1">
        <w:r w:rsidRPr="00234FA4">
          <w:rPr>
            <w:rStyle w:val="Hyperlink"/>
          </w:rPr>
          <w:t>https://www.rosemontpharma.com/swallowing-difficulties/</w:t>
        </w:r>
      </w:hyperlink>
      <w:r w:rsidRPr="00234FA4">
        <w:t>.</w:t>
      </w:r>
    </w:p>
    <w:p w14:paraId="17E94318" w14:textId="77777777" w:rsidR="00234FA4" w:rsidRPr="00234FA4" w:rsidRDefault="00234FA4" w:rsidP="00234FA4">
      <w:pPr>
        <w:pStyle w:val="ListParagraph"/>
        <w:numPr>
          <w:ilvl w:val="0"/>
          <w:numId w:val="1"/>
        </w:numPr>
        <w:jc w:val="both"/>
      </w:pPr>
      <w:r w:rsidRPr="00234FA4">
        <w:t xml:space="preserve">HealthInAging.org (2024). Medications Work Differently in Older Adults. Available at: </w:t>
      </w:r>
      <w:hyperlink r:id="rId13" w:history="1">
        <w:r w:rsidRPr="00234FA4">
          <w:rPr>
            <w:rStyle w:val="Hyperlink"/>
          </w:rPr>
          <w:t>https://www.healthinaging.org/medications-older-adults/medications-work-differently-older-adults</w:t>
        </w:r>
      </w:hyperlink>
      <w:r w:rsidRPr="00234FA4">
        <w:t>.</w:t>
      </w:r>
    </w:p>
    <w:p w14:paraId="6ABFB1BA" w14:textId="77777777" w:rsidR="00234FA4" w:rsidRPr="00234FA4" w:rsidRDefault="00234FA4" w:rsidP="00234FA4">
      <w:pPr>
        <w:pStyle w:val="ListParagraph"/>
        <w:numPr>
          <w:ilvl w:val="0"/>
          <w:numId w:val="1"/>
        </w:numPr>
        <w:jc w:val="both"/>
      </w:pPr>
      <w:r w:rsidRPr="00234FA4">
        <w:t>Gilmore T, Mirin M, et al. Traumatic uvulitis from a suction catheter. J Emerg Med. 2012; 43(6): e479-80.</w:t>
      </w:r>
    </w:p>
    <w:p w14:paraId="57122DBF" w14:textId="77777777" w:rsidR="00234FA4" w:rsidRPr="00234FA4" w:rsidRDefault="00234FA4" w:rsidP="00234FA4">
      <w:pPr>
        <w:pStyle w:val="ListParagraph"/>
        <w:numPr>
          <w:ilvl w:val="0"/>
          <w:numId w:val="1"/>
        </w:numPr>
        <w:jc w:val="both"/>
      </w:pPr>
      <w:proofErr w:type="spellStart"/>
      <w:r w:rsidRPr="00234FA4">
        <w:rPr>
          <w:rFonts w:cstheme="minorHAnsi"/>
          <w:color w:val="1B1B1B"/>
          <w:shd w:val="clear" w:color="auto" w:fill="FFFFFF"/>
        </w:rPr>
        <w:t>Kibira</w:t>
      </w:r>
      <w:proofErr w:type="spellEnd"/>
      <w:r w:rsidRPr="00234FA4">
        <w:rPr>
          <w:rFonts w:cstheme="minorHAnsi"/>
          <w:color w:val="1B1B1B"/>
          <w:shd w:val="clear" w:color="auto" w:fill="FFFFFF"/>
        </w:rPr>
        <w:t xml:space="preserve"> SPS, </w:t>
      </w:r>
      <w:proofErr w:type="spellStart"/>
      <w:r w:rsidRPr="00234FA4">
        <w:rPr>
          <w:rFonts w:cstheme="minorHAnsi"/>
          <w:color w:val="1B1B1B"/>
          <w:shd w:val="clear" w:color="auto" w:fill="FFFFFF"/>
        </w:rPr>
        <w:t>Namutundu</w:t>
      </w:r>
      <w:proofErr w:type="spellEnd"/>
      <w:r w:rsidRPr="00234FA4">
        <w:rPr>
          <w:rFonts w:cstheme="minorHAnsi"/>
          <w:color w:val="1B1B1B"/>
          <w:shd w:val="clear" w:color="auto" w:fill="FFFFFF"/>
        </w:rPr>
        <w:t xml:space="preserve"> J, Kiwanuka J, et al. Uvula infections and traditional uvulectomy: Beliefs and practices in Luwero district, central Uganda. PLOS Glob Public Health. 2023; 3(6): e0002078.</w:t>
      </w:r>
    </w:p>
    <w:p w14:paraId="6F71D7EB" w14:textId="77777777" w:rsidR="00234FA4" w:rsidRPr="00234FA4" w:rsidRDefault="00234FA4" w:rsidP="00234FA4">
      <w:pPr>
        <w:pStyle w:val="ListParagraph"/>
        <w:numPr>
          <w:ilvl w:val="0"/>
          <w:numId w:val="1"/>
        </w:numPr>
        <w:jc w:val="both"/>
        <w:rPr>
          <w:rFonts w:cstheme="minorHAnsi"/>
        </w:rPr>
      </w:pPr>
      <w:r w:rsidRPr="00234FA4">
        <w:rPr>
          <w:rFonts w:cstheme="minorHAnsi"/>
        </w:rPr>
        <w:t xml:space="preserve">Azer SA, Kanugula AK, Kshirsagar RK. Dysphagia. [Updated 2023 Nov 18]. In: </w:t>
      </w:r>
      <w:proofErr w:type="spellStart"/>
      <w:r w:rsidRPr="00234FA4">
        <w:rPr>
          <w:rFonts w:cstheme="minorHAnsi"/>
        </w:rPr>
        <w:t>StatPearls</w:t>
      </w:r>
      <w:proofErr w:type="spellEnd"/>
      <w:r w:rsidRPr="00234FA4">
        <w:rPr>
          <w:rFonts w:cstheme="minorHAnsi"/>
        </w:rPr>
        <w:t xml:space="preserve"> [Internet]. Treasure Island (FL): </w:t>
      </w:r>
      <w:proofErr w:type="spellStart"/>
      <w:r w:rsidRPr="00234FA4">
        <w:rPr>
          <w:rFonts w:cstheme="minorHAnsi"/>
        </w:rPr>
        <w:t>StatPearls</w:t>
      </w:r>
      <w:proofErr w:type="spellEnd"/>
      <w:r w:rsidRPr="00234FA4">
        <w:rPr>
          <w:rFonts w:cstheme="minorHAnsi"/>
        </w:rPr>
        <w:t xml:space="preserve"> Publishing; 2025 Jan-. Available from: </w:t>
      </w:r>
      <w:hyperlink r:id="rId14" w:history="1">
        <w:r w:rsidRPr="00234FA4">
          <w:rPr>
            <w:rStyle w:val="Hyperlink"/>
            <w:rFonts w:cstheme="minorHAnsi"/>
          </w:rPr>
          <w:t>https://www.ncbi.nlm.nih.gov/books/NBK559174/</w:t>
        </w:r>
      </w:hyperlink>
      <w:r w:rsidRPr="00234FA4">
        <w:rPr>
          <w:rFonts w:cstheme="minorHAnsi"/>
        </w:rPr>
        <w:t xml:space="preserve">. </w:t>
      </w:r>
    </w:p>
    <w:p w14:paraId="7D7542E9" w14:textId="77777777" w:rsidR="00234FA4" w:rsidRPr="00234FA4" w:rsidRDefault="00234FA4" w:rsidP="00234FA4">
      <w:pPr>
        <w:pStyle w:val="ListParagraph"/>
        <w:numPr>
          <w:ilvl w:val="0"/>
          <w:numId w:val="1"/>
        </w:numPr>
        <w:jc w:val="both"/>
        <w:rPr>
          <w:rFonts w:cstheme="minorHAnsi"/>
        </w:rPr>
      </w:pPr>
      <w:r w:rsidRPr="00234FA4">
        <w:rPr>
          <w:rFonts w:cstheme="minorHAnsi"/>
        </w:rPr>
        <w:t xml:space="preserve">Robert PS, Alan VG, Jonas S. An anatomical cause of dysphagia. Access at: </w:t>
      </w:r>
      <w:hyperlink r:id="rId15" w:history="1">
        <w:r w:rsidRPr="00234FA4">
          <w:rPr>
            <w:rStyle w:val="Hyperlink"/>
            <w:rFonts w:cstheme="minorHAnsi"/>
          </w:rPr>
          <w:t>https://www.aafp.org/pubs/afp/issues/2020/0215/p241.pdf</w:t>
        </w:r>
      </w:hyperlink>
      <w:r w:rsidRPr="00234FA4">
        <w:rPr>
          <w:rFonts w:cstheme="minorHAnsi"/>
        </w:rPr>
        <w:t>. Last access on: 20</w:t>
      </w:r>
      <w:r w:rsidRPr="00234FA4">
        <w:rPr>
          <w:rFonts w:cstheme="minorHAnsi"/>
          <w:vertAlign w:val="superscript"/>
        </w:rPr>
        <w:t>th</w:t>
      </w:r>
      <w:r w:rsidRPr="00234FA4">
        <w:rPr>
          <w:rFonts w:cstheme="minorHAnsi"/>
        </w:rPr>
        <w:t xml:space="preserve"> November, 2025.</w:t>
      </w:r>
    </w:p>
    <w:p w14:paraId="1694DE42" w14:textId="77777777" w:rsidR="00234FA4" w:rsidRPr="00234FA4" w:rsidRDefault="00234FA4" w:rsidP="00234FA4">
      <w:pPr>
        <w:pStyle w:val="ListParagraph"/>
        <w:numPr>
          <w:ilvl w:val="0"/>
          <w:numId w:val="1"/>
        </w:numPr>
        <w:jc w:val="both"/>
        <w:rPr>
          <w:rFonts w:cstheme="minorHAnsi"/>
        </w:rPr>
      </w:pPr>
      <w:r w:rsidRPr="00234FA4">
        <w:rPr>
          <w:rFonts w:cstheme="minorHAnsi"/>
        </w:rPr>
        <w:t>Safwan J. Muscle disorders affecting oral and pharyngeal swallowing. GI Motility online. 2006. Doi: 10.1038/gimo35.</w:t>
      </w:r>
    </w:p>
    <w:p w14:paraId="681F35F5" w14:textId="77777777" w:rsidR="00961FF2" w:rsidRDefault="00234FA4" w:rsidP="00961FF2">
      <w:pPr>
        <w:pStyle w:val="ListParagraph"/>
        <w:numPr>
          <w:ilvl w:val="0"/>
          <w:numId w:val="1"/>
        </w:numPr>
        <w:jc w:val="both"/>
        <w:rPr>
          <w:rFonts w:cstheme="minorHAnsi"/>
        </w:rPr>
      </w:pPr>
      <w:r w:rsidRPr="00234FA4">
        <w:rPr>
          <w:rFonts w:cstheme="minorHAnsi"/>
        </w:rPr>
        <w:t>Timothy MM, Debra J. Head and neck disorders affecting swallowing. GI Motility Online. 2006. Doi: 10.1038/gomo36.</w:t>
      </w:r>
    </w:p>
    <w:p w14:paraId="1065E9C0" w14:textId="77777777" w:rsidR="00234FA4" w:rsidRPr="00961FF2" w:rsidRDefault="00234FA4" w:rsidP="00961FF2">
      <w:pPr>
        <w:pStyle w:val="ListParagraph"/>
        <w:numPr>
          <w:ilvl w:val="0"/>
          <w:numId w:val="1"/>
        </w:numPr>
        <w:jc w:val="both"/>
        <w:rPr>
          <w:rFonts w:cstheme="minorHAnsi"/>
        </w:rPr>
      </w:pPr>
      <w:r w:rsidRPr="00961FF2">
        <w:rPr>
          <w:rFonts w:cstheme="minorHAnsi"/>
        </w:rPr>
        <w:t xml:space="preserve">Marisa AR, Anna E. Inflammatory causes of dysphagia in children. </w:t>
      </w:r>
      <w:proofErr w:type="spellStart"/>
      <w:r w:rsidRPr="00961FF2">
        <w:rPr>
          <w:rFonts w:cstheme="minorHAnsi"/>
        </w:rPr>
        <w:t>Otolaryngol</w:t>
      </w:r>
      <w:proofErr w:type="spellEnd"/>
      <w:r w:rsidRPr="00961FF2">
        <w:rPr>
          <w:rFonts w:cstheme="minorHAnsi"/>
        </w:rPr>
        <w:t xml:space="preserve"> Clin N Am. 2024; 57(4): P669-84.</w:t>
      </w:r>
    </w:p>
    <w:p w14:paraId="30C513E3" w14:textId="77777777" w:rsidR="00234FA4" w:rsidRPr="0064596A" w:rsidRDefault="00234FA4" w:rsidP="00234FA4">
      <w:pPr>
        <w:pStyle w:val="ListParagraph"/>
        <w:numPr>
          <w:ilvl w:val="0"/>
          <w:numId w:val="1"/>
        </w:numPr>
        <w:jc w:val="both"/>
        <w:rPr>
          <w:rFonts w:cstheme="minorHAnsi"/>
          <w:color w:val="1B1B1B"/>
          <w:shd w:val="clear" w:color="auto" w:fill="FFFFFF"/>
        </w:rPr>
      </w:pPr>
      <w:r w:rsidRPr="0064596A">
        <w:rPr>
          <w:rFonts w:cstheme="minorHAnsi"/>
          <w:color w:val="1B1B1B"/>
          <w:shd w:val="clear" w:color="auto" w:fill="FFFFFF"/>
        </w:rPr>
        <w:t xml:space="preserve">Blaszczyk A, Brandt N, Ashley J, </w:t>
      </w:r>
      <w:r w:rsidR="00697FB3">
        <w:rPr>
          <w:rFonts w:cstheme="minorHAnsi"/>
          <w:color w:val="1B1B1B"/>
          <w:shd w:val="clear" w:color="auto" w:fill="FFFFFF"/>
        </w:rPr>
        <w:t>et al</w:t>
      </w:r>
      <w:r w:rsidRPr="0064596A">
        <w:rPr>
          <w:rFonts w:cstheme="minorHAnsi"/>
          <w:color w:val="1B1B1B"/>
          <w:shd w:val="clear" w:color="auto" w:fill="FFFFFF"/>
        </w:rPr>
        <w:t>. Crushed Tablet Administration for Patients with Dysphagia and Enteral Feeding: Challenges and Considerations. Drugs Aging. 2023;</w:t>
      </w:r>
      <w:r w:rsidR="00697FB3">
        <w:rPr>
          <w:rFonts w:cstheme="minorHAnsi"/>
          <w:color w:val="1B1B1B"/>
          <w:shd w:val="clear" w:color="auto" w:fill="FFFFFF"/>
        </w:rPr>
        <w:t xml:space="preserve"> </w:t>
      </w:r>
      <w:r w:rsidRPr="0064596A">
        <w:rPr>
          <w:rFonts w:cstheme="minorHAnsi"/>
          <w:color w:val="1B1B1B"/>
          <w:shd w:val="clear" w:color="auto" w:fill="FFFFFF"/>
        </w:rPr>
        <w:t>40(10):</w:t>
      </w:r>
      <w:r w:rsidR="00697FB3">
        <w:rPr>
          <w:rFonts w:cstheme="minorHAnsi"/>
          <w:color w:val="1B1B1B"/>
          <w:shd w:val="clear" w:color="auto" w:fill="FFFFFF"/>
        </w:rPr>
        <w:t xml:space="preserve"> </w:t>
      </w:r>
      <w:r w:rsidRPr="0064596A">
        <w:rPr>
          <w:rFonts w:cstheme="minorHAnsi"/>
          <w:color w:val="1B1B1B"/>
          <w:shd w:val="clear" w:color="auto" w:fill="FFFFFF"/>
        </w:rPr>
        <w:t>895-907.</w:t>
      </w:r>
    </w:p>
    <w:p w14:paraId="1398BA98" w14:textId="77777777" w:rsidR="00234FA4" w:rsidRPr="0064596A" w:rsidRDefault="00234FA4" w:rsidP="00234FA4">
      <w:pPr>
        <w:pStyle w:val="ListParagraph"/>
        <w:numPr>
          <w:ilvl w:val="0"/>
          <w:numId w:val="1"/>
        </w:numPr>
        <w:jc w:val="both"/>
        <w:rPr>
          <w:rFonts w:cstheme="minorHAnsi"/>
          <w:color w:val="1B1B1B"/>
          <w:shd w:val="clear" w:color="auto" w:fill="FFFFFF"/>
        </w:rPr>
      </w:pPr>
      <w:proofErr w:type="spellStart"/>
      <w:r w:rsidRPr="0064596A">
        <w:rPr>
          <w:rFonts w:cstheme="minorHAnsi"/>
          <w:color w:val="212121"/>
          <w:shd w:val="clear" w:color="auto" w:fill="FFFFFF"/>
        </w:rPr>
        <w:t>Castejón</w:t>
      </w:r>
      <w:proofErr w:type="spellEnd"/>
      <w:r w:rsidRPr="0064596A">
        <w:rPr>
          <w:rFonts w:cstheme="minorHAnsi"/>
          <w:color w:val="212121"/>
          <w:shd w:val="clear" w:color="auto" w:fill="FFFFFF"/>
        </w:rPr>
        <w:t xml:space="preserve">-Hernández S, </w:t>
      </w:r>
      <w:proofErr w:type="spellStart"/>
      <w:r w:rsidRPr="0064596A">
        <w:rPr>
          <w:rFonts w:cstheme="minorHAnsi"/>
          <w:color w:val="212121"/>
          <w:shd w:val="clear" w:color="auto" w:fill="FFFFFF"/>
        </w:rPr>
        <w:t>Latorre-Vallbona</w:t>
      </w:r>
      <w:proofErr w:type="spellEnd"/>
      <w:r w:rsidRPr="0064596A">
        <w:rPr>
          <w:rFonts w:cstheme="minorHAnsi"/>
          <w:color w:val="212121"/>
          <w:shd w:val="clear" w:color="auto" w:fill="FFFFFF"/>
        </w:rPr>
        <w:t xml:space="preserve"> N, </w:t>
      </w:r>
      <w:proofErr w:type="spellStart"/>
      <w:r w:rsidRPr="0064596A">
        <w:rPr>
          <w:rFonts w:cstheme="minorHAnsi"/>
          <w:color w:val="212121"/>
          <w:shd w:val="clear" w:color="auto" w:fill="FFFFFF"/>
        </w:rPr>
        <w:t>Molist</w:t>
      </w:r>
      <w:proofErr w:type="spellEnd"/>
      <w:r w:rsidRPr="0064596A">
        <w:rPr>
          <w:rFonts w:cstheme="minorHAnsi"/>
          <w:color w:val="212121"/>
          <w:shd w:val="clear" w:color="auto" w:fill="FFFFFF"/>
        </w:rPr>
        <w:t xml:space="preserve">-Brunet N, </w:t>
      </w:r>
      <w:r w:rsidR="00697FB3">
        <w:rPr>
          <w:rFonts w:cstheme="minorHAnsi"/>
          <w:color w:val="212121"/>
          <w:shd w:val="clear" w:color="auto" w:fill="FFFFFF"/>
        </w:rPr>
        <w:t>et al</w:t>
      </w:r>
      <w:r w:rsidRPr="0064596A">
        <w:rPr>
          <w:rFonts w:cstheme="minorHAnsi"/>
          <w:color w:val="212121"/>
          <w:shd w:val="clear" w:color="auto" w:fill="FFFFFF"/>
        </w:rPr>
        <w:t>. Association between anticholinergic burden and oropharyngeal dysphagia among hospitalized older adul</w:t>
      </w:r>
      <w:r w:rsidR="00697FB3">
        <w:rPr>
          <w:rFonts w:cstheme="minorHAnsi"/>
          <w:color w:val="212121"/>
          <w:shd w:val="clear" w:color="auto" w:fill="FFFFFF"/>
        </w:rPr>
        <w:t>ts. Aging Clin Exp Res. 2021</w:t>
      </w:r>
      <w:r w:rsidRPr="0064596A">
        <w:rPr>
          <w:rFonts w:cstheme="minorHAnsi"/>
          <w:color w:val="212121"/>
          <w:shd w:val="clear" w:color="auto" w:fill="FFFFFF"/>
        </w:rPr>
        <w:t>;</w:t>
      </w:r>
      <w:r w:rsidR="00697FB3">
        <w:rPr>
          <w:rFonts w:cstheme="minorHAnsi"/>
          <w:color w:val="212121"/>
          <w:shd w:val="clear" w:color="auto" w:fill="FFFFFF"/>
        </w:rPr>
        <w:t xml:space="preserve"> </w:t>
      </w:r>
      <w:r w:rsidRPr="0064596A">
        <w:rPr>
          <w:rFonts w:cstheme="minorHAnsi"/>
          <w:color w:val="212121"/>
          <w:shd w:val="clear" w:color="auto" w:fill="FFFFFF"/>
        </w:rPr>
        <w:t>33(7):</w:t>
      </w:r>
      <w:r w:rsidR="00697FB3">
        <w:rPr>
          <w:rFonts w:cstheme="minorHAnsi"/>
          <w:color w:val="212121"/>
          <w:shd w:val="clear" w:color="auto" w:fill="FFFFFF"/>
        </w:rPr>
        <w:t xml:space="preserve"> 1981-</w:t>
      </w:r>
      <w:r w:rsidRPr="0064596A">
        <w:rPr>
          <w:rFonts w:cstheme="minorHAnsi"/>
          <w:color w:val="212121"/>
          <w:shd w:val="clear" w:color="auto" w:fill="FFFFFF"/>
        </w:rPr>
        <w:t>5.</w:t>
      </w:r>
    </w:p>
    <w:p w14:paraId="653B0580" w14:textId="77777777" w:rsidR="00234FA4" w:rsidRPr="0064596A" w:rsidRDefault="00234FA4" w:rsidP="00234FA4">
      <w:pPr>
        <w:pStyle w:val="ListParagraph"/>
        <w:numPr>
          <w:ilvl w:val="0"/>
          <w:numId w:val="1"/>
        </w:numPr>
        <w:jc w:val="both"/>
        <w:rPr>
          <w:rFonts w:cstheme="minorHAnsi"/>
          <w:color w:val="1B1B1B"/>
          <w:shd w:val="clear" w:color="auto" w:fill="FFFFFF"/>
        </w:rPr>
      </w:pPr>
      <w:r w:rsidRPr="0064596A">
        <w:rPr>
          <w:rFonts w:cstheme="minorHAnsi"/>
          <w:color w:val="212121"/>
          <w:shd w:val="clear" w:color="auto" w:fill="FFFFFF"/>
        </w:rPr>
        <w:t xml:space="preserve">Sharma R, </w:t>
      </w:r>
      <w:proofErr w:type="spellStart"/>
      <w:r w:rsidRPr="0064596A">
        <w:rPr>
          <w:rFonts w:cstheme="minorHAnsi"/>
          <w:color w:val="212121"/>
          <w:shd w:val="clear" w:color="auto" w:fill="FFFFFF"/>
        </w:rPr>
        <w:t>DeCross</w:t>
      </w:r>
      <w:proofErr w:type="spellEnd"/>
      <w:r w:rsidRPr="0064596A">
        <w:rPr>
          <w:rFonts w:cstheme="minorHAnsi"/>
          <w:color w:val="212121"/>
          <w:shd w:val="clear" w:color="auto" w:fill="FFFFFF"/>
        </w:rPr>
        <w:t xml:space="preserve"> AJ. Zenker's diverticulitis secondary to alendronate ingestion: a rare cause of recurrent dysphagia. </w:t>
      </w:r>
      <w:proofErr w:type="spellStart"/>
      <w:r w:rsidRPr="0064596A">
        <w:rPr>
          <w:rFonts w:cstheme="minorHAnsi"/>
          <w:color w:val="212121"/>
          <w:shd w:val="clear" w:color="auto" w:fill="FFFFFF"/>
        </w:rPr>
        <w:t>Gastrointe</w:t>
      </w:r>
      <w:r w:rsidR="00697FB3">
        <w:rPr>
          <w:rFonts w:cstheme="minorHAnsi"/>
          <w:color w:val="212121"/>
          <w:shd w:val="clear" w:color="auto" w:fill="FFFFFF"/>
        </w:rPr>
        <w:t>st</w:t>
      </w:r>
      <w:proofErr w:type="spellEnd"/>
      <w:r w:rsidR="00697FB3">
        <w:rPr>
          <w:rFonts w:cstheme="minorHAnsi"/>
          <w:color w:val="212121"/>
          <w:shd w:val="clear" w:color="auto" w:fill="FFFFFF"/>
        </w:rPr>
        <w:t xml:space="preserve"> </w:t>
      </w:r>
      <w:proofErr w:type="spellStart"/>
      <w:r w:rsidR="00697FB3">
        <w:rPr>
          <w:rFonts w:cstheme="minorHAnsi"/>
          <w:color w:val="212121"/>
          <w:shd w:val="clear" w:color="auto" w:fill="FFFFFF"/>
        </w:rPr>
        <w:t>Endosc</w:t>
      </w:r>
      <w:proofErr w:type="spellEnd"/>
      <w:r w:rsidR="00697FB3">
        <w:rPr>
          <w:rFonts w:cstheme="minorHAnsi"/>
          <w:color w:val="212121"/>
          <w:shd w:val="clear" w:color="auto" w:fill="FFFFFF"/>
        </w:rPr>
        <w:t>. 2011</w:t>
      </w:r>
      <w:r w:rsidRPr="0064596A">
        <w:rPr>
          <w:rFonts w:cstheme="minorHAnsi"/>
          <w:color w:val="212121"/>
          <w:shd w:val="clear" w:color="auto" w:fill="FFFFFF"/>
        </w:rPr>
        <w:t>;</w:t>
      </w:r>
      <w:r w:rsidR="00697FB3">
        <w:rPr>
          <w:rFonts w:cstheme="minorHAnsi"/>
          <w:color w:val="212121"/>
          <w:shd w:val="clear" w:color="auto" w:fill="FFFFFF"/>
        </w:rPr>
        <w:t xml:space="preserve"> </w:t>
      </w:r>
      <w:r w:rsidRPr="0064596A">
        <w:rPr>
          <w:rFonts w:cstheme="minorHAnsi"/>
          <w:color w:val="212121"/>
          <w:shd w:val="clear" w:color="auto" w:fill="FFFFFF"/>
        </w:rPr>
        <w:t>73(2):</w:t>
      </w:r>
      <w:r w:rsidR="00697FB3">
        <w:rPr>
          <w:rFonts w:cstheme="minorHAnsi"/>
          <w:color w:val="212121"/>
          <w:shd w:val="clear" w:color="auto" w:fill="FFFFFF"/>
        </w:rPr>
        <w:t xml:space="preserve"> </w:t>
      </w:r>
      <w:r w:rsidRPr="0064596A">
        <w:rPr>
          <w:rFonts w:cstheme="minorHAnsi"/>
          <w:color w:val="212121"/>
          <w:shd w:val="clear" w:color="auto" w:fill="FFFFFF"/>
        </w:rPr>
        <w:t>368-70.</w:t>
      </w:r>
    </w:p>
    <w:p w14:paraId="244EE6C1" w14:textId="77777777" w:rsidR="00234FA4" w:rsidRPr="0064596A" w:rsidRDefault="00234FA4" w:rsidP="00234FA4">
      <w:pPr>
        <w:pStyle w:val="ListParagraph"/>
        <w:numPr>
          <w:ilvl w:val="0"/>
          <w:numId w:val="1"/>
        </w:numPr>
        <w:jc w:val="both"/>
        <w:rPr>
          <w:rStyle w:val="bkciteavail"/>
          <w:rFonts w:cstheme="minorHAnsi"/>
          <w:color w:val="1B1B1B"/>
          <w:shd w:val="clear" w:color="auto" w:fill="FFFFFF"/>
        </w:rPr>
      </w:pPr>
      <w:r w:rsidRPr="0064596A">
        <w:rPr>
          <w:rFonts w:cstheme="minorHAnsi"/>
          <w:color w:val="222222"/>
          <w:shd w:val="clear" w:color="auto" w:fill="FFFFFF"/>
        </w:rPr>
        <w:t xml:space="preserve">Bulsara KG, Patel P, Cassagnol M. Amlodipine. [Updated 2024 Apr 21]. In: </w:t>
      </w:r>
      <w:proofErr w:type="spellStart"/>
      <w:r w:rsidRPr="0064596A">
        <w:rPr>
          <w:rFonts w:cstheme="minorHAnsi"/>
          <w:color w:val="222222"/>
          <w:shd w:val="clear" w:color="auto" w:fill="FFFFFF"/>
        </w:rPr>
        <w:t>StatPearls</w:t>
      </w:r>
      <w:proofErr w:type="spellEnd"/>
      <w:r w:rsidRPr="0064596A">
        <w:rPr>
          <w:rFonts w:cstheme="minorHAnsi"/>
          <w:color w:val="222222"/>
          <w:shd w:val="clear" w:color="auto" w:fill="FFFFFF"/>
        </w:rPr>
        <w:t xml:space="preserve"> [Internet]. Treasure Island (FL): </w:t>
      </w:r>
      <w:proofErr w:type="spellStart"/>
      <w:r w:rsidRPr="0064596A">
        <w:rPr>
          <w:rFonts w:cstheme="minorHAnsi"/>
          <w:color w:val="222222"/>
          <w:shd w:val="clear" w:color="auto" w:fill="FFFFFF"/>
        </w:rPr>
        <w:t>StatPearls</w:t>
      </w:r>
      <w:proofErr w:type="spellEnd"/>
      <w:r w:rsidRPr="0064596A">
        <w:rPr>
          <w:rFonts w:cstheme="minorHAnsi"/>
          <w:color w:val="222222"/>
          <w:shd w:val="clear" w:color="auto" w:fill="FFFFFF"/>
        </w:rPr>
        <w:t xml:space="preserve"> Publishing; 2025 Jan-. </w:t>
      </w:r>
      <w:r w:rsidRPr="0064596A">
        <w:rPr>
          <w:rStyle w:val="bkciteavail"/>
          <w:rFonts w:cstheme="minorHAnsi"/>
          <w:color w:val="222222"/>
          <w:shd w:val="clear" w:color="auto" w:fill="FFFFFF"/>
        </w:rPr>
        <w:t xml:space="preserve">Available from: </w:t>
      </w:r>
      <w:hyperlink r:id="rId16" w:history="1">
        <w:r w:rsidRPr="0064596A">
          <w:rPr>
            <w:rStyle w:val="Hyperlink"/>
            <w:rFonts w:cstheme="minorHAnsi"/>
            <w:shd w:val="clear" w:color="auto" w:fill="FFFFFF"/>
          </w:rPr>
          <w:t>https://www.ncbi.nlm.nih.gov/books/NBK519508/</w:t>
        </w:r>
      </w:hyperlink>
    </w:p>
    <w:p w14:paraId="01F73922" w14:textId="77777777" w:rsidR="00234FA4" w:rsidRPr="0064596A" w:rsidRDefault="00234FA4" w:rsidP="00234FA4">
      <w:pPr>
        <w:pStyle w:val="ListParagraph"/>
        <w:numPr>
          <w:ilvl w:val="0"/>
          <w:numId w:val="1"/>
        </w:numPr>
        <w:jc w:val="both"/>
        <w:rPr>
          <w:rFonts w:cstheme="minorHAnsi"/>
          <w:color w:val="1B1B1B"/>
          <w:shd w:val="clear" w:color="auto" w:fill="FFFFFF"/>
        </w:rPr>
      </w:pPr>
      <w:r w:rsidRPr="0064596A">
        <w:rPr>
          <w:rStyle w:val="HTMLCite"/>
          <w:rFonts w:cstheme="minorHAnsi"/>
          <w:i w:val="0"/>
          <w:iCs w:val="0"/>
          <w:color w:val="1B1B1B"/>
          <w:shd w:val="clear" w:color="auto" w:fill="FFFFFF"/>
        </w:rPr>
        <w:t xml:space="preserve">Lee JC, Takeshita J. Antipsychotic-induced dysphagia: a case report. Prim Care Companion CNS </w:t>
      </w:r>
      <w:proofErr w:type="spellStart"/>
      <w:r w:rsidRPr="0064596A">
        <w:rPr>
          <w:rStyle w:val="HTMLCite"/>
          <w:rFonts w:cstheme="minorHAnsi"/>
          <w:i w:val="0"/>
          <w:iCs w:val="0"/>
          <w:color w:val="1B1B1B"/>
          <w:shd w:val="clear" w:color="auto" w:fill="FFFFFF"/>
        </w:rPr>
        <w:t>Disord</w:t>
      </w:r>
      <w:proofErr w:type="spellEnd"/>
      <w:r w:rsidRPr="0064596A">
        <w:rPr>
          <w:rStyle w:val="HTMLCite"/>
          <w:rFonts w:cstheme="minorHAnsi"/>
          <w:i w:val="0"/>
          <w:iCs w:val="0"/>
          <w:color w:val="1B1B1B"/>
          <w:shd w:val="clear" w:color="auto" w:fill="FFFFFF"/>
        </w:rPr>
        <w:t>. 2015;</w:t>
      </w:r>
      <w:r w:rsidR="00697FB3">
        <w:rPr>
          <w:rStyle w:val="HTMLCite"/>
          <w:rFonts w:cstheme="minorHAnsi"/>
          <w:i w:val="0"/>
          <w:iCs w:val="0"/>
          <w:color w:val="1B1B1B"/>
          <w:shd w:val="clear" w:color="auto" w:fill="FFFFFF"/>
        </w:rPr>
        <w:t xml:space="preserve"> </w:t>
      </w:r>
      <w:r w:rsidRPr="0064596A">
        <w:rPr>
          <w:rStyle w:val="HTMLCite"/>
          <w:rFonts w:cstheme="minorHAnsi"/>
          <w:i w:val="0"/>
          <w:iCs w:val="0"/>
          <w:color w:val="1B1B1B"/>
          <w:shd w:val="clear" w:color="auto" w:fill="FFFFFF"/>
        </w:rPr>
        <w:t>17.</w:t>
      </w:r>
      <w:r w:rsidRPr="0064596A">
        <w:rPr>
          <w:rFonts w:cstheme="minorHAnsi"/>
          <w:color w:val="1B1B1B"/>
          <w:shd w:val="clear" w:color="auto" w:fill="FFFFFF"/>
        </w:rPr>
        <w:t> [</w:t>
      </w:r>
      <w:hyperlink r:id="rId17" w:tgtFrame="_blank" w:history="1">
        <w:r w:rsidRPr="0064596A">
          <w:rPr>
            <w:rStyle w:val="Hyperlink"/>
            <w:rFonts w:cstheme="minorHAnsi"/>
            <w:color w:val="005EA2"/>
            <w:shd w:val="clear" w:color="auto" w:fill="FFFFFF"/>
          </w:rPr>
          <w:t>DOI</w:t>
        </w:r>
      </w:hyperlink>
      <w:r w:rsidRPr="0064596A">
        <w:rPr>
          <w:rFonts w:cstheme="minorHAnsi"/>
          <w:color w:val="1B1B1B"/>
          <w:shd w:val="clear" w:color="auto" w:fill="FFFFFF"/>
        </w:rPr>
        <w:t>] [</w:t>
      </w:r>
      <w:hyperlink r:id="rId18" w:history="1">
        <w:r w:rsidRPr="0064596A">
          <w:rPr>
            <w:rStyle w:val="Hyperlink"/>
            <w:rFonts w:cstheme="minorHAnsi"/>
            <w:color w:val="005EA2"/>
            <w:shd w:val="clear" w:color="auto" w:fill="FFFFFF"/>
          </w:rPr>
          <w:t>PMC free article</w:t>
        </w:r>
      </w:hyperlink>
      <w:r w:rsidRPr="0064596A">
        <w:rPr>
          <w:rFonts w:cstheme="minorHAnsi"/>
          <w:color w:val="1B1B1B"/>
          <w:shd w:val="clear" w:color="auto" w:fill="FFFFFF"/>
        </w:rPr>
        <w:t>] [</w:t>
      </w:r>
      <w:hyperlink r:id="rId19" w:history="1">
        <w:r w:rsidRPr="0064596A">
          <w:rPr>
            <w:rStyle w:val="Hyperlink"/>
            <w:rFonts w:cstheme="minorHAnsi"/>
            <w:color w:val="005EA2"/>
            <w:shd w:val="clear" w:color="auto" w:fill="FFFFFF"/>
          </w:rPr>
          <w:t>PubMed</w:t>
        </w:r>
      </w:hyperlink>
      <w:r w:rsidRPr="0064596A">
        <w:rPr>
          <w:rFonts w:cstheme="minorHAnsi"/>
          <w:color w:val="1B1B1B"/>
          <w:shd w:val="clear" w:color="auto" w:fill="FFFFFF"/>
        </w:rPr>
        <w:t>]</w:t>
      </w:r>
    </w:p>
    <w:p w14:paraId="0457779D" w14:textId="77777777" w:rsidR="00961FF2" w:rsidRDefault="00234FA4" w:rsidP="00961FF2">
      <w:pPr>
        <w:pStyle w:val="ListParagraph"/>
        <w:numPr>
          <w:ilvl w:val="0"/>
          <w:numId w:val="1"/>
        </w:numPr>
        <w:jc w:val="both"/>
        <w:rPr>
          <w:rFonts w:cstheme="minorHAnsi"/>
          <w:color w:val="1B1B1B"/>
          <w:shd w:val="clear" w:color="auto" w:fill="FFFFFF"/>
        </w:rPr>
      </w:pPr>
      <w:r w:rsidRPr="0064596A">
        <w:rPr>
          <w:rFonts w:cstheme="minorHAnsi"/>
          <w:color w:val="1B1B1B"/>
          <w:shd w:val="clear" w:color="auto" w:fill="FFFFFF"/>
        </w:rPr>
        <w:t xml:space="preserve">Crouse EL, </w:t>
      </w:r>
      <w:proofErr w:type="spellStart"/>
      <w:r w:rsidRPr="0064596A">
        <w:rPr>
          <w:rFonts w:cstheme="minorHAnsi"/>
          <w:color w:val="1B1B1B"/>
          <w:shd w:val="clear" w:color="auto" w:fill="FFFFFF"/>
        </w:rPr>
        <w:t>Alastanos</w:t>
      </w:r>
      <w:proofErr w:type="spellEnd"/>
      <w:r w:rsidRPr="0064596A">
        <w:rPr>
          <w:rFonts w:cstheme="minorHAnsi"/>
          <w:color w:val="1B1B1B"/>
          <w:shd w:val="clear" w:color="auto" w:fill="FFFFFF"/>
        </w:rPr>
        <w:t xml:space="preserve"> JN, </w:t>
      </w:r>
      <w:proofErr w:type="spellStart"/>
      <w:r w:rsidRPr="0064596A">
        <w:rPr>
          <w:rFonts w:cstheme="minorHAnsi"/>
          <w:color w:val="1B1B1B"/>
          <w:shd w:val="clear" w:color="auto" w:fill="FFFFFF"/>
        </w:rPr>
        <w:t>Bozymski</w:t>
      </w:r>
      <w:proofErr w:type="spellEnd"/>
      <w:r w:rsidRPr="0064596A">
        <w:rPr>
          <w:rFonts w:cstheme="minorHAnsi"/>
          <w:color w:val="1B1B1B"/>
          <w:shd w:val="clear" w:color="auto" w:fill="FFFFFF"/>
        </w:rPr>
        <w:t xml:space="preserve"> KM, et al. Dysphagia with second-generation antipsychotics: a case report and review of the literature. Ment Health Clin. 2017;</w:t>
      </w:r>
      <w:r w:rsidR="00697FB3">
        <w:rPr>
          <w:rFonts w:cstheme="minorHAnsi"/>
          <w:color w:val="1B1B1B"/>
          <w:shd w:val="clear" w:color="auto" w:fill="FFFFFF"/>
        </w:rPr>
        <w:t xml:space="preserve"> </w:t>
      </w:r>
      <w:r w:rsidRPr="0064596A">
        <w:rPr>
          <w:rFonts w:cstheme="minorHAnsi"/>
          <w:color w:val="1B1B1B"/>
          <w:shd w:val="clear" w:color="auto" w:fill="FFFFFF"/>
        </w:rPr>
        <w:t>7:</w:t>
      </w:r>
      <w:r w:rsidR="00697FB3">
        <w:rPr>
          <w:rFonts w:cstheme="minorHAnsi"/>
          <w:color w:val="1B1B1B"/>
          <w:shd w:val="clear" w:color="auto" w:fill="FFFFFF"/>
        </w:rPr>
        <w:t xml:space="preserve"> </w:t>
      </w:r>
      <w:r w:rsidRPr="0064596A">
        <w:rPr>
          <w:rFonts w:cstheme="minorHAnsi"/>
          <w:color w:val="1B1B1B"/>
          <w:shd w:val="clear" w:color="auto" w:fill="FFFFFF"/>
        </w:rPr>
        <w:t xml:space="preserve">56–64. </w:t>
      </w:r>
    </w:p>
    <w:p w14:paraId="2A948699" w14:textId="77777777" w:rsidR="00234FA4" w:rsidRPr="00961FF2" w:rsidRDefault="00234FA4" w:rsidP="00961FF2">
      <w:pPr>
        <w:pStyle w:val="ListParagraph"/>
        <w:numPr>
          <w:ilvl w:val="0"/>
          <w:numId w:val="1"/>
        </w:numPr>
        <w:jc w:val="both"/>
        <w:rPr>
          <w:rStyle w:val="HTMLCite"/>
          <w:rFonts w:cstheme="minorHAnsi"/>
          <w:i w:val="0"/>
          <w:iCs w:val="0"/>
          <w:color w:val="1B1B1B"/>
          <w:shd w:val="clear" w:color="auto" w:fill="FFFFFF"/>
        </w:rPr>
      </w:pPr>
      <w:r w:rsidRPr="00961FF2">
        <w:rPr>
          <w:rStyle w:val="HTMLCite"/>
          <w:rFonts w:cstheme="minorHAnsi"/>
          <w:i w:val="0"/>
          <w:iCs w:val="0"/>
          <w:color w:val="1B1B1B"/>
          <w:shd w:val="clear" w:color="auto" w:fill="FFFFFF"/>
        </w:rPr>
        <w:t xml:space="preserve">Jung KW, Myung SJ, Jung HY. A patient with dysphagia associated with opioid medication. J </w:t>
      </w:r>
      <w:proofErr w:type="spellStart"/>
      <w:r w:rsidRPr="00961FF2">
        <w:rPr>
          <w:rStyle w:val="HTMLCite"/>
          <w:rFonts w:cstheme="minorHAnsi"/>
          <w:i w:val="0"/>
          <w:iCs w:val="0"/>
          <w:color w:val="1B1B1B"/>
          <w:shd w:val="clear" w:color="auto" w:fill="FFFFFF"/>
        </w:rPr>
        <w:t>Neurogastroenterol</w:t>
      </w:r>
      <w:proofErr w:type="spellEnd"/>
      <w:r w:rsidRPr="00961FF2">
        <w:rPr>
          <w:rStyle w:val="HTMLCite"/>
          <w:rFonts w:cstheme="minorHAnsi"/>
          <w:i w:val="0"/>
          <w:iCs w:val="0"/>
          <w:color w:val="1B1B1B"/>
          <w:shd w:val="clear" w:color="auto" w:fill="FFFFFF"/>
        </w:rPr>
        <w:t xml:space="preserve"> </w:t>
      </w:r>
      <w:proofErr w:type="spellStart"/>
      <w:r w:rsidRPr="00961FF2">
        <w:rPr>
          <w:rStyle w:val="HTMLCite"/>
          <w:rFonts w:cstheme="minorHAnsi"/>
          <w:i w:val="0"/>
          <w:iCs w:val="0"/>
          <w:color w:val="1B1B1B"/>
          <w:shd w:val="clear" w:color="auto" w:fill="FFFFFF"/>
        </w:rPr>
        <w:t>Motil</w:t>
      </w:r>
      <w:proofErr w:type="spellEnd"/>
      <w:r w:rsidRPr="00961FF2">
        <w:rPr>
          <w:rStyle w:val="HTMLCite"/>
          <w:rFonts w:cstheme="minorHAnsi"/>
          <w:i w:val="0"/>
          <w:iCs w:val="0"/>
          <w:color w:val="1B1B1B"/>
          <w:shd w:val="clear" w:color="auto" w:fill="FFFFFF"/>
        </w:rPr>
        <w:t>. 2012;</w:t>
      </w:r>
      <w:r w:rsidR="00697FB3" w:rsidRPr="00961FF2">
        <w:rPr>
          <w:rStyle w:val="HTMLCite"/>
          <w:rFonts w:cstheme="minorHAnsi"/>
          <w:i w:val="0"/>
          <w:iCs w:val="0"/>
          <w:color w:val="1B1B1B"/>
          <w:shd w:val="clear" w:color="auto" w:fill="FFFFFF"/>
        </w:rPr>
        <w:t xml:space="preserve"> </w:t>
      </w:r>
      <w:r w:rsidRPr="00961FF2">
        <w:rPr>
          <w:rStyle w:val="HTMLCite"/>
          <w:rFonts w:cstheme="minorHAnsi"/>
          <w:i w:val="0"/>
          <w:iCs w:val="0"/>
          <w:color w:val="1B1B1B"/>
          <w:shd w:val="clear" w:color="auto" w:fill="FFFFFF"/>
        </w:rPr>
        <w:t>18:</w:t>
      </w:r>
      <w:r w:rsidR="00697FB3" w:rsidRPr="00961FF2">
        <w:rPr>
          <w:rStyle w:val="HTMLCite"/>
          <w:rFonts w:cstheme="minorHAnsi"/>
          <w:i w:val="0"/>
          <w:iCs w:val="0"/>
          <w:color w:val="1B1B1B"/>
          <w:shd w:val="clear" w:color="auto" w:fill="FFFFFF"/>
        </w:rPr>
        <w:t xml:space="preserve"> </w:t>
      </w:r>
      <w:r w:rsidRPr="00961FF2">
        <w:rPr>
          <w:rStyle w:val="HTMLCite"/>
          <w:rFonts w:cstheme="minorHAnsi"/>
          <w:i w:val="0"/>
          <w:iCs w:val="0"/>
          <w:color w:val="1B1B1B"/>
          <w:shd w:val="clear" w:color="auto" w:fill="FFFFFF"/>
        </w:rPr>
        <w:t xml:space="preserve">220–1. </w:t>
      </w:r>
    </w:p>
    <w:p w14:paraId="1EFC6DC5" w14:textId="77777777" w:rsidR="00234FA4" w:rsidRPr="00127395" w:rsidRDefault="00234FA4" w:rsidP="00234FA4">
      <w:pPr>
        <w:pStyle w:val="ListParagraph"/>
        <w:numPr>
          <w:ilvl w:val="0"/>
          <w:numId w:val="1"/>
        </w:numPr>
        <w:jc w:val="both"/>
        <w:rPr>
          <w:rFonts w:cstheme="minorHAnsi"/>
        </w:rPr>
      </w:pPr>
      <w:r>
        <w:rPr>
          <w:rFonts w:cstheme="minorHAnsi"/>
        </w:rPr>
        <w:t>Marwa AM, Julie AY, Stephanie ER</w:t>
      </w:r>
      <w:r w:rsidRPr="00127395">
        <w:rPr>
          <w:rFonts w:cstheme="minorHAnsi"/>
        </w:rPr>
        <w:t xml:space="preserve">, </w:t>
      </w:r>
      <w:r>
        <w:rPr>
          <w:rFonts w:cstheme="minorHAnsi"/>
        </w:rPr>
        <w:t>et al</w:t>
      </w:r>
      <w:r w:rsidRPr="00127395">
        <w:rPr>
          <w:rFonts w:cstheme="minorHAnsi"/>
        </w:rPr>
        <w:t>. Does using oral medication lubricants to swallow whole or crushed tablets alter drug absorption in vivo? A randomised, single-dose crossover bioequi</w:t>
      </w:r>
      <w:r>
        <w:rPr>
          <w:rFonts w:cstheme="minorHAnsi"/>
        </w:rPr>
        <w:t>valence study in healthy adults.</w:t>
      </w:r>
      <w:r w:rsidRPr="00127395">
        <w:rPr>
          <w:rFonts w:cstheme="minorHAnsi"/>
        </w:rPr>
        <w:t xml:space="preserve"> </w:t>
      </w:r>
      <w:r>
        <w:rPr>
          <w:rFonts w:cstheme="minorHAnsi"/>
        </w:rPr>
        <w:t>J Drug Deliv Sci Technol.</w:t>
      </w:r>
      <w:r w:rsidRPr="00127395">
        <w:rPr>
          <w:rFonts w:cstheme="minorHAnsi"/>
        </w:rPr>
        <w:t xml:space="preserve"> </w:t>
      </w:r>
      <w:r>
        <w:rPr>
          <w:rFonts w:cstheme="minorHAnsi"/>
        </w:rPr>
        <w:t>2025; 104:</w:t>
      </w:r>
      <w:r w:rsidRPr="00127395">
        <w:rPr>
          <w:rFonts w:cstheme="minorHAnsi"/>
        </w:rPr>
        <w:t xml:space="preserve"> 106552.</w:t>
      </w:r>
    </w:p>
    <w:p w14:paraId="550BF31F" w14:textId="77777777" w:rsidR="00234FA4" w:rsidRPr="00127395" w:rsidRDefault="00234FA4" w:rsidP="00234FA4">
      <w:pPr>
        <w:pStyle w:val="ListParagraph"/>
        <w:numPr>
          <w:ilvl w:val="0"/>
          <w:numId w:val="1"/>
        </w:numPr>
        <w:jc w:val="both"/>
        <w:rPr>
          <w:rFonts w:ascii="Times New Roman" w:hAnsi="Times New Roman" w:cs="Times New Roman"/>
        </w:rPr>
      </w:pPr>
      <w:r w:rsidRPr="00127395">
        <w:rPr>
          <w:rFonts w:cstheme="minorHAnsi"/>
          <w:color w:val="1B1B1B"/>
          <w:shd w:val="clear" w:color="auto" w:fill="FFFFFF"/>
        </w:rPr>
        <w:t>Grissinger M. Preventing errors when drugs are given via ente</w:t>
      </w:r>
      <w:r>
        <w:rPr>
          <w:rFonts w:cstheme="minorHAnsi"/>
          <w:color w:val="1B1B1B"/>
          <w:shd w:val="clear" w:color="auto" w:fill="FFFFFF"/>
        </w:rPr>
        <w:t>ral feeding tubes. P T. 2013</w:t>
      </w:r>
      <w:r w:rsidRPr="00127395">
        <w:rPr>
          <w:rFonts w:cstheme="minorHAnsi"/>
          <w:color w:val="1B1B1B"/>
          <w:shd w:val="clear" w:color="auto" w:fill="FFFFFF"/>
        </w:rPr>
        <w:t>;</w:t>
      </w:r>
      <w:r>
        <w:rPr>
          <w:rFonts w:cstheme="minorHAnsi"/>
          <w:color w:val="1B1B1B"/>
          <w:shd w:val="clear" w:color="auto" w:fill="FFFFFF"/>
        </w:rPr>
        <w:t xml:space="preserve"> </w:t>
      </w:r>
      <w:r w:rsidRPr="00127395">
        <w:rPr>
          <w:rFonts w:cstheme="minorHAnsi"/>
          <w:color w:val="1B1B1B"/>
          <w:shd w:val="clear" w:color="auto" w:fill="FFFFFF"/>
        </w:rPr>
        <w:t>38(10):</w:t>
      </w:r>
      <w:r>
        <w:rPr>
          <w:rFonts w:cstheme="minorHAnsi"/>
          <w:color w:val="1B1B1B"/>
          <w:shd w:val="clear" w:color="auto" w:fill="FFFFFF"/>
        </w:rPr>
        <w:t xml:space="preserve"> </w:t>
      </w:r>
      <w:r w:rsidRPr="00127395">
        <w:rPr>
          <w:rFonts w:cstheme="minorHAnsi"/>
          <w:color w:val="1B1B1B"/>
          <w:shd w:val="clear" w:color="auto" w:fill="FFFFFF"/>
        </w:rPr>
        <w:t xml:space="preserve">575-6. </w:t>
      </w:r>
    </w:p>
    <w:p w14:paraId="467AD892" w14:textId="77777777" w:rsidR="00961FF2" w:rsidRPr="00961FF2" w:rsidRDefault="00234FA4" w:rsidP="00961FF2">
      <w:pPr>
        <w:pStyle w:val="ListParagraph"/>
        <w:numPr>
          <w:ilvl w:val="0"/>
          <w:numId w:val="1"/>
        </w:numPr>
        <w:jc w:val="both"/>
        <w:rPr>
          <w:rFonts w:cstheme="minorHAnsi"/>
        </w:rPr>
      </w:pPr>
      <w:r w:rsidRPr="00703138">
        <w:rPr>
          <w:rFonts w:cstheme="minorHAnsi"/>
          <w:color w:val="1B1B1B"/>
          <w:shd w:val="clear" w:color="auto" w:fill="FFFFFF"/>
        </w:rPr>
        <w:t>Klang MG. Developing guidance for feeding tube administration of oral medications. JPEN J</w:t>
      </w:r>
      <w:r>
        <w:rPr>
          <w:rFonts w:cstheme="minorHAnsi"/>
          <w:color w:val="1B1B1B"/>
          <w:shd w:val="clear" w:color="auto" w:fill="FFFFFF"/>
        </w:rPr>
        <w:t xml:space="preserve"> </w:t>
      </w:r>
      <w:proofErr w:type="spellStart"/>
      <w:r>
        <w:rPr>
          <w:rFonts w:cstheme="minorHAnsi"/>
          <w:color w:val="1B1B1B"/>
          <w:shd w:val="clear" w:color="auto" w:fill="FFFFFF"/>
        </w:rPr>
        <w:t>Parenter</w:t>
      </w:r>
      <w:proofErr w:type="spellEnd"/>
      <w:r>
        <w:rPr>
          <w:rFonts w:cstheme="minorHAnsi"/>
          <w:color w:val="1B1B1B"/>
          <w:shd w:val="clear" w:color="auto" w:fill="FFFFFF"/>
        </w:rPr>
        <w:t xml:space="preserve"> Enteral </w:t>
      </w:r>
      <w:proofErr w:type="spellStart"/>
      <w:r>
        <w:rPr>
          <w:rFonts w:cstheme="minorHAnsi"/>
          <w:color w:val="1B1B1B"/>
          <w:shd w:val="clear" w:color="auto" w:fill="FFFFFF"/>
        </w:rPr>
        <w:t>Nutr</w:t>
      </w:r>
      <w:proofErr w:type="spellEnd"/>
      <w:r>
        <w:rPr>
          <w:rFonts w:cstheme="minorHAnsi"/>
          <w:color w:val="1B1B1B"/>
          <w:shd w:val="clear" w:color="auto" w:fill="FFFFFF"/>
        </w:rPr>
        <w:t>. 2023</w:t>
      </w:r>
      <w:r w:rsidRPr="00703138">
        <w:rPr>
          <w:rFonts w:cstheme="minorHAnsi"/>
          <w:color w:val="1B1B1B"/>
          <w:shd w:val="clear" w:color="auto" w:fill="FFFFFF"/>
        </w:rPr>
        <w:t>;</w:t>
      </w:r>
      <w:r>
        <w:rPr>
          <w:rFonts w:cstheme="minorHAnsi"/>
          <w:color w:val="1B1B1B"/>
          <w:shd w:val="clear" w:color="auto" w:fill="FFFFFF"/>
        </w:rPr>
        <w:t xml:space="preserve"> </w:t>
      </w:r>
      <w:r w:rsidRPr="00703138">
        <w:rPr>
          <w:rFonts w:cstheme="minorHAnsi"/>
          <w:color w:val="1B1B1B"/>
          <w:shd w:val="clear" w:color="auto" w:fill="FFFFFF"/>
        </w:rPr>
        <w:t>47(4):</w:t>
      </w:r>
      <w:r>
        <w:rPr>
          <w:rFonts w:cstheme="minorHAnsi"/>
          <w:color w:val="1B1B1B"/>
          <w:shd w:val="clear" w:color="auto" w:fill="FFFFFF"/>
        </w:rPr>
        <w:t xml:space="preserve"> 519-</w:t>
      </w:r>
      <w:r w:rsidRPr="00703138">
        <w:rPr>
          <w:rFonts w:cstheme="minorHAnsi"/>
          <w:color w:val="1B1B1B"/>
          <w:shd w:val="clear" w:color="auto" w:fill="FFFFFF"/>
        </w:rPr>
        <w:t xml:space="preserve">40. </w:t>
      </w:r>
    </w:p>
    <w:p w14:paraId="71D33533" w14:textId="77777777" w:rsidR="00234FA4" w:rsidRPr="00961FF2" w:rsidRDefault="00234FA4" w:rsidP="00961FF2">
      <w:pPr>
        <w:pStyle w:val="ListParagraph"/>
        <w:numPr>
          <w:ilvl w:val="0"/>
          <w:numId w:val="1"/>
        </w:numPr>
        <w:jc w:val="both"/>
        <w:rPr>
          <w:rFonts w:cstheme="minorHAnsi"/>
        </w:rPr>
      </w:pPr>
      <w:r w:rsidRPr="00961FF2">
        <w:rPr>
          <w:rFonts w:cstheme="minorHAnsi"/>
          <w:color w:val="1B1B1B"/>
          <w:shd w:val="clear" w:color="auto" w:fill="FFFFFF"/>
        </w:rPr>
        <w:lastRenderedPageBreak/>
        <w:t xml:space="preserve">van den </w:t>
      </w:r>
      <w:proofErr w:type="spellStart"/>
      <w:r w:rsidRPr="00961FF2">
        <w:rPr>
          <w:rFonts w:cstheme="minorHAnsi"/>
          <w:color w:val="1B1B1B"/>
          <w:shd w:val="clear" w:color="auto" w:fill="FFFFFF"/>
        </w:rPr>
        <w:t>Bemt</w:t>
      </w:r>
      <w:proofErr w:type="spellEnd"/>
      <w:r w:rsidRPr="00961FF2">
        <w:rPr>
          <w:rFonts w:cstheme="minorHAnsi"/>
          <w:color w:val="1B1B1B"/>
          <w:shd w:val="clear" w:color="auto" w:fill="FFFFFF"/>
        </w:rPr>
        <w:t xml:space="preserve"> PM, </w:t>
      </w:r>
      <w:proofErr w:type="spellStart"/>
      <w:r w:rsidRPr="00961FF2">
        <w:rPr>
          <w:rFonts w:cstheme="minorHAnsi"/>
          <w:color w:val="1B1B1B"/>
          <w:shd w:val="clear" w:color="auto" w:fill="FFFFFF"/>
        </w:rPr>
        <w:t>Cusell</w:t>
      </w:r>
      <w:proofErr w:type="spellEnd"/>
      <w:r w:rsidRPr="00961FF2">
        <w:rPr>
          <w:rFonts w:cstheme="minorHAnsi"/>
          <w:color w:val="1B1B1B"/>
          <w:shd w:val="clear" w:color="auto" w:fill="FFFFFF"/>
        </w:rPr>
        <w:t xml:space="preserve"> MB, Overbeeke PW, et al. Quality improvement of oral medication administration in patients with enteral feeding tubes. Qual Saf Health Care. 2006; 15(1): 44-7.</w:t>
      </w:r>
    </w:p>
    <w:p w14:paraId="4EACCF67" w14:textId="77777777" w:rsidR="00234FA4" w:rsidRDefault="00234FA4" w:rsidP="00234FA4">
      <w:pPr>
        <w:pStyle w:val="ListParagraph"/>
        <w:numPr>
          <w:ilvl w:val="0"/>
          <w:numId w:val="1"/>
        </w:numPr>
        <w:jc w:val="both"/>
      </w:pPr>
      <w:r>
        <w:t xml:space="preserve">Health for Kids (2024). Giving medicine to children. Available at: </w:t>
      </w:r>
      <w:hyperlink r:id="rId20" w:history="1">
        <w:r w:rsidRPr="008763C1">
          <w:rPr>
            <w:rStyle w:val="Hyperlink"/>
          </w:rPr>
          <w:t>https://www.healthforkids.co.uk/illness/giving-medicine-to-children/</w:t>
        </w:r>
      </w:hyperlink>
      <w:r>
        <w:t>.</w:t>
      </w:r>
    </w:p>
    <w:p w14:paraId="569D6F38" w14:textId="77777777" w:rsidR="00961FF2" w:rsidRDefault="00234FA4" w:rsidP="00961FF2">
      <w:pPr>
        <w:pStyle w:val="ListParagraph"/>
        <w:numPr>
          <w:ilvl w:val="0"/>
          <w:numId w:val="1"/>
        </w:numPr>
        <w:jc w:val="both"/>
      </w:pPr>
      <w:r>
        <w:t xml:space="preserve">Rosemont Pharmaceuticals (2017). Swallowing Difficulties. Available at: </w:t>
      </w:r>
      <w:hyperlink r:id="rId21" w:history="1">
        <w:r w:rsidRPr="008763C1">
          <w:rPr>
            <w:rStyle w:val="Hyperlink"/>
          </w:rPr>
          <w:t>https://www.rosemontpharma.com/swallowing-difficulties/</w:t>
        </w:r>
      </w:hyperlink>
      <w:r>
        <w:t>.</w:t>
      </w:r>
    </w:p>
    <w:p w14:paraId="70C09826" w14:textId="77777777" w:rsidR="00234FA4" w:rsidRPr="00961FF2" w:rsidRDefault="00697FB3" w:rsidP="00961FF2">
      <w:pPr>
        <w:pStyle w:val="ListParagraph"/>
        <w:numPr>
          <w:ilvl w:val="0"/>
          <w:numId w:val="1"/>
        </w:numPr>
        <w:jc w:val="both"/>
      </w:pPr>
      <w:r>
        <w:t>Reyes SD, Balogun H</w:t>
      </w:r>
      <w:r w:rsidR="00234FA4">
        <w:t xml:space="preserve">A. Review of medication adherence in </w:t>
      </w:r>
      <w:proofErr w:type="spellStart"/>
      <w:r w:rsidR="00234FA4">
        <w:t>pediatric</w:t>
      </w:r>
      <w:proofErr w:type="spellEnd"/>
      <w:r w:rsidR="00234FA4">
        <w:t xml:space="preserve"> patients: Focus on formulation, palatabilit</w:t>
      </w:r>
      <w:r w:rsidR="006E56B7">
        <w:t xml:space="preserve">y, and acceptability. J </w:t>
      </w:r>
      <w:proofErr w:type="spellStart"/>
      <w:r w:rsidR="006E56B7">
        <w:t>Pediatr</w:t>
      </w:r>
      <w:proofErr w:type="spellEnd"/>
      <w:r w:rsidR="006E56B7">
        <w:t xml:space="preserve"> </w:t>
      </w:r>
      <w:proofErr w:type="spellStart"/>
      <w:r w:rsidR="006E56B7">
        <w:t>Pharmacol</w:t>
      </w:r>
      <w:proofErr w:type="spellEnd"/>
      <w:r w:rsidR="006E56B7">
        <w:t xml:space="preserve"> Therap.</w:t>
      </w:r>
      <w:r w:rsidR="00234FA4">
        <w:t xml:space="preserve"> </w:t>
      </w:r>
      <w:r>
        <w:t xml:space="preserve">2018; </w:t>
      </w:r>
      <w:r w:rsidR="006E56B7">
        <w:t>23(6):</w:t>
      </w:r>
      <w:r w:rsidR="004E366D">
        <w:t xml:space="preserve"> 467-</w:t>
      </w:r>
      <w:r w:rsidR="00234FA4">
        <w:t>78.</w:t>
      </w:r>
    </w:p>
    <w:p w14:paraId="2799DDB8" w14:textId="77777777" w:rsidR="00961FF2" w:rsidRDefault="00234FA4" w:rsidP="00961FF2">
      <w:pPr>
        <w:pStyle w:val="ListParagraph"/>
        <w:numPr>
          <w:ilvl w:val="0"/>
          <w:numId w:val="1"/>
        </w:numPr>
        <w:jc w:val="both"/>
      </w:pPr>
      <w:r>
        <w:t xml:space="preserve">Standing, J. F., &amp; </w:t>
      </w:r>
      <w:proofErr w:type="spellStart"/>
      <w:r>
        <w:t>Tuleu</w:t>
      </w:r>
      <w:proofErr w:type="spellEnd"/>
      <w:r>
        <w:t>, C. (2017). Paediatric dosing and formulation: lessons learned and future directions. British Journal of Clinic</w:t>
      </w:r>
      <w:r w:rsidR="006E56B7">
        <w:t>al Pharmacology, 83(12), 2736–</w:t>
      </w:r>
      <w:r>
        <w:t>45.</w:t>
      </w:r>
    </w:p>
    <w:p w14:paraId="54DBB5AF" w14:textId="77777777" w:rsidR="00234FA4" w:rsidRPr="00961FF2" w:rsidRDefault="00234FA4" w:rsidP="00961FF2">
      <w:pPr>
        <w:pStyle w:val="ListParagraph"/>
        <w:numPr>
          <w:ilvl w:val="0"/>
          <w:numId w:val="1"/>
        </w:numPr>
        <w:jc w:val="both"/>
      </w:pPr>
      <w:r>
        <w:t>Drumond N, Stegemann S. Better medicines for older patients: considerations between patient characteristics and solid oral dosage form designs to improve swallowing experience. Pharm. 2021; 13: 32.</w:t>
      </w:r>
    </w:p>
    <w:p w14:paraId="0BD5CC40" w14:textId="77777777" w:rsidR="00234FA4" w:rsidRDefault="00234FA4" w:rsidP="00234FA4">
      <w:pPr>
        <w:pStyle w:val="ListParagraph"/>
        <w:numPr>
          <w:ilvl w:val="0"/>
          <w:numId w:val="1"/>
        </w:numPr>
        <w:jc w:val="both"/>
      </w:pPr>
      <w:r>
        <w:t>U.S. Department of Health and Human Services Food; Drug Administration (CDER). Guidance for Industry. Size, Shape and Other Physical Attributes of Generic Tablets and Capsules. 2013. Available online: https://www.fda.gov/media/87344/download (accessed on 15 December 2020).</w:t>
      </w:r>
    </w:p>
    <w:p w14:paraId="24096647" w14:textId="77777777" w:rsidR="00234FA4" w:rsidRPr="00EF5F88" w:rsidRDefault="00234FA4" w:rsidP="00234FA4">
      <w:pPr>
        <w:pStyle w:val="ListParagraph"/>
        <w:numPr>
          <w:ilvl w:val="0"/>
          <w:numId w:val="1"/>
        </w:numPr>
        <w:jc w:val="both"/>
        <w:rPr>
          <w:rFonts w:cstheme="minorHAnsi"/>
        </w:rPr>
      </w:pPr>
      <w:r w:rsidRPr="0030770C">
        <w:rPr>
          <w:rFonts w:cstheme="minorHAnsi"/>
          <w:color w:val="1B1B1B"/>
          <w:shd w:val="clear" w:color="auto" w:fill="FFFFFF"/>
        </w:rPr>
        <w:t>Fields J, Go JT, Schulze KS. Pill Properties that Cause Dysphagia and Treatment Failure. Cur</w:t>
      </w:r>
      <w:r>
        <w:rPr>
          <w:rFonts w:cstheme="minorHAnsi"/>
          <w:color w:val="1B1B1B"/>
          <w:shd w:val="clear" w:color="auto" w:fill="FFFFFF"/>
        </w:rPr>
        <w:t>r Ther Res Clin Exp. 2015</w:t>
      </w:r>
      <w:r w:rsidRPr="0030770C">
        <w:rPr>
          <w:rFonts w:cstheme="minorHAnsi"/>
          <w:color w:val="1B1B1B"/>
          <w:shd w:val="clear" w:color="auto" w:fill="FFFFFF"/>
        </w:rPr>
        <w:t>;</w:t>
      </w:r>
      <w:r>
        <w:rPr>
          <w:rFonts w:cstheme="minorHAnsi"/>
          <w:color w:val="1B1B1B"/>
          <w:shd w:val="clear" w:color="auto" w:fill="FFFFFF"/>
        </w:rPr>
        <w:t xml:space="preserve"> </w:t>
      </w:r>
      <w:r w:rsidRPr="0030770C">
        <w:rPr>
          <w:rFonts w:cstheme="minorHAnsi"/>
          <w:color w:val="1B1B1B"/>
          <w:shd w:val="clear" w:color="auto" w:fill="FFFFFF"/>
        </w:rPr>
        <w:t>77:</w:t>
      </w:r>
      <w:r>
        <w:rPr>
          <w:rFonts w:cstheme="minorHAnsi"/>
          <w:color w:val="1B1B1B"/>
          <w:shd w:val="clear" w:color="auto" w:fill="FFFFFF"/>
        </w:rPr>
        <w:t xml:space="preserve"> </w:t>
      </w:r>
      <w:r w:rsidRPr="0030770C">
        <w:rPr>
          <w:rFonts w:cstheme="minorHAnsi"/>
          <w:color w:val="1B1B1B"/>
          <w:shd w:val="clear" w:color="auto" w:fill="FFFFFF"/>
        </w:rPr>
        <w:t xml:space="preserve">79-82. </w:t>
      </w:r>
    </w:p>
    <w:p w14:paraId="17A58005" w14:textId="77777777" w:rsidR="00234FA4" w:rsidRDefault="00234FA4" w:rsidP="00234FA4">
      <w:pPr>
        <w:pStyle w:val="ListParagraph"/>
        <w:numPr>
          <w:ilvl w:val="0"/>
          <w:numId w:val="1"/>
        </w:numPr>
        <w:jc w:val="both"/>
        <w:rPr>
          <w:rFonts w:cstheme="minorHAnsi"/>
        </w:rPr>
      </w:pPr>
      <w:r w:rsidRPr="00EF5F88">
        <w:rPr>
          <w:rFonts w:cstheme="minorHAnsi"/>
        </w:rPr>
        <w:t xml:space="preserve">Asano M, Imai S, Shimizu Y, </w:t>
      </w:r>
      <w:r>
        <w:rPr>
          <w:rFonts w:cstheme="minorHAnsi"/>
        </w:rPr>
        <w:t>et al</w:t>
      </w:r>
      <w:r w:rsidRPr="00EF5F88">
        <w:rPr>
          <w:rFonts w:cstheme="minorHAnsi"/>
        </w:rPr>
        <w:t>. Factor Analysis of Patients Who Find Tablets or Capsules Difficult to Swallow Due to Their Large Size: Using the Personal Health Record Infrastructure of Electronic Medication Notebooks. J Med Internet Res. 2024;</w:t>
      </w:r>
      <w:r>
        <w:rPr>
          <w:rFonts w:cstheme="minorHAnsi"/>
        </w:rPr>
        <w:t xml:space="preserve"> </w:t>
      </w:r>
      <w:r w:rsidRPr="00EF5F88">
        <w:rPr>
          <w:rFonts w:cstheme="minorHAnsi"/>
        </w:rPr>
        <w:t>26:</w:t>
      </w:r>
      <w:r>
        <w:rPr>
          <w:rFonts w:cstheme="minorHAnsi"/>
        </w:rPr>
        <w:t xml:space="preserve"> </w:t>
      </w:r>
      <w:r w:rsidRPr="00EF5F88">
        <w:rPr>
          <w:rFonts w:cstheme="minorHAnsi"/>
        </w:rPr>
        <w:t xml:space="preserve">e54645. </w:t>
      </w:r>
    </w:p>
    <w:p w14:paraId="432D0B92" w14:textId="77777777" w:rsidR="00234FA4" w:rsidRDefault="00234FA4" w:rsidP="00234FA4">
      <w:pPr>
        <w:pStyle w:val="ListParagraph"/>
        <w:numPr>
          <w:ilvl w:val="0"/>
          <w:numId w:val="1"/>
        </w:numPr>
        <w:jc w:val="both"/>
        <w:rPr>
          <w:rFonts w:cstheme="minorHAnsi"/>
        </w:rPr>
      </w:pPr>
      <w:proofErr w:type="spellStart"/>
      <w:r>
        <w:rPr>
          <w:rFonts w:cstheme="minorHAnsi"/>
        </w:rPr>
        <w:t>Gorkem</w:t>
      </w:r>
      <w:proofErr w:type="spellEnd"/>
      <w:r>
        <w:rPr>
          <w:rFonts w:cstheme="minorHAnsi"/>
        </w:rPr>
        <w:t xml:space="preserve"> B</w:t>
      </w:r>
      <w:r w:rsidRPr="00E472DC">
        <w:rPr>
          <w:rFonts w:cstheme="minorHAnsi"/>
        </w:rPr>
        <w:t xml:space="preserve">G, </w:t>
      </w:r>
      <w:proofErr w:type="spellStart"/>
      <w:r w:rsidRPr="00E472DC">
        <w:rPr>
          <w:rFonts w:cstheme="minorHAnsi"/>
        </w:rPr>
        <w:t>Kossor</w:t>
      </w:r>
      <w:proofErr w:type="spellEnd"/>
      <w:r w:rsidRPr="00E472DC">
        <w:rPr>
          <w:rFonts w:cstheme="minorHAnsi"/>
        </w:rPr>
        <w:t xml:space="preserve"> CG, Ji S, </w:t>
      </w:r>
      <w:r w:rsidR="00D116B8">
        <w:rPr>
          <w:rFonts w:cstheme="minorHAnsi"/>
        </w:rPr>
        <w:t>et al</w:t>
      </w:r>
      <w:r w:rsidRPr="00E472DC">
        <w:rPr>
          <w:rFonts w:cstheme="minorHAnsi"/>
        </w:rPr>
        <w:t>. Dose Titration of Solid Dosage Forms via FDM 3D-Printed Mini-Tab</w:t>
      </w:r>
      <w:r>
        <w:rPr>
          <w:rFonts w:cstheme="minorHAnsi"/>
        </w:rPr>
        <w:t>lets. Pharmaceutics. 2022</w:t>
      </w:r>
      <w:r w:rsidRPr="00E472DC">
        <w:rPr>
          <w:rFonts w:cstheme="minorHAnsi"/>
        </w:rPr>
        <w:t>;</w:t>
      </w:r>
      <w:r>
        <w:rPr>
          <w:rFonts w:cstheme="minorHAnsi"/>
        </w:rPr>
        <w:t xml:space="preserve"> </w:t>
      </w:r>
      <w:r w:rsidRPr="00E472DC">
        <w:rPr>
          <w:rFonts w:cstheme="minorHAnsi"/>
        </w:rPr>
        <w:t>14(11):</w:t>
      </w:r>
      <w:r>
        <w:rPr>
          <w:rFonts w:cstheme="minorHAnsi"/>
        </w:rPr>
        <w:t xml:space="preserve"> </w:t>
      </w:r>
      <w:r w:rsidRPr="00E472DC">
        <w:rPr>
          <w:rFonts w:cstheme="minorHAnsi"/>
        </w:rPr>
        <w:t xml:space="preserve">2305. </w:t>
      </w:r>
    </w:p>
    <w:p w14:paraId="3221AC04" w14:textId="77777777" w:rsidR="00234FA4" w:rsidRDefault="00234FA4" w:rsidP="00234FA4">
      <w:pPr>
        <w:pStyle w:val="ListParagraph"/>
        <w:numPr>
          <w:ilvl w:val="0"/>
          <w:numId w:val="1"/>
        </w:numPr>
        <w:jc w:val="both"/>
        <w:rPr>
          <w:rFonts w:cstheme="minorHAnsi"/>
        </w:rPr>
      </w:pPr>
      <w:proofErr w:type="spellStart"/>
      <w:r w:rsidRPr="005B0E7F">
        <w:rPr>
          <w:rFonts w:cstheme="minorHAnsi"/>
        </w:rPr>
        <w:t>Amekyeh</w:t>
      </w:r>
      <w:proofErr w:type="spellEnd"/>
      <w:r w:rsidRPr="005B0E7F">
        <w:rPr>
          <w:rFonts w:cstheme="minorHAnsi"/>
        </w:rPr>
        <w:t xml:space="preserve"> H, </w:t>
      </w:r>
      <w:proofErr w:type="spellStart"/>
      <w:r w:rsidRPr="005B0E7F">
        <w:rPr>
          <w:rFonts w:cstheme="minorHAnsi"/>
        </w:rPr>
        <w:t>Tarlochan</w:t>
      </w:r>
      <w:proofErr w:type="spellEnd"/>
      <w:r w:rsidRPr="005B0E7F">
        <w:rPr>
          <w:rFonts w:cstheme="minorHAnsi"/>
        </w:rPr>
        <w:t xml:space="preserve"> F, Billa N. Practicality of 3D Printed Personalized Medicines in Therapeuti</w:t>
      </w:r>
      <w:r>
        <w:rPr>
          <w:rFonts w:cstheme="minorHAnsi"/>
        </w:rPr>
        <w:t xml:space="preserve">cs. Front </w:t>
      </w:r>
      <w:proofErr w:type="spellStart"/>
      <w:r>
        <w:rPr>
          <w:rFonts w:cstheme="minorHAnsi"/>
        </w:rPr>
        <w:t>Pharmacol</w:t>
      </w:r>
      <w:proofErr w:type="spellEnd"/>
      <w:r>
        <w:rPr>
          <w:rFonts w:cstheme="minorHAnsi"/>
        </w:rPr>
        <w:t>. 2021</w:t>
      </w:r>
      <w:r w:rsidRPr="005B0E7F">
        <w:rPr>
          <w:rFonts w:cstheme="minorHAnsi"/>
        </w:rPr>
        <w:t>;</w:t>
      </w:r>
      <w:r>
        <w:rPr>
          <w:rFonts w:cstheme="minorHAnsi"/>
        </w:rPr>
        <w:t xml:space="preserve"> </w:t>
      </w:r>
      <w:r w:rsidRPr="005B0E7F">
        <w:rPr>
          <w:rFonts w:cstheme="minorHAnsi"/>
        </w:rPr>
        <w:t>12:</w:t>
      </w:r>
      <w:r>
        <w:rPr>
          <w:rFonts w:cstheme="minorHAnsi"/>
        </w:rPr>
        <w:t xml:space="preserve"> </w:t>
      </w:r>
      <w:r w:rsidRPr="005B0E7F">
        <w:rPr>
          <w:rFonts w:cstheme="minorHAnsi"/>
        </w:rPr>
        <w:t xml:space="preserve">646836. </w:t>
      </w:r>
    </w:p>
    <w:p w14:paraId="50D0F656" w14:textId="77777777" w:rsidR="00882EDF" w:rsidRDefault="00882EDF" w:rsidP="00234FA4">
      <w:pPr>
        <w:pStyle w:val="ListParagraph"/>
        <w:numPr>
          <w:ilvl w:val="0"/>
          <w:numId w:val="1"/>
        </w:numPr>
        <w:jc w:val="both"/>
        <w:rPr>
          <w:rFonts w:cstheme="minorHAnsi"/>
        </w:rPr>
      </w:pPr>
      <w:r>
        <w:rPr>
          <w:rFonts w:cstheme="minorHAnsi"/>
        </w:rPr>
        <w:t xml:space="preserve">Chaudhri K, Keaney M, Tanna GL, et al. Does splitting a tablet obtain an accurate dose? A systematic review and meta-analysis. </w:t>
      </w:r>
      <w:r w:rsidR="003E39E0">
        <w:rPr>
          <w:rFonts w:cstheme="minorHAnsi"/>
        </w:rPr>
        <w:t xml:space="preserve">J Pharm </w:t>
      </w:r>
      <w:proofErr w:type="spellStart"/>
      <w:r w:rsidR="003E39E0">
        <w:rPr>
          <w:rFonts w:cstheme="minorHAnsi"/>
        </w:rPr>
        <w:t>Prac</w:t>
      </w:r>
      <w:proofErr w:type="spellEnd"/>
      <w:r w:rsidR="003E39E0">
        <w:rPr>
          <w:rFonts w:cstheme="minorHAnsi"/>
        </w:rPr>
        <w:t xml:space="preserve"> Res. 2022; 52(6): 411-21.</w:t>
      </w:r>
    </w:p>
    <w:p w14:paraId="7B8715C2" w14:textId="77777777" w:rsidR="00D91C49" w:rsidRPr="00D91C49" w:rsidRDefault="00D91C49" w:rsidP="00234FA4">
      <w:pPr>
        <w:pStyle w:val="ListParagraph"/>
        <w:numPr>
          <w:ilvl w:val="0"/>
          <w:numId w:val="1"/>
        </w:numPr>
        <w:jc w:val="both"/>
        <w:rPr>
          <w:rFonts w:cstheme="minorHAnsi"/>
        </w:rPr>
      </w:pPr>
      <w:r>
        <w:rPr>
          <w:rFonts w:cstheme="minorHAnsi"/>
        </w:rPr>
        <w:t xml:space="preserve">Kumar S, Kumar A, Gupta V, et al. Oral </w:t>
      </w:r>
      <w:proofErr w:type="spellStart"/>
      <w:r>
        <w:rPr>
          <w:rFonts w:cstheme="minorHAnsi"/>
        </w:rPr>
        <w:t>extende</w:t>
      </w:r>
      <w:proofErr w:type="spellEnd"/>
      <w:r>
        <w:rPr>
          <w:rFonts w:cstheme="minorHAnsi"/>
        </w:rPr>
        <w:t xml:space="preserve"> release drug delivery system: a promising approach. Asian J Pharm Tech. 2012; 2(2): 38-43.</w:t>
      </w:r>
    </w:p>
    <w:p w14:paraId="085AAF7D" w14:textId="77777777" w:rsidR="00F84B0F" w:rsidRPr="004200BF" w:rsidRDefault="004200BF" w:rsidP="00234FA4">
      <w:pPr>
        <w:pStyle w:val="ListParagraph"/>
        <w:numPr>
          <w:ilvl w:val="0"/>
          <w:numId w:val="1"/>
        </w:numPr>
        <w:jc w:val="both"/>
        <w:rPr>
          <w:rFonts w:cstheme="minorHAnsi"/>
        </w:rPr>
      </w:pPr>
      <w:r w:rsidRPr="004200BF">
        <w:rPr>
          <w:rFonts w:cstheme="minorHAnsi"/>
          <w:shd w:val="clear" w:color="auto" w:fill="FFFFFF"/>
        </w:rPr>
        <w:t>Saran AK, Holden NA, Garrison SR. Concerns regarding tablet splitting: a systemati</w:t>
      </w:r>
      <w:r>
        <w:rPr>
          <w:rFonts w:cstheme="minorHAnsi"/>
          <w:shd w:val="clear" w:color="auto" w:fill="FFFFFF"/>
        </w:rPr>
        <w:t>c review. BJGP Open. 2022</w:t>
      </w:r>
      <w:r w:rsidRPr="004200BF">
        <w:rPr>
          <w:rFonts w:cstheme="minorHAnsi"/>
          <w:shd w:val="clear" w:color="auto" w:fill="FFFFFF"/>
        </w:rPr>
        <w:t>;</w:t>
      </w:r>
      <w:r>
        <w:rPr>
          <w:rFonts w:cstheme="minorHAnsi"/>
          <w:shd w:val="clear" w:color="auto" w:fill="FFFFFF"/>
        </w:rPr>
        <w:t xml:space="preserve"> </w:t>
      </w:r>
      <w:r w:rsidRPr="004200BF">
        <w:rPr>
          <w:rFonts w:cstheme="minorHAnsi"/>
          <w:shd w:val="clear" w:color="auto" w:fill="FFFFFF"/>
        </w:rPr>
        <w:t>6(3):</w:t>
      </w:r>
      <w:r>
        <w:rPr>
          <w:rFonts w:cstheme="minorHAnsi"/>
          <w:shd w:val="clear" w:color="auto" w:fill="FFFFFF"/>
        </w:rPr>
        <w:t xml:space="preserve"> </w:t>
      </w:r>
      <w:r w:rsidRPr="004200BF">
        <w:rPr>
          <w:rFonts w:cstheme="minorHAnsi"/>
          <w:shd w:val="clear" w:color="auto" w:fill="FFFFFF"/>
        </w:rPr>
        <w:t xml:space="preserve">BJGPO.2022.0001. </w:t>
      </w:r>
    </w:p>
    <w:p w14:paraId="1A0AF334" w14:textId="77777777" w:rsidR="00F84B0F" w:rsidRPr="004200BF" w:rsidRDefault="004200BF" w:rsidP="00234FA4">
      <w:pPr>
        <w:pStyle w:val="ListParagraph"/>
        <w:numPr>
          <w:ilvl w:val="0"/>
          <w:numId w:val="1"/>
        </w:numPr>
        <w:jc w:val="both"/>
        <w:rPr>
          <w:rFonts w:cstheme="minorHAnsi"/>
        </w:rPr>
      </w:pPr>
      <w:r w:rsidRPr="004200BF">
        <w:rPr>
          <w:rFonts w:cstheme="minorHAnsi"/>
          <w:shd w:val="clear" w:color="auto" w:fill="FFFFFF"/>
        </w:rPr>
        <w:t xml:space="preserve">Jaradat A, Alomari EA, Bayan MF, </w:t>
      </w:r>
      <w:r>
        <w:rPr>
          <w:rFonts w:cstheme="minorHAnsi"/>
          <w:shd w:val="clear" w:color="auto" w:fill="FFFFFF"/>
        </w:rPr>
        <w:t>et al</w:t>
      </w:r>
      <w:r w:rsidRPr="004200BF">
        <w:rPr>
          <w:rFonts w:cstheme="minorHAnsi"/>
          <w:shd w:val="clear" w:color="auto" w:fill="FFFFFF"/>
        </w:rPr>
        <w:t>. Knowledge, attitudes and practices regarding medication splitting and crushing among the general public in Jordan: a cross-sectio</w:t>
      </w:r>
      <w:r>
        <w:rPr>
          <w:rFonts w:cstheme="minorHAnsi"/>
          <w:shd w:val="clear" w:color="auto" w:fill="FFFFFF"/>
        </w:rPr>
        <w:t>nal study. BMJ Open. 2024</w:t>
      </w:r>
      <w:r w:rsidRPr="004200BF">
        <w:rPr>
          <w:rFonts w:cstheme="minorHAnsi"/>
          <w:shd w:val="clear" w:color="auto" w:fill="FFFFFF"/>
        </w:rPr>
        <w:t>;</w:t>
      </w:r>
      <w:r>
        <w:rPr>
          <w:rFonts w:cstheme="minorHAnsi"/>
          <w:shd w:val="clear" w:color="auto" w:fill="FFFFFF"/>
        </w:rPr>
        <w:t xml:space="preserve"> </w:t>
      </w:r>
      <w:r w:rsidRPr="004200BF">
        <w:rPr>
          <w:rFonts w:cstheme="minorHAnsi"/>
          <w:shd w:val="clear" w:color="auto" w:fill="FFFFFF"/>
        </w:rPr>
        <w:t>14(11):</w:t>
      </w:r>
      <w:r>
        <w:rPr>
          <w:rFonts w:cstheme="minorHAnsi"/>
          <w:shd w:val="clear" w:color="auto" w:fill="FFFFFF"/>
        </w:rPr>
        <w:t xml:space="preserve"> </w:t>
      </w:r>
      <w:r w:rsidRPr="004200BF">
        <w:rPr>
          <w:rFonts w:cstheme="minorHAnsi"/>
          <w:shd w:val="clear" w:color="auto" w:fill="FFFFFF"/>
        </w:rPr>
        <w:t xml:space="preserve">e087109. </w:t>
      </w:r>
    </w:p>
    <w:p w14:paraId="3120CC7C" w14:textId="77777777" w:rsidR="005F2CEF" w:rsidRPr="005F2CEF" w:rsidRDefault="005F2CEF" w:rsidP="00234FA4">
      <w:pPr>
        <w:pStyle w:val="ListParagraph"/>
        <w:numPr>
          <w:ilvl w:val="0"/>
          <w:numId w:val="1"/>
        </w:numPr>
        <w:jc w:val="both"/>
        <w:rPr>
          <w:rFonts w:cstheme="minorHAnsi"/>
        </w:rPr>
      </w:pPr>
      <w:r w:rsidRPr="005F2CEF">
        <w:rPr>
          <w:rFonts w:cstheme="minorHAnsi"/>
          <w:shd w:val="clear" w:color="auto" w:fill="FFFFFF"/>
        </w:rPr>
        <w:t xml:space="preserve">Binson G, Sanchez C, </w:t>
      </w:r>
      <w:proofErr w:type="spellStart"/>
      <w:r w:rsidRPr="005F2CEF">
        <w:rPr>
          <w:rFonts w:cstheme="minorHAnsi"/>
          <w:shd w:val="clear" w:color="auto" w:fill="FFFFFF"/>
        </w:rPr>
        <w:t>Waton</w:t>
      </w:r>
      <w:proofErr w:type="spellEnd"/>
      <w:r w:rsidRPr="005F2CEF">
        <w:rPr>
          <w:rFonts w:cstheme="minorHAnsi"/>
          <w:shd w:val="clear" w:color="auto" w:fill="FFFFFF"/>
        </w:rPr>
        <w:t xml:space="preserve"> K, </w:t>
      </w:r>
      <w:proofErr w:type="spellStart"/>
      <w:r w:rsidRPr="005F2CEF">
        <w:rPr>
          <w:rFonts w:cstheme="minorHAnsi"/>
          <w:shd w:val="clear" w:color="auto" w:fill="FFFFFF"/>
        </w:rPr>
        <w:t>Chanat</w:t>
      </w:r>
      <w:proofErr w:type="spellEnd"/>
      <w:r w:rsidRPr="005F2CEF">
        <w:rPr>
          <w:rFonts w:cstheme="minorHAnsi"/>
          <w:shd w:val="clear" w:color="auto" w:fill="FFFFFF"/>
        </w:rPr>
        <w:t xml:space="preserve"> A, Di </w:t>
      </w:r>
      <w:proofErr w:type="spellStart"/>
      <w:r w:rsidRPr="005F2CEF">
        <w:rPr>
          <w:rFonts w:cstheme="minorHAnsi"/>
          <w:shd w:val="clear" w:color="auto" w:fill="FFFFFF"/>
        </w:rPr>
        <w:t>Maio</w:t>
      </w:r>
      <w:proofErr w:type="spellEnd"/>
      <w:r w:rsidRPr="005F2CEF">
        <w:rPr>
          <w:rFonts w:cstheme="minorHAnsi"/>
          <w:shd w:val="clear" w:color="auto" w:fill="FFFFFF"/>
        </w:rPr>
        <w:t xml:space="preserve"> M, </w:t>
      </w:r>
      <w:proofErr w:type="spellStart"/>
      <w:r w:rsidRPr="005F2CEF">
        <w:rPr>
          <w:rFonts w:cstheme="minorHAnsi"/>
          <w:shd w:val="clear" w:color="auto" w:fill="FFFFFF"/>
        </w:rPr>
        <w:t>Beuzit</w:t>
      </w:r>
      <w:proofErr w:type="spellEnd"/>
      <w:r w:rsidRPr="005F2CEF">
        <w:rPr>
          <w:rFonts w:cstheme="minorHAnsi"/>
          <w:shd w:val="clear" w:color="auto" w:fill="FFFFFF"/>
        </w:rPr>
        <w:t xml:space="preserve"> K, Dupuis A. Accuracy of Dose Administered to Children Using Off-Labelled or Unlicensed Oral Dosage Forms. Pharm. 2021; 13(7):</w:t>
      </w:r>
      <w:r>
        <w:rPr>
          <w:rFonts w:cstheme="minorHAnsi"/>
          <w:shd w:val="clear" w:color="auto" w:fill="FFFFFF"/>
        </w:rPr>
        <w:t xml:space="preserve"> </w:t>
      </w:r>
      <w:r w:rsidRPr="005F2CEF">
        <w:rPr>
          <w:rFonts w:cstheme="minorHAnsi"/>
          <w:shd w:val="clear" w:color="auto" w:fill="FFFFFF"/>
        </w:rPr>
        <w:t>1014. </w:t>
      </w:r>
    </w:p>
    <w:p w14:paraId="52518C89" w14:textId="77777777" w:rsidR="00F7675D" w:rsidRDefault="00F7675D" w:rsidP="00234FA4">
      <w:pPr>
        <w:pStyle w:val="ListParagraph"/>
        <w:numPr>
          <w:ilvl w:val="0"/>
          <w:numId w:val="1"/>
        </w:numPr>
        <w:jc w:val="both"/>
        <w:rPr>
          <w:rFonts w:cstheme="minorHAnsi"/>
        </w:rPr>
      </w:pPr>
      <w:r>
        <w:rPr>
          <w:rFonts w:cstheme="minorHAnsi"/>
        </w:rPr>
        <w:t xml:space="preserve">Chandrasekaran P, Kandasamy R. Solid oral flexible formulations for paediatric and geriatric patients: age-appropriate formulations platforms. Indian J Pharm Sci. 2018; 80(1): 14-25. </w:t>
      </w:r>
    </w:p>
    <w:p w14:paraId="1D89354B" w14:textId="77777777" w:rsidR="00234FA4" w:rsidRDefault="00234FA4" w:rsidP="00234FA4">
      <w:pPr>
        <w:pStyle w:val="ListParagraph"/>
        <w:numPr>
          <w:ilvl w:val="0"/>
          <w:numId w:val="1"/>
        </w:numPr>
        <w:jc w:val="both"/>
        <w:rPr>
          <w:rFonts w:cstheme="minorHAnsi"/>
        </w:rPr>
      </w:pPr>
      <w:r w:rsidRPr="006331DA">
        <w:rPr>
          <w:rFonts w:cstheme="minorHAnsi"/>
        </w:rPr>
        <w:t xml:space="preserve">Hauber B, Hand MV, Hancock BC, </w:t>
      </w:r>
      <w:r>
        <w:rPr>
          <w:rFonts w:cstheme="minorHAnsi"/>
        </w:rPr>
        <w:t>et al</w:t>
      </w:r>
      <w:r w:rsidRPr="006331DA">
        <w:rPr>
          <w:rFonts w:cstheme="minorHAnsi"/>
        </w:rPr>
        <w:t>. Patient Acceptability and Preferences for Solid Oral Dosage Form Drug Product Attributes: A Scoping Review. Patie</w:t>
      </w:r>
      <w:r>
        <w:rPr>
          <w:rFonts w:cstheme="minorHAnsi"/>
        </w:rPr>
        <w:t>nt Prefer Adherence. 2024</w:t>
      </w:r>
      <w:r w:rsidRPr="006331DA">
        <w:rPr>
          <w:rFonts w:cstheme="minorHAnsi"/>
        </w:rPr>
        <w:t>;</w:t>
      </w:r>
      <w:r>
        <w:rPr>
          <w:rFonts w:cstheme="minorHAnsi"/>
        </w:rPr>
        <w:t xml:space="preserve"> </w:t>
      </w:r>
      <w:r w:rsidRPr="006331DA">
        <w:rPr>
          <w:rFonts w:cstheme="minorHAnsi"/>
        </w:rPr>
        <w:t>18:</w:t>
      </w:r>
      <w:r>
        <w:rPr>
          <w:rFonts w:cstheme="minorHAnsi"/>
        </w:rPr>
        <w:t xml:space="preserve"> 1281-</w:t>
      </w:r>
      <w:r w:rsidRPr="006331DA">
        <w:rPr>
          <w:rFonts w:cstheme="minorHAnsi"/>
        </w:rPr>
        <w:t xml:space="preserve">97. </w:t>
      </w:r>
    </w:p>
    <w:p w14:paraId="33CE49B3" w14:textId="77777777" w:rsidR="00234FA4" w:rsidRDefault="00234FA4" w:rsidP="00234FA4">
      <w:pPr>
        <w:pStyle w:val="ListParagraph"/>
        <w:numPr>
          <w:ilvl w:val="0"/>
          <w:numId w:val="1"/>
        </w:numPr>
        <w:jc w:val="both"/>
        <w:rPr>
          <w:rFonts w:cstheme="minorHAnsi"/>
        </w:rPr>
      </w:pPr>
      <w:proofErr w:type="spellStart"/>
      <w:r w:rsidRPr="008E39B3">
        <w:rPr>
          <w:rFonts w:cstheme="minorHAnsi"/>
        </w:rPr>
        <w:t>Malkawi</w:t>
      </w:r>
      <w:proofErr w:type="spellEnd"/>
      <w:r w:rsidRPr="008E39B3">
        <w:rPr>
          <w:rFonts w:cstheme="minorHAnsi"/>
        </w:rPr>
        <w:t xml:space="preserve"> WA, </w:t>
      </w:r>
      <w:proofErr w:type="spellStart"/>
      <w:r w:rsidRPr="008E39B3">
        <w:rPr>
          <w:rFonts w:cstheme="minorHAnsi"/>
        </w:rPr>
        <w:t>AlRafayah</w:t>
      </w:r>
      <w:proofErr w:type="spellEnd"/>
      <w:r w:rsidRPr="008E39B3">
        <w:rPr>
          <w:rFonts w:cstheme="minorHAnsi"/>
        </w:rPr>
        <w:t xml:space="preserve"> E, </w:t>
      </w:r>
      <w:proofErr w:type="spellStart"/>
      <w:r w:rsidRPr="008E39B3">
        <w:rPr>
          <w:rFonts w:cstheme="minorHAnsi"/>
        </w:rPr>
        <w:t>AlHazabreh</w:t>
      </w:r>
      <w:proofErr w:type="spellEnd"/>
      <w:r w:rsidRPr="008E39B3">
        <w:rPr>
          <w:rFonts w:cstheme="minorHAnsi"/>
        </w:rPr>
        <w:t xml:space="preserve"> M, </w:t>
      </w:r>
      <w:r w:rsidR="00D116B8">
        <w:rPr>
          <w:rFonts w:cstheme="minorHAnsi"/>
        </w:rPr>
        <w:t>et al</w:t>
      </w:r>
      <w:r w:rsidRPr="008E39B3">
        <w:rPr>
          <w:rFonts w:cstheme="minorHAnsi"/>
        </w:rPr>
        <w:t xml:space="preserve">. Formulation Challenges and Strategies to Develop </w:t>
      </w:r>
      <w:proofErr w:type="spellStart"/>
      <w:r w:rsidRPr="008E39B3">
        <w:rPr>
          <w:rFonts w:cstheme="minorHAnsi"/>
        </w:rPr>
        <w:t>Pediatric</w:t>
      </w:r>
      <w:proofErr w:type="spellEnd"/>
      <w:r w:rsidRPr="008E39B3">
        <w:rPr>
          <w:rFonts w:cstheme="minorHAnsi"/>
        </w:rPr>
        <w:t xml:space="preserve"> Dosage For</w:t>
      </w:r>
      <w:r w:rsidR="00D116B8">
        <w:rPr>
          <w:rFonts w:cstheme="minorHAnsi"/>
        </w:rPr>
        <w:t>ms. Children (Basel). 2022</w:t>
      </w:r>
      <w:r w:rsidRPr="008E39B3">
        <w:rPr>
          <w:rFonts w:cstheme="minorHAnsi"/>
        </w:rPr>
        <w:t>;</w:t>
      </w:r>
      <w:r w:rsidR="00D116B8">
        <w:rPr>
          <w:rFonts w:cstheme="minorHAnsi"/>
        </w:rPr>
        <w:t xml:space="preserve"> </w:t>
      </w:r>
      <w:r w:rsidRPr="008E39B3">
        <w:rPr>
          <w:rFonts w:cstheme="minorHAnsi"/>
        </w:rPr>
        <w:t>9(4):</w:t>
      </w:r>
      <w:r w:rsidR="00D116B8">
        <w:rPr>
          <w:rFonts w:cstheme="minorHAnsi"/>
        </w:rPr>
        <w:t xml:space="preserve"> </w:t>
      </w:r>
      <w:r w:rsidRPr="008E39B3">
        <w:rPr>
          <w:rFonts w:cstheme="minorHAnsi"/>
        </w:rPr>
        <w:t>488.</w:t>
      </w:r>
    </w:p>
    <w:p w14:paraId="0BEE2E80" w14:textId="77777777" w:rsidR="00234FA4" w:rsidRDefault="00234FA4" w:rsidP="00234FA4">
      <w:pPr>
        <w:pStyle w:val="ListParagraph"/>
        <w:numPr>
          <w:ilvl w:val="0"/>
          <w:numId w:val="1"/>
        </w:numPr>
        <w:jc w:val="both"/>
        <w:rPr>
          <w:rFonts w:cstheme="minorHAnsi"/>
        </w:rPr>
      </w:pPr>
      <w:r w:rsidRPr="00372E1F">
        <w:rPr>
          <w:rFonts w:cstheme="minorHAnsi"/>
        </w:rPr>
        <w:t xml:space="preserve">Belissa E, </w:t>
      </w:r>
      <w:proofErr w:type="spellStart"/>
      <w:r w:rsidRPr="00372E1F">
        <w:rPr>
          <w:rFonts w:cstheme="minorHAnsi"/>
        </w:rPr>
        <w:t>Vallet</w:t>
      </w:r>
      <w:proofErr w:type="spellEnd"/>
      <w:r w:rsidRPr="00372E1F">
        <w:rPr>
          <w:rFonts w:cstheme="minorHAnsi"/>
        </w:rPr>
        <w:t xml:space="preserve"> T, </w:t>
      </w:r>
      <w:proofErr w:type="spellStart"/>
      <w:r w:rsidRPr="00372E1F">
        <w:rPr>
          <w:rFonts w:cstheme="minorHAnsi"/>
        </w:rPr>
        <w:t>Laribe-Caget</w:t>
      </w:r>
      <w:proofErr w:type="spellEnd"/>
      <w:r w:rsidRPr="00372E1F">
        <w:rPr>
          <w:rFonts w:cstheme="minorHAnsi"/>
        </w:rPr>
        <w:t xml:space="preserve"> S, </w:t>
      </w:r>
      <w:r>
        <w:rPr>
          <w:rFonts w:cstheme="minorHAnsi"/>
        </w:rPr>
        <w:t xml:space="preserve">et al. </w:t>
      </w:r>
      <w:r w:rsidRPr="00372E1F">
        <w:rPr>
          <w:rFonts w:cstheme="minorHAnsi"/>
        </w:rPr>
        <w:t>Acceptability of oral liquid pharmaceutical products in older adults: palatability and swallowability</w:t>
      </w:r>
      <w:r>
        <w:rPr>
          <w:rFonts w:cstheme="minorHAnsi"/>
        </w:rPr>
        <w:t xml:space="preserve"> issues. BMC </w:t>
      </w:r>
      <w:proofErr w:type="spellStart"/>
      <w:r>
        <w:rPr>
          <w:rFonts w:cstheme="minorHAnsi"/>
        </w:rPr>
        <w:t>Geriatr</w:t>
      </w:r>
      <w:proofErr w:type="spellEnd"/>
      <w:r>
        <w:rPr>
          <w:rFonts w:cstheme="minorHAnsi"/>
        </w:rPr>
        <w:t>. 2019</w:t>
      </w:r>
      <w:r w:rsidRPr="00372E1F">
        <w:rPr>
          <w:rFonts w:cstheme="minorHAnsi"/>
        </w:rPr>
        <w:t>;</w:t>
      </w:r>
      <w:r>
        <w:rPr>
          <w:rFonts w:cstheme="minorHAnsi"/>
        </w:rPr>
        <w:t xml:space="preserve"> </w:t>
      </w:r>
      <w:r w:rsidRPr="00372E1F">
        <w:rPr>
          <w:rFonts w:cstheme="minorHAnsi"/>
        </w:rPr>
        <w:t>19(1):</w:t>
      </w:r>
      <w:r>
        <w:rPr>
          <w:rFonts w:cstheme="minorHAnsi"/>
        </w:rPr>
        <w:t xml:space="preserve"> </w:t>
      </w:r>
      <w:r w:rsidRPr="00372E1F">
        <w:rPr>
          <w:rFonts w:cstheme="minorHAnsi"/>
        </w:rPr>
        <w:t xml:space="preserve">344. </w:t>
      </w:r>
    </w:p>
    <w:p w14:paraId="4B7A8924" w14:textId="77777777" w:rsidR="00234FA4" w:rsidRDefault="00234FA4" w:rsidP="00234FA4">
      <w:pPr>
        <w:pStyle w:val="ListParagraph"/>
        <w:numPr>
          <w:ilvl w:val="0"/>
          <w:numId w:val="1"/>
        </w:numPr>
        <w:jc w:val="both"/>
        <w:rPr>
          <w:rFonts w:cstheme="minorHAnsi"/>
        </w:rPr>
      </w:pPr>
      <w:r w:rsidRPr="00372E1F">
        <w:rPr>
          <w:rFonts w:cstheme="minorHAnsi"/>
        </w:rPr>
        <w:lastRenderedPageBreak/>
        <w:t xml:space="preserve">Meyers RS. The Past, Present, and Future of Oral Dosage Forms for Children. J </w:t>
      </w:r>
      <w:proofErr w:type="spellStart"/>
      <w:r w:rsidRPr="00372E1F">
        <w:rPr>
          <w:rFonts w:cstheme="minorHAnsi"/>
        </w:rPr>
        <w:t>Pediatr</w:t>
      </w:r>
      <w:proofErr w:type="spellEnd"/>
      <w:r w:rsidRPr="00372E1F">
        <w:rPr>
          <w:rFonts w:cstheme="minorHAnsi"/>
        </w:rPr>
        <w:t xml:space="preserve"> </w:t>
      </w:r>
      <w:proofErr w:type="spellStart"/>
      <w:r w:rsidRPr="00372E1F">
        <w:rPr>
          <w:rFonts w:cstheme="minorHAnsi"/>
        </w:rPr>
        <w:t>Pharmacol</w:t>
      </w:r>
      <w:proofErr w:type="spellEnd"/>
      <w:r w:rsidRPr="00372E1F">
        <w:rPr>
          <w:rFonts w:cstheme="minorHAnsi"/>
        </w:rPr>
        <w:t xml:space="preserve"> </w:t>
      </w:r>
      <w:proofErr w:type="spellStart"/>
      <w:r w:rsidRPr="00372E1F">
        <w:rPr>
          <w:rFonts w:cstheme="minorHAnsi"/>
        </w:rPr>
        <w:t>Ther</w:t>
      </w:r>
      <w:proofErr w:type="spellEnd"/>
      <w:r w:rsidRPr="00372E1F">
        <w:rPr>
          <w:rFonts w:cstheme="minorHAnsi"/>
        </w:rPr>
        <w:t>. 2024;</w:t>
      </w:r>
      <w:r>
        <w:rPr>
          <w:rFonts w:cstheme="minorHAnsi"/>
        </w:rPr>
        <w:t xml:space="preserve"> </w:t>
      </w:r>
      <w:r w:rsidRPr="00372E1F">
        <w:rPr>
          <w:rFonts w:cstheme="minorHAnsi"/>
        </w:rPr>
        <w:t>29(1):</w:t>
      </w:r>
      <w:r>
        <w:rPr>
          <w:rFonts w:cstheme="minorHAnsi"/>
        </w:rPr>
        <w:t xml:space="preserve"> </w:t>
      </w:r>
      <w:r w:rsidRPr="00372E1F">
        <w:rPr>
          <w:rFonts w:cstheme="minorHAnsi"/>
        </w:rPr>
        <w:t xml:space="preserve">22-31. </w:t>
      </w:r>
    </w:p>
    <w:p w14:paraId="36EBFD19" w14:textId="77777777" w:rsidR="00CA5382" w:rsidRDefault="00CA5382" w:rsidP="00234FA4">
      <w:pPr>
        <w:pStyle w:val="ListParagraph"/>
        <w:numPr>
          <w:ilvl w:val="0"/>
          <w:numId w:val="1"/>
        </w:numPr>
        <w:jc w:val="both"/>
        <w:rPr>
          <w:rFonts w:cstheme="minorHAnsi"/>
        </w:rPr>
      </w:pPr>
      <w:proofErr w:type="spellStart"/>
      <w:r>
        <w:rPr>
          <w:rFonts w:cstheme="minorHAnsi"/>
        </w:rPr>
        <w:t>Meshram</w:t>
      </w:r>
      <w:proofErr w:type="spellEnd"/>
      <w:r>
        <w:rPr>
          <w:rFonts w:cstheme="minorHAnsi"/>
        </w:rPr>
        <w:t xml:space="preserve"> SI, </w:t>
      </w:r>
      <w:proofErr w:type="spellStart"/>
      <w:r>
        <w:rPr>
          <w:rFonts w:cstheme="minorHAnsi"/>
        </w:rPr>
        <w:t>Hatwar</w:t>
      </w:r>
      <w:proofErr w:type="spellEnd"/>
      <w:r>
        <w:rPr>
          <w:rFonts w:cstheme="minorHAnsi"/>
        </w:rPr>
        <w:t xml:space="preserve"> PR, </w:t>
      </w:r>
      <w:proofErr w:type="spellStart"/>
      <w:r>
        <w:rPr>
          <w:rFonts w:cstheme="minorHAnsi"/>
        </w:rPr>
        <w:t>Bakal</w:t>
      </w:r>
      <w:proofErr w:type="spellEnd"/>
      <w:r>
        <w:rPr>
          <w:rFonts w:cstheme="minorHAnsi"/>
        </w:rPr>
        <w:t xml:space="preserve"> RL, et al. A comprehensive review on liquid oral dosage form. World J Pharm Res. 2023; 12(21): 1307-24.</w:t>
      </w:r>
    </w:p>
    <w:p w14:paraId="16598BD1" w14:textId="77777777" w:rsidR="00234FA4" w:rsidRDefault="00234FA4" w:rsidP="00234FA4">
      <w:pPr>
        <w:pStyle w:val="ListParagraph"/>
        <w:numPr>
          <w:ilvl w:val="0"/>
          <w:numId w:val="1"/>
        </w:numPr>
        <w:jc w:val="both"/>
        <w:rPr>
          <w:rFonts w:cstheme="minorHAnsi"/>
        </w:rPr>
      </w:pPr>
      <w:r w:rsidRPr="00372E1F">
        <w:rPr>
          <w:rFonts w:cstheme="minorHAnsi"/>
        </w:rPr>
        <w:t xml:space="preserve">Alqahtani MS, </w:t>
      </w:r>
      <w:proofErr w:type="spellStart"/>
      <w:r w:rsidRPr="00372E1F">
        <w:rPr>
          <w:rFonts w:cstheme="minorHAnsi"/>
        </w:rPr>
        <w:t>Kazi</w:t>
      </w:r>
      <w:proofErr w:type="spellEnd"/>
      <w:r w:rsidRPr="00372E1F">
        <w:rPr>
          <w:rFonts w:cstheme="minorHAnsi"/>
        </w:rPr>
        <w:t xml:space="preserve"> M, </w:t>
      </w:r>
      <w:proofErr w:type="spellStart"/>
      <w:r w:rsidRPr="00372E1F">
        <w:rPr>
          <w:rFonts w:cstheme="minorHAnsi"/>
        </w:rPr>
        <w:t>Alsenaidy</w:t>
      </w:r>
      <w:proofErr w:type="spellEnd"/>
      <w:r w:rsidRPr="00372E1F">
        <w:rPr>
          <w:rFonts w:cstheme="minorHAnsi"/>
        </w:rPr>
        <w:t xml:space="preserve"> MA, </w:t>
      </w:r>
      <w:r w:rsidR="00D116B8">
        <w:rPr>
          <w:rFonts w:cstheme="minorHAnsi"/>
        </w:rPr>
        <w:t>et al</w:t>
      </w:r>
      <w:r w:rsidRPr="00372E1F">
        <w:rPr>
          <w:rFonts w:cstheme="minorHAnsi"/>
        </w:rPr>
        <w:t>. Advances in Oral Drug Delive</w:t>
      </w:r>
      <w:r>
        <w:rPr>
          <w:rFonts w:cstheme="minorHAnsi"/>
        </w:rPr>
        <w:t xml:space="preserve">ry. Front </w:t>
      </w:r>
      <w:proofErr w:type="spellStart"/>
      <w:r>
        <w:rPr>
          <w:rFonts w:cstheme="minorHAnsi"/>
        </w:rPr>
        <w:t>Pharmacol</w:t>
      </w:r>
      <w:proofErr w:type="spellEnd"/>
      <w:r>
        <w:rPr>
          <w:rFonts w:cstheme="minorHAnsi"/>
        </w:rPr>
        <w:t>. 2021</w:t>
      </w:r>
      <w:r w:rsidRPr="00372E1F">
        <w:rPr>
          <w:rFonts w:cstheme="minorHAnsi"/>
        </w:rPr>
        <w:t>;</w:t>
      </w:r>
      <w:r>
        <w:rPr>
          <w:rFonts w:cstheme="minorHAnsi"/>
        </w:rPr>
        <w:t xml:space="preserve"> </w:t>
      </w:r>
      <w:r w:rsidRPr="00372E1F">
        <w:rPr>
          <w:rFonts w:cstheme="minorHAnsi"/>
        </w:rPr>
        <w:t>12:</w:t>
      </w:r>
      <w:r>
        <w:rPr>
          <w:rFonts w:cstheme="minorHAnsi"/>
        </w:rPr>
        <w:t xml:space="preserve"> </w:t>
      </w:r>
      <w:r w:rsidRPr="00372E1F">
        <w:rPr>
          <w:rFonts w:cstheme="minorHAnsi"/>
        </w:rPr>
        <w:t xml:space="preserve">618411. </w:t>
      </w:r>
    </w:p>
    <w:p w14:paraId="04557B57" w14:textId="77777777" w:rsidR="00C922A8" w:rsidRDefault="00234FA4" w:rsidP="00234FA4">
      <w:pPr>
        <w:pStyle w:val="ListParagraph"/>
        <w:numPr>
          <w:ilvl w:val="0"/>
          <w:numId w:val="1"/>
        </w:numPr>
        <w:jc w:val="both"/>
        <w:rPr>
          <w:rFonts w:cstheme="minorHAnsi"/>
        </w:rPr>
      </w:pPr>
      <w:r w:rsidRPr="00234FA4">
        <w:rPr>
          <w:rFonts w:cstheme="minorHAnsi"/>
        </w:rPr>
        <w:t xml:space="preserve">Agarwal A, Choudhury S, Sindhu A, </w:t>
      </w:r>
      <w:r w:rsidR="00D116B8">
        <w:rPr>
          <w:rFonts w:cstheme="minorHAnsi"/>
        </w:rPr>
        <w:t>et al</w:t>
      </w:r>
      <w:r w:rsidRPr="00234FA4">
        <w:rPr>
          <w:rFonts w:cstheme="minorHAnsi"/>
        </w:rPr>
        <w:t>. Taste and efficacy comparison of two paracetamol preparations for the treatment of fever in children. J Med Sci Clin. 2025; 13(10): 1-9.</w:t>
      </w:r>
    </w:p>
    <w:p w14:paraId="5E6964BD" w14:textId="77777777" w:rsidR="00B93CA3" w:rsidRPr="00B93CA3" w:rsidRDefault="00B93CA3" w:rsidP="00234FA4">
      <w:pPr>
        <w:pStyle w:val="ListParagraph"/>
        <w:numPr>
          <w:ilvl w:val="0"/>
          <w:numId w:val="1"/>
        </w:numPr>
        <w:jc w:val="both"/>
        <w:rPr>
          <w:rFonts w:cstheme="minorHAnsi"/>
        </w:rPr>
      </w:pPr>
      <w:proofErr w:type="spellStart"/>
      <w:r w:rsidRPr="00B93CA3">
        <w:rPr>
          <w:rFonts w:cstheme="minorHAnsi"/>
          <w:color w:val="1B1B1B"/>
          <w:shd w:val="clear" w:color="auto" w:fill="FFFFFF"/>
        </w:rPr>
        <w:t>Adepu</w:t>
      </w:r>
      <w:proofErr w:type="spellEnd"/>
      <w:r w:rsidRPr="00B93CA3">
        <w:rPr>
          <w:rFonts w:cstheme="minorHAnsi"/>
          <w:color w:val="1B1B1B"/>
          <w:shd w:val="clear" w:color="auto" w:fill="FFFFFF"/>
        </w:rPr>
        <w:t xml:space="preserve"> S, Ramakrishna S. Controlled Drug Delivery Systems: Current Status and Future Directions. Molecules. 2021;</w:t>
      </w:r>
      <w:r>
        <w:rPr>
          <w:rFonts w:cstheme="minorHAnsi"/>
          <w:color w:val="1B1B1B"/>
          <w:shd w:val="clear" w:color="auto" w:fill="FFFFFF"/>
        </w:rPr>
        <w:t xml:space="preserve"> </w:t>
      </w:r>
      <w:r w:rsidRPr="00B93CA3">
        <w:rPr>
          <w:rFonts w:cstheme="minorHAnsi"/>
          <w:color w:val="1B1B1B"/>
          <w:shd w:val="clear" w:color="auto" w:fill="FFFFFF"/>
        </w:rPr>
        <w:t>26(19):</w:t>
      </w:r>
      <w:r>
        <w:rPr>
          <w:rFonts w:cstheme="minorHAnsi"/>
          <w:color w:val="1B1B1B"/>
          <w:shd w:val="clear" w:color="auto" w:fill="FFFFFF"/>
        </w:rPr>
        <w:t xml:space="preserve"> </w:t>
      </w:r>
      <w:r w:rsidRPr="00B93CA3">
        <w:rPr>
          <w:rFonts w:cstheme="minorHAnsi"/>
          <w:color w:val="1B1B1B"/>
          <w:shd w:val="clear" w:color="auto" w:fill="FFFFFF"/>
        </w:rPr>
        <w:t>5905.</w:t>
      </w:r>
    </w:p>
    <w:sectPr w:rsidR="00B93CA3" w:rsidRPr="00B93CA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1E81" w14:textId="77777777" w:rsidR="002976DD" w:rsidRDefault="002976DD" w:rsidP="00207479">
      <w:pPr>
        <w:spacing w:after="0" w:line="240" w:lineRule="auto"/>
      </w:pPr>
      <w:r>
        <w:separator/>
      </w:r>
    </w:p>
  </w:endnote>
  <w:endnote w:type="continuationSeparator" w:id="0">
    <w:p w14:paraId="4343302C" w14:textId="77777777" w:rsidR="002976DD" w:rsidRDefault="002976DD" w:rsidP="0020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8C2A" w14:textId="77777777" w:rsidR="00207479" w:rsidRDefault="0020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132B" w14:textId="77777777" w:rsidR="00207479" w:rsidRDefault="00207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B9C4" w14:textId="77777777" w:rsidR="00207479" w:rsidRDefault="0020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9FEAC" w14:textId="77777777" w:rsidR="002976DD" w:rsidRDefault="002976DD" w:rsidP="00207479">
      <w:pPr>
        <w:spacing w:after="0" w:line="240" w:lineRule="auto"/>
      </w:pPr>
      <w:r>
        <w:separator/>
      </w:r>
    </w:p>
  </w:footnote>
  <w:footnote w:type="continuationSeparator" w:id="0">
    <w:p w14:paraId="3FD47173" w14:textId="77777777" w:rsidR="002976DD" w:rsidRDefault="002976DD" w:rsidP="0020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8CF3" w14:textId="309E8638" w:rsidR="00207479" w:rsidRDefault="00207479">
    <w:pPr>
      <w:pStyle w:val="Header"/>
    </w:pPr>
    <w:r>
      <w:rPr>
        <w:noProof/>
      </w:rPr>
      <w:pict w14:anchorId="38DA7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051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DACA" w14:textId="005F43CC" w:rsidR="00207479" w:rsidRDefault="00207479">
    <w:pPr>
      <w:pStyle w:val="Header"/>
    </w:pPr>
    <w:r>
      <w:rPr>
        <w:noProof/>
      </w:rPr>
      <w:pict w14:anchorId="5FA96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051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B4F0" w14:textId="7756202B" w:rsidR="00207479" w:rsidRDefault="00207479">
    <w:pPr>
      <w:pStyle w:val="Header"/>
    </w:pPr>
    <w:r>
      <w:rPr>
        <w:noProof/>
      </w:rPr>
      <w:pict w14:anchorId="5614C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051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7BD1"/>
    <w:multiLevelType w:val="hybridMultilevel"/>
    <w:tmpl w:val="15B420B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1F78C6"/>
    <w:multiLevelType w:val="hybridMultilevel"/>
    <w:tmpl w:val="7C703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A04588"/>
    <w:multiLevelType w:val="hybridMultilevel"/>
    <w:tmpl w:val="79F2B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6F5EE8"/>
    <w:multiLevelType w:val="hybridMultilevel"/>
    <w:tmpl w:val="744867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3C14E3"/>
    <w:multiLevelType w:val="hybridMultilevel"/>
    <w:tmpl w:val="744867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0F3DE5"/>
    <w:multiLevelType w:val="hybridMultilevel"/>
    <w:tmpl w:val="7148326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04"/>
    <w:rsid w:val="00026775"/>
    <w:rsid w:val="00047FF7"/>
    <w:rsid w:val="0005399C"/>
    <w:rsid w:val="000A1407"/>
    <w:rsid w:val="00127395"/>
    <w:rsid w:val="00151E89"/>
    <w:rsid w:val="00152BDF"/>
    <w:rsid w:val="00181AB1"/>
    <w:rsid w:val="00197E42"/>
    <w:rsid w:val="001C3816"/>
    <w:rsid w:val="001D3B95"/>
    <w:rsid w:val="001D63B1"/>
    <w:rsid w:val="001E1D4B"/>
    <w:rsid w:val="00207479"/>
    <w:rsid w:val="00212EE7"/>
    <w:rsid w:val="00234FA4"/>
    <w:rsid w:val="002430FC"/>
    <w:rsid w:val="00255F9F"/>
    <w:rsid w:val="00266B9B"/>
    <w:rsid w:val="002976DD"/>
    <w:rsid w:val="002E60A3"/>
    <w:rsid w:val="0030770C"/>
    <w:rsid w:val="00372E1F"/>
    <w:rsid w:val="00383D19"/>
    <w:rsid w:val="003C54E1"/>
    <w:rsid w:val="003E0CFE"/>
    <w:rsid w:val="003E39E0"/>
    <w:rsid w:val="003F3B24"/>
    <w:rsid w:val="004200BF"/>
    <w:rsid w:val="004239AE"/>
    <w:rsid w:val="00424C76"/>
    <w:rsid w:val="00443577"/>
    <w:rsid w:val="00476FAE"/>
    <w:rsid w:val="00483624"/>
    <w:rsid w:val="004A5E49"/>
    <w:rsid w:val="004C5842"/>
    <w:rsid w:val="004E366D"/>
    <w:rsid w:val="004E6BA0"/>
    <w:rsid w:val="00520FAE"/>
    <w:rsid w:val="00532B2E"/>
    <w:rsid w:val="005859CA"/>
    <w:rsid w:val="005A78D2"/>
    <w:rsid w:val="005B0E7F"/>
    <w:rsid w:val="005F2CEF"/>
    <w:rsid w:val="005F542C"/>
    <w:rsid w:val="006019AB"/>
    <w:rsid w:val="00626C92"/>
    <w:rsid w:val="00632B21"/>
    <w:rsid w:val="006331DA"/>
    <w:rsid w:val="00644BF5"/>
    <w:rsid w:val="006513A6"/>
    <w:rsid w:val="00654820"/>
    <w:rsid w:val="00655A4A"/>
    <w:rsid w:val="00656E02"/>
    <w:rsid w:val="00660D87"/>
    <w:rsid w:val="00681AA2"/>
    <w:rsid w:val="0068344A"/>
    <w:rsid w:val="00685C3B"/>
    <w:rsid w:val="00697FB3"/>
    <w:rsid w:val="006B28A5"/>
    <w:rsid w:val="006D2A25"/>
    <w:rsid w:val="006D56D5"/>
    <w:rsid w:val="006E06FB"/>
    <w:rsid w:val="006E56B7"/>
    <w:rsid w:val="006F06E2"/>
    <w:rsid w:val="00703138"/>
    <w:rsid w:val="00705244"/>
    <w:rsid w:val="00782F66"/>
    <w:rsid w:val="007D22AA"/>
    <w:rsid w:val="007D4B04"/>
    <w:rsid w:val="007E22AE"/>
    <w:rsid w:val="007E6D91"/>
    <w:rsid w:val="007F019D"/>
    <w:rsid w:val="0082479C"/>
    <w:rsid w:val="00832234"/>
    <w:rsid w:val="0085049C"/>
    <w:rsid w:val="0086297C"/>
    <w:rsid w:val="00882EDF"/>
    <w:rsid w:val="00885274"/>
    <w:rsid w:val="008D36D4"/>
    <w:rsid w:val="008D56DE"/>
    <w:rsid w:val="008D5E8B"/>
    <w:rsid w:val="008E39B3"/>
    <w:rsid w:val="009130F7"/>
    <w:rsid w:val="009347CA"/>
    <w:rsid w:val="00951683"/>
    <w:rsid w:val="00957C67"/>
    <w:rsid w:val="009615D1"/>
    <w:rsid w:val="00961FF2"/>
    <w:rsid w:val="009E3E80"/>
    <w:rsid w:val="009F5341"/>
    <w:rsid w:val="00A03865"/>
    <w:rsid w:val="00A13BA3"/>
    <w:rsid w:val="00A15D04"/>
    <w:rsid w:val="00A6022D"/>
    <w:rsid w:val="00A64C72"/>
    <w:rsid w:val="00A65FA7"/>
    <w:rsid w:val="00A82459"/>
    <w:rsid w:val="00AE3BA5"/>
    <w:rsid w:val="00B14253"/>
    <w:rsid w:val="00B40038"/>
    <w:rsid w:val="00B61466"/>
    <w:rsid w:val="00B66EFE"/>
    <w:rsid w:val="00B70CAC"/>
    <w:rsid w:val="00B93CA3"/>
    <w:rsid w:val="00BB7CAF"/>
    <w:rsid w:val="00C22969"/>
    <w:rsid w:val="00C32D99"/>
    <w:rsid w:val="00C52709"/>
    <w:rsid w:val="00C922A8"/>
    <w:rsid w:val="00C97B2D"/>
    <w:rsid w:val="00CA5382"/>
    <w:rsid w:val="00CB1980"/>
    <w:rsid w:val="00CE234C"/>
    <w:rsid w:val="00D116B8"/>
    <w:rsid w:val="00D7403F"/>
    <w:rsid w:val="00D87CCD"/>
    <w:rsid w:val="00D91C49"/>
    <w:rsid w:val="00DE3EDD"/>
    <w:rsid w:val="00DE7E6E"/>
    <w:rsid w:val="00E079F3"/>
    <w:rsid w:val="00E472DC"/>
    <w:rsid w:val="00E5217A"/>
    <w:rsid w:val="00E64144"/>
    <w:rsid w:val="00E65D03"/>
    <w:rsid w:val="00E74804"/>
    <w:rsid w:val="00E95D9B"/>
    <w:rsid w:val="00EF5F88"/>
    <w:rsid w:val="00EF7C23"/>
    <w:rsid w:val="00F110B0"/>
    <w:rsid w:val="00F43BB0"/>
    <w:rsid w:val="00F57AF6"/>
    <w:rsid w:val="00F7576A"/>
    <w:rsid w:val="00F7675D"/>
    <w:rsid w:val="00F84B0F"/>
    <w:rsid w:val="00F86C16"/>
    <w:rsid w:val="00FE00CC"/>
    <w:rsid w:val="00FF3318"/>
    <w:rsid w:val="00FF3F2C"/>
    <w:rsid w:val="00FF7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71729"/>
  <w15:chartTrackingRefBased/>
  <w15:docId w15:val="{E9027959-3714-42B1-9A04-9D9F2AB7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318"/>
    <w:rPr>
      <w:color w:val="0563C1" w:themeColor="hyperlink"/>
      <w:u w:val="single"/>
    </w:rPr>
  </w:style>
  <w:style w:type="paragraph" w:styleId="ListParagraph">
    <w:name w:val="List Paragraph"/>
    <w:basedOn w:val="Normal"/>
    <w:uiPriority w:val="34"/>
    <w:qFormat/>
    <w:rsid w:val="00632B21"/>
    <w:pPr>
      <w:ind w:left="720"/>
      <w:contextualSpacing/>
    </w:pPr>
  </w:style>
  <w:style w:type="character" w:styleId="Strong">
    <w:name w:val="Strong"/>
    <w:basedOn w:val="DefaultParagraphFont"/>
    <w:uiPriority w:val="22"/>
    <w:qFormat/>
    <w:rsid w:val="00644BF5"/>
    <w:rPr>
      <w:b/>
      <w:bCs/>
    </w:rPr>
  </w:style>
  <w:style w:type="table" w:styleId="TableGrid">
    <w:name w:val="Table Grid"/>
    <w:basedOn w:val="TableNormal"/>
    <w:uiPriority w:val="39"/>
    <w:rsid w:val="00F1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234FA4"/>
    <w:rPr>
      <w:i/>
      <w:iCs/>
    </w:rPr>
  </w:style>
  <w:style w:type="character" w:customStyle="1" w:styleId="bkciteavail">
    <w:name w:val="bk_cite_avail"/>
    <w:basedOn w:val="DefaultParagraphFont"/>
    <w:rsid w:val="00234FA4"/>
  </w:style>
  <w:style w:type="character" w:styleId="Emphasis">
    <w:name w:val="Emphasis"/>
    <w:basedOn w:val="DefaultParagraphFont"/>
    <w:uiPriority w:val="20"/>
    <w:qFormat/>
    <w:rsid w:val="005F2CEF"/>
    <w:rPr>
      <w:i/>
      <w:iCs/>
    </w:rPr>
  </w:style>
  <w:style w:type="character" w:styleId="UnresolvedMention">
    <w:name w:val="Unresolved Mention"/>
    <w:basedOn w:val="DefaultParagraphFont"/>
    <w:uiPriority w:val="99"/>
    <w:semiHidden/>
    <w:unhideWhenUsed/>
    <w:rsid w:val="00A82459"/>
    <w:rPr>
      <w:color w:val="605E5C"/>
      <w:shd w:val="clear" w:color="auto" w:fill="E1DFDD"/>
    </w:rPr>
  </w:style>
  <w:style w:type="paragraph" w:styleId="Header">
    <w:name w:val="header"/>
    <w:basedOn w:val="Normal"/>
    <w:link w:val="HeaderChar"/>
    <w:uiPriority w:val="99"/>
    <w:unhideWhenUsed/>
    <w:rsid w:val="0020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79"/>
  </w:style>
  <w:style w:type="paragraph" w:styleId="Footer">
    <w:name w:val="footer"/>
    <w:basedOn w:val="Normal"/>
    <w:link w:val="FooterChar"/>
    <w:uiPriority w:val="99"/>
    <w:unhideWhenUsed/>
    <w:rsid w:val="0020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inaging.org/medications-older-adults/medications-work-differently-older-adults" TargetMode="External"/><Relationship Id="rId18" Type="http://schemas.openxmlformats.org/officeDocument/2006/relationships/hyperlink" Target="https://pmc.ncbi.nlm.nih.gov/articles/PMC473231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osemontpharma.com/swallowing-difficulties/" TargetMode="External"/><Relationship Id="rId7" Type="http://schemas.openxmlformats.org/officeDocument/2006/relationships/hyperlink" Target="medicalaffairs4@pulsepharma.net" TargetMode="External"/><Relationship Id="rId12" Type="http://schemas.openxmlformats.org/officeDocument/2006/relationships/hyperlink" Target="https://www.rosemontpharma.com/swallowing-difficulties/" TargetMode="External"/><Relationship Id="rId17" Type="http://schemas.openxmlformats.org/officeDocument/2006/relationships/hyperlink" Target="https://doi.org/10.4088/PCC.15l0179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books/NBK519508/" TargetMode="External"/><Relationship Id="rId20" Type="http://schemas.openxmlformats.org/officeDocument/2006/relationships/hyperlink" Target="https://www.healthforkids.co.uk/illness/giving-medicine-to-childr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vic.gov.au/older-people-in-hospital/nutrition-and-swallowing-in-older-people/swallowi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afp.org/pubs/afp/issues/2020/0215/p241.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nthealth.org/conditions/aging-and-swallowing/" TargetMode="External"/><Relationship Id="rId19" Type="http://schemas.openxmlformats.org/officeDocument/2006/relationships/hyperlink" Target="https://pubmed.ncbi.nlm.nih.gov/26835168/" TargetMode="External"/><Relationship Id="rId4" Type="http://schemas.openxmlformats.org/officeDocument/2006/relationships/webSettings" Target="webSettings.xml"/><Relationship Id="rId9" Type="http://schemas.openxmlformats.org/officeDocument/2006/relationships/hyperlink" Target="https://www.helpinghandshomecare.co.uk/care-advice/why-do-the-elderly-have-trouble-swallowing/" TargetMode="External"/><Relationship Id="rId14" Type="http://schemas.openxmlformats.org/officeDocument/2006/relationships/hyperlink" Target="https://www.ncbi.nlm.nih.gov/books/NBK55917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18774</TotalTime>
  <Pages>9</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 Chowdary</dc:creator>
  <cp:keywords/>
  <dc:description/>
  <cp:lastModifiedBy>SDI 1084</cp:lastModifiedBy>
  <cp:revision>96</cp:revision>
  <dcterms:created xsi:type="dcterms:W3CDTF">2025-11-11T11:23:00Z</dcterms:created>
  <dcterms:modified xsi:type="dcterms:W3CDTF">2026-03-04T10:51:00Z</dcterms:modified>
</cp:coreProperties>
</file>