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72531" w14:textId="77777777" w:rsidR="00942F58" w:rsidRPr="00942F58" w:rsidRDefault="00942F58" w:rsidP="00942F58">
      <w:pPr>
        <w:rPr>
          <w:rFonts w:ascii="Arial Black" w:hAnsi="Arial Black"/>
          <w:b/>
          <w:bCs/>
          <w:sz w:val="36"/>
          <w:szCs w:val="36"/>
        </w:rPr>
      </w:pPr>
      <w:r w:rsidRPr="00942F58">
        <w:rPr>
          <w:rFonts w:ascii="Arial Black" w:hAnsi="Arial Black"/>
          <w:b/>
          <w:bCs/>
          <w:i/>
          <w:iCs/>
          <w:sz w:val="36"/>
          <w:szCs w:val="36"/>
        </w:rPr>
        <w:t>Gongronema latifolium</w:t>
      </w:r>
      <w:r w:rsidRPr="00942F58">
        <w:rPr>
          <w:rFonts w:ascii="Arial Black" w:hAnsi="Arial Black"/>
          <w:b/>
          <w:bCs/>
          <w:sz w:val="36"/>
          <w:szCs w:val="36"/>
        </w:rPr>
        <w:t xml:space="preserve"> Leaf Extract improved Liver Function and ameliorated Oxidative Stress better than Quercetin in Lead-Exposed Male Wistar Rats</w:t>
      </w:r>
    </w:p>
    <w:p w14:paraId="68BAAF3A" w14:textId="77777777" w:rsidR="00754C9A" w:rsidRDefault="00754C9A" w:rsidP="00942F58">
      <w:pPr>
        <w:pStyle w:val="Title"/>
        <w:spacing w:after="0"/>
        <w:jc w:val="both"/>
        <w:rPr>
          <w:rFonts w:ascii="Arial" w:hAnsi="Arial" w:cs="Arial"/>
        </w:rPr>
      </w:pPr>
    </w:p>
    <w:p w14:paraId="28A03B9A" w14:textId="0F939FFB" w:rsidR="002C57D2" w:rsidRPr="00FB3A86" w:rsidRDefault="00942F58" w:rsidP="00085D2C">
      <w:pPr>
        <w:pStyle w:val="Author"/>
        <w:spacing w:line="240" w:lineRule="auto"/>
        <w:jc w:val="both"/>
        <w:rPr>
          <w:rFonts w:ascii="Arial" w:hAnsi="Arial" w:cs="Arial"/>
        </w:rPr>
      </w:pPr>
      <w:r>
        <w:rPr>
          <w:rFonts w:ascii="Arial" w:hAnsi="Arial" w:cs="Arial"/>
          <w:bCs/>
          <w:iCs/>
          <w:kern w:val="28"/>
          <w:sz w:val="36"/>
        </w:rPr>
        <w:t xml:space="preserve"> </w:t>
      </w:r>
    </w:p>
    <w:p w14:paraId="261B4EA0" w14:textId="77777777" w:rsidR="00B01FCD" w:rsidRPr="00FB3A86" w:rsidRDefault="00070CD4" w:rsidP="00441B6F">
      <w:pPr>
        <w:pStyle w:val="Copyright"/>
        <w:spacing w:after="0" w:line="240" w:lineRule="auto"/>
        <w:jc w:val="both"/>
        <w:rPr>
          <w:rFonts w:ascii="Arial" w:hAnsi="Arial" w:cs="Arial"/>
        </w:rPr>
        <w:sectPr w:rsidR="00B01FCD" w:rsidRPr="00FB3A86" w:rsidSect="00085D2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167108E" wp14:editId="59F2F578">
                <wp:extent cx="5303520" cy="635"/>
                <wp:effectExtent l="11430" t="18415" r="9525" b="1016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F26E8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0A4152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D47D8">
        <w:rPr>
          <w:rFonts w:ascii="Arial" w:hAnsi="Arial" w:cs="Arial"/>
        </w:rPr>
        <w:t xml:space="preserve"> </w:t>
      </w:r>
    </w:p>
    <w:p w14:paraId="31CB9E5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A76933B" w14:textId="77777777" w:rsidTr="001E44FE">
        <w:tc>
          <w:tcPr>
            <w:tcW w:w="9576" w:type="dxa"/>
            <w:shd w:val="clear" w:color="auto" w:fill="F2F2F2"/>
          </w:tcPr>
          <w:p w14:paraId="6B86DD34" w14:textId="77777777" w:rsidR="00E3114E" w:rsidRPr="004E373F" w:rsidRDefault="00E3114E" w:rsidP="00441B6F">
            <w:pPr>
              <w:pStyle w:val="Body"/>
              <w:spacing w:after="0"/>
              <w:rPr>
                <w:rFonts w:ascii="Arial Black" w:eastAsia="Calibri" w:hAnsi="Arial Black" w:cs="Arial"/>
                <w:b/>
                <w:sz w:val="22"/>
                <w:szCs w:val="22"/>
              </w:rPr>
            </w:pPr>
          </w:p>
          <w:p w14:paraId="2FE0F88F" w14:textId="77777777" w:rsidR="00BA1B01" w:rsidRPr="00C56F7E" w:rsidRDefault="00BA1B01" w:rsidP="00441B6F">
            <w:pPr>
              <w:pStyle w:val="Body"/>
              <w:spacing w:after="0"/>
              <w:rPr>
                <w:rFonts w:ascii="Arial" w:hAnsi="Arial" w:cs="Arial"/>
              </w:rPr>
            </w:pPr>
            <w:r w:rsidRPr="00A10F86">
              <w:rPr>
                <w:rFonts w:ascii="Arial Black" w:eastAsia="Calibri" w:hAnsi="Arial Black" w:cs="Arial"/>
                <w:b/>
              </w:rPr>
              <w:t>Aims</w:t>
            </w:r>
            <w:r w:rsidRPr="004E373F">
              <w:rPr>
                <w:rFonts w:ascii="Arial Black" w:eastAsia="Calibri" w:hAnsi="Arial Black" w:cs="Arial"/>
                <w:b/>
                <w:sz w:val="22"/>
                <w:szCs w:val="22"/>
              </w:rPr>
              <w:t>:</w:t>
            </w:r>
            <w:r w:rsidR="00943D2E" w:rsidRPr="004E373F">
              <w:rPr>
                <w:rFonts w:ascii="Arial Black" w:eastAsia="Calibri" w:hAnsi="Arial Black" w:cs="Arial"/>
                <w:b/>
                <w:sz w:val="22"/>
                <w:szCs w:val="22"/>
              </w:rPr>
              <w:t xml:space="preserve"> </w:t>
            </w:r>
            <w:r w:rsidR="00943D2E" w:rsidRPr="00C56F7E">
              <w:rPr>
                <w:rFonts w:ascii="Arial" w:hAnsi="Arial" w:cs="Arial"/>
              </w:rPr>
              <w:t xml:space="preserve">Lead is one of the difficult-to-remove environmental toxins that target the liver through the mechanism of oxidative stress and interference with cell membranes. In resource-poor areas, naturally occurring antioxidants could provide cheap alternatives. This study investigated how quercetin and </w:t>
            </w:r>
            <w:r w:rsidR="00943D2E" w:rsidRPr="00C56F7E">
              <w:rPr>
                <w:rFonts w:ascii="Arial" w:hAnsi="Arial" w:cs="Arial"/>
                <w:i/>
                <w:iCs/>
              </w:rPr>
              <w:t>Gongronema latifolium</w:t>
            </w:r>
            <w:r w:rsidR="00943D2E" w:rsidRPr="00C56F7E">
              <w:rPr>
                <w:rFonts w:ascii="Arial" w:hAnsi="Arial" w:cs="Arial"/>
              </w:rPr>
              <w:t xml:space="preserve"> leaf extract protect the liver from oxidative stress in male Wistar rats exposed to lead</w:t>
            </w:r>
          </w:p>
          <w:p w14:paraId="64AC4DF4" w14:textId="77777777" w:rsidR="00943D2E" w:rsidRPr="00C56F7E" w:rsidRDefault="00943D2E" w:rsidP="00441B6F">
            <w:pPr>
              <w:pStyle w:val="Body"/>
              <w:spacing w:after="0"/>
              <w:rPr>
                <w:rFonts w:ascii="Arial" w:eastAsia="Calibri" w:hAnsi="Arial" w:cs="Arial"/>
                <w:sz w:val="22"/>
                <w:szCs w:val="22"/>
              </w:rPr>
            </w:pPr>
          </w:p>
          <w:p w14:paraId="413778D6" w14:textId="77777777" w:rsidR="00BA1B01" w:rsidRPr="00C56F7E" w:rsidRDefault="00BA1B01" w:rsidP="00441B6F">
            <w:pPr>
              <w:pStyle w:val="Body"/>
              <w:spacing w:after="0"/>
              <w:rPr>
                <w:rFonts w:ascii="Arial" w:hAnsi="Arial" w:cs="Arial"/>
              </w:rPr>
            </w:pPr>
            <w:r w:rsidRPr="00A10F86">
              <w:rPr>
                <w:rFonts w:ascii="Arial Black" w:eastAsia="Calibri" w:hAnsi="Arial Black" w:cs="Arial"/>
                <w:b/>
              </w:rPr>
              <w:t>Study design</w:t>
            </w:r>
            <w:r w:rsidRPr="004E373F">
              <w:rPr>
                <w:rFonts w:ascii="Arial Black" w:eastAsia="Calibri" w:hAnsi="Arial Black" w:cs="Arial"/>
                <w:b/>
                <w:sz w:val="22"/>
                <w:szCs w:val="22"/>
              </w:rPr>
              <w:t>:</w:t>
            </w:r>
            <w:r w:rsidR="00943D2E" w:rsidRPr="004E373F">
              <w:rPr>
                <w:rFonts w:ascii="Arial Black" w:hAnsi="Arial Black"/>
                <w:sz w:val="22"/>
                <w:szCs w:val="22"/>
              </w:rPr>
              <w:t xml:space="preserve"> </w:t>
            </w:r>
            <w:r w:rsidR="00943D2E" w:rsidRPr="00C56F7E">
              <w:rPr>
                <w:rFonts w:ascii="Arial" w:hAnsi="Arial" w:cs="Arial"/>
              </w:rPr>
              <w:t xml:space="preserve">An experimental randomized controlled design was adopted. using thirty (30) male Wistar rats assigned into six groups (n = 5). They include the following: a control, lead alone (50 mg/kg), lead with quercetin (500 mg/kg), and lead with three different dosages of </w:t>
            </w:r>
            <w:r w:rsidR="00943D2E" w:rsidRPr="00C56F7E">
              <w:rPr>
                <w:rFonts w:ascii="Arial" w:hAnsi="Arial" w:cs="Arial"/>
                <w:i/>
                <w:iCs/>
              </w:rPr>
              <w:t>Gongronema latifolium</w:t>
            </w:r>
            <w:r w:rsidR="00943D2E" w:rsidRPr="00C56F7E">
              <w:rPr>
                <w:rFonts w:ascii="Arial" w:hAnsi="Arial" w:cs="Arial"/>
              </w:rPr>
              <w:t xml:space="preserve"> extract (250, 500, 1000 mg/kg).</w:t>
            </w:r>
          </w:p>
          <w:p w14:paraId="08237280" w14:textId="77777777" w:rsidR="00943D2E" w:rsidRPr="00C56F7E" w:rsidRDefault="00943D2E" w:rsidP="00441B6F">
            <w:pPr>
              <w:pStyle w:val="Body"/>
              <w:spacing w:after="0"/>
              <w:rPr>
                <w:rFonts w:ascii="Arial" w:eastAsia="Calibri" w:hAnsi="Arial" w:cs="Arial"/>
              </w:rPr>
            </w:pPr>
          </w:p>
          <w:p w14:paraId="52EC5A49" w14:textId="77777777" w:rsidR="00BA1B01" w:rsidRPr="00C56F7E" w:rsidRDefault="00BA1B01" w:rsidP="00441B6F">
            <w:pPr>
              <w:pStyle w:val="Body"/>
              <w:spacing w:after="0"/>
              <w:rPr>
                <w:rFonts w:ascii="Arial" w:eastAsia="Calibri" w:hAnsi="Arial" w:cs="Arial"/>
                <w:sz w:val="22"/>
                <w:szCs w:val="22"/>
              </w:rPr>
            </w:pPr>
            <w:r w:rsidRPr="004E373F">
              <w:rPr>
                <w:rFonts w:ascii="Arial Black" w:eastAsia="Calibri" w:hAnsi="Arial Black" w:cs="Arial"/>
                <w:b/>
                <w:sz w:val="22"/>
                <w:szCs w:val="22"/>
              </w:rPr>
              <w:t>Place and Duration of Study</w:t>
            </w:r>
            <w:r w:rsidRPr="00C56F7E">
              <w:rPr>
                <w:rFonts w:ascii="Arial" w:eastAsia="Calibri" w:hAnsi="Arial" w:cs="Arial"/>
                <w:b/>
                <w:sz w:val="22"/>
                <w:szCs w:val="22"/>
              </w:rPr>
              <w:t>:</w:t>
            </w:r>
            <w:r w:rsidRPr="00C56F7E">
              <w:rPr>
                <w:rFonts w:ascii="Arial" w:eastAsia="Calibri" w:hAnsi="Arial" w:cs="Arial"/>
                <w:sz w:val="22"/>
                <w:szCs w:val="22"/>
              </w:rPr>
              <w:t xml:space="preserve"> </w:t>
            </w:r>
            <w:r w:rsidR="00227086" w:rsidRPr="00C56F7E">
              <w:rPr>
                <w:rFonts w:ascii="Arial" w:eastAsia="Calibri" w:hAnsi="Arial" w:cs="Arial"/>
                <w:sz w:val="22"/>
                <w:szCs w:val="22"/>
              </w:rPr>
              <w:t xml:space="preserve"> </w:t>
            </w:r>
            <w:r w:rsidR="00227086" w:rsidRPr="00C56F7E">
              <w:rPr>
                <w:rFonts w:ascii="Arial" w:eastAsia="Calibri" w:hAnsi="Arial" w:cs="Arial"/>
              </w:rPr>
              <w:t>Animal House Department of Human Physiology, Rivers State University.</w:t>
            </w:r>
          </w:p>
          <w:p w14:paraId="50508ECA" w14:textId="77777777" w:rsidR="00943D2E" w:rsidRPr="004E373F" w:rsidRDefault="00943D2E" w:rsidP="00441B6F">
            <w:pPr>
              <w:pStyle w:val="Body"/>
              <w:spacing w:after="0"/>
              <w:rPr>
                <w:rFonts w:ascii="Arial Black" w:eastAsia="Calibri" w:hAnsi="Arial Black" w:cs="Arial"/>
                <w:sz w:val="22"/>
                <w:szCs w:val="22"/>
              </w:rPr>
            </w:pPr>
          </w:p>
          <w:p w14:paraId="3D82C748" w14:textId="77777777" w:rsidR="00BA1B01" w:rsidRPr="00C56F7E" w:rsidRDefault="00BA1B01" w:rsidP="00441B6F">
            <w:pPr>
              <w:pStyle w:val="Body"/>
              <w:spacing w:after="0"/>
              <w:rPr>
                <w:rFonts w:ascii="Arial" w:hAnsi="Arial" w:cs="Arial"/>
              </w:rPr>
            </w:pPr>
            <w:r w:rsidRPr="004E373F">
              <w:rPr>
                <w:rFonts w:ascii="Arial Black" w:eastAsia="Calibri" w:hAnsi="Arial Black" w:cs="Arial"/>
                <w:b/>
                <w:bCs/>
                <w:sz w:val="22"/>
                <w:szCs w:val="22"/>
              </w:rPr>
              <w:t>Methodology:</w:t>
            </w:r>
            <w:r w:rsidRPr="004E373F">
              <w:rPr>
                <w:rFonts w:ascii="Arial Black" w:eastAsia="Calibri" w:hAnsi="Arial Black" w:cs="Arial"/>
                <w:sz w:val="22"/>
                <w:szCs w:val="22"/>
              </w:rPr>
              <w:t xml:space="preserve"> </w:t>
            </w:r>
            <w:r w:rsidR="00227086" w:rsidRPr="00C56F7E">
              <w:rPr>
                <w:rFonts w:ascii="Arial" w:hAnsi="Arial" w:cs="Arial"/>
              </w:rPr>
              <w:t>T</w:t>
            </w:r>
            <w:r w:rsidR="00943D2E" w:rsidRPr="00C56F7E">
              <w:rPr>
                <w:rFonts w:ascii="Arial" w:hAnsi="Arial" w:cs="Arial"/>
              </w:rPr>
              <w:t xml:space="preserve">hirty (30) male Wistar rats assigned into six groups (n = 5). They include the following: a control, lead alone (50 mg/kg), lead with quercetin (500 mg/kg), and lead with three different dosages of </w:t>
            </w:r>
            <w:r w:rsidR="00943D2E" w:rsidRPr="00C56F7E">
              <w:rPr>
                <w:rFonts w:ascii="Arial" w:hAnsi="Arial" w:cs="Arial"/>
                <w:i/>
                <w:iCs/>
              </w:rPr>
              <w:t>Gongronema latifolium</w:t>
            </w:r>
            <w:r w:rsidR="00943D2E" w:rsidRPr="00C56F7E">
              <w:rPr>
                <w:rFonts w:ascii="Arial" w:hAnsi="Arial" w:cs="Arial"/>
              </w:rPr>
              <w:t xml:space="preserve"> extract (250, 500, 1000 mg/kg). They were administered orally for four weeks. To determine the state of the liver or the level of oxidative stress, liver function tests were performed using</w:t>
            </w:r>
            <w:r w:rsidR="00943D2E" w:rsidRPr="00C56F7E">
              <w:rPr>
                <w:rFonts w:ascii="Arial" w:hAnsi="Arial" w:cs="Arial"/>
                <w:sz w:val="22"/>
                <w:szCs w:val="22"/>
              </w:rPr>
              <w:t xml:space="preserve"> </w:t>
            </w:r>
            <w:r w:rsidR="00943D2E" w:rsidRPr="00C56F7E">
              <w:rPr>
                <w:rFonts w:ascii="Arial" w:hAnsi="Arial" w:cs="Arial"/>
              </w:rPr>
              <w:t>normal biochemical tests for liver function indices and various markers for oxidative stress.</w:t>
            </w:r>
          </w:p>
          <w:p w14:paraId="5D23DE36" w14:textId="77777777" w:rsidR="00227086" w:rsidRPr="00227086" w:rsidRDefault="00227086" w:rsidP="00441B6F">
            <w:pPr>
              <w:pStyle w:val="Body"/>
              <w:spacing w:after="0"/>
              <w:rPr>
                <w:rFonts w:ascii="Arial Black" w:eastAsia="Calibri" w:hAnsi="Arial Black" w:cs="Arial"/>
              </w:rPr>
            </w:pPr>
          </w:p>
          <w:p w14:paraId="44109B47" w14:textId="77777777" w:rsidR="00BA1B01" w:rsidRDefault="00BA1B01" w:rsidP="00441B6F">
            <w:pPr>
              <w:pStyle w:val="Body"/>
              <w:spacing w:after="0"/>
              <w:rPr>
                <w:rFonts w:ascii="Arial Black" w:hAnsi="Arial Black"/>
              </w:rPr>
            </w:pPr>
            <w:r w:rsidRPr="00227086">
              <w:rPr>
                <w:rFonts w:ascii="Arial Black" w:eastAsia="Calibri" w:hAnsi="Arial Black" w:cs="Arial"/>
                <w:b/>
                <w:bCs/>
              </w:rPr>
              <w:t>Results:</w:t>
            </w:r>
            <w:r w:rsidRPr="00227086">
              <w:rPr>
                <w:rFonts w:ascii="Arial Black" w:eastAsia="Calibri" w:hAnsi="Arial Black" w:cs="Arial"/>
              </w:rPr>
              <w:t xml:space="preserve"> </w:t>
            </w:r>
            <w:r w:rsidR="004F7076" w:rsidRPr="00C56F7E">
              <w:rPr>
                <w:rFonts w:ascii="Arial" w:hAnsi="Arial" w:cs="Arial"/>
              </w:rPr>
              <w:t xml:space="preserve">In lead exposure, the levels of liver enzymes, bilirubin, and malondialdehyde increased, while the levels of antioxidant enzymes, total protein, and albumin decreased. The treatment with </w:t>
            </w:r>
            <w:r w:rsidR="004F7076" w:rsidRPr="00C56F7E">
              <w:rPr>
                <w:rFonts w:ascii="Arial" w:hAnsi="Arial" w:cs="Arial"/>
                <w:i/>
                <w:iCs/>
              </w:rPr>
              <w:t>Gongronema latifolium</w:t>
            </w:r>
            <w:r w:rsidR="004F7076" w:rsidRPr="00C56F7E">
              <w:rPr>
                <w:rFonts w:ascii="Arial" w:hAnsi="Arial" w:cs="Arial"/>
              </w:rPr>
              <w:t>, particularly the 500 and 1000 mg/kg preparations, returned all</w:t>
            </w:r>
            <w:r w:rsidR="004F7076" w:rsidRPr="00227086">
              <w:rPr>
                <w:rFonts w:ascii="Arial Black" w:hAnsi="Arial Black"/>
              </w:rPr>
              <w:t xml:space="preserve"> </w:t>
            </w:r>
            <w:r w:rsidR="004F7076" w:rsidRPr="00C56F7E">
              <w:rPr>
                <w:rFonts w:ascii="Arial" w:hAnsi="Arial" w:cs="Arial"/>
              </w:rPr>
              <w:t>the values to near normal. Quercetin was also</w:t>
            </w:r>
            <w:r w:rsidR="004F7076" w:rsidRPr="00227086">
              <w:rPr>
                <w:rFonts w:ascii="Arial Black" w:hAnsi="Arial Black"/>
              </w:rPr>
              <w:t xml:space="preserve"> </w:t>
            </w:r>
            <w:r w:rsidR="004F7076" w:rsidRPr="00C56F7E">
              <w:rPr>
                <w:rFonts w:ascii="Arial" w:hAnsi="Arial" w:cs="Arial"/>
              </w:rPr>
              <w:t>helpful, but to a</w:t>
            </w:r>
            <w:r w:rsidR="004F7076" w:rsidRPr="00227086">
              <w:rPr>
                <w:rFonts w:ascii="Arial Black" w:hAnsi="Arial Black"/>
              </w:rPr>
              <w:t xml:space="preserve"> </w:t>
            </w:r>
            <w:r w:rsidR="004F7076" w:rsidRPr="00C56F7E">
              <w:rPr>
                <w:rFonts w:ascii="Arial" w:hAnsi="Arial" w:cs="Arial"/>
              </w:rPr>
              <w:t>much lower and inconsistent degree.</w:t>
            </w:r>
          </w:p>
          <w:p w14:paraId="4C21CE94" w14:textId="77777777" w:rsidR="00227086" w:rsidRPr="00227086" w:rsidRDefault="00227086" w:rsidP="00441B6F">
            <w:pPr>
              <w:pStyle w:val="Body"/>
              <w:spacing w:after="0"/>
              <w:rPr>
                <w:rFonts w:ascii="Arial Black" w:eastAsia="Calibri" w:hAnsi="Arial Black" w:cs="Arial"/>
                <w:b/>
                <w:bCs/>
              </w:rPr>
            </w:pPr>
          </w:p>
          <w:p w14:paraId="47FEF129" w14:textId="77777777" w:rsidR="00505F06" w:rsidRPr="00BA1B01" w:rsidRDefault="00BA1B01" w:rsidP="00441B6F">
            <w:pPr>
              <w:pStyle w:val="Body"/>
              <w:spacing w:after="0"/>
              <w:rPr>
                <w:rFonts w:ascii="Arial" w:eastAsia="Calibri" w:hAnsi="Arial" w:cs="Arial"/>
                <w:szCs w:val="22"/>
              </w:rPr>
            </w:pPr>
            <w:r w:rsidRPr="00227086">
              <w:rPr>
                <w:rFonts w:ascii="Arial Black" w:eastAsia="Calibri" w:hAnsi="Arial Black" w:cs="Arial"/>
                <w:b/>
                <w:bCs/>
              </w:rPr>
              <w:t>Conclusion:</w:t>
            </w:r>
            <w:r w:rsidR="00227086">
              <w:rPr>
                <w:rFonts w:ascii="Arial Black" w:hAnsi="Arial Black"/>
              </w:rPr>
              <w:t xml:space="preserve"> </w:t>
            </w:r>
            <w:r w:rsidR="00227086" w:rsidRPr="00C56F7E">
              <w:rPr>
                <w:rFonts w:ascii="Arial" w:hAnsi="Arial" w:cs="Arial"/>
              </w:rPr>
              <w:t>T</w:t>
            </w:r>
            <w:r w:rsidR="004F7076" w:rsidRPr="00C56F7E">
              <w:rPr>
                <w:rFonts w:ascii="Arial" w:hAnsi="Arial" w:cs="Arial"/>
              </w:rPr>
              <w:t xml:space="preserve">he findings indicate that </w:t>
            </w:r>
            <w:r w:rsidR="004F7076" w:rsidRPr="00C56F7E">
              <w:rPr>
                <w:rFonts w:ascii="Arial" w:hAnsi="Arial" w:cs="Arial"/>
                <w:i/>
                <w:iCs/>
              </w:rPr>
              <w:t>Gongronema latifolium</w:t>
            </w:r>
            <w:r w:rsidR="004F7076" w:rsidRPr="00C56F7E">
              <w:rPr>
                <w:rFonts w:ascii="Arial" w:hAnsi="Arial" w:cs="Arial"/>
              </w:rPr>
              <w:t xml:space="preserve"> has better and dose-related protective capabilities against lead-induced liver injury compared to quercetin and could be a good natural remedy against a population exposed to the works of lead.</w:t>
            </w:r>
          </w:p>
        </w:tc>
      </w:tr>
    </w:tbl>
    <w:p w14:paraId="51FAF009" w14:textId="77777777" w:rsidR="00636EB2" w:rsidRDefault="00636EB2" w:rsidP="00441B6F">
      <w:pPr>
        <w:pStyle w:val="Body"/>
        <w:spacing w:after="0"/>
        <w:rPr>
          <w:rFonts w:ascii="Arial" w:hAnsi="Arial" w:cs="Arial"/>
          <w:i/>
        </w:rPr>
      </w:pPr>
    </w:p>
    <w:p w14:paraId="22D76C8D" w14:textId="77777777" w:rsidR="00A24E7E" w:rsidRDefault="004E373F" w:rsidP="004E373F">
      <w:pPr>
        <w:pStyle w:val="Body"/>
        <w:spacing w:after="0"/>
        <w:jc w:val="left"/>
        <w:rPr>
          <w:rFonts w:ascii="Arial" w:hAnsi="Arial" w:cs="Arial"/>
          <w:i/>
        </w:rPr>
      </w:pPr>
      <w:r>
        <w:rPr>
          <w:rFonts w:ascii="Arial" w:hAnsi="Arial" w:cs="Arial"/>
          <w:i/>
        </w:rPr>
        <w:t xml:space="preserve">Keywords: </w:t>
      </w:r>
      <w:r w:rsidRPr="004E373F">
        <w:rPr>
          <w:rFonts w:ascii="Arial Black" w:hAnsi="Arial Black"/>
          <w:i/>
        </w:rPr>
        <w:t xml:space="preserve">Lead toxicity, hepatotoxicity, oxidative stress, quercetin, </w:t>
      </w:r>
      <w:r w:rsidRPr="004E373F">
        <w:rPr>
          <w:rFonts w:ascii="Arial Black" w:hAnsi="Arial Black"/>
          <w:i/>
          <w:iCs/>
        </w:rPr>
        <w:t>Gongronema latifolium</w:t>
      </w:r>
      <w:r>
        <w:t>.</w:t>
      </w:r>
    </w:p>
    <w:p w14:paraId="3D6C2A8D" w14:textId="77777777" w:rsidR="00790ADA" w:rsidRDefault="00790ADA" w:rsidP="00441B6F">
      <w:pPr>
        <w:pStyle w:val="Body"/>
        <w:spacing w:after="0"/>
        <w:rPr>
          <w:rFonts w:ascii="Arial" w:hAnsi="Arial" w:cs="Arial"/>
          <w:i/>
        </w:rPr>
      </w:pPr>
    </w:p>
    <w:p w14:paraId="79A92814" w14:textId="77777777" w:rsidR="00B52896" w:rsidRDefault="00227086" w:rsidP="00441B6F">
      <w:pPr>
        <w:pStyle w:val="Body"/>
        <w:spacing w:after="0"/>
        <w:rPr>
          <w:rFonts w:ascii="Arial" w:hAnsi="Arial" w:cs="Arial"/>
          <w:i/>
          <w:sz w:val="18"/>
        </w:rPr>
      </w:pPr>
      <w:r>
        <w:rPr>
          <w:rFonts w:ascii="Arial" w:hAnsi="Arial" w:cs="Arial"/>
          <w:b/>
          <w:i/>
          <w:sz w:val="18"/>
        </w:rPr>
        <w:t xml:space="preserve"> </w:t>
      </w:r>
    </w:p>
    <w:p w14:paraId="697384B2" w14:textId="77777777" w:rsidR="0024282C" w:rsidRDefault="0024282C" w:rsidP="00441B6F">
      <w:pPr>
        <w:pStyle w:val="Body"/>
        <w:spacing w:after="0"/>
        <w:rPr>
          <w:rFonts w:ascii="Arial" w:hAnsi="Arial" w:cs="Arial"/>
          <w:i/>
          <w:sz w:val="18"/>
        </w:rPr>
      </w:pPr>
    </w:p>
    <w:p w14:paraId="0FB67D34" w14:textId="77777777" w:rsidR="00505F06" w:rsidRPr="00A24E7E" w:rsidRDefault="00505F06" w:rsidP="00441B6F">
      <w:pPr>
        <w:pStyle w:val="Body"/>
        <w:spacing w:after="0"/>
        <w:rPr>
          <w:rFonts w:ascii="Arial" w:hAnsi="Arial" w:cs="Arial"/>
          <w:i/>
        </w:rPr>
      </w:pPr>
    </w:p>
    <w:p w14:paraId="66EDF3E1" w14:textId="77777777" w:rsidR="007F7B32" w:rsidRDefault="00B01FCD" w:rsidP="00227086">
      <w:pPr>
        <w:pStyle w:val="AbstHead"/>
        <w:numPr>
          <w:ilvl w:val="0"/>
          <w:numId w:val="32"/>
        </w:numPr>
        <w:spacing w:after="0"/>
        <w:jc w:val="both"/>
        <w:rPr>
          <w:rFonts w:ascii="Arial" w:hAnsi="Arial" w:cs="Arial"/>
        </w:rPr>
      </w:pPr>
      <w:r w:rsidRPr="00FB3A86">
        <w:rPr>
          <w:rFonts w:ascii="Arial" w:hAnsi="Arial" w:cs="Arial"/>
        </w:rPr>
        <w:t>INTRODUCTION</w:t>
      </w:r>
    </w:p>
    <w:p w14:paraId="51B1DD39" w14:textId="77777777" w:rsidR="00227086" w:rsidRDefault="00227086" w:rsidP="00227086">
      <w:pPr>
        <w:pStyle w:val="AbstHead"/>
        <w:spacing w:after="0"/>
        <w:ind w:left="720"/>
        <w:jc w:val="both"/>
        <w:rPr>
          <w:rFonts w:ascii="Arial" w:hAnsi="Arial" w:cs="Arial"/>
        </w:rPr>
      </w:pPr>
    </w:p>
    <w:p w14:paraId="2F80AF6C" w14:textId="77777777" w:rsidR="00C56F7E" w:rsidRPr="00C56F7E" w:rsidRDefault="00227086" w:rsidP="00C56F7E">
      <w:pPr>
        <w:jc w:val="both"/>
        <w:rPr>
          <w:rFonts w:ascii="Arial" w:eastAsia="DengXian" w:hAnsi="Arial" w:cs="Arial"/>
          <w:kern w:val="2"/>
          <w:lang w:val="zh-CN"/>
        </w:rPr>
      </w:pPr>
      <w:r w:rsidRPr="00C56F7E">
        <w:rPr>
          <w:rFonts w:ascii="Arial" w:hAnsi="Arial" w:cs="Arial"/>
        </w:rPr>
        <w:t xml:space="preserve"> </w:t>
      </w:r>
      <w:r w:rsidR="00C56F7E" w:rsidRPr="00C56F7E">
        <w:rPr>
          <w:rFonts w:ascii="Arial" w:eastAsia="DengXian" w:hAnsi="Arial" w:cs="Arial"/>
          <w:kern w:val="2"/>
          <w:lang w:val="zh-CN"/>
        </w:rPr>
        <w:t>Lead has been one of the most prevalent and hazardous factors of environmental contamination worldwide. The major contributing factors include various processes at industrial levels, recycling of batteries, the deteriorating quality of water supplies, and aging lead-based paints. Over  several decades and more recently on settling up initiatives to minimize lead contamination, many populations around developing countries continue to face serious issues of lead exposure, and it has been evident globally (Tong et al., 2000; Tchounwou et al., 2012; Luby et al., 2024). These, in turn, contribute to serious health issues like brain, kidney, heart, and liver disorders, placing serious concerns over lead poisoning as a public health concern even today</w:t>
      </w:r>
      <w:r w:rsidR="00C56F7E" w:rsidRPr="00C56F7E">
        <w:rPr>
          <w:rFonts w:ascii="Arial" w:eastAsia="DengXian" w:hAnsi="Arial" w:cs="Arial"/>
          <w:kern w:val="2"/>
        </w:rPr>
        <w:t xml:space="preserve"> (Onyeso et al., 2015)</w:t>
      </w:r>
      <w:r w:rsidR="00C56F7E" w:rsidRPr="00C56F7E">
        <w:rPr>
          <w:rFonts w:ascii="Arial" w:eastAsia="DengXian" w:hAnsi="Arial" w:cs="Arial"/>
          <w:kern w:val="2"/>
          <w:lang w:val="zh-CN"/>
        </w:rPr>
        <w:t>.</w:t>
      </w:r>
    </w:p>
    <w:p w14:paraId="76D6824C" w14:textId="77777777" w:rsidR="00C56F7E" w:rsidRPr="00C56F7E" w:rsidRDefault="00C56F7E" w:rsidP="00C56F7E">
      <w:pPr>
        <w:spacing w:after="160" w:line="278" w:lineRule="auto"/>
        <w:jc w:val="both"/>
        <w:rPr>
          <w:rFonts w:ascii="Arial" w:eastAsia="DengXian" w:hAnsi="Arial" w:cs="Arial"/>
          <w:kern w:val="2"/>
          <w:lang w:val="zh-CN"/>
        </w:rPr>
      </w:pPr>
    </w:p>
    <w:p w14:paraId="1E518311" w14:textId="77777777" w:rsidR="00C56F7E" w:rsidRPr="00C56F7E" w:rsidRDefault="00C56F7E" w:rsidP="00C56F7E">
      <w:pPr>
        <w:spacing w:after="160" w:line="278" w:lineRule="auto"/>
        <w:jc w:val="both"/>
        <w:rPr>
          <w:rFonts w:ascii="Arial" w:eastAsia="DengXian" w:hAnsi="Arial" w:cs="Arial"/>
          <w:kern w:val="2"/>
          <w:lang w:val="zh-CN"/>
        </w:rPr>
      </w:pPr>
      <w:r w:rsidRPr="00C56F7E">
        <w:rPr>
          <w:rFonts w:ascii="Arial" w:eastAsia="DengXian" w:hAnsi="Arial" w:cs="Arial"/>
          <w:kern w:val="2"/>
          <w:lang w:val="zh-CN"/>
        </w:rPr>
        <w:t>The liver is more prone to being damaged by lead toxicity, especially because it is involved in detoxification, metabolism, and in the alteration of exogenous chemicals (Trefts et al., 2017). Accumulatively, reactive oxygen species are generated as well as a suppression of antioxidant mechanisms, thereby causing oxidative stress during the processing of lead (Flora et al., 2012; Jomova et al., 2023). This causes significant damage to lipids and proteins, as well as mitochondrial and membrane integrity. This leads to a leaking of enzymes such as aspartate aminotransferase (AST) and alkaline phosphatase (ALP) and even disorders in bilirubin and protein synthesis (Giannini et al., 2005; Sharma et al., 2014).</w:t>
      </w:r>
    </w:p>
    <w:p w14:paraId="381DD48E" w14:textId="77777777" w:rsidR="00C56F7E" w:rsidRPr="00C56F7E" w:rsidRDefault="00C56F7E" w:rsidP="00C56F7E">
      <w:pPr>
        <w:spacing w:after="160" w:line="278" w:lineRule="auto"/>
        <w:jc w:val="both"/>
        <w:rPr>
          <w:rFonts w:ascii="Arial" w:eastAsia="DengXian" w:hAnsi="Arial" w:cs="Arial"/>
          <w:kern w:val="2"/>
          <w:lang w:val="zh-CN"/>
        </w:rPr>
      </w:pPr>
      <w:r w:rsidRPr="00C56F7E">
        <w:rPr>
          <w:rFonts w:ascii="Arial" w:eastAsia="DengXian" w:hAnsi="Arial" w:cs="Arial"/>
          <w:kern w:val="2"/>
          <w:lang w:val="zh-CN"/>
        </w:rPr>
        <w:t>Oxidative stress is the center point through which the mechanism by which lead-induced liver toxicity starts (Allameh et al., 2023). The body's primary defense strategy consists of the presence of low levels of reduced glutathione (GSH) and antioxidant enzymes such as superoxide dismutase (SOD), catalase (CAT), and glutathione peroxidase (GPx). Lead interferes with the defense system by binding to sulfhydryl groups and consequently inhibiting the function of these antioxidant enzymes, which worsens the toxic effect (Patra et al., 2011; Allameh et al., 2023). An elevated level of malondialdehyde (MDA), an end product of lipid peroxidation in the presence of lead, is an indicator of cellular injury.</w:t>
      </w:r>
    </w:p>
    <w:p w14:paraId="6B7019F5" w14:textId="77777777" w:rsidR="00C56F7E" w:rsidRPr="00C56F7E" w:rsidRDefault="00C56F7E" w:rsidP="00C56F7E">
      <w:pPr>
        <w:spacing w:after="160" w:line="278" w:lineRule="auto"/>
        <w:jc w:val="both"/>
        <w:rPr>
          <w:rFonts w:ascii="Arial" w:eastAsia="DengXian" w:hAnsi="Arial" w:cs="Arial"/>
          <w:kern w:val="2"/>
          <w:lang w:val="zh-CN"/>
        </w:rPr>
      </w:pPr>
      <w:r w:rsidRPr="00C56F7E">
        <w:rPr>
          <w:rFonts w:ascii="Arial" w:eastAsia="DengXian" w:hAnsi="Arial" w:cs="Arial"/>
          <w:kern w:val="2"/>
          <w:lang w:val="zh-CN"/>
        </w:rPr>
        <w:t>Conventional medicine in the treatment of lead poisoning mainly focuses on the use of chelation therapy. Although chelation therapy has the advantage of reducing the metals in the body, its usage is limited by the disadvantages that include being costly, toxicological effects, depletion of essential metals in the body, and unequal geographical distribution (Sears, 2013; Lamas et al., 2016). This has created the need to find natural antioxidants that will help in the recovery of the liver.</w:t>
      </w:r>
    </w:p>
    <w:p w14:paraId="46A0CC0E" w14:textId="77777777" w:rsidR="00C56F7E" w:rsidRPr="00C56F7E" w:rsidRDefault="00C56F7E" w:rsidP="00C56F7E">
      <w:pPr>
        <w:spacing w:after="160" w:line="278" w:lineRule="auto"/>
        <w:jc w:val="both"/>
        <w:rPr>
          <w:rFonts w:ascii="Arial" w:eastAsia="DengXian" w:hAnsi="Arial" w:cs="Arial"/>
          <w:kern w:val="2"/>
          <w:lang w:val="zh-CN"/>
        </w:rPr>
      </w:pPr>
      <w:r w:rsidRPr="00C56F7E">
        <w:rPr>
          <w:rFonts w:ascii="Arial" w:eastAsia="DengXian" w:hAnsi="Arial" w:cs="Arial"/>
          <w:kern w:val="2"/>
          <w:lang w:val="zh-CN"/>
        </w:rPr>
        <w:t>Quercetin, one of the flavonoids rich in fruits and vegetables, has been evaluated in its antioxidant, anti-inflammatory, and metal-chelating activities (Boots et al., 2008; Li et al., 2016). In experimental models of heavy metal toxicity, quercetin reduces oxidative stress and improves liver functions. However, its activity can be hindered by reduced bioavailability and the absence of synergistic actions of other phytochemicals.</w:t>
      </w:r>
    </w:p>
    <w:p w14:paraId="21C11F43" w14:textId="77777777" w:rsidR="00C56F7E" w:rsidRPr="00C56F7E" w:rsidRDefault="00C56F7E" w:rsidP="00C56F7E">
      <w:pPr>
        <w:spacing w:after="160" w:line="278" w:lineRule="auto"/>
        <w:jc w:val="both"/>
        <w:rPr>
          <w:rFonts w:ascii="Arial" w:eastAsia="DengXian" w:hAnsi="Arial" w:cs="Arial"/>
          <w:kern w:val="2"/>
          <w:lang w:val="zh-CN"/>
        </w:rPr>
      </w:pPr>
      <w:r w:rsidRPr="00C56F7E">
        <w:rPr>
          <w:rFonts w:ascii="Arial" w:eastAsia="DengXian" w:hAnsi="Arial" w:cs="Arial"/>
          <w:i/>
          <w:iCs/>
          <w:kern w:val="2"/>
          <w:lang w:val="zh-CN"/>
        </w:rPr>
        <w:t>Gongronema latifolium</w:t>
      </w:r>
      <w:r w:rsidRPr="00C56F7E">
        <w:rPr>
          <w:rFonts w:ascii="Arial" w:eastAsia="DengXian" w:hAnsi="Arial" w:cs="Arial"/>
          <w:kern w:val="2"/>
          <w:lang w:val="zh-CN"/>
        </w:rPr>
        <w:t xml:space="preserve">, also known as a leafy vegetable, is a traditionally consumed food in African culture and used in the treatment of metabolic disorders and liver-related problems. </w:t>
      </w:r>
      <w:r w:rsidRPr="00C56F7E">
        <w:rPr>
          <w:rFonts w:ascii="Arial" w:eastAsia="DengXian" w:hAnsi="Arial" w:cs="Arial"/>
          <w:kern w:val="2"/>
          <w:lang w:val="zh-CN"/>
        </w:rPr>
        <w:lastRenderedPageBreak/>
        <w:t xml:space="preserve">Phytochemical evaluation of this plant extract established the presence of flavonoids, phenolic acids, alkaloids, and saponins with potential antioxidant and anti-inflammatory effects (Eleyinmi, 2007; Ugochukwu &amp; Babady, 2002). Research results indicate that this plant extract exerts protective functions against chemically induced liver injury (Effiong et al., 2013; Nwangwu et al., 2011). </w:t>
      </w:r>
    </w:p>
    <w:p w14:paraId="08D90F95" w14:textId="77777777" w:rsidR="00C56F7E" w:rsidRPr="00C56F7E" w:rsidRDefault="00C56F7E" w:rsidP="00C56F7E">
      <w:pPr>
        <w:spacing w:after="160" w:line="278" w:lineRule="auto"/>
        <w:jc w:val="both"/>
        <w:rPr>
          <w:rFonts w:ascii="Arial" w:eastAsia="DengXian" w:hAnsi="Arial" w:cs="Arial"/>
          <w:kern w:val="2"/>
          <w:lang w:val="zh-CN"/>
        </w:rPr>
      </w:pPr>
    </w:p>
    <w:p w14:paraId="0A376A20" w14:textId="77777777" w:rsidR="00C56F7E" w:rsidRPr="00C56F7E" w:rsidRDefault="00C56F7E" w:rsidP="00C56F7E">
      <w:pPr>
        <w:spacing w:after="160" w:line="278" w:lineRule="auto"/>
        <w:jc w:val="both"/>
        <w:rPr>
          <w:rFonts w:ascii="Arial" w:eastAsia="DengXian" w:hAnsi="Arial" w:cs="Arial"/>
          <w:kern w:val="2"/>
          <w:lang w:val="zh-CN"/>
        </w:rPr>
      </w:pPr>
      <w:r w:rsidRPr="00C56F7E">
        <w:rPr>
          <w:rFonts w:ascii="Arial" w:eastAsia="DengXian" w:hAnsi="Arial" w:cs="Arial"/>
          <w:kern w:val="2"/>
          <w:lang w:val="en-GB"/>
        </w:rPr>
        <w:t xml:space="preserve">Therefore, the current study investigates </w:t>
      </w:r>
      <w:r w:rsidRPr="00C56F7E">
        <w:rPr>
          <w:rFonts w:ascii="Arial" w:eastAsia="DengXian" w:hAnsi="Arial" w:cs="Arial"/>
          <w:kern w:val="2"/>
          <w:lang w:val="zh-CN"/>
        </w:rPr>
        <w:t xml:space="preserve">the difference in the effect of quercetin and graded doses of </w:t>
      </w:r>
      <w:r w:rsidRPr="00C56F7E">
        <w:rPr>
          <w:rFonts w:ascii="Arial" w:eastAsia="DengXian" w:hAnsi="Arial" w:cs="Arial"/>
          <w:i/>
          <w:iCs/>
          <w:kern w:val="2"/>
          <w:lang w:val="zh-CN"/>
        </w:rPr>
        <w:t>Gongronema latifolium</w:t>
      </w:r>
      <w:r w:rsidRPr="00C56F7E">
        <w:rPr>
          <w:rFonts w:ascii="Arial" w:eastAsia="DengXian" w:hAnsi="Arial" w:cs="Arial"/>
          <w:kern w:val="2"/>
          <w:lang w:val="zh-CN"/>
        </w:rPr>
        <w:t xml:space="preserve"> leaf extract on liver function and oxidative stress markers in male Wistar rats exposed to lead.</w:t>
      </w:r>
    </w:p>
    <w:p w14:paraId="0AEEFA70" w14:textId="77777777" w:rsidR="004E373F" w:rsidRPr="00C56F7E" w:rsidRDefault="004E373F" w:rsidP="00C56F7E">
      <w:pPr>
        <w:jc w:val="both"/>
        <w:rPr>
          <w:rFonts w:ascii="Arial" w:hAnsi="Arial" w:cs="Arial"/>
        </w:rPr>
      </w:pPr>
    </w:p>
    <w:p w14:paraId="0D0A3FA1" w14:textId="77777777" w:rsidR="004E373F" w:rsidRPr="006A03BF" w:rsidRDefault="004E373F" w:rsidP="004E373F">
      <w:pPr>
        <w:rPr>
          <w:rFonts w:ascii="Arial Black" w:hAnsi="Arial Black"/>
          <w:sz w:val="22"/>
          <w:szCs w:val="22"/>
        </w:rPr>
      </w:pPr>
    </w:p>
    <w:p w14:paraId="5D37CC04" w14:textId="77777777" w:rsidR="00790ADA" w:rsidRPr="00FB3A86" w:rsidRDefault="00790ADA" w:rsidP="00441B6F">
      <w:pPr>
        <w:pStyle w:val="AbstHead"/>
        <w:spacing w:after="0"/>
        <w:jc w:val="both"/>
        <w:rPr>
          <w:rFonts w:ascii="Arial" w:hAnsi="Arial" w:cs="Arial"/>
        </w:rPr>
      </w:pPr>
    </w:p>
    <w:p w14:paraId="409AAF10" w14:textId="77777777" w:rsidR="00790ADA" w:rsidRPr="00FB3A86" w:rsidRDefault="004E373F" w:rsidP="00441B6F">
      <w:pPr>
        <w:pStyle w:val="Body"/>
        <w:spacing w:after="0"/>
        <w:rPr>
          <w:rFonts w:ascii="Arial" w:hAnsi="Arial" w:cs="Arial"/>
        </w:rPr>
      </w:pPr>
      <w:r>
        <w:rPr>
          <w:rFonts w:ascii="Arial" w:hAnsi="Arial" w:cs="Arial"/>
        </w:rPr>
        <w:t xml:space="preserve"> </w:t>
      </w:r>
    </w:p>
    <w:p w14:paraId="093ACB16" w14:textId="77777777" w:rsidR="007F7B32" w:rsidRDefault="00902823" w:rsidP="00441B6F">
      <w:pPr>
        <w:pStyle w:val="AbstHead"/>
        <w:spacing w:after="0"/>
        <w:jc w:val="both"/>
        <w:rPr>
          <w:rFonts w:ascii="Arial" w:hAnsi="Arial" w:cs="Arial"/>
        </w:rPr>
      </w:pPr>
      <w:r>
        <w:rPr>
          <w:rFonts w:ascii="Arial" w:hAnsi="Arial" w:cs="Arial"/>
        </w:rPr>
        <w:t>2. material and method</w:t>
      </w:r>
      <w:r w:rsidR="00C56F7E">
        <w:rPr>
          <w:rFonts w:ascii="Arial" w:hAnsi="Arial" w:cs="Arial"/>
        </w:rPr>
        <w:t>s</w:t>
      </w:r>
    </w:p>
    <w:p w14:paraId="2F8DCF67" w14:textId="77777777" w:rsidR="00790ADA" w:rsidRPr="00FB3A86" w:rsidRDefault="00790ADA" w:rsidP="00441B6F">
      <w:pPr>
        <w:pStyle w:val="AbstHead"/>
        <w:spacing w:after="0"/>
        <w:jc w:val="both"/>
        <w:rPr>
          <w:rFonts w:ascii="Arial" w:hAnsi="Arial" w:cs="Arial"/>
        </w:rPr>
      </w:pPr>
    </w:p>
    <w:p w14:paraId="6E5A7609" w14:textId="77777777" w:rsidR="00B95236" w:rsidRDefault="00C56F7E" w:rsidP="00441B6F">
      <w:pPr>
        <w:pStyle w:val="Body"/>
        <w:spacing w:after="0"/>
        <w:rPr>
          <w:rFonts w:ascii="Arial" w:hAnsi="Arial" w:cs="Arial"/>
        </w:rPr>
      </w:pPr>
      <w:r>
        <w:rPr>
          <w:rFonts w:ascii="Arial" w:hAnsi="Arial" w:cs="Arial"/>
        </w:rPr>
        <w:t xml:space="preserve">  </w:t>
      </w:r>
    </w:p>
    <w:p w14:paraId="1F6F2C63" w14:textId="77777777" w:rsidR="00716C75" w:rsidRDefault="00716C75" w:rsidP="00716C75">
      <w:pPr>
        <w:rPr>
          <w:b/>
          <w:bCs/>
        </w:rPr>
      </w:pPr>
      <w:r>
        <w:rPr>
          <w:b/>
          <w:bCs/>
        </w:rPr>
        <w:t>2.1 Experimental Animals</w:t>
      </w:r>
    </w:p>
    <w:p w14:paraId="070681D9" w14:textId="77777777" w:rsidR="00C56F7E" w:rsidRPr="00716C75" w:rsidRDefault="00C56F7E" w:rsidP="00716C75">
      <w:pPr>
        <w:rPr>
          <w:b/>
          <w:bCs/>
        </w:rPr>
      </w:pPr>
    </w:p>
    <w:p w14:paraId="1FB017EF" w14:textId="77777777" w:rsidR="00716C75" w:rsidRPr="00C56F7E" w:rsidRDefault="00716C75" w:rsidP="00716C75">
      <w:pPr>
        <w:rPr>
          <w:rFonts w:ascii="Arial" w:hAnsi="Arial" w:cs="Arial"/>
        </w:rPr>
      </w:pPr>
      <w:r w:rsidRPr="00C56F7E">
        <w:rPr>
          <w:rFonts w:ascii="Arial" w:hAnsi="Arial" w:cs="Arial"/>
        </w:rPr>
        <w:t>Thirty healthy male Wistar rats aged 8–10 weeks and weighing 115–160 g were obtained from a certified breeding facility. Animals were housed in well-ventilated cages under standard laboratory conditions (12-hour light/dark cycle, temperature 22–25°C) and provided with commercial feed and water ad libitum. Rats were acclimatized for seven days before the commencement of the experiment.</w:t>
      </w:r>
    </w:p>
    <w:p w14:paraId="4192E4D8" w14:textId="77777777" w:rsidR="00C56F7E" w:rsidRDefault="00C56F7E" w:rsidP="00716C75"/>
    <w:p w14:paraId="3B621513" w14:textId="77777777" w:rsidR="00716C75" w:rsidRDefault="00716C75" w:rsidP="00716C75">
      <w:pPr>
        <w:rPr>
          <w:b/>
          <w:bCs/>
        </w:rPr>
      </w:pPr>
      <w:r>
        <w:rPr>
          <w:b/>
          <w:bCs/>
        </w:rPr>
        <w:t>2.2 Study Design and Grouping</w:t>
      </w:r>
    </w:p>
    <w:p w14:paraId="3CCF553E" w14:textId="77777777" w:rsidR="00C56F7E" w:rsidRDefault="00C56F7E" w:rsidP="00716C75">
      <w:pPr>
        <w:rPr>
          <w:b/>
          <w:bCs/>
        </w:rPr>
      </w:pPr>
    </w:p>
    <w:p w14:paraId="7905EF1B" w14:textId="77777777" w:rsidR="00716C75" w:rsidRPr="00C56F7E" w:rsidRDefault="00716C75" w:rsidP="00C56F7E">
      <w:pPr>
        <w:jc w:val="both"/>
        <w:rPr>
          <w:rFonts w:ascii="Arial" w:hAnsi="Arial" w:cs="Arial"/>
        </w:rPr>
      </w:pPr>
      <w:r w:rsidRPr="00C56F7E">
        <w:rPr>
          <w:rFonts w:ascii="Arial" w:hAnsi="Arial" w:cs="Arial"/>
        </w:rPr>
        <w:t>A randomized controlled experimental design was adopted. Animals were randomly divided into six groups (n = 5):</w:t>
      </w:r>
    </w:p>
    <w:p w14:paraId="73B2D8DD"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Control (distilled water)</w:t>
      </w:r>
    </w:p>
    <w:p w14:paraId="2F369271"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Lead only (50 mg/kg)</w:t>
      </w:r>
    </w:p>
    <w:p w14:paraId="5B9CD224"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Lead + quercetin (500 mg/kg)</w:t>
      </w:r>
    </w:p>
    <w:p w14:paraId="2A3687CB"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 xml:space="preserve">Lead + </w:t>
      </w:r>
      <w:r w:rsidRPr="00C56F7E">
        <w:rPr>
          <w:rFonts w:ascii="Arial" w:hAnsi="Arial" w:cs="Arial"/>
          <w:i/>
          <w:iCs/>
        </w:rPr>
        <w:t>G. latifolium</w:t>
      </w:r>
      <w:r w:rsidRPr="00C56F7E">
        <w:rPr>
          <w:rFonts w:ascii="Arial" w:hAnsi="Arial" w:cs="Arial"/>
        </w:rPr>
        <w:t xml:space="preserve"> (250 mg/kg)</w:t>
      </w:r>
    </w:p>
    <w:p w14:paraId="090452FD"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 xml:space="preserve">Lead + </w:t>
      </w:r>
      <w:r w:rsidRPr="00C56F7E">
        <w:rPr>
          <w:rFonts w:ascii="Arial" w:hAnsi="Arial" w:cs="Arial"/>
          <w:i/>
          <w:iCs/>
        </w:rPr>
        <w:t>G. latifolium</w:t>
      </w:r>
      <w:r w:rsidRPr="00C56F7E">
        <w:rPr>
          <w:rFonts w:ascii="Arial" w:hAnsi="Arial" w:cs="Arial"/>
        </w:rPr>
        <w:t xml:space="preserve"> (500 mg/kg)</w:t>
      </w:r>
    </w:p>
    <w:p w14:paraId="05F05808"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 xml:space="preserve">Lead + </w:t>
      </w:r>
      <w:r w:rsidRPr="00C56F7E">
        <w:rPr>
          <w:rFonts w:ascii="Arial" w:hAnsi="Arial" w:cs="Arial"/>
          <w:i/>
          <w:iCs/>
        </w:rPr>
        <w:t>G. latifolium</w:t>
      </w:r>
      <w:r w:rsidRPr="00C56F7E">
        <w:rPr>
          <w:rFonts w:ascii="Arial" w:hAnsi="Arial" w:cs="Arial"/>
        </w:rPr>
        <w:t xml:space="preserve"> (1000 mg/kg)</w:t>
      </w:r>
    </w:p>
    <w:p w14:paraId="706DCD25" w14:textId="77777777" w:rsidR="00716C75" w:rsidRPr="00C56F7E" w:rsidRDefault="00716C75" w:rsidP="00C56F7E">
      <w:pPr>
        <w:jc w:val="both"/>
        <w:rPr>
          <w:rFonts w:ascii="Arial" w:hAnsi="Arial" w:cs="Arial"/>
        </w:rPr>
      </w:pPr>
      <w:r w:rsidRPr="00C56F7E">
        <w:rPr>
          <w:rFonts w:ascii="Arial" w:hAnsi="Arial" w:cs="Arial"/>
        </w:rPr>
        <w:t>All treatments were administered orally using gavage for four consecutive weeks.</w:t>
      </w:r>
    </w:p>
    <w:p w14:paraId="3F640505" w14:textId="77777777" w:rsidR="00716C75" w:rsidRDefault="00716C75" w:rsidP="00716C75"/>
    <w:p w14:paraId="7B215EF7" w14:textId="77777777" w:rsidR="00716C75" w:rsidRDefault="00716C75" w:rsidP="00716C75">
      <w:pPr>
        <w:rPr>
          <w:b/>
          <w:bCs/>
        </w:rPr>
      </w:pPr>
      <w:r>
        <w:rPr>
          <w:b/>
          <w:bCs/>
        </w:rPr>
        <w:t xml:space="preserve">2.3 </w:t>
      </w:r>
      <w:r w:rsidRPr="00D84342">
        <w:rPr>
          <w:rFonts w:ascii="Arial" w:hAnsi="Arial" w:cs="Arial"/>
          <w:b/>
          <w:bCs/>
          <w:sz w:val="22"/>
          <w:szCs w:val="22"/>
        </w:rPr>
        <w:t>Preparation of Treatments</w:t>
      </w:r>
      <w:r w:rsidR="00C56F7E">
        <w:rPr>
          <w:b/>
          <w:bCs/>
        </w:rPr>
        <w:t xml:space="preserve"> </w:t>
      </w:r>
    </w:p>
    <w:p w14:paraId="4A4514E1" w14:textId="77777777" w:rsidR="00C56F7E" w:rsidRDefault="00C56F7E" w:rsidP="00716C75">
      <w:pPr>
        <w:rPr>
          <w:b/>
          <w:bCs/>
        </w:rPr>
      </w:pPr>
    </w:p>
    <w:p w14:paraId="573ECBFC" w14:textId="77777777" w:rsidR="00716C75" w:rsidRPr="00C56F7E" w:rsidRDefault="00716C75" w:rsidP="00716C75">
      <w:pPr>
        <w:rPr>
          <w:rFonts w:ascii="Arial" w:hAnsi="Arial" w:cs="Arial"/>
          <w:sz w:val="22"/>
          <w:szCs w:val="22"/>
        </w:rPr>
      </w:pPr>
      <w:r w:rsidRPr="00C56F7E">
        <w:rPr>
          <w:rFonts w:ascii="Arial" w:hAnsi="Arial" w:cs="Arial"/>
          <w:sz w:val="22"/>
          <w:szCs w:val="22"/>
        </w:rPr>
        <w:t xml:space="preserve">Lead acetate was freshly dissolved in distilled water daily. Quercetin was suspended in 0.5% carboxymethyl cellulose. Fresh </w:t>
      </w:r>
      <w:r w:rsidRPr="00C56F7E">
        <w:rPr>
          <w:rFonts w:ascii="Arial" w:hAnsi="Arial" w:cs="Arial"/>
          <w:i/>
          <w:iCs/>
          <w:sz w:val="22"/>
          <w:szCs w:val="22"/>
        </w:rPr>
        <w:t>G. latifolium</w:t>
      </w:r>
      <w:r w:rsidRPr="00C56F7E">
        <w:rPr>
          <w:rFonts w:ascii="Arial" w:hAnsi="Arial" w:cs="Arial"/>
          <w:sz w:val="22"/>
          <w:szCs w:val="22"/>
        </w:rPr>
        <w:t xml:space="preserve"> leaves were washed, air-dried, pulverized, and extracted with 70% ethanol using Soxhlet extraction. The extract was concentrated and reconstituted for dosing.</w:t>
      </w:r>
    </w:p>
    <w:p w14:paraId="1F2470FE" w14:textId="77777777" w:rsidR="00C56F7E" w:rsidRDefault="00716C75" w:rsidP="00716C75">
      <w:pPr>
        <w:rPr>
          <w:b/>
          <w:bCs/>
        </w:rPr>
      </w:pPr>
      <w:r>
        <w:rPr>
          <w:b/>
          <w:bCs/>
        </w:rPr>
        <w:t xml:space="preserve">2.4 </w:t>
      </w:r>
      <w:r w:rsidRPr="00D84342">
        <w:rPr>
          <w:rFonts w:ascii="Arial" w:hAnsi="Arial" w:cs="Arial"/>
          <w:b/>
          <w:bCs/>
          <w:sz w:val="22"/>
          <w:szCs w:val="22"/>
        </w:rPr>
        <w:t>Sample Collection</w:t>
      </w:r>
    </w:p>
    <w:p w14:paraId="540F9012" w14:textId="77777777" w:rsidR="00716C75" w:rsidRPr="00C56F7E" w:rsidRDefault="00716C75" w:rsidP="00C56F7E">
      <w:pPr>
        <w:jc w:val="both"/>
        <w:rPr>
          <w:rFonts w:ascii="Arial" w:hAnsi="Arial" w:cs="Arial"/>
        </w:rPr>
      </w:pPr>
      <w:r w:rsidRPr="00C56F7E">
        <w:rPr>
          <w:rFonts w:ascii="Arial" w:hAnsi="Arial" w:cs="Arial"/>
        </w:rPr>
        <w:lastRenderedPageBreak/>
        <w:t>At the end of the treatment period, rats were anesthetized using ketamine. Blood samples were collected by jugular puncture into heparinized tubes. Animals were euthanized, and livers were excised, weighed, and homogenized in phosphate buffer (pH 7.4).</w:t>
      </w:r>
    </w:p>
    <w:p w14:paraId="7416ED89" w14:textId="77777777" w:rsidR="00C56F7E" w:rsidRDefault="003F0294" w:rsidP="003F0294">
      <w:pPr>
        <w:rPr>
          <w:b/>
          <w:bCs/>
        </w:rPr>
      </w:pPr>
      <w:r>
        <w:rPr>
          <w:b/>
          <w:bCs/>
        </w:rPr>
        <w:t xml:space="preserve">2.5 </w:t>
      </w:r>
      <w:r w:rsidRPr="00D84342">
        <w:rPr>
          <w:rFonts w:ascii="Arial" w:hAnsi="Arial" w:cs="Arial"/>
          <w:b/>
          <w:bCs/>
          <w:sz w:val="22"/>
          <w:szCs w:val="22"/>
        </w:rPr>
        <w:t>Biochemical Analysis</w:t>
      </w:r>
    </w:p>
    <w:p w14:paraId="2EA3894C" w14:textId="77777777" w:rsidR="003F0294" w:rsidRPr="00C56F7E" w:rsidRDefault="003F0294" w:rsidP="003F0294">
      <w:pPr>
        <w:rPr>
          <w:rFonts w:ascii="Arial" w:hAnsi="Arial" w:cs="Arial"/>
        </w:rPr>
      </w:pPr>
      <w:r w:rsidRPr="00C56F7E">
        <w:rPr>
          <w:rFonts w:ascii="Arial" w:hAnsi="Arial" w:cs="Arial"/>
        </w:rPr>
        <w:t xml:space="preserve">Serum AST, ALP, total protein, albumin, total bilirubin, and conjugated bilirubin were determined using commercial diagnostic kits (Giannini et al., 2005). Liver homogenates were </w:t>
      </w:r>
      <w:r w:rsidR="0015635E" w:rsidRPr="00C56F7E">
        <w:rPr>
          <w:rFonts w:ascii="Arial" w:hAnsi="Arial" w:cs="Arial"/>
        </w:rPr>
        <w:t>analyzed</w:t>
      </w:r>
      <w:r w:rsidRPr="00C56F7E">
        <w:rPr>
          <w:rFonts w:ascii="Arial" w:hAnsi="Arial" w:cs="Arial"/>
        </w:rPr>
        <w:t xml:space="preserve"> for MDA (Ayala et al., 2014), GSH (Ellman, 1959), SOD (Misra &amp; Fridovich, 1972), CAT (Aebi, 1984), and </w:t>
      </w:r>
      <w:proofErr w:type="gramStart"/>
      <w:r w:rsidRPr="00C56F7E">
        <w:rPr>
          <w:rFonts w:ascii="Arial" w:hAnsi="Arial" w:cs="Arial"/>
        </w:rPr>
        <w:t xml:space="preserve">GPx </w:t>
      </w:r>
      <w:r w:rsidR="0015635E">
        <w:rPr>
          <w:rFonts w:ascii="Arial" w:hAnsi="Arial" w:cs="Arial"/>
        </w:rPr>
        <w:t xml:space="preserve"> </w:t>
      </w:r>
      <w:r w:rsidRPr="00C56F7E">
        <w:rPr>
          <w:rFonts w:ascii="Arial" w:hAnsi="Arial" w:cs="Arial"/>
        </w:rPr>
        <w:t>(</w:t>
      </w:r>
      <w:proofErr w:type="gramEnd"/>
      <w:r w:rsidRPr="00C56F7E">
        <w:rPr>
          <w:rFonts w:ascii="Arial" w:hAnsi="Arial" w:cs="Arial"/>
        </w:rPr>
        <w:t>Paglia &amp; Valentine, 1967).</w:t>
      </w:r>
    </w:p>
    <w:p w14:paraId="52D6EB12" w14:textId="77777777" w:rsidR="003F0294" w:rsidRDefault="003F0294" w:rsidP="003F0294">
      <w:pPr>
        <w:rPr>
          <w:b/>
          <w:bCs/>
        </w:rPr>
      </w:pPr>
      <w:r>
        <w:rPr>
          <w:b/>
          <w:bCs/>
        </w:rPr>
        <w:t xml:space="preserve">2.6 </w:t>
      </w:r>
      <w:r w:rsidRPr="00D84342">
        <w:rPr>
          <w:rFonts w:ascii="Arial" w:hAnsi="Arial" w:cs="Arial"/>
          <w:b/>
          <w:bCs/>
          <w:sz w:val="22"/>
          <w:szCs w:val="22"/>
        </w:rPr>
        <w:t>Statistical Analysis</w:t>
      </w:r>
    </w:p>
    <w:p w14:paraId="1A04EFCD" w14:textId="77777777" w:rsidR="00EA3A99" w:rsidRPr="00FB3A86" w:rsidRDefault="003F0294" w:rsidP="00D84342">
      <w:pPr>
        <w:rPr>
          <w:rFonts w:ascii="Arial" w:hAnsi="Arial" w:cs="Arial"/>
        </w:rPr>
      </w:pPr>
      <w:r w:rsidRPr="00C56F7E">
        <w:rPr>
          <w:rFonts w:ascii="Arial" w:hAnsi="Arial" w:cs="Arial"/>
        </w:rPr>
        <w:t>Data were expressed as mean ± SD. One-way ANOVA followed by Tukey’s post-hoc test was applied using SPSS. Statistical significance was set at p &lt; 0.05.</w:t>
      </w:r>
    </w:p>
    <w:p w14:paraId="4A70524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116095" w14:textId="77777777" w:rsidR="00EA3A99" w:rsidRDefault="00EA3A99" w:rsidP="00EA3A99">
      <w:pPr>
        <w:pStyle w:val="Body"/>
        <w:spacing w:after="0"/>
        <w:rPr>
          <w:rFonts w:ascii="Arial" w:hAnsi="Arial" w:cs="Arial"/>
          <w:b/>
          <w:caps/>
          <w:sz w:val="22"/>
        </w:rPr>
      </w:pPr>
    </w:p>
    <w:p w14:paraId="7FB31874" w14:textId="77777777" w:rsidR="00EA3A99" w:rsidRPr="00EA3A99" w:rsidRDefault="007A76E6" w:rsidP="00EA3A99">
      <w:pPr>
        <w:pStyle w:val="Body"/>
        <w:spacing w:after="0"/>
        <w:ind w:left="360"/>
        <w:rPr>
          <w:rFonts w:ascii="Times New Roman" w:eastAsia="DengXian Light" w:hAnsi="Times New Roman"/>
          <w:b/>
          <w:kern w:val="2"/>
          <w:sz w:val="24"/>
          <w:szCs w:val="32"/>
          <w:lang w:val="zh-CN"/>
        </w:rPr>
      </w:pPr>
      <w:r w:rsidRPr="007A76E6">
        <w:rPr>
          <w:rFonts w:ascii="Times New Roman" w:eastAsia="DengXian Light" w:hAnsi="Times New Roman"/>
          <w:b/>
          <w:kern w:val="2"/>
          <w:sz w:val="24"/>
          <w:szCs w:val="32"/>
          <w:lang w:val="zh-CN"/>
        </w:rPr>
        <w:t xml:space="preserve">Results </w:t>
      </w:r>
    </w:p>
    <w:p w14:paraId="14BE22AA" w14:textId="77777777" w:rsidR="007A76E6" w:rsidRPr="007A76E6" w:rsidRDefault="007A76E6" w:rsidP="007A76E6">
      <w:pPr>
        <w:spacing w:after="160" w:line="278" w:lineRule="auto"/>
        <w:rPr>
          <w:rFonts w:ascii="DengXian" w:eastAsia="DengXian" w:hAnsi="DengXian"/>
          <w:b/>
          <w:bCs/>
          <w:kern w:val="2"/>
          <w:sz w:val="24"/>
          <w:szCs w:val="24"/>
          <w:lang w:val="zh-CN"/>
        </w:rPr>
      </w:pPr>
      <w:r w:rsidRPr="007A76E6">
        <w:rPr>
          <w:rFonts w:ascii="DengXian" w:eastAsia="DengXian" w:hAnsi="DengXian"/>
          <w:b/>
          <w:bCs/>
          <w:kern w:val="2"/>
          <w:sz w:val="24"/>
          <w:szCs w:val="24"/>
          <w:lang w:val="zh-CN"/>
        </w:rPr>
        <w:t>3.1 Effects on Liver Function Markers</w:t>
      </w:r>
    </w:p>
    <w:p w14:paraId="5D44856F" w14:textId="77777777" w:rsidR="007A76E6" w:rsidRPr="007A76E6" w:rsidRDefault="007A76E6" w:rsidP="007A76E6">
      <w:pPr>
        <w:keepNext/>
        <w:keepLines/>
        <w:spacing w:before="160" w:after="80" w:line="278" w:lineRule="auto"/>
        <w:outlineLvl w:val="1"/>
        <w:rPr>
          <w:rFonts w:ascii="Times New Roman" w:eastAsia="DengXian Light" w:hAnsi="Times New Roman"/>
          <w:b/>
          <w:kern w:val="2"/>
          <w:sz w:val="24"/>
          <w:szCs w:val="32"/>
        </w:rPr>
      </w:pPr>
      <w:r w:rsidRPr="007A76E6">
        <w:rPr>
          <w:rFonts w:ascii="Times New Roman" w:eastAsia="DengXian Light" w:hAnsi="Times New Roman"/>
          <w:b/>
          <w:kern w:val="2"/>
          <w:sz w:val="24"/>
          <w:szCs w:val="32"/>
        </w:rPr>
        <w:t>Table 1: Effects of Lead Exposure and Treatments on Liver Function Markers in Male Wistar Rats</w:t>
      </w:r>
    </w:p>
    <w:tbl>
      <w:tblPr>
        <w:tblStyle w:val="TableGrid1"/>
        <w:tblW w:w="10651"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3"/>
        <w:gridCol w:w="1608"/>
        <w:gridCol w:w="1530"/>
        <w:gridCol w:w="1530"/>
        <w:gridCol w:w="1497"/>
        <w:gridCol w:w="1344"/>
        <w:gridCol w:w="1569"/>
      </w:tblGrid>
      <w:tr w:rsidR="007A76E6" w:rsidRPr="007A76E6" w14:paraId="6764E602" w14:textId="77777777" w:rsidTr="007A76E6">
        <w:tc>
          <w:tcPr>
            <w:tcW w:w="1573" w:type="dxa"/>
            <w:tcBorders>
              <w:top w:val="single" w:sz="4" w:space="0" w:color="auto"/>
              <w:bottom w:val="single" w:sz="4" w:space="0" w:color="auto"/>
            </w:tcBorders>
          </w:tcPr>
          <w:p w14:paraId="28BFDD93" w14:textId="77777777" w:rsidR="007A76E6" w:rsidRPr="007A76E6" w:rsidRDefault="007A76E6" w:rsidP="007A76E6">
            <w:pPr>
              <w:spacing w:after="160" w:line="278" w:lineRule="auto"/>
              <w:rPr>
                <w:rFonts w:ascii="DengXian" w:hAnsi="DengXian"/>
                <w:b/>
                <w:lang w:val="en-CA"/>
              </w:rPr>
            </w:pPr>
          </w:p>
        </w:tc>
        <w:tc>
          <w:tcPr>
            <w:tcW w:w="1608" w:type="dxa"/>
            <w:tcBorders>
              <w:top w:val="single" w:sz="4" w:space="0" w:color="auto"/>
              <w:bottom w:val="single" w:sz="4" w:space="0" w:color="auto"/>
            </w:tcBorders>
          </w:tcPr>
          <w:p w14:paraId="63A4199B"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AST</w:t>
            </w:r>
          </w:p>
        </w:tc>
        <w:tc>
          <w:tcPr>
            <w:tcW w:w="1530" w:type="dxa"/>
            <w:tcBorders>
              <w:top w:val="single" w:sz="4" w:space="0" w:color="auto"/>
              <w:bottom w:val="single" w:sz="4" w:space="0" w:color="auto"/>
            </w:tcBorders>
          </w:tcPr>
          <w:p w14:paraId="29773AE8"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ALP</w:t>
            </w:r>
          </w:p>
        </w:tc>
        <w:tc>
          <w:tcPr>
            <w:tcW w:w="1530" w:type="dxa"/>
            <w:tcBorders>
              <w:top w:val="single" w:sz="4" w:space="0" w:color="auto"/>
              <w:bottom w:val="single" w:sz="4" w:space="0" w:color="auto"/>
            </w:tcBorders>
          </w:tcPr>
          <w:p w14:paraId="5E1BA9D3"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TP</w:t>
            </w:r>
          </w:p>
        </w:tc>
        <w:tc>
          <w:tcPr>
            <w:tcW w:w="1497" w:type="dxa"/>
            <w:tcBorders>
              <w:top w:val="single" w:sz="4" w:space="0" w:color="auto"/>
              <w:bottom w:val="single" w:sz="4" w:space="0" w:color="auto"/>
            </w:tcBorders>
          </w:tcPr>
          <w:p w14:paraId="664EF1CB"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ALB</w:t>
            </w:r>
          </w:p>
        </w:tc>
        <w:tc>
          <w:tcPr>
            <w:tcW w:w="1344" w:type="dxa"/>
            <w:tcBorders>
              <w:top w:val="single" w:sz="4" w:space="0" w:color="auto"/>
              <w:bottom w:val="single" w:sz="4" w:space="0" w:color="auto"/>
            </w:tcBorders>
          </w:tcPr>
          <w:p w14:paraId="7D9EF965"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TB</w:t>
            </w:r>
          </w:p>
        </w:tc>
        <w:tc>
          <w:tcPr>
            <w:tcW w:w="1569" w:type="dxa"/>
            <w:tcBorders>
              <w:top w:val="single" w:sz="4" w:space="0" w:color="auto"/>
              <w:bottom w:val="single" w:sz="4" w:space="0" w:color="auto"/>
            </w:tcBorders>
          </w:tcPr>
          <w:p w14:paraId="56D2932C"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CB</w:t>
            </w:r>
          </w:p>
        </w:tc>
      </w:tr>
      <w:tr w:rsidR="007A76E6" w:rsidRPr="00EA3A99" w14:paraId="66598BDD" w14:textId="77777777" w:rsidTr="007A76E6">
        <w:tc>
          <w:tcPr>
            <w:tcW w:w="1573" w:type="dxa"/>
            <w:tcBorders>
              <w:top w:val="single" w:sz="4" w:space="0" w:color="auto"/>
            </w:tcBorders>
          </w:tcPr>
          <w:p w14:paraId="24D8D19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LEAD</w:t>
            </w:r>
          </w:p>
        </w:tc>
        <w:tc>
          <w:tcPr>
            <w:tcW w:w="1608" w:type="dxa"/>
            <w:tcBorders>
              <w:top w:val="single" w:sz="4" w:space="0" w:color="auto"/>
            </w:tcBorders>
          </w:tcPr>
          <w:p w14:paraId="2CEC5E4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39.00±0.00</w:t>
            </w:r>
            <w:r w:rsidRPr="00EA3A99">
              <w:rPr>
                <w:rFonts w:ascii="Arial" w:hAnsi="Arial" w:cs="Arial"/>
                <w:sz w:val="20"/>
                <w:szCs w:val="20"/>
                <w:vertAlign w:val="superscript"/>
                <w:lang w:val="en-CA"/>
              </w:rPr>
              <w:t xml:space="preserve"> a</w:t>
            </w:r>
          </w:p>
        </w:tc>
        <w:tc>
          <w:tcPr>
            <w:tcW w:w="1530" w:type="dxa"/>
            <w:tcBorders>
              <w:top w:val="single" w:sz="4" w:space="0" w:color="auto"/>
            </w:tcBorders>
          </w:tcPr>
          <w:p w14:paraId="02EA736A"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32.00±0.00</w:t>
            </w:r>
            <w:r w:rsidRPr="00EA3A99">
              <w:rPr>
                <w:rFonts w:ascii="Arial" w:hAnsi="Arial" w:cs="Arial"/>
                <w:sz w:val="20"/>
                <w:szCs w:val="20"/>
                <w:vertAlign w:val="superscript"/>
              </w:rPr>
              <w:t>a</w:t>
            </w:r>
          </w:p>
        </w:tc>
        <w:tc>
          <w:tcPr>
            <w:tcW w:w="1530" w:type="dxa"/>
            <w:tcBorders>
              <w:top w:val="single" w:sz="4" w:space="0" w:color="auto"/>
            </w:tcBorders>
          </w:tcPr>
          <w:p w14:paraId="775A48E6"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45.00±0.00</w:t>
            </w:r>
            <w:r w:rsidRPr="00EA3A99">
              <w:rPr>
                <w:rFonts w:ascii="Arial" w:hAnsi="Arial" w:cs="Arial"/>
                <w:sz w:val="20"/>
                <w:szCs w:val="20"/>
                <w:vertAlign w:val="superscript"/>
                <w:lang w:val="en-CA"/>
              </w:rPr>
              <w:t xml:space="preserve"> a</w:t>
            </w:r>
          </w:p>
        </w:tc>
        <w:tc>
          <w:tcPr>
            <w:tcW w:w="1497" w:type="dxa"/>
            <w:tcBorders>
              <w:top w:val="single" w:sz="4" w:space="0" w:color="auto"/>
            </w:tcBorders>
          </w:tcPr>
          <w:p w14:paraId="5DABA3E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22.00±0.00</w:t>
            </w:r>
            <w:r w:rsidRPr="00EA3A99">
              <w:rPr>
                <w:rFonts w:ascii="Arial" w:hAnsi="Arial" w:cs="Arial"/>
                <w:sz w:val="20"/>
                <w:szCs w:val="20"/>
                <w:vertAlign w:val="superscript"/>
                <w:lang w:val="en-CA"/>
              </w:rPr>
              <w:t xml:space="preserve"> a</w:t>
            </w:r>
          </w:p>
        </w:tc>
        <w:tc>
          <w:tcPr>
            <w:tcW w:w="1344" w:type="dxa"/>
            <w:tcBorders>
              <w:top w:val="single" w:sz="4" w:space="0" w:color="auto"/>
            </w:tcBorders>
          </w:tcPr>
          <w:p w14:paraId="1CBAD71E"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8.20±0.00</w:t>
            </w:r>
            <w:r w:rsidRPr="00EA3A99">
              <w:rPr>
                <w:rFonts w:ascii="Arial" w:hAnsi="Arial" w:cs="Arial"/>
                <w:sz w:val="20"/>
                <w:szCs w:val="20"/>
                <w:vertAlign w:val="superscript"/>
                <w:lang w:val="en-CA"/>
              </w:rPr>
              <w:t xml:space="preserve"> a</w:t>
            </w:r>
          </w:p>
        </w:tc>
        <w:tc>
          <w:tcPr>
            <w:tcW w:w="1569" w:type="dxa"/>
            <w:tcBorders>
              <w:top w:val="single" w:sz="4" w:space="0" w:color="auto"/>
            </w:tcBorders>
          </w:tcPr>
          <w:p w14:paraId="46DB4E59"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6.30±0.00</w:t>
            </w:r>
            <w:r w:rsidRPr="00EA3A99">
              <w:rPr>
                <w:rFonts w:ascii="Arial" w:hAnsi="Arial" w:cs="Arial"/>
                <w:sz w:val="20"/>
                <w:szCs w:val="20"/>
                <w:vertAlign w:val="superscript"/>
                <w:lang w:val="en-CA"/>
              </w:rPr>
              <w:t xml:space="preserve"> a</w:t>
            </w:r>
          </w:p>
        </w:tc>
      </w:tr>
      <w:tr w:rsidR="007A76E6" w:rsidRPr="00EA3A99" w14:paraId="0A6D7EBC" w14:textId="77777777" w:rsidTr="007A76E6">
        <w:tc>
          <w:tcPr>
            <w:tcW w:w="1573" w:type="dxa"/>
          </w:tcPr>
          <w:p w14:paraId="14578DD5"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CONTROL</w:t>
            </w:r>
          </w:p>
        </w:tc>
        <w:tc>
          <w:tcPr>
            <w:tcW w:w="1608" w:type="dxa"/>
          </w:tcPr>
          <w:p w14:paraId="7DE8D11C"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26.00±5.57</w:t>
            </w:r>
            <w:r w:rsidRPr="00EA3A99">
              <w:rPr>
                <w:rFonts w:ascii="Arial" w:hAnsi="Arial" w:cs="Arial"/>
                <w:sz w:val="20"/>
                <w:szCs w:val="20"/>
                <w:vertAlign w:val="superscript"/>
                <w:lang w:val="en-CA"/>
              </w:rPr>
              <w:t xml:space="preserve"> b</w:t>
            </w:r>
          </w:p>
        </w:tc>
        <w:tc>
          <w:tcPr>
            <w:tcW w:w="1530" w:type="dxa"/>
          </w:tcPr>
          <w:p w14:paraId="67AB09DE"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21.67±4.16</w:t>
            </w:r>
            <w:r w:rsidRPr="00EA3A99">
              <w:rPr>
                <w:rFonts w:ascii="Arial" w:hAnsi="Arial" w:cs="Arial"/>
                <w:sz w:val="20"/>
                <w:szCs w:val="20"/>
                <w:vertAlign w:val="superscript"/>
              </w:rPr>
              <w:t>b</w:t>
            </w:r>
          </w:p>
        </w:tc>
        <w:tc>
          <w:tcPr>
            <w:tcW w:w="1530" w:type="dxa"/>
          </w:tcPr>
          <w:p w14:paraId="27A67CAA"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63.00±2.00</w:t>
            </w:r>
            <w:r w:rsidRPr="00EA3A99">
              <w:rPr>
                <w:rFonts w:ascii="Arial" w:hAnsi="Arial" w:cs="Arial"/>
                <w:sz w:val="20"/>
                <w:szCs w:val="20"/>
                <w:vertAlign w:val="superscript"/>
                <w:lang w:val="en-CA"/>
              </w:rPr>
              <w:t xml:space="preserve"> b</w:t>
            </w:r>
          </w:p>
        </w:tc>
        <w:tc>
          <w:tcPr>
            <w:tcW w:w="1497" w:type="dxa"/>
          </w:tcPr>
          <w:p w14:paraId="390958A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41.00±1.00</w:t>
            </w:r>
            <w:r w:rsidRPr="00EA3A99">
              <w:rPr>
                <w:rFonts w:ascii="Arial" w:hAnsi="Arial" w:cs="Arial"/>
                <w:sz w:val="20"/>
                <w:szCs w:val="20"/>
                <w:vertAlign w:val="superscript"/>
                <w:lang w:val="en-CA"/>
              </w:rPr>
              <w:t xml:space="preserve"> b</w:t>
            </w:r>
          </w:p>
        </w:tc>
        <w:tc>
          <w:tcPr>
            <w:tcW w:w="1344" w:type="dxa"/>
          </w:tcPr>
          <w:p w14:paraId="3699EE48"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5.67±0.91</w:t>
            </w:r>
            <w:r w:rsidRPr="00EA3A99">
              <w:rPr>
                <w:rFonts w:ascii="Arial" w:hAnsi="Arial" w:cs="Arial"/>
                <w:sz w:val="20"/>
                <w:szCs w:val="20"/>
                <w:vertAlign w:val="superscript"/>
                <w:lang w:val="en-CA"/>
              </w:rPr>
              <w:t xml:space="preserve"> b</w:t>
            </w:r>
          </w:p>
        </w:tc>
        <w:tc>
          <w:tcPr>
            <w:tcW w:w="1569" w:type="dxa"/>
          </w:tcPr>
          <w:p w14:paraId="4A57192C"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3.97±0.25</w:t>
            </w:r>
            <w:r w:rsidRPr="00EA3A99">
              <w:rPr>
                <w:rFonts w:ascii="Arial" w:hAnsi="Arial" w:cs="Arial"/>
                <w:sz w:val="20"/>
                <w:szCs w:val="20"/>
                <w:vertAlign w:val="superscript"/>
                <w:lang w:val="en-CA"/>
              </w:rPr>
              <w:t xml:space="preserve"> b</w:t>
            </w:r>
          </w:p>
        </w:tc>
      </w:tr>
      <w:tr w:rsidR="007A76E6" w:rsidRPr="00EA3A99" w14:paraId="686578E3" w14:textId="77777777" w:rsidTr="007A76E6">
        <w:tc>
          <w:tcPr>
            <w:tcW w:w="1573" w:type="dxa"/>
          </w:tcPr>
          <w:p w14:paraId="25A3AC4B"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L+LD</w:t>
            </w:r>
          </w:p>
        </w:tc>
        <w:tc>
          <w:tcPr>
            <w:tcW w:w="1608" w:type="dxa"/>
          </w:tcPr>
          <w:p w14:paraId="1315835A"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32.33±2.52</w:t>
            </w:r>
            <w:r w:rsidRPr="00EA3A99">
              <w:rPr>
                <w:rFonts w:ascii="Arial" w:hAnsi="Arial" w:cs="Arial"/>
                <w:sz w:val="20"/>
                <w:szCs w:val="20"/>
                <w:vertAlign w:val="superscript"/>
                <w:lang w:val="en-CA"/>
              </w:rPr>
              <w:t xml:space="preserve"> b</w:t>
            </w:r>
          </w:p>
        </w:tc>
        <w:tc>
          <w:tcPr>
            <w:tcW w:w="1530" w:type="dxa"/>
          </w:tcPr>
          <w:p w14:paraId="3B5CDFD3"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20.00±3.60</w:t>
            </w:r>
            <w:r w:rsidRPr="00EA3A99">
              <w:rPr>
                <w:rFonts w:ascii="Arial" w:hAnsi="Arial" w:cs="Arial"/>
                <w:sz w:val="20"/>
                <w:szCs w:val="20"/>
                <w:vertAlign w:val="superscript"/>
              </w:rPr>
              <w:t>b</w:t>
            </w:r>
          </w:p>
        </w:tc>
        <w:tc>
          <w:tcPr>
            <w:tcW w:w="1530" w:type="dxa"/>
          </w:tcPr>
          <w:p w14:paraId="75036A1B"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64.67±5.13</w:t>
            </w:r>
            <w:r w:rsidRPr="00EA3A99">
              <w:rPr>
                <w:rFonts w:ascii="Arial" w:hAnsi="Arial" w:cs="Arial"/>
                <w:sz w:val="20"/>
                <w:szCs w:val="20"/>
                <w:vertAlign w:val="superscript"/>
                <w:lang w:val="en-CA"/>
              </w:rPr>
              <w:t xml:space="preserve"> a</w:t>
            </w:r>
          </w:p>
        </w:tc>
        <w:tc>
          <w:tcPr>
            <w:tcW w:w="1497" w:type="dxa"/>
          </w:tcPr>
          <w:p w14:paraId="1F0A807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41.67±3.21</w:t>
            </w:r>
            <w:r w:rsidRPr="00EA3A99">
              <w:rPr>
                <w:rFonts w:ascii="Arial" w:hAnsi="Arial" w:cs="Arial"/>
                <w:sz w:val="20"/>
                <w:szCs w:val="20"/>
                <w:vertAlign w:val="superscript"/>
                <w:lang w:val="en-CA"/>
              </w:rPr>
              <w:t xml:space="preserve"> b</w:t>
            </w:r>
          </w:p>
        </w:tc>
        <w:tc>
          <w:tcPr>
            <w:tcW w:w="1344" w:type="dxa"/>
          </w:tcPr>
          <w:p w14:paraId="70EE925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6.27±1.36</w:t>
            </w:r>
            <w:r w:rsidRPr="00EA3A99">
              <w:rPr>
                <w:rFonts w:ascii="Arial" w:hAnsi="Arial" w:cs="Arial"/>
                <w:sz w:val="20"/>
                <w:szCs w:val="20"/>
                <w:vertAlign w:val="superscript"/>
                <w:lang w:val="en-CA"/>
              </w:rPr>
              <w:t xml:space="preserve"> b</w:t>
            </w:r>
          </w:p>
        </w:tc>
        <w:tc>
          <w:tcPr>
            <w:tcW w:w="1569" w:type="dxa"/>
          </w:tcPr>
          <w:p w14:paraId="0B7025C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4.70±0.40</w:t>
            </w:r>
            <w:r w:rsidRPr="00EA3A99">
              <w:rPr>
                <w:rFonts w:ascii="Arial" w:hAnsi="Arial" w:cs="Arial"/>
                <w:sz w:val="20"/>
                <w:szCs w:val="20"/>
                <w:vertAlign w:val="superscript"/>
                <w:lang w:val="en-CA"/>
              </w:rPr>
              <w:t xml:space="preserve"> b</w:t>
            </w:r>
          </w:p>
        </w:tc>
      </w:tr>
      <w:tr w:rsidR="007A76E6" w:rsidRPr="00EA3A99" w14:paraId="623A21F7" w14:textId="77777777" w:rsidTr="007A76E6">
        <w:tc>
          <w:tcPr>
            <w:tcW w:w="1573" w:type="dxa"/>
          </w:tcPr>
          <w:p w14:paraId="17DB8E82"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L+MD</w:t>
            </w:r>
          </w:p>
        </w:tc>
        <w:tc>
          <w:tcPr>
            <w:tcW w:w="1608" w:type="dxa"/>
          </w:tcPr>
          <w:p w14:paraId="5CF6D63C"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20.51±6.36</w:t>
            </w:r>
            <w:r w:rsidRPr="00EA3A99">
              <w:rPr>
                <w:rFonts w:ascii="Arial" w:hAnsi="Arial" w:cs="Arial"/>
                <w:sz w:val="20"/>
                <w:szCs w:val="20"/>
                <w:vertAlign w:val="superscript"/>
                <w:lang w:val="en-CA"/>
              </w:rPr>
              <w:t xml:space="preserve"> b</w:t>
            </w:r>
          </w:p>
        </w:tc>
        <w:tc>
          <w:tcPr>
            <w:tcW w:w="1530" w:type="dxa"/>
          </w:tcPr>
          <w:p w14:paraId="0485A0CE"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14.00±1.41</w:t>
            </w:r>
            <w:r w:rsidRPr="00EA3A99">
              <w:rPr>
                <w:rFonts w:ascii="Arial" w:hAnsi="Arial" w:cs="Arial"/>
                <w:sz w:val="20"/>
                <w:szCs w:val="20"/>
                <w:vertAlign w:val="superscript"/>
              </w:rPr>
              <w:t>b</w:t>
            </w:r>
          </w:p>
        </w:tc>
        <w:tc>
          <w:tcPr>
            <w:tcW w:w="1530" w:type="dxa"/>
          </w:tcPr>
          <w:p w14:paraId="1576AC9F"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64.00±1.41</w:t>
            </w:r>
            <w:r w:rsidRPr="00EA3A99">
              <w:rPr>
                <w:rFonts w:ascii="Arial" w:hAnsi="Arial" w:cs="Arial"/>
                <w:sz w:val="20"/>
                <w:szCs w:val="20"/>
                <w:vertAlign w:val="superscript"/>
                <w:lang w:val="en-CA"/>
              </w:rPr>
              <w:t xml:space="preserve"> a</w:t>
            </w:r>
          </w:p>
        </w:tc>
        <w:tc>
          <w:tcPr>
            <w:tcW w:w="1497" w:type="dxa"/>
          </w:tcPr>
          <w:p w14:paraId="04C9029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41.01±1.41</w:t>
            </w:r>
            <w:r w:rsidRPr="00EA3A99">
              <w:rPr>
                <w:rFonts w:ascii="Arial" w:hAnsi="Arial" w:cs="Arial"/>
                <w:sz w:val="20"/>
                <w:szCs w:val="20"/>
                <w:vertAlign w:val="superscript"/>
                <w:lang w:val="en-CA"/>
              </w:rPr>
              <w:t xml:space="preserve"> b</w:t>
            </w:r>
          </w:p>
        </w:tc>
        <w:tc>
          <w:tcPr>
            <w:tcW w:w="1344" w:type="dxa"/>
          </w:tcPr>
          <w:p w14:paraId="2E742DFF"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4.95±1.06</w:t>
            </w:r>
            <w:r w:rsidRPr="00EA3A99">
              <w:rPr>
                <w:rFonts w:ascii="Arial" w:hAnsi="Arial" w:cs="Arial"/>
                <w:sz w:val="20"/>
                <w:szCs w:val="20"/>
                <w:vertAlign w:val="superscript"/>
                <w:lang w:val="en-CA"/>
              </w:rPr>
              <w:t xml:space="preserve"> b</w:t>
            </w:r>
          </w:p>
        </w:tc>
        <w:tc>
          <w:tcPr>
            <w:tcW w:w="1569" w:type="dxa"/>
          </w:tcPr>
          <w:p w14:paraId="3A1567C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3.40±0.84</w:t>
            </w:r>
            <w:r w:rsidRPr="00EA3A99">
              <w:rPr>
                <w:rFonts w:ascii="Arial" w:hAnsi="Arial" w:cs="Arial"/>
                <w:sz w:val="20"/>
                <w:szCs w:val="20"/>
                <w:vertAlign w:val="superscript"/>
                <w:lang w:val="en-CA"/>
              </w:rPr>
              <w:t xml:space="preserve"> b</w:t>
            </w:r>
          </w:p>
        </w:tc>
      </w:tr>
      <w:tr w:rsidR="007A76E6" w:rsidRPr="00EA3A99" w14:paraId="1E982938" w14:textId="77777777" w:rsidTr="007A76E6">
        <w:tc>
          <w:tcPr>
            <w:tcW w:w="1573" w:type="dxa"/>
          </w:tcPr>
          <w:p w14:paraId="6B35EC2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L+HD</w:t>
            </w:r>
          </w:p>
        </w:tc>
        <w:tc>
          <w:tcPr>
            <w:tcW w:w="1608" w:type="dxa"/>
          </w:tcPr>
          <w:p w14:paraId="0EB26653" w14:textId="77777777" w:rsidR="007A76E6" w:rsidRPr="00EA3A99" w:rsidRDefault="007A76E6" w:rsidP="007A76E6">
            <w:pPr>
              <w:tabs>
                <w:tab w:val="right" w:pos="1850"/>
              </w:tabs>
              <w:spacing w:after="160" w:line="278" w:lineRule="auto"/>
              <w:rPr>
                <w:rFonts w:ascii="Arial" w:hAnsi="Arial" w:cs="Arial"/>
                <w:sz w:val="20"/>
                <w:szCs w:val="20"/>
                <w:lang w:val="en-CA"/>
              </w:rPr>
            </w:pPr>
            <w:r w:rsidRPr="00EA3A99">
              <w:rPr>
                <w:rFonts w:ascii="Arial" w:hAnsi="Arial" w:cs="Arial"/>
                <w:sz w:val="20"/>
                <w:szCs w:val="20"/>
                <w:lang w:val="en-CA"/>
              </w:rPr>
              <w:t>15.50±2.12</w:t>
            </w:r>
            <w:r w:rsidRPr="00EA3A99">
              <w:rPr>
                <w:rFonts w:ascii="Arial" w:hAnsi="Arial" w:cs="Arial"/>
                <w:sz w:val="20"/>
                <w:szCs w:val="20"/>
                <w:vertAlign w:val="superscript"/>
                <w:lang w:val="en-CA"/>
              </w:rPr>
              <w:t xml:space="preserve"> b</w:t>
            </w:r>
            <w:r w:rsidRPr="00EA3A99">
              <w:rPr>
                <w:rFonts w:ascii="Arial" w:hAnsi="Arial" w:cs="Arial"/>
                <w:sz w:val="20"/>
                <w:szCs w:val="20"/>
                <w:vertAlign w:val="superscript"/>
                <w:lang w:val="en-CA"/>
              </w:rPr>
              <w:tab/>
            </w:r>
          </w:p>
        </w:tc>
        <w:tc>
          <w:tcPr>
            <w:tcW w:w="1530" w:type="dxa"/>
          </w:tcPr>
          <w:p w14:paraId="6D0C27E3"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13.50±4.95</w:t>
            </w:r>
            <w:r w:rsidRPr="00EA3A99">
              <w:rPr>
                <w:rFonts w:ascii="Arial" w:hAnsi="Arial" w:cs="Arial"/>
                <w:sz w:val="20"/>
                <w:szCs w:val="20"/>
                <w:vertAlign w:val="superscript"/>
              </w:rPr>
              <w:t>b</w:t>
            </w:r>
          </w:p>
        </w:tc>
        <w:tc>
          <w:tcPr>
            <w:tcW w:w="1530" w:type="dxa"/>
          </w:tcPr>
          <w:p w14:paraId="06630FFA"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64.00±4.24</w:t>
            </w:r>
            <w:r w:rsidRPr="00EA3A99">
              <w:rPr>
                <w:rFonts w:ascii="Arial" w:hAnsi="Arial" w:cs="Arial"/>
                <w:sz w:val="20"/>
                <w:szCs w:val="20"/>
                <w:vertAlign w:val="superscript"/>
                <w:lang w:val="en-CA"/>
              </w:rPr>
              <w:t xml:space="preserve"> a</w:t>
            </w:r>
          </w:p>
        </w:tc>
        <w:tc>
          <w:tcPr>
            <w:tcW w:w="1497" w:type="dxa"/>
          </w:tcPr>
          <w:p w14:paraId="21689B80"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41.00±2.83</w:t>
            </w:r>
            <w:r w:rsidRPr="00EA3A99">
              <w:rPr>
                <w:rFonts w:ascii="Arial" w:hAnsi="Arial" w:cs="Arial"/>
                <w:sz w:val="20"/>
                <w:szCs w:val="20"/>
                <w:vertAlign w:val="superscript"/>
                <w:lang w:val="en-CA"/>
              </w:rPr>
              <w:t xml:space="preserve"> b</w:t>
            </w:r>
          </w:p>
        </w:tc>
        <w:tc>
          <w:tcPr>
            <w:tcW w:w="1344" w:type="dxa"/>
          </w:tcPr>
          <w:p w14:paraId="45224163"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4.15±0.21</w:t>
            </w:r>
            <w:r w:rsidRPr="00EA3A99">
              <w:rPr>
                <w:rFonts w:ascii="Arial" w:hAnsi="Arial" w:cs="Arial"/>
                <w:sz w:val="20"/>
                <w:szCs w:val="20"/>
                <w:vertAlign w:val="superscript"/>
                <w:lang w:val="en-CA"/>
              </w:rPr>
              <w:t xml:space="preserve"> b</w:t>
            </w:r>
          </w:p>
        </w:tc>
        <w:tc>
          <w:tcPr>
            <w:tcW w:w="1569" w:type="dxa"/>
          </w:tcPr>
          <w:p w14:paraId="4E333C2B"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2.60±0.14</w:t>
            </w:r>
            <w:r w:rsidRPr="00EA3A99">
              <w:rPr>
                <w:rFonts w:ascii="Arial" w:hAnsi="Arial" w:cs="Arial"/>
                <w:sz w:val="20"/>
                <w:szCs w:val="20"/>
                <w:vertAlign w:val="superscript"/>
                <w:lang w:val="en-CA"/>
              </w:rPr>
              <w:t xml:space="preserve"> b</w:t>
            </w:r>
          </w:p>
        </w:tc>
      </w:tr>
      <w:tr w:rsidR="007A76E6" w:rsidRPr="00EA3A99" w14:paraId="7F83D3B8" w14:textId="77777777" w:rsidTr="007A76E6">
        <w:tc>
          <w:tcPr>
            <w:tcW w:w="1573" w:type="dxa"/>
          </w:tcPr>
          <w:p w14:paraId="4E721CE3"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L+Q</w:t>
            </w:r>
          </w:p>
        </w:tc>
        <w:tc>
          <w:tcPr>
            <w:tcW w:w="1608" w:type="dxa"/>
          </w:tcPr>
          <w:p w14:paraId="0ACB1E9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29.75±2.50</w:t>
            </w:r>
            <w:r w:rsidRPr="00EA3A99">
              <w:rPr>
                <w:rFonts w:ascii="Arial" w:hAnsi="Arial" w:cs="Arial"/>
                <w:sz w:val="20"/>
                <w:szCs w:val="20"/>
                <w:vertAlign w:val="superscript"/>
                <w:lang w:val="en-CA"/>
              </w:rPr>
              <w:t xml:space="preserve"> b</w:t>
            </w:r>
          </w:p>
        </w:tc>
        <w:tc>
          <w:tcPr>
            <w:tcW w:w="1530" w:type="dxa"/>
          </w:tcPr>
          <w:p w14:paraId="2D6220F6"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16.50±3.41</w:t>
            </w:r>
            <w:r w:rsidRPr="00EA3A99">
              <w:rPr>
                <w:rFonts w:ascii="Arial" w:hAnsi="Arial" w:cs="Arial"/>
                <w:sz w:val="20"/>
                <w:szCs w:val="20"/>
                <w:vertAlign w:val="superscript"/>
              </w:rPr>
              <w:t>b</w:t>
            </w:r>
          </w:p>
        </w:tc>
        <w:tc>
          <w:tcPr>
            <w:tcW w:w="1530" w:type="dxa"/>
          </w:tcPr>
          <w:p w14:paraId="2897527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56.50±3.11</w:t>
            </w:r>
          </w:p>
        </w:tc>
        <w:tc>
          <w:tcPr>
            <w:tcW w:w="1497" w:type="dxa"/>
          </w:tcPr>
          <w:p w14:paraId="50444613"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36.75±1.71</w:t>
            </w:r>
            <w:r w:rsidRPr="00EA3A99">
              <w:rPr>
                <w:rFonts w:ascii="Arial" w:hAnsi="Arial" w:cs="Arial"/>
                <w:sz w:val="20"/>
                <w:szCs w:val="20"/>
                <w:vertAlign w:val="superscript"/>
                <w:lang w:val="en-CA"/>
              </w:rPr>
              <w:t xml:space="preserve"> b</w:t>
            </w:r>
          </w:p>
        </w:tc>
        <w:tc>
          <w:tcPr>
            <w:tcW w:w="1344" w:type="dxa"/>
          </w:tcPr>
          <w:p w14:paraId="66411760"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6.35±0.31</w:t>
            </w:r>
            <w:r w:rsidRPr="00EA3A99">
              <w:rPr>
                <w:rFonts w:ascii="Arial" w:hAnsi="Arial" w:cs="Arial"/>
                <w:sz w:val="20"/>
                <w:szCs w:val="20"/>
                <w:vertAlign w:val="superscript"/>
                <w:lang w:val="en-CA"/>
              </w:rPr>
              <w:t xml:space="preserve"> b</w:t>
            </w:r>
          </w:p>
        </w:tc>
        <w:tc>
          <w:tcPr>
            <w:tcW w:w="1569" w:type="dxa"/>
          </w:tcPr>
          <w:p w14:paraId="6A2A9ADC"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3.75±0.21</w:t>
            </w:r>
            <w:r w:rsidRPr="00EA3A99">
              <w:rPr>
                <w:rFonts w:ascii="Arial" w:hAnsi="Arial" w:cs="Arial"/>
                <w:sz w:val="20"/>
                <w:szCs w:val="20"/>
                <w:vertAlign w:val="superscript"/>
                <w:lang w:val="en-CA"/>
              </w:rPr>
              <w:t xml:space="preserve"> b</w:t>
            </w:r>
          </w:p>
        </w:tc>
      </w:tr>
      <w:tr w:rsidR="007A76E6" w:rsidRPr="00EA3A99" w14:paraId="69BEC933" w14:textId="77777777" w:rsidTr="007A76E6">
        <w:tc>
          <w:tcPr>
            <w:tcW w:w="1573" w:type="dxa"/>
          </w:tcPr>
          <w:p w14:paraId="7F5E25F6"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p-value</w:t>
            </w:r>
          </w:p>
        </w:tc>
        <w:tc>
          <w:tcPr>
            <w:tcW w:w="1608" w:type="dxa"/>
          </w:tcPr>
          <w:p w14:paraId="59E352C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0.001</w:t>
            </w:r>
          </w:p>
        </w:tc>
        <w:tc>
          <w:tcPr>
            <w:tcW w:w="1530" w:type="dxa"/>
          </w:tcPr>
          <w:p w14:paraId="00EB018C" w14:textId="77777777" w:rsidR="007A76E6" w:rsidRPr="00EA3A99" w:rsidRDefault="007A76E6" w:rsidP="007A76E6">
            <w:pPr>
              <w:spacing w:after="160" w:line="278" w:lineRule="auto"/>
              <w:rPr>
                <w:rFonts w:ascii="Arial" w:hAnsi="Arial" w:cs="Arial"/>
                <w:sz w:val="20"/>
                <w:szCs w:val="20"/>
              </w:rPr>
            </w:pPr>
            <w:r w:rsidRPr="00EA3A99">
              <w:rPr>
                <w:rFonts w:ascii="Arial" w:hAnsi="Arial" w:cs="Arial"/>
                <w:sz w:val="20"/>
                <w:szCs w:val="20"/>
              </w:rPr>
              <w:t>0.003</w:t>
            </w:r>
          </w:p>
        </w:tc>
        <w:tc>
          <w:tcPr>
            <w:tcW w:w="1530" w:type="dxa"/>
          </w:tcPr>
          <w:p w14:paraId="52A7114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0.005</w:t>
            </w:r>
          </w:p>
        </w:tc>
        <w:tc>
          <w:tcPr>
            <w:tcW w:w="1497" w:type="dxa"/>
          </w:tcPr>
          <w:p w14:paraId="6E4DC9B2"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0.058</w:t>
            </w:r>
          </w:p>
        </w:tc>
        <w:tc>
          <w:tcPr>
            <w:tcW w:w="1344" w:type="dxa"/>
          </w:tcPr>
          <w:p w14:paraId="393FAA39"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0.009</w:t>
            </w:r>
          </w:p>
        </w:tc>
        <w:tc>
          <w:tcPr>
            <w:tcW w:w="1569" w:type="dxa"/>
          </w:tcPr>
          <w:p w14:paraId="5A723096"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&lt;0.0001</w:t>
            </w:r>
          </w:p>
        </w:tc>
      </w:tr>
      <w:tr w:rsidR="007A76E6" w:rsidRPr="00EA3A99" w14:paraId="20CF4ED1" w14:textId="77777777" w:rsidTr="007A76E6">
        <w:tc>
          <w:tcPr>
            <w:tcW w:w="1573" w:type="dxa"/>
          </w:tcPr>
          <w:p w14:paraId="57399A25"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F-value</w:t>
            </w:r>
          </w:p>
        </w:tc>
        <w:tc>
          <w:tcPr>
            <w:tcW w:w="1608" w:type="dxa"/>
          </w:tcPr>
          <w:p w14:paraId="57DB578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10.787</w:t>
            </w:r>
          </w:p>
        </w:tc>
        <w:tc>
          <w:tcPr>
            <w:tcW w:w="1530" w:type="dxa"/>
          </w:tcPr>
          <w:p w14:paraId="14B8D671" w14:textId="77777777" w:rsidR="007A76E6" w:rsidRPr="00EA3A99" w:rsidRDefault="007A76E6" w:rsidP="007A76E6">
            <w:pPr>
              <w:spacing w:after="160" w:line="278" w:lineRule="auto"/>
              <w:rPr>
                <w:rFonts w:ascii="Arial" w:hAnsi="Arial" w:cs="Arial"/>
                <w:sz w:val="20"/>
                <w:szCs w:val="20"/>
              </w:rPr>
            </w:pPr>
            <w:r w:rsidRPr="00EA3A99">
              <w:rPr>
                <w:rFonts w:ascii="Arial" w:hAnsi="Arial" w:cs="Arial"/>
                <w:sz w:val="20"/>
                <w:szCs w:val="20"/>
              </w:rPr>
              <w:t>8.113</w:t>
            </w:r>
          </w:p>
        </w:tc>
        <w:tc>
          <w:tcPr>
            <w:tcW w:w="1530" w:type="dxa"/>
          </w:tcPr>
          <w:p w14:paraId="12077A15"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3.260</w:t>
            </w:r>
          </w:p>
        </w:tc>
        <w:tc>
          <w:tcPr>
            <w:tcW w:w="1497" w:type="dxa"/>
          </w:tcPr>
          <w:p w14:paraId="43E3209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3.140</w:t>
            </w:r>
          </w:p>
        </w:tc>
        <w:tc>
          <w:tcPr>
            <w:tcW w:w="1344" w:type="dxa"/>
          </w:tcPr>
          <w:p w14:paraId="7B670E95"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5.785</w:t>
            </w:r>
          </w:p>
        </w:tc>
        <w:tc>
          <w:tcPr>
            <w:tcW w:w="1569" w:type="dxa"/>
          </w:tcPr>
          <w:p w14:paraId="3BA76B6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25.494</w:t>
            </w:r>
          </w:p>
        </w:tc>
      </w:tr>
      <w:tr w:rsidR="007A76E6" w:rsidRPr="00EA3A99" w14:paraId="061533D8" w14:textId="77777777" w:rsidTr="007A76E6">
        <w:tc>
          <w:tcPr>
            <w:tcW w:w="1573" w:type="dxa"/>
            <w:tcBorders>
              <w:bottom w:val="single" w:sz="4" w:space="0" w:color="auto"/>
            </w:tcBorders>
          </w:tcPr>
          <w:p w14:paraId="4C0F74F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Inference</w:t>
            </w:r>
          </w:p>
        </w:tc>
        <w:tc>
          <w:tcPr>
            <w:tcW w:w="1608" w:type="dxa"/>
            <w:tcBorders>
              <w:bottom w:val="single" w:sz="4" w:space="0" w:color="auto"/>
            </w:tcBorders>
          </w:tcPr>
          <w:p w14:paraId="080683FE"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c>
          <w:tcPr>
            <w:tcW w:w="1530" w:type="dxa"/>
            <w:tcBorders>
              <w:bottom w:val="single" w:sz="4" w:space="0" w:color="auto"/>
            </w:tcBorders>
          </w:tcPr>
          <w:p w14:paraId="7D026875" w14:textId="77777777" w:rsidR="007A76E6" w:rsidRPr="00EA3A99" w:rsidRDefault="007A76E6" w:rsidP="007A76E6">
            <w:pPr>
              <w:tabs>
                <w:tab w:val="left" w:pos="990"/>
              </w:tabs>
              <w:spacing w:after="160" w:line="278" w:lineRule="auto"/>
              <w:rPr>
                <w:rFonts w:ascii="Arial" w:hAnsi="Arial" w:cs="Arial"/>
                <w:sz w:val="20"/>
                <w:szCs w:val="20"/>
              </w:rPr>
            </w:pPr>
            <w:r w:rsidRPr="00EA3A99">
              <w:rPr>
                <w:rFonts w:ascii="Arial" w:hAnsi="Arial" w:cs="Arial"/>
                <w:sz w:val="20"/>
                <w:szCs w:val="20"/>
              </w:rPr>
              <w:t>S</w:t>
            </w:r>
          </w:p>
        </w:tc>
        <w:tc>
          <w:tcPr>
            <w:tcW w:w="1530" w:type="dxa"/>
            <w:tcBorders>
              <w:bottom w:val="single" w:sz="4" w:space="0" w:color="auto"/>
            </w:tcBorders>
          </w:tcPr>
          <w:p w14:paraId="606E51C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c>
          <w:tcPr>
            <w:tcW w:w="1497" w:type="dxa"/>
            <w:tcBorders>
              <w:bottom w:val="single" w:sz="4" w:space="0" w:color="auto"/>
            </w:tcBorders>
          </w:tcPr>
          <w:p w14:paraId="03433FB2"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c>
          <w:tcPr>
            <w:tcW w:w="1344" w:type="dxa"/>
            <w:tcBorders>
              <w:bottom w:val="single" w:sz="4" w:space="0" w:color="auto"/>
            </w:tcBorders>
          </w:tcPr>
          <w:p w14:paraId="45EF365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c>
          <w:tcPr>
            <w:tcW w:w="1569" w:type="dxa"/>
            <w:tcBorders>
              <w:bottom w:val="single" w:sz="4" w:space="0" w:color="auto"/>
            </w:tcBorders>
          </w:tcPr>
          <w:p w14:paraId="050403DF"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r>
    </w:tbl>
    <w:p w14:paraId="767290ED" w14:textId="77777777" w:rsidR="007A76E6" w:rsidRPr="00EA3A99" w:rsidRDefault="007A76E6" w:rsidP="007A76E6">
      <w:pPr>
        <w:spacing w:line="480" w:lineRule="auto"/>
        <w:rPr>
          <w:rFonts w:ascii="Arial" w:eastAsia="Calibri" w:hAnsi="Arial" w:cs="Arial"/>
          <w:lang w:val="en-CA"/>
        </w:rPr>
      </w:pPr>
    </w:p>
    <w:p w14:paraId="242EBB6D"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Values with different superscripts are significantly different (p&lt;0.05)</w:t>
      </w:r>
    </w:p>
    <w:p w14:paraId="2FD90AA8" w14:textId="77777777" w:rsidR="007A76E6" w:rsidRPr="00EA3A99" w:rsidRDefault="007A76E6" w:rsidP="007A76E6">
      <w:pPr>
        <w:spacing w:line="480" w:lineRule="auto"/>
        <w:rPr>
          <w:rFonts w:ascii="Arial" w:eastAsia="Calibri" w:hAnsi="Arial" w:cs="Arial"/>
          <w:b/>
          <w:lang w:val="en-CA"/>
        </w:rPr>
      </w:pPr>
      <w:r w:rsidRPr="00EA3A99">
        <w:rPr>
          <w:rFonts w:ascii="Arial" w:eastAsia="Calibri" w:hAnsi="Arial" w:cs="Arial"/>
          <w:b/>
          <w:lang w:val="en-CA"/>
        </w:rPr>
        <w:t>Key</w:t>
      </w:r>
    </w:p>
    <w:p w14:paraId="347AA281" w14:textId="77777777" w:rsidR="007A76E6" w:rsidRPr="00EA3A99" w:rsidRDefault="007A76E6" w:rsidP="007A76E6">
      <w:pPr>
        <w:spacing w:line="480" w:lineRule="auto"/>
        <w:rPr>
          <w:rFonts w:ascii="Arial" w:eastAsia="Calibri" w:hAnsi="Arial" w:cs="Arial"/>
          <w:lang w:val="en-CA"/>
        </w:rPr>
      </w:pPr>
      <w:r w:rsidRPr="00EA3A99">
        <w:rPr>
          <w:rFonts w:ascii="Arial" w:eastAsia="Calibri" w:hAnsi="Arial" w:cs="Arial"/>
          <w:lang w:val="en-CA"/>
        </w:rPr>
        <w:t>S= Significant</w:t>
      </w:r>
    </w:p>
    <w:p w14:paraId="5FB8EFAD" w14:textId="77777777" w:rsidR="007A76E6" w:rsidRPr="00EA3A99" w:rsidRDefault="007A76E6" w:rsidP="007A76E6">
      <w:pPr>
        <w:spacing w:line="480" w:lineRule="auto"/>
        <w:rPr>
          <w:rFonts w:ascii="Arial" w:eastAsia="Calibri" w:hAnsi="Arial" w:cs="Arial"/>
          <w:lang w:val="en-CA"/>
        </w:rPr>
      </w:pPr>
      <w:r w:rsidRPr="00EA3A99">
        <w:rPr>
          <w:rFonts w:ascii="Arial" w:eastAsia="Calibri" w:hAnsi="Arial" w:cs="Arial"/>
          <w:lang w:val="en-CA"/>
        </w:rPr>
        <w:t>N= Non-</w:t>
      </w:r>
      <w:proofErr w:type="spellStart"/>
      <w:r w:rsidRPr="00EA3A99">
        <w:rPr>
          <w:rFonts w:ascii="Arial" w:eastAsia="Calibri" w:hAnsi="Arial" w:cs="Arial"/>
          <w:lang w:val="en-CA"/>
        </w:rPr>
        <w:t>significan</w:t>
      </w:r>
      <w:proofErr w:type="spellEnd"/>
    </w:p>
    <w:p w14:paraId="54CF9E42" w14:textId="77777777" w:rsidR="007A76E6" w:rsidRPr="00EA3A99" w:rsidRDefault="007A76E6" w:rsidP="007A76E6">
      <w:pPr>
        <w:spacing w:after="160" w:line="278" w:lineRule="auto"/>
        <w:rPr>
          <w:rFonts w:ascii="Arial" w:hAnsi="Arial" w:cs="Arial"/>
        </w:rPr>
      </w:pPr>
      <w:r w:rsidRPr="00EA3A99">
        <w:rPr>
          <w:rFonts w:ascii="Arial" w:eastAsia="Calibri" w:hAnsi="Arial" w:cs="Arial"/>
          <w:lang w:val="zh-CN"/>
        </w:rPr>
        <w:t xml:space="preserve">Table 1 shows the effects of lead exposure and different treatments on liver function markers in male Wistar rats. Rats exposed to lead alone recorded the highest AST, ALP, total bilirubin, and conjugated bilirubin levels, alongside the lowest total protein and albumin values, indicating severe liver damage and impaired synthetic function. The control group </w:t>
      </w:r>
      <w:r w:rsidRPr="00EA3A99">
        <w:rPr>
          <w:rFonts w:ascii="Arial" w:eastAsia="Calibri" w:hAnsi="Arial" w:cs="Arial"/>
          <w:lang w:val="zh-CN"/>
        </w:rPr>
        <w:lastRenderedPageBreak/>
        <w:t xml:space="preserve">maintained normal liver parameters. Treatment with </w:t>
      </w:r>
      <w:r w:rsidRPr="00EA3A99">
        <w:rPr>
          <w:rFonts w:ascii="Arial" w:eastAsia="Calibri" w:hAnsi="Arial" w:cs="Arial"/>
          <w:i/>
          <w:iCs/>
          <w:lang w:val="zh-CN"/>
        </w:rPr>
        <w:t>Gongronema latifolium</w:t>
      </w:r>
      <w:r w:rsidRPr="00EA3A99">
        <w:rPr>
          <w:rFonts w:ascii="Arial" w:eastAsia="Calibri" w:hAnsi="Arial" w:cs="Arial"/>
          <w:lang w:val="zh-CN"/>
        </w:rPr>
        <w:t xml:space="preserve"> significantly improved all liver markers in a dose-dependent manner, with medium and high doses producing values closest to the control group. These doses markedly reduced enzyme and bilirubin levels while restoring protein and albumin concentrations. Quercetin treatment also improved liver function but was less effective than </w:t>
      </w:r>
      <w:r w:rsidRPr="00EA3A99">
        <w:rPr>
          <w:rFonts w:ascii="Arial" w:eastAsia="Calibri" w:hAnsi="Arial" w:cs="Arial"/>
          <w:i/>
          <w:iCs/>
          <w:lang w:val="zh-CN"/>
        </w:rPr>
        <w:t>Gongronema latifolium</w:t>
      </w:r>
      <w:r w:rsidRPr="00EA3A99">
        <w:rPr>
          <w:rFonts w:ascii="Arial" w:eastAsia="Calibri" w:hAnsi="Arial" w:cs="Arial"/>
          <w:lang w:val="zh-CN"/>
        </w:rPr>
        <w:t>. Statistical analysis confirmed significant differences among groups (p &lt; 0.05), demonstrating the protective effects of the treatments against lead-induced hepatotoxicity.</w:t>
      </w:r>
    </w:p>
    <w:p w14:paraId="3BF71EB9" w14:textId="77777777" w:rsidR="007A76E6" w:rsidRPr="00EA3A99" w:rsidRDefault="007A76E6" w:rsidP="007A76E6">
      <w:pPr>
        <w:spacing w:after="160" w:line="278" w:lineRule="auto"/>
        <w:rPr>
          <w:rFonts w:ascii="Arial" w:hAnsi="Arial" w:cs="Arial"/>
        </w:rPr>
      </w:pPr>
      <w:r w:rsidRPr="00EA3A99">
        <w:rPr>
          <w:rFonts w:ascii="Arial" w:hAnsi="Arial" w:cs="Arial"/>
        </w:rPr>
        <w:br w:type="page"/>
      </w:r>
    </w:p>
    <w:p w14:paraId="12626365" w14:textId="77777777" w:rsidR="007A76E6" w:rsidRPr="007A76E6" w:rsidRDefault="007A76E6" w:rsidP="007A76E6">
      <w:pPr>
        <w:spacing w:line="480" w:lineRule="auto"/>
        <w:rPr>
          <w:rFonts w:ascii="DengXian" w:hAnsi="DengXian"/>
          <w:sz w:val="24"/>
          <w:szCs w:val="24"/>
        </w:rPr>
      </w:pPr>
      <w:r w:rsidRPr="007A76E6">
        <w:rPr>
          <w:rFonts w:ascii="DengXian" w:hAnsi="DengXian"/>
          <w:noProof/>
          <w:sz w:val="24"/>
          <w:szCs w:val="24"/>
        </w:rPr>
        <w:lastRenderedPageBreak/>
        <w:drawing>
          <wp:inline distT="0" distB="0" distL="0" distR="0" wp14:anchorId="4032DC5A" wp14:editId="7A3C4800">
            <wp:extent cx="5576570" cy="3215640"/>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583683" cy="3219566"/>
                    </a:xfrm>
                    <a:prstGeom prst="rect">
                      <a:avLst/>
                    </a:prstGeom>
                  </pic:spPr>
                </pic:pic>
              </a:graphicData>
            </a:graphic>
          </wp:inline>
        </w:drawing>
      </w:r>
    </w:p>
    <w:p w14:paraId="638BD868" w14:textId="77777777" w:rsidR="007A76E6" w:rsidRPr="007A76E6" w:rsidRDefault="007A76E6" w:rsidP="007A76E6">
      <w:pPr>
        <w:keepNext/>
        <w:keepLines/>
        <w:spacing w:before="160" w:after="80" w:line="278" w:lineRule="auto"/>
        <w:outlineLvl w:val="1"/>
        <w:rPr>
          <w:rFonts w:ascii="Times New Roman" w:eastAsia="DengXian Light" w:hAnsi="Times New Roman"/>
          <w:b/>
          <w:kern w:val="2"/>
          <w:sz w:val="24"/>
          <w:szCs w:val="32"/>
        </w:rPr>
      </w:pPr>
      <w:r w:rsidRPr="007A76E6">
        <w:rPr>
          <w:rFonts w:ascii="Times New Roman" w:eastAsia="DengXian Light" w:hAnsi="Times New Roman"/>
          <w:b/>
          <w:kern w:val="2"/>
          <w:sz w:val="24"/>
          <w:szCs w:val="32"/>
        </w:rPr>
        <w:t>Figure 1: Effects of Lead Exposure and Treatments on Liver Function Markers in Male Wistar Rats</w:t>
      </w:r>
    </w:p>
    <w:p w14:paraId="06F9E8E6" w14:textId="77777777" w:rsidR="007A76E6" w:rsidRPr="007A76E6" w:rsidRDefault="007A76E6" w:rsidP="007A76E6">
      <w:pPr>
        <w:rPr>
          <w:rFonts w:ascii="DengXian" w:eastAsia="Calibri" w:hAnsi="DengXian"/>
          <w:b/>
          <w:sz w:val="24"/>
          <w:szCs w:val="24"/>
        </w:rPr>
      </w:pPr>
      <w:bookmarkStart w:id="1" w:name="_Hlk211863643"/>
      <w:r w:rsidRPr="007A76E6">
        <w:rPr>
          <w:rFonts w:ascii="DengXian" w:eastAsia="Calibri" w:hAnsi="DengXian"/>
          <w:b/>
          <w:sz w:val="24"/>
          <w:szCs w:val="24"/>
        </w:rPr>
        <w:t>KEY POINTS:</w:t>
      </w:r>
    </w:p>
    <w:p w14:paraId="3C686E3C" w14:textId="77777777" w:rsidR="007A76E6" w:rsidRPr="00EA3A99" w:rsidRDefault="007A76E6" w:rsidP="007A76E6">
      <w:pPr>
        <w:rPr>
          <w:rFonts w:ascii="Arial" w:eastAsia="Calibri" w:hAnsi="Arial" w:cs="Arial"/>
        </w:rPr>
      </w:pPr>
      <w:r w:rsidRPr="00EA3A99">
        <w:rPr>
          <w:rFonts w:ascii="Arial" w:eastAsia="Calibri" w:hAnsi="Arial" w:cs="Arial"/>
        </w:rPr>
        <w:t>Group 1 (control)</w:t>
      </w:r>
    </w:p>
    <w:p w14:paraId="0D59D3DC" w14:textId="77777777" w:rsidR="007A76E6" w:rsidRPr="00EA3A99" w:rsidRDefault="007A76E6" w:rsidP="007A76E6">
      <w:pPr>
        <w:rPr>
          <w:rFonts w:ascii="Arial" w:eastAsia="Calibri" w:hAnsi="Arial" w:cs="Arial"/>
        </w:rPr>
      </w:pPr>
      <w:r w:rsidRPr="00EA3A99">
        <w:rPr>
          <w:rFonts w:ascii="Arial" w:eastAsia="Calibri" w:hAnsi="Arial" w:cs="Arial"/>
        </w:rPr>
        <w:t>Group 2 (Lead only)</w:t>
      </w:r>
    </w:p>
    <w:p w14:paraId="4A214D27" w14:textId="77777777" w:rsidR="007A76E6" w:rsidRPr="00EA3A99" w:rsidRDefault="007A76E6" w:rsidP="007A76E6">
      <w:pPr>
        <w:rPr>
          <w:rFonts w:ascii="Arial" w:eastAsia="Calibri" w:hAnsi="Arial" w:cs="Arial"/>
        </w:rPr>
      </w:pPr>
      <w:r w:rsidRPr="00EA3A99">
        <w:rPr>
          <w:rFonts w:ascii="Arial" w:eastAsia="Calibri" w:hAnsi="Arial" w:cs="Arial"/>
        </w:rPr>
        <w:t xml:space="preserve">Group 3 (Lead + 250mg/kg </w:t>
      </w:r>
      <w:r w:rsidRPr="00EA3A99">
        <w:rPr>
          <w:rFonts w:ascii="Arial" w:hAnsi="Arial" w:cs="Arial"/>
          <w:i/>
        </w:rPr>
        <w:t>Gongronema latifolium</w:t>
      </w:r>
      <w:r w:rsidRPr="00EA3A99">
        <w:rPr>
          <w:rFonts w:ascii="Arial" w:eastAsia="Calibri" w:hAnsi="Arial" w:cs="Arial"/>
        </w:rPr>
        <w:t>)</w:t>
      </w:r>
    </w:p>
    <w:p w14:paraId="7A99ADC7" w14:textId="77777777" w:rsidR="007A76E6" w:rsidRPr="00EA3A99" w:rsidRDefault="007A76E6" w:rsidP="007A76E6">
      <w:pPr>
        <w:rPr>
          <w:rFonts w:ascii="Arial" w:eastAsia="Calibri" w:hAnsi="Arial" w:cs="Arial"/>
        </w:rPr>
      </w:pPr>
      <w:r w:rsidRPr="00EA3A99">
        <w:rPr>
          <w:rFonts w:ascii="Arial" w:eastAsia="Calibri" w:hAnsi="Arial" w:cs="Arial"/>
        </w:rPr>
        <w:t>Group 4 (Lead + 500mg/kg</w:t>
      </w:r>
      <w:r w:rsidRPr="00EA3A99">
        <w:rPr>
          <w:rFonts w:ascii="Arial" w:hAnsi="Arial" w:cs="Arial"/>
          <w:i/>
        </w:rPr>
        <w:t xml:space="preserve"> Gongronema latifolium</w:t>
      </w:r>
      <w:r w:rsidRPr="00EA3A99">
        <w:rPr>
          <w:rFonts w:ascii="Arial" w:eastAsia="Calibri" w:hAnsi="Arial" w:cs="Arial"/>
        </w:rPr>
        <w:t>)</w:t>
      </w:r>
    </w:p>
    <w:p w14:paraId="74AC989C" w14:textId="77777777" w:rsidR="007A76E6" w:rsidRPr="00EA3A99" w:rsidRDefault="007A76E6" w:rsidP="007A76E6">
      <w:pPr>
        <w:rPr>
          <w:rFonts w:ascii="Arial" w:eastAsia="Calibri" w:hAnsi="Arial" w:cs="Arial"/>
        </w:rPr>
      </w:pPr>
      <w:r w:rsidRPr="00EA3A99">
        <w:rPr>
          <w:rFonts w:ascii="Arial" w:eastAsia="Calibri" w:hAnsi="Arial" w:cs="Arial"/>
        </w:rPr>
        <w:t>Group 5 (Lead + 1000mg/kg</w:t>
      </w:r>
      <w:r w:rsidRPr="00EA3A99">
        <w:rPr>
          <w:rFonts w:ascii="Arial" w:eastAsia="Calibri" w:hAnsi="Arial" w:cs="Arial"/>
          <w:i/>
        </w:rPr>
        <w:t xml:space="preserve"> </w:t>
      </w:r>
      <w:r w:rsidRPr="00EA3A99">
        <w:rPr>
          <w:rFonts w:ascii="Arial" w:hAnsi="Arial" w:cs="Arial"/>
          <w:i/>
        </w:rPr>
        <w:t>Gongronema latifolium</w:t>
      </w:r>
      <w:r w:rsidRPr="00EA3A99">
        <w:rPr>
          <w:rFonts w:ascii="Arial" w:eastAsia="Calibri" w:hAnsi="Arial" w:cs="Arial"/>
        </w:rPr>
        <w:t>)</w:t>
      </w:r>
    </w:p>
    <w:p w14:paraId="1C67997A" w14:textId="77777777" w:rsidR="007A76E6" w:rsidRPr="00EA3A99" w:rsidRDefault="007A76E6" w:rsidP="007A76E6">
      <w:pPr>
        <w:rPr>
          <w:rFonts w:ascii="Arial" w:eastAsia="Calibri" w:hAnsi="Arial" w:cs="Arial"/>
        </w:rPr>
      </w:pPr>
      <w:r w:rsidRPr="00EA3A99">
        <w:rPr>
          <w:rFonts w:ascii="Arial" w:eastAsia="Calibri" w:hAnsi="Arial" w:cs="Arial"/>
        </w:rPr>
        <w:t>Group 6 (Lead + 500mg/kg Quercetin)</w:t>
      </w:r>
    </w:p>
    <w:p w14:paraId="4D779A16" w14:textId="77777777" w:rsidR="007A76E6" w:rsidRPr="00EA3A99" w:rsidRDefault="007A76E6" w:rsidP="007A76E6">
      <w:pPr>
        <w:rPr>
          <w:rFonts w:ascii="Arial" w:eastAsia="Calibri" w:hAnsi="Arial" w:cs="Arial"/>
          <w:lang w:val="zh-CN"/>
        </w:rPr>
      </w:pPr>
    </w:p>
    <w:p w14:paraId="005F23C0" w14:textId="77777777" w:rsidR="007A76E6" w:rsidRPr="00EA3A99" w:rsidRDefault="007A76E6" w:rsidP="007A76E6">
      <w:pPr>
        <w:rPr>
          <w:rFonts w:ascii="Arial" w:eastAsia="Calibri" w:hAnsi="Arial" w:cs="Arial"/>
        </w:rPr>
      </w:pPr>
      <w:r w:rsidRPr="00EA3A99">
        <w:rPr>
          <w:rFonts w:ascii="Arial" w:eastAsia="Calibri" w:hAnsi="Arial" w:cs="Arial"/>
          <w:lang w:val="zh-CN"/>
        </w:rPr>
        <w:t xml:space="preserve">Figure 1 shows the effects of lead exposure and different treatments on liver function markers in male Wistar rats. The lead-only group recorded the highest AST, ALP, total bilirubin, and conjugated bilirubin levels, alongside reduced total protein and albumin, indicating severe liver damage. The control group maintained normal values across all markers. Treatment with </w:t>
      </w:r>
      <w:r w:rsidRPr="00EA3A99">
        <w:rPr>
          <w:rFonts w:ascii="Arial" w:eastAsia="Calibri" w:hAnsi="Arial" w:cs="Arial"/>
          <w:i/>
          <w:iCs/>
          <w:lang w:val="zh-CN"/>
        </w:rPr>
        <w:t>Gongronema latifolium</w:t>
      </w:r>
      <w:r w:rsidRPr="00EA3A99">
        <w:rPr>
          <w:rFonts w:ascii="Arial" w:eastAsia="Calibri" w:hAnsi="Arial" w:cs="Arial"/>
          <w:lang w:val="zh-CN"/>
        </w:rPr>
        <w:t xml:space="preserve"> produced dose-dependent improvements, with medium and high doses restoring liver parameters close to control levels. Quercetin also improved liver function but was less effective than higher doses of </w:t>
      </w:r>
      <w:r w:rsidRPr="00EA3A99">
        <w:rPr>
          <w:rFonts w:ascii="Arial" w:eastAsia="Calibri" w:hAnsi="Arial" w:cs="Arial"/>
          <w:i/>
          <w:iCs/>
          <w:lang w:val="zh-CN"/>
        </w:rPr>
        <w:t>Gongronema latifolium</w:t>
      </w:r>
      <w:r w:rsidRPr="00EA3A99">
        <w:rPr>
          <w:rFonts w:ascii="Arial" w:eastAsia="Calibri" w:hAnsi="Arial" w:cs="Arial"/>
          <w:lang w:val="zh-CN"/>
        </w:rPr>
        <w:t>, demonstrating the superior hepatoprotective potential of the plant extract.</w:t>
      </w:r>
    </w:p>
    <w:bookmarkEnd w:id="1"/>
    <w:p w14:paraId="5CEB237D" w14:textId="77777777" w:rsidR="007A76E6" w:rsidRPr="007A76E6" w:rsidRDefault="007A76E6" w:rsidP="007A76E6">
      <w:pPr>
        <w:spacing w:after="160" w:line="278" w:lineRule="auto"/>
        <w:rPr>
          <w:rFonts w:ascii="DengXian" w:hAnsi="DengXian"/>
          <w:b/>
          <w:sz w:val="24"/>
          <w:szCs w:val="24"/>
        </w:rPr>
      </w:pPr>
      <w:r w:rsidRPr="007A76E6">
        <w:rPr>
          <w:rFonts w:ascii="DengXian" w:hAnsi="DengXian"/>
          <w:b/>
          <w:sz w:val="24"/>
          <w:szCs w:val="24"/>
        </w:rPr>
        <w:br w:type="page"/>
      </w:r>
    </w:p>
    <w:p w14:paraId="43BD48BB" w14:textId="77777777" w:rsidR="007A76E6" w:rsidRPr="007A76E6" w:rsidRDefault="007A76E6" w:rsidP="007A76E6">
      <w:pPr>
        <w:keepNext/>
        <w:keepLines/>
        <w:spacing w:before="160" w:after="80" w:line="278" w:lineRule="auto"/>
        <w:outlineLvl w:val="1"/>
        <w:rPr>
          <w:rFonts w:ascii="Times New Roman" w:eastAsia="DengXian Light" w:hAnsi="Times New Roman"/>
          <w:b/>
          <w:kern w:val="2"/>
          <w:sz w:val="24"/>
          <w:szCs w:val="32"/>
        </w:rPr>
      </w:pPr>
      <w:r w:rsidRPr="007A76E6">
        <w:rPr>
          <w:rFonts w:ascii="Times New Roman" w:eastAsia="DengXian Light" w:hAnsi="Times New Roman"/>
          <w:b/>
          <w:kern w:val="2"/>
          <w:sz w:val="24"/>
          <w:szCs w:val="32"/>
        </w:rPr>
        <w:lastRenderedPageBreak/>
        <w:t>Table 2: Effects of Lead Exposure and Treatments on Oxidative Stress Markers in Male Wistar Rats</w:t>
      </w:r>
    </w:p>
    <w:tbl>
      <w:tblPr>
        <w:tblStyle w:val="TableGrid1"/>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0"/>
        <w:gridCol w:w="1669"/>
        <w:gridCol w:w="1635"/>
        <w:gridCol w:w="1320"/>
        <w:gridCol w:w="1333"/>
        <w:gridCol w:w="1307"/>
        <w:gridCol w:w="1307"/>
      </w:tblGrid>
      <w:tr w:rsidR="007A76E6" w:rsidRPr="007A76E6" w14:paraId="571905A0" w14:textId="77777777" w:rsidTr="007A76E6">
        <w:tc>
          <w:tcPr>
            <w:tcW w:w="1340" w:type="dxa"/>
            <w:tcBorders>
              <w:top w:val="single" w:sz="4" w:space="0" w:color="auto"/>
              <w:bottom w:val="single" w:sz="4" w:space="0" w:color="auto"/>
            </w:tcBorders>
          </w:tcPr>
          <w:p w14:paraId="4F9BF963" w14:textId="77777777" w:rsidR="007A76E6" w:rsidRPr="007A76E6" w:rsidRDefault="007A76E6" w:rsidP="007A76E6">
            <w:pPr>
              <w:spacing w:after="160" w:line="480" w:lineRule="auto"/>
              <w:rPr>
                <w:rFonts w:ascii="DengXian" w:hAnsi="DengXian"/>
                <w:b/>
                <w:lang w:val="en-CA"/>
              </w:rPr>
            </w:pPr>
          </w:p>
        </w:tc>
        <w:tc>
          <w:tcPr>
            <w:tcW w:w="1669" w:type="dxa"/>
            <w:tcBorders>
              <w:top w:val="single" w:sz="4" w:space="0" w:color="auto"/>
              <w:bottom w:val="single" w:sz="4" w:space="0" w:color="auto"/>
            </w:tcBorders>
          </w:tcPr>
          <w:p w14:paraId="2DBB216F"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GSH</w:t>
            </w:r>
          </w:p>
        </w:tc>
        <w:tc>
          <w:tcPr>
            <w:tcW w:w="1635" w:type="dxa"/>
            <w:tcBorders>
              <w:top w:val="single" w:sz="4" w:space="0" w:color="auto"/>
              <w:bottom w:val="single" w:sz="4" w:space="0" w:color="auto"/>
            </w:tcBorders>
          </w:tcPr>
          <w:p w14:paraId="7EFE6A53"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GPX</w:t>
            </w:r>
          </w:p>
        </w:tc>
        <w:tc>
          <w:tcPr>
            <w:tcW w:w="1320" w:type="dxa"/>
            <w:tcBorders>
              <w:top w:val="single" w:sz="4" w:space="0" w:color="auto"/>
              <w:bottom w:val="single" w:sz="4" w:space="0" w:color="auto"/>
            </w:tcBorders>
          </w:tcPr>
          <w:p w14:paraId="0141EB8A"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CAT</w:t>
            </w:r>
          </w:p>
        </w:tc>
        <w:tc>
          <w:tcPr>
            <w:tcW w:w="1333" w:type="dxa"/>
            <w:tcBorders>
              <w:top w:val="single" w:sz="4" w:space="0" w:color="auto"/>
              <w:bottom w:val="single" w:sz="4" w:space="0" w:color="auto"/>
            </w:tcBorders>
          </w:tcPr>
          <w:p w14:paraId="58F5CA7F"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SOD</w:t>
            </w:r>
          </w:p>
        </w:tc>
        <w:tc>
          <w:tcPr>
            <w:tcW w:w="1307" w:type="dxa"/>
            <w:tcBorders>
              <w:top w:val="single" w:sz="4" w:space="0" w:color="auto"/>
              <w:bottom w:val="single" w:sz="4" w:space="0" w:color="auto"/>
            </w:tcBorders>
          </w:tcPr>
          <w:p w14:paraId="68666146"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MDA</w:t>
            </w:r>
          </w:p>
        </w:tc>
        <w:tc>
          <w:tcPr>
            <w:tcW w:w="1307" w:type="dxa"/>
            <w:tcBorders>
              <w:top w:val="single" w:sz="4" w:space="0" w:color="auto"/>
              <w:bottom w:val="single" w:sz="4" w:space="0" w:color="auto"/>
            </w:tcBorders>
          </w:tcPr>
          <w:p w14:paraId="3AAE9864"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GLU</w:t>
            </w:r>
          </w:p>
        </w:tc>
      </w:tr>
      <w:tr w:rsidR="007A76E6" w:rsidRPr="007A76E6" w14:paraId="69BBE36B" w14:textId="77777777" w:rsidTr="007A76E6">
        <w:tc>
          <w:tcPr>
            <w:tcW w:w="1340" w:type="dxa"/>
            <w:tcBorders>
              <w:top w:val="single" w:sz="4" w:space="0" w:color="auto"/>
            </w:tcBorders>
          </w:tcPr>
          <w:p w14:paraId="75F9A808"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LEAD</w:t>
            </w:r>
          </w:p>
        </w:tc>
        <w:tc>
          <w:tcPr>
            <w:tcW w:w="1669" w:type="dxa"/>
            <w:tcBorders>
              <w:top w:val="single" w:sz="4" w:space="0" w:color="auto"/>
            </w:tcBorders>
          </w:tcPr>
          <w:p w14:paraId="05B0441B"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2.47±0.00</w:t>
            </w:r>
          </w:p>
        </w:tc>
        <w:tc>
          <w:tcPr>
            <w:tcW w:w="1635" w:type="dxa"/>
            <w:tcBorders>
              <w:top w:val="single" w:sz="4" w:space="0" w:color="auto"/>
            </w:tcBorders>
          </w:tcPr>
          <w:p w14:paraId="5631636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0.049±0.00</w:t>
            </w:r>
            <w:r w:rsidRPr="007A76E6">
              <w:rPr>
                <w:rFonts w:ascii="DengXian" w:hAnsi="DengXian"/>
                <w:vertAlign w:val="superscript"/>
                <w:lang w:val="en-CA"/>
              </w:rPr>
              <w:t xml:space="preserve"> a</w:t>
            </w:r>
          </w:p>
        </w:tc>
        <w:tc>
          <w:tcPr>
            <w:tcW w:w="1320" w:type="dxa"/>
            <w:tcBorders>
              <w:top w:val="single" w:sz="4" w:space="0" w:color="auto"/>
            </w:tcBorders>
          </w:tcPr>
          <w:p w14:paraId="3FBF249C"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2..54±0.00</w:t>
            </w:r>
            <w:r w:rsidRPr="007A76E6">
              <w:rPr>
                <w:rFonts w:ascii="DengXian" w:hAnsi="DengXian"/>
                <w:vertAlign w:val="superscript"/>
                <w:lang w:val="en-CA"/>
              </w:rPr>
              <w:t xml:space="preserve"> a</w:t>
            </w:r>
          </w:p>
        </w:tc>
        <w:tc>
          <w:tcPr>
            <w:tcW w:w="1333" w:type="dxa"/>
            <w:tcBorders>
              <w:top w:val="single" w:sz="4" w:space="0" w:color="auto"/>
            </w:tcBorders>
          </w:tcPr>
          <w:p w14:paraId="22EC455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0.18±0.00</w:t>
            </w:r>
            <w:r w:rsidRPr="007A76E6">
              <w:rPr>
                <w:rFonts w:ascii="DengXian" w:hAnsi="DengXian"/>
                <w:vertAlign w:val="superscript"/>
                <w:lang w:val="en-CA"/>
              </w:rPr>
              <w:t xml:space="preserve"> a</w:t>
            </w:r>
          </w:p>
        </w:tc>
        <w:tc>
          <w:tcPr>
            <w:tcW w:w="1307" w:type="dxa"/>
            <w:tcBorders>
              <w:top w:val="single" w:sz="4" w:space="0" w:color="auto"/>
            </w:tcBorders>
          </w:tcPr>
          <w:p w14:paraId="5D2E190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0.60±0.00</w:t>
            </w:r>
            <w:r w:rsidRPr="007A76E6">
              <w:rPr>
                <w:rFonts w:ascii="DengXian" w:hAnsi="DengXian"/>
                <w:vertAlign w:val="superscript"/>
                <w:lang w:val="en-CA"/>
              </w:rPr>
              <w:t xml:space="preserve"> a</w:t>
            </w:r>
          </w:p>
        </w:tc>
        <w:tc>
          <w:tcPr>
            <w:tcW w:w="1307" w:type="dxa"/>
            <w:tcBorders>
              <w:top w:val="single" w:sz="4" w:space="0" w:color="auto"/>
            </w:tcBorders>
          </w:tcPr>
          <w:p w14:paraId="4C837211"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7.30±0.00</w:t>
            </w:r>
          </w:p>
        </w:tc>
      </w:tr>
      <w:tr w:rsidR="007A76E6" w:rsidRPr="007A76E6" w14:paraId="580C7494" w14:textId="77777777" w:rsidTr="007A76E6">
        <w:tc>
          <w:tcPr>
            <w:tcW w:w="1340" w:type="dxa"/>
          </w:tcPr>
          <w:p w14:paraId="681079A1"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CONTROL</w:t>
            </w:r>
          </w:p>
        </w:tc>
        <w:tc>
          <w:tcPr>
            <w:tcW w:w="1669" w:type="dxa"/>
          </w:tcPr>
          <w:p w14:paraId="5B16F5B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2.98±0.12</w:t>
            </w:r>
            <w:r w:rsidRPr="007A76E6">
              <w:rPr>
                <w:rFonts w:ascii="DengXian" w:hAnsi="DengXian"/>
                <w:vertAlign w:val="superscript"/>
                <w:lang w:val="en-CA"/>
              </w:rPr>
              <w:t xml:space="preserve"> b</w:t>
            </w:r>
          </w:p>
        </w:tc>
        <w:tc>
          <w:tcPr>
            <w:tcW w:w="1635" w:type="dxa"/>
          </w:tcPr>
          <w:p w14:paraId="1ADC9033"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0.063±0.002</w:t>
            </w:r>
            <w:r w:rsidRPr="007A76E6">
              <w:rPr>
                <w:rFonts w:ascii="DengXian" w:hAnsi="DengXian"/>
                <w:vertAlign w:val="superscript"/>
                <w:lang w:val="en-CA"/>
              </w:rPr>
              <w:t xml:space="preserve"> b</w:t>
            </w:r>
          </w:p>
        </w:tc>
        <w:tc>
          <w:tcPr>
            <w:tcW w:w="1320" w:type="dxa"/>
          </w:tcPr>
          <w:p w14:paraId="1A94A28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4.42±0.19</w:t>
            </w:r>
            <w:r w:rsidRPr="007A76E6">
              <w:rPr>
                <w:rFonts w:ascii="DengXian" w:hAnsi="DengXian"/>
                <w:vertAlign w:val="superscript"/>
                <w:lang w:val="en-CA"/>
              </w:rPr>
              <w:t xml:space="preserve"> b</w:t>
            </w:r>
          </w:p>
        </w:tc>
        <w:tc>
          <w:tcPr>
            <w:tcW w:w="1333" w:type="dxa"/>
          </w:tcPr>
          <w:p w14:paraId="532C297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0.40±0.03</w:t>
            </w:r>
            <w:r w:rsidRPr="007A76E6">
              <w:rPr>
                <w:rFonts w:ascii="DengXian" w:hAnsi="DengXian"/>
                <w:vertAlign w:val="superscript"/>
                <w:lang w:val="en-CA"/>
              </w:rPr>
              <w:t xml:space="preserve"> b</w:t>
            </w:r>
          </w:p>
        </w:tc>
        <w:tc>
          <w:tcPr>
            <w:tcW w:w="1307" w:type="dxa"/>
          </w:tcPr>
          <w:p w14:paraId="604000A4"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0.37±0.07</w:t>
            </w:r>
            <w:r w:rsidRPr="007A76E6">
              <w:rPr>
                <w:rFonts w:ascii="DengXian" w:hAnsi="DengXian"/>
                <w:vertAlign w:val="superscript"/>
                <w:lang w:val="en-CA"/>
              </w:rPr>
              <w:t xml:space="preserve"> b</w:t>
            </w:r>
          </w:p>
        </w:tc>
        <w:tc>
          <w:tcPr>
            <w:tcW w:w="1307" w:type="dxa"/>
          </w:tcPr>
          <w:p w14:paraId="12656CD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4.07±0.80</w:t>
            </w:r>
            <w:r w:rsidRPr="007A76E6">
              <w:rPr>
                <w:rFonts w:ascii="DengXian" w:hAnsi="DengXian"/>
                <w:vertAlign w:val="superscript"/>
                <w:lang w:val="en-CA"/>
              </w:rPr>
              <w:t xml:space="preserve"> b</w:t>
            </w:r>
          </w:p>
        </w:tc>
      </w:tr>
      <w:tr w:rsidR="007A76E6" w:rsidRPr="007A76E6" w14:paraId="5A96E61E" w14:textId="77777777" w:rsidTr="007A76E6">
        <w:tc>
          <w:tcPr>
            <w:tcW w:w="1340" w:type="dxa"/>
          </w:tcPr>
          <w:p w14:paraId="70E125C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L+LD</w:t>
            </w:r>
          </w:p>
        </w:tc>
        <w:tc>
          <w:tcPr>
            <w:tcW w:w="1669" w:type="dxa"/>
          </w:tcPr>
          <w:p w14:paraId="0872751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2.47±0.29</w:t>
            </w:r>
            <w:r w:rsidRPr="007A76E6">
              <w:rPr>
                <w:rFonts w:ascii="DengXian" w:hAnsi="DengXian"/>
                <w:vertAlign w:val="superscript"/>
                <w:lang w:val="en-CA"/>
              </w:rPr>
              <w:t xml:space="preserve"> a</w:t>
            </w:r>
          </w:p>
        </w:tc>
        <w:tc>
          <w:tcPr>
            <w:tcW w:w="1635" w:type="dxa"/>
          </w:tcPr>
          <w:p w14:paraId="2A01F51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0.056±0.005</w:t>
            </w:r>
            <w:r w:rsidRPr="007A76E6">
              <w:rPr>
                <w:rFonts w:ascii="DengXian" w:hAnsi="DengXian"/>
                <w:vertAlign w:val="superscript"/>
                <w:lang w:val="en-CA"/>
              </w:rPr>
              <w:t xml:space="preserve"> a</w:t>
            </w:r>
          </w:p>
        </w:tc>
        <w:tc>
          <w:tcPr>
            <w:tcW w:w="1320" w:type="dxa"/>
          </w:tcPr>
          <w:p w14:paraId="2824BDD0"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3.45±0.24</w:t>
            </w:r>
            <w:r w:rsidRPr="007A76E6">
              <w:rPr>
                <w:rFonts w:ascii="DengXian" w:hAnsi="DengXian"/>
                <w:vertAlign w:val="superscript"/>
                <w:lang w:val="en-CA"/>
              </w:rPr>
              <w:t xml:space="preserve"> a</w:t>
            </w:r>
          </w:p>
        </w:tc>
        <w:tc>
          <w:tcPr>
            <w:tcW w:w="1333" w:type="dxa"/>
          </w:tcPr>
          <w:p w14:paraId="2492A67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0.25±0.03</w:t>
            </w:r>
            <w:r w:rsidRPr="007A76E6">
              <w:rPr>
                <w:rFonts w:ascii="DengXian" w:hAnsi="DengXian"/>
                <w:vertAlign w:val="superscript"/>
                <w:lang w:val="en-CA"/>
              </w:rPr>
              <w:t xml:space="preserve"> b</w:t>
            </w:r>
          </w:p>
        </w:tc>
        <w:tc>
          <w:tcPr>
            <w:tcW w:w="1307" w:type="dxa"/>
          </w:tcPr>
          <w:p w14:paraId="2908C4CD"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0.53±0.03</w:t>
            </w:r>
          </w:p>
        </w:tc>
        <w:tc>
          <w:tcPr>
            <w:tcW w:w="1307" w:type="dxa"/>
          </w:tcPr>
          <w:p w14:paraId="5072AE55"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5.37±0.60</w:t>
            </w:r>
            <w:r w:rsidRPr="007A76E6">
              <w:rPr>
                <w:rFonts w:ascii="DengXian" w:hAnsi="DengXian"/>
                <w:vertAlign w:val="superscript"/>
                <w:lang w:val="en-CA"/>
              </w:rPr>
              <w:t xml:space="preserve"> b</w:t>
            </w:r>
          </w:p>
        </w:tc>
      </w:tr>
      <w:tr w:rsidR="007A76E6" w:rsidRPr="007A76E6" w14:paraId="5A99119C" w14:textId="77777777" w:rsidTr="007A76E6">
        <w:tc>
          <w:tcPr>
            <w:tcW w:w="1340" w:type="dxa"/>
          </w:tcPr>
          <w:p w14:paraId="6A06F4AC"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L+MD</w:t>
            </w:r>
          </w:p>
        </w:tc>
        <w:tc>
          <w:tcPr>
            <w:tcW w:w="1669" w:type="dxa"/>
          </w:tcPr>
          <w:p w14:paraId="27E55A47"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2.69±0.06</w:t>
            </w:r>
            <w:r w:rsidRPr="007A76E6">
              <w:rPr>
                <w:rFonts w:ascii="DengXian" w:hAnsi="DengXian"/>
                <w:vertAlign w:val="superscript"/>
                <w:lang w:val="en-CA"/>
              </w:rPr>
              <w:t xml:space="preserve"> b</w:t>
            </w:r>
          </w:p>
        </w:tc>
        <w:tc>
          <w:tcPr>
            <w:tcW w:w="1635" w:type="dxa"/>
          </w:tcPr>
          <w:p w14:paraId="24C52FE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0.061±0.002</w:t>
            </w:r>
            <w:r w:rsidRPr="007A76E6">
              <w:rPr>
                <w:rFonts w:ascii="DengXian" w:hAnsi="DengXian"/>
                <w:vertAlign w:val="superscript"/>
                <w:lang w:val="en-CA"/>
              </w:rPr>
              <w:t xml:space="preserve"> b</w:t>
            </w:r>
          </w:p>
        </w:tc>
        <w:tc>
          <w:tcPr>
            <w:tcW w:w="1320" w:type="dxa"/>
          </w:tcPr>
          <w:p w14:paraId="3BCCAB0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4.25±0.72</w:t>
            </w:r>
            <w:r w:rsidRPr="007A76E6">
              <w:rPr>
                <w:rFonts w:ascii="DengXian" w:hAnsi="DengXian"/>
                <w:vertAlign w:val="superscript"/>
                <w:lang w:val="en-CA"/>
              </w:rPr>
              <w:t xml:space="preserve"> a</w:t>
            </w:r>
          </w:p>
        </w:tc>
        <w:tc>
          <w:tcPr>
            <w:tcW w:w="1333" w:type="dxa"/>
          </w:tcPr>
          <w:p w14:paraId="35C934A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0.33±0.03</w:t>
            </w:r>
            <w:r w:rsidRPr="007A76E6">
              <w:rPr>
                <w:rFonts w:ascii="DengXian" w:hAnsi="DengXian"/>
                <w:vertAlign w:val="superscript"/>
                <w:lang w:val="en-CA"/>
              </w:rPr>
              <w:t xml:space="preserve"> b</w:t>
            </w:r>
          </w:p>
        </w:tc>
        <w:tc>
          <w:tcPr>
            <w:tcW w:w="1307" w:type="dxa"/>
          </w:tcPr>
          <w:p w14:paraId="02F4FA94"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0.44±0.06</w:t>
            </w:r>
            <w:r w:rsidRPr="007A76E6">
              <w:rPr>
                <w:rFonts w:ascii="DengXian" w:hAnsi="DengXian"/>
                <w:vertAlign w:val="superscript"/>
                <w:lang w:val="en-CA"/>
              </w:rPr>
              <w:t xml:space="preserve"> b</w:t>
            </w:r>
          </w:p>
        </w:tc>
        <w:tc>
          <w:tcPr>
            <w:tcW w:w="1307" w:type="dxa"/>
          </w:tcPr>
          <w:p w14:paraId="0B3DBD6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5.45±0.35</w:t>
            </w:r>
            <w:r w:rsidRPr="007A76E6">
              <w:rPr>
                <w:rFonts w:ascii="DengXian" w:hAnsi="DengXian"/>
                <w:vertAlign w:val="superscript"/>
                <w:lang w:val="en-CA"/>
              </w:rPr>
              <w:t xml:space="preserve"> b</w:t>
            </w:r>
          </w:p>
        </w:tc>
      </w:tr>
      <w:tr w:rsidR="007A76E6" w:rsidRPr="007A76E6" w14:paraId="66DFCC31" w14:textId="77777777" w:rsidTr="007A76E6">
        <w:tc>
          <w:tcPr>
            <w:tcW w:w="1340" w:type="dxa"/>
          </w:tcPr>
          <w:p w14:paraId="3D4566AE"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L+HD</w:t>
            </w:r>
          </w:p>
        </w:tc>
        <w:tc>
          <w:tcPr>
            <w:tcW w:w="1669" w:type="dxa"/>
          </w:tcPr>
          <w:p w14:paraId="2A80E3AD"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2.72±0.06</w:t>
            </w:r>
            <w:r w:rsidRPr="007A76E6">
              <w:rPr>
                <w:rFonts w:ascii="DengXian" w:hAnsi="DengXian"/>
                <w:vertAlign w:val="superscript"/>
                <w:lang w:val="en-CA"/>
              </w:rPr>
              <w:t xml:space="preserve"> b</w:t>
            </w:r>
          </w:p>
        </w:tc>
        <w:tc>
          <w:tcPr>
            <w:tcW w:w="1635" w:type="dxa"/>
          </w:tcPr>
          <w:p w14:paraId="2DAB1BB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0.062±0.002</w:t>
            </w:r>
            <w:r w:rsidRPr="007A76E6">
              <w:rPr>
                <w:rFonts w:ascii="DengXian" w:hAnsi="DengXian"/>
                <w:vertAlign w:val="superscript"/>
                <w:lang w:val="en-CA"/>
              </w:rPr>
              <w:t xml:space="preserve"> b</w:t>
            </w:r>
          </w:p>
        </w:tc>
        <w:tc>
          <w:tcPr>
            <w:tcW w:w="1320" w:type="dxa"/>
          </w:tcPr>
          <w:p w14:paraId="1854353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4.43±0.96</w:t>
            </w:r>
            <w:r w:rsidRPr="007A76E6">
              <w:rPr>
                <w:rFonts w:ascii="DengXian" w:hAnsi="DengXian"/>
                <w:vertAlign w:val="superscript"/>
                <w:lang w:val="en-CA"/>
              </w:rPr>
              <w:t xml:space="preserve"> a</w:t>
            </w:r>
          </w:p>
        </w:tc>
        <w:tc>
          <w:tcPr>
            <w:tcW w:w="1333" w:type="dxa"/>
          </w:tcPr>
          <w:p w14:paraId="71898B97"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0.33±0.078</w:t>
            </w:r>
            <w:r w:rsidRPr="007A76E6">
              <w:rPr>
                <w:rFonts w:ascii="DengXian" w:hAnsi="DengXian"/>
                <w:vertAlign w:val="superscript"/>
                <w:lang w:val="en-CA"/>
              </w:rPr>
              <w:t xml:space="preserve"> b</w:t>
            </w:r>
          </w:p>
        </w:tc>
        <w:tc>
          <w:tcPr>
            <w:tcW w:w="1307" w:type="dxa"/>
          </w:tcPr>
          <w:p w14:paraId="44BD042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0.45±0.06</w:t>
            </w:r>
            <w:r w:rsidRPr="007A76E6">
              <w:rPr>
                <w:rFonts w:ascii="DengXian" w:hAnsi="DengXian"/>
                <w:vertAlign w:val="superscript"/>
                <w:lang w:val="en-CA"/>
              </w:rPr>
              <w:t xml:space="preserve"> b</w:t>
            </w:r>
          </w:p>
        </w:tc>
        <w:tc>
          <w:tcPr>
            <w:tcW w:w="1307" w:type="dxa"/>
          </w:tcPr>
          <w:p w14:paraId="2256614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4.60±0.14</w:t>
            </w:r>
            <w:r w:rsidRPr="007A76E6">
              <w:rPr>
                <w:rFonts w:ascii="DengXian" w:hAnsi="DengXian"/>
                <w:vertAlign w:val="superscript"/>
                <w:lang w:val="en-CA"/>
              </w:rPr>
              <w:t xml:space="preserve"> b</w:t>
            </w:r>
          </w:p>
        </w:tc>
      </w:tr>
      <w:tr w:rsidR="007A76E6" w:rsidRPr="007A76E6" w14:paraId="02CA242F" w14:textId="77777777" w:rsidTr="007A76E6">
        <w:tc>
          <w:tcPr>
            <w:tcW w:w="1340" w:type="dxa"/>
          </w:tcPr>
          <w:p w14:paraId="32A9725B"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L+Q</w:t>
            </w:r>
          </w:p>
        </w:tc>
        <w:tc>
          <w:tcPr>
            <w:tcW w:w="1669" w:type="dxa"/>
          </w:tcPr>
          <w:p w14:paraId="2994DEE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2.73±0.34</w:t>
            </w:r>
            <w:r w:rsidRPr="007A76E6">
              <w:rPr>
                <w:rFonts w:ascii="DengXian" w:hAnsi="DengXian"/>
                <w:vertAlign w:val="superscript"/>
                <w:lang w:val="en-CA"/>
              </w:rPr>
              <w:t xml:space="preserve"> a</w:t>
            </w:r>
          </w:p>
        </w:tc>
        <w:tc>
          <w:tcPr>
            <w:tcW w:w="1635" w:type="dxa"/>
          </w:tcPr>
          <w:p w14:paraId="4F374510"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0.047±0.008</w:t>
            </w:r>
            <w:r w:rsidRPr="007A76E6">
              <w:rPr>
                <w:rFonts w:ascii="DengXian" w:hAnsi="DengXian"/>
                <w:vertAlign w:val="superscript"/>
                <w:lang w:val="en-CA"/>
              </w:rPr>
              <w:t xml:space="preserve"> a</w:t>
            </w:r>
          </w:p>
        </w:tc>
        <w:tc>
          <w:tcPr>
            <w:tcW w:w="1320" w:type="dxa"/>
          </w:tcPr>
          <w:p w14:paraId="1661632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3..4±0.49</w:t>
            </w:r>
            <w:r w:rsidRPr="007A76E6">
              <w:rPr>
                <w:rFonts w:ascii="DengXian" w:hAnsi="DengXian"/>
                <w:vertAlign w:val="superscript"/>
                <w:lang w:val="en-CA"/>
              </w:rPr>
              <w:t xml:space="preserve"> b</w:t>
            </w:r>
          </w:p>
        </w:tc>
        <w:tc>
          <w:tcPr>
            <w:tcW w:w="1333" w:type="dxa"/>
          </w:tcPr>
          <w:p w14:paraId="3125E86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0.24±0.03</w:t>
            </w:r>
            <w:r w:rsidRPr="007A76E6">
              <w:rPr>
                <w:rFonts w:ascii="DengXian" w:hAnsi="DengXian"/>
                <w:vertAlign w:val="superscript"/>
                <w:lang w:val="en-CA"/>
              </w:rPr>
              <w:t xml:space="preserve"> a</w:t>
            </w:r>
          </w:p>
        </w:tc>
        <w:tc>
          <w:tcPr>
            <w:tcW w:w="1307" w:type="dxa"/>
          </w:tcPr>
          <w:p w14:paraId="165155FE"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0.54±0.04</w:t>
            </w:r>
            <w:r w:rsidRPr="007A76E6">
              <w:rPr>
                <w:rFonts w:ascii="DengXian" w:hAnsi="DengXian"/>
                <w:vertAlign w:val="superscript"/>
                <w:lang w:val="en-CA"/>
              </w:rPr>
              <w:t xml:space="preserve"> a</w:t>
            </w:r>
          </w:p>
        </w:tc>
        <w:tc>
          <w:tcPr>
            <w:tcW w:w="1307" w:type="dxa"/>
          </w:tcPr>
          <w:p w14:paraId="495CA8F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4.63±0.29</w:t>
            </w:r>
            <w:r w:rsidRPr="007A76E6">
              <w:rPr>
                <w:rFonts w:ascii="DengXian" w:hAnsi="DengXian"/>
                <w:vertAlign w:val="superscript"/>
                <w:lang w:val="en-CA"/>
              </w:rPr>
              <w:t xml:space="preserve"> b</w:t>
            </w:r>
          </w:p>
        </w:tc>
      </w:tr>
      <w:tr w:rsidR="007A76E6" w:rsidRPr="007A76E6" w14:paraId="1123BD7B" w14:textId="77777777" w:rsidTr="007A76E6">
        <w:tc>
          <w:tcPr>
            <w:tcW w:w="1340" w:type="dxa"/>
          </w:tcPr>
          <w:p w14:paraId="1FDAD181"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p-value</w:t>
            </w:r>
          </w:p>
        </w:tc>
        <w:tc>
          <w:tcPr>
            <w:tcW w:w="1669" w:type="dxa"/>
          </w:tcPr>
          <w:p w14:paraId="28A3FEB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0.032</w:t>
            </w:r>
          </w:p>
        </w:tc>
        <w:tc>
          <w:tcPr>
            <w:tcW w:w="1635" w:type="dxa"/>
          </w:tcPr>
          <w:p w14:paraId="366F431E"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0.020</w:t>
            </w:r>
          </w:p>
        </w:tc>
        <w:tc>
          <w:tcPr>
            <w:tcW w:w="1320" w:type="dxa"/>
          </w:tcPr>
          <w:p w14:paraId="656E95C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0.009</w:t>
            </w:r>
          </w:p>
        </w:tc>
        <w:tc>
          <w:tcPr>
            <w:tcW w:w="1333" w:type="dxa"/>
          </w:tcPr>
          <w:p w14:paraId="5E762414"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0.001</w:t>
            </w:r>
          </w:p>
        </w:tc>
        <w:tc>
          <w:tcPr>
            <w:tcW w:w="1307" w:type="dxa"/>
          </w:tcPr>
          <w:p w14:paraId="7552F31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0.002</w:t>
            </w:r>
          </w:p>
        </w:tc>
        <w:tc>
          <w:tcPr>
            <w:tcW w:w="1307" w:type="dxa"/>
          </w:tcPr>
          <w:p w14:paraId="0A44EC23"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0.001</w:t>
            </w:r>
          </w:p>
        </w:tc>
      </w:tr>
      <w:tr w:rsidR="007A76E6" w:rsidRPr="007A76E6" w14:paraId="3887A7F2" w14:textId="77777777" w:rsidTr="007A76E6">
        <w:tc>
          <w:tcPr>
            <w:tcW w:w="1340" w:type="dxa"/>
          </w:tcPr>
          <w:p w14:paraId="2328C518"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F-value</w:t>
            </w:r>
          </w:p>
        </w:tc>
        <w:tc>
          <w:tcPr>
            <w:tcW w:w="1669" w:type="dxa"/>
          </w:tcPr>
          <w:p w14:paraId="6E1DE00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3.897</w:t>
            </w:r>
          </w:p>
        </w:tc>
        <w:tc>
          <w:tcPr>
            <w:tcW w:w="1635" w:type="dxa"/>
          </w:tcPr>
          <w:p w14:paraId="0B28D3ED"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4.587</w:t>
            </w:r>
          </w:p>
        </w:tc>
        <w:tc>
          <w:tcPr>
            <w:tcW w:w="1320" w:type="dxa"/>
          </w:tcPr>
          <w:p w14:paraId="3856DAF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5.862</w:t>
            </w:r>
          </w:p>
        </w:tc>
        <w:tc>
          <w:tcPr>
            <w:tcW w:w="1333" w:type="dxa"/>
          </w:tcPr>
          <w:p w14:paraId="771B8547"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12.285</w:t>
            </w:r>
          </w:p>
        </w:tc>
        <w:tc>
          <w:tcPr>
            <w:tcW w:w="1307" w:type="dxa"/>
          </w:tcPr>
          <w:p w14:paraId="75D4FA8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9.115</w:t>
            </w:r>
          </w:p>
        </w:tc>
        <w:tc>
          <w:tcPr>
            <w:tcW w:w="1307" w:type="dxa"/>
          </w:tcPr>
          <w:p w14:paraId="069C62D1"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12.155</w:t>
            </w:r>
          </w:p>
        </w:tc>
      </w:tr>
      <w:tr w:rsidR="007A76E6" w:rsidRPr="007A76E6" w14:paraId="27024128" w14:textId="77777777" w:rsidTr="007A76E6">
        <w:tc>
          <w:tcPr>
            <w:tcW w:w="1340" w:type="dxa"/>
            <w:tcBorders>
              <w:bottom w:val="single" w:sz="4" w:space="0" w:color="auto"/>
            </w:tcBorders>
          </w:tcPr>
          <w:p w14:paraId="4742B55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Inference</w:t>
            </w:r>
          </w:p>
        </w:tc>
        <w:tc>
          <w:tcPr>
            <w:tcW w:w="1669" w:type="dxa"/>
            <w:tcBorders>
              <w:bottom w:val="single" w:sz="4" w:space="0" w:color="auto"/>
            </w:tcBorders>
          </w:tcPr>
          <w:p w14:paraId="6533E747"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635" w:type="dxa"/>
            <w:tcBorders>
              <w:bottom w:val="single" w:sz="4" w:space="0" w:color="auto"/>
            </w:tcBorders>
          </w:tcPr>
          <w:p w14:paraId="133C87BB"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320" w:type="dxa"/>
            <w:tcBorders>
              <w:bottom w:val="single" w:sz="4" w:space="0" w:color="auto"/>
            </w:tcBorders>
          </w:tcPr>
          <w:p w14:paraId="142FCADB"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333" w:type="dxa"/>
            <w:tcBorders>
              <w:bottom w:val="single" w:sz="4" w:space="0" w:color="auto"/>
            </w:tcBorders>
          </w:tcPr>
          <w:p w14:paraId="0885F6B3"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307" w:type="dxa"/>
            <w:tcBorders>
              <w:bottom w:val="single" w:sz="4" w:space="0" w:color="auto"/>
            </w:tcBorders>
          </w:tcPr>
          <w:p w14:paraId="1655DAE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307" w:type="dxa"/>
            <w:tcBorders>
              <w:bottom w:val="single" w:sz="4" w:space="0" w:color="auto"/>
            </w:tcBorders>
          </w:tcPr>
          <w:p w14:paraId="76BC0B1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r>
    </w:tbl>
    <w:p w14:paraId="1C8A603E"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Values with different superscripts are significantly different (p&lt;0.05)</w:t>
      </w:r>
    </w:p>
    <w:p w14:paraId="039AF3A8" w14:textId="77777777" w:rsidR="007A76E6" w:rsidRPr="00EA3A99" w:rsidRDefault="007A76E6" w:rsidP="007A76E6">
      <w:pPr>
        <w:spacing w:line="480" w:lineRule="auto"/>
        <w:rPr>
          <w:rFonts w:ascii="Arial" w:eastAsia="Calibri" w:hAnsi="Arial" w:cs="Arial"/>
          <w:lang w:val="en-CA"/>
        </w:rPr>
      </w:pPr>
      <w:r w:rsidRPr="00EA3A99">
        <w:rPr>
          <w:rFonts w:ascii="Arial" w:eastAsia="Calibri" w:hAnsi="Arial" w:cs="Arial"/>
          <w:lang w:val="en-CA"/>
        </w:rPr>
        <w:t>Key</w:t>
      </w:r>
    </w:p>
    <w:p w14:paraId="6A82324B" w14:textId="77777777" w:rsidR="007A76E6" w:rsidRPr="00EA3A99" w:rsidRDefault="007A76E6" w:rsidP="007A76E6">
      <w:pPr>
        <w:spacing w:line="480" w:lineRule="auto"/>
        <w:rPr>
          <w:rFonts w:ascii="Arial" w:eastAsia="Calibri" w:hAnsi="Arial" w:cs="Arial"/>
          <w:lang w:val="en-CA"/>
        </w:rPr>
      </w:pPr>
      <w:r w:rsidRPr="00EA3A99">
        <w:rPr>
          <w:rFonts w:ascii="Arial" w:eastAsia="Calibri" w:hAnsi="Arial" w:cs="Arial"/>
          <w:lang w:val="en-CA"/>
        </w:rPr>
        <w:t>S= Significant, N=Non-significant</w:t>
      </w:r>
    </w:p>
    <w:p w14:paraId="1FD06547" w14:textId="77777777" w:rsidR="007A76E6" w:rsidRPr="00EA3A99" w:rsidRDefault="007A76E6" w:rsidP="00EA3A99">
      <w:pPr>
        <w:spacing w:after="160" w:line="278" w:lineRule="auto"/>
        <w:rPr>
          <w:rFonts w:ascii="Arial" w:hAnsi="Arial" w:cs="Arial"/>
        </w:rPr>
      </w:pPr>
      <w:r w:rsidRPr="00EA3A99">
        <w:rPr>
          <w:rFonts w:ascii="Arial" w:hAnsi="Arial" w:cs="Arial"/>
        </w:rPr>
        <w:t xml:space="preserve">Table 2 presents the effects of lead exposure and various treatments on oxidative stress markers in the liver of male Wistar rats, measured through biochemical parameters: reduced glutathione (GSH), glutathione peroxidase (GPx), catalase (CAT), superoxide dismutase (SOD), malondialdehyde (MDA), and glucose (GLU). The table includes six experimental groups: Lead (lead acetate only), Control (no lead or treatment just distilled water and feed), L+LD (lead + low-dose </w:t>
      </w:r>
      <w:r w:rsidRPr="00EA3A99">
        <w:rPr>
          <w:rFonts w:ascii="Arial" w:hAnsi="Arial" w:cs="Arial"/>
          <w:i/>
        </w:rPr>
        <w:t>Gongronema latifolium</w:t>
      </w:r>
      <w:r w:rsidRPr="00EA3A99">
        <w:rPr>
          <w:rFonts w:ascii="Arial" w:hAnsi="Arial" w:cs="Arial"/>
        </w:rPr>
        <w:t xml:space="preserve">), L+MD (lead + medium-dose </w:t>
      </w:r>
      <w:r w:rsidRPr="00EA3A99">
        <w:rPr>
          <w:rFonts w:ascii="Arial" w:hAnsi="Arial" w:cs="Arial"/>
          <w:i/>
        </w:rPr>
        <w:t>G. latifolium</w:t>
      </w:r>
      <w:r w:rsidRPr="00EA3A99">
        <w:rPr>
          <w:rFonts w:ascii="Arial" w:hAnsi="Arial" w:cs="Arial"/>
        </w:rPr>
        <w:t xml:space="preserve">), L+HD (lead + high-dose </w:t>
      </w:r>
      <w:r w:rsidRPr="00EA3A99">
        <w:rPr>
          <w:rFonts w:ascii="Arial" w:hAnsi="Arial" w:cs="Arial"/>
          <w:i/>
        </w:rPr>
        <w:t>G. latifolium</w:t>
      </w:r>
      <w:r w:rsidRPr="00EA3A99">
        <w:rPr>
          <w:rFonts w:ascii="Arial" w:hAnsi="Arial" w:cs="Arial"/>
        </w:rPr>
        <w:t xml:space="preserve">), and L+Q (lead + quercetin). Values are reported as </w:t>
      </w:r>
      <w:r w:rsidRPr="00EA3A99">
        <w:rPr>
          <w:rFonts w:ascii="Arial" w:hAnsi="Arial" w:cs="Arial"/>
        </w:rPr>
        <w:lastRenderedPageBreak/>
        <w:t>means ± standard deviation, with statistical significance indicated by p-values, F-values, and different superscripts (a, b) denoting significant differences (p &lt; 0.05) between groups.</w:t>
      </w:r>
    </w:p>
    <w:p w14:paraId="18CA1C34" w14:textId="77777777" w:rsidR="007A76E6" w:rsidRPr="007A76E6" w:rsidRDefault="007A76E6" w:rsidP="007A76E6">
      <w:pPr>
        <w:spacing w:after="160" w:line="278" w:lineRule="auto"/>
        <w:rPr>
          <w:rFonts w:ascii="DengXian" w:hAnsi="DengXian"/>
          <w:sz w:val="24"/>
          <w:szCs w:val="24"/>
        </w:rPr>
      </w:pPr>
      <w:r w:rsidRPr="007A76E6">
        <w:rPr>
          <w:rFonts w:ascii="DengXian" w:hAnsi="DengXian"/>
          <w:sz w:val="24"/>
          <w:szCs w:val="24"/>
        </w:rPr>
        <w:br w:type="page"/>
      </w:r>
    </w:p>
    <w:p w14:paraId="1CA8AE57" w14:textId="77777777" w:rsidR="007A76E6" w:rsidRPr="007A76E6" w:rsidRDefault="007A76E6" w:rsidP="007A76E6">
      <w:pPr>
        <w:spacing w:line="480" w:lineRule="auto"/>
        <w:rPr>
          <w:rFonts w:ascii="DengXian" w:hAnsi="DengXian"/>
          <w:sz w:val="24"/>
          <w:szCs w:val="24"/>
        </w:rPr>
      </w:pPr>
      <w:r w:rsidRPr="007A76E6">
        <w:rPr>
          <w:rFonts w:ascii="DengXian" w:hAnsi="DengXian"/>
          <w:noProof/>
          <w:sz w:val="24"/>
          <w:szCs w:val="24"/>
        </w:rPr>
        <w:lastRenderedPageBreak/>
        <w:drawing>
          <wp:inline distT="0" distB="0" distL="0" distR="0" wp14:anchorId="75A329FF" wp14:editId="0F8F2189">
            <wp:extent cx="5943600" cy="34270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943600" cy="3427095"/>
                    </a:xfrm>
                    <a:prstGeom prst="rect">
                      <a:avLst/>
                    </a:prstGeom>
                  </pic:spPr>
                </pic:pic>
              </a:graphicData>
            </a:graphic>
          </wp:inline>
        </w:drawing>
      </w:r>
    </w:p>
    <w:p w14:paraId="0E3502F8" w14:textId="77777777" w:rsidR="007A76E6" w:rsidRPr="007A76E6" w:rsidRDefault="007A76E6" w:rsidP="007A76E6">
      <w:pPr>
        <w:keepNext/>
        <w:keepLines/>
        <w:spacing w:before="160" w:after="80" w:line="278" w:lineRule="auto"/>
        <w:outlineLvl w:val="1"/>
        <w:rPr>
          <w:rFonts w:ascii="Times New Roman" w:eastAsia="DengXian Light" w:hAnsi="Times New Roman"/>
          <w:b/>
          <w:kern w:val="2"/>
          <w:sz w:val="24"/>
          <w:szCs w:val="32"/>
        </w:rPr>
      </w:pPr>
      <w:r w:rsidRPr="007A76E6">
        <w:rPr>
          <w:rFonts w:ascii="Times New Roman" w:eastAsia="DengXian Light" w:hAnsi="Times New Roman"/>
          <w:b/>
          <w:kern w:val="2"/>
          <w:sz w:val="24"/>
          <w:szCs w:val="32"/>
        </w:rPr>
        <w:t>Figure 2: Effects of Lead Exposure and Treatments on Oxidative Stress Markers in Male Wistar Rats</w:t>
      </w:r>
    </w:p>
    <w:p w14:paraId="22BFA2E3" w14:textId="77777777" w:rsidR="007A76E6" w:rsidRPr="007A76E6" w:rsidRDefault="007A76E6" w:rsidP="007A76E6">
      <w:pPr>
        <w:spacing w:line="480" w:lineRule="auto"/>
        <w:rPr>
          <w:rFonts w:ascii="DengXian" w:hAnsi="DengXian"/>
          <w:sz w:val="24"/>
          <w:szCs w:val="24"/>
        </w:rPr>
      </w:pPr>
    </w:p>
    <w:p w14:paraId="2CD89A2F" w14:textId="77777777" w:rsidR="007A76E6" w:rsidRPr="007A76E6" w:rsidRDefault="007A76E6" w:rsidP="007A76E6">
      <w:pPr>
        <w:spacing w:line="480" w:lineRule="auto"/>
        <w:rPr>
          <w:rFonts w:ascii="DengXian" w:eastAsia="Calibri" w:hAnsi="DengXian"/>
          <w:b/>
          <w:sz w:val="24"/>
          <w:szCs w:val="24"/>
        </w:rPr>
      </w:pPr>
      <w:r w:rsidRPr="007A76E6">
        <w:rPr>
          <w:rFonts w:ascii="DengXian" w:eastAsia="Calibri" w:hAnsi="DengXian"/>
          <w:b/>
          <w:sz w:val="24"/>
          <w:szCs w:val="24"/>
        </w:rPr>
        <w:t>KEY POINTS:</w:t>
      </w:r>
    </w:p>
    <w:p w14:paraId="0C9FCE00"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1 (control)</w:t>
      </w:r>
    </w:p>
    <w:p w14:paraId="69AE9011"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2 (Lead only)</w:t>
      </w:r>
    </w:p>
    <w:p w14:paraId="68D9D39C"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 xml:space="preserve">Group 3 (Lead + 250mg/kg </w:t>
      </w:r>
      <w:r w:rsidRPr="00EA3A99">
        <w:rPr>
          <w:rFonts w:ascii="Arial" w:hAnsi="Arial" w:cs="Arial"/>
          <w:i/>
        </w:rPr>
        <w:t>Gongronema latifolium</w:t>
      </w:r>
      <w:r w:rsidRPr="00EA3A99">
        <w:rPr>
          <w:rFonts w:ascii="Arial" w:eastAsia="Calibri" w:hAnsi="Arial" w:cs="Arial"/>
        </w:rPr>
        <w:t>)</w:t>
      </w:r>
    </w:p>
    <w:p w14:paraId="0797F60C"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4 (Lead + 500mg/kg</w:t>
      </w:r>
      <w:r w:rsidRPr="00EA3A99">
        <w:rPr>
          <w:rFonts w:ascii="Arial" w:hAnsi="Arial" w:cs="Arial"/>
          <w:i/>
        </w:rPr>
        <w:t xml:space="preserve"> Gongronema latifolium</w:t>
      </w:r>
      <w:r w:rsidRPr="00EA3A99">
        <w:rPr>
          <w:rFonts w:ascii="Arial" w:eastAsia="Calibri" w:hAnsi="Arial" w:cs="Arial"/>
        </w:rPr>
        <w:t>)</w:t>
      </w:r>
    </w:p>
    <w:p w14:paraId="6BC6CCD3"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5 (Lead + 1000mg/kg</w:t>
      </w:r>
      <w:r w:rsidRPr="00EA3A99">
        <w:rPr>
          <w:rFonts w:ascii="Arial" w:eastAsia="Calibri" w:hAnsi="Arial" w:cs="Arial"/>
          <w:i/>
        </w:rPr>
        <w:t xml:space="preserve"> </w:t>
      </w:r>
      <w:r w:rsidRPr="00EA3A99">
        <w:rPr>
          <w:rFonts w:ascii="Arial" w:hAnsi="Arial" w:cs="Arial"/>
          <w:i/>
        </w:rPr>
        <w:t>Gongronema latifolium</w:t>
      </w:r>
      <w:r w:rsidRPr="00EA3A99">
        <w:rPr>
          <w:rFonts w:ascii="Arial" w:eastAsia="Calibri" w:hAnsi="Arial" w:cs="Arial"/>
        </w:rPr>
        <w:t>)</w:t>
      </w:r>
    </w:p>
    <w:p w14:paraId="44ACA9C5"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6 (Lead + 500mg/kg Quercetin)</w:t>
      </w:r>
    </w:p>
    <w:p w14:paraId="2EF9D2CB" w14:textId="77777777" w:rsidR="007A76E6" w:rsidRPr="00EA3A99" w:rsidRDefault="007A76E6" w:rsidP="007A76E6">
      <w:pPr>
        <w:spacing w:line="480" w:lineRule="auto"/>
        <w:rPr>
          <w:rFonts w:ascii="Arial" w:eastAsia="Calibri" w:hAnsi="Arial" w:cs="Arial"/>
          <w:lang w:val="zh-CN"/>
        </w:rPr>
      </w:pPr>
      <w:r w:rsidRPr="00EA3A99">
        <w:rPr>
          <w:rFonts w:ascii="Arial" w:eastAsia="Calibri" w:hAnsi="Arial" w:cs="Arial"/>
          <w:lang w:val="zh-CN"/>
        </w:rPr>
        <w:t xml:space="preserve">Figure 2 illustrates the effects of lead exposure and different treatments on oxidative stress markers in male Wistar rats. The lead-only group recorded the lowest levels of antioxidant enzymes, including reduced glutathione (GSH), glutathione peroxidase (GPx), catalase (CAT), and superoxide dismutase (SOD), alongside the highest malondialdehyde (MDA) and </w:t>
      </w:r>
      <w:r w:rsidRPr="00EA3A99">
        <w:rPr>
          <w:rFonts w:ascii="Arial" w:eastAsia="Calibri" w:hAnsi="Arial" w:cs="Arial"/>
          <w:lang w:val="zh-CN"/>
        </w:rPr>
        <w:lastRenderedPageBreak/>
        <w:t xml:space="preserve">glucose concentrations, indicating severe oxidative stress and metabolic imbalance. The control group maintained normal antioxidant status and low lipid peroxidation. Treatment with </w:t>
      </w:r>
      <w:r w:rsidRPr="00EA3A99">
        <w:rPr>
          <w:rFonts w:ascii="Arial" w:eastAsia="Calibri" w:hAnsi="Arial" w:cs="Arial"/>
          <w:i/>
          <w:iCs/>
          <w:lang w:val="zh-CN"/>
        </w:rPr>
        <w:t>Gongronema latifolium</w:t>
      </w:r>
      <w:r w:rsidRPr="00EA3A99">
        <w:rPr>
          <w:rFonts w:ascii="Arial" w:eastAsia="Calibri" w:hAnsi="Arial" w:cs="Arial"/>
          <w:lang w:val="zh-CN"/>
        </w:rPr>
        <w:t xml:space="preserve"> produced dose-dependent improvements in antioxidant enzyme activities and reductions in MDA and glucose levels, with medium and high doses showing the strongest protective effects. Quercetin treatment also improved oxidative parameters but was less consistent than higher doses of </w:t>
      </w:r>
      <w:r w:rsidRPr="00EA3A99">
        <w:rPr>
          <w:rFonts w:ascii="Arial" w:eastAsia="Calibri" w:hAnsi="Arial" w:cs="Arial"/>
          <w:i/>
          <w:iCs/>
          <w:lang w:val="zh-CN"/>
        </w:rPr>
        <w:t>Gongronema latifolium</w:t>
      </w:r>
      <w:r w:rsidRPr="00EA3A99">
        <w:rPr>
          <w:rFonts w:ascii="Arial" w:eastAsia="Calibri" w:hAnsi="Arial" w:cs="Arial"/>
          <w:lang w:val="zh-CN"/>
        </w:rPr>
        <w:t xml:space="preserve">. Overall, the figure demonstrates the ability of </w:t>
      </w:r>
      <w:r w:rsidRPr="00EA3A99">
        <w:rPr>
          <w:rFonts w:ascii="Arial" w:eastAsia="Calibri" w:hAnsi="Arial" w:cs="Arial"/>
          <w:i/>
          <w:iCs/>
          <w:lang w:val="zh-CN"/>
        </w:rPr>
        <w:t>Gongronema latifolium</w:t>
      </w:r>
      <w:r w:rsidRPr="00EA3A99">
        <w:rPr>
          <w:rFonts w:ascii="Arial" w:eastAsia="Calibri" w:hAnsi="Arial" w:cs="Arial"/>
          <w:lang w:val="zh-CN"/>
        </w:rPr>
        <w:t xml:space="preserve"> to restore redox balance and reduce oxidative damage in lead-exposed rats.</w:t>
      </w:r>
    </w:p>
    <w:p w14:paraId="4118829F" w14:textId="77777777" w:rsidR="007A76E6" w:rsidRPr="00EA3A99" w:rsidRDefault="007A76E6" w:rsidP="007A76E6">
      <w:pPr>
        <w:spacing w:line="480" w:lineRule="auto"/>
        <w:rPr>
          <w:rFonts w:ascii="Arial" w:eastAsia="Calibri" w:hAnsi="Arial" w:cs="Arial"/>
          <w:lang w:val="zh-CN"/>
        </w:rPr>
      </w:pPr>
    </w:p>
    <w:p w14:paraId="6457F589" w14:textId="77777777" w:rsidR="00E51BB9" w:rsidRPr="00E51BB9" w:rsidRDefault="00E51BB9" w:rsidP="00E51BB9">
      <w:pPr>
        <w:keepNext/>
        <w:keepLines/>
        <w:spacing w:before="160" w:after="80" w:line="278" w:lineRule="auto"/>
        <w:outlineLvl w:val="1"/>
        <w:rPr>
          <w:rFonts w:ascii="Times New Roman" w:eastAsia="DengXian Light" w:hAnsi="Times New Roman"/>
          <w:b/>
          <w:kern w:val="2"/>
          <w:sz w:val="24"/>
          <w:szCs w:val="32"/>
          <w:lang w:val="zh-CN"/>
        </w:rPr>
      </w:pPr>
      <w:r w:rsidRPr="00E51BB9">
        <w:rPr>
          <w:rFonts w:ascii="Times New Roman" w:eastAsia="DengXian Light" w:hAnsi="Times New Roman"/>
          <w:b/>
          <w:kern w:val="2"/>
          <w:sz w:val="24"/>
          <w:szCs w:val="32"/>
          <w:lang w:val="zh-CN"/>
        </w:rPr>
        <w:t xml:space="preserve">. Discussion </w:t>
      </w:r>
    </w:p>
    <w:p w14:paraId="1D737891"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This study demonstrates that chronic lead exposure induces marked hepatic dysfunction and oxidative stress in male Wistar rats, as evidenced by significant alterations in biochemical and antioxidant parameters. The elevated serum levels of aspartate aminotransferase (AST) and alkaline phosphatase (ALP) observed in the lead-only group indicate extensive hepatocellular injury and biliary dysfunction. These enzymes are normally localized within hepatocytes and biliary epithelial cells, and their increased presence in circulation reflects membrane destabilization and cellular leakage following toxic insult (Giannini et al., 2005; Mudipalli, 2007; Allameh et al., 2023). Similar elevations in liver enzymes have been consistently reported in experimental models of lead toxicity, reinforcing the reliability of these markers as indicators of hepatic damage (Sharma et al., 2014).</w:t>
      </w:r>
    </w:p>
    <w:p w14:paraId="71E50673"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In addition to enzyme alterations, significant increases in total and conjugated bilirubin levels were recorded in lead-exposed rats. Bilirubin accumulation suggests impaired uptake, conjugation, and excretion processes within hepatocytes. Lead interferes with bilirubin metabolism by disrupting mitochondrial function and inhibiting conjugating enzymes, leading to cholestatic features and compromised detoxification capacity (Flora et al., 2012). The concomitant reduction in total protein and albumin further highlights impaired synthetic activity, which reflects functional deterioration of hepatocytes. Albumin synthesis is highly sensitive to hepatic injury, and its reduction indicates prolonged metabolic stress and compromised nutritional homeostasis (Pratt &amp; Kaplan, 2000; Allameh et al., 2023).</w:t>
      </w:r>
    </w:p>
    <w:p w14:paraId="7A355752"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The oxidative stress profile obtained in this study confirms that redox imbalance is a central mechanism underlying lead-induced hepatotoxicity. Significant depletion of reduced glutathione (GSH), glutathione peroxidase (GPx), catalase (CAT), and superoxide dismutase (SOD) demonstrates suppression of primary antioxidant defenses. These enzymes form an integrated system responsible for detoxifying reactive oxygen species and maintaining intracellular redox balance (Birben et al., 2012; Jomova et al., 2023). Their depletion renders hepatocytes highly susceptible to oxidative injury. The marked elevation of malondialdehyde </w:t>
      </w:r>
      <w:r w:rsidRPr="00E51BB9">
        <w:rPr>
          <w:rFonts w:ascii="Arial" w:eastAsia="DengXian" w:hAnsi="Arial" w:cs="Arial"/>
          <w:kern w:val="2"/>
          <w:lang w:val="zh-CN"/>
        </w:rPr>
        <w:lastRenderedPageBreak/>
        <w:t>(MDA) further confirms enhanced lipid peroxidation, reflecting damage to membrane phospholipids and loss of cellular integrity (Ayala et al., 2014).</w:t>
      </w:r>
    </w:p>
    <w:p w14:paraId="6B63D435"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The mechanisms underlying these oxidative changes are multifactorial. Lead has a strong affinity for sulfhydryl groups, allowing it to bind to antioxidant enzymes and inactivate them (Patra et al., 2011; Allameh et al., 2023). It also displaces essential metal cofactors such as zinc, copper, and iron, which are required for enzymatic activity. Furthermore, lead disrupts mitochondrial electron transport, increasing electron leakage and ROS generation (Sharma et al., 2014). These processes collectively promote sustained oxidative injury, mitochondrial dysfunction, and activation of apoptotic pathways.</w:t>
      </w:r>
    </w:p>
    <w:p w14:paraId="6FD0D2FD"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Administration of </w:t>
      </w:r>
      <w:r w:rsidRPr="00E51BB9">
        <w:rPr>
          <w:rFonts w:ascii="Arial" w:eastAsia="DengXian" w:hAnsi="Arial" w:cs="Arial"/>
          <w:i/>
          <w:iCs/>
          <w:kern w:val="2"/>
          <w:lang w:val="zh-CN"/>
        </w:rPr>
        <w:t>Gongronema latifolium</w:t>
      </w:r>
      <w:r w:rsidRPr="00E51BB9">
        <w:rPr>
          <w:rFonts w:ascii="Arial" w:eastAsia="DengXian" w:hAnsi="Arial" w:cs="Arial"/>
          <w:kern w:val="2"/>
          <w:lang w:val="zh-CN"/>
        </w:rPr>
        <w:t xml:space="preserve"> extract significantly mitigated these biochemical and oxidative abnormalities in a dose-dependent manner. Medium and high doses restored most liver function parameters and antioxidant enzymes to near-normal levels. This indicates that the extract enhances endogenous defense systems and stabilizes cellular membranes. Restoration of AST and ALP toward control values suggests improved membrane integrity and reduced hepatocyte necrosis. Similarly, normalization of bilirubin and protein levels reflects recovery of detoxification and synthetic functions.</w:t>
      </w:r>
    </w:p>
    <w:p w14:paraId="393B16BE"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The observed dose-response pattern is particularly important. Low-dose treatment produced only partial improvement, whereas medium and high doses achieved substantial restoration. This indicates that sufficient phytochemical concentration is required to counteract oxidative stress and cellular injury effectively. Such dose-dependent responses are common in plant-based therapies, where biological effects depend on cumulative interactions among multiple constituents (Eleyinmi, 2007). The findings therefore emphasize the importance of appropriate dosing in developing therapeutic applications.</w:t>
      </w:r>
    </w:p>
    <w:p w14:paraId="2AE440FB"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The superior performance of </w:t>
      </w:r>
      <w:r w:rsidRPr="00E51BB9">
        <w:rPr>
          <w:rFonts w:ascii="Arial" w:eastAsia="DengXian" w:hAnsi="Arial" w:cs="Arial"/>
          <w:i/>
          <w:iCs/>
          <w:kern w:val="2"/>
          <w:lang w:val="zh-CN"/>
        </w:rPr>
        <w:t>G. latifolium</w:t>
      </w:r>
      <w:r w:rsidRPr="00E51BB9">
        <w:rPr>
          <w:rFonts w:ascii="Arial" w:eastAsia="DengXian" w:hAnsi="Arial" w:cs="Arial"/>
          <w:kern w:val="2"/>
          <w:lang w:val="zh-CN"/>
        </w:rPr>
        <w:t xml:space="preserve"> may be attributed to its complex phytochemical composition. Phytochemical analyses have identified flavonoids, phenolic acids, alkaloids, saponins, and terpenoids as major constituents of the plant (Eleyinmi, 2007; Ugochukwu &amp; Babady, 2002; Lamas et al., 2016). Flavonoids and phenolic acids possess strong free radical scavenging activity and inhibit lipid peroxidation. Alkaloids may contribute to metal chelation and enzyme modulation, while saponins enhance membrane stability and reduce inflammatory responses (Lamas et al., 2016). Terpenoids and sterols further support membrane repair and cellular resilience.</w:t>
      </w:r>
    </w:p>
    <w:p w14:paraId="119D9B61"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The combined action of these compounds likely produces synergistic effects that surpass the activity of isolated molecules. Unlike single-compound therapies, whole-plant extracts provide multiple layers of protection, targeting oxidative stress, inflammation, metal accumulation, and mitochondrial dysfunction simultaneously. This multi-target approach may explain the broader and more consistent protective effects observed in this study.</w:t>
      </w:r>
    </w:p>
    <w:p w14:paraId="665E8292"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Previous studies have demonstrated hepatoprotective and antioxidant effects of </w:t>
      </w:r>
      <w:r w:rsidRPr="00E51BB9">
        <w:rPr>
          <w:rFonts w:ascii="Arial" w:eastAsia="DengXian" w:hAnsi="Arial" w:cs="Arial"/>
          <w:i/>
          <w:iCs/>
          <w:kern w:val="2"/>
          <w:lang w:val="zh-CN"/>
        </w:rPr>
        <w:t>G. latifolium</w:t>
      </w:r>
      <w:r w:rsidRPr="00E51BB9">
        <w:rPr>
          <w:rFonts w:ascii="Arial" w:eastAsia="DengXian" w:hAnsi="Arial" w:cs="Arial"/>
          <w:kern w:val="2"/>
          <w:lang w:val="zh-CN"/>
        </w:rPr>
        <w:t xml:space="preserve"> in models of acetaminophen toxicity, carbon tetrachloride exposure, and diabetes (Effiong et al., 2013; Nwangwu et al., 2011). These studies reported reductions in liver enzymes, enhancement of antioxidant defenses, and preservation of hepatic architecture. The present findings extend these observations to lead-induced toxicity, indicating that the protective properties of </w:t>
      </w:r>
      <w:r w:rsidRPr="00E51BB9">
        <w:rPr>
          <w:rFonts w:ascii="Arial" w:eastAsia="DengXian" w:hAnsi="Arial" w:cs="Arial"/>
          <w:i/>
          <w:iCs/>
          <w:kern w:val="2"/>
          <w:lang w:val="zh-CN"/>
        </w:rPr>
        <w:t>G. latifolium</w:t>
      </w:r>
      <w:r w:rsidRPr="00E51BB9">
        <w:rPr>
          <w:rFonts w:ascii="Arial" w:eastAsia="DengXian" w:hAnsi="Arial" w:cs="Arial"/>
          <w:kern w:val="2"/>
          <w:lang w:val="zh-CN"/>
        </w:rPr>
        <w:t xml:space="preserve"> are not limited to a single class of toxicants. Instead, the plant appears to provide generalized cytoprotection against chemically induced oxidative injury.</w:t>
      </w:r>
    </w:p>
    <w:p w14:paraId="52C40CEE"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lastRenderedPageBreak/>
        <w:t>This broad-spectrum activity is particularly valuable in real-world settings, where individuals are often exposed to multiple environmental toxins simultaneously. A plant-based intervention capable of counteracting diverse toxic insults may therefore offer greater practical relevance than agents with narrow specificity.</w:t>
      </w:r>
    </w:p>
    <w:p w14:paraId="4630E3E5"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Quercetin treatment also improved liver function and oxidative stress markers, confirming its established antioxidant potential (Boots et al., 2008; Li et al., 2016). Quercetin significantly reduced AST, ALP, and bilirubin levels while improving CAT and SOD activities. These effects are consistent with its ability to scavenge free radicals, chelate metal ions, and activate antioxidant signaling pathways such as Nrf2 (Xu et al., 2019).</w:t>
      </w:r>
    </w:p>
    <w:p w14:paraId="5CA3B56F"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However, the protective effects of quercetin were less consistent than those of </w:t>
      </w:r>
      <w:r w:rsidRPr="00E51BB9">
        <w:rPr>
          <w:rFonts w:ascii="Arial" w:eastAsia="DengXian" w:hAnsi="Arial" w:cs="Arial"/>
          <w:i/>
          <w:iCs/>
          <w:kern w:val="2"/>
          <w:lang w:val="zh-CN"/>
        </w:rPr>
        <w:t>G. latifolium</w:t>
      </w:r>
      <w:r w:rsidRPr="00E51BB9">
        <w:rPr>
          <w:rFonts w:ascii="Arial" w:eastAsia="DengXian" w:hAnsi="Arial" w:cs="Arial"/>
          <w:kern w:val="2"/>
          <w:lang w:val="zh-CN"/>
        </w:rPr>
        <w:t>, particularly with respect to GPx activity and MDA reduction. One possible explanation is limited bioavailability. Quercetin undergoes extensive metabolism in the intestine and liver, producing conjugated forms with reduced antioxidant activity (Boots et al., 2008). Rapid elimination and poor solubility may further restrict its effective concentration at target tissues.</w:t>
      </w:r>
    </w:p>
    <w:p w14:paraId="0F745D16"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In contrast, plant extracts contain multiple compounds that may enhance absorption, prolong circulation time, and improve tissue distribution. Some phytochemicals can inhibit metabolic enzymes, thereby increasing the bioavailability of coexisting compounds. This pharmacokinetic synergy may contribute to the superior performance of </w:t>
      </w:r>
      <w:r w:rsidRPr="00E51BB9">
        <w:rPr>
          <w:rFonts w:ascii="Arial" w:eastAsia="DengXian" w:hAnsi="Arial" w:cs="Arial"/>
          <w:i/>
          <w:iCs/>
          <w:kern w:val="2"/>
          <w:lang w:val="zh-CN"/>
        </w:rPr>
        <w:t>G. latifolium</w:t>
      </w:r>
      <w:r w:rsidRPr="00E51BB9">
        <w:rPr>
          <w:rFonts w:ascii="Arial" w:eastAsia="DengXian" w:hAnsi="Arial" w:cs="Arial"/>
          <w:kern w:val="2"/>
          <w:lang w:val="zh-CN"/>
        </w:rPr>
        <w:t xml:space="preserve"> observed in this study.</w:t>
      </w:r>
    </w:p>
    <w:p w14:paraId="7E23CED5"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The moderate glucose-lowering effect observed following treatment suggests that both quercetin and </w:t>
      </w:r>
      <w:r w:rsidRPr="00E51BB9">
        <w:rPr>
          <w:rFonts w:ascii="Arial" w:eastAsia="DengXian" w:hAnsi="Arial" w:cs="Arial"/>
          <w:i/>
          <w:iCs/>
          <w:kern w:val="2"/>
          <w:lang w:val="zh-CN"/>
        </w:rPr>
        <w:t>G. latifolium</w:t>
      </w:r>
      <w:r w:rsidRPr="00E51BB9">
        <w:rPr>
          <w:rFonts w:ascii="Arial" w:eastAsia="DengXian" w:hAnsi="Arial" w:cs="Arial"/>
          <w:kern w:val="2"/>
          <w:lang w:val="zh-CN"/>
        </w:rPr>
        <w:t xml:space="preserve"> may improve metabolic stability disrupted by oxidative stress. Lead-induced hyperglycemia has been linked to mitochondrial dysfunction, insulin resistance, and inflammatory signaling (Valko et al., 2007). Oxidative stress impairs pancreatic β-cell function and disrupts glucose transport mechanisms, leading to metabolic imbalance.</w:t>
      </w:r>
    </w:p>
    <w:p w14:paraId="3EC2CA46"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Restoration of antioxidant defenses may indirectly normalize glucose metabolism by reducing inflammatory mediators and improving mitochondrial efficiency. Flavonoids and phenolic compounds are known to enhance insulin sensitivity and regulate glucose uptake pathways (Ugochukwu &amp; Babady, 2003; Lamas et al., 2016). Therefore, the observed glucose regulation may represent an additional therapeutic benefit of these interventions.</w:t>
      </w:r>
    </w:p>
    <w:p w14:paraId="51D6B3E0"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From a public health perspective, the findings are highly relevant for communities with persistent environmental lead exposure and limited access to medical treatment. Chelation therapy remains expensive and often unavailable in low-resource settings, and its long-term use is associated with adverse effects (Sears, 2013). In contrast, </w:t>
      </w:r>
      <w:r w:rsidRPr="00E51BB9">
        <w:rPr>
          <w:rFonts w:ascii="Arial" w:eastAsia="DengXian" w:hAnsi="Arial" w:cs="Arial"/>
          <w:i/>
          <w:iCs/>
          <w:kern w:val="2"/>
          <w:lang w:val="zh-CN"/>
        </w:rPr>
        <w:t>Gongronema latifolium</w:t>
      </w:r>
      <w:r w:rsidRPr="00E51BB9">
        <w:rPr>
          <w:rFonts w:ascii="Arial" w:eastAsia="DengXian" w:hAnsi="Arial" w:cs="Arial"/>
          <w:kern w:val="2"/>
          <w:lang w:val="zh-CN"/>
        </w:rPr>
        <w:t xml:space="preserve"> is widely cultivated, culturally accepted, and affordable in many parts of West Africa. Its incorporation into diets or development as a standardized supplement could offer a practical preventive strategy against lead-induced liver damage.</w:t>
      </w:r>
    </w:p>
    <w:p w14:paraId="34BF670D"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The cultural acceptability of </w:t>
      </w:r>
      <w:r w:rsidRPr="00E51BB9">
        <w:rPr>
          <w:rFonts w:ascii="Arial" w:eastAsia="DengXian" w:hAnsi="Arial" w:cs="Arial"/>
          <w:i/>
          <w:iCs/>
          <w:kern w:val="2"/>
          <w:lang w:val="zh-CN"/>
        </w:rPr>
        <w:t>G. latifolium</w:t>
      </w:r>
      <w:r w:rsidRPr="00E51BB9">
        <w:rPr>
          <w:rFonts w:ascii="Arial" w:eastAsia="DengXian" w:hAnsi="Arial" w:cs="Arial"/>
          <w:kern w:val="2"/>
          <w:lang w:val="zh-CN"/>
        </w:rPr>
        <w:t xml:space="preserve"> further enhances its potential for community-level interventions. Traditional familiarity may promote adherence and sustained use, which are essential for chronic exposure management. Integrating scientific validation with indigenous knowledge systems may therefore strengthen public health responses to environmental toxicity.</w:t>
      </w:r>
    </w:p>
    <w:p w14:paraId="2DE12CEC" w14:textId="77777777" w:rsidR="007A76E6" w:rsidRPr="003A7D17" w:rsidRDefault="003A7D17" w:rsidP="007A76E6">
      <w:pPr>
        <w:spacing w:line="480" w:lineRule="auto"/>
        <w:rPr>
          <w:rFonts w:ascii="Arial" w:eastAsia="Calibri" w:hAnsi="Arial" w:cs="Arial"/>
        </w:rPr>
      </w:pPr>
      <w:r>
        <w:rPr>
          <w:rFonts w:ascii="Arial" w:eastAsia="DengXian" w:hAnsi="Arial" w:cs="Arial"/>
          <w:kern w:val="2"/>
        </w:rPr>
        <w:lastRenderedPageBreak/>
        <w:t xml:space="preserve"> </w:t>
      </w:r>
    </w:p>
    <w:p w14:paraId="3285335A" w14:textId="77777777" w:rsidR="007A76E6" w:rsidRDefault="007A76E6" w:rsidP="00441B6F">
      <w:pPr>
        <w:pStyle w:val="Body"/>
        <w:spacing w:after="0"/>
        <w:rPr>
          <w:rFonts w:ascii="Arial" w:hAnsi="Arial" w:cs="Arial"/>
        </w:rPr>
      </w:pPr>
    </w:p>
    <w:p w14:paraId="3B0FC076" w14:textId="77777777" w:rsidR="00790ADA" w:rsidRDefault="00790ADA" w:rsidP="00441B6F">
      <w:pPr>
        <w:pStyle w:val="Body"/>
        <w:spacing w:after="0"/>
        <w:rPr>
          <w:rFonts w:ascii="Arial" w:hAnsi="Arial" w:cs="Arial"/>
        </w:rPr>
      </w:pPr>
    </w:p>
    <w:p w14:paraId="6657549E" w14:textId="77777777" w:rsidR="00C30A0F" w:rsidRDefault="00EA3A99" w:rsidP="00441B6F">
      <w:pPr>
        <w:pStyle w:val="Body"/>
        <w:spacing w:after="0"/>
        <w:rPr>
          <w:rFonts w:ascii="Arial" w:hAnsi="Arial" w:cs="Arial"/>
        </w:rPr>
      </w:pPr>
      <w:r>
        <w:rPr>
          <w:rFonts w:ascii="Arial" w:hAnsi="Arial" w:cs="Arial"/>
        </w:rPr>
        <w:t xml:space="preserve"> </w:t>
      </w:r>
    </w:p>
    <w:p w14:paraId="3F5624DD" w14:textId="77777777" w:rsidR="00E053D0" w:rsidRDefault="00E053D0" w:rsidP="00441B6F">
      <w:pPr>
        <w:pStyle w:val="Body"/>
        <w:spacing w:after="0"/>
        <w:rPr>
          <w:rFonts w:ascii="Arial" w:hAnsi="Arial" w:cs="Arial"/>
        </w:rPr>
      </w:pPr>
    </w:p>
    <w:p w14:paraId="66D1089A" w14:textId="77777777" w:rsidR="00790ADA" w:rsidRPr="00FB3A86" w:rsidRDefault="00790ADA" w:rsidP="00441B6F">
      <w:pPr>
        <w:pStyle w:val="Body"/>
        <w:spacing w:after="0"/>
        <w:rPr>
          <w:rFonts w:ascii="Arial" w:hAnsi="Arial" w:cs="Arial"/>
        </w:rPr>
      </w:pPr>
    </w:p>
    <w:p w14:paraId="7C43DF5F" w14:textId="77777777" w:rsidR="00B01FCD" w:rsidRDefault="00EA3A99"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52DD4123" w14:textId="77777777" w:rsidR="00B01FCD" w:rsidRDefault="00B01FCD" w:rsidP="00441B6F">
      <w:pPr>
        <w:pStyle w:val="Body"/>
        <w:spacing w:after="0"/>
        <w:rPr>
          <w:rFonts w:ascii="Arial" w:hAnsi="Arial" w:cs="Arial"/>
        </w:rPr>
      </w:pPr>
    </w:p>
    <w:p w14:paraId="0D18BED9" w14:textId="77777777" w:rsidR="00E51BB9" w:rsidRDefault="00E51BB9" w:rsidP="00441B6F">
      <w:pPr>
        <w:pStyle w:val="Body"/>
        <w:spacing w:after="0"/>
        <w:rPr>
          <w:rFonts w:ascii="Arial" w:hAnsi="Arial" w:cs="Arial"/>
        </w:rPr>
      </w:pPr>
    </w:p>
    <w:p w14:paraId="095E4A3A" w14:textId="77777777" w:rsidR="00E51BB9" w:rsidRPr="00E51BB9" w:rsidRDefault="00E51BB9" w:rsidP="00E51BB9">
      <w:pPr>
        <w:spacing w:after="160" w:line="278" w:lineRule="auto"/>
        <w:rPr>
          <w:rFonts w:ascii="Arial" w:eastAsia="DengXian" w:hAnsi="Arial" w:cs="Arial"/>
          <w:kern w:val="2"/>
          <w:sz w:val="24"/>
          <w:szCs w:val="24"/>
          <w:lang w:val="zh-CN"/>
        </w:rPr>
      </w:pPr>
      <w:r w:rsidRPr="00E51BB9">
        <w:rPr>
          <w:rFonts w:ascii="Arial" w:eastAsia="DengXian" w:hAnsi="Arial" w:cs="Arial"/>
          <w:kern w:val="2"/>
          <w:sz w:val="24"/>
          <w:szCs w:val="24"/>
          <w:lang w:val="zh-CN"/>
        </w:rPr>
        <w:t xml:space="preserve">This study demonstrated that chronic lead exposure causes significant liver dysfunction and oxidative stress in male Wistar rats, as evidenced by elevated liver enzymes, increased bilirubin, reduced protein synthesis, depletion of antioxidant enzymes, and increased lipid peroxidation. Both quercetin and </w:t>
      </w:r>
      <w:r w:rsidRPr="00E51BB9">
        <w:rPr>
          <w:rFonts w:ascii="Arial" w:eastAsia="DengXian" w:hAnsi="Arial" w:cs="Arial"/>
          <w:i/>
          <w:iCs/>
          <w:kern w:val="2"/>
          <w:sz w:val="24"/>
          <w:szCs w:val="24"/>
          <w:lang w:val="zh-CN"/>
        </w:rPr>
        <w:t>Gongronema latifolium</w:t>
      </w:r>
      <w:r w:rsidRPr="00E51BB9">
        <w:rPr>
          <w:rFonts w:ascii="Arial" w:eastAsia="DengXian" w:hAnsi="Arial" w:cs="Arial"/>
          <w:kern w:val="2"/>
          <w:sz w:val="24"/>
          <w:szCs w:val="24"/>
          <w:lang w:val="zh-CN"/>
        </w:rPr>
        <w:t xml:space="preserve"> leaf extract reduced these toxic effects. However, </w:t>
      </w:r>
      <w:r w:rsidRPr="00E51BB9">
        <w:rPr>
          <w:rFonts w:ascii="Arial" w:eastAsia="DengXian" w:hAnsi="Arial" w:cs="Arial"/>
          <w:i/>
          <w:iCs/>
          <w:kern w:val="2"/>
          <w:sz w:val="24"/>
          <w:szCs w:val="24"/>
          <w:lang w:val="zh-CN"/>
        </w:rPr>
        <w:t>Gongronema latifolium</w:t>
      </w:r>
      <w:r w:rsidRPr="00E51BB9">
        <w:rPr>
          <w:rFonts w:ascii="Arial" w:eastAsia="DengXian" w:hAnsi="Arial" w:cs="Arial"/>
          <w:kern w:val="2"/>
          <w:sz w:val="24"/>
          <w:szCs w:val="24"/>
          <w:lang w:val="zh-CN"/>
        </w:rPr>
        <w:t>, particularly at medium and high doses, showed stronger and more consistent restoration of liver function and antioxidant status.</w:t>
      </w:r>
    </w:p>
    <w:p w14:paraId="015239D0" w14:textId="77777777" w:rsidR="00E51BB9" w:rsidRPr="00E51BB9" w:rsidRDefault="00E51BB9" w:rsidP="00E51BB9">
      <w:pPr>
        <w:spacing w:after="160" w:line="278" w:lineRule="auto"/>
        <w:rPr>
          <w:rFonts w:ascii="Arial" w:eastAsia="DengXian" w:hAnsi="Arial" w:cs="Arial"/>
          <w:kern w:val="2"/>
          <w:sz w:val="24"/>
          <w:szCs w:val="24"/>
          <w:lang w:val="zh-CN"/>
        </w:rPr>
      </w:pPr>
      <w:r w:rsidRPr="00E51BB9">
        <w:rPr>
          <w:rFonts w:ascii="Arial" w:eastAsia="DengXian" w:hAnsi="Arial" w:cs="Arial"/>
          <w:kern w:val="2"/>
          <w:sz w:val="24"/>
          <w:szCs w:val="24"/>
          <w:lang w:val="zh-CN"/>
        </w:rPr>
        <w:t xml:space="preserve">The superior protective effect of </w:t>
      </w:r>
      <w:r w:rsidRPr="00E51BB9">
        <w:rPr>
          <w:rFonts w:ascii="Arial" w:eastAsia="DengXian" w:hAnsi="Arial" w:cs="Arial"/>
          <w:i/>
          <w:iCs/>
          <w:kern w:val="2"/>
          <w:sz w:val="24"/>
          <w:szCs w:val="24"/>
          <w:lang w:val="zh-CN"/>
        </w:rPr>
        <w:t>Gongronema latifolium</w:t>
      </w:r>
      <w:r w:rsidRPr="00E51BB9">
        <w:rPr>
          <w:rFonts w:ascii="Arial" w:eastAsia="DengXian" w:hAnsi="Arial" w:cs="Arial"/>
          <w:kern w:val="2"/>
          <w:sz w:val="24"/>
          <w:szCs w:val="24"/>
          <w:lang w:val="zh-CN"/>
        </w:rPr>
        <w:t xml:space="preserve"> is likely related to its diverse phytochemical composition, which provides multi-target antioxidant and anti-inflammatory activity. These findings support its potential as a natural, accessible hepatoprotective agent in populations exposed to lead.</w:t>
      </w:r>
    </w:p>
    <w:p w14:paraId="4A809084" w14:textId="77777777" w:rsidR="00E51BB9" w:rsidRPr="00E51BB9" w:rsidRDefault="00E51BB9" w:rsidP="00E51BB9">
      <w:pPr>
        <w:spacing w:after="160" w:line="278" w:lineRule="auto"/>
        <w:rPr>
          <w:rFonts w:ascii="DengXian" w:eastAsia="DengXian" w:hAnsi="DengXian"/>
          <w:kern w:val="2"/>
          <w:sz w:val="24"/>
          <w:szCs w:val="24"/>
          <w:lang w:val="zh-CN"/>
        </w:rPr>
      </w:pPr>
    </w:p>
    <w:p w14:paraId="4134FB62" w14:textId="77777777" w:rsidR="00E51BB9" w:rsidRDefault="00E51BB9" w:rsidP="00441B6F">
      <w:pPr>
        <w:pStyle w:val="Body"/>
        <w:spacing w:after="0"/>
        <w:rPr>
          <w:rFonts w:ascii="Arial" w:hAnsi="Arial" w:cs="Arial"/>
        </w:rPr>
      </w:pPr>
    </w:p>
    <w:p w14:paraId="289CC554" w14:textId="77777777" w:rsidR="00790ADA" w:rsidRPr="00FB3A86" w:rsidRDefault="00790ADA" w:rsidP="00441B6F">
      <w:pPr>
        <w:pStyle w:val="Body"/>
        <w:spacing w:after="0"/>
        <w:rPr>
          <w:rFonts w:ascii="Arial" w:hAnsi="Arial" w:cs="Arial"/>
        </w:rPr>
      </w:pPr>
    </w:p>
    <w:p w14:paraId="214B027B" w14:textId="77777777" w:rsidR="00315186" w:rsidRPr="00315186" w:rsidRDefault="00EA3A99" w:rsidP="00441B6F">
      <w:r>
        <w:t xml:space="preserve"> </w:t>
      </w:r>
    </w:p>
    <w:p w14:paraId="55AAEFCA" w14:textId="77777777" w:rsidR="00315186" w:rsidRPr="00315186" w:rsidRDefault="00315186" w:rsidP="00441B6F"/>
    <w:p w14:paraId="19BE00B0" w14:textId="77777777" w:rsidR="00315186" w:rsidRPr="00315186" w:rsidRDefault="00315186" w:rsidP="00441B6F"/>
    <w:p w14:paraId="292D0D6C" w14:textId="77777777" w:rsidR="00315186" w:rsidRPr="00315186" w:rsidRDefault="00315186" w:rsidP="00441B6F"/>
    <w:p w14:paraId="16720ED3" w14:textId="77777777" w:rsidR="005C784C" w:rsidRDefault="005C784C" w:rsidP="00441B6F">
      <w:pPr>
        <w:pStyle w:val="ReferHead"/>
        <w:spacing w:after="0"/>
        <w:jc w:val="both"/>
        <w:rPr>
          <w:rFonts w:ascii="Arial" w:hAnsi="Arial" w:cs="Arial"/>
          <w:b w:val="0"/>
          <w:caps w:val="0"/>
          <w:sz w:val="20"/>
        </w:rPr>
      </w:pPr>
    </w:p>
    <w:p w14:paraId="30AF764A" w14:textId="77777777" w:rsidR="005C784C" w:rsidRPr="002B685A" w:rsidRDefault="0015635E" w:rsidP="00441B6F">
      <w:pPr>
        <w:pStyle w:val="ReferHead"/>
        <w:spacing w:after="0"/>
        <w:jc w:val="both"/>
        <w:rPr>
          <w:rFonts w:ascii="Arial" w:hAnsi="Arial" w:cs="Arial"/>
          <w:bCs/>
        </w:rPr>
      </w:pPr>
      <w:r>
        <w:rPr>
          <w:rFonts w:ascii="Arial" w:hAnsi="Arial" w:cs="Arial"/>
          <w:bCs/>
        </w:rPr>
        <w:t xml:space="preserve">Ethical approval </w:t>
      </w:r>
    </w:p>
    <w:p w14:paraId="5659D337" w14:textId="77777777" w:rsidR="005C784C" w:rsidRDefault="00210190" w:rsidP="00441B6F">
      <w:pPr>
        <w:pStyle w:val="ReferHead"/>
        <w:spacing w:after="0"/>
        <w:jc w:val="both"/>
        <w:rPr>
          <w:rFonts w:ascii="Arial" w:hAnsi="Arial" w:cs="Arial"/>
          <w:b w:val="0"/>
          <w:caps w:val="0"/>
          <w:sz w:val="20"/>
        </w:rPr>
      </w:pPr>
      <w:r>
        <w:rPr>
          <w:rFonts w:ascii="Arial" w:hAnsi="Arial" w:cs="Arial"/>
          <w:b w:val="0"/>
          <w:caps w:val="0"/>
          <w:sz w:val="20"/>
        </w:rPr>
        <w:t xml:space="preserve"> </w:t>
      </w:r>
    </w:p>
    <w:p w14:paraId="4F08D91E" w14:textId="77777777" w:rsidR="00210190" w:rsidRDefault="00210190" w:rsidP="00441B6F">
      <w:pPr>
        <w:pStyle w:val="ReferHead"/>
        <w:spacing w:after="0"/>
        <w:jc w:val="both"/>
        <w:rPr>
          <w:rFonts w:ascii="Arial" w:hAnsi="Arial" w:cs="Arial"/>
          <w:b w:val="0"/>
          <w:caps w:val="0"/>
          <w:sz w:val="20"/>
        </w:rPr>
      </w:pPr>
      <w:r>
        <w:rPr>
          <w:rFonts w:ascii="Arial" w:hAnsi="Arial" w:cs="Arial"/>
          <w:b w:val="0"/>
          <w:caps w:val="0"/>
          <w:sz w:val="20"/>
        </w:rPr>
        <w:t>Ethical approval was obtained from the Ethical Committee of Faculty of Basic Medical sciences, Rivers State university.</w:t>
      </w:r>
    </w:p>
    <w:p w14:paraId="217E4292" w14:textId="77777777" w:rsidR="0041027F" w:rsidRDefault="008671C6" w:rsidP="00441B6F">
      <w:pPr>
        <w:pStyle w:val="ReferHead"/>
        <w:spacing w:after="0"/>
        <w:jc w:val="both"/>
        <w:rPr>
          <w:rFonts w:ascii="Arial" w:hAnsi="Arial" w:cs="Arial"/>
          <w:b w:val="0"/>
          <w:caps w:val="0"/>
          <w:sz w:val="20"/>
        </w:rPr>
      </w:pPr>
      <w:r w:rsidRPr="0041027F">
        <w:rPr>
          <w:rFonts w:ascii="Arial" w:hAnsi="Arial" w:cs="Arial"/>
          <w:b w:val="0"/>
          <w:caps w:val="0"/>
          <w:sz w:val="20"/>
        </w:rPr>
        <w:t xml:space="preserve"> </w:t>
      </w:r>
      <w:r w:rsidRPr="00210190">
        <w:rPr>
          <w:rFonts w:ascii="Arial" w:hAnsi="Arial" w:cs="Arial"/>
          <w:b w:val="0"/>
          <w:caps w:val="0"/>
          <w:sz w:val="20"/>
        </w:rPr>
        <w:t xml:space="preserve">All authors hereby declare that </w:t>
      </w:r>
      <w:r w:rsidR="0041027F" w:rsidRPr="00210190">
        <w:rPr>
          <w:rFonts w:ascii="Arial" w:hAnsi="Arial" w:cs="Arial"/>
          <w:b w:val="0"/>
          <w:caps w:val="0"/>
          <w:sz w:val="20"/>
        </w:rPr>
        <w:t>"Principles of laboratory animal care" (NIH publication No. 85-23, revised 1985) were followed, as well as specific national laws where applicable.</w:t>
      </w:r>
      <w:r w:rsidRPr="00210190">
        <w:rPr>
          <w:rFonts w:ascii="Arial" w:hAnsi="Arial" w:cs="Arial"/>
          <w:b w:val="0"/>
          <w:caps w:val="0"/>
          <w:sz w:val="20"/>
        </w:rPr>
        <w:t xml:space="preserve"> All experiments have been examined and approved by the appropriate ethics committee</w:t>
      </w:r>
      <w:r w:rsidR="00210190" w:rsidRPr="00210190">
        <w:rPr>
          <w:rFonts w:ascii="Arial" w:hAnsi="Arial" w:cs="Arial"/>
          <w:b w:val="0"/>
          <w:caps w:val="0"/>
          <w:sz w:val="20"/>
        </w:rPr>
        <w:t>.</w:t>
      </w:r>
    </w:p>
    <w:p w14:paraId="1D8C3D83" w14:textId="77777777" w:rsidR="002C428C" w:rsidRDefault="002C428C" w:rsidP="00441B6F">
      <w:pPr>
        <w:pStyle w:val="ReferHead"/>
        <w:spacing w:after="0"/>
        <w:jc w:val="both"/>
        <w:rPr>
          <w:rFonts w:ascii="Arial" w:hAnsi="Arial" w:cs="Arial"/>
          <w:b w:val="0"/>
          <w:caps w:val="0"/>
          <w:sz w:val="20"/>
        </w:rPr>
      </w:pPr>
    </w:p>
    <w:p w14:paraId="6CEBBD0B" w14:textId="77777777" w:rsidR="002C428C" w:rsidRDefault="002C428C" w:rsidP="00441B6F">
      <w:pPr>
        <w:pStyle w:val="ReferHead"/>
        <w:spacing w:after="0"/>
        <w:jc w:val="both"/>
        <w:rPr>
          <w:rFonts w:ascii="Arial" w:hAnsi="Arial" w:cs="Arial"/>
          <w:b w:val="0"/>
          <w:caps w:val="0"/>
          <w:sz w:val="20"/>
        </w:rPr>
      </w:pPr>
    </w:p>
    <w:p w14:paraId="046C875A" w14:textId="77777777" w:rsidR="002C428C" w:rsidRPr="002C428C" w:rsidRDefault="002C428C" w:rsidP="002C428C">
      <w:pPr>
        <w:pStyle w:val="ReferHead"/>
        <w:jc w:val="both"/>
        <w:rPr>
          <w:rFonts w:ascii="Arial" w:hAnsi="Arial" w:cs="Arial"/>
          <w:b w:val="0"/>
          <w:caps w:val="0"/>
          <w:sz w:val="20"/>
        </w:rPr>
      </w:pPr>
      <w:r w:rsidRPr="002C428C">
        <w:rPr>
          <w:rFonts w:ascii="Arial" w:hAnsi="Arial" w:cs="Arial"/>
          <w:b w:val="0"/>
          <w:caps w:val="0"/>
          <w:sz w:val="20"/>
        </w:rPr>
        <w:t>COMPETING INTERESTS DISCLAIMER:</w:t>
      </w:r>
    </w:p>
    <w:p w14:paraId="405F92C5" w14:textId="52914D74" w:rsidR="002C428C" w:rsidRPr="00210190" w:rsidRDefault="002C428C" w:rsidP="002C428C">
      <w:pPr>
        <w:pStyle w:val="ReferHead"/>
        <w:spacing w:after="0"/>
        <w:jc w:val="both"/>
        <w:rPr>
          <w:rFonts w:ascii="Arial" w:hAnsi="Arial" w:cs="Arial"/>
          <w:b w:val="0"/>
          <w:caps w:val="0"/>
          <w:sz w:val="20"/>
        </w:rPr>
      </w:pPr>
      <w:r w:rsidRPr="002C428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3CC9962" w14:textId="77777777" w:rsidR="00CD6856" w:rsidRDefault="00CD6856" w:rsidP="00441B6F">
      <w:pPr>
        <w:pStyle w:val="ReferHead"/>
        <w:spacing w:after="0"/>
        <w:jc w:val="both"/>
        <w:rPr>
          <w:rFonts w:ascii="Arial" w:hAnsi="Arial" w:cs="Arial"/>
          <w:b w:val="0"/>
          <w:caps w:val="0"/>
          <w:sz w:val="20"/>
        </w:rPr>
      </w:pPr>
    </w:p>
    <w:p w14:paraId="5B24FCDF" w14:textId="77777777" w:rsidR="00860000" w:rsidRDefault="00210190" w:rsidP="00441B6F">
      <w:pPr>
        <w:pStyle w:val="ReferHead"/>
        <w:spacing w:after="0"/>
        <w:jc w:val="both"/>
        <w:rPr>
          <w:rFonts w:ascii="Arial" w:hAnsi="Arial" w:cs="Arial"/>
        </w:rPr>
      </w:pPr>
      <w:r>
        <w:rPr>
          <w:rFonts w:ascii="Arial" w:hAnsi="Arial" w:cs="Arial"/>
          <w:b w:val="0"/>
          <w:caps w:val="0"/>
          <w:sz w:val="20"/>
        </w:rPr>
        <w:t xml:space="preserve"> </w:t>
      </w:r>
    </w:p>
    <w:p w14:paraId="3505E0A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D889194" w14:textId="77777777" w:rsidR="00210190" w:rsidRDefault="00210190" w:rsidP="00210190">
      <w:pPr>
        <w:pStyle w:val="Body"/>
        <w:spacing w:after="0"/>
        <w:rPr>
          <w:rFonts w:ascii="Arial" w:hAnsi="Arial" w:cs="Arial"/>
        </w:rPr>
      </w:pPr>
      <w:r>
        <w:rPr>
          <w:rFonts w:ascii="Arial" w:hAnsi="Arial" w:cs="Arial"/>
        </w:rPr>
        <w:t xml:space="preserve"> </w:t>
      </w:r>
    </w:p>
    <w:p w14:paraId="3B45C0F8" w14:textId="77777777" w:rsidR="00B54A38" w:rsidRPr="0015635E" w:rsidRDefault="00B54A38" w:rsidP="00210190">
      <w:pPr>
        <w:pStyle w:val="Body"/>
        <w:spacing w:after="0"/>
        <w:rPr>
          <w:rFonts w:ascii="Arial" w:hAnsi="Arial" w:cs="Arial"/>
        </w:rPr>
      </w:pPr>
      <w:r w:rsidRPr="0015635E">
        <w:rPr>
          <w:rFonts w:ascii="Arial" w:eastAsia="DengXian" w:hAnsi="Arial" w:cs="Arial"/>
          <w:kern w:val="2"/>
          <w:lang w:val="zh-CN"/>
        </w:rPr>
        <w:t xml:space="preserve"> Allameh, A., Niayesh-Mehr, R., Aliarab, A., Sebastiani, G., &amp; </w:t>
      </w:r>
      <w:r w:rsidR="00210190" w:rsidRPr="0015635E">
        <w:rPr>
          <w:rFonts w:ascii="Arial" w:eastAsia="DengXian" w:hAnsi="Arial" w:cs="Arial"/>
          <w:kern w:val="2"/>
        </w:rPr>
        <w:t xml:space="preserve">        </w:t>
      </w:r>
      <w:r w:rsidRPr="0015635E">
        <w:rPr>
          <w:rFonts w:ascii="Arial" w:eastAsia="DengXian" w:hAnsi="Arial" w:cs="Arial"/>
          <w:kern w:val="2"/>
          <w:lang w:val="zh-CN"/>
        </w:rPr>
        <w:t xml:space="preserve">Pantopoulos, K. (2023). </w:t>
      </w:r>
      <w:r w:rsidR="0015635E">
        <w:rPr>
          <w:rFonts w:ascii="Arial" w:eastAsia="DengXian" w:hAnsi="Arial" w:cs="Arial"/>
          <w:kern w:val="2"/>
        </w:rPr>
        <w:t xml:space="preserve">      </w:t>
      </w:r>
      <w:r w:rsidRPr="0015635E">
        <w:rPr>
          <w:rFonts w:ascii="Arial" w:eastAsia="DengXian" w:hAnsi="Arial" w:cs="Arial"/>
          <w:kern w:val="2"/>
          <w:lang w:val="zh-CN"/>
        </w:rPr>
        <w:t xml:space="preserve">Oxidative stress in liver pathophysiology and disease. </w:t>
      </w:r>
      <w:r w:rsidRPr="0015635E">
        <w:rPr>
          <w:rFonts w:ascii="Arial" w:eastAsia="DengXian" w:hAnsi="Arial" w:cs="Arial"/>
          <w:i/>
          <w:iCs/>
          <w:kern w:val="2"/>
          <w:lang w:val="zh-CN"/>
        </w:rPr>
        <w:t>Antioxidants, 12</w:t>
      </w:r>
      <w:r w:rsidRPr="0015635E">
        <w:rPr>
          <w:rFonts w:ascii="Arial" w:eastAsia="DengXian" w:hAnsi="Arial" w:cs="Arial"/>
          <w:kern w:val="2"/>
          <w:lang w:val="zh-CN"/>
        </w:rPr>
        <w:t>(9), 1653. https://doi.org/10.3390/antiox12091653</w:t>
      </w:r>
    </w:p>
    <w:p w14:paraId="7E08BAA3"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Abdel-Moneim, A. M., El-Toweissy, M. Y., Ali, A. M., Awad Allah, A. A., Darwish, A. S., &amp; Sadek, I. A. (2018). Curcumin ameliorates lead-induced hepatotoxicity by suppressing oxidative stress and inflammation and modulating Akt/GSK-3β signaling pathway. </w:t>
      </w:r>
      <w:r w:rsidRPr="00B54A38">
        <w:rPr>
          <w:rFonts w:ascii="Arial" w:eastAsia="DengXian" w:hAnsi="Arial" w:cs="Arial"/>
          <w:i/>
          <w:iCs/>
          <w:kern w:val="2"/>
          <w:lang w:val="zh-CN"/>
        </w:rPr>
        <w:t>Biomedicine &amp; Pharmacotherapy, 106</w:t>
      </w:r>
      <w:r w:rsidRPr="00B54A38">
        <w:rPr>
          <w:rFonts w:ascii="Arial" w:eastAsia="DengXian" w:hAnsi="Arial" w:cs="Arial"/>
          <w:kern w:val="2"/>
          <w:lang w:val="zh-CN"/>
        </w:rPr>
        <w:t>, 1432–1438. https://doi.org/10.1016/j.biopha.2018.07.087</w:t>
      </w:r>
    </w:p>
    <w:p w14:paraId="2FED0989"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Aebi, H. (1984). Catalase in vitro. </w:t>
      </w:r>
      <w:r w:rsidRPr="00B54A38">
        <w:rPr>
          <w:rFonts w:ascii="Arial" w:eastAsia="DengXian" w:hAnsi="Arial" w:cs="Arial"/>
          <w:i/>
          <w:iCs/>
          <w:kern w:val="2"/>
          <w:lang w:val="zh-CN"/>
        </w:rPr>
        <w:t>Methods in Enzymology, 105</w:t>
      </w:r>
      <w:r w:rsidRPr="00B54A38">
        <w:rPr>
          <w:rFonts w:ascii="Arial" w:eastAsia="DengXian" w:hAnsi="Arial" w:cs="Arial"/>
          <w:kern w:val="2"/>
          <w:lang w:val="zh-CN"/>
        </w:rPr>
        <w:t>, 121–126. https://doi.org/10.1016/S0076-6879(84)05016-3</w:t>
      </w:r>
    </w:p>
    <w:p w14:paraId="33938C3C"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Ayala, A., Muñoz, M. F., &amp; Argüelles, S. (2014). Lipid peroxidation: Production, metabolism, and signaling mechanisms of malondialdehyde and 4-hydroxy-2-nonenal. </w:t>
      </w:r>
      <w:r w:rsidRPr="00B54A38">
        <w:rPr>
          <w:rFonts w:ascii="Arial" w:eastAsia="DengXian" w:hAnsi="Arial" w:cs="Arial"/>
          <w:i/>
          <w:iCs/>
          <w:kern w:val="2"/>
          <w:lang w:val="zh-CN"/>
        </w:rPr>
        <w:t>Oxidative Medicine and Cellular Longevity, 2014</w:t>
      </w:r>
      <w:r w:rsidRPr="00B54A38">
        <w:rPr>
          <w:rFonts w:ascii="Arial" w:eastAsia="DengXian" w:hAnsi="Arial" w:cs="Arial"/>
          <w:kern w:val="2"/>
          <w:lang w:val="zh-CN"/>
        </w:rPr>
        <w:t xml:space="preserve">, 360438. </w:t>
      </w:r>
      <w:hyperlink r:id="rId16" w:tgtFrame="_new" w:history="1">
        <w:r w:rsidRPr="0015635E">
          <w:rPr>
            <w:rFonts w:ascii="Arial" w:eastAsia="DengXian" w:hAnsi="Arial" w:cs="Arial"/>
            <w:color w:val="0563C1"/>
            <w:kern w:val="2"/>
            <w:u w:val="single"/>
            <w:lang w:val="zh-CN"/>
          </w:rPr>
          <w:t>https://doi.org/10.1155/2014/360438</w:t>
        </w:r>
      </w:hyperlink>
    </w:p>
    <w:p w14:paraId="3E77ADDE"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Birben, E., Sahiner, U. M., Sackesen, C., Erzurum, S., &amp; Kalayci, O. (2012). Oxidative stress and antioxidant defense. </w:t>
      </w:r>
      <w:r w:rsidRPr="00B54A38">
        <w:rPr>
          <w:rFonts w:ascii="Arial" w:eastAsia="DengXian" w:hAnsi="Arial" w:cs="Arial"/>
          <w:i/>
          <w:iCs/>
          <w:kern w:val="2"/>
          <w:lang w:val="zh-CN"/>
        </w:rPr>
        <w:t>World Allergy Organization Journal, 5</w:t>
      </w:r>
      <w:r w:rsidRPr="00B54A38">
        <w:rPr>
          <w:rFonts w:ascii="Arial" w:eastAsia="DengXian" w:hAnsi="Arial" w:cs="Arial"/>
          <w:kern w:val="2"/>
          <w:lang w:val="zh-CN"/>
        </w:rPr>
        <w:t>(1), 9–19. https://doi.org/10.1097/WOX.0b013e3182439613</w:t>
      </w:r>
    </w:p>
    <w:p w14:paraId="1055EFD9"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Boots, A. W., Haenen, G. R. M. M., &amp; Bast, A. (2008). Health effects of quercetin: From antioxidant to nutraceutical. </w:t>
      </w:r>
      <w:r w:rsidRPr="00B54A38">
        <w:rPr>
          <w:rFonts w:ascii="Arial" w:eastAsia="DengXian" w:hAnsi="Arial" w:cs="Arial"/>
          <w:i/>
          <w:iCs/>
          <w:kern w:val="2"/>
          <w:lang w:val="zh-CN"/>
        </w:rPr>
        <w:t>European Journal of Pharmacology, 585</w:t>
      </w:r>
      <w:r w:rsidRPr="00B54A38">
        <w:rPr>
          <w:rFonts w:ascii="Arial" w:eastAsia="DengXian" w:hAnsi="Arial" w:cs="Arial"/>
          <w:kern w:val="2"/>
          <w:lang w:val="zh-CN"/>
        </w:rPr>
        <w:t>(2–3), 325–337. https://doi.org/10.1016/j.ejphar.2008.03.008</w:t>
      </w:r>
    </w:p>
    <w:p w14:paraId="4BDF1546"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Effiong, G. S., Udoh, I. E., &amp; Essien, J. P. (2013). Protective role of </w:t>
      </w:r>
      <w:r w:rsidRPr="00B54A38">
        <w:rPr>
          <w:rFonts w:ascii="Arial" w:eastAsia="DengXian" w:hAnsi="Arial" w:cs="Arial"/>
          <w:i/>
          <w:iCs/>
          <w:kern w:val="2"/>
          <w:lang w:val="zh-CN"/>
        </w:rPr>
        <w:t>Gongronema latifolium</w:t>
      </w:r>
      <w:r w:rsidRPr="00B54A38">
        <w:rPr>
          <w:rFonts w:ascii="Arial" w:eastAsia="DengXian" w:hAnsi="Arial" w:cs="Arial"/>
          <w:kern w:val="2"/>
          <w:lang w:val="zh-CN"/>
        </w:rPr>
        <w:t xml:space="preserve"> in acetaminophen-induced hepatic toxicity in Wistar rats. </w:t>
      </w:r>
      <w:r w:rsidRPr="00B54A38">
        <w:rPr>
          <w:rFonts w:ascii="Arial" w:eastAsia="DengXian" w:hAnsi="Arial" w:cs="Arial"/>
          <w:i/>
          <w:iCs/>
          <w:kern w:val="2"/>
          <w:lang w:val="zh-CN"/>
        </w:rPr>
        <w:t>African Journal of Pharmacy and Pharmacology, 7</w:t>
      </w:r>
      <w:r w:rsidRPr="00B54A38">
        <w:rPr>
          <w:rFonts w:ascii="Arial" w:eastAsia="DengXian" w:hAnsi="Arial" w:cs="Arial"/>
          <w:kern w:val="2"/>
          <w:lang w:val="zh-CN"/>
        </w:rPr>
        <w:t>(14), 775–780. https://doi.org/10.5897/AJPP12.112</w:t>
      </w:r>
    </w:p>
    <w:p w14:paraId="483FF62C"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Eleyinmi, A. F. (2007). Chemical composition and antibacterial activity of </w:t>
      </w:r>
      <w:r w:rsidRPr="00B54A38">
        <w:rPr>
          <w:rFonts w:ascii="Arial" w:eastAsia="DengXian" w:hAnsi="Arial" w:cs="Arial"/>
          <w:i/>
          <w:iCs/>
          <w:kern w:val="2"/>
          <w:lang w:val="zh-CN"/>
        </w:rPr>
        <w:t>Gongronema latifolium</w:t>
      </w:r>
      <w:r w:rsidRPr="00B54A38">
        <w:rPr>
          <w:rFonts w:ascii="Arial" w:eastAsia="DengXian" w:hAnsi="Arial" w:cs="Arial"/>
          <w:kern w:val="2"/>
          <w:lang w:val="zh-CN"/>
        </w:rPr>
        <w:t xml:space="preserve">. </w:t>
      </w:r>
      <w:r w:rsidRPr="00B54A38">
        <w:rPr>
          <w:rFonts w:ascii="Arial" w:eastAsia="DengXian" w:hAnsi="Arial" w:cs="Arial"/>
          <w:i/>
          <w:iCs/>
          <w:kern w:val="2"/>
          <w:lang w:val="zh-CN"/>
        </w:rPr>
        <w:t>Journal of Zhejiang University Science B, 8</w:t>
      </w:r>
      <w:r w:rsidRPr="00B54A38">
        <w:rPr>
          <w:rFonts w:ascii="Arial" w:eastAsia="DengXian" w:hAnsi="Arial" w:cs="Arial"/>
          <w:kern w:val="2"/>
          <w:lang w:val="zh-CN"/>
        </w:rPr>
        <w:t>(5), 352–358. https://doi.org/10.1631/jzus.2007.B0352</w:t>
      </w:r>
    </w:p>
    <w:p w14:paraId="58D3C45C"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lastRenderedPageBreak/>
        <w:t xml:space="preserve">Flora, S. J. S., Pachauri, V., &amp; Saxena, G. (2012). Lead toxicity: Challenges and opportunities for therapeutic intervention. </w:t>
      </w:r>
      <w:r w:rsidRPr="00B54A38">
        <w:rPr>
          <w:rFonts w:ascii="Arial" w:eastAsia="DengXian" w:hAnsi="Arial" w:cs="Arial"/>
          <w:i/>
          <w:iCs/>
          <w:kern w:val="2"/>
          <w:lang w:val="zh-CN"/>
        </w:rPr>
        <w:t>Environmental Toxicology and Pharmacology, 34</w:t>
      </w:r>
      <w:r w:rsidRPr="00B54A38">
        <w:rPr>
          <w:rFonts w:ascii="Arial" w:eastAsia="DengXian" w:hAnsi="Arial" w:cs="Arial"/>
          <w:kern w:val="2"/>
          <w:lang w:val="zh-CN"/>
        </w:rPr>
        <w:t>(3), 731–742. https://doi.org/10.1016/j.etap.2012.08.004</w:t>
      </w:r>
    </w:p>
    <w:p w14:paraId="4F20D71C"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Giannini, E. G., Testa, R., &amp; Savarino, V. (2005). Liver enzyme alteration: A guide for clinicians. </w:t>
      </w:r>
      <w:r w:rsidRPr="00B54A38">
        <w:rPr>
          <w:rFonts w:ascii="Arial" w:eastAsia="DengXian" w:hAnsi="Arial" w:cs="Arial"/>
          <w:i/>
          <w:iCs/>
          <w:kern w:val="2"/>
          <w:lang w:val="zh-CN"/>
        </w:rPr>
        <w:t>CMAJ, 172</w:t>
      </w:r>
      <w:r w:rsidRPr="00B54A38">
        <w:rPr>
          <w:rFonts w:ascii="Arial" w:eastAsia="DengXian" w:hAnsi="Arial" w:cs="Arial"/>
          <w:kern w:val="2"/>
          <w:lang w:val="zh-CN"/>
        </w:rPr>
        <w:t>(3), 367–379. https://doi.org/10.1503/cmaj.1040752</w:t>
      </w:r>
    </w:p>
    <w:p w14:paraId="39E93745"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Jomova, K., Raptova, R., Alomar, S. Y., Alwasel, S. H., Nepovimova, E., Kuca, K., &amp; Valko, M. (2023). Reactive oxygen species, toxicity, oxidative stress, and antioxidants: Chronic diseases and aging. </w:t>
      </w:r>
      <w:r w:rsidRPr="00B54A38">
        <w:rPr>
          <w:rFonts w:ascii="Arial" w:eastAsia="DengXian" w:hAnsi="Arial" w:cs="Arial"/>
          <w:i/>
          <w:iCs/>
          <w:kern w:val="2"/>
          <w:lang w:val="zh-CN"/>
        </w:rPr>
        <w:t>Archives of Toxicology, 97</w:t>
      </w:r>
      <w:r w:rsidRPr="00B54A38">
        <w:rPr>
          <w:rFonts w:ascii="Arial" w:eastAsia="DengXian" w:hAnsi="Arial" w:cs="Arial"/>
          <w:kern w:val="2"/>
          <w:lang w:val="zh-CN"/>
        </w:rPr>
        <w:t xml:space="preserve">(10), 2499–2574. </w:t>
      </w:r>
      <w:hyperlink r:id="rId17" w:tgtFrame="_new" w:history="1">
        <w:r w:rsidRPr="0015635E">
          <w:rPr>
            <w:rFonts w:ascii="Arial" w:eastAsia="DengXian" w:hAnsi="Arial" w:cs="Arial"/>
            <w:color w:val="0563C1"/>
            <w:kern w:val="2"/>
            <w:u w:val="single"/>
            <w:lang w:val="zh-CN"/>
          </w:rPr>
          <w:t>https://doi.org/10.1007/s00204-023-03562-9</w:t>
        </w:r>
      </w:hyperlink>
    </w:p>
    <w:p w14:paraId="42FA33B3"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Lamas, G. A., Navas-Acien, A., Mark, D. B., &amp; Lee, K. L. (2016). Heavy metals, cardiovascular disease, and the unexpected benefits of chelation therapy. </w:t>
      </w:r>
      <w:r w:rsidRPr="00B54A38">
        <w:rPr>
          <w:rFonts w:ascii="Arial" w:eastAsia="DengXian" w:hAnsi="Arial" w:cs="Arial"/>
          <w:i/>
          <w:iCs/>
          <w:kern w:val="2"/>
          <w:lang w:val="zh-CN"/>
        </w:rPr>
        <w:t>Journal of the American College of Cardiology, 67</w:t>
      </w:r>
      <w:r w:rsidRPr="00B54A38">
        <w:rPr>
          <w:rFonts w:ascii="Arial" w:eastAsia="DengXian" w:hAnsi="Arial" w:cs="Arial"/>
          <w:kern w:val="2"/>
          <w:lang w:val="zh-CN"/>
        </w:rPr>
        <w:t>(20), 2411–2422. https://doi.org/10.1016/j.jacc.2016.02.066</w:t>
      </w:r>
    </w:p>
    <w:p w14:paraId="139E2782"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Li, X., Wang, X., Gao, P., &amp; Zhang, Y. (2016). Quercetin protects against lead-induced hepatic injury in rats via modulation of oxidative stress and inflammation. </w:t>
      </w:r>
      <w:r w:rsidRPr="00B54A38">
        <w:rPr>
          <w:rFonts w:ascii="Arial" w:eastAsia="DengXian" w:hAnsi="Arial" w:cs="Arial"/>
          <w:i/>
          <w:iCs/>
          <w:kern w:val="2"/>
          <w:lang w:val="zh-CN"/>
        </w:rPr>
        <w:t>Environmental Science and Pollution Research, 23</w:t>
      </w:r>
      <w:r w:rsidRPr="00B54A38">
        <w:rPr>
          <w:rFonts w:ascii="Arial" w:eastAsia="DengXian" w:hAnsi="Arial" w:cs="Arial"/>
          <w:kern w:val="2"/>
          <w:lang w:val="zh-CN"/>
        </w:rPr>
        <w:t>(14), 14154–14162. https://doi.org/10.1007/s11356-016-6614-3</w:t>
      </w:r>
    </w:p>
    <w:p w14:paraId="355E52A9"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Misra, H. P., &amp; Fridovich, I. (1972). The role of superoxide anion in the autoxidation of epinephrine and a simple assay for superoxide dismutase. </w:t>
      </w:r>
      <w:r w:rsidRPr="00B54A38">
        <w:rPr>
          <w:rFonts w:ascii="Arial" w:eastAsia="DengXian" w:hAnsi="Arial" w:cs="Arial"/>
          <w:i/>
          <w:iCs/>
          <w:kern w:val="2"/>
          <w:lang w:val="zh-CN"/>
        </w:rPr>
        <w:t>Journal of Biological Chemistry, 247</w:t>
      </w:r>
      <w:r w:rsidRPr="00B54A38">
        <w:rPr>
          <w:rFonts w:ascii="Arial" w:eastAsia="DengXian" w:hAnsi="Arial" w:cs="Arial"/>
          <w:kern w:val="2"/>
          <w:lang w:val="zh-CN"/>
        </w:rPr>
        <w:t>(10), 3170–3175.</w:t>
      </w:r>
    </w:p>
    <w:p w14:paraId="7E95EC37"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Mudipalli, A. (2007). Lead hepatotoxicity and potential health effects. </w:t>
      </w:r>
      <w:r w:rsidRPr="00B54A38">
        <w:rPr>
          <w:rFonts w:ascii="Arial" w:eastAsia="DengXian" w:hAnsi="Arial" w:cs="Arial"/>
          <w:i/>
          <w:iCs/>
          <w:kern w:val="2"/>
          <w:lang w:val="zh-CN"/>
        </w:rPr>
        <w:t>Indian Journal of Medical Research, 126</w:t>
      </w:r>
      <w:r w:rsidRPr="00B54A38">
        <w:rPr>
          <w:rFonts w:ascii="Arial" w:eastAsia="DengXian" w:hAnsi="Arial" w:cs="Arial"/>
          <w:kern w:val="2"/>
          <w:lang w:val="zh-CN"/>
        </w:rPr>
        <w:t>(6), 518–527.</w:t>
      </w:r>
    </w:p>
    <w:p w14:paraId="5893FD7A" w14:textId="77777777" w:rsidR="00B54A38" w:rsidRPr="00B54A38" w:rsidRDefault="00B54A38" w:rsidP="00B54A38">
      <w:pPr>
        <w:spacing w:after="160" w:line="278" w:lineRule="auto"/>
        <w:ind w:left="720" w:hanging="720"/>
        <w:rPr>
          <w:rFonts w:ascii="Arial" w:eastAsia="DengXian" w:hAnsi="Arial" w:cs="Arial"/>
          <w:kern w:val="2"/>
          <w:lang w:val="zh-CN" w:eastAsia="zh-CN"/>
        </w:rPr>
      </w:pPr>
      <w:r w:rsidRPr="00B54A38">
        <w:rPr>
          <w:rFonts w:ascii="Arial" w:eastAsia="DengXian" w:hAnsi="Arial" w:cs="Arial"/>
          <w:kern w:val="2"/>
          <w:lang w:val="zh-CN"/>
        </w:rPr>
        <w:t xml:space="preserve">Nwangwu, S. C., Josiah, S. J., Abubakar, T. E., Ajeigbe, K. O., Osakwe, E. E., &amp; Akintola, A. A. (2011). Comparative effects of aqueous and ethanolic leaf extracts of </w:t>
      </w:r>
      <w:r w:rsidRPr="00B54A38">
        <w:rPr>
          <w:rFonts w:ascii="Arial" w:eastAsia="DengXian" w:hAnsi="Arial" w:cs="Arial"/>
          <w:i/>
          <w:iCs/>
          <w:kern w:val="2"/>
          <w:lang w:val="zh-CN"/>
        </w:rPr>
        <w:t>Gongronema latifolium</w:t>
      </w:r>
      <w:r w:rsidRPr="00B54A38">
        <w:rPr>
          <w:rFonts w:ascii="Arial" w:eastAsia="DengXian" w:hAnsi="Arial" w:cs="Arial"/>
          <w:kern w:val="2"/>
          <w:lang w:val="zh-CN"/>
        </w:rPr>
        <w:t xml:space="preserve"> on serum kidney and liver biomarkers of normal male rats. </w:t>
      </w:r>
      <w:r w:rsidRPr="00B54A38">
        <w:rPr>
          <w:rFonts w:ascii="Arial" w:eastAsia="DengXian" w:hAnsi="Arial" w:cs="Arial"/>
          <w:i/>
          <w:iCs/>
          <w:kern w:val="2"/>
          <w:lang w:val="zh-CN"/>
        </w:rPr>
        <w:t>Asian Journal of Biological Sciences, 4</w:t>
      </w:r>
      <w:r w:rsidRPr="00B54A38">
        <w:rPr>
          <w:rFonts w:ascii="Arial" w:eastAsia="DengXian" w:hAnsi="Arial" w:cs="Arial"/>
          <w:kern w:val="2"/>
          <w:lang w:val="zh-CN"/>
        </w:rPr>
        <w:t xml:space="preserve">(7), 540–547. </w:t>
      </w:r>
      <w:hyperlink r:id="rId18" w:history="1">
        <w:r w:rsidRPr="0015635E">
          <w:rPr>
            <w:rFonts w:ascii="Arial" w:eastAsia="DengXian" w:hAnsi="Arial" w:cs="Arial"/>
            <w:color w:val="0563C1"/>
            <w:kern w:val="2"/>
            <w:u w:val="single"/>
            <w:lang w:val="zh-CN"/>
          </w:rPr>
          <w:t>https://doi.org/10.3923/ajbs.2011.540.547</w:t>
        </w:r>
      </w:hyperlink>
    </w:p>
    <w:p w14:paraId="40702922" w14:textId="77777777" w:rsidR="00B54A38" w:rsidRPr="00B54A38" w:rsidRDefault="00B54A38" w:rsidP="00B54A38">
      <w:pPr>
        <w:spacing w:after="160" w:line="278" w:lineRule="auto"/>
        <w:ind w:left="720" w:hanging="720"/>
        <w:rPr>
          <w:rFonts w:ascii="Arial" w:eastAsia="DengXian" w:hAnsi="Arial" w:cs="Arial"/>
          <w:kern w:val="2"/>
          <w:lang w:eastAsia="zh-CN"/>
        </w:rPr>
      </w:pPr>
      <w:r w:rsidRPr="00B54A38">
        <w:rPr>
          <w:rFonts w:ascii="Arial" w:eastAsia="DengXian" w:hAnsi="Arial" w:cs="Arial"/>
          <w:kern w:val="2"/>
          <w:lang w:val="zh-CN" w:eastAsia="zh-CN"/>
        </w:rPr>
        <w:t>O</w:t>
      </w:r>
      <w:r w:rsidRPr="00B54A38">
        <w:rPr>
          <w:rFonts w:ascii="Arial" w:eastAsia="DengXian" w:hAnsi="Arial" w:cs="Arial"/>
          <w:kern w:val="2"/>
          <w:lang w:eastAsia="zh-CN"/>
        </w:rPr>
        <w:t xml:space="preserve">nyeso, G, Nkpaa, K.W and Nwaka E. (2015). Ameliorative potential of methanolic extract of </w:t>
      </w:r>
      <w:r w:rsidRPr="00B54A38">
        <w:rPr>
          <w:rFonts w:ascii="Arial" w:eastAsia="DengXian" w:hAnsi="Arial" w:cs="Arial"/>
          <w:i/>
          <w:kern w:val="2"/>
          <w:lang w:eastAsia="zh-CN"/>
        </w:rPr>
        <w:t>citrullus</w:t>
      </w:r>
      <w:r w:rsidRPr="00B54A38">
        <w:rPr>
          <w:rFonts w:ascii="Arial" w:eastAsia="DengXian" w:hAnsi="Arial" w:cs="Arial"/>
          <w:kern w:val="2"/>
          <w:lang w:eastAsia="zh-CN"/>
        </w:rPr>
        <w:t xml:space="preserve"> </w:t>
      </w:r>
      <w:r w:rsidRPr="00B54A38">
        <w:rPr>
          <w:rFonts w:ascii="Arial" w:eastAsia="DengXian" w:hAnsi="Arial" w:cs="Arial"/>
          <w:i/>
          <w:kern w:val="2"/>
          <w:lang w:eastAsia="zh-CN"/>
        </w:rPr>
        <w:t>lanatus</w:t>
      </w:r>
      <w:r w:rsidRPr="00B54A38">
        <w:rPr>
          <w:rFonts w:ascii="Arial" w:eastAsia="DengXian" w:hAnsi="Arial" w:cs="Arial"/>
          <w:kern w:val="2"/>
          <w:lang w:eastAsia="zh-CN"/>
        </w:rPr>
        <w:t xml:space="preserve"> seed extract on the sperm parameters, testosterone level and cytoarchitecture of male albino rats induced with lead acetate. </w:t>
      </w:r>
      <w:r w:rsidRPr="00B54A38">
        <w:rPr>
          <w:rFonts w:ascii="Arial" w:eastAsia="DengXian" w:hAnsi="Arial" w:cs="Arial"/>
          <w:i/>
          <w:kern w:val="2"/>
          <w:lang w:eastAsia="zh-CN"/>
        </w:rPr>
        <w:t>British journal of pharmaceutical research.</w:t>
      </w:r>
      <w:r w:rsidRPr="00B54A38">
        <w:rPr>
          <w:rFonts w:ascii="Arial" w:eastAsia="DengXian" w:hAnsi="Arial" w:cs="Arial"/>
          <w:kern w:val="2"/>
          <w:lang w:eastAsia="zh-CN"/>
        </w:rPr>
        <w:t>6(1):35-43.</w:t>
      </w:r>
    </w:p>
    <w:p w14:paraId="29E6C1D6"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Paglia, D. E., &amp; Valentine, W. N. (1967). Studies on the quantitative and qualitative characterization of erythrocyte glutathione peroxidase. </w:t>
      </w:r>
      <w:r w:rsidRPr="00B54A38">
        <w:rPr>
          <w:rFonts w:ascii="Arial" w:eastAsia="DengXian" w:hAnsi="Arial" w:cs="Arial"/>
          <w:i/>
          <w:iCs/>
          <w:kern w:val="2"/>
          <w:lang w:val="zh-CN"/>
        </w:rPr>
        <w:t>Journal of Laboratory and Clinical Medicine, 70</w:t>
      </w:r>
      <w:r w:rsidRPr="00B54A38">
        <w:rPr>
          <w:rFonts w:ascii="Arial" w:eastAsia="DengXian" w:hAnsi="Arial" w:cs="Arial"/>
          <w:kern w:val="2"/>
          <w:lang w:val="zh-CN"/>
        </w:rPr>
        <w:t>(1), 158–169.</w:t>
      </w:r>
    </w:p>
    <w:p w14:paraId="14A70955"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Patra, R. C., Rautray, A. K., &amp; Swarup, D. (2011). Oxidative stress in lead and cadmium toxicity and its amelioration. </w:t>
      </w:r>
      <w:r w:rsidRPr="00B54A38">
        <w:rPr>
          <w:rFonts w:ascii="Arial" w:eastAsia="DengXian" w:hAnsi="Arial" w:cs="Arial"/>
          <w:i/>
          <w:iCs/>
          <w:kern w:val="2"/>
          <w:lang w:val="zh-CN"/>
        </w:rPr>
        <w:t>Veterinary Medicine International, 2011</w:t>
      </w:r>
      <w:r w:rsidRPr="00B54A38">
        <w:rPr>
          <w:rFonts w:ascii="Arial" w:eastAsia="DengXian" w:hAnsi="Arial" w:cs="Arial"/>
          <w:kern w:val="2"/>
          <w:lang w:val="zh-CN"/>
        </w:rPr>
        <w:t>, 457327. https://doi.org/10.4061/2011/457327</w:t>
      </w:r>
    </w:p>
    <w:p w14:paraId="671DCC81"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Pratt, D. S., &amp; Kaplan, M. M. (2000). Evaluation of abnormal liver-enzyme results in asymptomatic patients. </w:t>
      </w:r>
      <w:r w:rsidRPr="00B54A38">
        <w:rPr>
          <w:rFonts w:ascii="Arial" w:eastAsia="DengXian" w:hAnsi="Arial" w:cs="Arial"/>
          <w:i/>
          <w:iCs/>
          <w:kern w:val="2"/>
          <w:lang w:val="zh-CN"/>
        </w:rPr>
        <w:t>New England Journal of Medicine, 342</w:t>
      </w:r>
      <w:r w:rsidRPr="00B54A38">
        <w:rPr>
          <w:rFonts w:ascii="Arial" w:eastAsia="DengXian" w:hAnsi="Arial" w:cs="Arial"/>
          <w:kern w:val="2"/>
          <w:lang w:val="zh-CN"/>
        </w:rPr>
        <w:t xml:space="preserve">(17), 1266–1271. </w:t>
      </w:r>
      <w:hyperlink r:id="rId19" w:tgtFrame="_new" w:history="1">
        <w:r w:rsidRPr="0015635E">
          <w:rPr>
            <w:rFonts w:ascii="Arial" w:eastAsia="DengXian" w:hAnsi="Arial" w:cs="Arial"/>
            <w:color w:val="0563C1"/>
            <w:kern w:val="2"/>
            <w:u w:val="single"/>
            <w:lang w:val="zh-CN"/>
          </w:rPr>
          <w:t>https://doi.org/10.1056/NEJM200004273421707</w:t>
        </w:r>
      </w:hyperlink>
    </w:p>
    <w:p w14:paraId="7D3B6DC4"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lastRenderedPageBreak/>
        <w:t xml:space="preserve">Lamas, G. A., Navas-Acien, A., Mark, D. B., &amp; Lee, K. L. (2016). Heavy metals, cardiovascular disease, and the unexpected benefits of chelation therapy. </w:t>
      </w:r>
      <w:r w:rsidRPr="00B54A38">
        <w:rPr>
          <w:rFonts w:ascii="Arial" w:eastAsia="DengXian" w:hAnsi="Arial" w:cs="Arial"/>
          <w:i/>
          <w:iCs/>
          <w:kern w:val="2"/>
          <w:lang w:val="zh-CN"/>
        </w:rPr>
        <w:t>Journal of the American College of Cardiology, 67</w:t>
      </w:r>
      <w:r w:rsidRPr="00B54A38">
        <w:rPr>
          <w:rFonts w:ascii="Arial" w:eastAsia="DengXian" w:hAnsi="Arial" w:cs="Arial"/>
          <w:kern w:val="2"/>
          <w:lang w:val="zh-CN"/>
        </w:rPr>
        <w:t>(20), 2411–2422. https://doi.org/10.1016/j.jacc.2016.02.066</w:t>
      </w:r>
    </w:p>
    <w:p w14:paraId="6BEEF089"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Luby, S. P., Forsyth, J. E., Fatmi, Z., Rahman, M., Sultana, J., Plambeck, E. L., Miller, N. G., Bendavid, E., Winch, P. J., Hu, H., Lanphear, B., &amp; Landrigan, P. J. (2024). Removing lead from the global economy. </w:t>
      </w:r>
      <w:r w:rsidRPr="00B54A38">
        <w:rPr>
          <w:rFonts w:ascii="Arial" w:eastAsia="DengXian" w:hAnsi="Arial" w:cs="Arial"/>
          <w:i/>
          <w:iCs/>
          <w:kern w:val="2"/>
          <w:lang w:val="zh-CN"/>
        </w:rPr>
        <w:t>The Lancet Planetary Health, 8</w:t>
      </w:r>
      <w:r w:rsidRPr="00B54A38">
        <w:rPr>
          <w:rFonts w:ascii="Arial" w:eastAsia="DengXian" w:hAnsi="Arial" w:cs="Arial"/>
          <w:kern w:val="2"/>
          <w:lang w:val="zh-CN"/>
        </w:rPr>
        <w:t xml:space="preserve">(11), e966–e972. </w:t>
      </w:r>
      <w:hyperlink r:id="rId20" w:tgtFrame="_new" w:history="1">
        <w:r w:rsidRPr="0015635E">
          <w:rPr>
            <w:rFonts w:ascii="Arial" w:eastAsia="DengXian" w:hAnsi="Arial" w:cs="Arial"/>
            <w:color w:val="0563C1"/>
            <w:kern w:val="2"/>
            <w:u w:val="single"/>
            <w:lang w:val="zh-CN"/>
          </w:rPr>
          <w:t>https://doi.org/10.1016/S2542-5196(24)00244-4</w:t>
        </w:r>
      </w:hyperlink>
    </w:p>
    <w:p w14:paraId="488EAD2F"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Sears, M. E. (2013). Chelation: Harnessing and enhancing heavy metal detoxification—A review. </w:t>
      </w:r>
      <w:r w:rsidRPr="00B54A38">
        <w:rPr>
          <w:rFonts w:ascii="Arial" w:eastAsia="DengXian" w:hAnsi="Arial" w:cs="Arial"/>
          <w:i/>
          <w:iCs/>
          <w:kern w:val="2"/>
          <w:lang w:val="zh-CN"/>
        </w:rPr>
        <w:t>The Scientific World Journal, 2013</w:t>
      </w:r>
      <w:r w:rsidRPr="00B54A38">
        <w:rPr>
          <w:rFonts w:ascii="Arial" w:eastAsia="DengXian" w:hAnsi="Arial" w:cs="Arial"/>
          <w:kern w:val="2"/>
          <w:lang w:val="zh-CN"/>
        </w:rPr>
        <w:t xml:space="preserve">, 219840. </w:t>
      </w:r>
      <w:hyperlink r:id="rId21" w:tgtFrame="_new" w:history="1">
        <w:r w:rsidRPr="0015635E">
          <w:rPr>
            <w:rFonts w:ascii="Arial" w:eastAsia="DengXian" w:hAnsi="Arial" w:cs="Arial"/>
            <w:color w:val="0563C1"/>
            <w:kern w:val="2"/>
            <w:u w:val="single"/>
            <w:lang w:val="zh-CN"/>
          </w:rPr>
          <w:t>https://doi.org/10.1155/2013/219840</w:t>
        </w:r>
      </w:hyperlink>
    </w:p>
    <w:p w14:paraId="2496AFD4"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Sharma, V., Sharma, A., &amp; Kansal, L. (2014). The effect of lead on antioxidant status in rat brain and liver. </w:t>
      </w:r>
      <w:r w:rsidRPr="00B54A38">
        <w:rPr>
          <w:rFonts w:ascii="Arial" w:eastAsia="DengXian" w:hAnsi="Arial" w:cs="Arial"/>
          <w:i/>
          <w:iCs/>
          <w:kern w:val="2"/>
          <w:lang w:val="zh-CN"/>
        </w:rPr>
        <w:t>Toxicological &amp; Environmental Chemistry, 96</w:t>
      </w:r>
      <w:r w:rsidRPr="00B54A38">
        <w:rPr>
          <w:rFonts w:ascii="Arial" w:eastAsia="DengXian" w:hAnsi="Arial" w:cs="Arial"/>
          <w:kern w:val="2"/>
          <w:lang w:val="zh-CN"/>
        </w:rPr>
        <w:t>(2), 230–239. https://doi.org/10.1080/02772248.2014.924191</w:t>
      </w:r>
    </w:p>
    <w:p w14:paraId="43E423FE"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Tchounwou, P. B., Yedjou, C. G., Patlolla, A. K., &amp; Sutton, D. J. (2012). Heavy metal toxicity and the environment. </w:t>
      </w:r>
      <w:r w:rsidRPr="00B54A38">
        <w:rPr>
          <w:rFonts w:ascii="Arial" w:eastAsia="DengXian" w:hAnsi="Arial" w:cs="Arial"/>
          <w:i/>
          <w:iCs/>
          <w:kern w:val="2"/>
          <w:lang w:val="zh-CN"/>
        </w:rPr>
        <w:t>EXS, 101</w:t>
      </w:r>
      <w:r w:rsidRPr="00B54A38">
        <w:rPr>
          <w:rFonts w:ascii="Arial" w:eastAsia="DengXian" w:hAnsi="Arial" w:cs="Arial"/>
          <w:kern w:val="2"/>
          <w:lang w:val="zh-CN"/>
        </w:rPr>
        <w:t xml:space="preserve">, 133–164. </w:t>
      </w:r>
      <w:hyperlink r:id="rId22" w:tgtFrame="_new" w:history="1">
        <w:r w:rsidRPr="0015635E">
          <w:rPr>
            <w:rFonts w:ascii="Arial" w:eastAsia="DengXian" w:hAnsi="Arial" w:cs="Arial"/>
            <w:color w:val="0563C1"/>
            <w:kern w:val="2"/>
            <w:u w:val="single"/>
            <w:lang w:val="zh-CN"/>
          </w:rPr>
          <w:t>https://doi.org/10.1007/978-3-7643-8340-4_6</w:t>
        </w:r>
      </w:hyperlink>
    </w:p>
    <w:p w14:paraId="2245A828"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Tong, S., von Schirnding, Y. E., &amp; Prapamontol, T. (2000). Environmental lead exposure: A public health problem of global dimensions. </w:t>
      </w:r>
      <w:r w:rsidRPr="00B54A38">
        <w:rPr>
          <w:rFonts w:ascii="Arial" w:eastAsia="DengXian" w:hAnsi="Arial" w:cs="Arial"/>
          <w:i/>
          <w:iCs/>
          <w:kern w:val="2"/>
          <w:lang w:val="zh-CN"/>
        </w:rPr>
        <w:t>Bulletin of the World Health Organization, 78</w:t>
      </w:r>
      <w:r w:rsidRPr="00B54A38">
        <w:rPr>
          <w:rFonts w:ascii="Arial" w:eastAsia="DengXian" w:hAnsi="Arial" w:cs="Arial"/>
          <w:kern w:val="2"/>
          <w:lang w:val="zh-CN"/>
        </w:rPr>
        <w:t>(9), 1068–1077.</w:t>
      </w:r>
    </w:p>
    <w:p w14:paraId="6550DB0C"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Trefts, E., Gannon, M., &amp; Wasserman, D. H. (2017). The liver. </w:t>
      </w:r>
      <w:r w:rsidRPr="00B54A38">
        <w:rPr>
          <w:rFonts w:ascii="Arial" w:eastAsia="DengXian" w:hAnsi="Arial" w:cs="Arial"/>
          <w:i/>
          <w:iCs/>
          <w:kern w:val="2"/>
          <w:lang w:val="zh-CN"/>
        </w:rPr>
        <w:t>Current Biology, 27</w:t>
      </w:r>
      <w:r w:rsidRPr="00B54A38">
        <w:rPr>
          <w:rFonts w:ascii="Arial" w:eastAsia="DengXian" w:hAnsi="Arial" w:cs="Arial"/>
          <w:kern w:val="2"/>
          <w:lang w:val="zh-CN"/>
        </w:rPr>
        <w:t xml:space="preserve">(21), R1147–R1151. </w:t>
      </w:r>
      <w:hyperlink r:id="rId23" w:tgtFrame="_new" w:history="1">
        <w:r w:rsidRPr="0015635E">
          <w:rPr>
            <w:rFonts w:ascii="Arial" w:eastAsia="DengXian" w:hAnsi="Arial" w:cs="Arial"/>
            <w:color w:val="0563C1"/>
            <w:kern w:val="2"/>
            <w:u w:val="single"/>
            <w:lang w:val="zh-CN"/>
          </w:rPr>
          <w:t>https://doi.org/10.1016/j.cub.2017.09.019</w:t>
        </w:r>
      </w:hyperlink>
    </w:p>
    <w:p w14:paraId="69F0575D"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Ugochukwu, N. H., &amp; Babady, N. E. (2002). Antioxidant effects of </w:t>
      </w:r>
      <w:r w:rsidRPr="00B54A38">
        <w:rPr>
          <w:rFonts w:ascii="Arial" w:eastAsia="DengXian" w:hAnsi="Arial" w:cs="Arial"/>
          <w:i/>
          <w:iCs/>
          <w:kern w:val="2"/>
          <w:lang w:val="zh-CN"/>
        </w:rPr>
        <w:t>Gongronema latifolium</w:t>
      </w:r>
      <w:r w:rsidRPr="00B54A38">
        <w:rPr>
          <w:rFonts w:ascii="Arial" w:eastAsia="DengXian" w:hAnsi="Arial" w:cs="Arial"/>
          <w:kern w:val="2"/>
          <w:lang w:val="zh-CN"/>
        </w:rPr>
        <w:t xml:space="preserve"> in hepatocytes of rat models of non-insulin-dependent diabetes mellitus. </w:t>
      </w:r>
      <w:r w:rsidRPr="00B54A38">
        <w:rPr>
          <w:rFonts w:ascii="Arial" w:eastAsia="DengXian" w:hAnsi="Arial" w:cs="Arial"/>
          <w:i/>
          <w:iCs/>
          <w:kern w:val="2"/>
          <w:lang w:val="zh-CN"/>
        </w:rPr>
        <w:t>Fitoterapia, 73</w:t>
      </w:r>
      <w:r w:rsidRPr="00B54A38">
        <w:rPr>
          <w:rFonts w:ascii="Arial" w:eastAsia="DengXian" w:hAnsi="Arial" w:cs="Arial"/>
          <w:kern w:val="2"/>
          <w:lang w:val="zh-CN"/>
        </w:rPr>
        <w:t>(7–8), 612–618. https://doi.org/10.1016/S0367-326X(02)00218-6</w:t>
      </w:r>
    </w:p>
    <w:p w14:paraId="44547C3A"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Valko, M., Leibfritz, D., Moncol, J., Cronin, M. T. D., Mazur, M., &amp; Telser, J. (2007). Free radicals and antioxidants in normal physiological functions and human disease. </w:t>
      </w:r>
      <w:r w:rsidRPr="00B54A38">
        <w:rPr>
          <w:rFonts w:ascii="Arial" w:eastAsia="DengXian" w:hAnsi="Arial" w:cs="Arial"/>
          <w:i/>
          <w:iCs/>
          <w:kern w:val="2"/>
          <w:lang w:val="zh-CN"/>
        </w:rPr>
        <w:t>International Journal of Biochemistry &amp; Cell Biology, 39</w:t>
      </w:r>
      <w:r w:rsidRPr="00B54A38">
        <w:rPr>
          <w:rFonts w:ascii="Arial" w:eastAsia="DengXian" w:hAnsi="Arial" w:cs="Arial"/>
          <w:kern w:val="2"/>
          <w:lang w:val="zh-CN"/>
        </w:rPr>
        <w:t>(1), 44–84. https://doi.org/10.1016/j.biocel.2006.07.001</w:t>
      </w:r>
    </w:p>
    <w:p w14:paraId="782E970E" w14:textId="77777777" w:rsidR="00B1776C" w:rsidRPr="0015635E" w:rsidRDefault="00B54A38" w:rsidP="00B54A38">
      <w:pPr>
        <w:pStyle w:val="Body"/>
        <w:spacing w:after="0"/>
        <w:rPr>
          <w:rFonts w:ascii="Arial" w:hAnsi="Arial" w:cs="Arial"/>
        </w:rPr>
      </w:pPr>
      <w:r w:rsidRPr="0015635E">
        <w:rPr>
          <w:rFonts w:ascii="Arial" w:eastAsia="DengXian" w:hAnsi="Arial" w:cs="Arial"/>
          <w:kern w:val="2"/>
          <w:lang w:val="zh-CN"/>
        </w:rPr>
        <w:t xml:space="preserve">Xu, D., Hu, M. J., Wang, Y. Q., &amp; Cui, Y. L. (2019). Antioxidant activities of quercetin and its complexes for medicinal application. </w:t>
      </w:r>
      <w:r w:rsidRPr="0015635E">
        <w:rPr>
          <w:rFonts w:ascii="Arial" w:eastAsia="DengXian" w:hAnsi="Arial" w:cs="Arial"/>
          <w:i/>
          <w:iCs/>
          <w:kern w:val="2"/>
          <w:lang w:val="zh-CN"/>
        </w:rPr>
        <w:t>Molecules, 24</w:t>
      </w:r>
      <w:r w:rsidRPr="0015635E">
        <w:rPr>
          <w:rFonts w:ascii="Arial" w:eastAsia="DengXian" w:hAnsi="Arial" w:cs="Arial"/>
          <w:kern w:val="2"/>
          <w:lang w:val="zh-CN"/>
        </w:rPr>
        <w:t xml:space="preserve">(6), 1123. </w:t>
      </w:r>
      <w:hyperlink r:id="rId24" w:tgtFrame="_new" w:history="1">
        <w:r w:rsidRPr="0015635E">
          <w:rPr>
            <w:rFonts w:ascii="Arial" w:eastAsia="DengXian" w:hAnsi="Arial" w:cs="Arial"/>
            <w:color w:val="0563C1"/>
            <w:kern w:val="2"/>
            <w:u w:val="single"/>
            <w:lang w:val="zh-CN"/>
          </w:rPr>
          <w:t>https://doi.org/10.3390/molecules24061123</w:t>
        </w:r>
      </w:hyperlink>
    </w:p>
    <w:p w14:paraId="2E65FA0F" w14:textId="77777777" w:rsidR="00B54A38" w:rsidRPr="0015635E" w:rsidRDefault="00B54A38" w:rsidP="00441B6F">
      <w:pPr>
        <w:pStyle w:val="Body"/>
        <w:spacing w:after="0"/>
        <w:rPr>
          <w:rFonts w:ascii="Arial" w:hAnsi="Arial" w:cs="Arial"/>
        </w:rPr>
      </w:pPr>
    </w:p>
    <w:p w14:paraId="1936E299" w14:textId="77777777" w:rsidR="00B54A38" w:rsidRDefault="00B54A38" w:rsidP="00441B6F">
      <w:pPr>
        <w:pStyle w:val="Body"/>
        <w:spacing w:after="0"/>
      </w:pPr>
    </w:p>
    <w:p w14:paraId="699FD68E" w14:textId="77777777" w:rsidR="00B54A38" w:rsidRDefault="00B54A38" w:rsidP="00441B6F">
      <w:pPr>
        <w:pStyle w:val="Body"/>
        <w:spacing w:after="0"/>
        <w:rPr>
          <w:rFonts w:ascii="Arial" w:hAnsi="Arial" w:cs="Arial"/>
        </w:rPr>
      </w:pPr>
    </w:p>
    <w:p w14:paraId="33F6F0A9" w14:textId="77777777" w:rsidR="00790ADA" w:rsidRPr="002C57D2" w:rsidRDefault="00790ADA" w:rsidP="00441B6F">
      <w:pPr>
        <w:pStyle w:val="Body"/>
        <w:spacing w:after="0"/>
        <w:rPr>
          <w:rFonts w:ascii="Arial" w:hAnsi="Arial" w:cs="Arial"/>
        </w:rPr>
      </w:pPr>
    </w:p>
    <w:p w14:paraId="237B4C87" w14:textId="77777777" w:rsidR="008B459E" w:rsidRPr="002C57D2" w:rsidRDefault="008B459E" w:rsidP="00441B6F">
      <w:pPr>
        <w:pStyle w:val="Body"/>
        <w:spacing w:after="0"/>
        <w:rPr>
          <w:rFonts w:ascii="Arial" w:hAnsi="Arial" w:cs="Arial"/>
        </w:rPr>
      </w:pPr>
    </w:p>
    <w:p w14:paraId="4C33954F" w14:textId="77777777" w:rsidR="004D4277" w:rsidRPr="00FB3A86" w:rsidRDefault="0015635E" w:rsidP="00441B6F">
      <w:pPr>
        <w:pStyle w:val="Appendix"/>
        <w:spacing w:after="0"/>
        <w:jc w:val="both"/>
        <w:rPr>
          <w:rFonts w:ascii="Arial" w:hAnsi="Arial" w:cs="Arial"/>
          <w:b w:val="0"/>
        </w:rPr>
        <w:sectPr w:rsidR="004D4277" w:rsidRPr="00FB3A86" w:rsidSect="00085D2C">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r>
        <w:rPr>
          <w:rFonts w:ascii="Arial" w:hAnsi="Arial" w:cs="Arial"/>
          <w:b w:val="0"/>
        </w:rPr>
        <w:t xml:space="preserve"> </w:t>
      </w:r>
    </w:p>
    <w:p w14:paraId="71F3CF5D" w14:textId="77777777" w:rsidR="00B01FCD" w:rsidRPr="00FB3A86" w:rsidRDefault="00B01FCD" w:rsidP="00441B6F">
      <w:pPr>
        <w:pStyle w:val="Appendix"/>
        <w:spacing w:after="0"/>
        <w:jc w:val="both"/>
        <w:rPr>
          <w:rFonts w:ascii="Arial" w:hAnsi="Arial" w:cs="Arial"/>
          <w:b w:val="0"/>
        </w:rPr>
      </w:pPr>
    </w:p>
    <w:sectPr w:rsidR="00B01FCD" w:rsidRPr="00FB3A86" w:rsidSect="00085D2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A0AA9" w14:textId="77777777" w:rsidR="00904634" w:rsidRDefault="00904634" w:rsidP="00C37E61">
      <w:r>
        <w:separator/>
      </w:r>
    </w:p>
  </w:endnote>
  <w:endnote w:type="continuationSeparator" w:id="0">
    <w:p w14:paraId="2AC7D908" w14:textId="77777777" w:rsidR="00904634" w:rsidRDefault="009046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4A114" w14:textId="77777777" w:rsidR="00085D2C" w:rsidRDefault="00085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65BA1" w14:textId="77777777" w:rsidR="00085D2C" w:rsidRDefault="00085D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87046" w14:textId="3CDEA907" w:rsidR="007A76E6" w:rsidRPr="00085D2C" w:rsidRDefault="007A76E6" w:rsidP="00085D2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75894" w14:textId="77777777" w:rsidR="007A76E6" w:rsidRPr="00C37E61" w:rsidRDefault="007A76E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29A21" w14:textId="77777777" w:rsidR="00904634" w:rsidRDefault="00904634" w:rsidP="00C37E61">
      <w:r>
        <w:separator/>
      </w:r>
    </w:p>
  </w:footnote>
  <w:footnote w:type="continuationSeparator" w:id="0">
    <w:p w14:paraId="3461BD4F" w14:textId="77777777" w:rsidR="00904634" w:rsidRDefault="0090463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7F27" w14:textId="5A4B45C6" w:rsidR="00085D2C" w:rsidRDefault="00085D2C">
    <w:pPr>
      <w:pStyle w:val="Header"/>
    </w:pPr>
    <w:r>
      <w:rPr>
        <w:noProof/>
      </w:rPr>
      <w:pict w14:anchorId="43CAE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2809F" w14:textId="533BA5F4" w:rsidR="00085D2C" w:rsidRDefault="00085D2C">
    <w:pPr>
      <w:pStyle w:val="Header"/>
    </w:pPr>
    <w:r>
      <w:rPr>
        <w:noProof/>
      </w:rPr>
      <w:pict w14:anchorId="16659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421A" w14:textId="527663B4" w:rsidR="007A76E6" w:rsidRPr="00296529" w:rsidRDefault="00085D2C" w:rsidP="00296529">
    <w:pPr>
      <w:ind w:left="2160"/>
      <w:jc w:val="center"/>
      <w:rPr>
        <w:rFonts w:ascii="Times New Roman" w:eastAsia="Calibri" w:hAnsi="Times New Roman"/>
        <w:i/>
        <w:sz w:val="18"/>
        <w:szCs w:val="22"/>
      </w:rPr>
    </w:pPr>
    <w:r>
      <w:rPr>
        <w:noProof/>
      </w:rPr>
      <w:pict w14:anchorId="08843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396DE26" w14:textId="77777777" w:rsidR="007A76E6" w:rsidRPr="00296529" w:rsidRDefault="007A76E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DD537A3" w14:textId="77777777" w:rsidR="007A76E6" w:rsidRPr="00296529" w:rsidRDefault="007A76E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C44E44" w14:textId="77777777" w:rsidR="007A76E6" w:rsidRPr="00296529" w:rsidRDefault="007A76E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FB6FAE" w14:textId="77777777" w:rsidR="007A76E6" w:rsidRDefault="007A76E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F82C0B" w14:textId="77777777" w:rsidR="007A76E6" w:rsidRDefault="007A76E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3BE86ED" w14:textId="77777777" w:rsidR="007A76E6" w:rsidRDefault="007A76E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2A510" w14:textId="7A9E3CB9" w:rsidR="00085D2C" w:rsidRDefault="00085D2C">
    <w:pPr>
      <w:pStyle w:val="Header"/>
    </w:pPr>
    <w:r>
      <w:rPr>
        <w:noProof/>
      </w:rPr>
      <w:pict w14:anchorId="34C81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23903" w14:textId="71253E94" w:rsidR="00085D2C" w:rsidRDefault="00085D2C">
    <w:pPr>
      <w:pStyle w:val="Header"/>
    </w:pPr>
    <w:r>
      <w:rPr>
        <w:noProof/>
      </w:rPr>
      <w:pict w14:anchorId="043E9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3992" w14:textId="4742EE2D" w:rsidR="00085D2C" w:rsidRDefault="00085D2C">
    <w:pPr>
      <w:pStyle w:val="Header"/>
    </w:pPr>
    <w:r>
      <w:rPr>
        <w:noProof/>
      </w:rPr>
      <w:pict w14:anchorId="04262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A2E46"/>
    <w:multiLevelType w:val="multilevel"/>
    <w:tmpl w:val="031A2E4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FDC2C7A"/>
    <w:multiLevelType w:val="hybridMultilevel"/>
    <w:tmpl w:val="E180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19"/>
  </w:num>
  <w:num w:numId="12">
    <w:abstractNumId w:val="4"/>
  </w:num>
  <w:num w:numId="13">
    <w:abstractNumId w:val="18"/>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70CD4"/>
    <w:rsid w:val="00085D2C"/>
    <w:rsid w:val="000A47FA"/>
    <w:rsid w:val="000A65D3"/>
    <w:rsid w:val="000B1E33"/>
    <w:rsid w:val="000D689F"/>
    <w:rsid w:val="000E7B7B"/>
    <w:rsid w:val="000E7D62"/>
    <w:rsid w:val="00103357"/>
    <w:rsid w:val="00123C9F"/>
    <w:rsid w:val="00126190"/>
    <w:rsid w:val="00130F17"/>
    <w:rsid w:val="001320BF"/>
    <w:rsid w:val="0015635E"/>
    <w:rsid w:val="00163BC4"/>
    <w:rsid w:val="00191062"/>
    <w:rsid w:val="00192B72"/>
    <w:rsid w:val="001A29D8"/>
    <w:rsid w:val="001A5CAA"/>
    <w:rsid w:val="001B0427"/>
    <w:rsid w:val="001C4F15"/>
    <w:rsid w:val="001D3A51"/>
    <w:rsid w:val="001E10D2"/>
    <w:rsid w:val="001E25B4"/>
    <w:rsid w:val="001E44FE"/>
    <w:rsid w:val="00200595"/>
    <w:rsid w:val="00204835"/>
    <w:rsid w:val="00210190"/>
    <w:rsid w:val="00227086"/>
    <w:rsid w:val="00231920"/>
    <w:rsid w:val="0023195C"/>
    <w:rsid w:val="0024282C"/>
    <w:rsid w:val="002460DC"/>
    <w:rsid w:val="00250985"/>
    <w:rsid w:val="002556F6"/>
    <w:rsid w:val="00283105"/>
    <w:rsid w:val="00284C4C"/>
    <w:rsid w:val="00287E68"/>
    <w:rsid w:val="00296529"/>
    <w:rsid w:val="002B27FB"/>
    <w:rsid w:val="002B685A"/>
    <w:rsid w:val="002C428C"/>
    <w:rsid w:val="002C57D2"/>
    <w:rsid w:val="002E0D56"/>
    <w:rsid w:val="00315186"/>
    <w:rsid w:val="0033343E"/>
    <w:rsid w:val="003512C2"/>
    <w:rsid w:val="00371FB6"/>
    <w:rsid w:val="003763C1"/>
    <w:rsid w:val="00376BBE"/>
    <w:rsid w:val="0039224F"/>
    <w:rsid w:val="003A43A4"/>
    <w:rsid w:val="003A7D17"/>
    <w:rsid w:val="003A7E18"/>
    <w:rsid w:val="003C4C86"/>
    <w:rsid w:val="003C6258"/>
    <w:rsid w:val="003E2904"/>
    <w:rsid w:val="003F0294"/>
    <w:rsid w:val="00401927"/>
    <w:rsid w:val="0041027F"/>
    <w:rsid w:val="00412475"/>
    <w:rsid w:val="00423789"/>
    <w:rsid w:val="004358FE"/>
    <w:rsid w:val="00440F43"/>
    <w:rsid w:val="00441B6F"/>
    <w:rsid w:val="00446221"/>
    <w:rsid w:val="00450E62"/>
    <w:rsid w:val="004539DB"/>
    <w:rsid w:val="00471A80"/>
    <w:rsid w:val="004D305E"/>
    <w:rsid w:val="004D4277"/>
    <w:rsid w:val="004E373F"/>
    <w:rsid w:val="004F7076"/>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6E61"/>
    <w:rsid w:val="00687DEA"/>
    <w:rsid w:val="00687E67"/>
    <w:rsid w:val="006967F7"/>
    <w:rsid w:val="006A03BF"/>
    <w:rsid w:val="006A250C"/>
    <w:rsid w:val="006B21D3"/>
    <w:rsid w:val="006B57D0"/>
    <w:rsid w:val="006D30FF"/>
    <w:rsid w:val="006D47D8"/>
    <w:rsid w:val="006D6940"/>
    <w:rsid w:val="006F11EC"/>
    <w:rsid w:val="0070082C"/>
    <w:rsid w:val="00716C75"/>
    <w:rsid w:val="007369E6"/>
    <w:rsid w:val="00746E59"/>
    <w:rsid w:val="00754C9A"/>
    <w:rsid w:val="0075599A"/>
    <w:rsid w:val="00761D52"/>
    <w:rsid w:val="0077749E"/>
    <w:rsid w:val="00790ADA"/>
    <w:rsid w:val="007A76E6"/>
    <w:rsid w:val="007C0A9F"/>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4634"/>
    <w:rsid w:val="00915CA6"/>
    <w:rsid w:val="00927834"/>
    <w:rsid w:val="00942F58"/>
    <w:rsid w:val="00943D2E"/>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0F86"/>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4A38"/>
    <w:rsid w:val="00B8254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6F7E"/>
    <w:rsid w:val="00C70778"/>
    <w:rsid w:val="00C70F1B"/>
    <w:rsid w:val="00C71A47"/>
    <w:rsid w:val="00C7464C"/>
    <w:rsid w:val="00C85588"/>
    <w:rsid w:val="00CD1CF2"/>
    <w:rsid w:val="00CD6755"/>
    <w:rsid w:val="00CD6856"/>
    <w:rsid w:val="00CE0089"/>
    <w:rsid w:val="00CE793C"/>
    <w:rsid w:val="00CF193C"/>
    <w:rsid w:val="00D173F1"/>
    <w:rsid w:val="00D74CB0"/>
    <w:rsid w:val="00D8295D"/>
    <w:rsid w:val="00D84342"/>
    <w:rsid w:val="00DC2A65"/>
    <w:rsid w:val="00DE15F0"/>
    <w:rsid w:val="00DE5663"/>
    <w:rsid w:val="00DE78AA"/>
    <w:rsid w:val="00E053D0"/>
    <w:rsid w:val="00E15994"/>
    <w:rsid w:val="00E3114E"/>
    <w:rsid w:val="00E31A70"/>
    <w:rsid w:val="00E35B02"/>
    <w:rsid w:val="00E51BB9"/>
    <w:rsid w:val="00E66496"/>
    <w:rsid w:val="00E66B35"/>
    <w:rsid w:val="00E66E10"/>
    <w:rsid w:val="00E769F6"/>
    <w:rsid w:val="00E8407C"/>
    <w:rsid w:val="00E84F3C"/>
    <w:rsid w:val="00EA012C"/>
    <w:rsid w:val="00EA3A99"/>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45A3E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A76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semiHidden/>
    <w:unhideWhenUsed/>
    <w:qFormat/>
    <w:rsid w:val="00942F5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6Char">
    <w:name w:val="Heading 6 Char"/>
    <w:basedOn w:val="DefaultParagraphFont"/>
    <w:link w:val="Heading6"/>
    <w:uiPriority w:val="9"/>
    <w:semiHidden/>
    <w:rsid w:val="00942F58"/>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semiHidden/>
    <w:rsid w:val="007A76E6"/>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uiPriority w:val="59"/>
    <w:rsid w:val="007A76E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4A38"/>
    <w:pPr>
      <w:spacing w:after="160" w:line="278" w:lineRule="auto"/>
    </w:pPr>
    <w:rPr>
      <w:rFonts w:ascii="Times New Roman" w:eastAsia="DengXian" w:hAnsi="Times New Roman"/>
      <w:kern w:val="2"/>
      <w:sz w:val="24"/>
      <w:szCs w:val="24"/>
      <w:lang w:val="zh-CN"/>
    </w:rPr>
  </w:style>
  <w:style w:type="character" w:styleId="UnresolvedMention">
    <w:name w:val="Unresolved Mention"/>
    <w:basedOn w:val="DefaultParagraphFont"/>
    <w:uiPriority w:val="99"/>
    <w:semiHidden/>
    <w:unhideWhenUsed/>
    <w:rsid w:val="007C0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923/ajbs.2011.540.547"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155/2013/21984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00204-023-03562-9"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155/2014/360438" TargetMode="External"/><Relationship Id="rId20" Type="http://schemas.openxmlformats.org/officeDocument/2006/relationships/hyperlink" Target="https://doi.org/10.1016/S2542-5196(24)00244-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molecules24061123"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cub.2017.09.019"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56/NEJM20000427342170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7/978-3-7643-8340-4_6"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1A5BD-58AE-403C-A4CE-E8B5B6C44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16</Pages>
  <Words>4841</Words>
  <Characters>27600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32377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2026-02-12T11:37:00Z</dcterms:created>
  <dcterms:modified xsi:type="dcterms:W3CDTF">2026-02-13T07:04:00Z</dcterms:modified>
</cp:coreProperties>
</file>