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DD637" w14:textId="6759EC14" w:rsidR="00B76B9D" w:rsidRDefault="00BB408C">
      <w:pPr>
        <w:jc w:val="center"/>
        <w:rPr>
          <w:rFonts w:ascii="Arial" w:eastAsia="Arial" w:hAnsi="Arial" w:cs="Arial"/>
          <w:b/>
          <w:bCs/>
          <w:sz w:val="28"/>
          <w:szCs w:val="28"/>
        </w:rPr>
      </w:pPr>
      <w:r>
        <w:rPr>
          <w:rFonts w:ascii="Arial" w:eastAsia="Arial" w:hAnsi="Arial" w:cs="Arial"/>
          <w:b/>
          <w:bCs/>
          <w:sz w:val="28"/>
          <w:szCs w:val="28"/>
        </w:rPr>
        <w:t>PATHOGENIC ISOLATES AND ANTIBACTERIAL SUSCEPTIBILITY PATTERN OF BACTERIA FOUND ON STAIR RAILS OF A PUBLIC HEALTH INSTITUTION</w:t>
      </w:r>
    </w:p>
    <w:p w14:paraId="4C41493A" w14:textId="21882E8E" w:rsidR="00B76B9D" w:rsidRDefault="00B76B9D">
      <w:pPr>
        <w:rPr>
          <w:rFonts w:ascii="Arial" w:eastAsia="Arial" w:hAnsi="Arial" w:cs="Arial"/>
        </w:rPr>
      </w:pPr>
    </w:p>
    <w:p w14:paraId="006EC273" w14:textId="77777777" w:rsidR="00A21837" w:rsidRDefault="00A21837">
      <w:pPr>
        <w:rPr>
          <w:rFonts w:ascii="Arial" w:eastAsia="Arial" w:hAnsi="Arial" w:cs="Arial"/>
        </w:rPr>
      </w:pPr>
    </w:p>
    <w:p w14:paraId="7FA31BBF" w14:textId="77777777" w:rsidR="00B76B9D" w:rsidRDefault="00BB408C">
      <w:pPr>
        <w:spacing w:line="480" w:lineRule="auto"/>
        <w:rPr>
          <w:rFonts w:ascii="Arial" w:eastAsia="Arial" w:hAnsi="Arial" w:cs="Arial"/>
          <w:b/>
          <w:bCs/>
        </w:rPr>
      </w:pPr>
      <w:r>
        <w:rPr>
          <w:rFonts w:ascii="Arial" w:eastAsia="Arial" w:hAnsi="Arial" w:cs="Arial"/>
          <w:b/>
          <w:bCs/>
        </w:rPr>
        <w:t>ABSTRACT</w:t>
      </w:r>
    </w:p>
    <w:p w14:paraId="2F6C5AE2" w14:textId="45E27A8B" w:rsidR="00B76B9D" w:rsidRDefault="00BB408C">
      <w:pPr>
        <w:spacing w:line="240" w:lineRule="auto"/>
        <w:jc w:val="both"/>
        <w:rPr>
          <w:rFonts w:ascii="Arial" w:eastAsia="Arial" w:hAnsi="Arial" w:cs="Arial"/>
          <w:sz w:val="20"/>
          <w:szCs w:val="20"/>
        </w:rPr>
      </w:pPr>
      <w:r>
        <w:rPr>
          <w:rFonts w:ascii="Arial" w:eastAsia="Arial" w:hAnsi="Arial" w:cs="Arial"/>
          <w:sz w:val="20"/>
          <w:szCs w:val="20"/>
        </w:rPr>
        <w:t xml:space="preserve">Many microorganisms play essential roles in ecological balance, nutrient cycling, and even human health, a subset—termed pathogenic microorganisms are capable of causing disease under certain conditions. These organisms can persist on inanimate surfaces such as stair railings, especially in environments conducive to microbial survival like high-humidity and poor ventilation settings. This study investigated the prevalence, identity, and antimicrobial susceptibility of bacteria recovered from stair-rail surfaces.  This study was carried out between August </w:t>
      </w:r>
      <w:r w:rsidR="00756E8F">
        <w:rPr>
          <w:rFonts w:ascii="Arial" w:eastAsia="Arial" w:hAnsi="Arial" w:cs="Arial"/>
          <w:sz w:val="20"/>
          <w:szCs w:val="20"/>
        </w:rPr>
        <w:t>and</w:t>
      </w:r>
      <w:r>
        <w:rPr>
          <w:rFonts w:ascii="Arial" w:eastAsia="Arial" w:hAnsi="Arial" w:cs="Arial"/>
          <w:sz w:val="20"/>
          <w:szCs w:val="20"/>
        </w:rPr>
        <w:t xml:space="preserve"> December 2025 on various story buildings in a government public hospital after obtaining ethical clearance.   Samples were collected on stair railings across several story buildings like Admin block, O and G building, lab complex, Record building, orthopaedic block, Casualty building and NHIS. Swab Samples were cultured on media (MacConkey, blood, nutrient) and isolates were identified by Gram staining, biochemical tests ( catalase/coagulase, oxidase, urease, </w:t>
      </w:r>
      <w:proofErr w:type="spellStart"/>
      <w:r>
        <w:rPr>
          <w:rFonts w:ascii="Arial" w:eastAsia="Arial" w:hAnsi="Arial" w:cs="Arial"/>
          <w:sz w:val="20"/>
          <w:szCs w:val="20"/>
        </w:rPr>
        <w:t>klinger</w:t>
      </w:r>
      <w:proofErr w:type="spellEnd"/>
      <w:r>
        <w:rPr>
          <w:rFonts w:ascii="Arial" w:eastAsia="Arial" w:hAnsi="Arial" w:cs="Arial"/>
          <w:sz w:val="20"/>
          <w:szCs w:val="20"/>
        </w:rPr>
        <w:t xml:space="preserve"> iron agar) Antimicrobial susceptibility was determined following the Clinical and laboratory standards institute guidelines via the Kirby–Bauer disk diffusion method on Nutrient agar using eleven clinically relevant antibiotics (</w:t>
      </w:r>
      <w:proofErr w:type="spellStart"/>
      <w:r>
        <w:rPr>
          <w:rFonts w:ascii="Arial" w:eastAsia="Arial" w:hAnsi="Arial" w:cs="Arial"/>
          <w:sz w:val="20"/>
          <w:szCs w:val="20"/>
        </w:rPr>
        <w:t>cloxacilin</w:t>
      </w:r>
      <w:proofErr w:type="spellEnd"/>
      <w:r>
        <w:rPr>
          <w:rFonts w:ascii="Arial" w:eastAsia="Arial" w:hAnsi="Arial" w:cs="Arial"/>
          <w:sz w:val="20"/>
          <w:szCs w:val="20"/>
        </w:rPr>
        <w:t xml:space="preserve">, gentamicin, erythromycin, ceftriaxone, cefixime, nitrofurantoin, ofloxacin, cefuroxime, ceftazidime, ciprofloxacin and </w:t>
      </w:r>
      <w:proofErr w:type="spellStart"/>
      <w:r>
        <w:rPr>
          <w:rFonts w:ascii="Arial" w:eastAsia="Arial" w:hAnsi="Arial" w:cs="Arial"/>
          <w:sz w:val="20"/>
          <w:szCs w:val="20"/>
        </w:rPr>
        <w:t>augumentin</w:t>
      </w:r>
      <w:proofErr w:type="spellEnd"/>
      <w:r>
        <w:rPr>
          <w:rFonts w:ascii="Arial" w:eastAsia="Arial" w:hAnsi="Arial" w:cs="Arial"/>
          <w:sz w:val="20"/>
          <w:szCs w:val="20"/>
        </w:rPr>
        <w:t xml:space="preserve">), with interpretations following  </w:t>
      </w:r>
      <w:proofErr w:type="spellStart"/>
      <w:r>
        <w:rPr>
          <w:rFonts w:ascii="Arial" w:eastAsia="Arial" w:hAnsi="Arial" w:cs="Arial"/>
          <w:sz w:val="20"/>
          <w:szCs w:val="20"/>
        </w:rPr>
        <w:t>Sarker</w:t>
      </w:r>
      <w:proofErr w:type="spellEnd"/>
      <w:r>
        <w:rPr>
          <w:rFonts w:ascii="Arial" w:eastAsia="Arial" w:hAnsi="Arial" w:cs="Arial"/>
          <w:sz w:val="20"/>
          <w:szCs w:val="20"/>
        </w:rPr>
        <w:t xml:space="preserve"> </w:t>
      </w:r>
      <w:r>
        <w:rPr>
          <w:rFonts w:ascii="Arial" w:eastAsia="Arial" w:hAnsi="Arial" w:cs="Arial"/>
          <w:i/>
          <w:iCs/>
          <w:sz w:val="20"/>
          <w:szCs w:val="20"/>
        </w:rPr>
        <w:t>et.al</w:t>
      </w:r>
      <w:r>
        <w:rPr>
          <w:rFonts w:ascii="Arial" w:eastAsia="Arial" w:hAnsi="Arial" w:cs="Arial"/>
          <w:sz w:val="20"/>
          <w:szCs w:val="20"/>
        </w:rPr>
        <w:t xml:space="preserve"> (2014). Among the 46 stair-rail sites sampled, 32.6% yielded bacterial growth. Six species were identified: coagulase-negative Staphylococcus spp. (13.0%), Escherichia coli (10.9%), </w:t>
      </w:r>
      <w:r>
        <w:rPr>
          <w:rFonts w:ascii="Arial" w:eastAsia="Arial" w:hAnsi="Arial" w:cs="Arial"/>
          <w:i/>
          <w:iCs/>
          <w:sz w:val="20"/>
          <w:szCs w:val="20"/>
        </w:rPr>
        <w:t xml:space="preserve">Pseudomonas </w:t>
      </w:r>
      <w:proofErr w:type="spellStart"/>
      <w:r>
        <w:rPr>
          <w:rFonts w:ascii="Arial" w:eastAsia="Arial" w:hAnsi="Arial" w:cs="Arial"/>
          <w:i/>
          <w:iCs/>
          <w:sz w:val="20"/>
          <w:szCs w:val="20"/>
        </w:rPr>
        <w:t>spp</w:t>
      </w:r>
      <w:proofErr w:type="spellEnd"/>
      <w:r>
        <w:rPr>
          <w:rFonts w:ascii="Arial" w:eastAsia="Arial" w:hAnsi="Arial" w:cs="Arial"/>
          <w:i/>
          <w:iCs/>
          <w:sz w:val="20"/>
          <w:szCs w:val="20"/>
        </w:rPr>
        <w:t>,</w:t>
      </w:r>
      <w:r>
        <w:rPr>
          <w:rFonts w:ascii="Arial" w:eastAsia="Arial" w:hAnsi="Arial" w:cs="Arial"/>
          <w:sz w:val="20"/>
          <w:szCs w:val="20"/>
        </w:rPr>
        <w:t xml:space="preserve"> </w:t>
      </w:r>
      <w:r>
        <w:rPr>
          <w:rFonts w:ascii="Arial" w:eastAsia="Arial" w:hAnsi="Arial" w:cs="Arial"/>
          <w:i/>
          <w:iCs/>
          <w:sz w:val="20"/>
          <w:szCs w:val="20"/>
        </w:rPr>
        <w:t xml:space="preserve">Staphylococcus aureus, Serratia </w:t>
      </w:r>
      <w:proofErr w:type="spellStart"/>
      <w:r>
        <w:rPr>
          <w:rFonts w:ascii="Arial" w:eastAsia="Arial" w:hAnsi="Arial" w:cs="Arial"/>
          <w:i/>
          <w:iCs/>
          <w:sz w:val="20"/>
          <w:szCs w:val="20"/>
        </w:rPr>
        <w:t>spp</w:t>
      </w:r>
      <w:proofErr w:type="spellEnd"/>
      <w:r>
        <w:rPr>
          <w:rFonts w:ascii="Arial" w:eastAsia="Arial" w:hAnsi="Arial" w:cs="Arial"/>
          <w:i/>
          <w:iCs/>
          <w:sz w:val="20"/>
          <w:szCs w:val="20"/>
        </w:rPr>
        <w:t xml:space="preserve"> and Proteus spp</w:t>
      </w:r>
      <w:r>
        <w:rPr>
          <w:rFonts w:ascii="Arial" w:eastAsia="Arial" w:hAnsi="Arial" w:cs="Arial"/>
          <w:sz w:val="20"/>
          <w:szCs w:val="20"/>
        </w:rPr>
        <w:t xml:space="preserve">. (each 2.2%). </w:t>
      </w:r>
      <w:r>
        <w:rPr>
          <w:rFonts w:ascii="Arial" w:eastAsia="Arial" w:hAnsi="Arial" w:cs="Arial"/>
          <w:i/>
          <w:iCs/>
          <w:sz w:val="20"/>
          <w:szCs w:val="20"/>
        </w:rPr>
        <w:t>Proteus spp</w:t>
      </w:r>
      <w:r>
        <w:rPr>
          <w:rFonts w:ascii="Arial" w:eastAsia="Arial" w:hAnsi="Arial" w:cs="Arial"/>
          <w:sz w:val="20"/>
          <w:szCs w:val="20"/>
        </w:rPr>
        <w:t xml:space="preserve">. displayed the highest overall susceptibility (90.9%), whereas </w:t>
      </w:r>
      <w:r>
        <w:rPr>
          <w:rFonts w:ascii="Arial" w:eastAsia="Arial" w:hAnsi="Arial" w:cs="Arial"/>
          <w:i/>
          <w:iCs/>
          <w:sz w:val="20"/>
          <w:szCs w:val="20"/>
        </w:rPr>
        <w:t xml:space="preserve">Pseudomonas </w:t>
      </w:r>
      <w:proofErr w:type="spellStart"/>
      <w:r>
        <w:rPr>
          <w:rFonts w:ascii="Arial" w:eastAsia="Arial" w:hAnsi="Arial" w:cs="Arial"/>
          <w:i/>
          <w:iCs/>
          <w:sz w:val="20"/>
          <w:szCs w:val="20"/>
        </w:rPr>
        <w:t>spp</w:t>
      </w:r>
      <w:proofErr w:type="spellEnd"/>
      <w:r>
        <w:rPr>
          <w:rFonts w:ascii="Arial" w:eastAsia="Arial" w:hAnsi="Arial" w:cs="Arial"/>
          <w:sz w:val="20"/>
          <w:szCs w:val="20"/>
        </w:rPr>
        <w:t xml:space="preserve"> was </w:t>
      </w:r>
      <w:r w:rsidR="001A4A5A">
        <w:rPr>
          <w:rFonts w:ascii="Arial" w:eastAsia="Arial" w:hAnsi="Arial" w:cs="Arial"/>
          <w:sz w:val="20"/>
          <w:szCs w:val="20"/>
        </w:rPr>
        <w:t xml:space="preserve">the </w:t>
      </w:r>
      <w:r>
        <w:rPr>
          <w:rFonts w:ascii="Arial" w:eastAsia="Arial" w:hAnsi="Arial" w:cs="Arial"/>
          <w:sz w:val="20"/>
          <w:szCs w:val="20"/>
        </w:rPr>
        <w:t xml:space="preserve">least susceptible (54.5%). Third-generation cephalosporins (ceftazidime, cefuroxime) and erythromycin inhibited all isolates, while ciprofloxacin showed only 60% efficacy. Multidrug resistance (resistance to ≥3 classes) was noted in 18.2% of </w:t>
      </w:r>
      <w:r>
        <w:rPr>
          <w:rFonts w:ascii="Arial" w:eastAsia="Arial" w:hAnsi="Arial" w:cs="Arial"/>
          <w:i/>
          <w:iCs/>
          <w:sz w:val="20"/>
          <w:szCs w:val="20"/>
        </w:rPr>
        <w:t xml:space="preserve">Staphylococcus </w:t>
      </w:r>
      <w:proofErr w:type="spellStart"/>
      <w:r>
        <w:rPr>
          <w:rFonts w:ascii="Arial" w:eastAsia="Arial" w:hAnsi="Arial" w:cs="Arial"/>
          <w:i/>
          <w:iCs/>
          <w:sz w:val="20"/>
          <w:szCs w:val="20"/>
        </w:rPr>
        <w:t>spp</w:t>
      </w:r>
      <w:proofErr w:type="spellEnd"/>
      <w:r>
        <w:rPr>
          <w:rFonts w:ascii="Arial" w:eastAsia="Arial" w:hAnsi="Arial" w:cs="Arial"/>
          <w:sz w:val="20"/>
          <w:szCs w:val="20"/>
        </w:rPr>
        <w:t xml:space="preserve"> and 27.3% of </w:t>
      </w:r>
      <w:proofErr w:type="spellStart"/>
      <w:proofErr w:type="gramStart"/>
      <w:r>
        <w:rPr>
          <w:rFonts w:ascii="Arial" w:eastAsia="Arial" w:hAnsi="Arial" w:cs="Arial"/>
          <w:i/>
          <w:iCs/>
          <w:sz w:val="20"/>
          <w:szCs w:val="20"/>
        </w:rPr>
        <w:t>Escherichia.spp</w:t>
      </w:r>
      <w:proofErr w:type="spellEnd"/>
      <w:r>
        <w:rPr>
          <w:rFonts w:ascii="Arial" w:eastAsia="Arial" w:hAnsi="Arial" w:cs="Arial"/>
          <w:sz w:val="20"/>
          <w:szCs w:val="20"/>
        </w:rPr>
        <w:t xml:space="preserve"> .</w:t>
      </w:r>
      <w:proofErr w:type="gramEnd"/>
      <w:r>
        <w:rPr>
          <w:rFonts w:ascii="Arial" w:eastAsia="Arial" w:hAnsi="Arial" w:cs="Arial"/>
          <w:sz w:val="20"/>
          <w:szCs w:val="20"/>
        </w:rPr>
        <w:t xml:space="preserve"> These findings highlight stair rails as under-recognized reservoirs of potentially pathogenic and drug-resistant bacteria in university settings. To reduce transmission risk, we recommend routine environmental surveillance, targeted cleaning protocols, strategic placement of hand</w:t>
      </w:r>
      <w:r>
        <w:rPr>
          <w:rFonts w:ascii="Cambria Math" w:eastAsia="Cambria Math" w:hAnsi="Cambria Math" w:cs="Cambria Math"/>
          <w:sz w:val="20"/>
          <w:szCs w:val="20"/>
        </w:rPr>
        <w:t>‐</w:t>
      </w:r>
      <w:r>
        <w:rPr>
          <w:rFonts w:ascii="Arial" w:eastAsia="Arial" w:hAnsi="Arial" w:cs="Arial"/>
          <w:sz w:val="20"/>
          <w:szCs w:val="20"/>
        </w:rPr>
        <w:t>hygiene stations, and consideration of antimicrobial surface materials. Introducing such measures into campus health policies will fortify infection prevention and support global efforts to mitigate antimicrobial resistance.</w:t>
      </w:r>
    </w:p>
    <w:p w14:paraId="50BFF75F" w14:textId="77777777" w:rsidR="00B76B9D" w:rsidRDefault="00B76B9D">
      <w:pPr>
        <w:rPr>
          <w:rFonts w:ascii="Arial" w:eastAsia="Arial" w:hAnsi="Arial" w:cs="Arial"/>
          <w:b/>
          <w:bCs/>
        </w:rPr>
      </w:pPr>
    </w:p>
    <w:p w14:paraId="6F81D6AB" w14:textId="77777777" w:rsidR="00B76B9D" w:rsidRDefault="00B76B9D">
      <w:pPr>
        <w:rPr>
          <w:rFonts w:ascii="Arial" w:eastAsia="Arial" w:hAnsi="Arial" w:cs="Arial"/>
          <w:b/>
          <w:bCs/>
        </w:rPr>
      </w:pPr>
    </w:p>
    <w:p w14:paraId="6315522F" w14:textId="77777777" w:rsidR="00B76B9D" w:rsidRDefault="00B76B9D">
      <w:pPr>
        <w:rPr>
          <w:rFonts w:ascii="Arial" w:eastAsia="Arial" w:hAnsi="Arial" w:cs="Arial"/>
          <w:b/>
          <w:bCs/>
        </w:rPr>
      </w:pPr>
    </w:p>
    <w:p w14:paraId="43FEBCDA" w14:textId="77777777" w:rsidR="00B76B9D" w:rsidRDefault="00B76B9D">
      <w:pPr>
        <w:rPr>
          <w:rFonts w:ascii="Arial" w:eastAsia="Arial" w:hAnsi="Arial" w:cs="Arial"/>
          <w:b/>
          <w:bCs/>
        </w:rPr>
      </w:pPr>
    </w:p>
    <w:p w14:paraId="1E9FC0A1" w14:textId="77777777" w:rsidR="00B76B9D" w:rsidRDefault="00B76B9D">
      <w:pPr>
        <w:rPr>
          <w:rFonts w:ascii="Arial" w:eastAsia="Arial" w:hAnsi="Arial" w:cs="Arial"/>
          <w:b/>
          <w:bCs/>
        </w:rPr>
      </w:pPr>
    </w:p>
    <w:p w14:paraId="71AD9443" w14:textId="77777777" w:rsidR="00B76B9D" w:rsidRDefault="00BB408C">
      <w:pPr>
        <w:rPr>
          <w:rFonts w:ascii="Arial" w:eastAsia="Arial" w:hAnsi="Arial" w:cs="Arial"/>
          <w:b/>
          <w:bCs/>
        </w:rPr>
      </w:pPr>
      <w:r>
        <w:rPr>
          <w:rFonts w:ascii="Arial" w:eastAsia="Arial" w:hAnsi="Arial" w:cs="Arial"/>
          <w:b/>
          <w:bCs/>
        </w:rPr>
        <w:t xml:space="preserve">INTRODUCTION </w:t>
      </w:r>
    </w:p>
    <w:p w14:paraId="2B1DBBE3" w14:textId="6253A99A" w:rsidR="00B76B9D" w:rsidRDefault="00BB408C">
      <w:pPr>
        <w:jc w:val="both"/>
        <w:rPr>
          <w:rFonts w:ascii="Arial" w:eastAsia="Arial" w:hAnsi="Arial" w:cs="Arial"/>
        </w:rPr>
      </w:pPr>
      <w:r>
        <w:rPr>
          <w:rFonts w:ascii="Arial" w:eastAsia="Arial" w:hAnsi="Arial" w:cs="Arial"/>
        </w:rPr>
        <w:t>Microorganisms, encompassing bacteria, viruses, fungi, and protozoa, are ubiquitous microscopic life forms that inhabit diverse environments including</w:t>
      </w:r>
      <w:r w:rsidR="0021217F">
        <w:rPr>
          <w:rFonts w:ascii="Arial" w:eastAsia="Arial" w:hAnsi="Arial" w:cs="Arial"/>
        </w:rPr>
        <w:t>,</w:t>
      </w:r>
      <w:r>
        <w:rPr>
          <w:rFonts w:ascii="Arial" w:eastAsia="Arial" w:hAnsi="Arial" w:cs="Arial"/>
        </w:rPr>
        <w:t xml:space="preserve"> air, water, soil, and surfaces frequently touched by humans (</w:t>
      </w:r>
      <w:r w:rsidR="0092110D">
        <w:rPr>
          <w:rFonts w:ascii="Times New Roman" w:eastAsia="Times New Roman" w:hAnsi="Times New Roman" w:cs="Times New Roman"/>
        </w:rPr>
        <w:t>2</w:t>
      </w:r>
      <w:r>
        <w:rPr>
          <w:rFonts w:ascii="Arial" w:eastAsia="Arial" w:hAnsi="Arial" w:cs="Arial"/>
        </w:rPr>
        <w:t>). While many microorganisms play essential roles in ecological balance, nutrient cycling, and even human health, a subset—termed pathogenic microorganisms—are capable of causing disease under certain conditions (</w:t>
      </w:r>
      <w:r w:rsidR="0092110D">
        <w:rPr>
          <w:rFonts w:ascii="Arial" w:eastAsia="Arial" w:hAnsi="Arial" w:cs="Arial"/>
        </w:rPr>
        <w:t>3</w:t>
      </w:r>
      <w:r>
        <w:rPr>
          <w:rFonts w:ascii="Arial" w:eastAsia="Arial" w:hAnsi="Arial" w:cs="Arial"/>
        </w:rPr>
        <w:t xml:space="preserve">). These organisms can persist on </w:t>
      </w:r>
      <w:r>
        <w:rPr>
          <w:rFonts w:ascii="Arial" w:eastAsia="Arial" w:hAnsi="Arial" w:cs="Arial"/>
        </w:rPr>
        <w:lastRenderedPageBreak/>
        <w:t>inanimate surfaces such as stair railings, especially in environments conducive to microbial survival like high-humidity and poor ventilation settings (</w:t>
      </w:r>
      <w:r w:rsidR="0092110D">
        <w:rPr>
          <w:rFonts w:ascii="Arial" w:eastAsia="Arial" w:hAnsi="Arial" w:cs="Arial"/>
        </w:rPr>
        <w:t>4</w:t>
      </w:r>
      <w:r>
        <w:rPr>
          <w:rFonts w:ascii="Arial" w:eastAsia="Arial" w:hAnsi="Arial" w:cs="Arial"/>
        </w:rPr>
        <w:t>). Moreover, several microbial species can form biofilms, enhancing their resilience and longevity on abiotic surfaces, thus increasing the likelihood of contact-mediated transmission (</w:t>
      </w:r>
      <w:r w:rsidR="0092110D">
        <w:rPr>
          <w:rFonts w:ascii="Arial" w:eastAsia="Arial" w:hAnsi="Arial" w:cs="Arial"/>
        </w:rPr>
        <w:t>5</w:t>
      </w:r>
      <w:r>
        <w:rPr>
          <w:rFonts w:ascii="Arial" w:eastAsia="Arial" w:hAnsi="Arial" w:cs="Arial"/>
        </w:rPr>
        <w:t>). The ability of these microorganisms to colonize and survive on environmental surfaces positions them as key agents in the subsequent transmission of infectious diseases.</w:t>
      </w:r>
    </w:p>
    <w:p w14:paraId="2EBDBC85" w14:textId="4F4CA025" w:rsidR="00B76B9D" w:rsidRDefault="00BB408C">
      <w:pPr>
        <w:jc w:val="both"/>
        <w:rPr>
          <w:rFonts w:ascii="Arial" w:eastAsia="Arial" w:hAnsi="Arial" w:cs="Arial"/>
        </w:rPr>
      </w:pPr>
      <w:r>
        <w:rPr>
          <w:rFonts w:ascii="Arial" w:eastAsia="Arial" w:hAnsi="Arial" w:cs="Arial"/>
        </w:rPr>
        <w:t>The transmission of microbial pathogens through high-touch environmental surfaces is a critical public health concern, especially in densely populated indoor settings. Among these surfaces, stair railings are frequently neglected in sanitation protocols despite their extensive and continuous exposure to human contact (</w:t>
      </w:r>
      <w:r w:rsidR="0092110D">
        <w:rPr>
          <w:rFonts w:ascii="Arial" w:eastAsia="Arial" w:hAnsi="Arial" w:cs="Arial"/>
        </w:rPr>
        <w:t>6</w:t>
      </w:r>
      <w:r>
        <w:rPr>
          <w:rFonts w:ascii="Arial" w:eastAsia="Arial" w:hAnsi="Arial" w:cs="Arial"/>
        </w:rPr>
        <w:t xml:space="preserve">). These railings act as fomites, providing a medium for the accumulation and spread of potentially pathogenic microorganisms. Multiple studies confirm that high-touch surfaces in both healthcare and communal environments </w:t>
      </w:r>
      <w:proofErr w:type="spellStart"/>
      <w:r>
        <w:rPr>
          <w:rFonts w:ascii="Arial" w:eastAsia="Arial" w:hAnsi="Arial" w:cs="Arial"/>
        </w:rPr>
        <w:t>harbor</w:t>
      </w:r>
      <w:proofErr w:type="spellEnd"/>
      <w:r>
        <w:rPr>
          <w:rFonts w:ascii="Arial" w:eastAsia="Arial" w:hAnsi="Arial" w:cs="Arial"/>
        </w:rPr>
        <w:t xml:space="preserve"> diverse microbial populations, including biofilm-forming, multi</w:t>
      </w:r>
      <w:r w:rsidR="0021217F">
        <w:rPr>
          <w:rFonts w:ascii="Arial" w:eastAsia="Arial" w:hAnsi="Arial" w:cs="Arial"/>
        </w:rPr>
        <w:t xml:space="preserve"> </w:t>
      </w:r>
      <w:r>
        <w:rPr>
          <w:rFonts w:ascii="Arial" w:eastAsia="Arial" w:hAnsi="Arial" w:cs="Arial"/>
        </w:rPr>
        <w:t>drug</w:t>
      </w:r>
      <w:r w:rsidR="0021217F">
        <w:rPr>
          <w:rFonts w:ascii="Arial" w:eastAsia="Arial" w:hAnsi="Arial" w:cs="Arial"/>
        </w:rPr>
        <w:t>-</w:t>
      </w:r>
      <w:r>
        <w:rPr>
          <w:rFonts w:ascii="Arial" w:eastAsia="Arial" w:hAnsi="Arial" w:cs="Arial"/>
        </w:rPr>
        <w:t>resistant strains (</w:t>
      </w:r>
      <w:r w:rsidR="0092110D">
        <w:rPr>
          <w:rFonts w:ascii="Arial" w:eastAsia="Arial" w:hAnsi="Arial" w:cs="Arial"/>
        </w:rPr>
        <w:t>7</w:t>
      </w:r>
      <w:r>
        <w:rPr>
          <w:rFonts w:ascii="Arial" w:eastAsia="Arial" w:hAnsi="Arial" w:cs="Arial"/>
        </w:rPr>
        <w:t>).</w:t>
      </w:r>
    </w:p>
    <w:p w14:paraId="3FF617FA" w14:textId="2B00DE40" w:rsidR="00B76B9D" w:rsidRDefault="00BB408C">
      <w:pPr>
        <w:jc w:val="both"/>
        <w:rPr>
          <w:rFonts w:ascii="Arial" w:eastAsia="Arial" w:hAnsi="Arial" w:cs="Arial"/>
        </w:rPr>
      </w:pPr>
      <w:r>
        <w:rPr>
          <w:rFonts w:ascii="Arial" w:eastAsia="Arial" w:hAnsi="Arial" w:cs="Arial"/>
        </w:rPr>
        <w:t>Stair railings, particularly those composed of metal or plastic, facilitate microbial adhesion and biofilm formation due to their abiotic and often non-porous nature (</w:t>
      </w:r>
      <w:r w:rsidR="00F57D6E">
        <w:rPr>
          <w:rFonts w:ascii="Arial" w:eastAsia="Arial" w:hAnsi="Arial" w:cs="Arial"/>
        </w:rPr>
        <w:t>5</w:t>
      </w:r>
      <w:r>
        <w:rPr>
          <w:rFonts w:ascii="Arial" w:eastAsia="Arial" w:hAnsi="Arial" w:cs="Arial"/>
        </w:rPr>
        <w:t>). These surfaces, commonly located in poorly ventilated and high-traffic stairwells, accumulate organic debris such as sweat, skin cells, and dust, creating an environment conducive to microbial proliferation (</w:t>
      </w:r>
      <w:r w:rsidR="00F57D6E">
        <w:rPr>
          <w:rFonts w:ascii="Arial" w:eastAsia="Arial" w:hAnsi="Arial" w:cs="Arial"/>
        </w:rPr>
        <w:t>3</w:t>
      </w:r>
      <w:r>
        <w:rPr>
          <w:rFonts w:ascii="Arial" w:eastAsia="Arial" w:hAnsi="Arial" w:cs="Arial"/>
        </w:rPr>
        <w:t>). Environmental conditions such as humidity and temperature further influence microbial survival, making warm, humid settings especially vulnerable to persistent contamination (</w:t>
      </w:r>
      <w:r w:rsidR="00F57D6E">
        <w:rPr>
          <w:rFonts w:ascii="Arial" w:eastAsia="Arial" w:hAnsi="Arial" w:cs="Arial"/>
        </w:rPr>
        <w:t>4</w:t>
      </w:r>
      <w:r>
        <w:rPr>
          <w:rFonts w:ascii="Arial" w:eastAsia="Arial" w:hAnsi="Arial" w:cs="Arial"/>
        </w:rPr>
        <w:t>).</w:t>
      </w:r>
    </w:p>
    <w:p w14:paraId="5F02AD9B" w14:textId="7B2FDE6D" w:rsidR="00B76B9D" w:rsidRDefault="00BB408C">
      <w:pPr>
        <w:jc w:val="both"/>
        <w:rPr>
          <w:rFonts w:ascii="Arial" w:eastAsia="Arial" w:hAnsi="Arial" w:cs="Arial"/>
        </w:rPr>
      </w:pPr>
      <w:r>
        <w:rPr>
          <w:rFonts w:ascii="Arial" w:eastAsia="Arial" w:hAnsi="Arial" w:cs="Arial"/>
        </w:rPr>
        <w:t xml:space="preserve">Bacteria frequently identified on communal surfaces include </w:t>
      </w:r>
      <w:r>
        <w:rPr>
          <w:rFonts w:ascii="Arial" w:eastAsia="Arial" w:hAnsi="Arial" w:cs="Arial"/>
          <w:i/>
          <w:iCs/>
        </w:rPr>
        <w:t>Staphylococcus aureus</w:t>
      </w:r>
      <w:r>
        <w:rPr>
          <w:rFonts w:ascii="Arial" w:eastAsia="Arial" w:hAnsi="Arial" w:cs="Arial"/>
        </w:rPr>
        <w:t xml:space="preserve">, </w:t>
      </w:r>
      <w:r>
        <w:rPr>
          <w:rFonts w:ascii="Arial" w:eastAsia="Arial" w:hAnsi="Arial" w:cs="Arial"/>
          <w:i/>
          <w:iCs/>
        </w:rPr>
        <w:t>Escherichia coli</w:t>
      </w:r>
      <w:r>
        <w:rPr>
          <w:rFonts w:ascii="Arial" w:eastAsia="Arial" w:hAnsi="Arial" w:cs="Arial"/>
        </w:rPr>
        <w:t xml:space="preserve">, </w:t>
      </w:r>
      <w:r>
        <w:rPr>
          <w:rFonts w:ascii="Arial" w:eastAsia="Arial" w:hAnsi="Arial" w:cs="Arial"/>
          <w:i/>
          <w:iCs/>
        </w:rPr>
        <w:t>Pseudomonas aeruginosa</w:t>
      </w:r>
      <w:r>
        <w:rPr>
          <w:rFonts w:ascii="Arial" w:eastAsia="Arial" w:hAnsi="Arial" w:cs="Arial"/>
        </w:rPr>
        <w:t xml:space="preserve">, and </w:t>
      </w:r>
      <w:r>
        <w:rPr>
          <w:rFonts w:ascii="Arial" w:eastAsia="Arial" w:hAnsi="Arial" w:cs="Arial"/>
          <w:i/>
          <w:iCs/>
        </w:rPr>
        <w:t>Klebsiella   pneumoniae</w:t>
      </w:r>
      <w:r>
        <w:rPr>
          <w:rFonts w:ascii="Arial" w:eastAsia="Arial" w:hAnsi="Arial" w:cs="Arial"/>
        </w:rPr>
        <w:t>—all of which possess varying degrees of pathogenic potential and antimicrobial resistance (</w:t>
      </w:r>
      <w:r w:rsidR="00F57D6E">
        <w:rPr>
          <w:rFonts w:ascii="Arial" w:eastAsia="Arial" w:hAnsi="Arial" w:cs="Arial"/>
        </w:rPr>
        <w:t>2</w:t>
      </w:r>
      <w:r>
        <w:rPr>
          <w:rFonts w:ascii="Arial" w:eastAsia="Arial" w:hAnsi="Arial" w:cs="Arial"/>
        </w:rPr>
        <w:t>). These microorganisms are not only capable of surviving on dry surfaces for extended periods but also often form biofilms that protect them from desiccation and disinfection (</w:t>
      </w:r>
      <w:r w:rsidR="00F57D6E">
        <w:rPr>
          <w:rFonts w:ascii="Arial" w:eastAsia="Arial" w:hAnsi="Arial" w:cs="Arial"/>
        </w:rPr>
        <w:t>8</w:t>
      </w:r>
      <w:r>
        <w:rPr>
          <w:rFonts w:ascii="Arial" w:eastAsia="Arial" w:hAnsi="Arial" w:cs="Arial"/>
        </w:rPr>
        <w:t>). Biofilm-producing strains are notably harder to eradicate and are more likely to exhibit resistance to a broad spectrum of antibiotics, posing a significant threat in shared public spaces (</w:t>
      </w:r>
      <w:r w:rsidR="00F57D6E">
        <w:rPr>
          <w:rFonts w:ascii="Arial" w:eastAsia="Arial" w:hAnsi="Arial" w:cs="Arial"/>
        </w:rPr>
        <w:t>6</w:t>
      </w:r>
      <w:r>
        <w:rPr>
          <w:rFonts w:ascii="Arial" w:eastAsia="Arial" w:hAnsi="Arial" w:cs="Arial"/>
        </w:rPr>
        <w:t>).</w:t>
      </w:r>
    </w:p>
    <w:p w14:paraId="04CB00B5" w14:textId="449B57C8" w:rsidR="00B76B9D" w:rsidRDefault="00BB408C">
      <w:pPr>
        <w:jc w:val="both"/>
        <w:rPr>
          <w:rFonts w:ascii="Arial" w:eastAsia="Arial" w:hAnsi="Arial" w:cs="Arial"/>
        </w:rPr>
      </w:pPr>
      <w:r>
        <w:rPr>
          <w:rFonts w:ascii="Arial" w:eastAsia="Arial" w:hAnsi="Arial" w:cs="Arial"/>
        </w:rPr>
        <w:t xml:space="preserve">The persistence of these pathogens on stair railings and other high-touch surfaces necessitates ongoing antimicrobial surveillance. Antimicrobial resistance (AMR) among environmental bacteria is an </w:t>
      </w:r>
      <w:r w:rsidR="0021217F">
        <w:rPr>
          <w:rFonts w:ascii="Arial" w:eastAsia="Arial" w:hAnsi="Arial" w:cs="Arial"/>
        </w:rPr>
        <w:t>growing</w:t>
      </w:r>
      <w:r>
        <w:rPr>
          <w:rFonts w:ascii="Arial" w:eastAsia="Arial" w:hAnsi="Arial" w:cs="Arial"/>
        </w:rPr>
        <w:t xml:space="preserve"> global issue, exacerbated by factors such as </w:t>
      </w:r>
      <w:r w:rsidR="0021217F">
        <w:rPr>
          <w:rFonts w:ascii="Arial" w:eastAsia="Arial" w:hAnsi="Arial" w:cs="Arial"/>
        </w:rPr>
        <w:t>inadequate</w:t>
      </w:r>
      <w:r>
        <w:rPr>
          <w:rFonts w:ascii="Arial" w:eastAsia="Arial" w:hAnsi="Arial" w:cs="Arial"/>
        </w:rPr>
        <w:t xml:space="preserve"> sanitation, </w:t>
      </w:r>
      <w:proofErr w:type="gramStart"/>
      <w:r w:rsidR="0021217F">
        <w:rPr>
          <w:rFonts w:ascii="Arial" w:eastAsia="Arial" w:hAnsi="Arial" w:cs="Arial"/>
        </w:rPr>
        <w:t xml:space="preserve">excessive </w:t>
      </w:r>
      <w:r>
        <w:rPr>
          <w:rFonts w:ascii="Arial" w:eastAsia="Arial" w:hAnsi="Arial" w:cs="Arial"/>
        </w:rPr>
        <w:t xml:space="preserve"> antibiotics</w:t>
      </w:r>
      <w:proofErr w:type="gramEnd"/>
      <w:r w:rsidR="0021217F">
        <w:rPr>
          <w:rFonts w:ascii="Arial" w:eastAsia="Arial" w:hAnsi="Arial" w:cs="Arial"/>
        </w:rPr>
        <w:t xml:space="preserve"> use</w:t>
      </w:r>
      <w:r>
        <w:rPr>
          <w:rFonts w:ascii="Arial" w:eastAsia="Arial" w:hAnsi="Arial" w:cs="Arial"/>
        </w:rPr>
        <w:t xml:space="preserve">, and </w:t>
      </w:r>
      <w:r w:rsidR="0021217F">
        <w:rPr>
          <w:rFonts w:ascii="Arial" w:eastAsia="Arial" w:hAnsi="Arial" w:cs="Arial"/>
        </w:rPr>
        <w:t xml:space="preserve">a </w:t>
      </w:r>
      <w:r>
        <w:rPr>
          <w:rFonts w:ascii="Arial" w:eastAsia="Arial" w:hAnsi="Arial" w:cs="Arial"/>
        </w:rPr>
        <w:t>lack of targeted disinfection protocols (</w:t>
      </w:r>
      <w:r w:rsidR="00F57D6E">
        <w:rPr>
          <w:rFonts w:ascii="Arial" w:eastAsia="Arial" w:hAnsi="Arial" w:cs="Arial"/>
        </w:rPr>
        <w:t>3</w:t>
      </w:r>
      <w:r>
        <w:rPr>
          <w:rFonts w:ascii="Arial" w:eastAsia="Arial" w:hAnsi="Arial" w:cs="Arial"/>
        </w:rPr>
        <w:t>). As bacteria adapt to selective pressures in their environments, they develop resistance mechanisms that diminish the efficacy of commonly used antimicrobial agents (</w:t>
      </w:r>
      <w:r w:rsidR="00F57D6E">
        <w:rPr>
          <w:rFonts w:ascii="Arial" w:eastAsia="Arial" w:hAnsi="Arial" w:cs="Arial"/>
        </w:rPr>
        <w:t>2</w:t>
      </w:r>
      <w:r>
        <w:rPr>
          <w:rFonts w:ascii="Arial" w:eastAsia="Arial" w:hAnsi="Arial" w:cs="Arial"/>
        </w:rPr>
        <w:t>).</w:t>
      </w:r>
    </w:p>
    <w:p w14:paraId="7AE6DAB8" w14:textId="42752A40" w:rsidR="00B76B9D" w:rsidRDefault="00BB408C">
      <w:pPr>
        <w:jc w:val="both"/>
        <w:rPr>
          <w:rFonts w:ascii="Arial" w:eastAsia="Arial" w:hAnsi="Arial" w:cs="Arial"/>
        </w:rPr>
      </w:pPr>
      <w:r>
        <w:rPr>
          <w:rFonts w:ascii="Arial" w:eastAsia="Arial" w:hAnsi="Arial" w:cs="Arial"/>
        </w:rPr>
        <w:t>Antimicrobial susceptibility testing (AST) remains a cornerstone of microbiological investigation in both clinical and environmental microbiology. Techniques like the Kirby-Bauer disk diffusion method are essential for determining resistance patterns in isolates from communal surfaces (</w:t>
      </w:r>
      <w:r w:rsidR="00F57D6E">
        <w:rPr>
          <w:rFonts w:ascii="Arial" w:eastAsia="Arial" w:hAnsi="Arial" w:cs="Arial"/>
        </w:rPr>
        <w:t>9</w:t>
      </w:r>
      <w:r>
        <w:rPr>
          <w:rFonts w:ascii="Arial" w:eastAsia="Arial" w:hAnsi="Arial" w:cs="Arial"/>
        </w:rPr>
        <w:t>). These tests provide valuable insights into the prevalence of resistant strains and inform the selection of appropriate cleaning agents and antibiotics for potential treatment interventions in outbreak scenarios (</w:t>
      </w:r>
      <w:r w:rsidR="00F57D6E">
        <w:rPr>
          <w:rFonts w:ascii="Arial" w:eastAsia="Arial" w:hAnsi="Arial" w:cs="Arial"/>
        </w:rPr>
        <w:t>4</w:t>
      </w:r>
      <w:r>
        <w:rPr>
          <w:rFonts w:ascii="Arial" w:eastAsia="Arial" w:hAnsi="Arial" w:cs="Arial"/>
        </w:rPr>
        <w:t>).</w:t>
      </w:r>
    </w:p>
    <w:p w14:paraId="0561C32D" w14:textId="5C942E2B" w:rsidR="00B76B9D" w:rsidRDefault="00BB408C">
      <w:pPr>
        <w:jc w:val="both"/>
        <w:rPr>
          <w:rFonts w:ascii="Arial" w:eastAsia="Arial" w:hAnsi="Arial" w:cs="Arial"/>
        </w:rPr>
      </w:pPr>
      <w:r>
        <w:rPr>
          <w:rFonts w:ascii="Arial" w:eastAsia="Arial" w:hAnsi="Arial" w:cs="Arial"/>
        </w:rPr>
        <w:t>Moreover, the integration of antimicrobial agents such as silver or copper into coatings for high-touch surfaces has been proposed as a proactive strategy to mitigate contamination (</w:t>
      </w:r>
      <w:r w:rsidR="00F57D6E">
        <w:rPr>
          <w:rFonts w:ascii="Arial" w:eastAsia="Arial" w:hAnsi="Arial" w:cs="Arial"/>
        </w:rPr>
        <w:t>8</w:t>
      </w:r>
      <w:r>
        <w:rPr>
          <w:rFonts w:ascii="Arial" w:eastAsia="Arial" w:hAnsi="Arial" w:cs="Arial"/>
        </w:rPr>
        <w:t>). However, while promising, these materials do not replace the need for routine hygiene practices and surveillance. The reality remains that antimicrobial coatings, though beneficial, must be supplemented by regular cleaning protocols and public education on hand hygiene (</w:t>
      </w:r>
      <w:r w:rsidR="00F57D6E">
        <w:rPr>
          <w:rFonts w:ascii="Arial" w:eastAsia="Arial" w:hAnsi="Arial" w:cs="Arial"/>
        </w:rPr>
        <w:t>5</w:t>
      </w:r>
      <w:r>
        <w:rPr>
          <w:rFonts w:ascii="Arial" w:eastAsia="Arial" w:hAnsi="Arial" w:cs="Arial"/>
        </w:rPr>
        <w:t>).</w:t>
      </w:r>
    </w:p>
    <w:p w14:paraId="1289526B" w14:textId="227CD840" w:rsidR="00B76B9D" w:rsidRDefault="00BB408C">
      <w:pPr>
        <w:jc w:val="both"/>
        <w:rPr>
          <w:rFonts w:ascii="Arial" w:eastAsia="Arial" w:hAnsi="Arial" w:cs="Arial"/>
        </w:rPr>
      </w:pPr>
      <w:r>
        <w:rPr>
          <w:rFonts w:ascii="Arial" w:eastAsia="Arial" w:hAnsi="Arial" w:cs="Arial"/>
        </w:rPr>
        <w:lastRenderedPageBreak/>
        <w:t>Environmental sampling of stair railings has revealed that a significant proportion of isolates are resistant to multiple antibiotics, a trend consistent across hospital environments and public facilities (</w:t>
      </w:r>
      <w:r w:rsidR="00F57D6E">
        <w:rPr>
          <w:rFonts w:ascii="Arial" w:eastAsia="Arial" w:hAnsi="Arial" w:cs="Arial"/>
        </w:rPr>
        <w:t>3</w:t>
      </w:r>
      <w:r>
        <w:rPr>
          <w:rFonts w:ascii="Arial" w:eastAsia="Arial" w:hAnsi="Arial" w:cs="Arial"/>
        </w:rPr>
        <w:t>). This includes resistance to beta-lactams, aminoglycosides, and even last-resort agents like carbapenems, suggesting the emergence of environmental reservoirs of multidrug-resistant organisms (</w:t>
      </w:r>
      <w:r w:rsidR="00F57D6E">
        <w:rPr>
          <w:rFonts w:ascii="Arial" w:eastAsia="Arial" w:hAnsi="Arial" w:cs="Arial"/>
        </w:rPr>
        <w:t>2</w:t>
      </w:r>
      <w:r>
        <w:rPr>
          <w:rFonts w:ascii="Arial" w:eastAsia="Arial" w:hAnsi="Arial" w:cs="Arial"/>
        </w:rPr>
        <w:t>). The public health implications are profound,</w:t>
      </w:r>
      <w:r w:rsidR="00E934DC">
        <w:rPr>
          <w:rFonts w:ascii="Arial" w:eastAsia="Arial" w:hAnsi="Arial" w:cs="Arial"/>
        </w:rPr>
        <w:t xml:space="preserve"> </w:t>
      </w:r>
      <w:r w:rsidR="0021217F">
        <w:rPr>
          <w:rFonts w:ascii="Arial" w:eastAsia="Arial" w:hAnsi="Arial" w:cs="Arial"/>
        </w:rPr>
        <w:t>especially in environment</w:t>
      </w:r>
      <w:r w:rsidR="00E934DC">
        <w:rPr>
          <w:rFonts w:ascii="Arial" w:eastAsia="Arial" w:hAnsi="Arial" w:cs="Arial"/>
        </w:rPr>
        <w:t>s</w:t>
      </w:r>
      <w:r w:rsidR="0021217F">
        <w:rPr>
          <w:rFonts w:ascii="Arial" w:eastAsia="Arial" w:hAnsi="Arial" w:cs="Arial"/>
        </w:rPr>
        <w:t xml:space="preserve"> were individuals are in close physical proximity and frequently interact with shared </w:t>
      </w:r>
      <w:r w:rsidR="00E934DC">
        <w:rPr>
          <w:rFonts w:ascii="Arial" w:eastAsia="Arial" w:hAnsi="Arial" w:cs="Arial"/>
        </w:rPr>
        <w:t xml:space="preserve">surfaces. </w:t>
      </w:r>
    </w:p>
    <w:p w14:paraId="392B87C5" w14:textId="77777777" w:rsidR="00B76B9D" w:rsidRDefault="00BB408C">
      <w:pPr>
        <w:jc w:val="both"/>
        <w:rPr>
          <w:rFonts w:ascii="Arial" w:eastAsia="Arial" w:hAnsi="Arial" w:cs="Arial"/>
        </w:rPr>
      </w:pPr>
      <w:r>
        <w:rPr>
          <w:rFonts w:ascii="Arial" w:eastAsia="Arial" w:hAnsi="Arial" w:cs="Arial"/>
        </w:rPr>
        <w:t>Stair railings represent a critical but under-recognized space for microbial contamination and the transmission of antimicrobial-resistant pathogens. Given the growing threat of AMR, comprehensive environmental surveillance and resistance profiling of microbes on communal surfaces are imperative. These measures will support global efforts to curb the spread of resistant organisms and ensure safer public spaces through informed hygiene policies and effective sanitation practices.</w:t>
      </w:r>
    </w:p>
    <w:p w14:paraId="5604738C" w14:textId="77777777" w:rsidR="00B76B9D" w:rsidRDefault="00BB408C">
      <w:pPr>
        <w:rPr>
          <w:rFonts w:ascii="Arial" w:eastAsia="Arial" w:hAnsi="Arial" w:cs="Arial"/>
          <w:b/>
          <w:bCs/>
        </w:rPr>
      </w:pPr>
      <w:r>
        <w:rPr>
          <w:rFonts w:ascii="Arial" w:eastAsia="Arial" w:hAnsi="Arial" w:cs="Arial"/>
          <w:b/>
          <w:bCs/>
        </w:rPr>
        <w:t>Materials and Methods</w:t>
      </w:r>
    </w:p>
    <w:p w14:paraId="03D199AE" w14:textId="2A371C21" w:rsidR="00B76B9D" w:rsidRDefault="00BB408C">
      <w:pPr>
        <w:jc w:val="both"/>
        <w:rPr>
          <w:rFonts w:ascii="Arial" w:eastAsia="Arial" w:hAnsi="Arial" w:cs="Arial"/>
        </w:rPr>
      </w:pPr>
      <w:bookmarkStart w:id="0" w:name="_we7lbmxpe7e" w:colFirst="0" w:colLast="0"/>
      <w:bookmarkEnd w:id="0"/>
      <w:r>
        <w:rPr>
          <w:rFonts w:ascii="Arial" w:eastAsia="Arial" w:hAnsi="Arial" w:cs="Arial"/>
        </w:rPr>
        <w:t xml:space="preserve">This study was carried out between August to December 2025 on various story buildings in a government </w:t>
      </w:r>
      <w:r w:rsidR="00E934DC">
        <w:rPr>
          <w:rFonts w:ascii="Arial" w:eastAsia="Arial" w:hAnsi="Arial" w:cs="Arial"/>
        </w:rPr>
        <w:t>publ</w:t>
      </w:r>
      <w:r>
        <w:rPr>
          <w:rFonts w:ascii="Arial" w:eastAsia="Arial" w:hAnsi="Arial" w:cs="Arial"/>
        </w:rPr>
        <w:t>ic hospital after obtaining ethical clearance.   Samples were collected on stair railings across several story buildings like Admin block, O and G building, lab complex, Record building, orthopaedic block, Casualty building and NHIS building. Samples were collected once, early in the morning before any cleaning activities. A total of 46 stair rails were swabbed and cultured for bacteria isolation. Sterile swab sticks moistened in 1ml of sterile normal saline was used to swab a standardized area of 10 cm × 10 cm of each stair rail.  Each swab was carefully labelled and sent to the laboratory for culturing. Upon arrival at the laboratory, swabs were streaked onto the following selective and differential media:</w:t>
      </w:r>
    </w:p>
    <w:p w14:paraId="1B015732" w14:textId="77777777" w:rsidR="00B76B9D" w:rsidRDefault="00BB408C">
      <w:pPr>
        <w:numPr>
          <w:ilvl w:val="0"/>
          <w:numId w:val="1"/>
        </w:numPr>
        <w:spacing w:after="0" w:line="240" w:lineRule="auto"/>
        <w:jc w:val="both"/>
      </w:pPr>
      <w:r>
        <w:rPr>
          <w:rFonts w:ascii="Arial" w:eastAsia="Arial" w:hAnsi="Arial" w:cs="Arial"/>
        </w:rPr>
        <w:t>MacConkey Agar – for isolation of enteric bacteria</w:t>
      </w:r>
    </w:p>
    <w:p w14:paraId="1D7AC85F" w14:textId="77777777" w:rsidR="00B76B9D" w:rsidRDefault="00BB408C">
      <w:pPr>
        <w:numPr>
          <w:ilvl w:val="0"/>
          <w:numId w:val="1"/>
        </w:numPr>
        <w:spacing w:after="0" w:line="240" w:lineRule="auto"/>
        <w:jc w:val="both"/>
      </w:pPr>
      <w:r>
        <w:rPr>
          <w:rFonts w:ascii="Arial" w:eastAsia="Arial" w:hAnsi="Arial" w:cs="Arial"/>
        </w:rPr>
        <w:t xml:space="preserve">Blood Agar – for fastidious organisms and to observe </w:t>
      </w:r>
      <w:proofErr w:type="spellStart"/>
      <w:r>
        <w:rPr>
          <w:rFonts w:ascii="Arial" w:eastAsia="Arial" w:hAnsi="Arial" w:cs="Arial"/>
        </w:rPr>
        <w:t>hemolysis</w:t>
      </w:r>
      <w:proofErr w:type="spellEnd"/>
      <w:r>
        <w:rPr>
          <w:rFonts w:ascii="Arial" w:eastAsia="Arial" w:hAnsi="Arial" w:cs="Arial"/>
        </w:rPr>
        <w:t xml:space="preserve"> patterns</w:t>
      </w:r>
    </w:p>
    <w:p w14:paraId="0A65A8A0" w14:textId="77777777" w:rsidR="00B76B9D" w:rsidRDefault="00BB408C">
      <w:pPr>
        <w:numPr>
          <w:ilvl w:val="0"/>
          <w:numId w:val="1"/>
        </w:numPr>
        <w:spacing w:after="0" w:line="240" w:lineRule="auto"/>
        <w:jc w:val="both"/>
      </w:pPr>
      <w:r>
        <w:rPr>
          <w:rFonts w:ascii="Arial" w:eastAsia="Arial" w:hAnsi="Arial" w:cs="Arial"/>
        </w:rPr>
        <w:t xml:space="preserve">Klinger iron agar – for various </w:t>
      </w:r>
      <w:proofErr w:type="spellStart"/>
      <w:r>
        <w:rPr>
          <w:rFonts w:ascii="Arial" w:eastAsia="Arial" w:hAnsi="Arial" w:cs="Arial"/>
        </w:rPr>
        <w:t>enterobacteriaceae</w:t>
      </w:r>
      <w:proofErr w:type="spellEnd"/>
    </w:p>
    <w:p w14:paraId="7902B9DE" w14:textId="77777777" w:rsidR="00B76B9D" w:rsidRDefault="00BB408C">
      <w:pPr>
        <w:numPr>
          <w:ilvl w:val="0"/>
          <w:numId w:val="1"/>
        </w:numPr>
        <w:spacing w:after="0" w:line="240" w:lineRule="auto"/>
        <w:jc w:val="both"/>
      </w:pPr>
      <w:r>
        <w:rPr>
          <w:rFonts w:ascii="Arial" w:eastAsia="Arial" w:hAnsi="Arial" w:cs="Arial"/>
        </w:rPr>
        <w:t>Nutrient agar – for antimicrobial susceptibility testing</w:t>
      </w:r>
    </w:p>
    <w:p w14:paraId="78A17F3E" w14:textId="478FD91A" w:rsidR="00B76B9D" w:rsidRDefault="00BB408C">
      <w:pPr>
        <w:spacing w:after="0"/>
        <w:jc w:val="both"/>
        <w:rPr>
          <w:rFonts w:ascii="Arial" w:eastAsia="Arial" w:hAnsi="Arial" w:cs="Arial"/>
        </w:rPr>
      </w:pPr>
      <w:r>
        <w:rPr>
          <w:rFonts w:ascii="Arial" w:eastAsia="Arial" w:hAnsi="Arial" w:cs="Arial"/>
        </w:rPr>
        <w:t>Plates were incubated at 37°C for 24 hours under aerobic conditions. Morphological features (colony shape, size, pigmentation) and Gram staining w</w:t>
      </w:r>
      <w:r w:rsidR="00E934DC">
        <w:rPr>
          <w:rFonts w:ascii="Arial" w:eastAsia="Arial" w:hAnsi="Arial" w:cs="Arial"/>
        </w:rPr>
        <w:t>ere</w:t>
      </w:r>
      <w:r>
        <w:rPr>
          <w:rFonts w:ascii="Arial" w:eastAsia="Arial" w:hAnsi="Arial" w:cs="Arial"/>
        </w:rPr>
        <w:t xml:space="preserve"> performed, followed by a battery of biochemical tests, including:</w:t>
      </w:r>
    </w:p>
    <w:p w14:paraId="669B68A1" w14:textId="77777777" w:rsidR="00B76B9D" w:rsidRDefault="00BB408C">
      <w:pPr>
        <w:numPr>
          <w:ilvl w:val="0"/>
          <w:numId w:val="2"/>
        </w:numPr>
        <w:spacing w:after="0"/>
        <w:jc w:val="both"/>
      </w:pPr>
      <w:r>
        <w:rPr>
          <w:rFonts w:ascii="Arial" w:eastAsia="Arial" w:hAnsi="Arial" w:cs="Arial"/>
        </w:rPr>
        <w:t>Catalase and Coagulase Test</w:t>
      </w:r>
    </w:p>
    <w:p w14:paraId="7309D31C" w14:textId="77777777" w:rsidR="00B76B9D" w:rsidRDefault="00BB408C">
      <w:pPr>
        <w:numPr>
          <w:ilvl w:val="0"/>
          <w:numId w:val="2"/>
        </w:numPr>
        <w:spacing w:after="0"/>
        <w:jc w:val="both"/>
      </w:pPr>
      <w:r>
        <w:rPr>
          <w:rFonts w:ascii="Arial" w:eastAsia="Arial" w:hAnsi="Arial" w:cs="Arial"/>
        </w:rPr>
        <w:t>Oxidase test</w:t>
      </w:r>
    </w:p>
    <w:p w14:paraId="5AF4C538" w14:textId="77777777" w:rsidR="00B76B9D" w:rsidRDefault="00BB408C">
      <w:pPr>
        <w:numPr>
          <w:ilvl w:val="0"/>
          <w:numId w:val="2"/>
        </w:numPr>
        <w:spacing w:after="0"/>
        <w:jc w:val="both"/>
      </w:pPr>
      <w:r>
        <w:rPr>
          <w:rFonts w:ascii="Arial" w:eastAsia="Arial" w:hAnsi="Arial" w:cs="Arial"/>
        </w:rPr>
        <w:t>Motility test</w:t>
      </w:r>
    </w:p>
    <w:p w14:paraId="7B3ECC7B" w14:textId="77777777" w:rsidR="00B76B9D" w:rsidRDefault="00BB408C">
      <w:pPr>
        <w:numPr>
          <w:ilvl w:val="0"/>
          <w:numId w:val="2"/>
        </w:numPr>
        <w:spacing w:after="0"/>
        <w:jc w:val="both"/>
      </w:pPr>
      <w:r>
        <w:rPr>
          <w:rFonts w:ascii="Arial" w:eastAsia="Arial" w:hAnsi="Arial" w:cs="Arial"/>
        </w:rPr>
        <w:t>Indole test</w:t>
      </w:r>
    </w:p>
    <w:p w14:paraId="33379467" w14:textId="77777777" w:rsidR="00B76B9D" w:rsidRDefault="00BB408C">
      <w:pPr>
        <w:numPr>
          <w:ilvl w:val="0"/>
          <w:numId w:val="2"/>
        </w:numPr>
        <w:spacing w:after="0"/>
        <w:jc w:val="both"/>
      </w:pPr>
      <w:r>
        <w:rPr>
          <w:rFonts w:ascii="Arial" w:eastAsia="Arial" w:hAnsi="Arial" w:cs="Arial"/>
        </w:rPr>
        <w:t>Urease test</w:t>
      </w:r>
    </w:p>
    <w:p w14:paraId="764507DC" w14:textId="1CE7CA94" w:rsidR="00B76B9D" w:rsidRDefault="00BB408C">
      <w:pPr>
        <w:jc w:val="both"/>
        <w:rPr>
          <w:rFonts w:ascii="Arial" w:eastAsia="Arial" w:hAnsi="Arial" w:cs="Arial"/>
        </w:rPr>
      </w:pPr>
      <w:r>
        <w:rPr>
          <w:rFonts w:ascii="Arial" w:eastAsia="Arial" w:hAnsi="Arial" w:cs="Arial"/>
        </w:rPr>
        <w:t xml:space="preserve">The Kirby-Bauer disk diffusion method, was employed to assess the antimicrobial susceptibility of bacterial isolates obtained from stair rails. A pure bacterial colony from each isolate was emulsified in sterile normal saline and adjusted to match the 0.5 McFarland turbidity standard (approximately 1.5 × 10⁸ CFU/mL). This ensures a standardized inoculum density for consistent and reproducible results. A sterile cotton swab dipped in the standardized inoculum was used to evenly spread the bacteria across the surface of </w:t>
      </w:r>
      <w:r w:rsidR="00E934DC">
        <w:rPr>
          <w:rFonts w:ascii="Arial" w:eastAsia="Arial" w:hAnsi="Arial" w:cs="Arial"/>
        </w:rPr>
        <w:t xml:space="preserve">the </w:t>
      </w:r>
      <w:r>
        <w:rPr>
          <w:rFonts w:ascii="Arial" w:eastAsia="Arial" w:hAnsi="Arial" w:cs="Arial"/>
        </w:rPr>
        <w:t>Nutrient agar plate. After 15 minutes of drying, antibiotic-impregnated disks were aseptically placed on the agar using sterile forceps, ensuring adequate spacing to prevent overlapping zones of inhibition.</w:t>
      </w:r>
    </w:p>
    <w:p w14:paraId="514B77F6" w14:textId="77777777" w:rsidR="00B76B9D" w:rsidRDefault="00B76B9D">
      <w:pPr>
        <w:jc w:val="both"/>
        <w:rPr>
          <w:rFonts w:ascii="Arial" w:eastAsia="Arial" w:hAnsi="Arial" w:cs="Arial"/>
        </w:rPr>
      </w:pPr>
    </w:p>
    <w:p w14:paraId="5745E7B7" w14:textId="29F074A3" w:rsidR="00B76B9D" w:rsidRDefault="00B72217">
      <w:pPr>
        <w:jc w:val="both"/>
        <w:rPr>
          <w:rFonts w:ascii="Arial" w:eastAsia="Arial" w:hAnsi="Arial" w:cs="Arial"/>
        </w:rPr>
      </w:pPr>
      <w:r>
        <w:rPr>
          <w:rFonts w:ascii="Arial" w:eastAsia="Arial" w:hAnsi="Arial" w:cs="Arial"/>
        </w:rPr>
        <w:t xml:space="preserve">List 1. </w:t>
      </w:r>
      <w:r w:rsidR="00BB408C">
        <w:rPr>
          <w:rFonts w:ascii="Arial" w:eastAsia="Arial" w:hAnsi="Arial" w:cs="Arial"/>
        </w:rPr>
        <w:t>The following commonly prescribed antibiotics were tested:</w:t>
      </w:r>
      <w:r w:rsidR="00BB408C">
        <w:rPr>
          <w:noProof/>
        </w:rPr>
        <mc:AlternateContent>
          <mc:Choice Requires="wps">
            <w:drawing>
              <wp:anchor distT="0" distB="0" distL="114300" distR="114300" simplePos="0" relativeHeight="251658240" behindDoc="0" locked="0" layoutInCell="1" hidden="0" allowOverlap="1" wp14:anchorId="3E971328" wp14:editId="44C6CB35">
                <wp:simplePos x="0" y="0"/>
                <wp:positionH relativeFrom="column">
                  <wp:posOffset>-199389</wp:posOffset>
                </wp:positionH>
                <wp:positionV relativeFrom="paragraph">
                  <wp:posOffset>426720</wp:posOffset>
                </wp:positionV>
                <wp:extent cx="6277482" cy="15368"/>
                <wp:effectExtent l="0" t="0" r="28575" b="22860"/>
                <wp:wrapNone/>
                <wp:docPr id="3" name="Straight Connector 3"/>
                <wp:cNvGraphicFramePr/>
                <a:graphic xmlns:a="http://schemas.openxmlformats.org/drawingml/2006/main">
                  <a:graphicData uri="http://schemas.microsoft.com/office/word/2010/wordprocessingShape">
                    <wps:wsp>
                      <wps:cNvCnPr/>
                      <wps:spPr>
                        <a:xfrm flipV="1">
                          <a:off x="0" y="0"/>
                          <a:ext cx="6277482" cy="153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-199389</wp:posOffset>
                </wp:positionH>
                <wp:positionV relativeFrom="paragraph">
                  <wp:posOffset>426720</wp:posOffset>
                </wp:positionV>
                <wp:extent cx="6306057" cy="38228"/>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306057" cy="38228"/>
                        </a:xfrm>
                        <a:prstGeom prst="rect"/>
                        <a:ln/>
                      </pic:spPr>
                    </pic:pic>
                  </a:graphicData>
                </a:graphic>
              </wp:anchor>
            </w:drawing>
          </mc:Fallback>
        </mc:AlternateContent>
      </w:r>
    </w:p>
    <w:p w14:paraId="2FD73F08" w14:textId="77777777" w:rsidR="00B76B9D" w:rsidRDefault="00BB408C">
      <w:pPr>
        <w:jc w:val="both"/>
        <w:rPr>
          <w:rFonts w:ascii="Arial" w:eastAsia="Arial" w:hAnsi="Arial" w:cs="Arial"/>
        </w:rPr>
      </w:pPr>
      <w:r>
        <w:rPr>
          <w:rFonts w:ascii="Arial" w:eastAsia="Arial" w:hAnsi="Arial" w:cs="Arial"/>
        </w:rPr>
        <w:lastRenderedPageBreak/>
        <w:t xml:space="preserve">                                                   Sensitive(</w:t>
      </w:r>
      <w:proofErr w:type="gramStart"/>
      <w:r>
        <w:rPr>
          <w:rFonts w:ascii="Arial" w:eastAsia="Arial" w:hAnsi="Arial" w:cs="Arial"/>
        </w:rPr>
        <w:t xml:space="preserve">s)   </w:t>
      </w:r>
      <w:proofErr w:type="gramEnd"/>
      <w:r>
        <w:rPr>
          <w:rFonts w:ascii="Arial" w:eastAsia="Arial" w:hAnsi="Arial" w:cs="Arial"/>
        </w:rPr>
        <w:t xml:space="preserve">                  Moderate                        Resistance </w:t>
      </w:r>
    </w:p>
    <w:p w14:paraId="6F99F0CB" w14:textId="77777777" w:rsidR="00B76B9D" w:rsidRDefault="00BB408C">
      <w:pPr>
        <w:jc w:val="both"/>
        <w:rPr>
          <w:rFonts w:ascii="Arial" w:eastAsia="Arial" w:hAnsi="Arial" w:cs="Arial"/>
        </w:rPr>
      </w:pPr>
      <w:r>
        <w:rPr>
          <w:rFonts w:ascii="Arial" w:eastAsia="Arial" w:hAnsi="Arial" w:cs="Arial"/>
        </w:rPr>
        <w:t xml:space="preserve">                                                        Mm                                 </w:t>
      </w:r>
      <w:proofErr w:type="spellStart"/>
      <w:r>
        <w:rPr>
          <w:rFonts w:ascii="Arial" w:eastAsia="Arial" w:hAnsi="Arial" w:cs="Arial"/>
        </w:rPr>
        <w:t>mm</w:t>
      </w:r>
      <w:proofErr w:type="spellEnd"/>
      <w:r>
        <w:rPr>
          <w:rFonts w:ascii="Arial" w:eastAsia="Arial" w:hAnsi="Arial" w:cs="Arial"/>
        </w:rPr>
        <w:t xml:space="preserve">                                  </w:t>
      </w:r>
      <w:proofErr w:type="spellStart"/>
      <w:r>
        <w:rPr>
          <w:rFonts w:ascii="Arial" w:eastAsia="Arial" w:hAnsi="Arial" w:cs="Arial"/>
        </w:rPr>
        <w:t>mm</w:t>
      </w:r>
      <w:proofErr w:type="spellEnd"/>
      <w:r>
        <w:rPr>
          <w:noProof/>
        </w:rPr>
        <mc:AlternateContent>
          <mc:Choice Requires="wps">
            <w:drawing>
              <wp:anchor distT="0" distB="0" distL="114300" distR="114300" simplePos="0" relativeHeight="251659264" behindDoc="0" locked="0" layoutInCell="1" hidden="0" allowOverlap="1" wp14:anchorId="196E9CC1" wp14:editId="43804C30">
                <wp:simplePos x="0" y="0"/>
                <wp:positionH relativeFrom="column">
                  <wp:posOffset>-214629</wp:posOffset>
                </wp:positionH>
                <wp:positionV relativeFrom="paragraph">
                  <wp:posOffset>167640</wp:posOffset>
                </wp:positionV>
                <wp:extent cx="6292914" cy="0"/>
                <wp:effectExtent l="0" t="0" r="31750" b="19050"/>
                <wp:wrapNone/>
                <wp:docPr id="2" name="Straight Connector 2"/>
                <wp:cNvGraphicFramePr/>
                <a:graphic xmlns:a="http://schemas.openxmlformats.org/drawingml/2006/main">
                  <a:graphicData uri="http://schemas.microsoft.com/office/word/2010/wordprocessingShape">
                    <wps:wsp>
                      <wps:cNvCnPr/>
                      <wps:spPr>
                        <a:xfrm flipV="1">
                          <a:off x="0" y="0"/>
                          <a:ext cx="62929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-214629</wp:posOffset>
                </wp:positionH>
                <wp:positionV relativeFrom="paragraph">
                  <wp:posOffset>167640</wp:posOffset>
                </wp:positionV>
                <wp:extent cx="6324664" cy="19050"/>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324664" cy="19050"/>
                        </a:xfrm>
                        <a:prstGeom prst="rect"/>
                        <a:ln/>
                      </pic:spPr>
                    </pic:pic>
                  </a:graphicData>
                </a:graphic>
              </wp:anchor>
            </w:drawing>
          </mc:Fallback>
        </mc:AlternateContent>
      </w:r>
    </w:p>
    <w:p w14:paraId="7FB7823F" w14:textId="77777777" w:rsidR="00B76B9D" w:rsidRDefault="00BB408C">
      <w:pPr>
        <w:jc w:val="both"/>
        <w:rPr>
          <w:rFonts w:ascii="Arial" w:eastAsia="Arial" w:hAnsi="Arial" w:cs="Arial"/>
        </w:rPr>
      </w:pPr>
      <w:r>
        <w:rPr>
          <w:rFonts w:ascii="Arial" w:eastAsia="Arial" w:hAnsi="Arial" w:cs="Arial"/>
        </w:rPr>
        <w:t>Ceftazidime (30 µ</w:t>
      </w:r>
      <w:proofErr w:type="gramStart"/>
      <w:r>
        <w:rPr>
          <w:rFonts w:ascii="Arial" w:eastAsia="Arial" w:hAnsi="Arial" w:cs="Arial"/>
        </w:rPr>
        <w:t xml:space="preserve">g)   </w:t>
      </w:r>
      <w:proofErr w:type="gramEnd"/>
      <w:r>
        <w:rPr>
          <w:rFonts w:ascii="Arial" w:eastAsia="Arial" w:hAnsi="Arial" w:cs="Arial"/>
        </w:rPr>
        <w:t xml:space="preserve">                     ≥18                               14-17                                 ≤14</w:t>
      </w:r>
    </w:p>
    <w:p w14:paraId="3E0C974F" w14:textId="77777777" w:rsidR="00B76B9D" w:rsidRDefault="00BB408C">
      <w:pPr>
        <w:jc w:val="both"/>
        <w:rPr>
          <w:rFonts w:ascii="Arial" w:eastAsia="Arial" w:hAnsi="Arial" w:cs="Arial"/>
        </w:rPr>
      </w:pPr>
      <w:r>
        <w:rPr>
          <w:rFonts w:ascii="Arial" w:eastAsia="Arial" w:hAnsi="Arial" w:cs="Arial"/>
        </w:rPr>
        <w:t>Cefuroxime (30 µ</w:t>
      </w:r>
      <w:proofErr w:type="gramStart"/>
      <w:r>
        <w:rPr>
          <w:rFonts w:ascii="Arial" w:eastAsia="Arial" w:hAnsi="Arial" w:cs="Arial"/>
        </w:rPr>
        <w:t xml:space="preserve">g)   </w:t>
      </w:r>
      <w:proofErr w:type="gramEnd"/>
      <w:r>
        <w:rPr>
          <w:rFonts w:ascii="Arial" w:eastAsia="Arial" w:hAnsi="Arial" w:cs="Arial"/>
        </w:rPr>
        <w:t xml:space="preserve">                     ≥23                               15-22                                  ≤15</w:t>
      </w:r>
    </w:p>
    <w:p w14:paraId="04158540" w14:textId="77777777" w:rsidR="00B76B9D" w:rsidRDefault="00BB408C">
      <w:pPr>
        <w:jc w:val="both"/>
        <w:rPr>
          <w:rFonts w:ascii="Arial" w:eastAsia="Arial" w:hAnsi="Arial" w:cs="Arial"/>
        </w:rPr>
      </w:pPr>
      <w:r>
        <w:rPr>
          <w:rFonts w:ascii="Arial" w:eastAsia="Arial" w:hAnsi="Arial" w:cs="Arial"/>
        </w:rPr>
        <w:t>Ciprofloxacin (5 µ</w:t>
      </w:r>
      <w:proofErr w:type="gramStart"/>
      <w:r>
        <w:rPr>
          <w:rFonts w:ascii="Arial" w:eastAsia="Arial" w:hAnsi="Arial" w:cs="Arial"/>
        </w:rPr>
        <w:t xml:space="preserve">g)   </w:t>
      </w:r>
      <w:proofErr w:type="gramEnd"/>
      <w:r>
        <w:rPr>
          <w:rFonts w:ascii="Arial" w:eastAsia="Arial" w:hAnsi="Arial" w:cs="Arial"/>
        </w:rPr>
        <w:t xml:space="preserve">                    ≥21                               16-20                                  ≤11</w:t>
      </w:r>
    </w:p>
    <w:p w14:paraId="48A589AB" w14:textId="77777777" w:rsidR="00B76B9D" w:rsidRDefault="00BB408C">
      <w:pPr>
        <w:jc w:val="both"/>
        <w:rPr>
          <w:rFonts w:ascii="Arial" w:eastAsia="Arial" w:hAnsi="Arial" w:cs="Arial"/>
        </w:rPr>
      </w:pPr>
      <w:r>
        <w:rPr>
          <w:rFonts w:ascii="Arial" w:eastAsia="Arial" w:hAnsi="Arial" w:cs="Arial"/>
        </w:rPr>
        <w:t>Gentamicin (10 µ</w:t>
      </w:r>
      <w:proofErr w:type="gramStart"/>
      <w:r>
        <w:rPr>
          <w:rFonts w:ascii="Arial" w:eastAsia="Arial" w:hAnsi="Arial" w:cs="Arial"/>
        </w:rPr>
        <w:t xml:space="preserve">g)   </w:t>
      </w:r>
      <w:proofErr w:type="gramEnd"/>
      <w:r>
        <w:rPr>
          <w:rFonts w:ascii="Arial" w:eastAsia="Arial" w:hAnsi="Arial" w:cs="Arial"/>
        </w:rPr>
        <w:t xml:space="preserve">                     ≥15                                12-14                                  ≤13</w:t>
      </w:r>
    </w:p>
    <w:p w14:paraId="119F3F6A" w14:textId="77777777" w:rsidR="00B76B9D" w:rsidRDefault="00BB408C">
      <w:pPr>
        <w:jc w:val="both"/>
        <w:rPr>
          <w:rFonts w:ascii="Arial" w:eastAsia="Arial" w:hAnsi="Arial" w:cs="Arial"/>
        </w:rPr>
      </w:pPr>
      <w:r>
        <w:rPr>
          <w:rFonts w:ascii="Arial" w:eastAsia="Arial" w:hAnsi="Arial" w:cs="Arial"/>
        </w:rPr>
        <w:t>Erythromycin (5 µ</w:t>
      </w:r>
      <w:proofErr w:type="gramStart"/>
      <w:r>
        <w:rPr>
          <w:rFonts w:ascii="Arial" w:eastAsia="Arial" w:hAnsi="Arial" w:cs="Arial"/>
        </w:rPr>
        <w:t xml:space="preserve">g)   </w:t>
      </w:r>
      <w:proofErr w:type="gramEnd"/>
      <w:r>
        <w:rPr>
          <w:rFonts w:ascii="Arial" w:eastAsia="Arial" w:hAnsi="Arial" w:cs="Arial"/>
        </w:rPr>
        <w:t xml:space="preserve">                   ≥23                                 14-22                                  ≤13</w:t>
      </w:r>
    </w:p>
    <w:p w14:paraId="25507444" w14:textId="77777777" w:rsidR="00B76B9D" w:rsidRDefault="00BB408C">
      <w:pPr>
        <w:jc w:val="both"/>
        <w:rPr>
          <w:rFonts w:ascii="Arial" w:eastAsia="Arial" w:hAnsi="Arial" w:cs="Arial"/>
        </w:rPr>
      </w:pPr>
      <w:r>
        <w:rPr>
          <w:rFonts w:ascii="Arial" w:eastAsia="Arial" w:hAnsi="Arial" w:cs="Arial"/>
        </w:rPr>
        <w:t>Ceftriaxone (30 µ</w:t>
      </w:r>
      <w:proofErr w:type="gramStart"/>
      <w:r>
        <w:rPr>
          <w:rFonts w:ascii="Arial" w:eastAsia="Arial" w:hAnsi="Arial" w:cs="Arial"/>
        </w:rPr>
        <w:t xml:space="preserve">g)   </w:t>
      </w:r>
      <w:proofErr w:type="gramEnd"/>
      <w:r>
        <w:rPr>
          <w:rFonts w:ascii="Arial" w:eastAsia="Arial" w:hAnsi="Arial" w:cs="Arial"/>
        </w:rPr>
        <w:t xml:space="preserve">                    ≥18                                  14-17                                 ≤13</w:t>
      </w:r>
    </w:p>
    <w:p w14:paraId="1A89155E" w14:textId="77777777" w:rsidR="00B76B9D" w:rsidRDefault="00BB408C">
      <w:pPr>
        <w:jc w:val="both"/>
        <w:rPr>
          <w:rFonts w:ascii="Arial" w:eastAsia="Arial" w:hAnsi="Arial" w:cs="Arial"/>
        </w:rPr>
      </w:pPr>
      <w:r>
        <w:rPr>
          <w:rFonts w:ascii="Arial" w:eastAsia="Arial" w:hAnsi="Arial" w:cs="Arial"/>
        </w:rPr>
        <w:t>Augmentin (30 µ</w:t>
      </w:r>
      <w:proofErr w:type="gramStart"/>
      <w:r>
        <w:rPr>
          <w:rFonts w:ascii="Arial" w:eastAsia="Arial" w:hAnsi="Arial" w:cs="Arial"/>
        </w:rPr>
        <w:t xml:space="preserve">g)   </w:t>
      </w:r>
      <w:proofErr w:type="gramEnd"/>
      <w:r>
        <w:rPr>
          <w:rFonts w:ascii="Arial" w:eastAsia="Arial" w:hAnsi="Arial" w:cs="Arial"/>
        </w:rPr>
        <w:t xml:space="preserve">                     ≥18                                  14-17                                 ≤15</w:t>
      </w:r>
    </w:p>
    <w:p w14:paraId="180587A0" w14:textId="77777777" w:rsidR="00B76B9D" w:rsidRDefault="00BB408C">
      <w:pPr>
        <w:jc w:val="both"/>
        <w:rPr>
          <w:rFonts w:ascii="Arial" w:eastAsia="Arial" w:hAnsi="Arial" w:cs="Arial"/>
        </w:rPr>
      </w:pPr>
      <w:r>
        <w:rPr>
          <w:rFonts w:ascii="Arial" w:eastAsia="Arial" w:hAnsi="Arial" w:cs="Arial"/>
        </w:rPr>
        <w:t>Cefixime (5 µ</w:t>
      </w:r>
      <w:proofErr w:type="gramStart"/>
      <w:r>
        <w:rPr>
          <w:rFonts w:ascii="Arial" w:eastAsia="Arial" w:hAnsi="Arial" w:cs="Arial"/>
        </w:rPr>
        <w:t xml:space="preserve">g)   </w:t>
      </w:r>
      <w:proofErr w:type="gramEnd"/>
      <w:r>
        <w:rPr>
          <w:rFonts w:ascii="Arial" w:eastAsia="Arial" w:hAnsi="Arial" w:cs="Arial"/>
        </w:rPr>
        <w:t xml:space="preserve">                          ≥19                                  16-18                                 ≤13</w:t>
      </w:r>
    </w:p>
    <w:p w14:paraId="2730BBC0" w14:textId="77777777" w:rsidR="00B76B9D" w:rsidRDefault="00BB408C">
      <w:pPr>
        <w:jc w:val="both"/>
        <w:rPr>
          <w:rFonts w:ascii="Arial" w:eastAsia="Arial" w:hAnsi="Arial" w:cs="Arial"/>
        </w:rPr>
      </w:pPr>
      <w:r>
        <w:rPr>
          <w:rFonts w:ascii="Arial" w:eastAsia="Arial" w:hAnsi="Arial" w:cs="Arial"/>
        </w:rPr>
        <w:t>Nitrofurantoin (30 µ</w:t>
      </w:r>
      <w:proofErr w:type="gramStart"/>
      <w:r>
        <w:rPr>
          <w:rFonts w:ascii="Arial" w:eastAsia="Arial" w:hAnsi="Arial" w:cs="Arial"/>
        </w:rPr>
        <w:t xml:space="preserve">g)   </w:t>
      </w:r>
      <w:proofErr w:type="gramEnd"/>
      <w:r>
        <w:rPr>
          <w:rFonts w:ascii="Arial" w:eastAsia="Arial" w:hAnsi="Arial" w:cs="Arial"/>
        </w:rPr>
        <w:t xml:space="preserve">                ≥18                                  14-17                                 ≤13</w:t>
      </w:r>
    </w:p>
    <w:p w14:paraId="139F7830" w14:textId="77777777" w:rsidR="00B76B9D" w:rsidRDefault="00BB408C">
      <w:pPr>
        <w:jc w:val="both"/>
        <w:rPr>
          <w:rFonts w:ascii="Arial" w:eastAsia="Arial" w:hAnsi="Arial" w:cs="Arial"/>
        </w:rPr>
      </w:pPr>
      <w:r>
        <w:rPr>
          <w:rFonts w:ascii="Arial" w:eastAsia="Arial" w:hAnsi="Arial" w:cs="Arial"/>
        </w:rPr>
        <w:t>Ofloxacin (5µ</w:t>
      </w:r>
      <w:proofErr w:type="gramStart"/>
      <w:r>
        <w:rPr>
          <w:rFonts w:ascii="Arial" w:eastAsia="Arial" w:hAnsi="Arial" w:cs="Arial"/>
        </w:rPr>
        <w:t xml:space="preserve">g)   </w:t>
      </w:r>
      <w:proofErr w:type="gramEnd"/>
      <w:r>
        <w:rPr>
          <w:rFonts w:ascii="Arial" w:eastAsia="Arial" w:hAnsi="Arial" w:cs="Arial"/>
        </w:rPr>
        <w:t xml:space="preserve">                          ≥17                                  18-16                                 ≤13</w:t>
      </w:r>
    </w:p>
    <w:p w14:paraId="67D28F32" w14:textId="77777777" w:rsidR="00B76B9D" w:rsidRDefault="00BB408C">
      <w:pPr>
        <w:jc w:val="both"/>
        <w:rPr>
          <w:rFonts w:ascii="Arial" w:eastAsia="Arial" w:hAnsi="Arial" w:cs="Arial"/>
        </w:rPr>
      </w:pPr>
      <w:proofErr w:type="spellStart"/>
      <w:r>
        <w:rPr>
          <w:rFonts w:ascii="Arial" w:eastAsia="Arial" w:hAnsi="Arial" w:cs="Arial"/>
        </w:rPr>
        <w:t>Cloxacilin</w:t>
      </w:r>
      <w:proofErr w:type="spellEnd"/>
      <w:r>
        <w:rPr>
          <w:rFonts w:ascii="Arial" w:eastAsia="Arial" w:hAnsi="Arial" w:cs="Arial"/>
        </w:rPr>
        <w:t xml:space="preserve"> (5µ</w:t>
      </w:r>
      <w:proofErr w:type="gramStart"/>
      <w:r>
        <w:rPr>
          <w:rFonts w:ascii="Arial" w:eastAsia="Arial" w:hAnsi="Arial" w:cs="Arial"/>
        </w:rPr>
        <w:t xml:space="preserve">g)   </w:t>
      </w:r>
      <w:proofErr w:type="gramEnd"/>
      <w:r>
        <w:rPr>
          <w:rFonts w:ascii="Arial" w:eastAsia="Arial" w:hAnsi="Arial" w:cs="Arial"/>
        </w:rPr>
        <w:t xml:space="preserve">                         ≥25                                   22-24                                ≤21</w:t>
      </w:r>
      <w:r>
        <w:rPr>
          <w:noProof/>
        </w:rPr>
        <mc:AlternateContent>
          <mc:Choice Requires="wps">
            <w:drawing>
              <wp:anchor distT="0" distB="0" distL="114300" distR="114300" simplePos="0" relativeHeight="251660288" behindDoc="0" locked="0" layoutInCell="1" hidden="0" allowOverlap="1" wp14:anchorId="2BF7B07F" wp14:editId="583AB08E">
                <wp:simplePos x="0" y="0"/>
                <wp:positionH relativeFrom="column">
                  <wp:posOffset>-314958</wp:posOffset>
                </wp:positionH>
                <wp:positionV relativeFrom="paragraph">
                  <wp:posOffset>374650</wp:posOffset>
                </wp:positionV>
                <wp:extent cx="6323959" cy="0"/>
                <wp:effectExtent l="0" t="0" r="20320" b="19050"/>
                <wp:wrapNone/>
                <wp:docPr id="1" name="Straight Connector 1"/>
                <wp:cNvGraphicFramePr/>
                <a:graphic xmlns:a="http://schemas.openxmlformats.org/drawingml/2006/main">
                  <a:graphicData uri="http://schemas.microsoft.com/office/word/2010/wordprocessingShape">
                    <wps:wsp>
                      <wps:cNvCnPr/>
                      <wps:spPr>
                        <a:xfrm>
                          <a:off x="0" y="0"/>
                          <a:ext cx="63239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-314958</wp:posOffset>
                </wp:positionH>
                <wp:positionV relativeFrom="paragraph">
                  <wp:posOffset>374650</wp:posOffset>
                </wp:positionV>
                <wp:extent cx="6344279" cy="1905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344279" cy="19050"/>
                        </a:xfrm>
                        <a:prstGeom prst="rect"/>
                        <a:ln/>
                      </pic:spPr>
                    </pic:pic>
                  </a:graphicData>
                </a:graphic>
              </wp:anchor>
            </w:drawing>
          </mc:Fallback>
        </mc:AlternateContent>
      </w:r>
    </w:p>
    <w:p w14:paraId="13CC4F21" w14:textId="77777777" w:rsidR="00B76B9D" w:rsidRDefault="00BB408C">
      <w:pPr>
        <w:jc w:val="both"/>
        <w:rPr>
          <w:rFonts w:ascii="Arial" w:eastAsia="Arial" w:hAnsi="Arial" w:cs="Arial"/>
        </w:rPr>
      </w:pPr>
      <w:r>
        <w:rPr>
          <w:rFonts w:ascii="Arial" w:eastAsia="Arial" w:hAnsi="Arial" w:cs="Arial"/>
        </w:rPr>
        <w:t xml:space="preserve">                                                                                                                      </w:t>
      </w:r>
    </w:p>
    <w:p w14:paraId="20044FED" w14:textId="52C00AF9" w:rsidR="00B76B9D" w:rsidRDefault="00BB408C">
      <w:pPr>
        <w:jc w:val="both"/>
        <w:rPr>
          <w:rFonts w:ascii="Arial" w:eastAsia="Arial" w:hAnsi="Arial" w:cs="Arial"/>
        </w:rPr>
      </w:pPr>
      <w:r>
        <w:rPr>
          <w:rFonts w:ascii="Arial" w:eastAsia="Arial" w:hAnsi="Arial" w:cs="Arial"/>
        </w:rPr>
        <w:t>(</w:t>
      </w:r>
      <w:r w:rsidR="00F57D6E">
        <w:rPr>
          <w:rFonts w:ascii="Arial" w:eastAsia="Arial" w:hAnsi="Arial" w:cs="Arial"/>
        </w:rPr>
        <w:t>1</w:t>
      </w:r>
      <w:r>
        <w:rPr>
          <w:rFonts w:ascii="Arial" w:eastAsia="Arial" w:hAnsi="Arial" w:cs="Arial"/>
        </w:rPr>
        <w:t>)</w:t>
      </w:r>
    </w:p>
    <w:p w14:paraId="607AEDA5" w14:textId="6A09601A" w:rsidR="00B76B9D" w:rsidRDefault="00BB408C">
      <w:pPr>
        <w:jc w:val="both"/>
        <w:rPr>
          <w:rFonts w:ascii="Arial" w:eastAsia="Arial" w:hAnsi="Arial" w:cs="Arial"/>
        </w:rPr>
      </w:pPr>
      <w:r>
        <w:rPr>
          <w:rFonts w:ascii="Arial" w:eastAsia="Arial" w:hAnsi="Arial" w:cs="Arial"/>
        </w:rPr>
        <w:t xml:space="preserve">The plates were incubated at 37°C for 24hours. After incubation, the diameter of inhibition zones around each antibiotic disk were measured in </w:t>
      </w:r>
      <w:proofErr w:type="spellStart"/>
      <w:r>
        <w:rPr>
          <w:rFonts w:ascii="Arial" w:eastAsia="Arial" w:hAnsi="Arial" w:cs="Arial"/>
        </w:rPr>
        <w:t>millimeters</w:t>
      </w:r>
      <w:proofErr w:type="spellEnd"/>
      <w:r>
        <w:rPr>
          <w:rFonts w:ascii="Arial" w:eastAsia="Arial" w:hAnsi="Arial" w:cs="Arial"/>
        </w:rPr>
        <w:t xml:space="preserve"> using a ruler (</w:t>
      </w:r>
      <w:r w:rsidR="00F57D6E">
        <w:rPr>
          <w:rFonts w:ascii="Arial" w:eastAsia="Arial" w:hAnsi="Arial" w:cs="Arial"/>
        </w:rPr>
        <w:t>1</w:t>
      </w:r>
      <w:r>
        <w:rPr>
          <w:rFonts w:ascii="Arial" w:eastAsia="Arial" w:hAnsi="Arial" w:cs="Arial"/>
          <w:i/>
          <w:iCs/>
        </w:rPr>
        <w:t>)</w:t>
      </w:r>
      <w:r>
        <w:rPr>
          <w:rFonts w:ascii="Arial" w:eastAsia="Arial" w:hAnsi="Arial" w:cs="Arial"/>
        </w:rPr>
        <w:t>. The results were interpreted as:</w:t>
      </w:r>
    </w:p>
    <w:p w14:paraId="66FBB5C5" w14:textId="77777777" w:rsidR="00B76B9D" w:rsidRDefault="00BB408C">
      <w:pPr>
        <w:numPr>
          <w:ilvl w:val="0"/>
          <w:numId w:val="3"/>
        </w:numPr>
        <w:jc w:val="both"/>
      </w:pPr>
      <w:r>
        <w:rPr>
          <w:rFonts w:ascii="Arial" w:eastAsia="Arial" w:hAnsi="Arial" w:cs="Arial"/>
        </w:rPr>
        <w:t>Susceptible (S)</w:t>
      </w:r>
    </w:p>
    <w:p w14:paraId="617936CF" w14:textId="77777777" w:rsidR="00B76B9D" w:rsidRDefault="00BB408C">
      <w:pPr>
        <w:numPr>
          <w:ilvl w:val="0"/>
          <w:numId w:val="3"/>
        </w:numPr>
        <w:jc w:val="both"/>
      </w:pPr>
      <w:r>
        <w:rPr>
          <w:rFonts w:ascii="Arial" w:eastAsia="Arial" w:hAnsi="Arial" w:cs="Arial"/>
        </w:rPr>
        <w:t>Moderate (M)</w:t>
      </w:r>
    </w:p>
    <w:p w14:paraId="023880CA" w14:textId="77777777" w:rsidR="00B76B9D" w:rsidRDefault="00BB408C">
      <w:pPr>
        <w:numPr>
          <w:ilvl w:val="0"/>
          <w:numId w:val="3"/>
        </w:numPr>
        <w:jc w:val="both"/>
      </w:pPr>
      <w:r>
        <w:rPr>
          <w:rFonts w:ascii="Arial" w:eastAsia="Arial" w:hAnsi="Arial" w:cs="Arial"/>
        </w:rPr>
        <w:t>Resistant (R)</w:t>
      </w:r>
    </w:p>
    <w:p w14:paraId="4CB173D7" w14:textId="1C691FDA" w:rsidR="00B76B9D" w:rsidRDefault="00BB408C">
      <w:pPr>
        <w:jc w:val="both"/>
        <w:rPr>
          <w:rFonts w:ascii="Arial" w:eastAsia="Arial" w:hAnsi="Arial" w:cs="Arial"/>
        </w:rPr>
      </w:pPr>
      <w:r>
        <w:rPr>
          <w:rFonts w:ascii="Arial" w:eastAsia="Arial" w:hAnsi="Arial" w:cs="Arial"/>
        </w:rPr>
        <w:t>These categories were defined according to (</w:t>
      </w:r>
      <w:r w:rsidR="00F57D6E">
        <w:rPr>
          <w:rFonts w:ascii="Arial" w:eastAsia="Arial" w:hAnsi="Arial" w:cs="Arial"/>
        </w:rPr>
        <w:t>1</w:t>
      </w:r>
      <w:r>
        <w:rPr>
          <w:rFonts w:ascii="Arial" w:eastAsia="Arial" w:hAnsi="Arial" w:cs="Arial"/>
        </w:rPr>
        <w:t>). Isolates showing resistance to three or more classes of antibiotics were classified as multidrug-resistant (MDR). Plates showing anomalous inhibition patterns or contamination were discarded and repeated under aseptic conditions.</w:t>
      </w:r>
    </w:p>
    <w:p w14:paraId="4EB5CA43" w14:textId="12A5EE07" w:rsidR="00B76B9D" w:rsidRDefault="00BB408C">
      <w:pPr>
        <w:jc w:val="both"/>
        <w:rPr>
          <w:rFonts w:ascii="Arial" w:eastAsia="Arial" w:hAnsi="Arial" w:cs="Arial"/>
        </w:rPr>
      </w:pPr>
      <w:r>
        <w:rPr>
          <w:rFonts w:ascii="Arial" w:eastAsia="Arial" w:hAnsi="Arial" w:cs="Arial"/>
        </w:rPr>
        <w:t>Data obtained from this study w</w:t>
      </w:r>
      <w:r w:rsidR="00E934DC">
        <w:rPr>
          <w:rFonts w:ascii="Arial" w:eastAsia="Arial" w:hAnsi="Arial" w:cs="Arial"/>
        </w:rPr>
        <w:t>ere</w:t>
      </w:r>
      <w:r>
        <w:rPr>
          <w:rFonts w:ascii="Arial" w:eastAsia="Arial" w:hAnsi="Arial" w:cs="Arial"/>
        </w:rPr>
        <w:t xml:space="preserve"> analysed using the Statistical Package for Social Science (SPSS) version 27. The results were expressed in frequencies of occurrence and percentage. Chi-square (x</w:t>
      </w:r>
      <w:r>
        <w:rPr>
          <w:rFonts w:ascii="Arial" w:eastAsia="Arial" w:hAnsi="Arial" w:cs="Arial"/>
          <w:vertAlign w:val="superscript"/>
        </w:rPr>
        <w:t>2</w:t>
      </w:r>
      <w:r>
        <w:rPr>
          <w:rFonts w:ascii="Arial" w:eastAsia="Arial" w:hAnsi="Arial" w:cs="Arial"/>
        </w:rPr>
        <w:t>) was used to determine statistical significance difference. The value of P≤0.05 was considered significant</w:t>
      </w:r>
      <w:r w:rsidR="00E934DC">
        <w:rPr>
          <w:rFonts w:ascii="Arial" w:eastAsia="Arial" w:hAnsi="Arial" w:cs="Arial"/>
        </w:rPr>
        <w:t>,</w:t>
      </w:r>
      <w:r>
        <w:rPr>
          <w:rFonts w:ascii="Arial" w:eastAsia="Arial" w:hAnsi="Arial" w:cs="Arial"/>
        </w:rPr>
        <w:t xml:space="preserve"> while P</w:t>
      </w:r>
      <w:r w:rsidR="00E934DC">
        <w:rPr>
          <w:rFonts w:ascii="Arial" w:eastAsia="Arial" w:hAnsi="Arial" w:cs="Arial"/>
        </w:rPr>
        <w:t>&gt;</w:t>
      </w:r>
      <w:r>
        <w:rPr>
          <w:rFonts w:ascii="Arial" w:eastAsia="Arial" w:hAnsi="Arial" w:cs="Arial"/>
        </w:rPr>
        <w:t xml:space="preserve">0.05, was not significant. </w:t>
      </w:r>
    </w:p>
    <w:p w14:paraId="2F1D3DF0" w14:textId="77777777" w:rsidR="00B76B9D" w:rsidRDefault="00B76B9D">
      <w:pPr>
        <w:jc w:val="both"/>
        <w:rPr>
          <w:rFonts w:ascii="Arial" w:eastAsia="Arial" w:hAnsi="Arial" w:cs="Arial"/>
          <w:b/>
          <w:bCs/>
        </w:rPr>
      </w:pPr>
    </w:p>
    <w:p w14:paraId="0FDDF29D" w14:textId="77777777" w:rsidR="00B76B9D" w:rsidRDefault="00BB408C">
      <w:pPr>
        <w:jc w:val="both"/>
        <w:rPr>
          <w:rFonts w:ascii="Arial" w:eastAsia="Arial" w:hAnsi="Arial" w:cs="Arial"/>
          <w:b/>
          <w:bCs/>
        </w:rPr>
      </w:pPr>
      <w:r>
        <w:rPr>
          <w:rFonts w:ascii="Arial" w:eastAsia="Arial" w:hAnsi="Arial" w:cs="Arial"/>
          <w:b/>
          <w:bCs/>
        </w:rPr>
        <w:t xml:space="preserve">Results and discussion </w:t>
      </w:r>
    </w:p>
    <w:p w14:paraId="50B11D04" w14:textId="13D4031D" w:rsidR="00B76B9D" w:rsidRDefault="00BB408C">
      <w:pPr>
        <w:spacing w:line="240" w:lineRule="auto"/>
        <w:jc w:val="both"/>
        <w:rPr>
          <w:rFonts w:ascii="Arial" w:eastAsia="Arial" w:hAnsi="Arial" w:cs="Arial"/>
        </w:rPr>
      </w:pPr>
      <w:r>
        <w:rPr>
          <w:rFonts w:ascii="Arial" w:eastAsia="Arial" w:hAnsi="Arial" w:cs="Arial"/>
        </w:rPr>
        <w:t xml:space="preserve">The findings revealed the presence of several pathogenic bacteria, including </w:t>
      </w:r>
      <w:r>
        <w:rPr>
          <w:rFonts w:ascii="Arial" w:eastAsia="Arial" w:hAnsi="Arial" w:cs="Arial"/>
          <w:i/>
          <w:iCs/>
        </w:rPr>
        <w:t xml:space="preserve">Staphylococcus spp., Escherichia coli, Pseudomonas </w:t>
      </w:r>
      <w:proofErr w:type="spellStart"/>
      <w:r>
        <w:rPr>
          <w:rFonts w:ascii="Arial" w:eastAsia="Arial" w:hAnsi="Arial" w:cs="Arial"/>
          <w:i/>
          <w:iCs/>
        </w:rPr>
        <w:t>spp</w:t>
      </w:r>
      <w:proofErr w:type="spellEnd"/>
      <w:r>
        <w:rPr>
          <w:rFonts w:ascii="Arial" w:eastAsia="Arial" w:hAnsi="Arial" w:cs="Arial"/>
          <w:i/>
          <w:iCs/>
        </w:rPr>
        <w:t xml:space="preserve">, Serratia </w:t>
      </w:r>
      <w:proofErr w:type="spellStart"/>
      <w:r>
        <w:rPr>
          <w:rFonts w:ascii="Arial" w:eastAsia="Arial" w:hAnsi="Arial" w:cs="Arial"/>
          <w:i/>
          <w:iCs/>
        </w:rPr>
        <w:t>spp</w:t>
      </w:r>
      <w:proofErr w:type="spellEnd"/>
      <w:r>
        <w:rPr>
          <w:rFonts w:ascii="Arial" w:eastAsia="Arial" w:hAnsi="Arial" w:cs="Arial"/>
          <w:i/>
          <w:iCs/>
        </w:rPr>
        <w:t xml:space="preserve"> and Proteus spp</w:t>
      </w:r>
      <w:r>
        <w:rPr>
          <w:rFonts w:ascii="Arial" w:eastAsia="Arial" w:hAnsi="Arial" w:cs="Arial"/>
        </w:rPr>
        <w:t xml:space="preserve">.—many of which displayed varying degrees of resistance to commonly used antibiotics. Through disk diffusion assays, this research offers valuable insights into the resistance trends of bacteria on high-contact </w:t>
      </w:r>
      <w:r>
        <w:rPr>
          <w:rFonts w:ascii="Arial" w:eastAsia="Arial" w:hAnsi="Arial" w:cs="Arial"/>
        </w:rPr>
        <w:lastRenderedPageBreak/>
        <w:t xml:space="preserve">surfaces in a communal university environment, underscoring the urgent need for routine hygiene surveillance and resistance mitigation strategies. In this research, staphylococcus </w:t>
      </w:r>
      <w:proofErr w:type="spellStart"/>
      <w:r>
        <w:rPr>
          <w:rFonts w:ascii="Arial" w:eastAsia="Arial" w:hAnsi="Arial" w:cs="Arial"/>
        </w:rPr>
        <w:t>spp</w:t>
      </w:r>
      <w:proofErr w:type="spellEnd"/>
      <w:r>
        <w:rPr>
          <w:rFonts w:ascii="Arial" w:eastAsia="Arial" w:hAnsi="Arial" w:cs="Arial"/>
        </w:rPr>
        <w:t xml:space="preserve"> was the most commonly isolated organism, </w:t>
      </w:r>
      <w:proofErr w:type="gramStart"/>
      <w:r>
        <w:rPr>
          <w:rFonts w:ascii="Arial" w:eastAsia="Arial" w:hAnsi="Arial" w:cs="Arial"/>
        </w:rPr>
        <w:t>This</w:t>
      </w:r>
      <w:proofErr w:type="gramEnd"/>
      <w:r>
        <w:rPr>
          <w:rFonts w:ascii="Arial" w:eastAsia="Arial" w:hAnsi="Arial" w:cs="Arial"/>
        </w:rPr>
        <w:t xml:space="preserve"> finding agrees with most other scientific work done on other surfaces (</w:t>
      </w:r>
      <w:r w:rsidR="00F57D6E">
        <w:rPr>
          <w:rFonts w:ascii="Arial" w:eastAsia="Arial" w:hAnsi="Arial" w:cs="Arial"/>
        </w:rPr>
        <w:t>10</w:t>
      </w:r>
      <w:r>
        <w:rPr>
          <w:rFonts w:ascii="Arial" w:eastAsia="Arial" w:hAnsi="Arial" w:cs="Arial"/>
        </w:rPr>
        <w:t>).</w:t>
      </w:r>
    </w:p>
    <w:p w14:paraId="35B31432" w14:textId="77777777" w:rsidR="00B76B9D" w:rsidRDefault="00BB408C">
      <w:pPr>
        <w:spacing w:line="480" w:lineRule="auto"/>
        <w:jc w:val="both"/>
        <w:rPr>
          <w:rFonts w:ascii="Arial" w:eastAsia="Arial" w:hAnsi="Arial" w:cs="Arial"/>
          <w:b/>
          <w:bCs/>
        </w:rPr>
      </w:pPr>
      <w:r>
        <w:rPr>
          <w:rFonts w:ascii="Arial" w:eastAsia="Arial" w:hAnsi="Arial" w:cs="Arial"/>
          <w:noProof/>
        </w:rPr>
        <w:drawing>
          <wp:inline distT="0" distB="0" distL="0" distR="0" wp14:anchorId="5E942F2C" wp14:editId="75E280ED">
            <wp:extent cx="4572000" cy="2743200"/>
            <wp:effectExtent l="4445" t="4445" r="14605"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1A91AA" w14:textId="77777777" w:rsidR="00B76B9D" w:rsidRDefault="00BB408C">
      <w:pPr>
        <w:spacing w:line="480" w:lineRule="auto"/>
        <w:jc w:val="both"/>
        <w:rPr>
          <w:rFonts w:ascii="Arial" w:eastAsia="Arial" w:hAnsi="Arial" w:cs="Arial"/>
        </w:rPr>
      </w:pPr>
      <w:r>
        <w:rPr>
          <w:rFonts w:ascii="Arial" w:eastAsia="Arial" w:hAnsi="Arial" w:cs="Arial"/>
          <w:b/>
          <w:bCs/>
        </w:rPr>
        <w:t xml:space="preserve">Figure 1. A pie chart showing the percentage distribution of bacteria isolates </w:t>
      </w:r>
      <w:r>
        <w:rPr>
          <w:rFonts w:ascii="Arial" w:eastAsia="Arial" w:hAnsi="Arial" w:cs="Arial"/>
        </w:rPr>
        <w:t xml:space="preserve">   </w:t>
      </w:r>
    </w:p>
    <w:p w14:paraId="4052F5E2" w14:textId="1BBE0860" w:rsidR="00B76B9D" w:rsidRDefault="00BB408C">
      <w:pPr>
        <w:spacing w:line="240" w:lineRule="auto"/>
        <w:jc w:val="both"/>
        <w:rPr>
          <w:rFonts w:ascii="Arial" w:eastAsia="Arial" w:hAnsi="Arial" w:cs="Arial"/>
        </w:rPr>
      </w:pPr>
      <w:r>
        <w:rPr>
          <w:rFonts w:ascii="Arial" w:eastAsia="Arial" w:hAnsi="Arial" w:cs="Arial"/>
        </w:rPr>
        <w:t xml:space="preserve">Environmental surfaces such as stair rails are often overlooked in antimicrobial resistance (AMR) surveillance frameworks, despite their potential role as persistent reservoirs for multidrug-resistant organisms (MDROs). Densely populated areas and frequently used stairs are more likely to be contaminated due to frequent contact, </w:t>
      </w:r>
      <w:proofErr w:type="gramStart"/>
      <w:r>
        <w:rPr>
          <w:rFonts w:ascii="Arial" w:eastAsia="Arial" w:hAnsi="Arial" w:cs="Arial"/>
        </w:rPr>
        <w:t>These</w:t>
      </w:r>
      <w:proofErr w:type="gramEnd"/>
      <w:r>
        <w:rPr>
          <w:rFonts w:ascii="Arial" w:eastAsia="Arial" w:hAnsi="Arial" w:cs="Arial"/>
        </w:rPr>
        <w:t xml:space="preserve"> hand-contacted surfaces are frequently exposed to biological contaminants through skin contact, sneezing, or deposition of aerosolized droplets. The prevalence of microbial growth in approximately 32.6% of sampled area as found in this study, </w:t>
      </w:r>
      <w:proofErr w:type="gramStart"/>
      <w:r>
        <w:rPr>
          <w:rFonts w:ascii="Arial" w:eastAsia="Arial" w:hAnsi="Arial" w:cs="Arial"/>
        </w:rPr>
        <w:t>This</w:t>
      </w:r>
      <w:proofErr w:type="gramEnd"/>
      <w:r>
        <w:rPr>
          <w:rFonts w:ascii="Arial" w:eastAsia="Arial" w:hAnsi="Arial" w:cs="Arial"/>
        </w:rPr>
        <w:t xml:space="preserve"> corroborates findings from several regional and international studies, which consistently show that high-touch environmental surfaces facilitate the persistence and dissemination of pathogens (</w:t>
      </w:r>
      <w:r w:rsidR="00F57D6E">
        <w:rPr>
          <w:rFonts w:ascii="Arial" w:eastAsia="Arial" w:hAnsi="Arial" w:cs="Arial"/>
        </w:rPr>
        <w:t>11</w:t>
      </w:r>
      <w:r>
        <w:rPr>
          <w:rFonts w:ascii="Arial" w:eastAsia="Arial" w:hAnsi="Arial" w:cs="Arial"/>
        </w:rPr>
        <w:t>).</w:t>
      </w:r>
    </w:p>
    <w:p w14:paraId="49AFB1BF" w14:textId="5D0DDD0D" w:rsidR="00B76B9D" w:rsidRDefault="00BB408C">
      <w:pPr>
        <w:spacing w:line="240" w:lineRule="auto"/>
        <w:jc w:val="both"/>
        <w:rPr>
          <w:rFonts w:ascii="Arial" w:eastAsia="Arial" w:hAnsi="Arial" w:cs="Arial"/>
        </w:rPr>
      </w:pPr>
      <w:r>
        <w:rPr>
          <w:rFonts w:ascii="Arial" w:eastAsia="Arial" w:hAnsi="Arial" w:cs="Arial"/>
        </w:rPr>
        <w:t>The dominant bacterial isolates identified—</w:t>
      </w:r>
      <w:r>
        <w:rPr>
          <w:rFonts w:ascii="Arial" w:eastAsia="Arial" w:hAnsi="Arial" w:cs="Arial"/>
          <w:i/>
          <w:iCs/>
        </w:rPr>
        <w:t>Staphylococcus spp</w:t>
      </w:r>
      <w:r>
        <w:rPr>
          <w:rFonts w:ascii="Arial" w:eastAsia="Arial" w:hAnsi="Arial" w:cs="Arial"/>
        </w:rPr>
        <w:t xml:space="preserve">. and </w:t>
      </w:r>
      <w:r>
        <w:rPr>
          <w:rFonts w:ascii="Arial" w:eastAsia="Arial" w:hAnsi="Arial" w:cs="Arial"/>
          <w:i/>
          <w:iCs/>
        </w:rPr>
        <w:t>Escherichia. coli</w:t>
      </w:r>
      <w:r>
        <w:rPr>
          <w:rFonts w:ascii="Arial" w:eastAsia="Arial" w:hAnsi="Arial" w:cs="Arial"/>
        </w:rPr>
        <w:t xml:space="preserve">—are known to cause a wide spectrum of nosocomial and community-acquired infections. Notably, </w:t>
      </w:r>
      <w:r>
        <w:rPr>
          <w:rFonts w:ascii="Arial" w:eastAsia="Arial" w:hAnsi="Arial" w:cs="Arial"/>
          <w:i/>
          <w:iCs/>
        </w:rPr>
        <w:t>Staphylococcus aureus</w:t>
      </w:r>
      <w:r>
        <w:rPr>
          <w:rFonts w:ascii="Arial" w:eastAsia="Arial" w:hAnsi="Arial" w:cs="Arial"/>
        </w:rPr>
        <w:t xml:space="preserve"> and other coagulase-negative staphylococci (</w:t>
      </w:r>
      <w:proofErr w:type="spellStart"/>
      <w:r>
        <w:rPr>
          <w:rFonts w:ascii="Arial" w:eastAsia="Arial" w:hAnsi="Arial" w:cs="Arial"/>
        </w:rPr>
        <w:t>CoNS</w:t>
      </w:r>
      <w:proofErr w:type="spellEnd"/>
      <w:r>
        <w:rPr>
          <w:rFonts w:ascii="Arial" w:eastAsia="Arial" w:hAnsi="Arial" w:cs="Arial"/>
        </w:rPr>
        <w:t>) are frequent colonizers of the skin and mucosal membranes, and their presence on stair rails suggests direct transfer from human contact.</w:t>
      </w:r>
    </w:p>
    <w:p w14:paraId="77E6248B" w14:textId="5314ED1E" w:rsidR="00CB2FA4" w:rsidRDefault="00CB2FA4">
      <w:pPr>
        <w:spacing w:line="240" w:lineRule="auto"/>
        <w:jc w:val="both"/>
        <w:rPr>
          <w:rFonts w:ascii="Arial" w:eastAsia="Arial" w:hAnsi="Arial" w:cs="Arial"/>
        </w:rPr>
      </w:pPr>
    </w:p>
    <w:p w14:paraId="64D98538" w14:textId="07D88FB6" w:rsidR="00CB2FA4" w:rsidRDefault="00CB2FA4">
      <w:pPr>
        <w:spacing w:line="240" w:lineRule="auto"/>
        <w:jc w:val="both"/>
        <w:rPr>
          <w:rFonts w:ascii="Arial" w:eastAsia="Arial" w:hAnsi="Arial" w:cs="Arial"/>
        </w:rPr>
      </w:pPr>
    </w:p>
    <w:p w14:paraId="1A0DEED8" w14:textId="23909103" w:rsidR="00CB2FA4" w:rsidRDefault="00CB2FA4">
      <w:pPr>
        <w:spacing w:line="240" w:lineRule="auto"/>
        <w:jc w:val="both"/>
        <w:rPr>
          <w:rFonts w:ascii="Arial" w:eastAsia="Arial" w:hAnsi="Arial" w:cs="Arial"/>
        </w:rPr>
      </w:pPr>
    </w:p>
    <w:p w14:paraId="7C17F0EF" w14:textId="3D8300A7" w:rsidR="00CB2FA4" w:rsidRDefault="00CB2FA4">
      <w:pPr>
        <w:spacing w:line="240" w:lineRule="auto"/>
        <w:jc w:val="both"/>
        <w:rPr>
          <w:rFonts w:ascii="Arial" w:eastAsia="Arial" w:hAnsi="Arial" w:cs="Arial"/>
        </w:rPr>
      </w:pPr>
    </w:p>
    <w:p w14:paraId="65BCDC02" w14:textId="77777777" w:rsidR="00CB2FA4" w:rsidRDefault="00CB2FA4">
      <w:pPr>
        <w:spacing w:line="240" w:lineRule="auto"/>
        <w:jc w:val="both"/>
        <w:rPr>
          <w:rFonts w:ascii="Arial" w:eastAsia="Arial" w:hAnsi="Arial" w:cs="Arial"/>
        </w:rPr>
      </w:pPr>
      <w:bookmarkStart w:id="1" w:name="_GoBack"/>
      <w:bookmarkEnd w:id="1"/>
    </w:p>
    <w:p w14:paraId="7442D3A3" w14:textId="77777777" w:rsidR="00B76B9D" w:rsidRDefault="00B76B9D">
      <w:pPr>
        <w:spacing w:line="240" w:lineRule="auto"/>
        <w:jc w:val="both"/>
        <w:rPr>
          <w:rFonts w:ascii="Arial" w:eastAsia="Arial" w:hAnsi="Arial" w:cs="Arial"/>
        </w:rPr>
      </w:pPr>
    </w:p>
    <w:p w14:paraId="42BDF998" w14:textId="77777777" w:rsidR="00B76B9D" w:rsidRDefault="00BB408C">
      <w:pPr>
        <w:spacing w:after="0" w:line="480" w:lineRule="auto"/>
        <w:rPr>
          <w:rFonts w:ascii="Arial" w:eastAsia="Arial" w:hAnsi="Arial" w:cs="Arial"/>
          <w:b/>
          <w:bCs/>
        </w:rPr>
      </w:pPr>
      <w:r>
        <w:rPr>
          <w:rFonts w:ascii="Arial" w:eastAsia="Arial" w:hAnsi="Arial" w:cs="Arial"/>
          <w:b/>
          <w:bCs/>
        </w:rPr>
        <w:lastRenderedPageBreak/>
        <w:t>Table 1. shows the antimicrobial sensitivity pattern of the bacteria</w:t>
      </w:r>
    </w:p>
    <w:tbl>
      <w:tblPr>
        <w:tblStyle w:val="a"/>
        <w:tblW w:w="91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1"/>
      </w:tblGrid>
      <w:tr w:rsidR="00B76B9D" w14:paraId="2E855EE6" w14:textId="77777777">
        <w:trPr>
          <w:trHeight w:val="635"/>
        </w:trPr>
        <w:tc>
          <w:tcPr>
            <w:tcW w:w="9191" w:type="dxa"/>
            <w:tcBorders>
              <w:left w:val="nil"/>
              <w:right w:val="nil"/>
            </w:tcBorders>
          </w:tcPr>
          <w:p w14:paraId="0D1D0CEC" w14:textId="77777777" w:rsidR="00B76B9D" w:rsidRDefault="00BB408C">
            <w:pPr>
              <w:spacing w:line="480" w:lineRule="auto"/>
              <w:rPr>
                <w:rFonts w:ascii="Arial" w:eastAsia="Arial" w:hAnsi="Arial" w:cs="Arial"/>
                <w:b/>
                <w:bCs/>
              </w:rPr>
            </w:pPr>
            <w:r>
              <w:rPr>
                <w:rFonts w:ascii="Arial" w:eastAsia="Arial" w:hAnsi="Arial" w:cs="Arial"/>
              </w:rPr>
              <w:t xml:space="preserve">Isolates                                      susceptible       </w:t>
            </w:r>
            <w:proofErr w:type="gramStart"/>
            <w:r>
              <w:rPr>
                <w:rFonts w:ascii="Arial" w:eastAsia="Arial" w:hAnsi="Arial" w:cs="Arial"/>
              </w:rPr>
              <w:t>susceptibility(</w:t>
            </w:r>
            <w:proofErr w:type="gramEnd"/>
            <w:r>
              <w:rPr>
                <w:rFonts w:ascii="Arial" w:eastAsia="Arial" w:hAnsi="Arial" w:cs="Arial"/>
              </w:rPr>
              <w:t>%)    resistant   resistance(%)</w:t>
            </w:r>
          </w:p>
        </w:tc>
      </w:tr>
      <w:tr w:rsidR="00B76B9D" w14:paraId="4AC7EFD0" w14:textId="77777777">
        <w:trPr>
          <w:trHeight w:val="3113"/>
        </w:trPr>
        <w:tc>
          <w:tcPr>
            <w:tcW w:w="9191" w:type="dxa"/>
            <w:tcBorders>
              <w:left w:val="nil"/>
              <w:right w:val="nil"/>
            </w:tcBorders>
          </w:tcPr>
          <w:p w14:paraId="4D967AFD" w14:textId="77777777" w:rsidR="00B76B9D" w:rsidRDefault="00BB408C">
            <w:pPr>
              <w:spacing w:line="480" w:lineRule="auto"/>
              <w:rPr>
                <w:rFonts w:ascii="Arial" w:eastAsia="Arial" w:hAnsi="Arial" w:cs="Arial"/>
              </w:rPr>
            </w:pPr>
            <w:r>
              <w:rPr>
                <w:rFonts w:ascii="Arial" w:eastAsia="Arial" w:hAnsi="Arial" w:cs="Arial"/>
              </w:rPr>
              <w:t xml:space="preserve">Staphylococcus </w:t>
            </w:r>
            <w:proofErr w:type="spellStart"/>
            <w:r>
              <w:rPr>
                <w:rFonts w:ascii="Arial" w:eastAsia="Arial" w:hAnsi="Arial" w:cs="Arial"/>
              </w:rPr>
              <w:t>spp</w:t>
            </w:r>
            <w:proofErr w:type="spellEnd"/>
            <w:r>
              <w:rPr>
                <w:rFonts w:ascii="Arial" w:eastAsia="Arial" w:hAnsi="Arial" w:cs="Arial"/>
              </w:rPr>
              <w:t xml:space="preserve">                       9                    81.8%                    2            18.2%</w:t>
            </w:r>
          </w:p>
          <w:p w14:paraId="20F92928" w14:textId="77777777" w:rsidR="00B76B9D" w:rsidRDefault="00BB408C">
            <w:pPr>
              <w:spacing w:line="480" w:lineRule="auto"/>
              <w:rPr>
                <w:rFonts w:ascii="Arial" w:eastAsia="Arial" w:hAnsi="Arial" w:cs="Arial"/>
              </w:rPr>
            </w:pPr>
            <w:r>
              <w:rPr>
                <w:rFonts w:ascii="Arial" w:eastAsia="Arial" w:hAnsi="Arial" w:cs="Arial"/>
              </w:rPr>
              <w:t>Escherichia coli                             8                    72.7%                    3            27.3%</w:t>
            </w:r>
          </w:p>
          <w:p w14:paraId="11ACB6EE" w14:textId="77777777" w:rsidR="00B76B9D" w:rsidRDefault="00BB408C">
            <w:pPr>
              <w:spacing w:line="480" w:lineRule="auto"/>
              <w:rPr>
                <w:rFonts w:ascii="Arial" w:eastAsia="Arial" w:hAnsi="Arial" w:cs="Arial"/>
              </w:rPr>
            </w:pPr>
            <w:r>
              <w:rPr>
                <w:rFonts w:ascii="Arial" w:eastAsia="Arial" w:hAnsi="Arial" w:cs="Arial"/>
              </w:rPr>
              <w:t xml:space="preserve">Pseudomonas </w:t>
            </w:r>
            <w:proofErr w:type="spellStart"/>
            <w:r>
              <w:rPr>
                <w:rFonts w:ascii="Arial" w:eastAsia="Arial" w:hAnsi="Arial" w:cs="Arial"/>
              </w:rPr>
              <w:t>spp</w:t>
            </w:r>
            <w:proofErr w:type="spellEnd"/>
            <w:r>
              <w:rPr>
                <w:rFonts w:ascii="Arial" w:eastAsia="Arial" w:hAnsi="Arial" w:cs="Arial"/>
              </w:rPr>
              <w:t xml:space="preserve">                          6                    54.5%                    5            45.5%</w:t>
            </w:r>
          </w:p>
          <w:p w14:paraId="29F2824F" w14:textId="77777777" w:rsidR="00B76B9D" w:rsidRDefault="00BB408C">
            <w:pPr>
              <w:spacing w:line="480" w:lineRule="auto"/>
              <w:rPr>
                <w:rFonts w:ascii="Arial" w:eastAsia="Arial" w:hAnsi="Arial" w:cs="Arial"/>
              </w:rPr>
            </w:pPr>
            <w:r>
              <w:rPr>
                <w:rFonts w:ascii="Arial" w:eastAsia="Arial" w:hAnsi="Arial" w:cs="Arial"/>
              </w:rPr>
              <w:t>Staphylococcus aureus                  9                    81.8%                    2            18.2%</w:t>
            </w:r>
          </w:p>
          <w:p w14:paraId="577DCCDE" w14:textId="77777777" w:rsidR="00B76B9D" w:rsidRDefault="00BB408C">
            <w:pPr>
              <w:spacing w:line="480" w:lineRule="auto"/>
              <w:rPr>
                <w:rFonts w:ascii="Arial" w:eastAsia="Arial" w:hAnsi="Arial" w:cs="Arial"/>
              </w:rPr>
            </w:pPr>
            <w:r>
              <w:rPr>
                <w:rFonts w:ascii="Arial" w:eastAsia="Arial" w:hAnsi="Arial" w:cs="Arial"/>
              </w:rPr>
              <w:t xml:space="preserve">Serratia </w:t>
            </w:r>
            <w:proofErr w:type="spellStart"/>
            <w:r>
              <w:rPr>
                <w:rFonts w:ascii="Arial" w:eastAsia="Arial" w:hAnsi="Arial" w:cs="Arial"/>
              </w:rPr>
              <w:t>spp</w:t>
            </w:r>
            <w:proofErr w:type="spellEnd"/>
            <w:r>
              <w:rPr>
                <w:rFonts w:ascii="Arial" w:eastAsia="Arial" w:hAnsi="Arial" w:cs="Arial"/>
              </w:rPr>
              <w:t xml:space="preserve">                                    7                    63.6%                    4            36.4%</w:t>
            </w:r>
          </w:p>
          <w:p w14:paraId="10293505" w14:textId="77777777" w:rsidR="00B76B9D" w:rsidRDefault="00BB408C">
            <w:pPr>
              <w:spacing w:line="480" w:lineRule="auto"/>
              <w:rPr>
                <w:rFonts w:ascii="Arial" w:eastAsia="Arial" w:hAnsi="Arial" w:cs="Arial"/>
              </w:rPr>
            </w:pPr>
            <w:r>
              <w:rPr>
                <w:rFonts w:ascii="Arial" w:eastAsia="Arial" w:hAnsi="Arial" w:cs="Arial"/>
              </w:rPr>
              <w:t xml:space="preserve">Proteus </w:t>
            </w:r>
            <w:proofErr w:type="spellStart"/>
            <w:r>
              <w:rPr>
                <w:rFonts w:ascii="Arial" w:eastAsia="Arial" w:hAnsi="Arial" w:cs="Arial"/>
              </w:rPr>
              <w:t>spp</w:t>
            </w:r>
            <w:proofErr w:type="spellEnd"/>
            <w:r>
              <w:rPr>
                <w:rFonts w:ascii="Arial" w:eastAsia="Arial" w:hAnsi="Arial" w:cs="Arial"/>
              </w:rPr>
              <w:t xml:space="preserve">                                    10                    90.9%                  1              9.1%</w:t>
            </w:r>
          </w:p>
          <w:p w14:paraId="17E3C887" w14:textId="77777777" w:rsidR="00B76B9D" w:rsidRDefault="00B76B9D">
            <w:pPr>
              <w:rPr>
                <w:rFonts w:ascii="Arial" w:eastAsia="Arial" w:hAnsi="Arial" w:cs="Arial"/>
              </w:rPr>
            </w:pPr>
          </w:p>
          <w:p w14:paraId="18909001" w14:textId="77777777" w:rsidR="00B76B9D" w:rsidRDefault="00B76B9D">
            <w:pPr>
              <w:rPr>
                <w:rFonts w:ascii="Arial" w:eastAsia="Arial" w:hAnsi="Arial" w:cs="Arial"/>
              </w:rPr>
            </w:pPr>
          </w:p>
          <w:p w14:paraId="7CF1293C" w14:textId="77777777" w:rsidR="00B76B9D" w:rsidRDefault="00B76B9D">
            <w:pPr>
              <w:rPr>
                <w:rFonts w:ascii="Arial" w:eastAsia="Arial" w:hAnsi="Arial" w:cs="Arial"/>
              </w:rPr>
            </w:pPr>
          </w:p>
        </w:tc>
      </w:tr>
    </w:tbl>
    <w:p w14:paraId="7347D2B4" w14:textId="77777777" w:rsidR="00B76B9D" w:rsidRDefault="00BB408C">
      <w:pPr>
        <w:spacing w:line="278" w:lineRule="auto"/>
        <w:rPr>
          <w:rFonts w:ascii="Arial" w:eastAsia="Arial" w:hAnsi="Arial" w:cs="Arial"/>
        </w:rPr>
      </w:pPr>
      <w:r>
        <w:rPr>
          <w:rFonts w:ascii="Arial" w:eastAsia="Arial" w:hAnsi="Arial" w:cs="Arial"/>
        </w:rPr>
        <w:t xml:space="preserve">`95% </w:t>
      </w:r>
      <w:proofErr w:type="gramStart"/>
      <w:r>
        <w:rPr>
          <w:rFonts w:ascii="Arial" w:eastAsia="Arial" w:hAnsi="Arial" w:cs="Arial"/>
        </w:rPr>
        <w:t>confidence  interval</w:t>
      </w:r>
      <w:proofErr w:type="gramEnd"/>
      <w:r>
        <w:rPr>
          <w:rFonts w:ascii="Arial" w:eastAsia="Arial" w:hAnsi="Arial" w:cs="Arial"/>
        </w:rPr>
        <w:t xml:space="preserve">           P value =0.2            remark = not significant</w:t>
      </w:r>
    </w:p>
    <w:p w14:paraId="256B42EC" w14:textId="77777777" w:rsidR="00B76B9D" w:rsidRDefault="00B76B9D">
      <w:pPr>
        <w:spacing w:line="278" w:lineRule="auto"/>
        <w:rPr>
          <w:rFonts w:ascii="Arial" w:eastAsia="Arial" w:hAnsi="Arial" w:cs="Arial"/>
        </w:rPr>
      </w:pPr>
    </w:p>
    <w:p w14:paraId="1EF31135" w14:textId="4E8A2531" w:rsidR="00B76B9D" w:rsidRDefault="00BB408C">
      <w:pPr>
        <w:spacing w:line="240" w:lineRule="auto"/>
        <w:jc w:val="both"/>
        <w:rPr>
          <w:rFonts w:ascii="Arial" w:eastAsia="Arial" w:hAnsi="Arial" w:cs="Arial"/>
        </w:rPr>
      </w:pPr>
      <w:r>
        <w:rPr>
          <w:rFonts w:ascii="Arial" w:eastAsia="Arial" w:hAnsi="Arial" w:cs="Arial"/>
        </w:rPr>
        <w:t>The emergence of methicillin-resistant strains (MRSA) in such environments is particularly troubling. In a study by (</w:t>
      </w:r>
      <w:r w:rsidR="00F57D6E">
        <w:rPr>
          <w:rFonts w:ascii="Arial" w:eastAsia="Arial" w:hAnsi="Arial" w:cs="Arial"/>
        </w:rPr>
        <w:t>1</w:t>
      </w:r>
      <w:r>
        <w:rPr>
          <w:rFonts w:ascii="Arial" w:eastAsia="Arial" w:hAnsi="Arial" w:cs="Arial"/>
        </w:rPr>
        <w:t>2)</w:t>
      </w:r>
      <w:r>
        <w:rPr>
          <w:rFonts w:ascii="Arial" w:eastAsia="Arial" w:hAnsi="Arial" w:cs="Arial"/>
          <w:b/>
          <w:bCs/>
          <w:i/>
          <w:iCs/>
        </w:rPr>
        <w:t>,</w:t>
      </w:r>
      <w:r>
        <w:rPr>
          <w:rFonts w:ascii="Arial" w:eastAsia="Arial" w:hAnsi="Arial" w:cs="Arial"/>
        </w:rPr>
        <w:t xml:space="preserve"> MRSA was isolated from university stair rails, highlighting the inadequacy of sanitation in academic settings and the growing risk of resistance proliferation in non-clinical environments (</w:t>
      </w:r>
      <w:r w:rsidR="00F57D6E">
        <w:rPr>
          <w:rFonts w:ascii="Arial" w:eastAsia="Arial" w:hAnsi="Arial" w:cs="Arial"/>
        </w:rPr>
        <w:t>12</w:t>
      </w:r>
      <w:r>
        <w:rPr>
          <w:rFonts w:ascii="Arial" w:eastAsia="Arial" w:hAnsi="Arial" w:cs="Arial"/>
        </w:rPr>
        <w:t>).</w:t>
      </w:r>
    </w:p>
    <w:p w14:paraId="6DE7DDF1" w14:textId="1213041C" w:rsidR="00B76B9D" w:rsidRDefault="00BB408C">
      <w:pPr>
        <w:spacing w:line="240" w:lineRule="auto"/>
        <w:jc w:val="both"/>
        <w:rPr>
          <w:rFonts w:ascii="Arial" w:eastAsia="Arial" w:hAnsi="Arial" w:cs="Arial"/>
        </w:rPr>
      </w:pPr>
      <w:r>
        <w:rPr>
          <w:rFonts w:ascii="Arial" w:eastAsia="Arial" w:hAnsi="Arial" w:cs="Arial"/>
          <w:i/>
          <w:iCs/>
        </w:rPr>
        <w:t>Escherichia coli</w:t>
      </w:r>
      <w:r>
        <w:rPr>
          <w:rFonts w:ascii="Arial" w:eastAsia="Arial" w:hAnsi="Arial" w:cs="Arial"/>
        </w:rPr>
        <w:t xml:space="preserve"> that </w:t>
      </w:r>
      <w:proofErr w:type="gramStart"/>
      <w:r>
        <w:rPr>
          <w:rFonts w:ascii="Arial" w:eastAsia="Arial" w:hAnsi="Arial" w:cs="Arial"/>
        </w:rPr>
        <w:t>is  typically</w:t>
      </w:r>
      <w:proofErr w:type="gramEnd"/>
      <w:r>
        <w:rPr>
          <w:rFonts w:ascii="Arial" w:eastAsia="Arial" w:hAnsi="Arial" w:cs="Arial"/>
        </w:rPr>
        <w:t xml:space="preserve"> associated with the gastrointestinal tract, was also isolated in significant numbers in this study. Its presence on stair rails can be attributed to inadequate hand hygiene practices following restroom use or indirect contamination from other surfaces. The detection of </w:t>
      </w:r>
      <w:r>
        <w:rPr>
          <w:rFonts w:ascii="Arial" w:eastAsia="Arial" w:hAnsi="Arial" w:cs="Arial"/>
          <w:i/>
          <w:iCs/>
        </w:rPr>
        <w:t xml:space="preserve">Pseudomonas </w:t>
      </w:r>
      <w:proofErr w:type="spellStart"/>
      <w:r>
        <w:rPr>
          <w:rFonts w:ascii="Arial" w:eastAsia="Arial" w:hAnsi="Arial" w:cs="Arial"/>
          <w:i/>
          <w:iCs/>
        </w:rPr>
        <w:t>spp</w:t>
      </w:r>
      <w:proofErr w:type="spellEnd"/>
      <w:r>
        <w:rPr>
          <w:rFonts w:ascii="Arial" w:eastAsia="Arial" w:hAnsi="Arial" w:cs="Arial"/>
        </w:rPr>
        <w:t xml:space="preserve"> and </w:t>
      </w:r>
      <w:r>
        <w:rPr>
          <w:rFonts w:ascii="Arial" w:eastAsia="Arial" w:hAnsi="Arial" w:cs="Arial"/>
          <w:i/>
          <w:iCs/>
        </w:rPr>
        <w:t>Proteus spp</w:t>
      </w:r>
      <w:r>
        <w:rPr>
          <w:rFonts w:ascii="Arial" w:eastAsia="Arial" w:hAnsi="Arial" w:cs="Arial"/>
        </w:rPr>
        <w:t xml:space="preserve">., both of which are opportunistic pathogens, further supports the notion that stair rails serve as fomite reservoirs for a range of potentially invasive organisms. As </w:t>
      </w:r>
      <w:proofErr w:type="spellStart"/>
      <w:r>
        <w:rPr>
          <w:rFonts w:ascii="Arial" w:eastAsia="Arial" w:hAnsi="Arial" w:cs="Arial"/>
        </w:rPr>
        <w:t>Chijioke</w:t>
      </w:r>
      <w:proofErr w:type="spellEnd"/>
      <w:r>
        <w:rPr>
          <w:rFonts w:ascii="Arial" w:eastAsia="Arial" w:hAnsi="Arial" w:cs="Arial"/>
        </w:rPr>
        <w:t xml:space="preserve">   </w:t>
      </w:r>
      <w:proofErr w:type="gramStart"/>
      <w:r>
        <w:rPr>
          <w:rFonts w:ascii="Arial" w:eastAsia="Arial" w:hAnsi="Arial" w:cs="Arial"/>
        </w:rPr>
        <w:t xml:space="preserve">and  </w:t>
      </w:r>
      <w:proofErr w:type="spellStart"/>
      <w:r>
        <w:rPr>
          <w:rFonts w:ascii="Arial" w:eastAsia="Arial" w:hAnsi="Arial" w:cs="Arial"/>
        </w:rPr>
        <w:t>Adaeze</w:t>
      </w:r>
      <w:proofErr w:type="spellEnd"/>
      <w:proofErr w:type="gramEnd"/>
      <w:r>
        <w:rPr>
          <w:rFonts w:ascii="Arial" w:eastAsia="Arial" w:hAnsi="Arial" w:cs="Arial"/>
        </w:rPr>
        <w:t xml:space="preserve"> documented, surfaces such as toilet door handles and stair rails in student accommodations </w:t>
      </w:r>
      <w:proofErr w:type="spellStart"/>
      <w:r>
        <w:rPr>
          <w:rFonts w:ascii="Arial" w:eastAsia="Arial" w:hAnsi="Arial" w:cs="Arial"/>
        </w:rPr>
        <w:t>harbored</w:t>
      </w:r>
      <w:proofErr w:type="spellEnd"/>
      <w:r>
        <w:rPr>
          <w:rFonts w:ascii="Arial" w:eastAsia="Arial" w:hAnsi="Arial" w:cs="Arial"/>
        </w:rPr>
        <w:t xml:space="preserve"> high levels of pathogenic bacteria due to poor hand hygiene and infrequent cleaning protocols (</w:t>
      </w:r>
      <w:r w:rsidR="000612D1">
        <w:rPr>
          <w:rFonts w:ascii="Arial" w:eastAsia="Arial" w:hAnsi="Arial" w:cs="Arial"/>
        </w:rPr>
        <w:t>13</w:t>
      </w:r>
      <w:r>
        <w:rPr>
          <w:rFonts w:ascii="Arial" w:eastAsia="Arial" w:hAnsi="Arial" w:cs="Arial"/>
        </w:rPr>
        <w:t>)</w:t>
      </w:r>
    </w:p>
    <w:p w14:paraId="733A4F86" w14:textId="77777777" w:rsidR="00B76B9D" w:rsidRDefault="00B76B9D">
      <w:pPr>
        <w:spacing w:after="0" w:line="480" w:lineRule="auto"/>
        <w:rPr>
          <w:rFonts w:ascii="Arial" w:eastAsia="Arial" w:hAnsi="Arial" w:cs="Arial"/>
          <w:b/>
          <w:bCs/>
        </w:rPr>
      </w:pPr>
    </w:p>
    <w:p w14:paraId="1F09B3F4" w14:textId="77777777" w:rsidR="00B76B9D" w:rsidRDefault="00B76B9D">
      <w:pPr>
        <w:spacing w:after="0" w:line="480" w:lineRule="auto"/>
        <w:rPr>
          <w:rFonts w:ascii="Arial" w:eastAsia="Arial" w:hAnsi="Arial" w:cs="Arial"/>
          <w:b/>
          <w:bCs/>
        </w:rPr>
      </w:pPr>
    </w:p>
    <w:p w14:paraId="52495D40" w14:textId="77777777" w:rsidR="00B76B9D" w:rsidRDefault="00B76B9D">
      <w:pPr>
        <w:spacing w:after="0" w:line="480" w:lineRule="auto"/>
        <w:rPr>
          <w:rFonts w:ascii="Arial" w:eastAsia="Arial" w:hAnsi="Arial" w:cs="Arial"/>
          <w:b/>
          <w:bCs/>
        </w:rPr>
      </w:pPr>
    </w:p>
    <w:p w14:paraId="6DC7C6F7" w14:textId="5FC706FC" w:rsidR="00B76B9D" w:rsidRDefault="00B76B9D">
      <w:pPr>
        <w:spacing w:after="0" w:line="480" w:lineRule="auto"/>
        <w:rPr>
          <w:rFonts w:ascii="Arial" w:eastAsia="Arial" w:hAnsi="Arial" w:cs="Arial"/>
          <w:b/>
          <w:bCs/>
        </w:rPr>
      </w:pPr>
    </w:p>
    <w:p w14:paraId="7163D580" w14:textId="1E02752E" w:rsidR="00CB2FA4" w:rsidRDefault="00CB2FA4">
      <w:pPr>
        <w:spacing w:after="0" w:line="480" w:lineRule="auto"/>
        <w:rPr>
          <w:rFonts w:ascii="Arial" w:eastAsia="Arial" w:hAnsi="Arial" w:cs="Arial"/>
          <w:b/>
          <w:bCs/>
        </w:rPr>
      </w:pPr>
    </w:p>
    <w:p w14:paraId="5F562BEB" w14:textId="07DFB7C8" w:rsidR="00CB2FA4" w:rsidRDefault="00CB2FA4">
      <w:pPr>
        <w:spacing w:after="0" w:line="480" w:lineRule="auto"/>
        <w:rPr>
          <w:rFonts w:ascii="Arial" w:eastAsia="Arial" w:hAnsi="Arial" w:cs="Arial"/>
          <w:b/>
          <w:bCs/>
        </w:rPr>
      </w:pPr>
    </w:p>
    <w:p w14:paraId="2C9A2C3B" w14:textId="319F8C3B" w:rsidR="00CB2FA4" w:rsidRDefault="00CB2FA4">
      <w:pPr>
        <w:spacing w:after="0" w:line="480" w:lineRule="auto"/>
        <w:rPr>
          <w:rFonts w:ascii="Arial" w:eastAsia="Arial" w:hAnsi="Arial" w:cs="Arial"/>
          <w:b/>
          <w:bCs/>
        </w:rPr>
      </w:pPr>
    </w:p>
    <w:p w14:paraId="50D38122" w14:textId="77777777" w:rsidR="00CB2FA4" w:rsidRDefault="00CB2FA4">
      <w:pPr>
        <w:spacing w:after="0" w:line="480" w:lineRule="auto"/>
        <w:rPr>
          <w:rFonts w:ascii="Arial" w:eastAsia="Arial" w:hAnsi="Arial" w:cs="Arial"/>
          <w:b/>
          <w:bCs/>
        </w:rPr>
      </w:pPr>
    </w:p>
    <w:p w14:paraId="2428F442" w14:textId="77777777" w:rsidR="00B76B9D" w:rsidRDefault="00BB408C">
      <w:pPr>
        <w:spacing w:after="0" w:line="480" w:lineRule="auto"/>
        <w:rPr>
          <w:rFonts w:ascii="Arial" w:eastAsia="Arial" w:hAnsi="Arial" w:cs="Arial"/>
          <w:b/>
          <w:bCs/>
        </w:rPr>
      </w:pPr>
      <w:r>
        <w:rPr>
          <w:rFonts w:ascii="Arial" w:eastAsia="Arial" w:hAnsi="Arial" w:cs="Arial"/>
          <w:b/>
          <w:bCs/>
        </w:rPr>
        <w:t>Table 2. shows antibiotic sensitivity of different antibiotics used for the study</w:t>
      </w:r>
    </w:p>
    <w:tbl>
      <w:tblPr>
        <w:tblStyle w:val="a0"/>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76B9D" w14:paraId="7B7586E0" w14:textId="77777777">
        <w:tc>
          <w:tcPr>
            <w:tcW w:w="9016" w:type="dxa"/>
            <w:tcBorders>
              <w:left w:val="nil"/>
              <w:bottom w:val="single" w:sz="4" w:space="0" w:color="000000"/>
              <w:right w:val="nil"/>
            </w:tcBorders>
          </w:tcPr>
          <w:p w14:paraId="522F4BA3" w14:textId="77777777" w:rsidR="00B76B9D" w:rsidRDefault="00BB408C">
            <w:pPr>
              <w:spacing w:line="480" w:lineRule="auto"/>
              <w:rPr>
                <w:rFonts w:ascii="Arial" w:eastAsia="Arial" w:hAnsi="Arial" w:cs="Arial"/>
                <w:b/>
                <w:bCs/>
              </w:rPr>
            </w:pPr>
            <w:r>
              <w:rPr>
                <w:rFonts w:ascii="Arial" w:eastAsia="Arial" w:hAnsi="Arial" w:cs="Arial"/>
              </w:rPr>
              <w:t>Antibiotics                       Susceptible                %                    Resistant             %</w:t>
            </w:r>
          </w:p>
        </w:tc>
      </w:tr>
      <w:tr w:rsidR="00B76B9D" w14:paraId="138087CC" w14:textId="77777777">
        <w:trPr>
          <w:trHeight w:val="3144"/>
        </w:trPr>
        <w:tc>
          <w:tcPr>
            <w:tcW w:w="9016" w:type="dxa"/>
            <w:tcBorders>
              <w:left w:val="nil"/>
              <w:bottom w:val="single" w:sz="4" w:space="0" w:color="000000"/>
              <w:right w:val="nil"/>
            </w:tcBorders>
          </w:tcPr>
          <w:p w14:paraId="66C43755" w14:textId="77777777" w:rsidR="00B76B9D" w:rsidRDefault="00BB408C">
            <w:pPr>
              <w:rPr>
                <w:rFonts w:ascii="Arial" w:eastAsia="Arial" w:hAnsi="Arial" w:cs="Arial"/>
              </w:rPr>
            </w:pPr>
            <w:r>
              <w:rPr>
                <w:rFonts w:ascii="Arial" w:eastAsia="Arial" w:hAnsi="Arial" w:cs="Arial"/>
              </w:rPr>
              <w:t xml:space="preserve">Ceftazidime 30ug                    15                     100 .00                  0                   0                                                                                                                                </w:t>
            </w:r>
          </w:p>
          <w:p w14:paraId="108BB0BE" w14:textId="77777777" w:rsidR="00B76B9D" w:rsidRDefault="00BB408C">
            <w:pPr>
              <w:rPr>
                <w:rFonts w:ascii="Arial" w:eastAsia="Arial" w:hAnsi="Arial" w:cs="Arial"/>
              </w:rPr>
            </w:pPr>
            <w:r>
              <w:rPr>
                <w:rFonts w:ascii="Arial" w:eastAsia="Arial" w:hAnsi="Arial" w:cs="Arial"/>
              </w:rPr>
              <w:t>Cefuroxime 30ug                    15                     100.00                    0                    0</w:t>
            </w:r>
          </w:p>
          <w:p w14:paraId="5A081BF9" w14:textId="77777777" w:rsidR="00B76B9D" w:rsidRDefault="00BB408C">
            <w:pPr>
              <w:rPr>
                <w:rFonts w:ascii="Arial" w:eastAsia="Arial" w:hAnsi="Arial" w:cs="Arial"/>
              </w:rPr>
            </w:pPr>
            <w:r>
              <w:rPr>
                <w:rFonts w:ascii="Arial" w:eastAsia="Arial" w:hAnsi="Arial" w:cs="Arial"/>
              </w:rPr>
              <w:t>Gentamycin 10ug                   11                      73.33                      4                 26.67</w:t>
            </w:r>
          </w:p>
          <w:p w14:paraId="04260D15" w14:textId="77777777" w:rsidR="00B76B9D" w:rsidRDefault="00BB408C">
            <w:pPr>
              <w:rPr>
                <w:rFonts w:ascii="Arial" w:eastAsia="Arial" w:hAnsi="Arial" w:cs="Arial"/>
              </w:rPr>
            </w:pPr>
            <w:r>
              <w:rPr>
                <w:rFonts w:ascii="Arial" w:eastAsia="Arial" w:hAnsi="Arial" w:cs="Arial"/>
              </w:rPr>
              <w:t>Ceftriaxone 30ug                    10                      66.67                      5                 33.33</w:t>
            </w:r>
          </w:p>
          <w:p w14:paraId="42D08824" w14:textId="77777777" w:rsidR="00B76B9D" w:rsidRDefault="00BB408C">
            <w:pPr>
              <w:rPr>
                <w:rFonts w:ascii="Arial" w:eastAsia="Arial" w:hAnsi="Arial" w:cs="Arial"/>
              </w:rPr>
            </w:pPr>
            <w:r>
              <w:rPr>
                <w:rFonts w:ascii="Arial" w:eastAsia="Arial" w:hAnsi="Arial" w:cs="Arial"/>
              </w:rPr>
              <w:t>Erythromycin 5ug                   15                     100.00                     0                   0</w:t>
            </w:r>
          </w:p>
          <w:p w14:paraId="550398AE" w14:textId="77777777" w:rsidR="00B76B9D" w:rsidRDefault="00BB408C">
            <w:pPr>
              <w:rPr>
                <w:rFonts w:ascii="Arial" w:eastAsia="Arial" w:hAnsi="Arial" w:cs="Arial"/>
              </w:rPr>
            </w:pPr>
            <w:proofErr w:type="spellStart"/>
            <w:r>
              <w:rPr>
                <w:rFonts w:ascii="Arial" w:eastAsia="Arial" w:hAnsi="Arial" w:cs="Arial"/>
              </w:rPr>
              <w:t>Cloxacilin</w:t>
            </w:r>
            <w:proofErr w:type="spellEnd"/>
            <w:r>
              <w:rPr>
                <w:rFonts w:ascii="Arial" w:eastAsia="Arial" w:hAnsi="Arial" w:cs="Arial"/>
              </w:rPr>
              <w:t xml:space="preserve"> 5ug                         12                     80.00                      3                 20.00</w:t>
            </w:r>
          </w:p>
          <w:p w14:paraId="06052F9E" w14:textId="77777777" w:rsidR="00B76B9D" w:rsidRDefault="00BB408C">
            <w:pPr>
              <w:rPr>
                <w:rFonts w:ascii="Arial" w:eastAsia="Arial" w:hAnsi="Arial" w:cs="Arial"/>
              </w:rPr>
            </w:pPr>
            <w:r>
              <w:rPr>
                <w:rFonts w:ascii="Arial" w:eastAsia="Arial" w:hAnsi="Arial" w:cs="Arial"/>
              </w:rPr>
              <w:t>Ofloxacin 5ug                         10                      66.67                      5                 33.33</w:t>
            </w:r>
          </w:p>
          <w:p w14:paraId="1000832A" w14:textId="77777777" w:rsidR="00B76B9D" w:rsidRDefault="00BB408C">
            <w:pPr>
              <w:rPr>
                <w:rFonts w:ascii="Arial" w:eastAsia="Arial" w:hAnsi="Arial" w:cs="Arial"/>
              </w:rPr>
            </w:pPr>
            <w:r>
              <w:rPr>
                <w:rFonts w:ascii="Arial" w:eastAsia="Arial" w:hAnsi="Arial" w:cs="Arial"/>
              </w:rPr>
              <w:t>Augmentin 30ug                      9                       60.00                       6                40.00</w:t>
            </w:r>
          </w:p>
          <w:p w14:paraId="7EB48FA9" w14:textId="77777777" w:rsidR="00B76B9D" w:rsidRDefault="00BB408C">
            <w:pPr>
              <w:rPr>
                <w:rFonts w:ascii="Arial" w:eastAsia="Arial" w:hAnsi="Arial" w:cs="Arial"/>
              </w:rPr>
            </w:pPr>
            <w:r>
              <w:rPr>
                <w:rFonts w:ascii="Arial" w:eastAsia="Arial" w:hAnsi="Arial" w:cs="Arial"/>
              </w:rPr>
              <w:t>Cefixime 5ug                          11                      73.33                       4                26.67</w:t>
            </w:r>
          </w:p>
          <w:p w14:paraId="6FF84971" w14:textId="77777777" w:rsidR="00B76B9D" w:rsidRDefault="00BB408C">
            <w:pPr>
              <w:rPr>
                <w:rFonts w:ascii="Arial" w:eastAsia="Arial" w:hAnsi="Arial" w:cs="Arial"/>
              </w:rPr>
            </w:pPr>
            <w:proofErr w:type="spellStart"/>
            <w:r>
              <w:rPr>
                <w:rFonts w:ascii="Arial" w:eastAsia="Arial" w:hAnsi="Arial" w:cs="Arial"/>
              </w:rPr>
              <w:t>Nitrofuratoin</w:t>
            </w:r>
            <w:proofErr w:type="spellEnd"/>
            <w:r>
              <w:rPr>
                <w:rFonts w:ascii="Arial" w:eastAsia="Arial" w:hAnsi="Arial" w:cs="Arial"/>
              </w:rPr>
              <w:t xml:space="preserve"> 30ug                  12                      80.00                       3                20.00</w:t>
            </w:r>
          </w:p>
          <w:p w14:paraId="2326686B" w14:textId="77777777" w:rsidR="00B76B9D" w:rsidRDefault="00BB408C">
            <w:pPr>
              <w:rPr>
                <w:rFonts w:ascii="Arial" w:eastAsia="Arial" w:hAnsi="Arial" w:cs="Arial"/>
              </w:rPr>
            </w:pPr>
            <w:r>
              <w:rPr>
                <w:rFonts w:ascii="Arial" w:eastAsia="Arial" w:hAnsi="Arial" w:cs="Arial"/>
              </w:rPr>
              <w:t xml:space="preserve">Ciprofloxacin 5ug                    9                       60.00                       6                40.00                                                                                   </w:t>
            </w:r>
          </w:p>
        </w:tc>
      </w:tr>
    </w:tbl>
    <w:p w14:paraId="44E6560E" w14:textId="77777777" w:rsidR="00B76B9D" w:rsidRDefault="00BB408C">
      <w:pPr>
        <w:rPr>
          <w:rFonts w:ascii="Arial" w:eastAsia="Arial" w:hAnsi="Arial" w:cs="Arial"/>
        </w:rPr>
      </w:pPr>
      <w:r>
        <w:rPr>
          <w:rFonts w:ascii="Arial" w:eastAsia="Arial" w:hAnsi="Arial" w:cs="Arial"/>
        </w:rPr>
        <w:t xml:space="preserve">95% </w:t>
      </w:r>
      <w:proofErr w:type="gramStart"/>
      <w:r>
        <w:rPr>
          <w:rFonts w:ascii="Arial" w:eastAsia="Arial" w:hAnsi="Arial" w:cs="Arial"/>
        </w:rPr>
        <w:t>confidence  interval</w:t>
      </w:r>
      <w:proofErr w:type="gramEnd"/>
      <w:r>
        <w:rPr>
          <w:rFonts w:ascii="Arial" w:eastAsia="Arial" w:hAnsi="Arial" w:cs="Arial"/>
        </w:rPr>
        <w:t xml:space="preserve">           P value =0.3            remark = not significant</w:t>
      </w:r>
    </w:p>
    <w:p w14:paraId="538032B9" w14:textId="081E32CB" w:rsidR="00B76B9D" w:rsidRDefault="00BB408C">
      <w:pPr>
        <w:spacing w:line="240" w:lineRule="auto"/>
        <w:jc w:val="both"/>
        <w:rPr>
          <w:rFonts w:ascii="Arial" w:eastAsia="Arial" w:hAnsi="Arial" w:cs="Arial"/>
        </w:rPr>
      </w:pPr>
      <w:r>
        <w:rPr>
          <w:rFonts w:ascii="Arial" w:eastAsia="Arial" w:hAnsi="Arial" w:cs="Arial"/>
        </w:rPr>
        <w:t xml:space="preserve">A critical component of this study was the antimicrobial susceptibility testing (AST) performed using the Kirby-Bauer disk diffusion method, a standardized and globally accepted approach for evaluating bacterial resistance. Among all isolates, Proteus spp. exhibited the highest susceptibility rate (90.9%), while </w:t>
      </w:r>
      <w:r>
        <w:rPr>
          <w:rFonts w:ascii="Arial" w:eastAsia="Arial" w:hAnsi="Arial" w:cs="Arial"/>
          <w:i/>
          <w:iCs/>
        </w:rPr>
        <w:t xml:space="preserve">Pseudomonas </w:t>
      </w:r>
      <w:proofErr w:type="spellStart"/>
      <w:r>
        <w:rPr>
          <w:rFonts w:ascii="Arial" w:eastAsia="Arial" w:hAnsi="Arial" w:cs="Arial"/>
          <w:i/>
          <w:iCs/>
        </w:rPr>
        <w:t>spp</w:t>
      </w:r>
      <w:proofErr w:type="spellEnd"/>
      <w:r>
        <w:rPr>
          <w:rFonts w:ascii="Arial" w:eastAsia="Arial" w:hAnsi="Arial" w:cs="Arial"/>
        </w:rPr>
        <w:t xml:space="preserve"> displayed the highest resistance rate at 45.5%. These findings align with global resistance trends where </w:t>
      </w:r>
      <w:proofErr w:type="spellStart"/>
      <w:r>
        <w:rPr>
          <w:rFonts w:ascii="Arial" w:eastAsia="Arial" w:hAnsi="Arial" w:cs="Arial"/>
          <w:i/>
          <w:iCs/>
        </w:rPr>
        <w:t>Pseudomonas.spp</w:t>
      </w:r>
      <w:proofErr w:type="spellEnd"/>
      <w:r>
        <w:rPr>
          <w:rFonts w:ascii="Arial" w:eastAsia="Arial" w:hAnsi="Arial" w:cs="Arial"/>
        </w:rPr>
        <w:t>—notorious for its intrinsic resistance mechanisms and capacity to form biofilms—frequently demonstrates poor response to common antibiotics (</w:t>
      </w:r>
      <w:r w:rsidR="000612D1">
        <w:rPr>
          <w:rFonts w:ascii="Arial" w:eastAsia="Arial" w:hAnsi="Arial" w:cs="Arial"/>
        </w:rPr>
        <w:t>14</w:t>
      </w:r>
      <w:r>
        <w:rPr>
          <w:rFonts w:ascii="Arial" w:eastAsia="Arial" w:hAnsi="Arial" w:cs="Arial"/>
        </w:rPr>
        <w:t>).</w:t>
      </w:r>
    </w:p>
    <w:p w14:paraId="7826C2AA" w14:textId="7D4FFBED" w:rsidR="00B76B9D" w:rsidRDefault="00BB408C">
      <w:pPr>
        <w:spacing w:line="240" w:lineRule="auto"/>
        <w:jc w:val="both"/>
        <w:rPr>
          <w:rFonts w:ascii="Arial" w:eastAsia="Arial" w:hAnsi="Arial" w:cs="Arial"/>
        </w:rPr>
      </w:pPr>
      <w:r>
        <w:rPr>
          <w:rFonts w:ascii="Arial" w:eastAsia="Arial" w:hAnsi="Arial" w:cs="Arial"/>
        </w:rPr>
        <w:t xml:space="preserve">Interestingly, antibiotics such as ceftazidime, cefuroxime, and erythromycin showed 100% efficacy against the isolates, while ciprofloxacin and </w:t>
      </w:r>
      <w:proofErr w:type="spellStart"/>
      <w:r>
        <w:rPr>
          <w:rFonts w:ascii="Arial" w:eastAsia="Arial" w:hAnsi="Arial" w:cs="Arial"/>
        </w:rPr>
        <w:t>augmentin</w:t>
      </w:r>
      <w:proofErr w:type="spellEnd"/>
      <w:r>
        <w:rPr>
          <w:rFonts w:ascii="Arial" w:eastAsia="Arial" w:hAnsi="Arial" w:cs="Arial"/>
        </w:rPr>
        <w:t xml:space="preserve"> had only 60% efficacy. These data are consistent with other surveillance reports, including those by Yong and </w:t>
      </w:r>
      <w:proofErr w:type="spellStart"/>
      <w:r>
        <w:rPr>
          <w:rFonts w:ascii="Arial" w:eastAsia="Arial" w:hAnsi="Arial" w:cs="Arial"/>
        </w:rPr>
        <w:t>Calautit</w:t>
      </w:r>
      <w:proofErr w:type="spellEnd"/>
      <w:r>
        <w:rPr>
          <w:rFonts w:ascii="Arial" w:eastAsia="Arial" w:hAnsi="Arial" w:cs="Arial"/>
        </w:rPr>
        <w:t>, which suggest that third-generation cephalosporins continue to perform reliably against Gram-negative and Gram-positive pathogens, although overuse may soon compromise their effectiveness (</w:t>
      </w:r>
      <w:r w:rsidR="000612D1">
        <w:rPr>
          <w:rFonts w:ascii="Arial" w:eastAsia="Arial" w:hAnsi="Arial" w:cs="Arial"/>
        </w:rPr>
        <w:t>15</w:t>
      </w:r>
      <w:r>
        <w:rPr>
          <w:rFonts w:ascii="Arial" w:eastAsia="Arial" w:hAnsi="Arial" w:cs="Arial"/>
        </w:rPr>
        <w:t>).</w:t>
      </w:r>
    </w:p>
    <w:p w14:paraId="0206DD56" w14:textId="77777777" w:rsidR="00B76B9D" w:rsidRDefault="00BB408C">
      <w:pPr>
        <w:spacing w:line="240" w:lineRule="auto"/>
        <w:jc w:val="both"/>
        <w:rPr>
          <w:rFonts w:ascii="Arial" w:eastAsia="Arial" w:hAnsi="Arial" w:cs="Arial"/>
        </w:rPr>
      </w:pPr>
      <w:r>
        <w:rPr>
          <w:rFonts w:ascii="Arial" w:eastAsia="Arial" w:hAnsi="Arial" w:cs="Arial"/>
        </w:rPr>
        <w:t xml:space="preserve">Despite relatively high susceptibility rates to some antibiotics, a significant proportion of isolates exhibited resistance to multiple drugs. Notably, 18.2% of </w:t>
      </w:r>
      <w:r>
        <w:rPr>
          <w:rFonts w:ascii="Arial" w:eastAsia="Arial" w:hAnsi="Arial" w:cs="Arial"/>
          <w:i/>
          <w:iCs/>
        </w:rPr>
        <w:t>Staphylococcus spp.</w:t>
      </w:r>
      <w:r>
        <w:rPr>
          <w:rFonts w:ascii="Arial" w:eastAsia="Arial" w:hAnsi="Arial" w:cs="Arial"/>
        </w:rPr>
        <w:t xml:space="preserve"> and 27.3% of </w:t>
      </w:r>
      <w:r>
        <w:rPr>
          <w:rFonts w:ascii="Arial" w:eastAsia="Arial" w:hAnsi="Arial" w:cs="Arial"/>
          <w:i/>
          <w:iCs/>
        </w:rPr>
        <w:t>Escherichia. coli</w:t>
      </w:r>
      <w:r>
        <w:rPr>
          <w:rFonts w:ascii="Arial" w:eastAsia="Arial" w:hAnsi="Arial" w:cs="Arial"/>
        </w:rPr>
        <w:t xml:space="preserve"> was resistant to more than two antibiotics. The presence of these multidrug-resistant (MDR) strains on stair rails is alarming and has profound implications for public health and institutional hygiene. </w:t>
      </w:r>
    </w:p>
    <w:p w14:paraId="5C65DD2B" w14:textId="7AC65C5E" w:rsidR="00B76B9D" w:rsidRDefault="00BB408C">
      <w:pPr>
        <w:spacing w:line="240" w:lineRule="auto"/>
        <w:jc w:val="both"/>
        <w:rPr>
          <w:rFonts w:ascii="Arial" w:eastAsia="Arial" w:hAnsi="Arial" w:cs="Arial"/>
        </w:rPr>
      </w:pPr>
      <w:r>
        <w:rPr>
          <w:rFonts w:ascii="Arial" w:eastAsia="Arial" w:hAnsi="Arial" w:cs="Arial"/>
        </w:rPr>
        <w:t>Environmental conditions further exacerbate the AMR problem. Humidity, poor ventilation, and high traffic density in stairwells create microenvironments conducive to bacterial survival. According to (</w:t>
      </w:r>
      <w:r w:rsidR="000612D1">
        <w:rPr>
          <w:rFonts w:ascii="Arial" w:eastAsia="Arial" w:hAnsi="Arial" w:cs="Arial"/>
        </w:rPr>
        <w:t>16</w:t>
      </w:r>
      <w:r>
        <w:rPr>
          <w:rFonts w:ascii="Arial" w:eastAsia="Arial" w:hAnsi="Arial" w:cs="Arial"/>
        </w:rPr>
        <w:t>) these abiotic surfaces support biofilm formation, which enhances bacterial resistance by physically protecting microorganisms from environmental stressors and disinfectants (</w:t>
      </w:r>
      <w:r w:rsidR="000612D1">
        <w:rPr>
          <w:rFonts w:ascii="Arial" w:eastAsia="Arial" w:hAnsi="Arial" w:cs="Arial"/>
        </w:rPr>
        <w:t>16</w:t>
      </w:r>
      <w:r>
        <w:rPr>
          <w:rFonts w:ascii="Arial" w:eastAsia="Arial" w:hAnsi="Arial" w:cs="Arial"/>
        </w:rPr>
        <w:t>). Once biofilms establish, even routine cleaning with disinfectants may not suffice to eradicate the microbial load completely.</w:t>
      </w:r>
    </w:p>
    <w:p w14:paraId="4AE2ABEA" w14:textId="77777777" w:rsidR="00B76B9D" w:rsidRDefault="00B76B9D">
      <w:pPr>
        <w:spacing w:line="240" w:lineRule="auto"/>
        <w:jc w:val="both"/>
        <w:rPr>
          <w:rFonts w:ascii="Arial" w:eastAsia="Arial" w:hAnsi="Arial" w:cs="Arial"/>
        </w:rPr>
      </w:pPr>
    </w:p>
    <w:p w14:paraId="74EA130F" w14:textId="3426667B" w:rsidR="00B76B9D" w:rsidRDefault="00B76B9D">
      <w:pPr>
        <w:spacing w:line="240" w:lineRule="auto"/>
        <w:jc w:val="both"/>
        <w:rPr>
          <w:rFonts w:ascii="Arial" w:eastAsia="Arial" w:hAnsi="Arial" w:cs="Arial"/>
        </w:rPr>
      </w:pPr>
    </w:p>
    <w:p w14:paraId="40365912" w14:textId="0003EB76" w:rsidR="00A21837" w:rsidRDefault="00A21837">
      <w:pPr>
        <w:spacing w:line="240" w:lineRule="auto"/>
        <w:jc w:val="both"/>
        <w:rPr>
          <w:rFonts w:ascii="Arial" w:eastAsia="Arial" w:hAnsi="Arial" w:cs="Arial"/>
        </w:rPr>
      </w:pPr>
    </w:p>
    <w:p w14:paraId="316CB67B" w14:textId="32A15165" w:rsidR="00A21837" w:rsidRDefault="00A21837">
      <w:pPr>
        <w:spacing w:line="240" w:lineRule="auto"/>
        <w:jc w:val="both"/>
        <w:rPr>
          <w:rFonts w:ascii="Arial" w:eastAsia="Arial" w:hAnsi="Arial" w:cs="Arial"/>
        </w:rPr>
      </w:pPr>
    </w:p>
    <w:p w14:paraId="71BC66A5" w14:textId="77777777" w:rsidR="00A21837" w:rsidRDefault="00A21837">
      <w:pPr>
        <w:spacing w:line="240" w:lineRule="auto"/>
        <w:jc w:val="both"/>
        <w:rPr>
          <w:rFonts w:ascii="Arial" w:eastAsia="Arial" w:hAnsi="Arial" w:cs="Arial"/>
        </w:rPr>
      </w:pPr>
    </w:p>
    <w:p w14:paraId="52EA2B99" w14:textId="77777777" w:rsidR="00B76B9D" w:rsidRDefault="00B76B9D">
      <w:pPr>
        <w:spacing w:line="240" w:lineRule="auto"/>
        <w:jc w:val="both"/>
        <w:rPr>
          <w:rFonts w:ascii="Arial" w:eastAsia="Arial" w:hAnsi="Arial" w:cs="Arial"/>
        </w:rPr>
      </w:pPr>
    </w:p>
    <w:p w14:paraId="7C975DE0" w14:textId="77777777" w:rsidR="00B76B9D" w:rsidRDefault="00B76B9D">
      <w:pPr>
        <w:spacing w:line="276" w:lineRule="auto"/>
        <w:rPr>
          <w:b/>
          <w:bCs/>
          <w:sz w:val="24"/>
          <w:szCs w:val="24"/>
        </w:rPr>
      </w:pPr>
      <w:bookmarkStart w:id="2" w:name="_6vyjnmsyew86" w:colFirst="0" w:colLast="0"/>
      <w:bookmarkEnd w:id="2"/>
    </w:p>
    <w:p w14:paraId="55F95DA6" w14:textId="77777777" w:rsidR="00B76B9D" w:rsidRDefault="00BB408C">
      <w:pPr>
        <w:spacing w:line="276" w:lineRule="auto"/>
        <w:rPr>
          <w:b/>
          <w:bCs/>
          <w:sz w:val="24"/>
          <w:szCs w:val="24"/>
        </w:rPr>
      </w:pPr>
      <w:r>
        <w:rPr>
          <w:b/>
          <w:bCs/>
          <w:sz w:val="24"/>
          <w:szCs w:val="24"/>
        </w:rPr>
        <w:t>Table 3. Shows the organisms isolated from the various buildings.</w:t>
      </w:r>
    </w:p>
    <w:tbl>
      <w:tblPr>
        <w:tblStyle w:val="a1"/>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76B9D" w14:paraId="720478CD" w14:textId="77777777">
        <w:tc>
          <w:tcPr>
            <w:tcW w:w="9016" w:type="dxa"/>
            <w:tcBorders>
              <w:left w:val="nil"/>
              <w:right w:val="nil"/>
            </w:tcBorders>
          </w:tcPr>
          <w:p w14:paraId="5A8A8C22" w14:textId="77777777" w:rsidR="00B76B9D" w:rsidRDefault="00BB408C">
            <w:pPr>
              <w:spacing w:line="276" w:lineRule="auto"/>
              <w:rPr>
                <w:b/>
                <w:bCs/>
              </w:rPr>
            </w:pPr>
            <w:bookmarkStart w:id="3" w:name="_w2bm6kbltf9o" w:colFirst="0" w:colLast="0"/>
            <w:bookmarkEnd w:id="3"/>
            <w:r>
              <w:rPr>
                <w:b/>
                <w:bCs/>
              </w:rPr>
              <w:t xml:space="preserve">Sites      </w:t>
            </w:r>
            <w:proofErr w:type="spellStart"/>
            <w:proofErr w:type="gramStart"/>
            <w:r>
              <w:rPr>
                <w:b/>
                <w:bCs/>
              </w:rPr>
              <w:t>S.aureus</w:t>
            </w:r>
            <w:proofErr w:type="spellEnd"/>
            <w:proofErr w:type="gramEnd"/>
            <w:r>
              <w:rPr>
                <w:b/>
                <w:bCs/>
              </w:rPr>
              <w:t xml:space="preserve">      </w:t>
            </w:r>
            <w:proofErr w:type="spellStart"/>
            <w:r>
              <w:rPr>
                <w:b/>
                <w:bCs/>
              </w:rPr>
              <w:t>Staphy.spp</w:t>
            </w:r>
            <w:proofErr w:type="spellEnd"/>
            <w:r>
              <w:rPr>
                <w:b/>
                <w:bCs/>
              </w:rPr>
              <w:t xml:space="preserve">    Pseudomonas </w:t>
            </w:r>
            <w:proofErr w:type="spellStart"/>
            <w:r>
              <w:rPr>
                <w:b/>
                <w:bCs/>
              </w:rPr>
              <w:t>spp</w:t>
            </w:r>
            <w:proofErr w:type="spellEnd"/>
            <w:r>
              <w:rPr>
                <w:b/>
                <w:bCs/>
              </w:rPr>
              <w:t xml:space="preserve">   </w:t>
            </w:r>
            <w:proofErr w:type="spellStart"/>
            <w:r>
              <w:rPr>
                <w:b/>
                <w:bCs/>
              </w:rPr>
              <w:t>Serratia.spp</w:t>
            </w:r>
            <w:proofErr w:type="spellEnd"/>
            <w:r>
              <w:rPr>
                <w:b/>
                <w:bCs/>
              </w:rPr>
              <w:t xml:space="preserve">     E.coli    Proteus </w:t>
            </w:r>
            <w:proofErr w:type="spellStart"/>
            <w:r>
              <w:rPr>
                <w:b/>
                <w:bCs/>
              </w:rPr>
              <w:t>spp</w:t>
            </w:r>
            <w:proofErr w:type="spellEnd"/>
            <w:r>
              <w:rPr>
                <w:b/>
                <w:bCs/>
              </w:rPr>
              <w:t xml:space="preserve">     Total  </w:t>
            </w:r>
          </w:p>
          <w:p w14:paraId="102EE499" w14:textId="77777777" w:rsidR="00B76B9D" w:rsidRDefault="00B76B9D">
            <w:pPr>
              <w:spacing w:line="276" w:lineRule="auto"/>
              <w:rPr>
                <w:b/>
                <w:bCs/>
              </w:rPr>
            </w:pPr>
          </w:p>
        </w:tc>
      </w:tr>
      <w:tr w:rsidR="00B76B9D" w14:paraId="1CEDE604" w14:textId="77777777">
        <w:tc>
          <w:tcPr>
            <w:tcW w:w="9016" w:type="dxa"/>
            <w:tcBorders>
              <w:left w:val="nil"/>
              <w:right w:val="nil"/>
            </w:tcBorders>
          </w:tcPr>
          <w:p w14:paraId="309B4BA8" w14:textId="77777777" w:rsidR="00B76B9D" w:rsidRDefault="00BB408C">
            <w:pPr>
              <w:jc w:val="both"/>
            </w:pPr>
            <w:r>
              <w:t>Admin               1                                                                                                       2                                      3</w:t>
            </w:r>
          </w:p>
          <w:p w14:paraId="50B2372F" w14:textId="77777777" w:rsidR="00B76B9D" w:rsidRDefault="00B76B9D">
            <w:pPr>
              <w:jc w:val="both"/>
            </w:pPr>
          </w:p>
          <w:p w14:paraId="5FFBE708" w14:textId="77777777" w:rsidR="00B76B9D" w:rsidRDefault="00BB408C">
            <w:pPr>
              <w:jc w:val="both"/>
            </w:pPr>
            <w:r>
              <w:t>O and G             1                                                                                                                                               1</w:t>
            </w:r>
          </w:p>
          <w:p w14:paraId="5DDAF964" w14:textId="77777777" w:rsidR="00B76B9D" w:rsidRDefault="00B76B9D">
            <w:pPr>
              <w:jc w:val="both"/>
            </w:pPr>
          </w:p>
          <w:p w14:paraId="349E6937" w14:textId="77777777" w:rsidR="00B76B9D" w:rsidRDefault="00BB408C">
            <w:pPr>
              <w:jc w:val="both"/>
            </w:pPr>
            <w:r>
              <w:t>LAB                                             1                     1                                                                                              2</w:t>
            </w:r>
          </w:p>
          <w:p w14:paraId="3C372E6F" w14:textId="77777777" w:rsidR="00B76B9D" w:rsidRDefault="00B76B9D">
            <w:pPr>
              <w:jc w:val="both"/>
            </w:pPr>
          </w:p>
          <w:p w14:paraId="2BFD2ECB" w14:textId="77777777" w:rsidR="00B76B9D" w:rsidRDefault="00BB408C">
            <w:pPr>
              <w:jc w:val="both"/>
            </w:pPr>
            <w:proofErr w:type="spellStart"/>
            <w:r>
              <w:t>Orthopedic</w:t>
            </w:r>
            <w:proofErr w:type="spellEnd"/>
            <w:r>
              <w:t xml:space="preserve">                               1                                                                           1                                        2</w:t>
            </w:r>
          </w:p>
          <w:p w14:paraId="2AF8ECC0" w14:textId="77777777" w:rsidR="00B76B9D" w:rsidRDefault="00B76B9D">
            <w:pPr>
              <w:jc w:val="both"/>
            </w:pPr>
          </w:p>
          <w:p w14:paraId="2A9F54C6" w14:textId="77777777" w:rsidR="00B76B9D" w:rsidRDefault="00BB408C">
            <w:pPr>
              <w:jc w:val="both"/>
            </w:pPr>
            <w:r>
              <w:t>Casualty                                     1                                                    1                                                              2</w:t>
            </w:r>
          </w:p>
          <w:p w14:paraId="3D83ED4C" w14:textId="77777777" w:rsidR="00B76B9D" w:rsidRDefault="00B76B9D">
            <w:pPr>
              <w:jc w:val="both"/>
            </w:pPr>
          </w:p>
          <w:p w14:paraId="09334D63" w14:textId="77777777" w:rsidR="00B76B9D" w:rsidRDefault="00BB408C">
            <w:pPr>
              <w:jc w:val="both"/>
            </w:pPr>
            <w:r>
              <w:t>Records                                     2                                                                           1                                        3</w:t>
            </w:r>
          </w:p>
          <w:p w14:paraId="102C7B1A" w14:textId="77777777" w:rsidR="00B76B9D" w:rsidRDefault="00B76B9D">
            <w:pPr>
              <w:jc w:val="both"/>
            </w:pPr>
          </w:p>
          <w:p w14:paraId="157B4766" w14:textId="77777777" w:rsidR="00B76B9D" w:rsidRDefault="00BB408C">
            <w:pPr>
              <w:jc w:val="both"/>
            </w:pPr>
            <w:r>
              <w:t xml:space="preserve">NHIS                                                                                                                                           2                    2                        </w:t>
            </w:r>
          </w:p>
          <w:p w14:paraId="356EDB50" w14:textId="77777777" w:rsidR="00B76B9D" w:rsidRDefault="00B76B9D">
            <w:pPr>
              <w:jc w:val="both"/>
            </w:pPr>
          </w:p>
          <w:p w14:paraId="78E05BEF" w14:textId="77777777" w:rsidR="00B76B9D" w:rsidRDefault="00BB408C">
            <w:pPr>
              <w:jc w:val="both"/>
              <w:rPr>
                <w:b/>
                <w:bCs/>
              </w:rPr>
            </w:pPr>
            <w:r>
              <w:rPr>
                <w:b/>
                <w:bCs/>
              </w:rPr>
              <w:t>TOTAL NO</w:t>
            </w:r>
          </w:p>
          <w:p w14:paraId="5233D1CA" w14:textId="77777777" w:rsidR="00B76B9D" w:rsidRDefault="00BB408C">
            <w:pPr>
              <w:jc w:val="both"/>
              <w:rPr>
                <w:b/>
                <w:bCs/>
              </w:rPr>
            </w:pPr>
            <w:r>
              <w:rPr>
                <w:b/>
                <w:bCs/>
              </w:rPr>
              <w:t>OF ISOLATES       2                    5                    1                          1                    4                   2                     15</w:t>
            </w:r>
          </w:p>
          <w:p w14:paraId="290416DD" w14:textId="77777777" w:rsidR="00B76B9D" w:rsidRDefault="00B76B9D">
            <w:pPr>
              <w:spacing w:line="276" w:lineRule="auto"/>
            </w:pPr>
          </w:p>
        </w:tc>
      </w:tr>
    </w:tbl>
    <w:p w14:paraId="6D9DF719" w14:textId="77777777" w:rsidR="00B76B9D" w:rsidRDefault="00BB408C">
      <w:pPr>
        <w:spacing w:line="360" w:lineRule="auto"/>
        <w:jc w:val="both"/>
        <w:rPr>
          <w:sz w:val="24"/>
          <w:szCs w:val="24"/>
        </w:rPr>
      </w:pPr>
      <w:r>
        <w:rPr>
          <w:sz w:val="24"/>
          <w:szCs w:val="24"/>
        </w:rPr>
        <w:t>95% confidence level                          P-value = 0.3            remark = not significant</w:t>
      </w:r>
    </w:p>
    <w:p w14:paraId="601D7D81" w14:textId="0A7FDCC0" w:rsidR="00B76B9D" w:rsidRDefault="00BB408C">
      <w:pPr>
        <w:spacing w:line="240" w:lineRule="auto"/>
        <w:jc w:val="both"/>
        <w:rPr>
          <w:rFonts w:ascii="Arial" w:eastAsia="Arial" w:hAnsi="Arial" w:cs="Arial"/>
        </w:rPr>
      </w:pPr>
      <w:r>
        <w:rPr>
          <w:rFonts w:ascii="Arial" w:eastAsia="Arial" w:hAnsi="Arial" w:cs="Arial"/>
        </w:rPr>
        <w:t xml:space="preserve">The antimicrobial profile by building in Federal Medical Centre revealed stark variation in resistance levels, suggesting that local micro-environmental conditions, human behaviours, and cleaning practices significantly influence bacterial persistence and resistance patterns. For instance, isolate in Record building exhibited resistance to five antibiotics—pointing to potential hygiene lapses or higher occupant density in those </w:t>
      </w:r>
      <w:proofErr w:type="gramStart"/>
      <w:r>
        <w:rPr>
          <w:rFonts w:ascii="Arial" w:eastAsia="Arial" w:hAnsi="Arial" w:cs="Arial"/>
        </w:rPr>
        <w:t>facilities(</w:t>
      </w:r>
      <w:proofErr w:type="gramEnd"/>
      <w:r w:rsidR="000612D1">
        <w:rPr>
          <w:rFonts w:ascii="Arial" w:eastAsia="Arial" w:hAnsi="Arial" w:cs="Arial"/>
        </w:rPr>
        <w:t>17</w:t>
      </w:r>
      <w:r>
        <w:rPr>
          <w:rFonts w:ascii="Arial" w:eastAsia="Arial" w:hAnsi="Arial" w:cs="Arial"/>
        </w:rPr>
        <w:t>)</w:t>
      </w:r>
      <w:r w:rsidR="000612D1">
        <w:rPr>
          <w:rFonts w:ascii="Arial" w:eastAsia="Arial" w:hAnsi="Arial" w:cs="Arial"/>
        </w:rPr>
        <w:t>.</w:t>
      </w:r>
      <w:r>
        <w:rPr>
          <w:rFonts w:ascii="Arial" w:eastAsia="Arial" w:hAnsi="Arial" w:cs="Arial"/>
        </w:rPr>
        <w:t xml:space="preserve"> demonstrated a clear inverse correlation between student handwashing frequency and surface contamination, recommending behavioural interventions alongside physical sanitation (</w:t>
      </w:r>
      <w:r w:rsidR="000612D1">
        <w:rPr>
          <w:rFonts w:ascii="Arial" w:eastAsia="Arial" w:hAnsi="Arial" w:cs="Arial"/>
        </w:rPr>
        <w:t>17</w:t>
      </w:r>
      <w:r>
        <w:rPr>
          <w:rFonts w:ascii="Arial" w:eastAsia="Arial" w:hAnsi="Arial" w:cs="Arial"/>
        </w:rPr>
        <w:t>).</w:t>
      </w:r>
    </w:p>
    <w:p w14:paraId="6664AEC7" w14:textId="2AAFE8EA" w:rsidR="00B76B9D" w:rsidRDefault="00BB408C">
      <w:pPr>
        <w:spacing w:line="240" w:lineRule="auto"/>
        <w:jc w:val="both"/>
        <w:rPr>
          <w:rFonts w:ascii="Arial" w:eastAsia="Arial" w:hAnsi="Arial" w:cs="Arial"/>
        </w:rPr>
      </w:pPr>
      <w:r>
        <w:rPr>
          <w:rFonts w:ascii="Arial" w:eastAsia="Arial" w:hAnsi="Arial" w:cs="Arial"/>
        </w:rPr>
        <w:t xml:space="preserve">In addition to surveillance and behavioural change, innovations in surface materials offer promising avenues for intervention. Yong and </w:t>
      </w:r>
      <w:proofErr w:type="spellStart"/>
      <w:r>
        <w:rPr>
          <w:rFonts w:ascii="Arial" w:eastAsia="Arial" w:hAnsi="Arial" w:cs="Arial"/>
        </w:rPr>
        <w:t>Calautit</w:t>
      </w:r>
      <w:proofErr w:type="spellEnd"/>
      <w:r>
        <w:rPr>
          <w:rFonts w:ascii="Arial" w:eastAsia="Arial" w:hAnsi="Arial" w:cs="Arial"/>
        </w:rPr>
        <w:t xml:space="preserve"> reviewed the effectiveness of antimicrobial coatings such as copper, silver phosphate, and titanium dioxide on high-contact surfaces. These coatings reduce microbial colonization and prolong surface hygiene, though their cost and availability limit widespread application in low-resource settings (</w:t>
      </w:r>
      <w:r w:rsidR="000612D1">
        <w:rPr>
          <w:rFonts w:ascii="Arial" w:eastAsia="Arial" w:hAnsi="Arial" w:cs="Arial"/>
        </w:rPr>
        <w:t>15</w:t>
      </w:r>
      <w:r>
        <w:rPr>
          <w:rFonts w:ascii="Arial" w:eastAsia="Arial" w:hAnsi="Arial" w:cs="Arial"/>
        </w:rPr>
        <w:t>).</w:t>
      </w:r>
    </w:p>
    <w:p w14:paraId="3F91FE3B" w14:textId="021E6CBA" w:rsidR="00B76B9D" w:rsidRDefault="00BB408C">
      <w:pPr>
        <w:spacing w:line="240" w:lineRule="auto"/>
        <w:jc w:val="both"/>
        <w:rPr>
          <w:rFonts w:ascii="Arial" w:eastAsia="Arial" w:hAnsi="Arial" w:cs="Arial"/>
        </w:rPr>
      </w:pPr>
      <w:r>
        <w:rPr>
          <w:rFonts w:ascii="Arial" w:eastAsia="Arial" w:hAnsi="Arial" w:cs="Arial"/>
        </w:rPr>
        <w:t>One particularly concerning aspect is the potential for asymptomatic transmission. Friedman et al., 2015 noted that MRSA can be silently spread through contact with contaminated surfaces, even in the absence of overt symptoms, making regular decontamination and user education critical for controlling outbreaks (</w:t>
      </w:r>
      <w:r w:rsidR="000612D1">
        <w:rPr>
          <w:rFonts w:ascii="Arial" w:eastAsia="Arial" w:hAnsi="Arial" w:cs="Arial"/>
        </w:rPr>
        <w:t>18</w:t>
      </w:r>
      <w:r>
        <w:rPr>
          <w:rFonts w:ascii="Arial" w:eastAsia="Arial" w:hAnsi="Arial" w:cs="Arial"/>
        </w:rPr>
        <w:t>).</w:t>
      </w:r>
    </w:p>
    <w:p w14:paraId="5ED2F386" w14:textId="2CD30C06" w:rsidR="00B76B9D" w:rsidRDefault="00BB408C">
      <w:pPr>
        <w:spacing w:line="240" w:lineRule="auto"/>
        <w:jc w:val="both"/>
        <w:rPr>
          <w:rFonts w:ascii="Arial" w:eastAsia="Arial" w:hAnsi="Arial" w:cs="Arial"/>
        </w:rPr>
      </w:pPr>
      <w:r>
        <w:rPr>
          <w:rFonts w:ascii="Arial" w:eastAsia="Arial" w:hAnsi="Arial" w:cs="Arial"/>
        </w:rPr>
        <w:lastRenderedPageBreak/>
        <w:t>The One Health framework, endorsed by the World Health Organization, encourages a holistic approach to AMR by integrating environmental, human, and animal health. Surveillance studies like this one provide localized data critical to this framework. As suggested by the WHO’s Global Action Plan (</w:t>
      </w:r>
      <w:r w:rsidR="000612D1">
        <w:rPr>
          <w:rFonts w:ascii="Arial" w:eastAsia="Arial" w:hAnsi="Arial" w:cs="Arial"/>
        </w:rPr>
        <w:t>19</w:t>
      </w:r>
      <w:r>
        <w:rPr>
          <w:rFonts w:ascii="Arial" w:eastAsia="Arial" w:hAnsi="Arial" w:cs="Arial"/>
        </w:rPr>
        <w:t>), expanding environmental AMR surveillance is pivotal in building resilient public health infrastructure (</w:t>
      </w:r>
      <w:r w:rsidR="000612D1">
        <w:rPr>
          <w:rFonts w:ascii="Arial" w:eastAsia="Arial" w:hAnsi="Arial" w:cs="Arial"/>
        </w:rPr>
        <w:t>19</w:t>
      </w:r>
      <w:r>
        <w:rPr>
          <w:rFonts w:ascii="Arial" w:eastAsia="Arial" w:hAnsi="Arial" w:cs="Arial"/>
        </w:rPr>
        <w:t>).</w:t>
      </w:r>
    </w:p>
    <w:p w14:paraId="5DD55091" w14:textId="77777777" w:rsidR="00B76B9D" w:rsidRDefault="00BB408C">
      <w:pPr>
        <w:spacing w:line="240" w:lineRule="auto"/>
        <w:jc w:val="both"/>
        <w:rPr>
          <w:rFonts w:ascii="Arial" w:eastAsia="Arial" w:hAnsi="Arial" w:cs="Arial"/>
        </w:rPr>
      </w:pPr>
      <w:r>
        <w:rPr>
          <w:rFonts w:ascii="Arial" w:eastAsia="Arial" w:hAnsi="Arial" w:cs="Arial"/>
        </w:rPr>
        <w:t>Through these recommendations, it is possible to significantly reduce the microbial and AMR burden on environmental surfaces, thereby enhancing infection prevention, promoting student safety, and contributing to global public health efforts.</w:t>
      </w:r>
    </w:p>
    <w:p w14:paraId="5B80B24D" w14:textId="77777777" w:rsidR="00B76B9D" w:rsidRDefault="00BB408C">
      <w:pPr>
        <w:rPr>
          <w:rFonts w:ascii="Arial" w:eastAsia="Arial" w:hAnsi="Arial" w:cs="Arial"/>
          <w:b/>
          <w:bCs/>
        </w:rPr>
      </w:pPr>
      <w:r>
        <w:rPr>
          <w:rFonts w:ascii="Arial" w:eastAsia="Arial" w:hAnsi="Arial" w:cs="Arial"/>
          <w:b/>
          <w:bCs/>
        </w:rPr>
        <w:t>CONCLUSION</w:t>
      </w:r>
    </w:p>
    <w:p w14:paraId="734515D4" w14:textId="49564CD7" w:rsidR="00B76B9D" w:rsidRDefault="00BB408C">
      <w:pPr>
        <w:spacing w:line="240" w:lineRule="auto"/>
        <w:jc w:val="both"/>
        <w:rPr>
          <w:rFonts w:ascii="Arial" w:eastAsia="Arial" w:hAnsi="Arial" w:cs="Arial"/>
        </w:rPr>
      </w:pPr>
      <w:r>
        <w:rPr>
          <w:rFonts w:ascii="Arial" w:eastAsia="Arial" w:hAnsi="Arial" w:cs="Arial"/>
        </w:rPr>
        <w:t xml:space="preserve">Stair rails are high - touch surfaces that are often overlooked especially when it’s comes to cleaning and sanitation. This study has shown that the bacteria isolated from the stair rails in public health facility were pathogenic. Although most of the bacteria were sensitive (susceptible) to commonly used antibiotics with only a few showing resistances which also is a point of worry. Most of the bacteria isolated affect various parts of the body like the skin, gastrointestinal tract, eyes and upper respiratory tract. These stair rails harbour large number of bacteria, due to frequent human contact and less cleaning practices, hence posing a risk for disease transmission. Therefore, the need to improve hygiene practices on stair rails in public buildings is paramount. Based on the findings of this study, several critical recommendations can be made to mitigate the risks posed by microbial contamination and antimicrobial resistance (AMR) on stair rails and other high-touch surfaces within </w:t>
      </w:r>
      <w:r w:rsidR="000612D1">
        <w:rPr>
          <w:rFonts w:ascii="Arial" w:eastAsia="Arial" w:hAnsi="Arial" w:cs="Arial"/>
        </w:rPr>
        <w:t>the health facility</w:t>
      </w:r>
      <w:r>
        <w:rPr>
          <w:rFonts w:ascii="Arial" w:eastAsia="Arial" w:hAnsi="Arial" w:cs="Arial"/>
        </w:rPr>
        <w:t xml:space="preserve"> and similar communal environments. Public facilities should implement comprehensive hygiene protocols targeting high-contact surfaces such as stair rails, door handles, and lecture hall furniture. These protocols must include routine disinfection using bactericidal agents effective against both Gram-positive and Gram-negative organisms. Special consideration should be given to areas with high microbial growth.  Routine microbiological monitoring of high-touch surfaces should be institutionalized. This involves periodic sampling and antimicrobial susceptibility testing (AST) of surface-associated microbes. The surveillance results should be documented and used to inform dynamic sanitation strategies, allowing for early detection of multidrug-resistant organisms and targeted responses. It is crucial to implement regular awareness campaigns focusing on hand hygiene, antibiotic stewardship, and the risks associated with environmental contamination. Educational posters, workshops, and online seminars can enhance behavioural compliance and reduce the microbial load contributed through direct contact. The placement of hand sanitizing dispensers at entrances to stairwells, dormitories, and classrooms can serve as a simple but effective intervention. Alcohol-based hand rubs with at least 60% ethanol should be made readily available to interrupt the transmission chain of surface-bound pathogens. Where budget and infrastructure allow, the university and other public facilities should consider installing stair rails and other high-contact fixtures made from antimicrobial materials such as copper alloys or silver-embedded polymers. These materials have demonstrated efficacy in reducing bacterial colonization and can supplement routine cleaning efforts. Public facilities should liaise with health authorities to ensure its surveillance data contributes to broader regional and national AMR containment strategies. </w:t>
      </w:r>
    </w:p>
    <w:p w14:paraId="3C634866" w14:textId="77777777" w:rsidR="00B76B9D" w:rsidRDefault="00B76B9D">
      <w:pPr>
        <w:rPr>
          <w:rFonts w:ascii="Arial" w:eastAsia="Arial" w:hAnsi="Arial" w:cs="Arial"/>
          <w:b/>
          <w:bCs/>
        </w:rPr>
      </w:pPr>
    </w:p>
    <w:p w14:paraId="47DD3790" w14:textId="77777777" w:rsidR="00B76B9D" w:rsidRDefault="00B76B9D">
      <w:pPr>
        <w:rPr>
          <w:rFonts w:ascii="Arial" w:eastAsia="Arial" w:hAnsi="Arial" w:cs="Arial"/>
        </w:rPr>
      </w:pPr>
    </w:p>
    <w:p w14:paraId="0CA9663C" w14:textId="77777777" w:rsidR="00B76B9D" w:rsidRPr="00BB408C" w:rsidRDefault="00BB408C">
      <w:pPr>
        <w:spacing w:line="240" w:lineRule="auto"/>
        <w:ind w:left="630" w:hanging="630"/>
        <w:jc w:val="both"/>
        <w:rPr>
          <w:rFonts w:ascii="Times New Roman" w:eastAsia="Times New Roman" w:hAnsi="Times New Roman" w:cs="Times New Roman"/>
          <w:b/>
          <w:bCs/>
          <w:sz w:val="24"/>
          <w:szCs w:val="24"/>
        </w:rPr>
      </w:pPr>
      <w:r w:rsidRPr="00BB408C">
        <w:rPr>
          <w:rFonts w:ascii="Arial" w:eastAsia="Arial" w:hAnsi="Arial" w:cs="Arial"/>
          <w:b/>
          <w:bCs/>
        </w:rPr>
        <w:t>References</w:t>
      </w:r>
      <w:r w:rsidRPr="00BB408C">
        <w:rPr>
          <w:rFonts w:ascii="Times New Roman" w:eastAsia="Times New Roman" w:hAnsi="Times New Roman" w:cs="Times New Roman"/>
          <w:b/>
          <w:bCs/>
          <w:sz w:val="24"/>
          <w:szCs w:val="24"/>
        </w:rPr>
        <w:t xml:space="preserve"> </w:t>
      </w:r>
    </w:p>
    <w:p w14:paraId="59C3B3E2" w14:textId="77777777" w:rsidR="00B76B9D" w:rsidRDefault="00BB408C">
      <w:pPr>
        <w:spacing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Sarker</w:t>
      </w:r>
      <w:proofErr w:type="spellEnd"/>
      <w:r>
        <w:rPr>
          <w:rFonts w:ascii="Times New Roman" w:eastAsia="Times New Roman" w:hAnsi="Times New Roman" w:cs="Times New Roman"/>
          <w:sz w:val="24"/>
          <w:szCs w:val="24"/>
        </w:rPr>
        <w:t xml:space="preserve">, M.A.B., Harun-Or-Rashid, M., </w:t>
      </w:r>
      <w:proofErr w:type="spellStart"/>
      <w:r>
        <w:rPr>
          <w:rFonts w:ascii="Times New Roman" w:eastAsia="Times New Roman" w:hAnsi="Times New Roman" w:cs="Times New Roman"/>
          <w:sz w:val="24"/>
          <w:szCs w:val="24"/>
        </w:rPr>
        <w:t>Hirosawa</w:t>
      </w:r>
      <w:proofErr w:type="spellEnd"/>
      <w:r>
        <w:rPr>
          <w:rFonts w:ascii="Times New Roman" w:eastAsia="Times New Roman" w:hAnsi="Times New Roman" w:cs="Times New Roman"/>
          <w:sz w:val="24"/>
          <w:szCs w:val="24"/>
        </w:rPr>
        <w:t xml:space="preserve">, T., et al. (2014) Evaluation of Knowledge, Practices, and Possible Barriers among Healthcare Providers regarding Medical Waste Management in Dhaka, Bangladesh. Medical Science Monitor: International Medical </w:t>
      </w:r>
      <w:r>
        <w:rPr>
          <w:rFonts w:ascii="Times New Roman" w:eastAsia="Times New Roman" w:hAnsi="Times New Roman" w:cs="Times New Roman"/>
          <w:sz w:val="24"/>
          <w:szCs w:val="24"/>
        </w:rPr>
        <w:lastRenderedPageBreak/>
        <w:t>Journal of Experimental and Clinical Research, 20, 2590-2597.</w:t>
      </w:r>
      <w:r>
        <w:rPr>
          <w:rFonts w:ascii="Times New Roman" w:eastAsia="Times New Roman" w:hAnsi="Times New Roman" w:cs="Times New Roman"/>
          <w:sz w:val="24"/>
          <w:szCs w:val="24"/>
        </w:rPr>
        <w:br/>
        <w:t>http://dx.doi.org/10.12659/MSM.890904</w:t>
      </w:r>
    </w:p>
    <w:p w14:paraId="43D8C5C2" w14:textId="77777777" w:rsidR="00B76B9D" w:rsidRDefault="00BB408C">
      <w:pPr>
        <w:spacing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Zhou, Y., Wang, L., &amp; Li, D. (2021). Community transmission of nosocomial pathogens: A growing concern for AMR spread. Journal of Hospital Infection, 114, 43–50. </w:t>
      </w:r>
    </w:p>
    <w:p w14:paraId="6E278974" w14:textId="77777777" w:rsidR="00B76B9D" w:rsidRDefault="00BB408C">
      <w:pPr>
        <w:spacing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Yong, L. X., &amp; </w:t>
      </w:r>
      <w:proofErr w:type="spellStart"/>
      <w:r>
        <w:rPr>
          <w:rFonts w:ascii="Times New Roman" w:eastAsia="Times New Roman" w:hAnsi="Times New Roman" w:cs="Times New Roman"/>
          <w:sz w:val="24"/>
          <w:szCs w:val="24"/>
        </w:rPr>
        <w:t>Calautit</w:t>
      </w:r>
      <w:proofErr w:type="spellEnd"/>
      <w:r>
        <w:rPr>
          <w:rFonts w:ascii="Times New Roman" w:eastAsia="Times New Roman" w:hAnsi="Times New Roman" w:cs="Times New Roman"/>
          <w:sz w:val="24"/>
          <w:szCs w:val="24"/>
        </w:rPr>
        <w:t xml:space="preserve">, J. K. (2023). A comprehensive review on the integration of antimicrobial technologies onto various surfaces of the built environment. </w:t>
      </w:r>
      <w:r>
        <w:rPr>
          <w:rFonts w:ascii="Times New Roman" w:eastAsia="Times New Roman" w:hAnsi="Times New Roman" w:cs="Times New Roman"/>
          <w:i/>
          <w:iCs/>
          <w:sz w:val="24"/>
          <w:szCs w:val="24"/>
        </w:rPr>
        <w:t>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15</w:t>
      </w:r>
      <w:r>
        <w:rPr>
          <w:rFonts w:ascii="Times New Roman" w:eastAsia="Times New Roman" w:hAnsi="Times New Roman" w:cs="Times New Roman"/>
          <w:sz w:val="24"/>
          <w:szCs w:val="24"/>
        </w:rPr>
        <w:t xml:space="preserve">(4), 3394. </w:t>
      </w:r>
    </w:p>
    <w:p w14:paraId="7DD10925" w14:textId="77777777" w:rsidR="00B76B9D" w:rsidRDefault="00B76B9D">
      <w:pPr>
        <w:spacing w:line="240" w:lineRule="auto"/>
        <w:ind w:left="630" w:hanging="630"/>
        <w:jc w:val="both"/>
        <w:rPr>
          <w:rFonts w:ascii="Times New Roman" w:eastAsia="Times New Roman" w:hAnsi="Times New Roman" w:cs="Times New Roman"/>
          <w:sz w:val="24"/>
          <w:szCs w:val="24"/>
        </w:rPr>
      </w:pPr>
    </w:p>
    <w:p w14:paraId="5758C0C2"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Singh, R. P., Verma, A., &amp; Kaur, H. (2024). Multidrug-resistant bacteria on hospital stair rails: A cross-sectional study. Indian Journal of Hospital Infection,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(2), 98–106</w:t>
      </w:r>
    </w:p>
    <w:p w14:paraId="02E7B71C"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E685E7A"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4" w:name="_l0mz1hbv45hq" w:colFirst="0" w:colLast="0"/>
      <w:bookmarkEnd w:id="4"/>
      <w:proofErr w:type="spellStart"/>
      <w:r>
        <w:rPr>
          <w:rFonts w:ascii="Times New Roman" w:eastAsia="Times New Roman" w:hAnsi="Times New Roman" w:cs="Times New Roman"/>
          <w:color w:val="000000"/>
          <w:sz w:val="24"/>
          <w:szCs w:val="24"/>
        </w:rPr>
        <w:t>Dawan</w:t>
      </w:r>
      <w:proofErr w:type="spellEnd"/>
      <w:r>
        <w:rPr>
          <w:rFonts w:ascii="Times New Roman" w:eastAsia="Times New Roman" w:hAnsi="Times New Roman" w:cs="Times New Roman"/>
          <w:color w:val="000000"/>
          <w:sz w:val="24"/>
          <w:szCs w:val="24"/>
        </w:rPr>
        <w:t xml:space="preserve">, J., Zhang, S., &amp; </w:t>
      </w:r>
      <w:proofErr w:type="spellStart"/>
      <w:r>
        <w:rPr>
          <w:rFonts w:ascii="Times New Roman" w:eastAsia="Times New Roman" w:hAnsi="Times New Roman" w:cs="Times New Roman"/>
          <w:color w:val="000000"/>
          <w:sz w:val="24"/>
          <w:szCs w:val="24"/>
        </w:rPr>
        <w:t>Ahn</w:t>
      </w:r>
      <w:proofErr w:type="spellEnd"/>
      <w:r>
        <w:rPr>
          <w:rFonts w:ascii="Times New Roman" w:eastAsia="Times New Roman" w:hAnsi="Times New Roman" w:cs="Times New Roman"/>
          <w:color w:val="000000"/>
          <w:sz w:val="24"/>
          <w:szCs w:val="24"/>
        </w:rPr>
        <w:t>, J. (2025). Recent Advances in Biofilm Control Technologies for the Food Industry. </w:t>
      </w:r>
      <w:r>
        <w:rPr>
          <w:rFonts w:ascii="Times New Roman" w:eastAsia="Times New Roman" w:hAnsi="Times New Roman" w:cs="Times New Roman"/>
          <w:i/>
          <w:iCs/>
          <w:color w:val="000000"/>
          <w:sz w:val="24"/>
          <w:szCs w:val="24"/>
        </w:rPr>
        <w:t>Antibiotics</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 xml:space="preserve">(3), 254. </w:t>
      </w:r>
      <w:hyperlink r:id="rId11">
        <w:r>
          <w:rPr>
            <w:rFonts w:ascii="Times New Roman" w:eastAsia="Times New Roman" w:hAnsi="Times New Roman" w:cs="Times New Roman"/>
            <w:color w:val="0563C1"/>
            <w:sz w:val="24"/>
            <w:szCs w:val="24"/>
            <w:u w:val="single"/>
          </w:rPr>
          <w:t>https://doi.org/10.3390/antibiotics14030254</w:t>
        </w:r>
      </w:hyperlink>
    </w:p>
    <w:p w14:paraId="54FD35BA" w14:textId="77777777" w:rsidR="00B76B9D" w:rsidRDefault="00B76B9D">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11031563"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bookmarkStart w:id="5" w:name="_ieffmpbf985k" w:colFirst="0" w:colLast="0"/>
      <w:bookmarkEnd w:id="5"/>
      <w:r>
        <w:rPr>
          <w:rFonts w:ascii="Times New Roman" w:eastAsia="Times New Roman" w:hAnsi="Times New Roman" w:cs="Times New Roman"/>
          <w:color w:val="000000"/>
        </w:rPr>
        <w:t xml:space="preserve">Onyema, M. O., Okoye, I. C., &amp; </w:t>
      </w:r>
      <w:proofErr w:type="spellStart"/>
      <w:r>
        <w:rPr>
          <w:rFonts w:ascii="Times New Roman" w:eastAsia="Times New Roman" w:hAnsi="Times New Roman" w:cs="Times New Roman"/>
          <w:color w:val="000000"/>
        </w:rPr>
        <w:t>Umeh</w:t>
      </w:r>
      <w:proofErr w:type="spellEnd"/>
      <w:r>
        <w:rPr>
          <w:rFonts w:ascii="Times New Roman" w:eastAsia="Times New Roman" w:hAnsi="Times New Roman" w:cs="Times New Roman"/>
          <w:color w:val="000000"/>
        </w:rPr>
        <w:t>, C. A. (2023). Surface sanitation practices and the threat of antibiotic resistance in Nigerian institutions. International Journal of Hygiene and Environmental Health, 249, 114095.</w:t>
      </w:r>
    </w:p>
    <w:p w14:paraId="3E583142" w14:textId="77777777" w:rsidR="00B76B9D" w:rsidRDefault="00B76B9D">
      <w:pPr>
        <w:pBdr>
          <w:top w:val="nil"/>
          <w:left w:val="nil"/>
          <w:bottom w:val="nil"/>
          <w:right w:val="nil"/>
          <w:between w:val="nil"/>
        </w:pBdr>
        <w:spacing w:after="0"/>
        <w:ind w:left="720"/>
        <w:rPr>
          <w:rFonts w:ascii="Times New Roman" w:eastAsia="Times New Roman" w:hAnsi="Times New Roman" w:cs="Times New Roman"/>
          <w:color w:val="000000"/>
        </w:rPr>
      </w:pPr>
    </w:p>
    <w:p w14:paraId="586696F4"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72B9F0A5" w14:textId="77777777" w:rsidR="00B76B9D" w:rsidRDefault="00BB408C">
      <w:pPr>
        <w:numPr>
          <w:ilvl w:val="0"/>
          <w:numId w:val="4"/>
        </w:numPr>
        <w:pBdr>
          <w:top w:val="nil"/>
          <w:left w:val="nil"/>
          <w:bottom w:val="nil"/>
          <w:right w:val="nil"/>
          <w:between w:val="nil"/>
        </w:pBdr>
        <w:shd w:val="clear" w:color="auto" w:fill="FFFFFF"/>
        <w:spacing w:after="0"/>
        <w:rPr>
          <w:rFonts w:ascii="Arial" w:eastAsia="Arial" w:hAnsi="Arial" w:cs="Arial"/>
          <w:color w:val="000000"/>
          <w:sz w:val="20"/>
          <w:szCs w:val="20"/>
        </w:rPr>
      </w:pPr>
      <w:r>
        <w:rPr>
          <w:rFonts w:ascii="Arial" w:eastAsia="Arial" w:hAnsi="Arial" w:cs="Arial"/>
          <w:color w:val="000000"/>
          <w:sz w:val="20"/>
          <w:szCs w:val="20"/>
        </w:rPr>
        <w:t xml:space="preserve">J Sheikh, TT </w:t>
      </w:r>
      <w:proofErr w:type="spellStart"/>
      <w:r>
        <w:rPr>
          <w:rFonts w:ascii="Arial" w:eastAsia="Arial" w:hAnsi="Arial" w:cs="Arial"/>
          <w:color w:val="000000"/>
          <w:sz w:val="20"/>
          <w:szCs w:val="20"/>
        </w:rPr>
        <w:t>Swee</w:t>
      </w:r>
      <w:proofErr w:type="spellEnd"/>
      <w:r>
        <w:rPr>
          <w:rFonts w:ascii="Arial" w:eastAsia="Arial" w:hAnsi="Arial" w:cs="Arial"/>
          <w:color w:val="000000"/>
          <w:sz w:val="20"/>
          <w:szCs w:val="20"/>
        </w:rPr>
        <w:t xml:space="preserve">, S </w:t>
      </w:r>
      <w:proofErr w:type="spellStart"/>
      <w:r>
        <w:rPr>
          <w:rFonts w:ascii="Arial" w:eastAsia="Arial" w:hAnsi="Arial" w:cs="Arial"/>
          <w:color w:val="000000"/>
          <w:sz w:val="20"/>
          <w:szCs w:val="20"/>
        </w:rPr>
        <w:t>Saidin</w:t>
      </w:r>
      <w:proofErr w:type="spellEnd"/>
      <w:r>
        <w:rPr>
          <w:rFonts w:ascii="Arial" w:eastAsia="Arial" w:hAnsi="Arial" w:cs="Arial"/>
          <w:color w:val="000000"/>
          <w:sz w:val="20"/>
          <w:szCs w:val="20"/>
        </w:rPr>
        <w:t>, SA Malik, JJS Olmedo… - Hygiene and Environmental Health Advances, 2024</w:t>
      </w:r>
      <w:hyperlink r:id="rId12">
        <w:r>
          <w:rPr>
            <w:rFonts w:ascii="Arial" w:eastAsia="Arial" w:hAnsi="Arial" w:cs="Arial"/>
            <w:color w:val="000000"/>
            <w:sz w:val="20"/>
            <w:szCs w:val="20"/>
          </w:rPr>
          <w:t xml:space="preserve">Comparative multivariate analysis for high-touch surface disinfection using optimized ultraviolet-C LEDs </w:t>
        </w:r>
        <w:proofErr w:type="spellStart"/>
        <w:r>
          <w:rPr>
            <w:rFonts w:ascii="Arial" w:eastAsia="Arial" w:hAnsi="Arial" w:cs="Arial"/>
            <w:color w:val="000000"/>
            <w:sz w:val="20"/>
            <w:szCs w:val="20"/>
          </w:rPr>
          <w:t>configuration</w:t>
        </w:r>
      </w:hyperlink>
      <w:r>
        <w:rPr>
          <w:rFonts w:ascii="Arial" w:eastAsia="Arial" w:hAnsi="Arial" w:cs="Arial"/>
          <w:color w:val="000000"/>
          <w:sz w:val="20"/>
          <w:szCs w:val="20"/>
        </w:rPr>
        <w:t>Volume</w:t>
      </w:r>
      <w:proofErr w:type="spellEnd"/>
      <w:r>
        <w:rPr>
          <w:rFonts w:ascii="Arial" w:eastAsia="Arial" w:hAnsi="Arial" w:cs="Arial"/>
          <w:color w:val="000000"/>
          <w:sz w:val="20"/>
          <w:szCs w:val="20"/>
        </w:rPr>
        <w:t xml:space="preserve"> 11Pages 100101</w:t>
      </w:r>
    </w:p>
    <w:p w14:paraId="6251DA42" w14:textId="77777777" w:rsidR="00B76B9D" w:rsidRDefault="00B76B9D">
      <w:pPr>
        <w:pBdr>
          <w:top w:val="nil"/>
          <w:left w:val="nil"/>
          <w:bottom w:val="nil"/>
          <w:right w:val="nil"/>
          <w:between w:val="nil"/>
        </w:pBdr>
        <w:shd w:val="clear" w:color="auto" w:fill="FFFFFF"/>
        <w:spacing w:after="0"/>
        <w:ind w:left="720"/>
        <w:rPr>
          <w:rFonts w:ascii="Arial" w:eastAsia="Arial" w:hAnsi="Arial" w:cs="Arial"/>
          <w:color w:val="000000"/>
          <w:sz w:val="20"/>
          <w:szCs w:val="20"/>
        </w:rPr>
      </w:pPr>
    </w:p>
    <w:p w14:paraId="792EFA9A" w14:textId="77777777" w:rsidR="00B76B9D" w:rsidRDefault="00BB408C">
      <w:pPr>
        <w:numPr>
          <w:ilvl w:val="0"/>
          <w:numId w:val="4"/>
        </w:numPr>
        <w:pBdr>
          <w:top w:val="nil"/>
          <w:left w:val="nil"/>
          <w:bottom w:val="nil"/>
          <w:right w:val="nil"/>
          <w:between w:val="nil"/>
        </w:pBdr>
        <w:shd w:val="clear" w:color="auto" w:fill="FFFFFF"/>
        <w:rPr>
          <w:rFonts w:ascii="Arial" w:eastAsia="Arial" w:hAnsi="Arial" w:cs="Arial"/>
          <w:color w:val="000000"/>
          <w:sz w:val="20"/>
          <w:szCs w:val="20"/>
        </w:rPr>
      </w:pPr>
      <w:r>
        <w:rPr>
          <w:rFonts w:ascii="Arial" w:eastAsia="Arial" w:hAnsi="Arial" w:cs="Arial"/>
          <w:color w:val="000000"/>
          <w:sz w:val="20"/>
          <w:szCs w:val="20"/>
        </w:rPr>
        <w:t xml:space="preserve">Blomberg, E., </w:t>
      </w:r>
      <w:proofErr w:type="spellStart"/>
      <w:r>
        <w:rPr>
          <w:rFonts w:ascii="Arial" w:eastAsia="Arial" w:hAnsi="Arial" w:cs="Arial"/>
          <w:color w:val="000000"/>
          <w:sz w:val="20"/>
          <w:szCs w:val="20"/>
        </w:rPr>
        <w:t>Herting</w:t>
      </w:r>
      <w:proofErr w:type="spellEnd"/>
      <w:r>
        <w:rPr>
          <w:rFonts w:ascii="Arial" w:eastAsia="Arial" w:hAnsi="Arial" w:cs="Arial"/>
          <w:color w:val="000000"/>
          <w:sz w:val="20"/>
          <w:szCs w:val="20"/>
        </w:rPr>
        <w:t xml:space="preserve">, G., </w:t>
      </w:r>
      <w:proofErr w:type="spellStart"/>
      <w:r>
        <w:rPr>
          <w:rFonts w:ascii="Arial" w:eastAsia="Arial" w:hAnsi="Arial" w:cs="Arial"/>
          <w:color w:val="000000"/>
          <w:sz w:val="20"/>
          <w:szCs w:val="20"/>
        </w:rPr>
        <w:t>Kuttuva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Rajarao</w:t>
      </w:r>
      <w:proofErr w:type="spellEnd"/>
      <w:r>
        <w:rPr>
          <w:rFonts w:ascii="Arial" w:eastAsia="Arial" w:hAnsi="Arial" w:cs="Arial"/>
          <w:color w:val="000000"/>
          <w:sz w:val="20"/>
          <w:szCs w:val="20"/>
        </w:rPr>
        <w:t xml:space="preserve">, G., </w:t>
      </w:r>
      <w:proofErr w:type="spellStart"/>
      <w:r>
        <w:rPr>
          <w:rFonts w:ascii="Arial" w:eastAsia="Arial" w:hAnsi="Arial" w:cs="Arial"/>
          <w:color w:val="000000"/>
          <w:sz w:val="20"/>
          <w:szCs w:val="20"/>
        </w:rPr>
        <w:t>Mehtiö</w:t>
      </w:r>
      <w:proofErr w:type="spellEnd"/>
      <w:r>
        <w:rPr>
          <w:rFonts w:ascii="Arial" w:eastAsia="Arial" w:hAnsi="Arial" w:cs="Arial"/>
          <w:color w:val="000000"/>
          <w:sz w:val="20"/>
          <w:szCs w:val="20"/>
        </w:rPr>
        <w:t xml:space="preserve">, T., </w:t>
      </w:r>
      <w:proofErr w:type="spellStart"/>
      <w:r>
        <w:rPr>
          <w:rFonts w:ascii="Arial" w:eastAsia="Arial" w:hAnsi="Arial" w:cs="Arial"/>
          <w:color w:val="000000"/>
          <w:sz w:val="20"/>
          <w:szCs w:val="20"/>
        </w:rPr>
        <w:t>Uusinoka</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Ahonen</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Mäkinen</w:t>
      </w:r>
      <w:proofErr w:type="spellEnd"/>
      <w:r>
        <w:rPr>
          <w:rFonts w:ascii="Arial" w:eastAsia="Arial" w:hAnsi="Arial" w:cs="Arial"/>
          <w:color w:val="000000"/>
          <w:sz w:val="20"/>
          <w:szCs w:val="20"/>
        </w:rPr>
        <w:t xml:space="preserve">, R., </w:t>
      </w:r>
      <w:proofErr w:type="spellStart"/>
      <w:r>
        <w:rPr>
          <w:rFonts w:ascii="Arial" w:eastAsia="Arial" w:hAnsi="Arial" w:cs="Arial"/>
          <w:color w:val="000000"/>
          <w:sz w:val="20"/>
          <w:szCs w:val="20"/>
        </w:rPr>
        <w:t>Mäkitalo</w:t>
      </w:r>
      <w:proofErr w:type="spellEnd"/>
      <w:r>
        <w:rPr>
          <w:rFonts w:ascii="Arial" w:eastAsia="Arial" w:hAnsi="Arial" w:cs="Arial"/>
          <w:color w:val="000000"/>
          <w:sz w:val="20"/>
          <w:szCs w:val="20"/>
        </w:rPr>
        <w:t xml:space="preserve">, T., &amp; </w:t>
      </w:r>
      <w:proofErr w:type="spellStart"/>
      <w:r>
        <w:rPr>
          <w:rFonts w:ascii="Arial" w:eastAsia="Arial" w:hAnsi="Arial" w:cs="Arial"/>
          <w:color w:val="000000"/>
          <w:sz w:val="20"/>
          <w:szCs w:val="20"/>
        </w:rPr>
        <w:t>Odnevall</w:t>
      </w:r>
      <w:proofErr w:type="spellEnd"/>
      <w:r>
        <w:rPr>
          <w:rFonts w:ascii="Arial" w:eastAsia="Arial" w:hAnsi="Arial" w:cs="Arial"/>
          <w:color w:val="000000"/>
          <w:sz w:val="20"/>
          <w:szCs w:val="20"/>
        </w:rPr>
        <w:t>, I. (2022). Weathering and Antimicrobial Properties of Laminate and Powder Coatings Containing Silver Phosphate Glass Used as High-Touch Surfaces. </w:t>
      </w:r>
      <w:r>
        <w:rPr>
          <w:rFonts w:ascii="Arial" w:eastAsia="Arial" w:hAnsi="Arial" w:cs="Arial"/>
          <w:i/>
          <w:iCs/>
          <w:color w:val="000000"/>
          <w:sz w:val="20"/>
          <w:szCs w:val="20"/>
        </w:rPr>
        <w:t>Sustainability</w:t>
      </w:r>
      <w:r>
        <w:rPr>
          <w:rFonts w:ascii="Arial" w:eastAsia="Arial" w:hAnsi="Arial" w:cs="Arial"/>
          <w:color w:val="000000"/>
          <w:sz w:val="20"/>
          <w:szCs w:val="20"/>
        </w:rPr>
        <w:t>, </w:t>
      </w:r>
      <w:r>
        <w:rPr>
          <w:rFonts w:ascii="Arial" w:eastAsia="Arial" w:hAnsi="Arial" w:cs="Arial"/>
          <w:i/>
          <w:iCs/>
          <w:color w:val="000000"/>
          <w:sz w:val="20"/>
          <w:szCs w:val="20"/>
        </w:rPr>
        <w:t>14</w:t>
      </w:r>
      <w:r>
        <w:rPr>
          <w:rFonts w:ascii="Arial" w:eastAsia="Arial" w:hAnsi="Arial" w:cs="Arial"/>
          <w:color w:val="000000"/>
          <w:sz w:val="20"/>
          <w:szCs w:val="20"/>
        </w:rPr>
        <w:t>(12), 7102. https://doi.org/10.3390/su14127102</w:t>
      </w:r>
    </w:p>
    <w:p w14:paraId="1A50E3FA" w14:textId="77777777" w:rsidR="00B76B9D" w:rsidRDefault="00B76B9D">
      <w:pPr>
        <w:shd w:val="clear" w:color="auto" w:fill="FFFFFF"/>
        <w:rPr>
          <w:rFonts w:ascii="Arial" w:eastAsia="Arial" w:hAnsi="Arial" w:cs="Arial"/>
          <w:color w:val="000000"/>
          <w:sz w:val="20"/>
          <w:szCs w:val="20"/>
        </w:rPr>
      </w:pPr>
    </w:p>
    <w:p w14:paraId="2C46B561"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6" w:name="_zce0tminnidk" w:colFirst="0" w:colLast="0"/>
      <w:bookmarkEnd w:id="6"/>
      <w:proofErr w:type="spellStart"/>
      <w:r>
        <w:rPr>
          <w:rFonts w:ascii="Arial" w:eastAsia="Arial" w:hAnsi="Arial" w:cs="Arial"/>
          <w:color w:val="000000"/>
        </w:rPr>
        <w:t>Sebre</w:t>
      </w:r>
      <w:proofErr w:type="spellEnd"/>
      <w:r>
        <w:rPr>
          <w:rFonts w:ascii="Arial" w:eastAsia="Arial" w:hAnsi="Arial" w:cs="Arial"/>
          <w:color w:val="000000"/>
        </w:rPr>
        <w:t xml:space="preserve"> S, </w:t>
      </w:r>
      <w:proofErr w:type="spellStart"/>
      <w:r>
        <w:rPr>
          <w:rFonts w:ascii="Arial" w:eastAsia="Arial" w:hAnsi="Arial" w:cs="Arial"/>
          <w:color w:val="000000"/>
        </w:rPr>
        <w:t>Abegaz</w:t>
      </w:r>
      <w:proofErr w:type="spellEnd"/>
      <w:r>
        <w:rPr>
          <w:rFonts w:ascii="Arial" w:eastAsia="Arial" w:hAnsi="Arial" w:cs="Arial"/>
          <w:color w:val="000000"/>
        </w:rPr>
        <w:t xml:space="preserve"> WE, </w:t>
      </w:r>
      <w:proofErr w:type="spellStart"/>
      <w:r>
        <w:rPr>
          <w:rFonts w:ascii="Arial" w:eastAsia="Arial" w:hAnsi="Arial" w:cs="Arial"/>
          <w:color w:val="000000"/>
        </w:rPr>
        <w:t>Seman</w:t>
      </w:r>
      <w:proofErr w:type="spellEnd"/>
      <w:r>
        <w:rPr>
          <w:rFonts w:ascii="Arial" w:eastAsia="Arial" w:hAnsi="Arial" w:cs="Arial"/>
          <w:color w:val="000000"/>
        </w:rPr>
        <w:t xml:space="preserve"> A, Awoke T, Desalegn Z, </w:t>
      </w:r>
      <w:proofErr w:type="spellStart"/>
      <w:r>
        <w:rPr>
          <w:rFonts w:ascii="Arial" w:eastAsia="Arial" w:hAnsi="Arial" w:cs="Arial"/>
          <w:color w:val="000000"/>
        </w:rPr>
        <w:t>Mihret</w:t>
      </w:r>
      <w:proofErr w:type="spellEnd"/>
      <w:r>
        <w:rPr>
          <w:rFonts w:ascii="Arial" w:eastAsia="Arial" w:hAnsi="Arial" w:cs="Arial"/>
          <w:color w:val="000000"/>
        </w:rPr>
        <w:t xml:space="preserve"> W, </w:t>
      </w:r>
      <w:proofErr w:type="spellStart"/>
      <w:r>
        <w:rPr>
          <w:rFonts w:ascii="Arial" w:eastAsia="Arial" w:hAnsi="Arial" w:cs="Arial"/>
          <w:color w:val="000000"/>
        </w:rPr>
        <w:t>Mihret</w:t>
      </w:r>
      <w:proofErr w:type="spellEnd"/>
      <w:r>
        <w:rPr>
          <w:rFonts w:ascii="Arial" w:eastAsia="Arial" w:hAnsi="Arial" w:cs="Arial"/>
          <w:color w:val="000000"/>
        </w:rPr>
        <w:t xml:space="preserve"> A, Abebe T. Bacterial Profiles and Antimicrobial Susceptibility Pattern of Isolates from Inanimate Hospital Environments at </w:t>
      </w:r>
      <w:proofErr w:type="spellStart"/>
      <w:r>
        <w:rPr>
          <w:rFonts w:ascii="Arial" w:eastAsia="Arial" w:hAnsi="Arial" w:cs="Arial"/>
          <w:color w:val="000000"/>
        </w:rPr>
        <w:t>Tikur</w:t>
      </w:r>
      <w:proofErr w:type="spellEnd"/>
      <w:r>
        <w:rPr>
          <w:rFonts w:ascii="Arial" w:eastAsia="Arial" w:hAnsi="Arial" w:cs="Arial"/>
          <w:color w:val="000000"/>
        </w:rPr>
        <w:t xml:space="preserve"> </w:t>
      </w:r>
      <w:proofErr w:type="spellStart"/>
      <w:r>
        <w:rPr>
          <w:rFonts w:ascii="Arial" w:eastAsia="Arial" w:hAnsi="Arial" w:cs="Arial"/>
          <w:color w:val="000000"/>
        </w:rPr>
        <w:t>Anbessa</w:t>
      </w:r>
      <w:proofErr w:type="spellEnd"/>
      <w:r>
        <w:rPr>
          <w:rFonts w:ascii="Arial" w:eastAsia="Arial" w:hAnsi="Arial" w:cs="Arial"/>
          <w:color w:val="000000"/>
        </w:rPr>
        <w:t xml:space="preserve"> Specialized Teaching Hospital, Addis Ababa, Ethiopia. Infect Drug Resist. 2020 Dec </w:t>
      </w:r>
      <w:proofErr w:type="gramStart"/>
      <w:r>
        <w:rPr>
          <w:rFonts w:ascii="Arial" w:eastAsia="Arial" w:hAnsi="Arial" w:cs="Arial"/>
          <w:color w:val="000000"/>
        </w:rPr>
        <w:t>14;13:4439</w:t>
      </w:r>
      <w:proofErr w:type="gramEnd"/>
      <w:r>
        <w:rPr>
          <w:rFonts w:ascii="Arial" w:eastAsia="Arial" w:hAnsi="Arial" w:cs="Arial"/>
          <w:color w:val="000000"/>
        </w:rPr>
        <w:t xml:space="preserve">-4448. </w:t>
      </w:r>
      <w:proofErr w:type="spellStart"/>
      <w:r>
        <w:rPr>
          <w:rFonts w:ascii="Arial" w:eastAsia="Arial" w:hAnsi="Arial" w:cs="Arial"/>
          <w:color w:val="000000"/>
        </w:rPr>
        <w:t>doi</w:t>
      </w:r>
      <w:proofErr w:type="spellEnd"/>
      <w:r>
        <w:rPr>
          <w:rFonts w:ascii="Arial" w:eastAsia="Arial" w:hAnsi="Arial" w:cs="Arial"/>
          <w:color w:val="000000"/>
        </w:rPr>
        <w:t>: 10.2147/IDR.S286293. PMID: 33364791; PMCID: PMC7751703.</w:t>
      </w:r>
    </w:p>
    <w:p w14:paraId="2FA90FA0" w14:textId="77777777" w:rsidR="00B76B9D" w:rsidRDefault="00B76B9D">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3C9283F"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719B86D"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Nwankwo, C. E., &amp; Idowu, A. A. (2022). Engaging undergraduate students in AMR research: A practical approach to public health education. Nigerian Journal of Medical Education, </w:t>
      </w:r>
      <w:r>
        <w:rPr>
          <w:rFonts w:ascii="Times New Roman" w:eastAsia="Times New Roman" w:hAnsi="Times New Roman" w:cs="Times New Roman"/>
          <w:b/>
          <w:bCs/>
          <w:color w:val="000000"/>
        </w:rPr>
        <w:t>29</w:t>
      </w:r>
      <w:r>
        <w:rPr>
          <w:rFonts w:ascii="Times New Roman" w:eastAsia="Times New Roman" w:hAnsi="Times New Roman" w:cs="Times New Roman"/>
          <w:color w:val="000000"/>
        </w:rPr>
        <w:t>(3), 45–52.</w:t>
      </w:r>
    </w:p>
    <w:p w14:paraId="10C508A4"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Ababneh</w:t>
      </w:r>
      <w:proofErr w:type="spellEnd"/>
      <w:r>
        <w:rPr>
          <w:rFonts w:ascii="Times New Roman" w:eastAsia="Times New Roman" w:hAnsi="Times New Roman" w:cs="Times New Roman"/>
          <w:color w:val="000000"/>
        </w:rPr>
        <w:t xml:space="preserve">, Q., </w:t>
      </w:r>
      <w:proofErr w:type="spellStart"/>
      <w:r>
        <w:rPr>
          <w:rFonts w:ascii="Times New Roman" w:eastAsia="Times New Roman" w:hAnsi="Times New Roman" w:cs="Times New Roman"/>
          <w:color w:val="000000"/>
        </w:rPr>
        <w:t>Jaradat</w:t>
      </w:r>
      <w:proofErr w:type="spellEnd"/>
      <w:r>
        <w:rPr>
          <w:rFonts w:ascii="Times New Roman" w:eastAsia="Times New Roman" w:hAnsi="Times New Roman" w:cs="Times New Roman"/>
          <w:color w:val="000000"/>
        </w:rPr>
        <w:t xml:space="preserve">, Z., &amp; </w:t>
      </w:r>
      <w:proofErr w:type="spellStart"/>
      <w:r>
        <w:rPr>
          <w:rFonts w:ascii="Times New Roman" w:eastAsia="Times New Roman" w:hAnsi="Times New Roman" w:cs="Times New Roman"/>
          <w:color w:val="000000"/>
        </w:rPr>
        <w:t>Khanfar</w:t>
      </w:r>
      <w:proofErr w:type="spellEnd"/>
      <w:r>
        <w:rPr>
          <w:rFonts w:ascii="Times New Roman" w:eastAsia="Times New Roman" w:hAnsi="Times New Roman" w:cs="Times New Roman"/>
          <w:color w:val="000000"/>
        </w:rPr>
        <w:t xml:space="preserve">, M. (2022). Methicillin-resistant </w:t>
      </w:r>
      <w:r>
        <w:rPr>
          <w:rFonts w:ascii="Times New Roman" w:eastAsia="Times New Roman" w:hAnsi="Times New Roman" w:cs="Times New Roman"/>
          <w:i/>
          <w:iCs/>
          <w:color w:val="000000"/>
        </w:rPr>
        <w:t>Staphylococcus aureus</w:t>
      </w:r>
      <w:r>
        <w:rPr>
          <w:rFonts w:ascii="Times New Roman" w:eastAsia="Times New Roman" w:hAnsi="Times New Roman" w:cs="Times New Roman"/>
          <w:color w:val="000000"/>
        </w:rPr>
        <w:t xml:space="preserve"> contamination of high-touched surfaces in a university campus. </w:t>
      </w:r>
      <w:r>
        <w:rPr>
          <w:rFonts w:ascii="Times New Roman" w:eastAsia="Times New Roman" w:hAnsi="Times New Roman" w:cs="Times New Roman"/>
          <w:i/>
          <w:iCs/>
          <w:color w:val="000000"/>
        </w:rPr>
        <w:t>Journal of Applied Microbiology</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132</w:t>
      </w:r>
      <w:r>
        <w:rPr>
          <w:rFonts w:ascii="Times New Roman" w:eastAsia="Times New Roman" w:hAnsi="Times New Roman" w:cs="Times New Roman"/>
          <w:color w:val="000000"/>
        </w:rPr>
        <w:t xml:space="preserve">(6), 4486–4495. </w:t>
      </w:r>
    </w:p>
    <w:p w14:paraId="71E9234A"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Chijioke</w:t>
      </w:r>
      <w:proofErr w:type="spellEnd"/>
      <w:r>
        <w:rPr>
          <w:rFonts w:ascii="Times New Roman" w:eastAsia="Times New Roman" w:hAnsi="Times New Roman" w:cs="Times New Roman"/>
          <w:color w:val="000000"/>
        </w:rPr>
        <w:t xml:space="preserve">, I., &amp; </w:t>
      </w:r>
      <w:proofErr w:type="spellStart"/>
      <w:r>
        <w:rPr>
          <w:rFonts w:ascii="Times New Roman" w:eastAsia="Times New Roman" w:hAnsi="Times New Roman" w:cs="Times New Roman"/>
          <w:color w:val="000000"/>
        </w:rPr>
        <w:t>Adaeze</w:t>
      </w:r>
      <w:proofErr w:type="spellEnd"/>
      <w:r>
        <w:rPr>
          <w:rFonts w:ascii="Times New Roman" w:eastAsia="Times New Roman" w:hAnsi="Times New Roman" w:cs="Times New Roman"/>
          <w:color w:val="000000"/>
        </w:rPr>
        <w:t xml:space="preserve">, C. N. (2024). Evaluation of </w:t>
      </w:r>
      <w:r>
        <w:rPr>
          <w:rFonts w:ascii="Times New Roman" w:eastAsia="Times New Roman" w:hAnsi="Times New Roman" w:cs="Times New Roman"/>
          <w:i/>
          <w:iCs/>
          <w:color w:val="000000"/>
        </w:rPr>
        <w:t>Salmonella</w:t>
      </w:r>
      <w:r>
        <w:rPr>
          <w:rFonts w:ascii="Times New Roman" w:eastAsia="Times New Roman" w:hAnsi="Times New Roman" w:cs="Times New Roman"/>
          <w:color w:val="000000"/>
        </w:rPr>
        <w:t xml:space="preserve"> species, </w:t>
      </w:r>
      <w:r>
        <w:rPr>
          <w:rFonts w:ascii="Times New Roman" w:eastAsia="Times New Roman" w:hAnsi="Times New Roman" w:cs="Times New Roman"/>
          <w:i/>
          <w:iCs/>
          <w:color w:val="000000"/>
        </w:rPr>
        <w:t>Escherichia coli</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Staphylococcus aureus</w:t>
      </w:r>
      <w:r>
        <w:rPr>
          <w:rFonts w:ascii="Times New Roman" w:eastAsia="Times New Roman" w:hAnsi="Times New Roman" w:cs="Times New Roman"/>
          <w:color w:val="000000"/>
        </w:rPr>
        <w:t xml:space="preserve"> associated with toilet door handles at girls and </w:t>
      </w:r>
      <w:proofErr w:type="gramStart"/>
      <w:r>
        <w:rPr>
          <w:rFonts w:ascii="Times New Roman" w:eastAsia="Times New Roman" w:hAnsi="Times New Roman" w:cs="Times New Roman"/>
          <w:color w:val="000000"/>
        </w:rPr>
        <w:t>boys</w:t>
      </w:r>
      <w:proofErr w:type="gramEnd"/>
      <w:r>
        <w:rPr>
          <w:rFonts w:ascii="Times New Roman" w:eastAsia="Times New Roman" w:hAnsi="Times New Roman" w:cs="Times New Roman"/>
          <w:color w:val="000000"/>
        </w:rPr>
        <w:t xml:space="preserve"> hostels in Federal institutions. </w:t>
      </w:r>
      <w:r>
        <w:rPr>
          <w:rFonts w:ascii="Times New Roman" w:eastAsia="Times New Roman" w:hAnsi="Times New Roman" w:cs="Times New Roman"/>
          <w:i/>
          <w:iCs/>
          <w:color w:val="000000"/>
        </w:rPr>
        <w:t>International Journal of Infectious Biology and Medical Research</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4</w:t>
      </w:r>
      <w:r>
        <w:rPr>
          <w:rFonts w:ascii="Times New Roman" w:eastAsia="Times New Roman" w:hAnsi="Times New Roman" w:cs="Times New Roman"/>
          <w:color w:val="000000"/>
        </w:rPr>
        <w:t xml:space="preserve">(2024), 25–34. </w:t>
      </w:r>
    </w:p>
    <w:p w14:paraId="17FBB211"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Shams, U., Bibi, S., Ali, Y., Iqbal, T., &amp; </w:t>
      </w:r>
      <w:proofErr w:type="spellStart"/>
      <w:r>
        <w:rPr>
          <w:rFonts w:ascii="Times New Roman" w:eastAsia="Times New Roman" w:hAnsi="Times New Roman" w:cs="Times New Roman"/>
          <w:color w:val="000000"/>
        </w:rPr>
        <w:t>Alam</w:t>
      </w:r>
      <w:proofErr w:type="spellEnd"/>
      <w:r>
        <w:rPr>
          <w:rFonts w:ascii="Times New Roman" w:eastAsia="Times New Roman" w:hAnsi="Times New Roman" w:cs="Times New Roman"/>
          <w:color w:val="000000"/>
        </w:rPr>
        <w:t xml:space="preserve">, I. (2024). Frequency detection of multidrug-resistant </w:t>
      </w:r>
      <w:r>
        <w:rPr>
          <w:rFonts w:ascii="Times New Roman" w:eastAsia="Times New Roman" w:hAnsi="Times New Roman" w:cs="Times New Roman"/>
          <w:i/>
          <w:iCs/>
          <w:color w:val="000000"/>
        </w:rPr>
        <w:t>Staphylococcus aureus</w:t>
      </w:r>
      <w:r>
        <w:rPr>
          <w:rFonts w:ascii="Times New Roman" w:eastAsia="Times New Roman" w:hAnsi="Times New Roman" w:cs="Times New Roman"/>
          <w:color w:val="000000"/>
        </w:rPr>
        <w:t xml:space="preserve"> and associated genes isolated from hospital surfaces in Khyber Pakhtunkhwa. </w:t>
      </w:r>
      <w:r>
        <w:rPr>
          <w:rFonts w:ascii="Times New Roman" w:eastAsia="Times New Roman" w:hAnsi="Times New Roman" w:cs="Times New Roman"/>
          <w:i/>
          <w:iCs/>
          <w:color w:val="000000"/>
        </w:rPr>
        <w:t>International Journal of Bacteriology Research</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2</w:t>
      </w:r>
      <w:r>
        <w:rPr>
          <w:rFonts w:ascii="Times New Roman" w:eastAsia="Times New Roman" w:hAnsi="Times New Roman" w:cs="Times New Roman"/>
          <w:color w:val="000000"/>
        </w:rPr>
        <w:t xml:space="preserve">(2), 78–87. </w:t>
      </w:r>
    </w:p>
    <w:p w14:paraId="2DEAE41C"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Bouchra</w:t>
      </w:r>
      <w:proofErr w:type="spellEnd"/>
      <w:r>
        <w:rPr>
          <w:rFonts w:ascii="Times New Roman" w:eastAsia="Times New Roman" w:hAnsi="Times New Roman" w:cs="Times New Roman"/>
          <w:color w:val="000000"/>
        </w:rPr>
        <w:t xml:space="preserve">, O., </w:t>
      </w:r>
      <w:proofErr w:type="spellStart"/>
      <w:r>
        <w:rPr>
          <w:rFonts w:ascii="Times New Roman" w:eastAsia="Times New Roman" w:hAnsi="Times New Roman" w:cs="Times New Roman"/>
          <w:color w:val="000000"/>
        </w:rPr>
        <w:t>Abdelhakim</w:t>
      </w:r>
      <w:proofErr w:type="spellEnd"/>
      <w:r>
        <w:rPr>
          <w:rFonts w:ascii="Times New Roman" w:eastAsia="Times New Roman" w:hAnsi="Times New Roman" w:cs="Times New Roman"/>
          <w:color w:val="000000"/>
        </w:rPr>
        <w:t xml:space="preserve">, E. L., Nadia, B., &amp; </w:t>
      </w:r>
      <w:proofErr w:type="spellStart"/>
      <w:r>
        <w:rPr>
          <w:rFonts w:ascii="Times New Roman" w:eastAsia="Times New Roman" w:hAnsi="Times New Roman" w:cs="Times New Roman"/>
          <w:color w:val="000000"/>
        </w:rPr>
        <w:t>Btissam</w:t>
      </w:r>
      <w:proofErr w:type="spellEnd"/>
      <w:r>
        <w:rPr>
          <w:rFonts w:ascii="Times New Roman" w:eastAsia="Times New Roman" w:hAnsi="Times New Roman" w:cs="Times New Roman"/>
          <w:color w:val="000000"/>
        </w:rPr>
        <w:t xml:space="preserve">, A. (2017). Environmental surfaces in healthcare setting: A great potential risk of pathogens transmission. </w:t>
      </w:r>
      <w:r>
        <w:rPr>
          <w:rFonts w:ascii="Times New Roman" w:eastAsia="Times New Roman" w:hAnsi="Times New Roman" w:cs="Times New Roman"/>
          <w:i/>
          <w:iCs/>
          <w:color w:val="000000"/>
        </w:rPr>
        <w:t>ISSN: 0970-938X (Print) | 0976-1683 (Electronic)</w:t>
      </w:r>
    </w:p>
    <w:p w14:paraId="273DC6E9"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Al-Fadhil, A. A., Kareem, H. S., &amp; Al-</w:t>
      </w:r>
      <w:proofErr w:type="spellStart"/>
      <w:r>
        <w:rPr>
          <w:rFonts w:ascii="Times New Roman" w:eastAsia="Times New Roman" w:hAnsi="Times New Roman" w:cs="Times New Roman"/>
          <w:color w:val="000000"/>
          <w:sz w:val="24"/>
          <w:szCs w:val="24"/>
        </w:rPr>
        <w:t>Shammari</w:t>
      </w:r>
      <w:proofErr w:type="spellEnd"/>
      <w:r>
        <w:rPr>
          <w:rFonts w:ascii="Times New Roman" w:eastAsia="Times New Roman" w:hAnsi="Times New Roman" w:cs="Times New Roman"/>
          <w:color w:val="000000"/>
          <w:sz w:val="24"/>
          <w:szCs w:val="24"/>
        </w:rPr>
        <w:t xml:space="preserve">, B. T. (2023). Hand hygiene practices and microbial contamination on university surfaces in the Middle East. Journal of Infection Control and Public Health, </w:t>
      </w: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(4), 215–223</w:t>
      </w:r>
    </w:p>
    <w:p w14:paraId="0804B017"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Friedman, L., </w:t>
      </w:r>
      <w:proofErr w:type="spellStart"/>
      <w:r>
        <w:rPr>
          <w:rFonts w:ascii="Times New Roman" w:eastAsia="Times New Roman" w:hAnsi="Times New Roman" w:cs="Times New Roman"/>
          <w:color w:val="000000"/>
        </w:rPr>
        <w:t>Wallar</w:t>
      </w:r>
      <w:proofErr w:type="spellEnd"/>
      <w:r>
        <w:rPr>
          <w:rFonts w:ascii="Times New Roman" w:eastAsia="Times New Roman" w:hAnsi="Times New Roman" w:cs="Times New Roman"/>
          <w:color w:val="000000"/>
        </w:rPr>
        <w:t xml:space="preserve">, L. E., &amp; Papadopoulos, A. (2015). Environmental risk factors for community-acquired MRSA. </w:t>
      </w:r>
      <w:r>
        <w:rPr>
          <w:rFonts w:ascii="Times New Roman" w:eastAsia="Times New Roman" w:hAnsi="Times New Roman" w:cs="Times New Roman"/>
          <w:i/>
          <w:iCs/>
          <w:color w:val="000000"/>
        </w:rPr>
        <w:t>Canadian Communicable Disease Report</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41</w:t>
      </w:r>
      <w:r>
        <w:rPr>
          <w:rFonts w:ascii="Times New Roman" w:eastAsia="Times New Roman" w:hAnsi="Times New Roman" w:cs="Times New Roman"/>
          <w:color w:val="000000"/>
        </w:rPr>
        <w:t xml:space="preserve">(4), 1–15. </w:t>
      </w:r>
    </w:p>
    <w:p w14:paraId="36E414DC"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World Health Organization. (2022). </w:t>
      </w:r>
      <w:r>
        <w:rPr>
          <w:rFonts w:ascii="Times New Roman" w:eastAsia="Times New Roman" w:hAnsi="Times New Roman" w:cs="Times New Roman"/>
          <w:i/>
          <w:iCs/>
          <w:color w:val="000000"/>
        </w:rPr>
        <w:t>Global action plan on antimicrobial resistance: Annual progress report 2022</w:t>
      </w:r>
      <w:r>
        <w:rPr>
          <w:rFonts w:ascii="Times New Roman" w:eastAsia="Times New Roman" w:hAnsi="Times New Roman" w:cs="Times New Roman"/>
          <w:color w:val="000000"/>
        </w:rPr>
        <w:t xml:space="preserve">. </w:t>
      </w:r>
    </w:p>
    <w:p w14:paraId="6700FFBB"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2C5F9189"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695EFE1F"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7C47E4CB" w14:textId="77777777" w:rsidR="00B76B9D" w:rsidRDefault="00B76B9D">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p>
    <w:p w14:paraId="6D213169" w14:textId="77777777" w:rsidR="00B76B9D" w:rsidRDefault="00B76B9D">
      <w:pPr>
        <w:rPr>
          <w:rFonts w:ascii="Arial" w:eastAsia="Arial" w:hAnsi="Arial" w:cs="Arial"/>
          <w:b/>
          <w:bCs/>
        </w:rPr>
      </w:pPr>
    </w:p>
    <w:p w14:paraId="2D71781D" w14:textId="77777777" w:rsidR="00B76B9D" w:rsidRDefault="00B76B9D">
      <w:pPr>
        <w:rPr>
          <w:rFonts w:ascii="Arial" w:eastAsia="Arial" w:hAnsi="Arial" w:cs="Arial"/>
          <w:b/>
          <w:bCs/>
        </w:rPr>
      </w:pPr>
    </w:p>
    <w:p w14:paraId="7519CAD2" w14:textId="77777777" w:rsidR="00B76B9D" w:rsidRDefault="00B76B9D">
      <w:pPr>
        <w:rPr>
          <w:rFonts w:ascii="Arial" w:eastAsia="Arial" w:hAnsi="Arial" w:cs="Arial"/>
          <w:b/>
          <w:bCs/>
        </w:rPr>
      </w:pPr>
    </w:p>
    <w:p w14:paraId="7986D5C5" w14:textId="77777777" w:rsidR="00B76B9D" w:rsidRDefault="00B76B9D">
      <w:pPr>
        <w:rPr>
          <w:rFonts w:ascii="Arial" w:eastAsia="Arial" w:hAnsi="Arial" w:cs="Arial"/>
          <w:b/>
          <w:bCs/>
        </w:rPr>
      </w:pPr>
    </w:p>
    <w:p w14:paraId="44C3CD98" w14:textId="77777777" w:rsidR="00B76B9D" w:rsidRDefault="00B76B9D">
      <w:pPr>
        <w:rPr>
          <w:rFonts w:ascii="Arial" w:eastAsia="Arial" w:hAnsi="Arial" w:cs="Arial"/>
          <w:b/>
          <w:bCs/>
        </w:rPr>
      </w:pPr>
    </w:p>
    <w:p w14:paraId="26B310C5" w14:textId="77777777" w:rsidR="00B76B9D" w:rsidRDefault="00B76B9D">
      <w:pPr>
        <w:rPr>
          <w:rFonts w:ascii="Arial" w:eastAsia="Arial" w:hAnsi="Arial" w:cs="Arial"/>
          <w:b/>
          <w:bCs/>
        </w:rPr>
      </w:pPr>
    </w:p>
    <w:sectPr w:rsidR="00B76B9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526FE" w14:textId="77777777" w:rsidR="007A745A" w:rsidRDefault="007A745A" w:rsidP="00A21837">
      <w:pPr>
        <w:spacing w:after="0" w:line="240" w:lineRule="auto"/>
      </w:pPr>
      <w:r>
        <w:separator/>
      </w:r>
    </w:p>
  </w:endnote>
  <w:endnote w:type="continuationSeparator" w:id="0">
    <w:p w14:paraId="05A41E55" w14:textId="77777777" w:rsidR="007A745A" w:rsidRDefault="007A745A" w:rsidP="00A21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087718-7CCC-4441-B68F-33078E146983}"/>
    <w:embedBold r:id="rId2" w:fontKey="{C3F538C7-38B9-410F-8EBD-632258D38511}"/>
  </w:font>
  <w:font w:name="Georgia">
    <w:panose1 w:val="02040502050405020303"/>
    <w:charset w:val="00"/>
    <w:family w:val="roman"/>
    <w:pitch w:val="variable"/>
    <w:sig w:usb0="00000287" w:usb1="00000000" w:usb2="00000000" w:usb3="00000000" w:csb0="0000009F" w:csb1="00000000"/>
    <w:embedItalic r:id="rId3" w:fontKey="{643D6728-5AFD-42A9-8065-3F6CE0B8C94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D3C69B96-90B9-4118-8AFF-BE8AD8483AEA}"/>
  </w:font>
  <w:font w:name="Cambria">
    <w:panose1 w:val="02040503050406030204"/>
    <w:charset w:val="00"/>
    <w:family w:val="roman"/>
    <w:pitch w:val="variable"/>
    <w:sig w:usb0="E00006FF" w:usb1="420024FF" w:usb2="02000000" w:usb3="00000000" w:csb0="0000019F" w:csb1="00000000"/>
    <w:embedRegular r:id="rId5" w:fontKey="{0EC20B6D-C100-4AF9-BB82-2E3BCBC450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02380" w14:textId="77777777" w:rsidR="00A21837" w:rsidRDefault="00A21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69AC" w14:textId="77777777" w:rsidR="00A21837" w:rsidRDefault="00A21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2EE4D" w14:textId="77777777" w:rsidR="00A21837" w:rsidRDefault="00A21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A2EAE" w14:textId="77777777" w:rsidR="007A745A" w:rsidRDefault="007A745A" w:rsidP="00A21837">
      <w:pPr>
        <w:spacing w:after="0" w:line="240" w:lineRule="auto"/>
      </w:pPr>
      <w:r>
        <w:separator/>
      </w:r>
    </w:p>
  </w:footnote>
  <w:footnote w:type="continuationSeparator" w:id="0">
    <w:p w14:paraId="123737B5" w14:textId="77777777" w:rsidR="007A745A" w:rsidRDefault="007A745A" w:rsidP="00A21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C1330" w14:textId="3269DF7D" w:rsidR="00A21837" w:rsidRDefault="00A21837">
    <w:pPr>
      <w:pStyle w:val="Header"/>
    </w:pPr>
    <w:r>
      <w:rPr>
        <w:noProof/>
      </w:rPr>
      <w:pict w14:anchorId="256BC4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45034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52FF2" w14:textId="6F3452E6" w:rsidR="00A21837" w:rsidRDefault="00A21837">
    <w:pPr>
      <w:pStyle w:val="Header"/>
    </w:pPr>
    <w:r>
      <w:rPr>
        <w:noProof/>
      </w:rPr>
      <w:pict w14:anchorId="0BAC6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45034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029F5" w14:textId="3A16D92D" w:rsidR="00A21837" w:rsidRDefault="00A21837">
    <w:pPr>
      <w:pStyle w:val="Header"/>
    </w:pPr>
    <w:r>
      <w:rPr>
        <w:noProof/>
      </w:rPr>
      <w:pict w14:anchorId="23EF9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45034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DB0"/>
    <w:multiLevelType w:val="multilevel"/>
    <w:tmpl w:val="3AB0C5D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7E42A7C"/>
    <w:multiLevelType w:val="multilevel"/>
    <w:tmpl w:val="3BA6A1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1A3063F"/>
    <w:multiLevelType w:val="multilevel"/>
    <w:tmpl w:val="9228A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4C65F6"/>
    <w:multiLevelType w:val="multilevel"/>
    <w:tmpl w:val="A10A9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B9D"/>
    <w:rsid w:val="000612D1"/>
    <w:rsid w:val="001A4A5A"/>
    <w:rsid w:val="0021217F"/>
    <w:rsid w:val="0075028D"/>
    <w:rsid w:val="00756E8F"/>
    <w:rsid w:val="007A745A"/>
    <w:rsid w:val="009079AC"/>
    <w:rsid w:val="0092110D"/>
    <w:rsid w:val="00A21837"/>
    <w:rsid w:val="00B72217"/>
    <w:rsid w:val="00B76B9D"/>
    <w:rsid w:val="00BB408C"/>
    <w:rsid w:val="00C31255"/>
    <w:rsid w:val="00CB2FA4"/>
    <w:rsid w:val="00E934DC"/>
    <w:rsid w:val="00F5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DE1B60"/>
  <w15:docId w15:val="{1CBA13F3-944C-4220-A78D-7BDD59FF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079AC"/>
    <w:rPr>
      <w:color w:val="0000FF" w:themeColor="hyperlink"/>
      <w:u w:val="single"/>
    </w:rPr>
  </w:style>
  <w:style w:type="character" w:styleId="UnresolvedMention">
    <w:name w:val="Unresolved Mention"/>
    <w:basedOn w:val="DefaultParagraphFont"/>
    <w:uiPriority w:val="99"/>
    <w:semiHidden/>
    <w:unhideWhenUsed/>
    <w:rsid w:val="009079AC"/>
    <w:rPr>
      <w:color w:val="605E5C"/>
      <w:shd w:val="clear" w:color="auto" w:fill="E1DFDD"/>
    </w:rPr>
  </w:style>
  <w:style w:type="paragraph" w:styleId="ListParagraph">
    <w:name w:val="List Paragraph"/>
    <w:basedOn w:val="Normal"/>
    <w:uiPriority w:val="34"/>
    <w:qFormat/>
    <w:rsid w:val="009079AC"/>
    <w:pPr>
      <w:ind w:left="720"/>
      <w:contextualSpacing/>
    </w:pPr>
  </w:style>
  <w:style w:type="paragraph" w:styleId="Header">
    <w:name w:val="header"/>
    <w:basedOn w:val="Normal"/>
    <w:link w:val="HeaderChar"/>
    <w:uiPriority w:val="99"/>
    <w:unhideWhenUsed/>
    <w:rsid w:val="00A218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837"/>
  </w:style>
  <w:style w:type="paragraph" w:styleId="Footer">
    <w:name w:val="footer"/>
    <w:basedOn w:val="Normal"/>
    <w:link w:val="FooterChar"/>
    <w:uiPriority w:val="99"/>
    <w:unhideWhenUsed/>
    <w:rsid w:val="00A21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cholar.google.com/scholar?oi=bibs&amp;cluster=17138997097402709470&amp;btnI=1&amp;hl=e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antibiotics1403025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279C-4925-B300-3CE2069D3107}"/>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279C-4925-B300-3CE2069D3107}"/>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5-279C-4925-B300-3CE2069D3107}"/>
              </c:ext>
            </c:extLst>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7-279C-4925-B300-3CE2069D3107}"/>
              </c:ext>
            </c:extLst>
          </c:dPt>
          <c:dPt>
            <c:idx val="4"/>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9-279C-4925-B300-3CE2069D3107}"/>
              </c:ext>
            </c:extLst>
          </c:dPt>
          <c:dPt>
            <c:idx val="5"/>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B-279C-4925-B300-3CE2069D31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Sheet1!$A$1:$A$6</c:f>
              <c:strCache>
                <c:ptCount val="6"/>
                <c:pt idx="0">
                  <c:v>Staphylococcus spp</c:v>
                </c:pt>
                <c:pt idx="1">
                  <c:v>Escherichia spp</c:v>
                </c:pt>
                <c:pt idx="2">
                  <c:v>Pseudomonas spp</c:v>
                </c:pt>
                <c:pt idx="3">
                  <c:v>Staphylococcus aureus</c:v>
                </c:pt>
                <c:pt idx="4">
                  <c:v>Serratia.spp</c:v>
                </c:pt>
                <c:pt idx="5">
                  <c:v>Proteus spp</c:v>
                </c:pt>
              </c:strCache>
            </c:strRef>
          </c:cat>
          <c:val>
            <c:numRef>
              <c:f>Sheet1!$B$1:$B$6</c:f>
              <c:numCache>
                <c:formatCode>General</c:formatCode>
                <c:ptCount val="6"/>
                <c:pt idx="0">
                  <c:v>4</c:v>
                </c:pt>
                <c:pt idx="1">
                  <c:v>3</c:v>
                </c:pt>
                <c:pt idx="2">
                  <c:v>1</c:v>
                </c:pt>
                <c:pt idx="3">
                  <c:v>2</c:v>
                </c:pt>
                <c:pt idx="4">
                  <c:v>1</c:v>
                </c:pt>
                <c:pt idx="5">
                  <c:v>1</c:v>
                </c:pt>
              </c:numCache>
            </c:numRef>
          </c:val>
          <c:extLst>
            <c:ext xmlns:c16="http://schemas.microsoft.com/office/drawing/2014/chart" uri="{C3380CC4-5D6E-409C-BE32-E72D297353CC}">
              <c16:uniqueId val="{0000000C-279C-4925-B300-3CE2069D3107}"/>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42da42e7-5448-491b-bd39-2ced98180f10}"/>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11</Pages>
  <Words>4659</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2026-03-01T11:56:00Z</dcterms:created>
  <dcterms:modified xsi:type="dcterms:W3CDTF">2026-03-04T12:21:00Z</dcterms:modified>
</cp:coreProperties>
</file>