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F35BD3" w:rsidRDefault="00F35BD3" w:rsidP="00441B6F">
      <w:pPr>
        <w:pStyle w:val="Author"/>
        <w:spacing w:line="240" w:lineRule="auto"/>
        <w:jc w:val="both"/>
        <w:rPr>
          <w:rFonts w:ascii="Arial" w:hAnsi="Arial" w:cs="Arial"/>
          <w:bCs/>
          <w:iCs/>
          <w:kern w:val="28"/>
          <w:sz w:val="36"/>
        </w:rPr>
      </w:pPr>
      <w:r>
        <w:rPr>
          <w:rFonts w:ascii="Arial" w:hAnsi="Arial" w:cs="Arial"/>
        </w:rPr>
        <w:t>Original research article</w:t>
      </w:r>
    </w:p>
    <w:p w:rsidR="00A258C3" w:rsidRDefault="00024A81" w:rsidP="00294D9B">
      <w:pPr>
        <w:pStyle w:val="Author"/>
        <w:spacing w:line="240" w:lineRule="auto"/>
        <w:jc w:val="left"/>
        <w:rPr>
          <w:rFonts w:ascii="Arial" w:hAnsi="Arial" w:cs="Arial"/>
          <w:bCs/>
          <w:iCs/>
          <w:kern w:val="28"/>
          <w:sz w:val="36"/>
        </w:rPr>
      </w:pPr>
      <w:r w:rsidRPr="00024A81">
        <w:rPr>
          <w:rFonts w:ascii="Arial" w:hAnsi="Arial" w:cs="Arial"/>
          <w:bCs/>
          <w:iCs/>
          <w:kern w:val="28"/>
          <w:sz w:val="36"/>
        </w:rPr>
        <w:t>MORTALITY</w:t>
      </w:r>
      <w:r w:rsidR="0050292B">
        <w:rPr>
          <w:rFonts w:ascii="Arial" w:hAnsi="Arial" w:cs="Arial"/>
          <w:bCs/>
          <w:iCs/>
          <w:kern w:val="28"/>
          <w:sz w:val="36"/>
        </w:rPr>
        <w:t xml:space="preserve"> </w:t>
      </w:r>
      <w:r w:rsidRPr="00024A81">
        <w:rPr>
          <w:rFonts w:ascii="Arial" w:hAnsi="Arial" w:cs="Arial"/>
          <w:bCs/>
          <w:iCs/>
          <w:kern w:val="28"/>
          <w:sz w:val="36"/>
        </w:rPr>
        <w:t>AMONG CHILDREN WITH TUBERCULOSIS IN MALAYSIA</w:t>
      </w:r>
      <w:bookmarkStart w:id="0" w:name="_GoBack"/>
      <w:bookmarkEnd w:id="0"/>
    </w:p>
    <w:p w:rsidR="00F13187" w:rsidRPr="00790ADA" w:rsidRDefault="00F13187" w:rsidP="00441B6F">
      <w:pPr>
        <w:pStyle w:val="Author"/>
        <w:spacing w:line="240" w:lineRule="auto"/>
        <w:jc w:val="both"/>
        <w:rPr>
          <w:rFonts w:ascii="Arial" w:hAnsi="Arial" w:cs="Arial"/>
          <w:sz w:val="36"/>
        </w:rPr>
      </w:pPr>
    </w:p>
    <w:p w:rsidR="00E65229" w:rsidRPr="00E65229" w:rsidRDefault="00E65229" w:rsidP="00E65229">
      <w:pPr>
        <w:pStyle w:val="Affiliation"/>
        <w:rPr>
          <w:rFonts w:ascii="Arial" w:hAnsi="Arial" w:cs="Arial"/>
          <w:i/>
        </w:rPr>
      </w:pPr>
    </w:p>
    <w:p w:rsidR="00E65229" w:rsidRPr="0083216F" w:rsidRDefault="00E65229" w:rsidP="007309F1">
      <w:pPr>
        <w:pStyle w:val="Affiliation"/>
        <w:spacing w:after="0" w:line="240" w:lineRule="auto"/>
        <w:rPr>
          <w:rFonts w:ascii="Arial" w:hAnsi="Arial" w:cs="Arial"/>
          <w:i/>
        </w:rPr>
      </w:pPr>
    </w:p>
    <w:p w:rsidR="002C57D2" w:rsidRPr="00FB3A86" w:rsidRDefault="002C57D2" w:rsidP="00441B6F">
      <w:pPr>
        <w:pStyle w:val="Affiliation"/>
        <w:spacing w:after="0" w:line="240" w:lineRule="auto"/>
        <w:jc w:val="both"/>
        <w:rPr>
          <w:rFonts w:ascii="Arial" w:hAnsi="Arial" w:cs="Arial"/>
        </w:rPr>
      </w:pPr>
    </w:p>
    <w:p w:rsidR="00B01FCD" w:rsidRDefault="00024A81" w:rsidP="00441B6F">
      <w:pPr>
        <w:pStyle w:val="Copyright"/>
        <w:spacing w:after="0" w:line="240" w:lineRule="auto"/>
        <w:jc w:val="both"/>
        <w:rPr>
          <w:rFonts w:ascii="Arial" w:hAnsi="Arial" w:cs="Arial"/>
        </w:rPr>
      </w:pPr>
      <w:r>
        <w:rPr>
          <w:rFonts w:ascii="Arial" w:hAnsi="Arial" w:cs="Arial"/>
          <w:noProof/>
          <w:lang w:val="en-GB" w:eastAsia="en-GB"/>
        </w:rPr>
        <mc:AlternateContent>
          <mc:Choice Requires="wps">
            <w:drawing>
              <wp:inline distT="0" distB="0" distL="0" distR="0">
                <wp:extent cx="5303520" cy="635"/>
                <wp:effectExtent l="17145" t="9525" r="1333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9DFEE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p>
    <w:p w:rsidR="00C611D8" w:rsidRDefault="00C611D8" w:rsidP="00441B6F">
      <w:pPr>
        <w:pStyle w:val="Copyright"/>
        <w:spacing w:after="0" w:line="240" w:lineRule="auto"/>
        <w:jc w:val="both"/>
        <w:rPr>
          <w:rFonts w:ascii="Arial" w:hAnsi="Arial" w:cs="Arial"/>
        </w:rPr>
      </w:pPr>
    </w:p>
    <w:p w:rsidR="00C611D8" w:rsidRPr="00FB3A86" w:rsidRDefault="00C611D8" w:rsidP="00441B6F">
      <w:pPr>
        <w:pStyle w:val="Copyright"/>
        <w:spacing w:after="0" w:line="240" w:lineRule="auto"/>
        <w:jc w:val="both"/>
        <w:rPr>
          <w:rFonts w:ascii="Arial" w:hAnsi="Arial" w:cs="Arial"/>
        </w:rPr>
        <w:sectPr w:rsidR="00C611D8" w:rsidRPr="00FB3A86" w:rsidSect="006B13D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b/>
                <w:szCs w:val="22"/>
              </w:rPr>
            </w:pP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603705">
              <w:rPr>
                <w:rFonts w:ascii="Arial" w:eastAsia="Calibri" w:hAnsi="Arial" w:cs="Arial"/>
                <w:szCs w:val="22"/>
              </w:rPr>
              <w:t>To</w:t>
            </w:r>
            <w:r w:rsidR="00603705" w:rsidRPr="00603705">
              <w:rPr>
                <w:rFonts w:ascii="Arial" w:eastAsia="Calibri" w:hAnsi="Arial" w:cs="Arial"/>
                <w:szCs w:val="22"/>
              </w:rPr>
              <w:t xml:space="preserve"> describe the characteristics</w:t>
            </w:r>
            <w:r w:rsidR="00F424D8">
              <w:rPr>
                <w:rFonts w:ascii="Arial" w:eastAsia="Calibri" w:hAnsi="Arial" w:cs="Arial"/>
                <w:szCs w:val="22"/>
              </w:rPr>
              <w:t xml:space="preserve"> of children who succumbed to tuberculosis (TB)</w:t>
            </w:r>
            <w:r w:rsidR="00603705" w:rsidRPr="00603705">
              <w:rPr>
                <w:rFonts w:ascii="Arial" w:eastAsia="Calibri" w:hAnsi="Arial" w:cs="Arial"/>
                <w:szCs w:val="22"/>
              </w:rPr>
              <w:t xml:space="preserve"> in Malaysia.</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03705">
              <w:rPr>
                <w:rFonts w:ascii="Arial" w:eastAsia="Calibri" w:hAnsi="Arial" w:cs="Arial"/>
                <w:szCs w:val="22"/>
              </w:rPr>
              <w:t>Retrospective record review.</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424D8">
              <w:rPr>
                <w:rFonts w:ascii="Arial" w:eastAsia="Calibri" w:hAnsi="Arial" w:cs="Arial"/>
                <w:szCs w:val="22"/>
              </w:rPr>
              <w:t xml:space="preserve">All Malaysian hospitals with reported TB mortality among children, </w:t>
            </w:r>
            <w:r w:rsidR="00350250">
              <w:rPr>
                <w:rFonts w:ascii="Arial" w:eastAsia="Calibri" w:hAnsi="Arial" w:cs="Arial"/>
                <w:szCs w:val="22"/>
              </w:rPr>
              <w:t>between January 2018</w:t>
            </w:r>
            <w:r w:rsidRPr="00BA1B01">
              <w:rPr>
                <w:rFonts w:ascii="Arial" w:eastAsia="Calibri" w:hAnsi="Arial" w:cs="Arial"/>
                <w:szCs w:val="22"/>
              </w:rPr>
              <w:t xml:space="preserve"> and </w:t>
            </w:r>
            <w:r w:rsidR="00350250">
              <w:rPr>
                <w:rFonts w:ascii="Arial" w:eastAsia="Calibri" w:hAnsi="Arial" w:cs="Arial"/>
                <w:szCs w:val="22"/>
              </w:rPr>
              <w:t>December 202</w:t>
            </w:r>
            <w:r w:rsidRPr="00BA1B01">
              <w:rPr>
                <w:rFonts w:ascii="Arial" w:eastAsia="Calibri" w:hAnsi="Arial" w:cs="Arial"/>
                <w:szCs w:val="22"/>
              </w:rPr>
              <w:t>0.</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424D8">
              <w:rPr>
                <w:rFonts w:ascii="Arial" w:eastAsia="Calibri" w:hAnsi="Arial" w:cs="Arial"/>
                <w:szCs w:val="22"/>
              </w:rPr>
              <w:t>We include</w:t>
            </w:r>
            <w:r w:rsidR="0018294E">
              <w:rPr>
                <w:rFonts w:ascii="Arial" w:eastAsia="Calibri" w:hAnsi="Arial" w:cs="Arial"/>
                <w:szCs w:val="22"/>
              </w:rPr>
              <w:t>d 71 children under 15 years</w:t>
            </w:r>
            <w:r w:rsidR="00F424D8">
              <w:rPr>
                <w:rFonts w:ascii="Arial" w:eastAsia="Calibri" w:hAnsi="Arial" w:cs="Arial"/>
                <w:szCs w:val="22"/>
              </w:rPr>
              <w:t xml:space="preserve"> who succumbed from TB from January 2018 to December 2020 in Malaysia. Data was retrieved from the TB Information System (</w:t>
            </w:r>
            <w:proofErr w:type="spellStart"/>
            <w:r w:rsidR="00F424D8">
              <w:rPr>
                <w:rFonts w:ascii="Arial" w:eastAsia="Calibri" w:hAnsi="Arial" w:cs="Arial"/>
                <w:szCs w:val="22"/>
              </w:rPr>
              <w:t>MyTB</w:t>
            </w:r>
            <w:proofErr w:type="spellEnd"/>
            <w:r w:rsidR="00F424D8">
              <w:rPr>
                <w:rFonts w:ascii="Arial" w:eastAsia="Calibri" w:hAnsi="Arial" w:cs="Arial"/>
                <w:szCs w:val="22"/>
              </w:rPr>
              <w:t>) and subjects’ medical records.</w:t>
            </w:r>
          </w:p>
          <w:p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424D8" w:rsidRPr="00F424D8">
              <w:rPr>
                <w:rFonts w:ascii="Arial" w:eastAsia="Calibri" w:hAnsi="Arial" w:cs="Arial"/>
                <w:szCs w:val="22"/>
              </w:rPr>
              <w:t xml:space="preserve">Seventy-one deaths among children were identified from </w:t>
            </w:r>
            <w:proofErr w:type="spellStart"/>
            <w:r w:rsidR="00F424D8" w:rsidRPr="00F424D8">
              <w:rPr>
                <w:rFonts w:ascii="Arial" w:eastAsia="Calibri" w:hAnsi="Arial" w:cs="Arial"/>
                <w:szCs w:val="22"/>
              </w:rPr>
              <w:t>MyTB</w:t>
            </w:r>
            <w:proofErr w:type="spellEnd"/>
            <w:r w:rsidR="00F424D8" w:rsidRPr="00F424D8">
              <w:rPr>
                <w:rFonts w:ascii="Arial" w:eastAsia="Calibri" w:hAnsi="Arial" w:cs="Arial"/>
                <w:szCs w:val="22"/>
              </w:rPr>
              <w:t xml:space="preserve">. Medical records were available for 38 subjects. From 71 children, 41 (57.7%) were females, 29 (40.8%) non-Malaysians, 43 (60.6%) had a BCG scar. Median age at death was 94 (5-179) months. From medical records of 38 patients, common symptoms were cough (28, 73.7%), fever (23, 60.5%), and </w:t>
            </w:r>
            <w:proofErr w:type="spellStart"/>
            <w:r w:rsidR="00F424D8" w:rsidRPr="00F424D8">
              <w:rPr>
                <w:rFonts w:ascii="Arial" w:eastAsia="Calibri" w:hAnsi="Arial" w:cs="Arial"/>
                <w:szCs w:val="22"/>
              </w:rPr>
              <w:t>dyspnoea</w:t>
            </w:r>
            <w:proofErr w:type="spellEnd"/>
            <w:r w:rsidR="00F424D8" w:rsidRPr="00F424D8">
              <w:rPr>
                <w:rFonts w:ascii="Arial" w:eastAsia="Calibri" w:hAnsi="Arial" w:cs="Arial"/>
                <w:szCs w:val="22"/>
              </w:rPr>
              <w:t xml:space="preserve"> (20, 52.6%). Fifty-six (78.9%) of 71 children had abnormal chest x-ray, and 25 (35.2%) had positive acid-fast bacilli smear. Extra-pulmonary TB was diagnosed in 32.4% of them. Median duration between diagnosis to death was 9 days (0-280)</w:t>
            </w:r>
            <w:r w:rsidR="00F424D8">
              <w:rPr>
                <w:rFonts w:ascii="Arial" w:eastAsia="Calibri" w:hAnsi="Arial" w:cs="Arial"/>
                <w:szCs w:val="22"/>
              </w:rPr>
              <w:t>.</w:t>
            </w:r>
          </w:p>
          <w:p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424D8">
              <w:rPr>
                <w:rFonts w:ascii="Arial" w:eastAsia="Calibri" w:hAnsi="Arial" w:cs="Arial"/>
                <w:szCs w:val="22"/>
              </w:rPr>
              <w:t>Clinician’s awareness of common symptoms and risk factors for TB in children may reduce TB burden in the country.</w:t>
            </w:r>
          </w:p>
          <w:p w:rsidR="00505F06" w:rsidRPr="00BA1B01" w:rsidRDefault="00505F06" w:rsidP="00441B6F">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F424D8" w:rsidRDefault="00A24E7E" w:rsidP="00441B6F">
      <w:pPr>
        <w:pStyle w:val="Body"/>
        <w:spacing w:after="0"/>
        <w:rPr>
          <w:rFonts w:ascii="Arial" w:hAnsi="Arial" w:cs="Arial"/>
          <w:i/>
        </w:rPr>
      </w:pPr>
      <w:r>
        <w:rPr>
          <w:rFonts w:ascii="Arial" w:hAnsi="Arial" w:cs="Arial"/>
          <w:i/>
        </w:rPr>
        <w:t>Keywords:</w:t>
      </w:r>
      <w:r w:rsidR="00F424D8">
        <w:rPr>
          <w:rFonts w:ascii="Arial" w:hAnsi="Arial" w:cs="Arial"/>
          <w:i/>
        </w:rPr>
        <w:t xml:space="preserve"> </w:t>
      </w:r>
      <w:r w:rsidR="00F424D8" w:rsidRPr="00F424D8">
        <w:rPr>
          <w:rFonts w:ascii="Arial" w:hAnsi="Arial" w:cs="Arial"/>
          <w:i/>
        </w:rPr>
        <w:t xml:space="preserve">childhood tuberculosis, tuberculosis mortality in children, </w:t>
      </w:r>
      <w:proofErr w:type="spellStart"/>
      <w:r w:rsidR="00F424D8" w:rsidRPr="00F424D8">
        <w:rPr>
          <w:rFonts w:ascii="Arial" w:hAnsi="Arial" w:cs="Arial"/>
          <w:i/>
        </w:rPr>
        <w:t>paediatric</w:t>
      </w:r>
      <w:proofErr w:type="spellEnd"/>
      <w:r w:rsidR="00F424D8" w:rsidRPr="00F424D8">
        <w:rPr>
          <w:rFonts w:ascii="Arial" w:hAnsi="Arial" w:cs="Arial"/>
          <w:i/>
        </w:rPr>
        <w:t xml:space="preserve"> tuberculosis mortality</w:t>
      </w:r>
    </w:p>
    <w:p w:rsidR="00505F06" w:rsidRPr="00A24E7E" w:rsidRDefault="00505F06" w:rsidP="00441B6F">
      <w:pPr>
        <w:pStyle w:val="Body"/>
        <w:spacing w:after="0"/>
        <w:rPr>
          <w:rFonts w:ascii="Arial" w:hAnsi="Arial" w:cs="Arial"/>
          <w:i/>
        </w:rPr>
      </w:pPr>
    </w:p>
    <w:p w:rsidR="007F7B32" w:rsidRDefault="00902823" w:rsidP="001E25AB">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1E25AB">
      <w:pPr>
        <w:pStyle w:val="AbstHead"/>
        <w:spacing w:after="0"/>
        <w:jc w:val="both"/>
        <w:rPr>
          <w:rFonts w:ascii="Arial" w:hAnsi="Arial" w:cs="Arial"/>
        </w:rPr>
      </w:pPr>
    </w:p>
    <w:p w:rsidR="00064F65" w:rsidRDefault="00A22EFB" w:rsidP="001E25AB">
      <w:pPr>
        <w:jc w:val="both"/>
        <w:rPr>
          <w:rFonts w:ascii="Arial" w:hAnsi="Arial" w:cs="Arial"/>
        </w:rPr>
      </w:pPr>
      <w:r w:rsidRPr="00A22EFB">
        <w:rPr>
          <w:rFonts w:ascii="Arial" w:hAnsi="Arial" w:cs="Arial"/>
        </w:rPr>
        <w:t>The Global Tuberculosis (TB) Report stated 1.1 million children were diagnosed with TB in the year 2021, majority of them were from the WHO Southeast Asia and Africa regions</w:t>
      </w:r>
      <w:r w:rsidR="00977C05">
        <w:rPr>
          <w:rFonts w:ascii="Arial" w:hAnsi="Arial" w:cs="Arial"/>
        </w:rPr>
        <w:t xml:space="preserve"> (WHO, 2021)</w:t>
      </w:r>
      <w:r w:rsidRPr="00A22EFB">
        <w:rPr>
          <w:rFonts w:ascii="Arial" w:hAnsi="Arial" w:cs="Arial"/>
        </w:rPr>
        <w:t>. In Malaysia, there were 2160 cases of tuberculosis in children between 1st January 2018 and 31st December 2020</w:t>
      </w:r>
      <w:r w:rsidR="00977C05">
        <w:rPr>
          <w:rFonts w:ascii="Arial" w:hAnsi="Arial" w:cs="Arial"/>
        </w:rPr>
        <w:t xml:space="preserve"> (Disease Control Division, </w:t>
      </w:r>
      <w:r w:rsidR="00B2528D">
        <w:rPr>
          <w:rFonts w:ascii="Arial" w:hAnsi="Arial" w:cs="Arial"/>
        </w:rPr>
        <w:t>2021)</w:t>
      </w:r>
      <w:r w:rsidRPr="00A22EFB">
        <w:rPr>
          <w:rFonts w:ascii="Arial" w:hAnsi="Arial" w:cs="Arial"/>
        </w:rPr>
        <w:t>.</w:t>
      </w:r>
    </w:p>
    <w:p w:rsidR="001E25AB" w:rsidRPr="00A22EFB" w:rsidRDefault="001E25AB" w:rsidP="001E25AB">
      <w:pPr>
        <w:jc w:val="both"/>
        <w:rPr>
          <w:rFonts w:ascii="Arial" w:hAnsi="Arial" w:cs="Arial"/>
        </w:rPr>
      </w:pPr>
    </w:p>
    <w:p w:rsidR="00064F65" w:rsidRDefault="00A22EFB" w:rsidP="001E25AB">
      <w:pPr>
        <w:jc w:val="both"/>
        <w:rPr>
          <w:rFonts w:ascii="Arial" w:hAnsi="Arial" w:cs="Arial"/>
        </w:rPr>
      </w:pPr>
      <w:r w:rsidRPr="00A22EFB">
        <w:rPr>
          <w:rFonts w:ascii="Arial" w:hAnsi="Arial" w:cs="Arial"/>
        </w:rPr>
        <w:t>Microbiological confirmation of TB in children has proven challenging, with less than 10% smear positivity and 10 to 15% culture positivity from gastric aspirate samples</w:t>
      </w:r>
      <w:r w:rsidR="00B2528D">
        <w:rPr>
          <w:rFonts w:ascii="Arial" w:hAnsi="Arial" w:cs="Arial"/>
        </w:rPr>
        <w:t xml:space="preserve"> (Piccini</w:t>
      </w:r>
      <w:r w:rsidR="0093036C">
        <w:rPr>
          <w:rFonts w:ascii="Arial" w:hAnsi="Arial" w:cs="Arial"/>
        </w:rPr>
        <w:t xml:space="preserve"> et al</w:t>
      </w:r>
      <w:r w:rsidR="00C611F8">
        <w:rPr>
          <w:rFonts w:ascii="Arial" w:hAnsi="Arial" w:cs="Arial"/>
        </w:rPr>
        <w:t>.</w:t>
      </w:r>
      <w:r w:rsidR="00B2528D">
        <w:rPr>
          <w:rFonts w:ascii="Arial" w:hAnsi="Arial" w:cs="Arial"/>
        </w:rPr>
        <w:t>, 2014, Beig</w:t>
      </w:r>
      <w:r w:rsidR="0093036C">
        <w:rPr>
          <w:rFonts w:ascii="Arial" w:hAnsi="Arial" w:cs="Arial"/>
        </w:rPr>
        <w:t xml:space="preserve"> et al</w:t>
      </w:r>
      <w:r w:rsidR="00C611F8">
        <w:rPr>
          <w:rFonts w:ascii="Arial" w:hAnsi="Arial" w:cs="Arial"/>
        </w:rPr>
        <w:t>.</w:t>
      </w:r>
      <w:r w:rsidR="00B2528D">
        <w:rPr>
          <w:rFonts w:ascii="Arial" w:hAnsi="Arial" w:cs="Arial"/>
        </w:rPr>
        <w:t>, 2019)</w:t>
      </w:r>
      <w:r w:rsidRPr="00A22EFB">
        <w:rPr>
          <w:rFonts w:ascii="Arial" w:hAnsi="Arial" w:cs="Arial"/>
        </w:rPr>
        <w:t>. Chest X-rays (CXR) only show non-specific lesions</w:t>
      </w:r>
      <w:r w:rsidR="0093036C">
        <w:rPr>
          <w:rFonts w:ascii="Arial" w:hAnsi="Arial" w:cs="Arial"/>
        </w:rPr>
        <w:t xml:space="preserve"> (Beig et al</w:t>
      </w:r>
      <w:r w:rsidR="00C611F8">
        <w:rPr>
          <w:rFonts w:ascii="Arial" w:hAnsi="Arial" w:cs="Arial"/>
        </w:rPr>
        <w:t>.</w:t>
      </w:r>
      <w:r w:rsidR="0093036C">
        <w:rPr>
          <w:rFonts w:ascii="Arial" w:hAnsi="Arial" w:cs="Arial"/>
        </w:rPr>
        <w:t>, 2019)</w:t>
      </w:r>
      <w:r w:rsidRPr="00A22EFB">
        <w:rPr>
          <w:rFonts w:ascii="Arial" w:hAnsi="Arial" w:cs="Arial"/>
        </w:rPr>
        <w:t xml:space="preserve">. Meanwhile, </w:t>
      </w:r>
      <w:r w:rsidRPr="00A22EFB">
        <w:rPr>
          <w:rFonts w:ascii="Arial" w:hAnsi="Arial" w:cs="Arial"/>
          <w:i/>
        </w:rPr>
        <w:t>Mycobacterium tuberculosis</w:t>
      </w:r>
      <w:r w:rsidRPr="00A22EFB">
        <w:rPr>
          <w:rFonts w:ascii="Arial" w:hAnsi="Arial" w:cs="Arial"/>
        </w:rPr>
        <w:t xml:space="preserve"> can be detected in up to 80% of adults, and CXR findings can be more specific with cavitating lesions</w:t>
      </w:r>
      <w:r w:rsidR="0093036C">
        <w:rPr>
          <w:rFonts w:ascii="Arial" w:hAnsi="Arial" w:cs="Arial"/>
        </w:rPr>
        <w:t xml:space="preserve"> (Piccini et al</w:t>
      </w:r>
      <w:r w:rsidR="00C611F8">
        <w:rPr>
          <w:rFonts w:ascii="Arial" w:hAnsi="Arial" w:cs="Arial"/>
        </w:rPr>
        <w:t>.</w:t>
      </w:r>
      <w:r w:rsidR="0093036C">
        <w:rPr>
          <w:rFonts w:ascii="Arial" w:hAnsi="Arial" w:cs="Arial"/>
        </w:rPr>
        <w:t>, 2014)</w:t>
      </w:r>
      <w:r w:rsidRPr="00A22EFB">
        <w:rPr>
          <w:rFonts w:ascii="Arial" w:hAnsi="Arial" w:cs="Arial"/>
        </w:rPr>
        <w:t>.</w:t>
      </w:r>
    </w:p>
    <w:p w:rsidR="001E25AB" w:rsidRPr="00A22EFB" w:rsidRDefault="001E25AB" w:rsidP="001E25AB">
      <w:pPr>
        <w:jc w:val="both"/>
        <w:rPr>
          <w:rFonts w:ascii="Arial" w:hAnsi="Arial" w:cs="Arial"/>
        </w:rPr>
      </w:pPr>
    </w:p>
    <w:p w:rsidR="009C081E" w:rsidRDefault="00A22EFB" w:rsidP="001E25AB">
      <w:pPr>
        <w:jc w:val="both"/>
        <w:rPr>
          <w:rFonts w:ascii="Arial" w:hAnsi="Arial" w:cs="Arial"/>
        </w:rPr>
      </w:pPr>
      <w:r w:rsidRPr="00A22EFB">
        <w:rPr>
          <w:rFonts w:ascii="Arial" w:hAnsi="Arial" w:cs="Arial"/>
        </w:rPr>
        <w:t>Malaysia is a country in Southeast Asia. It is composed of two major land masses; Peninsula Malaysia, which is situated on the Malay Peninsula, and East Malaysia, which is on the Borneo Island</w:t>
      </w:r>
      <w:r w:rsidR="0093036C">
        <w:rPr>
          <w:rFonts w:ascii="Arial" w:hAnsi="Arial" w:cs="Arial"/>
        </w:rPr>
        <w:t xml:space="preserve"> (Ahmad et </w:t>
      </w:r>
      <w:proofErr w:type="spellStart"/>
      <w:r w:rsidR="0093036C">
        <w:rPr>
          <w:rFonts w:ascii="Arial" w:hAnsi="Arial" w:cs="Arial"/>
        </w:rPr>
        <w:t>a</w:t>
      </w:r>
      <w:r w:rsidR="00C611F8">
        <w:rPr>
          <w:rFonts w:ascii="Arial" w:hAnsi="Arial" w:cs="Arial"/>
        </w:rPr>
        <w:t>.</w:t>
      </w:r>
      <w:r w:rsidR="0093036C">
        <w:rPr>
          <w:rFonts w:ascii="Arial" w:hAnsi="Arial" w:cs="Arial"/>
        </w:rPr>
        <w:t>l</w:t>
      </w:r>
      <w:proofErr w:type="spellEnd"/>
      <w:r w:rsidR="0093036C">
        <w:rPr>
          <w:rFonts w:ascii="Arial" w:hAnsi="Arial" w:cs="Arial"/>
        </w:rPr>
        <w:t>, 1999)</w:t>
      </w:r>
      <w:r w:rsidRPr="00A22EFB">
        <w:rPr>
          <w:rFonts w:ascii="Arial" w:hAnsi="Arial" w:cs="Arial"/>
        </w:rPr>
        <w:t>. It has an intermediate TB burden with total TB incidence of 97 per 100,000 population in 2021</w:t>
      </w:r>
      <w:r w:rsidR="00064F65">
        <w:rPr>
          <w:rFonts w:ascii="Arial" w:hAnsi="Arial" w:cs="Arial"/>
        </w:rPr>
        <w:t xml:space="preserve"> (WHO</w:t>
      </w:r>
      <w:r w:rsidR="00C611F8">
        <w:rPr>
          <w:rFonts w:ascii="Arial" w:hAnsi="Arial" w:cs="Arial"/>
        </w:rPr>
        <w:t>,</w:t>
      </w:r>
      <w:r w:rsidR="00064F65">
        <w:rPr>
          <w:rFonts w:ascii="Arial" w:hAnsi="Arial" w:cs="Arial"/>
        </w:rPr>
        <w:t xml:space="preserve"> 2021)</w:t>
      </w:r>
      <w:r w:rsidRPr="00A22EFB">
        <w:rPr>
          <w:rFonts w:ascii="Arial" w:hAnsi="Arial" w:cs="Arial"/>
        </w:rPr>
        <w:t>. The state of Sabah in East Malaysia has the highest TB burden in the country, with a notification rate of 128 per 100,000 population. Half of the patients diagnosed with TB were born outside Malaysia, majority of them in the Philippines and Indonesia</w:t>
      </w:r>
      <w:r w:rsidR="00064F65">
        <w:rPr>
          <w:rFonts w:ascii="Arial" w:hAnsi="Arial" w:cs="Arial"/>
        </w:rPr>
        <w:t xml:space="preserve"> (Goroh et al</w:t>
      </w:r>
      <w:r w:rsidR="00C611F8">
        <w:rPr>
          <w:rFonts w:ascii="Arial" w:hAnsi="Arial" w:cs="Arial"/>
        </w:rPr>
        <w:t>.,</w:t>
      </w:r>
      <w:r w:rsidR="00064F65">
        <w:rPr>
          <w:rFonts w:ascii="Arial" w:hAnsi="Arial" w:cs="Arial"/>
        </w:rPr>
        <w:t xml:space="preserve"> 2020)</w:t>
      </w:r>
      <w:r w:rsidRPr="00A22EFB">
        <w:rPr>
          <w:rFonts w:ascii="Arial" w:hAnsi="Arial" w:cs="Arial"/>
        </w:rPr>
        <w:t>.</w:t>
      </w:r>
    </w:p>
    <w:p w:rsidR="001E25AB" w:rsidRPr="00A22EFB" w:rsidRDefault="001E25AB" w:rsidP="001E25AB">
      <w:pPr>
        <w:jc w:val="both"/>
        <w:rPr>
          <w:rFonts w:ascii="Arial" w:hAnsi="Arial" w:cs="Arial"/>
        </w:rPr>
      </w:pPr>
    </w:p>
    <w:p w:rsidR="00790ADA" w:rsidRDefault="00A22EFB" w:rsidP="001E25AB">
      <w:pPr>
        <w:jc w:val="both"/>
        <w:rPr>
          <w:rFonts w:ascii="Arial" w:hAnsi="Arial" w:cs="Arial"/>
        </w:rPr>
      </w:pPr>
      <w:r w:rsidRPr="00A22EFB">
        <w:rPr>
          <w:rFonts w:ascii="Arial" w:hAnsi="Arial" w:cs="Arial"/>
        </w:rPr>
        <w:lastRenderedPageBreak/>
        <w:t>Despite the aim for zero TB by the year 2035, there are still deaths occurring among children in the country. There is a paucity of studies on the clinical profiles of children who succumbed to TB in Malaysia, or even in Southeast Asia. Therefore, we aimed to describe the characteristics of children who passed away from TB in Malaysia.</w:t>
      </w:r>
    </w:p>
    <w:p w:rsidR="001E25AB" w:rsidRPr="004E008D" w:rsidRDefault="001E25AB" w:rsidP="001E25AB">
      <w:pPr>
        <w:jc w:val="both"/>
        <w:rPr>
          <w:rFonts w:ascii="Arial" w:hAnsi="Arial" w:cs="Arial"/>
          <w:color w:val="9BBB59" w:themeColor="accent3"/>
        </w:rPr>
      </w:pPr>
    </w:p>
    <w:p w:rsidR="00790ADA" w:rsidRDefault="00902823" w:rsidP="001E25AB">
      <w:pPr>
        <w:pStyle w:val="AbstHead"/>
        <w:spacing w:after="0"/>
        <w:jc w:val="both"/>
        <w:rPr>
          <w:rFonts w:ascii="Arial" w:hAnsi="Arial" w:cs="Arial"/>
        </w:rPr>
      </w:pPr>
      <w:r w:rsidRPr="009C081E">
        <w:rPr>
          <w:rFonts w:ascii="Arial" w:hAnsi="Arial" w:cs="Arial"/>
        </w:rPr>
        <w:t xml:space="preserve">2. </w:t>
      </w:r>
      <w:r w:rsidR="006B57D0" w:rsidRPr="009C081E">
        <w:rPr>
          <w:rFonts w:ascii="Arial" w:hAnsi="Arial" w:cs="Arial"/>
        </w:rPr>
        <w:t>methodology</w:t>
      </w:r>
      <w:r w:rsidR="007F7B32" w:rsidRPr="009C081E">
        <w:rPr>
          <w:rFonts w:ascii="Arial" w:hAnsi="Arial" w:cs="Arial"/>
        </w:rPr>
        <w:t xml:space="preserve"> </w:t>
      </w:r>
    </w:p>
    <w:p w:rsidR="001E25AB" w:rsidRPr="00C542F9" w:rsidRDefault="001E25AB" w:rsidP="001E25AB">
      <w:pPr>
        <w:pStyle w:val="AbstHead"/>
        <w:spacing w:after="0"/>
        <w:jc w:val="both"/>
        <w:rPr>
          <w:rFonts w:ascii="Arial" w:hAnsi="Arial" w:cs="Arial"/>
        </w:rPr>
      </w:pPr>
    </w:p>
    <w:p w:rsidR="009C081E" w:rsidRDefault="009C081E" w:rsidP="001E25AB">
      <w:pPr>
        <w:pStyle w:val="Body"/>
        <w:spacing w:after="0"/>
        <w:rPr>
          <w:rFonts w:ascii="Arial" w:hAnsi="Arial" w:cs="Arial"/>
        </w:rPr>
      </w:pPr>
      <w:r w:rsidRPr="009C081E">
        <w:rPr>
          <w:rFonts w:ascii="Arial" w:hAnsi="Arial" w:cs="Arial"/>
        </w:rPr>
        <w:t xml:space="preserve">This is a cross-sectional study of children who succumbed to TB in Malaysia. We included </w:t>
      </w:r>
      <w:r w:rsidR="0018294E">
        <w:rPr>
          <w:rFonts w:ascii="Arial" w:hAnsi="Arial" w:cs="Arial"/>
        </w:rPr>
        <w:t xml:space="preserve">all children below 15 years </w:t>
      </w:r>
      <w:r w:rsidRPr="009C081E">
        <w:rPr>
          <w:rFonts w:ascii="Arial" w:hAnsi="Arial" w:cs="Arial"/>
        </w:rPr>
        <w:t>who succumbed to TB between 1st January 2018 to 31st December 2020.</w:t>
      </w:r>
    </w:p>
    <w:p w:rsidR="001E25AB" w:rsidRPr="009C081E" w:rsidRDefault="001E25AB" w:rsidP="001E25AB">
      <w:pPr>
        <w:pStyle w:val="Body"/>
        <w:spacing w:after="0"/>
        <w:rPr>
          <w:rFonts w:ascii="Arial" w:hAnsi="Arial" w:cs="Arial"/>
        </w:rPr>
      </w:pPr>
    </w:p>
    <w:p w:rsidR="009C081E" w:rsidRDefault="009C081E" w:rsidP="001E25AB">
      <w:pPr>
        <w:pStyle w:val="Body"/>
        <w:spacing w:after="0"/>
        <w:rPr>
          <w:rFonts w:ascii="Arial" w:hAnsi="Arial" w:cs="Arial"/>
        </w:rPr>
      </w:pPr>
      <w:r w:rsidRPr="009C081E">
        <w:rPr>
          <w:rFonts w:ascii="Arial" w:hAnsi="Arial" w:cs="Arial"/>
        </w:rPr>
        <w:t>Patients with clinical, radiological or laboratory diagnosis of TB were defined as subjects. They were identified from the Malaysian TB Information System (</w:t>
      </w:r>
      <w:proofErr w:type="spellStart"/>
      <w:r w:rsidRPr="009C081E">
        <w:rPr>
          <w:rFonts w:ascii="Arial" w:hAnsi="Arial" w:cs="Arial"/>
        </w:rPr>
        <w:t>MyTB</w:t>
      </w:r>
      <w:proofErr w:type="spellEnd"/>
      <w:r w:rsidRPr="009C081E">
        <w:rPr>
          <w:rFonts w:ascii="Arial" w:hAnsi="Arial" w:cs="Arial"/>
        </w:rPr>
        <w:t xml:space="preserve">), a database managed by the Ministry of Health Malaysia (MOH). This database collects epidemiological information of all patients diagnosed with TB in the country. Clinical information such as patients’ presenting complains, past medical history, erythrocyte sedimentation rate (ESR), admission details and disease complications, as well as social history such as type of house, occupation of parents and home utilities were extracted from individual medical records which were obtained from their respective healthcare facilities. Parents of children whose medical records were not complete were interviewed for further information. </w:t>
      </w:r>
    </w:p>
    <w:p w:rsidR="001E25AB" w:rsidRPr="009C081E" w:rsidRDefault="001E25AB" w:rsidP="001E25AB">
      <w:pPr>
        <w:pStyle w:val="Body"/>
        <w:spacing w:after="0"/>
        <w:rPr>
          <w:rFonts w:ascii="Arial" w:hAnsi="Arial" w:cs="Arial"/>
        </w:rPr>
      </w:pPr>
    </w:p>
    <w:p w:rsidR="009C081E" w:rsidRDefault="009C081E" w:rsidP="001E25AB">
      <w:pPr>
        <w:pStyle w:val="Body"/>
        <w:spacing w:after="0"/>
        <w:rPr>
          <w:rFonts w:ascii="Arial" w:hAnsi="Arial" w:cs="Arial"/>
        </w:rPr>
      </w:pPr>
      <w:r w:rsidRPr="009C081E">
        <w:rPr>
          <w:rFonts w:ascii="Arial" w:hAnsi="Arial" w:cs="Arial"/>
        </w:rPr>
        <w:t>We used Google Maps to calculate the distance between patients’ home address to the nearest government hospital. Parents’ occupation is classified according to the Malaysian Standard Classification of Occupations, Ministry of Human Resources, Malaysia</w:t>
      </w:r>
      <w:r w:rsidR="00F4486A">
        <w:rPr>
          <w:rFonts w:ascii="Arial" w:hAnsi="Arial" w:cs="Arial"/>
        </w:rPr>
        <w:t xml:space="preserve"> (Human Resources Policy Division</w:t>
      </w:r>
      <w:r w:rsidR="00C611F8">
        <w:rPr>
          <w:rFonts w:ascii="Arial" w:hAnsi="Arial" w:cs="Arial"/>
        </w:rPr>
        <w:t>,</w:t>
      </w:r>
      <w:r w:rsidR="00F4486A">
        <w:rPr>
          <w:rFonts w:ascii="Arial" w:hAnsi="Arial" w:cs="Arial"/>
        </w:rPr>
        <w:t xml:space="preserve"> 2020)</w:t>
      </w:r>
      <w:r w:rsidRPr="009C081E">
        <w:rPr>
          <w:rFonts w:ascii="Arial" w:hAnsi="Arial" w:cs="Arial"/>
        </w:rPr>
        <w:t>. Occupation of the parent with higher classification was taken for analysis.</w:t>
      </w:r>
    </w:p>
    <w:p w:rsidR="001E25AB" w:rsidRPr="009C081E" w:rsidRDefault="001E25AB" w:rsidP="001E25AB">
      <w:pPr>
        <w:pStyle w:val="Body"/>
        <w:spacing w:after="0"/>
        <w:rPr>
          <w:rFonts w:ascii="Arial" w:hAnsi="Arial" w:cs="Arial"/>
        </w:rPr>
      </w:pPr>
    </w:p>
    <w:p w:rsidR="009C081E" w:rsidRDefault="009C081E" w:rsidP="001E25AB">
      <w:pPr>
        <w:pStyle w:val="Body"/>
        <w:spacing w:after="0"/>
        <w:rPr>
          <w:rFonts w:ascii="Arial" w:hAnsi="Arial" w:cs="Arial"/>
        </w:rPr>
      </w:pPr>
      <w:r w:rsidRPr="009C081E">
        <w:rPr>
          <w:rFonts w:ascii="Arial" w:hAnsi="Arial" w:cs="Arial"/>
        </w:rPr>
        <w:t>We followed the WHO anatomical classification of tuberculosis</w:t>
      </w:r>
      <w:r w:rsidR="00D3115B">
        <w:rPr>
          <w:rFonts w:ascii="Arial" w:hAnsi="Arial" w:cs="Arial"/>
        </w:rPr>
        <w:t xml:space="preserve"> (WHO</w:t>
      </w:r>
      <w:r w:rsidR="00DD1232">
        <w:rPr>
          <w:rFonts w:ascii="Arial" w:hAnsi="Arial" w:cs="Arial"/>
        </w:rPr>
        <w:t>,</w:t>
      </w:r>
      <w:r w:rsidR="00D3115B">
        <w:rPr>
          <w:rFonts w:ascii="Arial" w:hAnsi="Arial" w:cs="Arial"/>
        </w:rPr>
        <w:t xml:space="preserve"> 2010, </w:t>
      </w:r>
      <w:proofErr w:type="spellStart"/>
      <w:r w:rsidR="00D3115B">
        <w:rPr>
          <w:rFonts w:ascii="Arial" w:hAnsi="Arial" w:cs="Arial"/>
        </w:rPr>
        <w:t>R</w:t>
      </w:r>
      <w:r w:rsidR="00867BAA">
        <w:rPr>
          <w:rFonts w:ascii="Arial" w:hAnsi="Arial" w:cs="Arial"/>
        </w:rPr>
        <w:t>anzani</w:t>
      </w:r>
      <w:proofErr w:type="spellEnd"/>
      <w:r w:rsidR="00C611F8">
        <w:rPr>
          <w:rFonts w:ascii="Arial" w:hAnsi="Arial" w:cs="Arial"/>
        </w:rPr>
        <w:t xml:space="preserve"> et al., </w:t>
      </w:r>
      <w:r w:rsidR="00D3115B">
        <w:rPr>
          <w:rFonts w:ascii="Arial" w:hAnsi="Arial" w:cs="Arial"/>
        </w:rPr>
        <w:t>2017).</w:t>
      </w:r>
      <w:r w:rsidR="00867BAA">
        <w:rPr>
          <w:rFonts w:ascii="Arial" w:hAnsi="Arial" w:cs="Arial"/>
        </w:rPr>
        <w:t xml:space="preserve"> </w:t>
      </w:r>
      <w:r w:rsidRPr="009C081E">
        <w:rPr>
          <w:rFonts w:ascii="Arial" w:hAnsi="Arial" w:cs="Arial"/>
        </w:rPr>
        <w:t xml:space="preserve">Pulmonary TB (PTB) was defined as “a case of TB involving the lung parenchyma” while extra-pulmonary TB (EPTB) “refers to a case of TB involving organs other than the lungs”. Disseminated TB was defined as “TB involving two or more organs/systems from </w:t>
      </w:r>
      <w:proofErr w:type="spellStart"/>
      <w:r w:rsidRPr="009C081E">
        <w:rPr>
          <w:rFonts w:ascii="Arial" w:hAnsi="Arial" w:cs="Arial"/>
        </w:rPr>
        <w:t>haematogenous</w:t>
      </w:r>
      <w:proofErr w:type="spellEnd"/>
      <w:r w:rsidRPr="009C081E">
        <w:rPr>
          <w:rFonts w:ascii="Arial" w:hAnsi="Arial" w:cs="Arial"/>
        </w:rPr>
        <w:t xml:space="preserve"> or lymphatic spread”</w:t>
      </w:r>
      <w:r w:rsidR="00867BAA">
        <w:rPr>
          <w:rFonts w:ascii="Arial" w:hAnsi="Arial" w:cs="Arial"/>
        </w:rPr>
        <w:t xml:space="preserve"> (Medical Development Division</w:t>
      </w:r>
      <w:r w:rsidR="00C611F8">
        <w:rPr>
          <w:rFonts w:ascii="Arial" w:hAnsi="Arial" w:cs="Arial"/>
        </w:rPr>
        <w:t>,</w:t>
      </w:r>
      <w:r w:rsidR="00867BAA">
        <w:rPr>
          <w:rFonts w:ascii="Arial" w:hAnsi="Arial" w:cs="Arial"/>
        </w:rPr>
        <w:t xml:space="preserve"> 2021)</w:t>
      </w:r>
      <w:r w:rsidRPr="009C081E">
        <w:rPr>
          <w:rFonts w:ascii="Arial" w:hAnsi="Arial" w:cs="Arial"/>
        </w:rPr>
        <w:t xml:space="preserve">. Patients with both PTB and EPTB were classified under PTB. </w:t>
      </w:r>
    </w:p>
    <w:p w:rsidR="001E25AB" w:rsidRDefault="001E25AB" w:rsidP="001E25AB">
      <w:pPr>
        <w:pStyle w:val="Body"/>
        <w:spacing w:after="0"/>
        <w:rPr>
          <w:rFonts w:ascii="Arial" w:hAnsi="Arial" w:cs="Arial"/>
        </w:rPr>
      </w:pPr>
    </w:p>
    <w:p w:rsidR="00E262C9" w:rsidRDefault="00E262C9" w:rsidP="001E25AB">
      <w:pPr>
        <w:pStyle w:val="Body"/>
        <w:spacing w:after="0"/>
        <w:jc w:val="left"/>
        <w:rPr>
          <w:rFonts w:ascii="Arial" w:hAnsi="Arial" w:cs="Arial"/>
          <w:b/>
          <w:sz w:val="22"/>
          <w:szCs w:val="22"/>
        </w:rPr>
      </w:pPr>
      <w:r w:rsidRPr="00E262C9">
        <w:rPr>
          <w:rFonts w:ascii="Arial" w:hAnsi="Arial" w:cs="Arial"/>
          <w:b/>
          <w:sz w:val="22"/>
          <w:szCs w:val="22"/>
        </w:rPr>
        <w:t>2.1 Statistical Analysis</w:t>
      </w:r>
    </w:p>
    <w:p w:rsidR="001E25AB" w:rsidRPr="00E262C9" w:rsidRDefault="001E25AB" w:rsidP="001E25AB">
      <w:pPr>
        <w:pStyle w:val="Body"/>
        <w:spacing w:after="0"/>
        <w:jc w:val="left"/>
        <w:rPr>
          <w:rFonts w:ascii="Arial" w:hAnsi="Arial" w:cs="Arial"/>
          <w:b/>
          <w:sz w:val="22"/>
          <w:szCs w:val="22"/>
        </w:rPr>
      </w:pPr>
    </w:p>
    <w:p w:rsidR="001E25AB" w:rsidRDefault="009C081E" w:rsidP="001E25AB">
      <w:pPr>
        <w:pStyle w:val="Body"/>
        <w:spacing w:after="0"/>
        <w:rPr>
          <w:rFonts w:ascii="Arial" w:hAnsi="Arial" w:cs="Arial"/>
        </w:rPr>
      </w:pPr>
      <w:r w:rsidRPr="009C081E">
        <w:rPr>
          <w:rFonts w:ascii="Arial" w:hAnsi="Arial" w:cs="Arial"/>
        </w:rPr>
        <w:t xml:space="preserve">Categorical data were described using frequency and percentage. Continuous data were expressed as median (range). The associations between two independent categorical variables were calculated using chi-square and Fisher’s exact tests. Data analysis was done using IBM SPSS Statistics version 27, licensed to Hospital </w:t>
      </w:r>
      <w:proofErr w:type="spellStart"/>
      <w:r w:rsidRPr="009C081E">
        <w:rPr>
          <w:rFonts w:ascii="Arial" w:hAnsi="Arial" w:cs="Arial"/>
        </w:rPr>
        <w:t>Tunku</w:t>
      </w:r>
      <w:proofErr w:type="spellEnd"/>
      <w:r w:rsidRPr="009C081E">
        <w:rPr>
          <w:rFonts w:ascii="Arial" w:hAnsi="Arial" w:cs="Arial"/>
        </w:rPr>
        <w:t xml:space="preserve"> </w:t>
      </w:r>
      <w:proofErr w:type="spellStart"/>
      <w:r w:rsidRPr="009C081E">
        <w:rPr>
          <w:rFonts w:ascii="Arial" w:hAnsi="Arial" w:cs="Arial"/>
        </w:rPr>
        <w:t>Azizah</w:t>
      </w:r>
      <w:proofErr w:type="spellEnd"/>
      <w:r w:rsidRPr="009C081E">
        <w:rPr>
          <w:rFonts w:ascii="Arial" w:hAnsi="Arial" w:cs="Arial"/>
        </w:rPr>
        <w:t>, Kuala Lumpur.</w:t>
      </w:r>
    </w:p>
    <w:p w:rsidR="00790ADA" w:rsidRPr="00C611D8" w:rsidRDefault="009C081E" w:rsidP="001E25AB">
      <w:pPr>
        <w:pStyle w:val="Body"/>
        <w:spacing w:after="0"/>
        <w:rPr>
          <w:rFonts w:ascii="Arial" w:hAnsi="Arial" w:cs="Arial"/>
        </w:rPr>
      </w:pPr>
      <w:r w:rsidRPr="009C081E">
        <w:rPr>
          <w:rFonts w:ascii="Arial" w:hAnsi="Arial" w:cs="Arial"/>
        </w:rPr>
        <w:t xml:space="preserve"> </w:t>
      </w:r>
    </w:p>
    <w:p w:rsidR="00306C50" w:rsidRDefault="00000F8F" w:rsidP="001E25AB">
      <w:pPr>
        <w:pStyle w:val="Head1"/>
        <w:spacing w:after="0"/>
        <w:jc w:val="both"/>
        <w:rPr>
          <w:rFonts w:ascii="Arial" w:hAnsi="Arial" w:cs="Arial"/>
        </w:rPr>
      </w:pPr>
      <w:r w:rsidRPr="00306C50">
        <w:rPr>
          <w:rFonts w:ascii="Arial" w:hAnsi="Arial" w:cs="Arial"/>
        </w:rPr>
        <w:t>3</w:t>
      </w:r>
      <w:r w:rsidR="00902823" w:rsidRPr="00306C50">
        <w:rPr>
          <w:rFonts w:ascii="Arial" w:hAnsi="Arial" w:cs="Arial"/>
        </w:rPr>
        <w:t xml:space="preserve">. </w:t>
      </w:r>
      <w:r w:rsidR="00306C50" w:rsidRPr="00306C50">
        <w:rPr>
          <w:rFonts w:ascii="Arial" w:hAnsi="Arial" w:cs="Arial"/>
        </w:rPr>
        <w:t>results</w:t>
      </w:r>
    </w:p>
    <w:p w:rsidR="001E25AB" w:rsidRPr="001E25AB" w:rsidRDefault="001E25AB" w:rsidP="001E25AB">
      <w:pPr>
        <w:pStyle w:val="Head1"/>
        <w:spacing w:after="0"/>
        <w:jc w:val="both"/>
        <w:rPr>
          <w:rFonts w:ascii="Arial" w:hAnsi="Arial" w:cs="Arial"/>
        </w:rPr>
      </w:pPr>
    </w:p>
    <w:p w:rsidR="00AD5906" w:rsidRDefault="00306C50" w:rsidP="001E25AB">
      <w:pPr>
        <w:pStyle w:val="Body"/>
        <w:spacing w:after="0"/>
        <w:rPr>
          <w:rFonts w:ascii="Arial" w:hAnsi="Arial" w:cs="Arial"/>
        </w:rPr>
      </w:pPr>
      <w:r w:rsidRPr="00306C50">
        <w:rPr>
          <w:rFonts w:ascii="Arial" w:hAnsi="Arial" w:cs="Arial"/>
        </w:rPr>
        <w:t xml:space="preserve">We identified 71 children from </w:t>
      </w:r>
      <w:proofErr w:type="spellStart"/>
      <w:r w:rsidRPr="00306C50">
        <w:rPr>
          <w:rFonts w:ascii="Arial" w:hAnsi="Arial" w:cs="Arial"/>
        </w:rPr>
        <w:t>MyTB</w:t>
      </w:r>
      <w:proofErr w:type="spellEnd"/>
      <w:r w:rsidRPr="00306C50">
        <w:rPr>
          <w:rFonts w:ascii="Arial" w:hAnsi="Arial" w:cs="Arial"/>
        </w:rPr>
        <w:t xml:space="preserve"> and obtained notes of only 38 of the children to extract clinical data. Only one parent was contactable and consented for further interview. </w:t>
      </w:r>
      <w:r w:rsidRPr="00AD5906">
        <w:rPr>
          <w:rFonts w:ascii="Arial" w:hAnsi="Arial" w:cs="Arial"/>
          <w:b/>
        </w:rPr>
        <w:t>Table 1</w:t>
      </w:r>
      <w:r w:rsidRPr="00306C50">
        <w:rPr>
          <w:rFonts w:ascii="Arial" w:hAnsi="Arial" w:cs="Arial"/>
        </w:rPr>
        <w:t xml:space="preserve"> shows the demographic data and clinical characteristics of the children. From 71 patients, 30 (42.3%) were males, 42 (59.2%) were Malaysians, 41 (57.7%) were located in East Malaysia, and 45 (63.4%) were between 5 to 14 years old.</w:t>
      </w:r>
    </w:p>
    <w:p w:rsidR="001E25AB" w:rsidRDefault="001E25AB" w:rsidP="001E25AB">
      <w:pPr>
        <w:pStyle w:val="Body"/>
        <w:spacing w:after="0"/>
        <w:rPr>
          <w:rFonts w:ascii="Arial" w:hAnsi="Arial" w:cs="Arial"/>
        </w:rPr>
      </w:pPr>
    </w:p>
    <w:p w:rsidR="00AD5906" w:rsidRDefault="00AD5906" w:rsidP="001E25AB">
      <w:pPr>
        <w:pStyle w:val="Body"/>
        <w:spacing w:after="0"/>
        <w:rPr>
          <w:rFonts w:ascii="Arial" w:hAnsi="Arial" w:cs="Arial"/>
        </w:rPr>
      </w:pPr>
      <w:r w:rsidRPr="00AD5906">
        <w:rPr>
          <w:rFonts w:ascii="Arial" w:hAnsi="Arial" w:cs="Arial"/>
        </w:rPr>
        <w:t>The commonest symptom reported among 38 children was cough, which was seen in 25 (65.8%) of them. This is followed by shortness of breath, which was reported in 20 (52.6%) of the children. It was seen in 19 (95.0%) of those with PTB, and only 1 (10.0%) in those with EPTB (p = 0.003). Twenty-five (65.8%) children presented with three or more common symptoms. A higher number of patients with PTB presented with 3 or more common symptoms (24, 85.7%), while 7 (70.0%) of patients with EPTB presented with less than 3 common symptoms (p = 002). Although eight (21.1%) children had history of TB contact, only one (2.6%) presented through active case finding.</w:t>
      </w:r>
    </w:p>
    <w:p w:rsidR="001E25AB" w:rsidRPr="00AD5906" w:rsidRDefault="001E25AB" w:rsidP="001E25AB">
      <w:pPr>
        <w:pStyle w:val="Body"/>
        <w:spacing w:after="0"/>
        <w:rPr>
          <w:rFonts w:ascii="Arial" w:hAnsi="Arial" w:cs="Arial"/>
        </w:rPr>
      </w:pPr>
    </w:p>
    <w:p w:rsidR="00AD5906" w:rsidRDefault="00AD5906" w:rsidP="001E25AB">
      <w:pPr>
        <w:pStyle w:val="Body"/>
        <w:spacing w:after="0"/>
        <w:rPr>
          <w:rFonts w:ascii="Arial" w:hAnsi="Arial" w:cs="Arial"/>
        </w:rPr>
      </w:pPr>
      <w:r w:rsidRPr="00AD5906">
        <w:rPr>
          <w:rFonts w:ascii="Arial" w:hAnsi="Arial" w:cs="Arial"/>
        </w:rPr>
        <w:t>Bacille Calmette-Guérin (BCG) scar was present in 43 (60.6%) of them. The scar can be seen in 32 (76.2%) of Malaysian patients, and 11 (37.9%) of non-Malaysians (p &lt; 0.001). In East Malaysia, 19 (46.3%) patients did not have a BCG scar, 18 (43.9%) had a BCG scar, and 4 (9.8%) were unknown. Meanwhile, in West Malaysia, 4 (13.3% of patients did not have a BCG scar, 25 (83.3%) had a BCG scar, and 1 (3.3%) were unknown (p = 0.004).</w:t>
      </w:r>
    </w:p>
    <w:p w:rsidR="00306C50" w:rsidRDefault="00306C50" w:rsidP="00306C50">
      <w:pPr>
        <w:pStyle w:val="Body"/>
        <w:spacing w:after="0"/>
        <w:rPr>
          <w:rFonts w:ascii="Arial" w:hAnsi="Arial" w:cs="Arial"/>
        </w:rPr>
      </w:pPr>
    </w:p>
    <w:p w:rsidR="00306C50" w:rsidRDefault="00306C50" w:rsidP="00336227">
      <w:pPr>
        <w:pStyle w:val="Body"/>
        <w:spacing w:after="0" w:line="480" w:lineRule="auto"/>
        <w:jc w:val="center"/>
        <w:rPr>
          <w:rFonts w:ascii="Arial" w:hAnsi="Arial" w:cs="Arial"/>
          <w:b/>
        </w:rPr>
      </w:pPr>
      <w:r w:rsidRPr="00306C50">
        <w:rPr>
          <w:rFonts w:ascii="Arial" w:hAnsi="Arial" w:cs="Arial"/>
          <w:b/>
        </w:rPr>
        <w:t>Table 1. Demographic data and clinical characteristics of children who succumbed to TB.</w:t>
      </w:r>
    </w:p>
    <w:tbl>
      <w:tblPr>
        <w:tblStyle w:val="PlainTable2"/>
        <w:tblW w:w="0" w:type="auto"/>
        <w:tblLook w:val="04A0" w:firstRow="1" w:lastRow="0" w:firstColumn="1" w:lastColumn="0" w:noHBand="0" w:noVBand="1"/>
      </w:tblPr>
      <w:tblGrid>
        <w:gridCol w:w="5998"/>
        <w:gridCol w:w="2210"/>
      </w:tblGrid>
      <w:tr w:rsidR="00306C50" w:rsidRPr="00E824E7" w:rsidTr="003362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rPr>
            </w:pPr>
            <w:r w:rsidRPr="00306C50">
              <w:rPr>
                <w:rFonts w:ascii="Arial" w:hAnsi="Arial" w:cs="Arial"/>
              </w:rPr>
              <w:t>Characteristics</w:t>
            </w:r>
          </w:p>
        </w:tc>
        <w:tc>
          <w:tcPr>
            <w:tcW w:w="2210" w:type="dxa"/>
          </w:tcPr>
          <w:p w:rsidR="00306C50" w:rsidRPr="00306C50" w:rsidRDefault="00306C50" w:rsidP="00336227">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Frequency, n (%)</w:t>
            </w:r>
          </w:p>
        </w:tc>
      </w:tr>
      <w:tr w:rsidR="00306C50" w:rsidRPr="00E824E7" w:rsidTr="00336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t>Gender</w:t>
            </w:r>
          </w:p>
          <w:p w:rsidR="00306C50" w:rsidRPr="00306C50" w:rsidRDefault="00306C50" w:rsidP="00336227">
            <w:pPr>
              <w:spacing w:line="480" w:lineRule="auto"/>
              <w:ind w:left="720"/>
              <w:rPr>
                <w:rFonts w:ascii="Arial" w:hAnsi="Arial" w:cs="Arial"/>
                <w:b w:val="0"/>
              </w:rPr>
            </w:pPr>
            <w:r w:rsidRPr="00306C50">
              <w:rPr>
                <w:rFonts w:ascii="Arial" w:hAnsi="Arial" w:cs="Arial"/>
                <w:b w:val="0"/>
              </w:rPr>
              <w:lastRenderedPageBreak/>
              <w:t>Male</w:t>
            </w:r>
          </w:p>
          <w:p w:rsidR="00306C50" w:rsidRPr="00306C50" w:rsidRDefault="00306C50" w:rsidP="00336227">
            <w:pPr>
              <w:spacing w:line="480" w:lineRule="auto"/>
              <w:ind w:left="720"/>
              <w:rPr>
                <w:rFonts w:ascii="Arial" w:hAnsi="Arial" w:cs="Arial"/>
                <w:b w:val="0"/>
              </w:rPr>
            </w:pPr>
            <w:r w:rsidRPr="00306C50">
              <w:rPr>
                <w:rFonts w:ascii="Arial" w:hAnsi="Arial" w:cs="Arial"/>
                <w:b w:val="0"/>
              </w:rPr>
              <w:t>Female</w:t>
            </w:r>
          </w:p>
        </w:tc>
        <w:tc>
          <w:tcPr>
            <w:tcW w:w="2210" w:type="dxa"/>
          </w:tcPr>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lastRenderedPageBreak/>
              <w:t>30 (42.3)</w:t>
            </w: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41 (57.7)</w:t>
            </w:r>
          </w:p>
        </w:tc>
      </w:tr>
      <w:tr w:rsidR="00306C50" w:rsidRPr="00E824E7" w:rsidTr="00336227">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lastRenderedPageBreak/>
              <w:t>Nationality</w:t>
            </w:r>
          </w:p>
          <w:p w:rsidR="00306C50" w:rsidRPr="00306C50" w:rsidRDefault="00306C50" w:rsidP="00336227">
            <w:pPr>
              <w:spacing w:line="480" w:lineRule="auto"/>
              <w:ind w:left="720"/>
              <w:rPr>
                <w:rFonts w:ascii="Arial" w:hAnsi="Arial" w:cs="Arial"/>
                <w:b w:val="0"/>
              </w:rPr>
            </w:pPr>
            <w:r w:rsidRPr="00306C50">
              <w:rPr>
                <w:rFonts w:ascii="Arial" w:hAnsi="Arial" w:cs="Arial"/>
                <w:b w:val="0"/>
              </w:rPr>
              <w:t>Malaysian</w:t>
            </w:r>
          </w:p>
          <w:p w:rsidR="00306C50" w:rsidRPr="00306C50" w:rsidRDefault="00306C50" w:rsidP="00336227">
            <w:pPr>
              <w:spacing w:line="480" w:lineRule="auto"/>
              <w:ind w:left="720"/>
              <w:rPr>
                <w:rFonts w:ascii="Arial" w:hAnsi="Arial" w:cs="Arial"/>
                <w:b w:val="0"/>
              </w:rPr>
            </w:pPr>
            <w:r w:rsidRPr="00306C50">
              <w:rPr>
                <w:rFonts w:ascii="Arial" w:hAnsi="Arial" w:cs="Arial"/>
                <w:b w:val="0"/>
              </w:rPr>
              <w:t>Non-Malaysian</w:t>
            </w:r>
          </w:p>
          <w:p w:rsidR="00306C50" w:rsidRPr="00306C50" w:rsidRDefault="00306C50" w:rsidP="00336227">
            <w:pPr>
              <w:spacing w:line="480" w:lineRule="auto"/>
              <w:ind w:left="720"/>
              <w:rPr>
                <w:rFonts w:ascii="Arial" w:hAnsi="Arial" w:cs="Arial"/>
                <w:b w:val="0"/>
              </w:rPr>
            </w:pPr>
            <w:r w:rsidRPr="00306C50">
              <w:rPr>
                <w:rFonts w:ascii="Arial" w:hAnsi="Arial" w:cs="Arial"/>
                <w:b w:val="0"/>
              </w:rPr>
              <w:t>Legal</w:t>
            </w:r>
          </w:p>
          <w:p w:rsidR="00306C50" w:rsidRPr="00306C50" w:rsidRDefault="00306C50" w:rsidP="00336227">
            <w:pPr>
              <w:spacing w:line="480" w:lineRule="auto"/>
              <w:ind w:left="720"/>
              <w:rPr>
                <w:rFonts w:ascii="Arial" w:hAnsi="Arial" w:cs="Arial"/>
                <w:b w:val="0"/>
              </w:rPr>
            </w:pPr>
            <w:r w:rsidRPr="00306C50">
              <w:rPr>
                <w:rFonts w:ascii="Arial" w:hAnsi="Arial" w:cs="Arial"/>
                <w:b w:val="0"/>
              </w:rPr>
              <w:t>No legal document</w:t>
            </w:r>
          </w:p>
          <w:p w:rsidR="00306C50" w:rsidRPr="00306C50" w:rsidRDefault="00306C50" w:rsidP="00336227">
            <w:pPr>
              <w:spacing w:line="480" w:lineRule="auto"/>
              <w:ind w:left="720"/>
              <w:rPr>
                <w:rFonts w:ascii="Arial" w:hAnsi="Arial" w:cs="Arial"/>
                <w:b w:val="0"/>
              </w:rPr>
            </w:pPr>
            <w:r w:rsidRPr="00306C50">
              <w:rPr>
                <w:rFonts w:ascii="Arial" w:hAnsi="Arial" w:cs="Arial"/>
                <w:b w:val="0"/>
              </w:rPr>
              <w:t>Unknown status</w:t>
            </w:r>
          </w:p>
        </w:tc>
        <w:tc>
          <w:tcPr>
            <w:tcW w:w="2210" w:type="dxa"/>
          </w:tcPr>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42 (59.2)</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29 (40.8)</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2 (2.8)</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6 (8.5)</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21 (29.6)</w:t>
            </w:r>
          </w:p>
        </w:tc>
      </w:tr>
      <w:tr w:rsidR="00306C50" w:rsidRPr="00E824E7" w:rsidTr="00336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t>Location</w:t>
            </w:r>
          </w:p>
          <w:p w:rsidR="00306C50" w:rsidRPr="00306C50" w:rsidRDefault="00306C50" w:rsidP="00336227">
            <w:pPr>
              <w:spacing w:line="480" w:lineRule="auto"/>
              <w:ind w:left="720"/>
              <w:rPr>
                <w:rFonts w:ascii="Arial" w:hAnsi="Arial" w:cs="Arial"/>
                <w:b w:val="0"/>
              </w:rPr>
            </w:pPr>
            <w:r w:rsidRPr="00306C50">
              <w:rPr>
                <w:rFonts w:ascii="Arial" w:hAnsi="Arial" w:cs="Arial"/>
                <w:b w:val="0"/>
              </w:rPr>
              <w:t>East Malaysia</w:t>
            </w:r>
          </w:p>
          <w:p w:rsidR="00306C50" w:rsidRPr="00306C50" w:rsidRDefault="00306C50" w:rsidP="00336227">
            <w:pPr>
              <w:spacing w:line="480" w:lineRule="auto"/>
              <w:ind w:left="720"/>
              <w:rPr>
                <w:rFonts w:ascii="Arial" w:hAnsi="Arial" w:cs="Arial"/>
                <w:b w:val="0"/>
              </w:rPr>
            </w:pPr>
            <w:r w:rsidRPr="00306C50">
              <w:rPr>
                <w:rFonts w:ascii="Arial" w:hAnsi="Arial" w:cs="Arial"/>
                <w:b w:val="0"/>
              </w:rPr>
              <w:t>West Malaysia</w:t>
            </w:r>
          </w:p>
        </w:tc>
        <w:tc>
          <w:tcPr>
            <w:tcW w:w="2210" w:type="dxa"/>
          </w:tcPr>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41 (57.7)</w:t>
            </w: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30 (42.3)</w:t>
            </w:r>
          </w:p>
        </w:tc>
      </w:tr>
      <w:tr w:rsidR="00306C50" w:rsidRPr="00E824E7" w:rsidTr="00336227">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t>State of origin</w:t>
            </w:r>
          </w:p>
          <w:p w:rsidR="00306C50" w:rsidRPr="00306C50" w:rsidRDefault="00306C50" w:rsidP="00336227">
            <w:pPr>
              <w:spacing w:line="480" w:lineRule="auto"/>
              <w:ind w:left="720"/>
              <w:rPr>
                <w:rFonts w:ascii="Arial" w:hAnsi="Arial" w:cs="Arial"/>
                <w:b w:val="0"/>
              </w:rPr>
            </w:pPr>
            <w:r w:rsidRPr="00306C50">
              <w:rPr>
                <w:rFonts w:ascii="Arial" w:hAnsi="Arial" w:cs="Arial"/>
                <w:b w:val="0"/>
              </w:rPr>
              <w:t>Sabah</w:t>
            </w:r>
          </w:p>
          <w:p w:rsidR="00306C50" w:rsidRPr="00306C50" w:rsidRDefault="00306C50" w:rsidP="00336227">
            <w:pPr>
              <w:spacing w:line="480" w:lineRule="auto"/>
              <w:ind w:left="720"/>
              <w:rPr>
                <w:rFonts w:ascii="Arial" w:hAnsi="Arial" w:cs="Arial"/>
                <w:b w:val="0"/>
              </w:rPr>
            </w:pPr>
            <w:r w:rsidRPr="00306C50">
              <w:rPr>
                <w:rFonts w:ascii="Arial" w:hAnsi="Arial" w:cs="Arial"/>
                <w:b w:val="0"/>
              </w:rPr>
              <w:t>Selangor</w:t>
            </w:r>
          </w:p>
          <w:p w:rsidR="00306C50" w:rsidRPr="00306C50" w:rsidRDefault="00306C50" w:rsidP="00336227">
            <w:pPr>
              <w:spacing w:line="480" w:lineRule="auto"/>
              <w:ind w:left="720"/>
              <w:rPr>
                <w:rFonts w:ascii="Arial" w:hAnsi="Arial" w:cs="Arial"/>
                <w:b w:val="0"/>
              </w:rPr>
            </w:pPr>
            <w:r w:rsidRPr="00306C50">
              <w:rPr>
                <w:rFonts w:ascii="Arial" w:hAnsi="Arial" w:cs="Arial"/>
                <w:b w:val="0"/>
              </w:rPr>
              <w:t>Sarawak</w:t>
            </w:r>
          </w:p>
          <w:p w:rsidR="00306C50" w:rsidRPr="00306C50" w:rsidRDefault="00306C50" w:rsidP="00336227">
            <w:pPr>
              <w:spacing w:line="480" w:lineRule="auto"/>
              <w:ind w:left="720"/>
              <w:rPr>
                <w:rFonts w:ascii="Arial" w:hAnsi="Arial" w:cs="Arial"/>
                <w:b w:val="0"/>
              </w:rPr>
            </w:pPr>
            <w:r w:rsidRPr="00306C50">
              <w:rPr>
                <w:rFonts w:ascii="Arial" w:hAnsi="Arial" w:cs="Arial"/>
                <w:b w:val="0"/>
              </w:rPr>
              <w:t>Kuala Lumpur</w:t>
            </w:r>
          </w:p>
          <w:p w:rsidR="00306C50" w:rsidRPr="00306C50" w:rsidRDefault="00306C50" w:rsidP="00336227">
            <w:pPr>
              <w:spacing w:line="480" w:lineRule="auto"/>
              <w:ind w:left="720"/>
              <w:rPr>
                <w:rFonts w:ascii="Arial" w:hAnsi="Arial" w:cs="Arial"/>
                <w:b w:val="0"/>
              </w:rPr>
            </w:pPr>
            <w:r w:rsidRPr="00306C50">
              <w:rPr>
                <w:rFonts w:ascii="Arial" w:hAnsi="Arial" w:cs="Arial"/>
                <w:b w:val="0"/>
              </w:rPr>
              <w:t>Labuan</w:t>
            </w:r>
          </w:p>
          <w:p w:rsidR="00306C50" w:rsidRPr="00306C50" w:rsidRDefault="00306C50" w:rsidP="00336227">
            <w:pPr>
              <w:spacing w:line="480" w:lineRule="auto"/>
              <w:ind w:left="720"/>
              <w:rPr>
                <w:rFonts w:ascii="Arial" w:hAnsi="Arial" w:cs="Arial"/>
                <w:b w:val="0"/>
              </w:rPr>
            </w:pPr>
            <w:r w:rsidRPr="00306C50">
              <w:rPr>
                <w:rFonts w:ascii="Arial" w:hAnsi="Arial" w:cs="Arial"/>
                <w:b w:val="0"/>
              </w:rPr>
              <w:t>Kelantan</w:t>
            </w:r>
          </w:p>
        </w:tc>
        <w:tc>
          <w:tcPr>
            <w:tcW w:w="2210" w:type="dxa"/>
          </w:tcPr>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32 (45.1)</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9 (12.7)</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5 (7.0)</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5 (7.0)</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4 (5.6)</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4 (5.6)</w:t>
            </w:r>
          </w:p>
        </w:tc>
      </w:tr>
      <w:tr w:rsidR="00306C50" w:rsidRPr="00E824E7" w:rsidTr="00336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t>Age at death</w:t>
            </w:r>
          </w:p>
          <w:p w:rsidR="00306C50" w:rsidRPr="00306C50" w:rsidRDefault="00306C50" w:rsidP="00336227">
            <w:pPr>
              <w:spacing w:line="480" w:lineRule="auto"/>
              <w:ind w:left="720"/>
              <w:rPr>
                <w:rFonts w:ascii="Arial" w:hAnsi="Arial" w:cs="Arial"/>
                <w:b w:val="0"/>
              </w:rPr>
            </w:pPr>
            <w:r w:rsidRPr="00306C50">
              <w:rPr>
                <w:rFonts w:ascii="Arial" w:hAnsi="Arial" w:cs="Arial"/>
                <w:b w:val="0"/>
              </w:rPr>
              <w:t>Below 12 months</w:t>
            </w:r>
          </w:p>
          <w:p w:rsidR="00306C50" w:rsidRPr="00306C50" w:rsidRDefault="00306C50" w:rsidP="00336227">
            <w:pPr>
              <w:spacing w:line="480" w:lineRule="auto"/>
              <w:ind w:left="720"/>
              <w:rPr>
                <w:rFonts w:ascii="Arial" w:hAnsi="Arial" w:cs="Arial"/>
                <w:b w:val="0"/>
              </w:rPr>
            </w:pPr>
            <w:r w:rsidRPr="00306C50">
              <w:rPr>
                <w:rFonts w:ascii="Arial" w:hAnsi="Arial" w:cs="Arial"/>
                <w:b w:val="0"/>
              </w:rPr>
              <w:t>1 to 4 years</w:t>
            </w:r>
          </w:p>
          <w:p w:rsidR="00306C50" w:rsidRPr="00306C50" w:rsidRDefault="00306C50" w:rsidP="00336227">
            <w:pPr>
              <w:spacing w:line="480" w:lineRule="auto"/>
              <w:ind w:left="720"/>
              <w:rPr>
                <w:rFonts w:ascii="Arial" w:hAnsi="Arial" w:cs="Arial"/>
                <w:b w:val="0"/>
              </w:rPr>
            </w:pPr>
            <w:r w:rsidRPr="00306C50">
              <w:rPr>
                <w:rFonts w:ascii="Arial" w:hAnsi="Arial" w:cs="Arial"/>
                <w:b w:val="0"/>
              </w:rPr>
              <w:t>5 to 14 years</w:t>
            </w:r>
          </w:p>
          <w:p w:rsidR="00306C50" w:rsidRPr="00306C50" w:rsidRDefault="00306C50" w:rsidP="00336227">
            <w:pPr>
              <w:spacing w:line="480" w:lineRule="auto"/>
              <w:rPr>
                <w:rFonts w:ascii="Arial" w:hAnsi="Arial" w:cs="Arial"/>
                <w:b w:val="0"/>
              </w:rPr>
            </w:pPr>
          </w:p>
          <w:p w:rsidR="00306C50" w:rsidRPr="00306C50" w:rsidRDefault="00306C50" w:rsidP="00336227">
            <w:pPr>
              <w:spacing w:line="480" w:lineRule="auto"/>
              <w:rPr>
                <w:rFonts w:ascii="Arial" w:hAnsi="Arial" w:cs="Arial"/>
                <w:b w:val="0"/>
              </w:rPr>
            </w:pPr>
            <w:r w:rsidRPr="00306C50">
              <w:rPr>
                <w:rFonts w:ascii="Arial" w:hAnsi="Arial" w:cs="Arial"/>
                <w:b w:val="0"/>
              </w:rPr>
              <w:t>Median age, in months (range)</w:t>
            </w:r>
          </w:p>
        </w:tc>
        <w:tc>
          <w:tcPr>
            <w:tcW w:w="2210" w:type="dxa"/>
          </w:tcPr>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5 (7.0)</w:t>
            </w: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21 (29.6)</w:t>
            </w: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45 (63.4)</w:t>
            </w: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94 (5-179)</w:t>
            </w:r>
          </w:p>
        </w:tc>
      </w:tr>
      <w:tr w:rsidR="00306C50" w:rsidRPr="00E824E7" w:rsidTr="00336227">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t>Commonest disease presentation*</w:t>
            </w:r>
          </w:p>
          <w:p w:rsidR="00306C50" w:rsidRPr="00306C50" w:rsidRDefault="00306C50" w:rsidP="00336227">
            <w:pPr>
              <w:spacing w:line="480" w:lineRule="auto"/>
              <w:ind w:left="720"/>
              <w:rPr>
                <w:rFonts w:ascii="Arial" w:hAnsi="Arial" w:cs="Arial"/>
                <w:b w:val="0"/>
              </w:rPr>
            </w:pPr>
            <w:r w:rsidRPr="00306C50">
              <w:rPr>
                <w:rFonts w:ascii="Arial" w:hAnsi="Arial" w:cs="Arial"/>
                <w:b w:val="0"/>
              </w:rPr>
              <w:t>Cough</w:t>
            </w:r>
          </w:p>
          <w:p w:rsidR="00306C50" w:rsidRPr="00306C50" w:rsidRDefault="00306C50" w:rsidP="00336227">
            <w:pPr>
              <w:spacing w:line="480" w:lineRule="auto"/>
              <w:ind w:left="720"/>
              <w:rPr>
                <w:rFonts w:ascii="Arial" w:hAnsi="Arial" w:cs="Arial"/>
                <w:b w:val="0"/>
              </w:rPr>
            </w:pPr>
            <w:r w:rsidRPr="00306C50">
              <w:rPr>
                <w:rFonts w:ascii="Arial" w:hAnsi="Arial" w:cs="Arial"/>
                <w:b w:val="0"/>
              </w:rPr>
              <w:t>Fever</w:t>
            </w:r>
          </w:p>
          <w:p w:rsidR="00306C50" w:rsidRPr="00306C50" w:rsidRDefault="00306C50" w:rsidP="00336227">
            <w:pPr>
              <w:spacing w:line="480" w:lineRule="auto"/>
              <w:ind w:left="720"/>
              <w:rPr>
                <w:rFonts w:ascii="Arial" w:hAnsi="Arial" w:cs="Arial"/>
                <w:b w:val="0"/>
              </w:rPr>
            </w:pPr>
            <w:r w:rsidRPr="00306C50">
              <w:rPr>
                <w:rFonts w:ascii="Arial" w:hAnsi="Arial" w:cs="Arial"/>
                <w:b w:val="0"/>
              </w:rPr>
              <w:t>Shortness of breath</w:t>
            </w:r>
          </w:p>
          <w:p w:rsidR="00306C50" w:rsidRPr="00306C50" w:rsidRDefault="00306C50" w:rsidP="00336227">
            <w:pPr>
              <w:spacing w:line="480" w:lineRule="auto"/>
              <w:ind w:left="720"/>
              <w:rPr>
                <w:rFonts w:ascii="Arial" w:hAnsi="Arial" w:cs="Arial"/>
                <w:b w:val="0"/>
              </w:rPr>
            </w:pPr>
            <w:r w:rsidRPr="00306C50">
              <w:rPr>
                <w:rFonts w:ascii="Arial" w:hAnsi="Arial" w:cs="Arial"/>
                <w:b w:val="0"/>
              </w:rPr>
              <w:t>Loss of appetite</w:t>
            </w:r>
          </w:p>
          <w:p w:rsidR="00306C50" w:rsidRPr="00306C50" w:rsidRDefault="00306C50" w:rsidP="00336227">
            <w:pPr>
              <w:spacing w:line="480" w:lineRule="auto"/>
              <w:ind w:left="720"/>
              <w:rPr>
                <w:rFonts w:ascii="Arial" w:hAnsi="Arial" w:cs="Arial"/>
                <w:b w:val="0"/>
              </w:rPr>
            </w:pPr>
            <w:r w:rsidRPr="00306C50">
              <w:rPr>
                <w:rFonts w:ascii="Arial" w:hAnsi="Arial" w:cs="Arial"/>
                <w:b w:val="0"/>
              </w:rPr>
              <w:t>Fatigue</w:t>
            </w:r>
          </w:p>
          <w:p w:rsidR="00306C50" w:rsidRPr="00306C50" w:rsidRDefault="00306C50" w:rsidP="00336227">
            <w:pPr>
              <w:spacing w:line="480" w:lineRule="auto"/>
              <w:ind w:left="720"/>
              <w:rPr>
                <w:rFonts w:ascii="Arial" w:hAnsi="Arial" w:cs="Arial"/>
                <w:b w:val="0"/>
              </w:rPr>
            </w:pPr>
            <w:r w:rsidRPr="00306C50">
              <w:rPr>
                <w:rFonts w:ascii="Arial" w:hAnsi="Arial" w:cs="Arial"/>
                <w:b w:val="0"/>
              </w:rPr>
              <w:lastRenderedPageBreak/>
              <w:t>Failure-to-thrive</w:t>
            </w:r>
          </w:p>
          <w:p w:rsidR="00306C50" w:rsidRPr="00306C50" w:rsidRDefault="00306C50" w:rsidP="00336227">
            <w:pPr>
              <w:spacing w:line="480" w:lineRule="auto"/>
              <w:ind w:left="720"/>
              <w:rPr>
                <w:rFonts w:ascii="Arial" w:hAnsi="Arial" w:cs="Arial"/>
                <w:b w:val="0"/>
              </w:rPr>
            </w:pPr>
            <w:r w:rsidRPr="00306C50">
              <w:rPr>
                <w:rFonts w:ascii="Arial" w:hAnsi="Arial" w:cs="Arial"/>
                <w:b w:val="0"/>
              </w:rPr>
              <w:t>Weight loss</w:t>
            </w:r>
          </w:p>
        </w:tc>
        <w:tc>
          <w:tcPr>
            <w:tcW w:w="2210" w:type="dxa"/>
          </w:tcPr>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28 (73.7)</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25 (65.8)</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20 (52.6)</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17 (44.7)</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14 (36.8)</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lastRenderedPageBreak/>
              <w:t>13 (34.2)</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13 (34.2)</w:t>
            </w:r>
          </w:p>
        </w:tc>
      </w:tr>
      <w:tr w:rsidR="00306C50" w:rsidRPr="00E824E7" w:rsidTr="003362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lastRenderedPageBreak/>
              <w:t>Number of common symptoms experienced per child*</w:t>
            </w:r>
          </w:p>
          <w:p w:rsidR="00306C50" w:rsidRPr="00306C50" w:rsidRDefault="00306C50" w:rsidP="00336227">
            <w:pPr>
              <w:spacing w:line="480" w:lineRule="auto"/>
              <w:ind w:left="720"/>
              <w:rPr>
                <w:rFonts w:ascii="Arial" w:hAnsi="Arial" w:cs="Arial"/>
                <w:b w:val="0"/>
              </w:rPr>
            </w:pPr>
            <w:r w:rsidRPr="00306C50">
              <w:rPr>
                <w:rFonts w:ascii="Arial" w:hAnsi="Arial" w:cs="Arial"/>
                <w:b w:val="0"/>
              </w:rPr>
              <w:t>Less than three symptoms</w:t>
            </w:r>
          </w:p>
          <w:p w:rsidR="00306C50" w:rsidRPr="00306C50" w:rsidRDefault="00306C50" w:rsidP="00336227">
            <w:pPr>
              <w:spacing w:line="480" w:lineRule="auto"/>
              <w:ind w:left="720"/>
              <w:rPr>
                <w:rFonts w:ascii="Arial" w:hAnsi="Arial" w:cs="Arial"/>
                <w:b w:val="0"/>
              </w:rPr>
            </w:pPr>
            <w:r w:rsidRPr="00306C50">
              <w:rPr>
                <w:rFonts w:ascii="Arial" w:hAnsi="Arial" w:cs="Arial"/>
                <w:b w:val="0"/>
              </w:rPr>
              <w:t>Three to six symptoms</w:t>
            </w:r>
          </w:p>
        </w:tc>
        <w:tc>
          <w:tcPr>
            <w:tcW w:w="2210" w:type="dxa"/>
          </w:tcPr>
          <w:p w:rsidR="00306C50" w:rsidRPr="00306C50" w:rsidRDefault="00306C50" w:rsidP="00336227">
            <w:pPr>
              <w:spacing w:line="48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11 (28.9)</w:t>
            </w:r>
          </w:p>
          <w:p w:rsidR="00306C50" w:rsidRPr="00306C50" w:rsidRDefault="00306C50" w:rsidP="00336227">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06C50">
              <w:rPr>
                <w:rFonts w:ascii="Arial" w:hAnsi="Arial" w:cs="Arial"/>
              </w:rPr>
              <w:t>27 (71.1)</w:t>
            </w:r>
          </w:p>
        </w:tc>
      </w:tr>
      <w:tr w:rsidR="00306C50" w:rsidRPr="00E824E7" w:rsidTr="00336227">
        <w:tc>
          <w:tcPr>
            <w:cnfStyle w:val="001000000000" w:firstRow="0" w:lastRow="0" w:firstColumn="1" w:lastColumn="0" w:oddVBand="0" w:evenVBand="0" w:oddHBand="0" w:evenHBand="0" w:firstRowFirstColumn="0" w:firstRowLastColumn="0" w:lastRowFirstColumn="0" w:lastRowLastColumn="0"/>
            <w:tcW w:w="5998" w:type="dxa"/>
          </w:tcPr>
          <w:p w:rsidR="00306C50" w:rsidRPr="00306C50" w:rsidRDefault="00306C50" w:rsidP="00336227">
            <w:pPr>
              <w:spacing w:line="480" w:lineRule="auto"/>
              <w:rPr>
                <w:rFonts w:ascii="Arial" w:hAnsi="Arial" w:cs="Arial"/>
                <w:b w:val="0"/>
              </w:rPr>
            </w:pPr>
            <w:r w:rsidRPr="00306C50">
              <w:rPr>
                <w:rFonts w:ascii="Arial" w:hAnsi="Arial" w:cs="Arial"/>
                <w:b w:val="0"/>
              </w:rPr>
              <w:t>BCG scar</w:t>
            </w:r>
          </w:p>
          <w:p w:rsidR="00306C50" w:rsidRPr="00306C50" w:rsidRDefault="00306C50" w:rsidP="00336227">
            <w:pPr>
              <w:spacing w:line="480" w:lineRule="auto"/>
              <w:ind w:left="720"/>
              <w:rPr>
                <w:rFonts w:ascii="Arial" w:hAnsi="Arial" w:cs="Arial"/>
                <w:b w:val="0"/>
              </w:rPr>
            </w:pPr>
            <w:r w:rsidRPr="00306C50">
              <w:rPr>
                <w:rFonts w:ascii="Arial" w:hAnsi="Arial" w:cs="Arial"/>
                <w:b w:val="0"/>
              </w:rPr>
              <w:t>Present</w:t>
            </w:r>
          </w:p>
          <w:p w:rsidR="00306C50" w:rsidRPr="00306C50" w:rsidRDefault="00306C50" w:rsidP="00336227">
            <w:pPr>
              <w:spacing w:line="480" w:lineRule="auto"/>
              <w:ind w:left="720"/>
              <w:rPr>
                <w:rFonts w:ascii="Arial" w:hAnsi="Arial" w:cs="Arial"/>
                <w:b w:val="0"/>
              </w:rPr>
            </w:pPr>
            <w:r w:rsidRPr="00306C50">
              <w:rPr>
                <w:rFonts w:ascii="Arial" w:hAnsi="Arial" w:cs="Arial"/>
                <w:b w:val="0"/>
              </w:rPr>
              <w:t>Absent</w:t>
            </w:r>
          </w:p>
          <w:p w:rsidR="00306C50" w:rsidRPr="00306C50" w:rsidRDefault="00306C50" w:rsidP="00336227">
            <w:pPr>
              <w:spacing w:line="480" w:lineRule="auto"/>
              <w:ind w:left="720"/>
              <w:rPr>
                <w:rFonts w:ascii="Arial" w:hAnsi="Arial" w:cs="Arial"/>
                <w:b w:val="0"/>
              </w:rPr>
            </w:pPr>
            <w:r w:rsidRPr="00306C50">
              <w:rPr>
                <w:rFonts w:ascii="Arial" w:hAnsi="Arial" w:cs="Arial"/>
                <w:b w:val="0"/>
              </w:rPr>
              <w:t>Unknown</w:t>
            </w:r>
          </w:p>
        </w:tc>
        <w:tc>
          <w:tcPr>
            <w:tcW w:w="2210" w:type="dxa"/>
          </w:tcPr>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43 (60.6)</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23 (32.4)</w:t>
            </w:r>
          </w:p>
          <w:p w:rsidR="00306C50" w:rsidRPr="00306C50" w:rsidRDefault="00306C50" w:rsidP="00336227">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06C50">
              <w:rPr>
                <w:rFonts w:ascii="Arial" w:hAnsi="Arial" w:cs="Arial"/>
              </w:rPr>
              <w:t>5 (7.0)</w:t>
            </w:r>
          </w:p>
        </w:tc>
      </w:tr>
    </w:tbl>
    <w:p w:rsidR="00336227" w:rsidRPr="00CC0E1B" w:rsidRDefault="00336227" w:rsidP="00336227">
      <w:pPr>
        <w:pStyle w:val="Body"/>
        <w:spacing w:line="480" w:lineRule="auto"/>
        <w:rPr>
          <w:rFonts w:ascii="Arial" w:hAnsi="Arial" w:cs="Arial"/>
          <w:b/>
          <w:sz w:val="18"/>
          <w:szCs w:val="18"/>
          <w:vertAlign w:val="superscript"/>
        </w:rPr>
      </w:pPr>
      <w:r w:rsidRPr="00CC0E1B">
        <w:rPr>
          <w:rFonts w:ascii="Arial" w:hAnsi="Arial" w:cs="Arial"/>
          <w:b/>
          <w:sz w:val="18"/>
          <w:szCs w:val="18"/>
          <w:vertAlign w:val="superscript"/>
        </w:rPr>
        <w:t>*n = 38</w:t>
      </w:r>
    </w:p>
    <w:p w:rsidR="00306C50" w:rsidRDefault="00336227" w:rsidP="00336227">
      <w:pPr>
        <w:pStyle w:val="Body"/>
        <w:spacing w:after="0" w:line="480" w:lineRule="auto"/>
        <w:rPr>
          <w:rFonts w:ascii="Arial" w:hAnsi="Arial" w:cs="Arial"/>
          <w:b/>
          <w:sz w:val="18"/>
          <w:szCs w:val="18"/>
          <w:vertAlign w:val="superscript"/>
        </w:rPr>
      </w:pPr>
      <w:r w:rsidRPr="00CC0E1B">
        <w:rPr>
          <w:rFonts w:ascii="Arial" w:hAnsi="Arial" w:cs="Arial"/>
          <w:b/>
          <w:sz w:val="18"/>
          <w:szCs w:val="18"/>
          <w:vertAlign w:val="superscript"/>
        </w:rPr>
        <w:t>BCG = Bacille Calmette-Guérin</w:t>
      </w:r>
    </w:p>
    <w:p w:rsidR="00F946C7" w:rsidRPr="00CC0E1B" w:rsidRDefault="00F946C7" w:rsidP="00336227">
      <w:pPr>
        <w:pStyle w:val="Body"/>
        <w:spacing w:after="0" w:line="480" w:lineRule="auto"/>
        <w:rPr>
          <w:rFonts w:ascii="Arial" w:hAnsi="Arial" w:cs="Arial"/>
          <w:b/>
          <w:sz w:val="18"/>
          <w:szCs w:val="18"/>
          <w:vertAlign w:val="superscript"/>
        </w:rPr>
      </w:pPr>
    </w:p>
    <w:p w:rsidR="00790ADA" w:rsidRDefault="00021041" w:rsidP="00441B6F">
      <w:pPr>
        <w:pStyle w:val="Body"/>
        <w:spacing w:after="0"/>
        <w:rPr>
          <w:rFonts w:ascii="Arial" w:hAnsi="Arial" w:cs="Arial"/>
        </w:rPr>
      </w:pPr>
      <w:r w:rsidRPr="00021041">
        <w:rPr>
          <w:rFonts w:ascii="Arial" w:hAnsi="Arial" w:cs="Arial"/>
        </w:rPr>
        <w:t xml:space="preserve">From 38 children, 12 (31.6%) had physician-diagnosed malnutrition. Ten (26.3%) were immunodeficient, out of which six (15.8%) had HIV infection. Only two of them were known to be on highly-active anti-retroviral treatment (HAART). Four children were on immunosuppressants; two children for systemic lupus erythematosus (SLE) complicated with lupus nephritis, one for </w:t>
      </w:r>
      <w:proofErr w:type="spellStart"/>
      <w:r w:rsidRPr="00021041">
        <w:rPr>
          <w:rFonts w:ascii="Arial" w:hAnsi="Arial" w:cs="Arial"/>
        </w:rPr>
        <w:t>haematological</w:t>
      </w:r>
      <w:proofErr w:type="spellEnd"/>
      <w:r w:rsidRPr="00021041">
        <w:rPr>
          <w:rFonts w:ascii="Arial" w:hAnsi="Arial" w:cs="Arial"/>
        </w:rPr>
        <w:t xml:space="preserve"> malignancy, and one for juvenile idiopathic arthritis (JIA).</w:t>
      </w:r>
    </w:p>
    <w:p w:rsidR="00251599" w:rsidRDefault="00251599" w:rsidP="00441B6F">
      <w:pPr>
        <w:pStyle w:val="Body"/>
        <w:spacing w:after="0"/>
        <w:rPr>
          <w:rFonts w:ascii="Arial" w:hAnsi="Arial" w:cs="Arial"/>
        </w:rPr>
      </w:pPr>
    </w:p>
    <w:p w:rsidR="00251599" w:rsidRPr="00251599" w:rsidRDefault="00251599" w:rsidP="00251599">
      <w:pPr>
        <w:pStyle w:val="Body"/>
        <w:spacing w:after="0"/>
        <w:rPr>
          <w:rFonts w:ascii="Arial" w:hAnsi="Arial" w:cs="Arial"/>
        </w:rPr>
      </w:pPr>
      <w:r w:rsidRPr="00251599">
        <w:rPr>
          <w:rFonts w:ascii="Arial" w:hAnsi="Arial" w:cs="Arial"/>
          <w:b/>
        </w:rPr>
        <w:t>Table 2</w:t>
      </w:r>
      <w:r w:rsidRPr="00251599">
        <w:rPr>
          <w:rFonts w:ascii="Arial" w:hAnsi="Arial" w:cs="Arial"/>
        </w:rPr>
        <w:t xml:space="preserve"> shows socioeconomic backgrounds of the children.</w:t>
      </w:r>
    </w:p>
    <w:p w:rsidR="00021041" w:rsidRDefault="00021041" w:rsidP="00441B6F">
      <w:pPr>
        <w:pStyle w:val="Body"/>
        <w:spacing w:after="0"/>
        <w:rPr>
          <w:rFonts w:ascii="Arial" w:hAnsi="Arial" w:cs="Arial"/>
        </w:rPr>
      </w:pPr>
    </w:p>
    <w:p w:rsidR="00021041" w:rsidRPr="00021041" w:rsidRDefault="00021041" w:rsidP="00CB6B55">
      <w:pPr>
        <w:spacing w:line="480" w:lineRule="auto"/>
        <w:jc w:val="center"/>
        <w:rPr>
          <w:rFonts w:ascii="Arial" w:hAnsi="Arial" w:cs="Arial"/>
          <w:b/>
        </w:rPr>
      </w:pPr>
      <w:r w:rsidRPr="00021041">
        <w:rPr>
          <w:rFonts w:ascii="Arial" w:hAnsi="Arial" w:cs="Arial"/>
          <w:b/>
        </w:rPr>
        <w:t>Table 2. Socioeconomic backgrounds of children who succumbed to TB.</w:t>
      </w:r>
    </w:p>
    <w:tbl>
      <w:tblPr>
        <w:tblStyle w:val="PlainTable2"/>
        <w:tblW w:w="0" w:type="auto"/>
        <w:tblLook w:val="04A0" w:firstRow="1" w:lastRow="0" w:firstColumn="1" w:lastColumn="0" w:noHBand="0" w:noVBand="1"/>
      </w:tblPr>
      <w:tblGrid>
        <w:gridCol w:w="6656"/>
        <w:gridCol w:w="2358"/>
      </w:tblGrid>
      <w:tr w:rsidR="00021041" w:rsidRPr="00021041" w:rsidTr="000210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021041" w:rsidRPr="00021041" w:rsidRDefault="00021041" w:rsidP="00CB6B55">
            <w:pPr>
              <w:spacing w:line="480" w:lineRule="auto"/>
              <w:rPr>
                <w:rFonts w:ascii="Arial" w:hAnsi="Arial" w:cs="Arial"/>
              </w:rPr>
            </w:pPr>
            <w:r w:rsidRPr="00021041">
              <w:rPr>
                <w:rFonts w:ascii="Arial" w:hAnsi="Arial" w:cs="Arial"/>
              </w:rPr>
              <w:t>Characteristics</w:t>
            </w:r>
          </w:p>
        </w:tc>
        <w:tc>
          <w:tcPr>
            <w:tcW w:w="2358" w:type="dxa"/>
          </w:tcPr>
          <w:p w:rsidR="00021041" w:rsidRPr="00021041" w:rsidRDefault="00021041" w:rsidP="00CB6B55">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Frequency, n (%)</w:t>
            </w:r>
          </w:p>
        </w:tc>
      </w:tr>
      <w:tr w:rsidR="00021041" w:rsidRPr="00021041" w:rsidTr="00021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021041" w:rsidRPr="00021041" w:rsidRDefault="00021041" w:rsidP="00CB6B55">
            <w:pPr>
              <w:spacing w:line="480" w:lineRule="auto"/>
              <w:rPr>
                <w:rFonts w:ascii="Arial" w:hAnsi="Arial" w:cs="Arial"/>
                <w:b w:val="0"/>
              </w:rPr>
            </w:pPr>
            <w:r w:rsidRPr="00021041">
              <w:rPr>
                <w:rFonts w:ascii="Arial" w:hAnsi="Arial" w:cs="Arial"/>
                <w:b w:val="0"/>
              </w:rPr>
              <w:t>Median distance to the nearest government hospital, in km (range)</w:t>
            </w:r>
          </w:p>
        </w:tc>
        <w:tc>
          <w:tcPr>
            <w:tcW w:w="2358" w:type="dxa"/>
          </w:tcPr>
          <w:p w:rsidR="00021041" w:rsidRPr="00021041" w:rsidRDefault="00021041" w:rsidP="00CB6B5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21041">
              <w:rPr>
                <w:rFonts w:ascii="Arial" w:hAnsi="Arial" w:cs="Arial"/>
              </w:rPr>
              <w:t>10 (1-117)</w:t>
            </w:r>
          </w:p>
        </w:tc>
      </w:tr>
      <w:tr w:rsidR="00021041" w:rsidRPr="00021041" w:rsidTr="00021041">
        <w:tc>
          <w:tcPr>
            <w:cnfStyle w:val="001000000000" w:firstRow="0" w:lastRow="0" w:firstColumn="1" w:lastColumn="0" w:oddVBand="0" w:evenVBand="0" w:oddHBand="0" w:evenHBand="0" w:firstRowFirstColumn="0" w:firstRowLastColumn="0" w:lastRowFirstColumn="0" w:lastRowLastColumn="0"/>
            <w:tcW w:w="6656" w:type="dxa"/>
          </w:tcPr>
          <w:p w:rsidR="00021041" w:rsidRPr="00021041" w:rsidRDefault="00021041" w:rsidP="00CB6B55">
            <w:pPr>
              <w:spacing w:line="480" w:lineRule="auto"/>
              <w:rPr>
                <w:rFonts w:ascii="Arial" w:hAnsi="Arial" w:cs="Arial"/>
                <w:b w:val="0"/>
              </w:rPr>
            </w:pPr>
            <w:r w:rsidRPr="00021041">
              <w:rPr>
                <w:rFonts w:ascii="Arial" w:hAnsi="Arial" w:cs="Arial"/>
                <w:b w:val="0"/>
              </w:rPr>
              <w:t>Type of house*</w:t>
            </w:r>
          </w:p>
          <w:p w:rsidR="00021041" w:rsidRPr="00021041" w:rsidRDefault="00021041" w:rsidP="00CB6B55">
            <w:pPr>
              <w:spacing w:line="480" w:lineRule="auto"/>
              <w:ind w:left="720"/>
              <w:rPr>
                <w:rFonts w:ascii="Arial" w:hAnsi="Arial" w:cs="Arial"/>
                <w:b w:val="0"/>
              </w:rPr>
            </w:pPr>
            <w:r w:rsidRPr="00021041">
              <w:rPr>
                <w:rFonts w:ascii="Arial" w:hAnsi="Arial" w:cs="Arial"/>
                <w:b w:val="0"/>
              </w:rPr>
              <w:t>Village/wooden house</w:t>
            </w:r>
          </w:p>
          <w:p w:rsidR="00021041" w:rsidRPr="00021041" w:rsidRDefault="00021041" w:rsidP="00CB6B55">
            <w:pPr>
              <w:spacing w:line="480" w:lineRule="auto"/>
              <w:ind w:left="720"/>
              <w:rPr>
                <w:rFonts w:ascii="Arial" w:hAnsi="Arial" w:cs="Arial"/>
                <w:b w:val="0"/>
              </w:rPr>
            </w:pPr>
            <w:r w:rsidRPr="00021041">
              <w:rPr>
                <w:rFonts w:ascii="Arial" w:hAnsi="Arial" w:cs="Arial"/>
                <w:b w:val="0"/>
              </w:rPr>
              <w:t>Terrace</w:t>
            </w:r>
          </w:p>
          <w:p w:rsidR="00021041" w:rsidRPr="00021041" w:rsidRDefault="00021041" w:rsidP="00CB6B55">
            <w:pPr>
              <w:spacing w:line="480" w:lineRule="auto"/>
              <w:ind w:left="720"/>
              <w:rPr>
                <w:rFonts w:ascii="Arial" w:hAnsi="Arial" w:cs="Arial"/>
                <w:b w:val="0"/>
              </w:rPr>
            </w:pPr>
            <w:r w:rsidRPr="00021041">
              <w:rPr>
                <w:rFonts w:ascii="Arial" w:hAnsi="Arial" w:cs="Arial"/>
                <w:b w:val="0"/>
              </w:rPr>
              <w:t>Flat</w:t>
            </w:r>
          </w:p>
          <w:p w:rsidR="00021041" w:rsidRPr="00021041" w:rsidRDefault="00021041" w:rsidP="00CB6B55">
            <w:pPr>
              <w:spacing w:line="480" w:lineRule="auto"/>
              <w:ind w:left="720"/>
              <w:rPr>
                <w:rFonts w:ascii="Arial" w:hAnsi="Arial" w:cs="Arial"/>
                <w:b w:val="0"/>
              </w:rPr>
            </w:pPr>
            <w:r w:rsidRPr="00021041">
              <w:rPr>
                <w:rFonts w:ascii="Arial" w:hAnsi="Arial" w:cs="Arial"/>
                <w:b w:val="0"/>
              </w:rPr>
              <w:t>Squatter housing</w:t>
            </w:r>
          </w:p>
          <w:p w:rsidR="00021041" w:rsidRPr="00021041" w:rsidRDefault="00021041" w:rsidP="00CB6B55">
            <w:pPr>
              <w:spacing w:line="480" w:lineRule="auto"/>
              <w:ind w:left="720"/>
              <w:rPr>
                <w:rFonts w:ascii="Arial" w:hAnsi="Arial" w:cs="Arial"/>
                <w:b w:val="0"/>
              </w:rPr>
            </w:pPr>
            <w:r w:rsidRPr="00021041">
              <w:rPr>
                <w:rFonts w:ascii="Arial" w:hAnsi="Arial" w:cs="Arial"/>
                <w:b w:val="0"/>
              </w:rPr>
              <w:t>Apartment/Condominium</w:t>
            </w:r>
          </w:p>
          <w:p w:rsidR="00021041" w:rsidRPr="00021041" w:rsidRDefault="00021041" w:rsidP="00CB6B55">
            <w:pPr>
              <w:spacing w:line="480" w:lineRule="auto"/>
              <w:ind w:left="720"/>
              <w:rPr>
                <w:rFonts w:ascii="Arial" w:hAnsi="Arial" w:cs="Arial"/>
                <w:b w:val="0"/>
              </w:rPr>
            </w:pPr>
            <w:r w:rsidRPr="00021041">
              <w:rPr>
                <w:rFonts w:ascii="Arial" w:hAnsi="Arial" w:cs="Arial"/>
                <w:b w:val="0"/>
              </w:rPr>
              <w:t>Unknown</w:t>
            </w:r>
          </w:p>
        </w:tc>
        <w:tc>
          <w:tcPr>
            <w:tcW w:w="2358" w:type="dxa"/>
          </w:tcPr>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10 (26.3)</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5 (13.2)</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4 (10.5)</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4 (10.5)</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1 (2.6)</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14 (36.8)</w:t>
            </w:r>
          </w:p>
        </w:tc>
      </w:tr>
      <w:tr w:rsidR="00021041" w:rsidRPr="00021041" w:rsidTr="00021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021041" w:rsidRPr="00021041" w:rsidRDefault="00021041" w:rsidP="00CB6B55">
            <w:pPr>
              <w:spacing w:line="480" w:lineRule="auto"/>
              <w:rPr>
                <w:rFonts w:ascii="Arial" w:hAnsi="Arial" w:cs="Arial"/>
                <w:b w:val="0"/>
              </w:rPr>
            </w:pPr>
            <w:r w:rsidRPr="00021041">
              <w:rPr>
                <w:rFonts w:ascii="Arial" w:hAnsi="Arial" w:cs="Arial"/>
                <w:b w:val="0"/>
              </w:rPr>
              <w:t xml:space="preserve">House occupants*  </w:t>
            </w:r>
          </w:p>
          <w:p w:rsidR="00021041" w:rsidRPr="00021041" w:rsidRDefault="00021041" w:rsidP="00CB6B55">
            <w:pPr>
              <w:spacing w:line="480" w:lineRule="auto"/>
              <w:ind w:left="720"/>
              <w:rPr>
                <w:rFonts w:ascii="Arial" w:hAnsi="Arial" w:cs="Arial"/>
                <w:b w:val="0"/>
              </w:rPr>
            </w:pPr>
            <w:r w:rsidRPr="00021041">
              <w:rPr>
                <w:rFonts w:ascii="Arial" w:hAnsi="Arial" w:cs="Arial"/>
                <w:b w:val="0"/>
              </w:rPr>
              <w:t>Median (range)</w:t>
            </w:r>
          </w:p>
        </w:tc>
        <w:tc>
          <w:tcPr>
            <w:tcW w:w="2358" w:type="dxa"/>
          </w:tcPr>
          <w:p w:rsidR="00021041" w:rsidRPr="00021041" w:rsidRDefault="00021041" w:rsidP="00CB6B5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021041" w:rsidRPr="00021041" w:rsidRDefault="00021041" w:rsidP="00CB6B5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21041">
              <w:rPr>
                <w:rFonts w:ascii="Arial" w:hAnsi="Arial" w:cs="Arial"/>
              </w:rPr>
              <w:t>5 (3-14)</w:t>
            </w:r>
          </w:p>
        </w:tc>
      </w:tr>
      <w:tr w:rsidR="00021041" w:rsidRPr="00021041" w:rsidTr="00021041">
        <w:tc>
          <w:tcPr>
            <w:cnfStyle w:val="001000000000" w:firstRow="0" w:lastRow="0" w:firstColumn="1" w:lastColumn="0" w:oddVBand="0" w:evenVBand="0" w:oddHBand="0" w:evenHBand="0" w:firstRowFirstColumn="0" w:firstRowLastColumn="0" w:lastRowFirstColumn="0" w:lastRowLastColumn="0"/>
            <w:tcW w:w="6656" w:type="dxa"/>
          </w:tcPr>
          <w:p w:rsidR="00021041" w:rsidRPr="00021041" w:rsidRDefault="00021041" w:rsidP="00CB6B55">
            <w:pPr>
              <w:spacing w:line="480" w:lineRule="auto"/>
              <w:rPr>
                <w:rFonts w:ascii="Arial" w:hAnsi="Arial" w:cs="Arial"/>
                <w:b w:val="0"/>
              </w:rPr>
            </w:pPr>
            <w:r w:rsidRPr="00021041">
              <w:rPr>
                <w:rFonts w:ascii="Arial" w:hAnsi="Arial" w:cs="Arial"/>
                <w:b w:val="0"/>
              </w:rPr>
              <w:t>Electricity and water supply*</w:t>
            </w:r>
          </w:p>
          <w:p w:rsidR="00021041" w:rsidRPr="00021041" w:rsidRDefault="00021041" w:rsidP="00CB6B55">
            <w:pPr>
              <w:spacing w:line="480" w:lineRule="auto"/>
              <w:ind w:left="720"/>
              <w:rPr>
                <w:rFonts w:ascii="Arial" w:hAnsi="Arial" w:cs="Arial"/>
                <w:b w:val="0"/>
              </w:rPr>
            </w:pPr>
            <w:r w:rsidRPr="00021041">
              <w:rPr>
                <w:rFonts w:ascii="Arial" w:hAnsi="Arial" w:cs="Arial"/>
                <w:b w:val="0"/>
              </w:rPr>
              <w:t>Yes</w:t>
            </w:r>
          </w:p>
          <w:p w:rsidR="00021041" w:rsidRPr="00021041" w:rsidRDefault="00021041" w:rsidP="00CB6B55">
            <w:pPr>
              <w:spacing w:line="480" w:lineRule="auto"/>
              <w:ind w:left="720"/>
              <w:rPr>
                <w:rFonts w:ascii="Arial" w:hAnsi="Arial" w:cs="Arial"/>
                <w:b w:val="0"/>
              </w:rPr>
            </w:pPr>
            <w:r w:rsidRPr="00021041">
              <w:rPr>
                <w:rFonts w:ascii="Arial" w:hAnsi="Arial" w:cs="Arial"/>
                <w:b w:val="0"/>
              </w:rPr>
              <w:lastRenderedPageBreak/>
              <w:t>No</w:t>
            </w:r>
          </w:p>
          <w:p w:rsidR="00021041" w:rsidRPr="00021041" w:rsidRDefault="00021041" w:rsidP="00CB6B55">
            <w:pPr>
              <w:spacing w:line="480" w:lineRule="auto"/>
              <w:ind w:left="720"/>
              <w:rPr>
                <w:rFonts w:ascii="Arial" w:hAnsi="Arial" w:cs="Arial"/>
                <w:b w:val="0"/>
              </w:rPr>
            </w:pPr>
            <w:r w:rsidRPr="00021041">
              <w:rPr>
                <w:rFonts w:ascii="Arial" w:hAnsi="Arial" w:cs="Arial"/>
                <w:b w:val="0"/>
              </w:rPr>
              <w:t>Unknown</w:t>
            </w:r>
          </w:p>
        </w:tc>
        <w:tc>
          <w:tcPr>
            <w:tcW w:w="2358" w:type="dxa"/>
          </w:tcPr>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30 (78.9)</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lastRenderedPageBreak/>
              <w:t>1 (2.6)</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7 (18.4)</w:t>
            </w:r>
          </w:p>
        </w:tc>
      </w:tr>
      <w:tr w:rsidR="00021041" w:rsidRPr="00021041" w:rsidTr="00021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021041" w:rsidRPr="00021041" w:rsidRDefault="00021041" w:rsidP="00CB6B55">
            <w:pPr>
              <w:spacing w:line="480" w:lineRule="auto"/>
              <w:rPr>
                <w:rFonts w:ascii="Arial" w:hAnsi="Arial" w:cs="Arial"/>
                <w:b w:val="0"/>
              </w:rPr>
            </w:pPr>
            <w:r w:rsidRPr="00021041">
              <w:rPr>
                <w:rFonts w:ascii="Arial" w:hAnsi="Arial" w:cs="Arial"/>
                <w:b w:val="0"/>
              </w:rPr>
              <w:lastRenderedPageBreak/>
              <w:t>Sewage system*</w:t>
            </w:r>
          </w:p>
          <w:p w:rsidR="00021041" w:rsidRPr="00021041" w:rsidRDefault="00021041" w:rsidP="00CB6B55">
            <w:pPr>
              <w:spacing w:line="480" w:lineRule="auto"/>
              <w:ind w:left="720"/>
              <w:rPr>
                <w:rFonts w:ascii="Arial" w:hAnsi="Arial" w:cs="Arial"/>
                <w:b w:val="0"/>
              </w:rPr>
            </w:pPr>
            <w:r w:rsidRPr="00021041">
              <w:rPr>
                <w:rFonts w:ascii="Arial" w:hAnsi="Arial" w:cs="Arial"/>
                <w:b w:val="0"/>
              </w:rPr>
              <w:t>Yes</w:t>
            </w:r>
          </w:p>
          <w:p w:rsidR="00021041" w:rsidRPr="00021041" w:rsidRDefault="00021041" w:rsidP="00CB6B55">
            <w:pPr>
              <w:spacing w:line="480" w:lineRule="auto"/>
              <w:ind w:left="720"/>
              <w:rPr>
                <w:rFonts w:ascii="Arial" w:hAnsi="Arial" w:cs="Arial"/>
                <w:b w:val="0"/>
              </w:rPr>
            </w:pPr>
            <w:r w:rsidRPr="00021041">
              <w:rPr>
                <w:rFonts w:ascii="Arial" w:hAnsi="Arial" w:cs="Arial"/>
                <w:b w:val="0"/>
              </w:rPr>
              <w:t>No</w:t>
            </w:r>
          </w:p>
          <w:p w:rsidR="00021041" w:rsidRPr="00021041" w:rsidRDefault="00021041" w:rsidP="00CB6B55">
            <w:pPr>
              <w:spacing w:line="480" w:lineRule="auto"/>
              <w:ind w:left="720"/>
              <w:rPr>
                <w:rFonts w:ascii="Arial" w:hAnsi="Arial" w:cs="Arial"/>
                <w:b w:val="0"/>
              </w:rPr>
            </w:pPr>
            <w:r w:rsidRPr="00021041">
              <w:rPr>
                <w:rFonts w:ascii="Arial" w:hAnsi="Arial" w:cs="Arial"/>
                <w:b w:val="0"/>
              </w:rPr>
              <w:t>Unknown</w:t>
            </w:r>
          </w:p>
        </w:tc>
        <w:tc>
          <w:tcPr>
            <w:tcW w:w="2358" w:type="dxa"/>
          </w:tcPr>
          <w:p w:rsidR="00021041" w:rsidRPr="00021041" w:rsidRDefault="00021041" w:rsidP="00CB6B5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021041" w:rsidRPr="00021041" w:rsidRDefault="00021041" w:rsidP="00CB6B5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21041">
              <w:rPr>
                <w:rFonts w:ascii="Arial" w:hAnsi="Arial" w:cs="Arial"/>
              </w:rPr>
              <w:t>28 (73.7)</w:t>
            </w:r>
          </w:p>
          <w:p w:rsidR="00021041" w:rsidRPr="00021041" w:rsidRDefault="00021041" w:rsidP="00CB6B5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21041">
              <w:rPr>
                <w:rFonts w:ascii="Arial" w:hAnsi="Arial" w:cs="Arial"/>
              </w:rPr>
              <w:t>3 (7.9)</w:t>
            </w:r>
          </w:p>
          <w:p w:rsidR="00021041" w:rsidRPr="00021041" w:rsidRDefault="00021041" w:rsidP="00CB6B55">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021041">
              <w:rPr>
                <w:rFonts w:ascii="Arial" w:hAnsi="Arial" w:cs="Arial"/>
              </w:rPr>
              <w:t>7 (18.4)</w:t>
            </w:r>
          </w:p>
        </w:tc>
      </w:tr>
      <w:tr w:rsidR="00021041" w:rsidRPr="00021041" w:rsidTr="00021041">
        <w:tc>
          <w:tcPr>
            <w:cnfStyle w:val="001000000000" w:firstRow="0" w:lastRow="0" w:firstColumn="1" w:lastColumn="0" w:oddVBand="0" w:evenVBand="0" w:oddHBand="0" w:evenHBand="0" w:firstRowFirstColumn="0" w:firstRowLastColumn="0" w:lastRowFirstColumn="0" w:lastRowLastColumn="0"/>
            <w:tcW w:w="6656" w:type="dxa"/>
          </w:tcPr>
          <w:p w:rsidR="00021041" w:rsidRPr="00021041" w:rsidRDefault="00021041" w:rsidP="00CB6B55">
            <w:pPr>
              <w:spacing w:line="480" w:lineRule="auto"/>
              <w:rPr>
                <w:rFonts w:ascii="Arial" w:hAnsi="Arial" w:cs="Arial"/>
                <w:b w:val="0"/>
                <w:vertAlign w:val="superscript"/>
              </w:rPr>
            </w:pPr>
            <w:r w:rsidRPr="00021041">
              <w:rPr>
                <w:rFonts w:ascii="Arial" w:hAnsi="Arial" w:cs="Arial"/>
                <w:b w:val="0"/>
              </w:rPr>
              <w:t>Occupation of either parents*</w:t>
            </w:r>
            <w:r w:rsidRPr="00021041">
              <w:rPr>
                <w:rFonts w:ascii="Arial" w:hAnsi="Arial" w:cs="Arial"/>
                <w:b w:val="0"/>
                <w:vertAlign w:val="superscript"/>
              </w:rPr>
              <w:t>1</w:t>
            </w:r>
          </w:p>
          <w:p w:rsidR="00021041" w:rsidRPr="00021041" w:rsidRDefault="00021041" w:rsidP="00CB6B55">
            <w:pPr>
              <w:spacing w:line="480" w:lineRule="auto"/>
              <w:ind w:left="720"/>
              <w:rPr>
                <w:rFonts w:ascii="Arial" w:hAnsi="Arial" w:cs="Arial"/>
                <w:b w:val="0"/>
              </w:rPr>
            </w:pPr>
            <w:r w:rsidRPr="00021041">
              <w:rPr>
                <w:rFonts w:ascii="Arial" w:hAnsi="Arial" w:cs="Arial"/>
                <w:b w:val="0"/>
              </w:rPr>
              <w:t>Graduate jobs</w:t>
            </w:r>
          </w:p>
          <w:p w:rsidR="00021041" w:rsidRPr="00021041" w:rsidRDefault="00021041" w:rsidP="00CB6B55">
            <w:pPr>
              <w:spacing w:line="480" w:lineRule="auto"/>
              <w:ind w:left="720"/>
              <w:rPr>
                <w:rFonts w:ascii="Arial" w:hAnsi="Arial" w:cs="Arial"/>
                <w:b w:val="0"/>
              </w:rPr>
            </w:pPr>
            <w:r w:rsidRPr="00021041">
              <w:rPr>
                <w:rFonts w:ascii="Arial" w:hAnsi="Arial" w:cs="Arial"/>
                <w:b w:val="0"/>
              </w:rPr>
              <w:t>Non-graduate jobs</w:t>
            </w:r>
          </w:p>
          <w:p w:rsidR="00021041" w:rsidRPr="00021041" w:rsidRDefault="00021041" w:rsidP="00CB6B55">
            <w:pPr>
              <w:spacing w:line="480" w:lineRule="auto"/>
              <w:ind w:left="1440"/>
              <w:rPr>
                <w:rFonts w:ascii="Arial" w:hAnsi="Arial" w:cs="Arial"/>
                <w:b w:val="0"/>
              </w:rPr>
            </w:pPr>
            <w:r w:rsidRPr="00021041">
              <w:rPr>
                <w:rFonts w:ascii="Arial" w:hAnsi="Arial" w:cs="Arial"/>
                <w:b w:val="0"/>
              </w:rPr>
              <w:t>Secondary school requirement</w:t>
            </w:r>
          </w:p>
          <w:p w:rsidR="00021041" w:rsidRPr="00021041" w:rsidRDefault="00021041" w:rsidP="00CB6B55">
            <w:pPr>
              <w:spacing w:line="480" w:lineRule="auto"/>
              <w:ind w:left="1440"/>
              <w:rPr>
                <w:rFonts w:ascii="Arial" w:hAnsi="Arial" w:cs="Arial"/>
                <w:b w:val="0"/>
              </w:rPr>
            </w:pPr>
            <w:r w:rsidRPr="00021041">
              <w:rPr>
                <w:rFonts w:ascii="Arial" w:hAnsi="Arial" w:cs="Arial"/>
                <w:b w:val="0"/>
              </w:rPr>
              <w:t>Primary school requirement</w:t>
            </w:r>
          </w:p>
          <w:p w:rsidR="00021041" w:rsidRPr="00021041" w:rsidRDefault="00021041" w:rsidP="00CB6B55">
            <w:pPr>
              <w:spacing w:line="480" w:lineRule="auto"/>
              <w:ind w:left="1440"/>
              <w:rPr>
                <w:rFonts w:ascii="Arial" w:hAnsi="Arial" w:cs="Arial"/>
                <w:b w:val="0"/>
              </w:rPr>
            </w:pPr>
            <w:r w:rsidRPr="00021041">
              <w:rPr>
                <w:rFonts w:ascii="Arial" w:hAnsi="Arial" w:cs="Arial"/>
                <w:b w:val="0"/>
              </w:rPr>
              <w:t>Housewife</w:t>
            </w:r>
          </w:p>
          <w:p w:rsidR="00021041" w:rsidRPr="00021041" w:rsidRDefault="00021041" w:rsidP="00CB6B55">
            <w:pPr>
              <w:spacing w:line="480" w:lineRule="auto"/>
              <w:ind w:left="1440"/>
              <w:rPr>
                <w:rFonts w:ascii="Arial" w:hAnsi="Arial" w:cs="Arial"/>
                <w:b w:val="0"/>
              </w:rPr>
            </w:pPr>
            <w:r w:rsidRPr="00021041">
              <w:rPr>
                <w:rFonts w:ascii="Arial" w:hAnsi="Arial" w:cs="Arial"/>
                <w:b w:val="0"/>
              </w:rPr>
              <w:t>Unemployed</w:t>
            </w:r>
          </w:p>
          <w:p w:rsidR="00021041" w:rsidRPr="00021041" w:rsidRDefault="00021041" w:rsidP="00CB6B55">
            <w:pPr>
              <w:spacing w:line="480" w:lineRule="auto"/>
              <w:ind w:left="1440"/>
              <w:rPr>
                <w:rFonts w:ascii="Arial" w:hAnsi="Arial" w:cs="Arial"/>
                <w:b w:val="0"/>
              </w:rPr>
            </w:pPr>
            <w:r w:rsidRPr="00021041">
              <w:rPr>
                <w:rFonts w:ascii="Arial" w:hAnsi="Arial" w:cs="Arial"/>
                <w:b w:val="0"/>
              </w:rPr>
              <w:t>Passed away</w:t>
            </w:r>
          </w:p>
          <w:p w:rsidR="00021041" w:rsidRPr="00021041" w:rsidRDefault="00021041" w:rsidP="00CB6B55">
            <w:pPr>
              <w:spacing w:line="480" w:lineRule="auto"/>
              <w:ind w:left="1440"/>
              <w:rPr>
                <w:rFonts w:ascii="Arial" w:hAnsi="Arial" w:cs="Arial"/>
                <w:b w:val="0"/>
              </w:rPr>
            </w:pPr>
            <w:r w:rsidRPr="00021041">
              <w:rPr>
                <w:rFonts w:ascii="Arial" w:hAnsi="Arial" w:cs="Arial"/>
                <w:b w:val="0"/>
              </w:rPr>
              <w:t>Unknown</w:t>
            </w:r>
          </w:p>
        </w:tc>
        <w:tc>
          <w:tcPr>
            <w:tcW w:w="2358" w:type="dxa"/>
          </w:tcPr>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3 (7.9)</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15 (39.5)</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9 (23.7)</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1 (2.6)</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0 (0.0)</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3 (7.9)</w:t>
            </w:r>
          </w:p>
          <w:p w:rsidR="00021041" w:rsidRPr="00021041" w:rsidRDefault="00021041" w:rsidP="00CB6B55">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21041">
              <w:rPr>
                <w:rFonts w:ascii="Arial" w:hAnsi="Arial" w:cs="Arial"/>
              </w:rPr>
              <w:t>7 (18.4)</w:t>
            </w:r>
          </w:p>
        </w:tc>
      </w:tr>
    </w:tbl>
    <w:p w:rsidR="00021041" w:rsidRPr="00CC0E1B" w:rsidRDefault="00021041" w:rsidP="00CB6B55">
      <w:pPr>
        <w:spacing w:line="480" w:lineRule="auto"/>
        <w:rPr>
          <w:rFonts w:ascii="Arial" w:hAnsi="Arial" w:cs="Arial"/>
          <w:sz w:val="18"/>
          <w:szCs w:val="18"/>
          <w:vertAlign w:val="superscript"/>
        </w:rPr>
      </w:pPr>
      <w:r w:rsidRPr="00CC0E1B">
        <w:rPr>
          <w:rFonts w:ascii="Arial" w:hAnsi="Arial" w:cs="Arial"/>
          <w:sz w:val="18"/>
          <w:szCs w:val="18"/>
          <w:vertAlign w:val="superscript"/>
        </w:rPr>
        <w:t>*n=38</w:t>
      </w:r>
    </w:p>
    <w:p w:rsidR="00021041" w:rsidRPr="00CC0E1B" w:rsidRDefault="00021041" w:rsidP="00CB6B55">
      <w:pPr>
        <w:spacing w:line="480" w:lineRule="auto"/>
        <w:rPr>
          <w:rFonts w:ascii="Arial" w:hAnsi="Arial" w:cs="Arial"/>
          <w:sz w:val="18"/>
          <w:szCs w:val="18"/>
          <w:vertAlign w:val="superscript"/>
        </w:rPr>
      </w:pPr>
      <w:r w:rsidRPr="00CC0E1B">
        <w:rPr>
          <w:rFonts w:ascii="Arial" w:hAnsi="Arial" w:cs="Arial"/>
          <w:sz w:val="18"/>
          <w:szCs w:val="18"/>
          <w:vertAlign w:val="superscript"/>
        </w:rPr>
        <w:t xml:space="preserve">1. Human Resources Policy Division. Malaysian Standard Classification of Occupations 2020. Putrajaya: Ministry of Human Resources 2020. Available from: </w:t>
      </w:r>
      <w:hyperlink r:id="rId14" w:history="1">
        <w:r w:rsidRPr="00CC0E1B">
          <w:rPr>
            <w:rStyle w:val="Hyperlink"/>
            <w:rFonts w:ascii="Arial" w:hAnsi="Arial" w:cs="Arial"/>
            <w:sz w:val="18"/>
            <w:szCs w:val="18"/>
            <w:vertAlign w:val="superscript"/>
          </w:rPr>
          <w:t>https://jtksm.mohr.gov.my/ms/penerbitan/garis-panduan</w:t>
        </w:r>
      </w:hyperlink>
    </w:p>
    <w:p w:rsidR="00251599" w:rsidRDefault="00251599" w:rsidP="00251599">
      <w:pPr>
        <w:spacing w:line="360" w:lineRule="auto"/>
        <w:rPr>
          <w:rFonts w:ascii="Arial" w:hAnsi="Arial" w:cs="Arial"/>
        </w:rPr>
      </w:pPr>
    </w:p>
    <w:p w:rsidR="00251599" w:rsidRPr="00251599" w:rsidRDefault="00251599" w:rsidP="001F68E1">
      <w:pPr>
        <w:rPr>
          <w:rFonts w:ascii="Arial" w:hAnsi="Arial" w:cs="Arial"/>
        </w:rPr>
      </w:pPr>
      <w:r w:rsidRPr="00251599">
        <w:rPr>
          <w:rFonts w:ascii="Arial" w:hAnsi="Arial" w:cs="Arial"/>
        </w:rPr>
        <w:t xml:space="preserve">Investigations done for diagnosis of TB done and extra-pulmonary involvement among these patients are demonstrated in </w:t>
      </w:r>
      <w:r w:rsidRPr="00251599">
        <w:rPr>
          <w:rFonts w:ascii="Arial" w:hAnsi="Arial" w:cs="Arial"/>
          <w:b/>
        </w:rPr>
        <w:t>Table 3</w:t>
      </w:r>
      <w:r w:rsidRPr="00251599">
        <w:rPr>
          <w:rFonts w:ascii="Arial" w:hAnsi="Arial" w:cs="Arial"/>
        </w:rPr>
        <w:t>. From 71 children, only 23 had tuberculin skin test results available, six (8.5%) of them tested positive. CXR was abnormal in 56 (78.9%) children. Acid-fast bacilli (AFB) smear was positive in 25 (35.2%) children and culture for Mycobacterium tuberculosis was positive in 13 (18.3%).</w:t>
      </w:r>
    </w:p>
    <w:p w:rsidR="00251599" w:rsidRPr="00251599" w:rsidRDefault="00251599" w:rsidP="001F68E1">
      <w:pPr>
        <w:rPr>
          <w:rFonts w:ascii="Arial" w:hAnsi="Arial" w:cs="Arial"/>
        </w:rPr>
      </w:pPr>
    </w:p>
    <w:p w:rsidR="00021041" w:rsidRPr="00251599" w:rsidRDefault="00251599" w:rsidP="001F68E1">
      <w:pPr>
        <w:rPr>
          <w:rFonts w:ascii="Arial" w:hAnsi="Arial" w:cs="Arial"/>
        </w:rPr>
      </w:pPr>
      <w:r w:rsidRPr="00251599">
        <w:rPr>
          <w:rFonts w:ascii="Arial" w:hAnsi="Arial" w:cs="Arial"/>
        </w:rPr>
        <w:t>Twenty-three (32.4%) of children had EPTB, with the commonest extra-pulmonary site being the central nervous system (23, 32.4%), and six (8.5%) had disseminated TB.</w:t>
      </w:r>
    </w:p>
    <w:p w:rsidR="00251599" w:rsidRPr="00251599" w:rsidRDefault="00251599" w:rsidP="00251599">
      <w:pPr>
        <w:spacing w:line="360" w:lineRule="auto"/>
        <w:rPr>
          <w:rFonts w:ascii="Arial" w:hAnsi="Arial" w:cs="Arial"/>
          <w:sz w:val="24"/>
          <w:szCs w:val="24"/>
        </w:rPr>
      </w:pPr>
    </w:p>
    <w:p w:rsidR="00251599" w:rsidRPr="00DB2903" w:rsidRDefault="00251599" w:rsidP="00251599">
      <w:pPr>
        <w:spacing w:line="480" w:lineRule="auto"/>
        <w:jc w:val="center"/>
        <w:rPr>
          <w:rFonts w:ascii="Arial" w:hAnsi="Arial" w:cs="Arial"/>
          <w:b/>
        </w:rPr>
      </w:pPr>
      <w:r w:rsidRPr="00DB2903">
        <w:rPr>
          <w:rFonts w:ascii="Arial" w:hAnsi="Arial" w:cs="Arial"/>
          <w:b/>
        </w:rPr>
        <w:t>Table 3. Investigations done for diagnosis of TB and extra-pulmonary involvement.</w:t>
      </w:r>
    </w:p>
    <w:tbl>
      <w:tblPr>
        <w:tblStyle w:val="PlainTable2"/>
        <w:tblW w:w="0" w:type="auto"/>
        <w:tblLook w:val="04A0" w:firstRow="1" w:lastRow="0" w:firstColumn="1" w:lastColumn="0" w:noHBand="0" w:noVBand="1"/>
      </w:tblPr>
      <w:tblGrid>
        <w:gridCol w:w="6656"/>
        <w:gridCol w:w="2358"/>
      </w:tblGrid>
      <w:tr w:rsidR="00251599" w:rsidRPr="00251599" w:rsidTr="002515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251599" w:rsidRPr="00251599" w:rsidRDefault="00251599" w:rsidP="00251599">
            <w:pPr>
              <w:spacing w:line="480" w:lineRule="auto"/>
              <w:rPr>
                <w:rFonts w:ascii="Arial" w:hAnsi="Arial" w:cs="Arial"/>
              </w:rPr>
            </w:pPr>
            <w:r w:rsidRPr="00251599">
              <w:rPr>
                <w:rFonts w:ascii="Arial" w:hAnsi="Arial" w:cs="Arial"/>
              </w:rPr>
              <w:t>Variables</w:t>
            </w:r>
          </w:p>
        </w:tc>
        <w:tc>
          <w:tcPr>
            <w:tcW w:w="2358" w:type="dxa"/>
          </w:tcPr>
          <w:p w:rsidR="00251599" w:rsidRPr="00251599" w:rsidRDefault="00251599" w:rsidP="00251599">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Frequency, n (%)</w:t>
            </w:r>
          </w:p>
        </w:tc>
      </w:tr>
      <w:tr w:rsidR="00251599" w:rsidRPr="00251599" w:rsidTr="002515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251599" w:rsidRPr="00251599" w:rsidRDefault="00251599" w:rsidP="00251599">
            <w:pPr>
              <w:spacing w:line="480" w:lineRule="auto"/>
              <w:rPr>
                <w:rFonts w:ascii="Arial" w:hAnsi="Arial" w:cs="Arial"/>
                <w:b w:val="0"/>
              </w:rPr>
            </w:pPr>
            <w:r w:rsidRPr="00251599">
              <w:rPr>
                <w:rFonts w:ascii="Arial" w:hAnsi="Arial" w:cs="Arial"/>
                <w:b w:val="0"/>
              </w:rPr>
              <w:t>ESR*</w:t>
            </w:r>
          </w:p>
          <w:p w:rsidR="00251599" w:rsidRPr="00251599" w:rsidRDefault="00251599" w:rsidP="00251599">
            <w:pPr>
              <w:spacing w:line="480" w:lineRule="auto"/>
              <w:ind w:left="720"/>
              <w:rPr>
                <w:rFonts w:ascii="Arial" w:hAnsi="Arial" w:cs="Arial"/>
                <w:b w:val="0"/>
              </w:rPr>
            </w:pPr>
            <w:r w:rsidRPr="00251599">
              <w:rPr>
                <w:rFonts w:ascii="Arial" w:hAnsi="Arial" w:cs="Arial"/>
                <w:b w:val="0"/>
              </w:rPr>
              <w:t>Less than 10mm/hr</w:t>
            </w:r>
          </w:p>
          <w:p w:rsidR="00251599" w:rsidRPr="00251599" w:rsidRDefault="00251599" w:rsidP="00251599">
            <w:pPr>
              <w:spacing w:line="480" w:lineRule="auto"/>
              <w:ind w:left="720"/>
              <w:rPr>
                <w:rFonts w:ascii="Arial" w:hAnsi="Arial" w:cs="Arial"/>
                <w:b w:val="0"/>
              </w:rPr>
            </w:pPr>
            <w:r w:rsidRPr="00251599">
              <w:rPr>
                <w:rFonts w:ascii="Arial" w:hAnsi="Arial" w:cs="Arial"/>
                <w:b w:val="0"/>
              </w:rPr>
              <w:t>More than 10mm/hr</w:t>
            </w:r>
          </w:p>
          <w:p w:rsidR="00251599" w:rsidRPr="00251599" w:rsidRDefault="00251599" w:rsidP="00251599">
            <w:pPr>
              <w:spacing w:line="480" w:lineRule="auto"/>
              <w:ind w:left="720"/>
              <w:rPr>
                <w:rFonts w:ascii="Arial" w:hAnsi="Arial" w:cs="Arial"/>
                <w:b w:val="0"/>
              </w:rPr>
            </w:pPr>
            <w:r w:rsidRPr="00251599">
              <w:rPr>
                <w:rFonts w:ascii="Arial" w:hAnsi="Arial" w:cs="Arial"/>
                <w:b w:val="0"/>
              </w:rPr>
              <w:t>Unknown</w:t>
            </w:r>
          </w:p>
        </w:tc>
        <w:tc>
          <w:tcPr>
            <w:tcW w:w="2358" w:type="dxa"/>
          </w:tcPr>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2 (5.3)</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22 (57.9)</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14 (36.8)</w:t>
            </w:r>
          </w:p>
        </w:tc>
      </w:tr>
      <w:tr w:rsidR="00251599" w:rsidRPr="00251599" w:rsidTr="00251599">
        <w:tc>
          <w:tcPr>
            <w:cnfStyle w:val="001000000000" w:firstRow="0" w:lastRow="0" w:firstColumn="1" w:lastColumn="0" w:oddVBand="0" w:evenVBand="0" w:oddHBand="0" w:evenHBand="0" w:firstRowFirstColumn="0" w:firstRowLastColumn="0" w:lastRowFirstColumn="0" w:lastRowLastColumn="0"/>
            <w:tcW w:w="6656" w:type="dxa"/>
          </w:tcPr>
          <w:p w:rsidR="00251599" w:rsidRPr="00251599" w:rsidRDefault="00251599" w:rsidP="00251599">
            <w:pPr>
              <w:spacing w:line="480" w:lineRule="auto"/>
              <w:rPr>
                <w:rFonts w:ascii="Arial" w:hAnsi="Arial" w:cs="Arial"/>
                <w:b w:val="0"/>
              </w:rPr>
            </w:pPr>
            <w:r w:rsidRPr="00251599">
              <w:rPr>
                <w:rFonts w:ascii="Arial" w:hAnsi="Arial" w:cs="Arial"/>
                <w:b w:val="0"/>
              </w:rPr>
              <w:t>TST</w:t>
            </w:r>
          </w:p>
          <w:p w:rsidR="00251599" w:rsidRPr="00251599" w:rsidRDefault="00251599" w:rsidP="00251599">
            <w:pPr>
              <w:spacing w:line="480" w:lineRule="auto"/>
              <w:ind w:left="720"/>
              <w:rPr>
                <w:rFonts w:ascii="Arial" w:hAnsi="Arial" w:cs="Arial"/>
                <w:b w:val="0"/>
              </w:rPr>
            </w:pPr>
            <w:r w:rsidRPr="00251599">
              <w:rPr>
                <w:rFonts w:ascii="Arial" w:hAnsi="Arial" w:cs="Arial"/>
                <w:b w:val="0"/>
              </w:rPr>
              <w:lastRenderedPageBreak/>
              <w:t>Positive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Negative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Unknown</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Not done</w:t>
            </w:r>
          </w:p>
        </w:tc>
        <w:tc>
          <w:tcPr>
            <w:tcW w:w="2358" w:type="dxa"/>
          </w:tcPr>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lastRenderedPageBreak/>
              <w:t>6 (8.5)</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17 (23.9)</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3 (4.2)</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45 (63.4)</w:t>
            </w:r>
          </w:p>
        </w:tc>
      </w:tr>
      <w:tr w:rsidR="00251599" w:rsidRPr="00251599" w:rsidTr="002515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251599" w:rsidRPr="00251599" w:rsidRDefault="00251599" w:rsidP="00251599">
            <w:pPr>
              <w:spacing w:line="480" w:lineRule="auto"/>
              <w:rPr>
                <w:rFonts w:ascii="Arial" w:hAnsi="Arial" w:cs="Arial"/>
                <w:b w:val="0"/>
              </w:rPr>
            </w:pPr>
            <w:r w:rsidRPr="00251599">
              <w:rPr>
                <w:rFonts w:ascii="Arial" w:hAnsi="Arial" w:cs="Arial"/>
                <w:b w:val="0"/>
              </w:rPr>
              <w:lastRenderedPageBreak/>
              <w:t>CXR</w:t>
            </w:r>
          </w:p>
          <w:p w:rsidR="00251599" w:rsidRPr="00251599" w:rsidRDefault="00251599" w:rsidP="00251599">
            <w:pPr>
              <w:spacing w:line="480" w:lineRule="auto"/>
              <w:ind w:left="720"/>
              <w:rPr>
                <w:rFonts w:ascii="Arial" w:hAnsi="Arial" w:cs="Arial"/>
                <w:b w:val="0"/>
              </w:rPr>
            </w:pPr>
            <w:r w:rsidRPr="00251599">
              <w:rPr>
                <w:rFonts w:ascii="Arial" w:hAnsi="Arial" w:cs="Arial"/>
                <w:b w:val="0"/>
              </w:rPr>
              <w:t>Abnormal</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Normal</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Not done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Unknown</w:t>
            </w:r>
          </w:p>
        </w:tc>
        <w:tc>
          <w:tcPr>
            <w:tcW w:w="2358" w:type="dxa"/>
          </w:tcPr>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56 (78.9)</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4 (5.6)</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4 (5.6)</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7 (9.9)</w:t>
            </w:r>
          </w:p>
        </w:tc>
      </w:tr>
      <w:tr w:rsidR="00251599" w:rsidRPr="00251599" w:rsidTr="00251599">
        <w:tc>
          <w:tcPr>
            <w:cnfStyle w:val="001000000000" w:firstRow="0" w:lastRow="0" w:firstColumn="1" w:lastColumn="0" w:oddVBand="0" w:evenVBand="0" w:oddHBand="0" w:evenHBand="0" w:firstRowFirstColumn="0" w:firstRowLastColumn="0" w:lastRowFirstColumn="0" w:lastRowLastColumn="0"/>
            <w:tcW w:w="6656" w:type="dxa"/>
          </w:tcPr>
          <w:p w:rsidR="00251599" w:rsidRPr="00251599" w:rsidRDefault="00251599" w:rsidP="00251599">
            <w:pPr>
              <w:spacing w:line="480" w:lineRule="auto"/>
              <w:rPr>
                <w:rFonts w:ascii="Arial" w:hAnsi="Arial" w:cs="Arial"/>
                <w:b w:val="0"/>
              </w:rPr>
            </w:pPr>
            <w:r w:rsidRPr="00251599">
              <w:rPr>
                <w:rFonts w:ascii="Arial" w:hAnsi="Arial" w:cs="Arial"/>
                <w:b w:val="0"/>
              </w:rPr>
              <w:t>AFB direct smear</w:t>
            </w:r>
          </w:p>
          <w:p w:rsidR="00251599" w:rsidRPr="00251599" w:rsidRDefault="00251599" w:rsidP="00251599">
            <w:pPr>
              <w:spacing w:line="480" w:lineRule="auto"/>
              <w:ind w:left="720"/>
              <w:rPr>
                <w:rFonts w:ascii="Arial" w:hAnsi="Arial" w:cs="Arial"/>
                <w:b w:val="0"/>
              </w:rPr>
            </w:pPr>
            <w:r w:rsidRPr="00251599">
              <w:rPr>
                <w:rFonts w:ascii="Arial" w:hAnsi="Arial" w:cs="Arial"/>
                <w:b w:val="0"/>
              </w:rPr>
              <w:t>Positive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Negative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Not done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Unknown</w:t>
            </w:r>
          </w:p>
        </w:tc>
        <w:tc>
          <w:tcPr>
            <w:tcW w:w="2358" w:type="dxa"/>
          </w:tcPr>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25 (35.2)</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39 (54.9)</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0 (0.0)</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7 (9.9)</w:t>
            </w:r>
          </w:p>
        </w:tc>
      </w:tr>
      <w:tr w:rsidR="00251599" w:rsidRPr="00251599" w:rsidTr="002515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251599" w:rsidRPr="00251599" w:rsidRDefault="00251599" w:rsidP="00251599">
            <w:pPr>
              <w:spacing w:line="480" w:lineRule="auto"/>
              <w:rPr>
                <w:rFonts w:ascii="Arial" w:hAnsi="Arial" w:cs="Arial"/>
                <w:b w:val="0"/>
              </w:rPr>
            </w:pPr>
            <w:r w:rsidRPr="00251599">
              <w:rPr>
                <w:rFonts w:ascii="Arial" w:hAnsi="Arial" w:cs="Arial"/>
                <w:b w:val="0"/>
              </w:rPr>
              <w:t>Culture for Mycobacterium tuberculosis</w:t>
            </w:r>
          </w:p>
          <w:p w:rsidR="00251599" w:rsidRPr="00251599" w:rsidRDefault="00251599" w:rsidP="00251599">
            <w:pPr>
              <w:spacing w:line="480" w:lineRule="auto"/>
              <w:ind w:left="720"/>
              <w:rPr>
                <w:rFonts w:ascii="Arial" w:hAnsi="Arial" w:cs="Arial"/>
                <w:b w:val="0"/>
              </w:rPr>
            </w:pPr>
            <w:r w:rsidRPr="00251599">
              <w:rPr>
                <w:rFonts w:ascii="Arial" w:hAnsi="Arial" w:cs="Arial"/>
                <w:b w:val="0"/>
              </w:rPr>
              <w:t>Positive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Negative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Not done</w:t>
            </w:r>
          </w:p>
          <w:p w:rsidR="00251599" w:rsidRPr="00251599" w:rsidRDefault="00251599" w:rsidP="00251599">
            <w:pPr>
              <w:spacing w:line="480" w:lineRule="auto"/>
              <w:ind w:left="720"/>
              <w:rPr>
                <w:rFonts w:ascii="Arial" w:hAnsi="Arial" w:cs="Arial"/>
                <w:b w:val="0"/>
              </w:rPr>
            </w:pPr>
            <w:r w:rsidRPr="00251599">
              <w:rPr>
                <w:rFonts w:ascii="Arial" w:hAnsi="Arial" w:cs="Arial"/>
                <w:b w:val="0"/>
              </w:rPr>
              <w:t>Unknown</w:t>
            </w:r>
          </w:p>
        </w:tc>
        <w:tc>
          <w:tcPr>
            <w:tcW w:w="2358" w:type="dxa"/>
          </w:tcPr>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13 (18.3)</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28 (39.4)</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9 (12.7)</w:t>
            </w:r>
          </w:p>
          <w:p w:rsidR="00251599" w:rsidRPr="00251599" w:rsidRDefault="00251599" w:rsidP="00251599">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1599">
              <w:rPr>
                <w:rFonts w:ascii="Arial" w:hAnsi="Arial" w:cs="Arial"/>
              </w:rPr>
              <w:t>21 (29.6)</w:t>
            </w:r>
          </w:p>
        </w:tc>
      </w:tr>
      <w:tr w:rsidR="00251599" w:rsidRPr="00251599" w:rsidTr="00251599">
        <w:tc>
          <w:tcPr>
            <w:cnfStyle w:val="001000000000" w:firstRow="0" w:lastRow="0" w:firstColumn="1" w:lastColumn="0" w:oddVBand="0" w:evenVBand="0" w:oddHBand="0" w:evenHBand="0" w:firstRowFirstColumn="0" w:firstRowLastColumn="0" w:lastRowFirstColumn="0" w:lastRowLastColumn="0"/>
            <w:tcW w:w="6656" w:type="dxa"/>
          </w:tcPr>
          <w:p w:rsidR="00251599" w:rsidRPr="00251599" w:rsidRDefault="00251599" w:rsidP="00251599">
            <w:pPr>
              <w:spacing w:line="480" w:lineRule="auto"/>
              <w:rPr>
                <w:rFonts w:ascii="Arial" w:hAnsi="Arial" w:cs="Arial"/>
                <w:b w:val="0"/>
              </w:rPr>
            </w:pPr>
            <w:r w:rsidRPr="00251599">
              <w:rPr>
                <w:rFonts w:ascii="Arial" w:hAnsi="Arial" w:cs="Arial"/>
                <w:b w:val="0"/>
              </w:rPr>
              <w:t>Extra-pulmonary organ involvement</w:t>
            </w:r>
          </w:p>
          <w:p w:rsidR="00251599" w:rsidRPr="00251599" w:rsidRDefault="00251599" w:rsidP="00251599">
            <w:pPr>
              <w:spacing w:line="480" w:lineRule="auto"/>
              <w:ind w:left="720"/>
              <w:rPr>
                <w:rFonts w:ascii="Arial" w:hAnsi="Arial" w:cs="Arial"/>
                <w:b w:val="0"/>
              </w:rPr>
            </w:pPr>
            <w:r w:rsidRPr="00251599">
              <w:rPr>
                <w:rFonts w:ascii="Arial" w:hAnsi="Arial" w:cs="Arial"/>
                <w:b w:val="0"/>
              </w:rPr>
              <w:t>Central nervous system</w:t>
            </w:r>
          </w:p>
          <w:p w:rsidR="00251599" w:rsidRPr="00251599" w:rsidRDefault="00251599" w:rsidP="00251599">
            <w:pPr>
              <w:spacing w:line="480" w:lineRule="auto"/>
              <w:ind w:left="720"/>
              <w:rPr>
                <w:rFonts w:ascii="Arial" w:hAnsi="Arial" w:cs="Arial"/>
                <w:b w:val="0"/>
              </w:rPr>
            </w:pPr>
            <w:r w:rsidRPr="00251599">
              <w:rPr>
                <w:rFonts w:ascii="Arial" w:hAnsi="Arial" w:cs="Arial"/>
                <w:b w:val="0"/>
              </w:rPr>
              <w:t>Disseminated</w:t>
            </w:r>
          </w:p>
          <w:p w:rsidR="00251599" w:rsidRPr="00251599" w:rsidRDefault="00251599" w:rsidP="00251599">
            <w:pPr>
              <w:spacing w:line="480" w:lineRule="auto"/>
              <w:ind w:left="720"/>
              <w:rPr>
                <w:rFonts w:ascii="Arial" w:hAnsi="Arial" w:cs="Arial"/>
                <w:b w:val="0"/>
              </w:rPr>
            </w:pPr>
            <w:r w:rsidRPr="00251599">
              <w:rPr>
                <w:rFonts w:ascii="Arial" w:hAnsi="Arial" w:cs="Arial"/>
                <w:b w:val="0"/>
              </w:rPr>
              <w:t>Abdomen</w:t>
            </w:r>
          </w:p>
          <w:p w:rsidR="00251599" w:rsidRPr="00251599" w:rsidRDefault="00251599" w:rsidP="00251599">
            <w:pPr>
              <w:spacing w:line="480" w:lineRule="auto"/>
              <w:ind w:left="720"/>
              <w:rPr>
                <w:rFonts w:ascii="Arial" w:hAnsi="Arial" w:cs="Arial"/>
                <w:b w:val="0"/>
              </w:rPr>
            </w:pPr>
            <w:r w:rsidRPr="00251599">
              <w:rPr>
                <w:rFonts w:ascii="Arial" w:hAnsi="Arial" w:cs="Arial"/>
                <w:b w:val="0"/>
              </w:rPr>
              <w:t>Lymph nodes</w:t>
            </w:r>
          </w:p>
          <w:p w:rsidR="00251599" w:rsidRPr="00251599" w:rsidRDefault="00251599" w:rsidP="00251599">
            <w:pPr>
              <w:spacing w:line="480" w:lineRule="auto"/>
              <w:ind w:left="720"/>
              <w:rPr>
                <w:rFonts w:ascii="Arial" w:hAnsi="Arial" w:cs="Arial"/>
                <w:b w:val="0"/>
              </w:rPr>
            </w:pPr>
            <w:r w:rsidRPr="00251599">
              <w:rPr>
                <w:rFonts w:ascii="Arial" w:hAnsi="Arial" w:cs="Arial"/>
                <w:b w:val="0"/>
              </w:rPr>
              <w:t>Osteoarticular</w:t>
            </w:r>
          </w:p>
        </w:tc>
        <w:tc>
          <w:tcPr>
            <w:tcW w:w="2358" w:type="dxa"/>
          </w:tcPr>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23 (32.4)</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6 (8.5)</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3 (4.2)</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2 (2.8)</w:t>
            </w:r>
          </w:p>
          <w:p w:rsidR="00251599" w:rsidRPr="00251599" w:rsidRDefault="00251599" w:rsidP="00251599">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1599">
              <w:rPr>
                <w:rFonts w:ascii="Arial" w:hAnsi="Arial" w:cs="Arial"/>
              </w:rPr>
              <w:t>2 (2.8)</w:t>
            </w:r>
          </w:p>
        </w:tc>
      </w:tr>
    </w:tbl>
    <w:p w:rsidR="00251599" w:rsidRPr="00CC0E1B" w:rsidRDefault="00251599" w:rsidP="00251599">
      <w:pPr>
        <w:spacing w:line="480" w:lineRule="auto"/>
        <w:rPr>
          <w:rFonts w:ascii="Arial" w:hAnsi="Arial" w:cs="Arial"/>
          <w:sz w:val="18"/>
          <w:szCs w:val="18"/>
          <w:vertAlign w:val="superscript"/>
        </w:rPr>
      </w:pPr>
      <w:r w:rsidRPr="00CC0E1B">
        <w:rPr>
          <w:rFonts w:ascii="Arial" w:hAnsi="Arial" w:cs="Arial"/>
          <w:sz w:val="18"/>
          <w:szCs w:val="18"/>
          <w:vertAlign w:val="superscript"/>
        </w:rPr>
        <w:t>*n = 38</w:t>
      </w:r>
    </w:p>
    <w:p w:rsidR="00251599" w:rsidRDefault="00251599" w:rsidP="00251599">
      <w:pPr>
        <w:spacing w:line="480" w:lineRule="auto"/>
        <w:rPr>
          <w:rFonts w:ascii="Arial" w:hAnsi="Arial" w:cs="Arial"/>
          <w:sz w:val="18"/>
          <w:szCs w:val="18"/>
          <w:vertAlign w:val="superscript"/>
        </w:rPr>
      </w:pPr>
      <w:r w:rsidRPr="00CC0E1B">
        <w:rPr>
          <w:rFonts w:ascii="Arial" w:hAnsi="Arial" w:cs="Arial"/>
          <w:sz w:val="18"/>
          <w:szCs w:val="18"/>
          <w:vertAlign w:val="superscript"/>
        </w:rPr>
        <w:t>ESR = Erythrocyte sedimentation rate. TST = Tuberculin skin test.</w:t>
      </w:r>
      <w:r w:rsidRPr="00CC0E1B">
        <w:rPr>
          <w:rFonts w:ascii="Arial" w:hAnsi="Arial" w:cs="Arial"/>
          <w:b/>
          <w:sz w:val="18"/>
          <w:szCs w:val="18"/>
          <w:vertAlign w:val="superscript"/>
        </w:rPr>
        <w:t xml:space="preserve"> </w:t>
      </w:r>
      <w:r w:rsidRPr="00CC0E1B">
        <w:rPr>
          <w:rFonts w:ascii="Arial" w:hAnsi="Arial" w:cs="Arial"/>
          <w:sz w:val="18"/>
          <w:szCs w:val="18"/>
          <w:vertAlign w:val="superscript"/>
        </w:rPr>
        <w:t>CXR = Chest X-ray. AFB = Acid-fast bacilli.</w:t>
      </w:r>
    </w:p>
    <w:p w:rsidR="005D1870" w:rsidRPr="00CC0E1B" w:rsidRDefault="005D1870" w:rsidP="00251599">
      <w:pPr>
        <w:spacing w:line="480" w:lineRule="auto"/>
        <w:rPr>
          <w:rFonts w:ascii="Arial" w:hAnsi="Arial" w:cs="Arial"/>
          <w:sz w:val="18"/>
          <w:szCs w:val="18"/>
          <w:vertAlign w:val="superscript"/>
        </w:rPr>
      </w:pPr>
    </w:p>
    <w:p w:rsidR="00021041" w:rsidRDefault="00DB2903" w:rsidP="00441B6F">
      <w:pPr>
        <w:pStyle w:val="Body"/>
        <w:spacing w:after="0"/>
        <w:rPr>
          <w:rFonts w:ascii="Arial" w:hAnsi="Arial" w:cs="Arial"/>
        </w:rPr>
      </w:pPr>
      <w:r>
        <w:rPr>
          <w:rFonts w:ascii="Arial" w:hAnsi="Arial" w:cs="Arial"/>
          <w:b/>
        </w:rPr>
        <w:t>Fig.</w:t>
      </w:r>
      <w:r w:rsidRPr="00DB2903">
        <w:rPr>
          <w:rFonts w:ascii="Arial" w:hAnsi="Arial" w:cs="Arial"/>
          <w:b/>
        </w:rPr>
        <w:t xml:space="preserve"> 1</w:t>
      </w:r>
      <w:r w:rsidRPr="00DB2903">
        <w:rPr>
          <w:rFonts w:ascii="Arial" w:hAnsi="Arial" w:cs="Arial"/>
        </w:rPr>
        <w:t xml:space="preserve"> shows the anatomical site of TB disease and AFB smear results according to the children’s age group. For patients 5 years old and above, 21 (46.7%) had smear positive PTB, 13 (28.9%) had smear negative PTB, and 11 (24.4%) had EPTB. For those under 5 years old, only 5 (19.2%) had smear positive PTB, 9 (34.6%) had smear negative PTB, and 12 (46.2%) had EPTB (p = 0.05).</w:t>
      </w:r>
    </w:p>
    <w:p w:rsidR="001E25AB" w:rsidRDefault="001E25AB" w:rsidP="005D1870">
      <w:pPr>
        <w:pStyle w:val="BalloonText"/>
        <w:spacing w:line="480" w:lineRule="auto"/>
        <w:rPr>
          <w:rFonts w:ascii="Arial" w:hAnsi="Arial" w:cs="Arial"/>
          <w:b/>
          <w:sz w:val="20"/>
          <w:szCs w:val="20"/>
        </w:rPr>
      </w:pPr>
    </w:p>
    <w:p w:rsidR="001E25AB" w:rsidRPr="001E25AB" w:rsidRDefault="00DB2903" w:rsidP="001E25AB">
      <w:pPr>
        <w:pStyle w:val="BalloonText"/>
        <w:spacing w:line="480" w:lineRule="auto"/>
        <w:jc w:val="center"/>
        <w:rPr>
          <w:rFonts w:ascii="Arial" w:hAnsi="Arial" w:cs="Arial"/>
          <w:b/>
          <w:sz w:val="20"/>
          <w:szCs w:val="20"/>
        </w:rPr>
      </w:pPr>
      <w:r w:rsidRPr="00DB2903">
        <w:rPr>
          <w:rFonts w:ascii="Arial" w:hAnsi="Arial" w:cs="Arial"/>
          <w:b/>
          <w:noProof/>
          <w:color w:val="E36C0A" w:themeColor="accent6" w:themeShade="BF"/>
          <w:sz w:val="20"/>
          <w:szCs w:val="20"/>
          <w:lang w:val="en-GB" w:eastAsia="en-GB"/>
        </w:rPr>
        <w:drawing>
          <wp:anchor distT="0" distB="0" distL="114300" distR="114300" simplePos="0" relativeHeight="251659264" behindDoc="0" locked="0" layoutInCell="1" allowOverlap="1" wp14:anchorId="2C0B42F9" wp14:editId="47150979">
            <wp:simplePos x="0" y="0"/>
            <wp:positionH relativeFrom="column">
              <wp:posOffset>0</wp:posOffset>
            </wp:positionH>
            <wp:positionV relativeFrom="paragraph">
              <wp:posOffset>142875</wp:posOffset>
            </wp:positionV>
            <wp:extent cx="5486400" cy="3200400"/>
            <wp:effectExtent l="0" t="0" r="0" b="0"/>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DB2903">
        <w:rPr>
          <w:rFonts w:ascii="Arial" w:hAnsi="Arial" w:cs="Arial"/>
          <w:b/>
          <w:sz w:val="20"/>
          <w:szCs w:val="20"/>
        </w:rPr>
        <w:t>Fig. 1.</w:t>
      </w:r>
      <w:r w:rsidRPr="00DB2903">
        <w:rPr>
          <w:rFonts w:ascii="Arial" w:hAnsi="Arial" w:cs="Arial"/>
          <w:b/>
        </w:rPr>
        <w:t xml:space="preserve"> </w:t>
      </w:r>
      <w:r w:rsidRPr="00DB2903">
        <w:rPr>
          <w:rFonts w:ascii="Arial" w:hAnsi="Arial" w:cs="Arial"/>
          <w:b/>
          <w:sz w:val="20"/>
          <w:szCs w:val="20"/>
        </w:rPr>
        <w:t>Anatomical site of TB disease and acid-fast bacilli smear results according to the children’s age group.</w:t>
      </w:r>
    </w:p>
    <w:p w:rsidR="001E25AB" w:rsidRDefault="001E25AB" w:rsidP="001F68E1">
      <w:pPr>
        <w:jc w:val="both"/>
        <w:rPr>
          <w:rFonts w:ascii="Arial" w:hAnsi="Arial" w:cs="Arial"/>
          <w:b/>
        </w:rPr>
      </w:pPr>
    </w:p>
    <w:p w:rsidR="00DB2903" w:rsidRPr="00593AD4" w:rsidRDefault="00DB2903" w:rsidP="001F68E1">
      <w:pPr>
        <w:jc w:val="both"/>
        <w:rPr>
          <w:rFonts w:ascii="Arial" w:hAnsi="Arial" w:cs="Arial"/>
        </w:rPr>
      </w:pPr>
      <w:r w:rsidRPr="00593AD4">
        <w:rPr>
          <w:rFonts w:ascii="Arial" w:hAnsi="Arial" w:cs="Arial"/>
          <w:b/>
        </w:rPr>
        <w:t>Table 4</w:t>
      </w:r>
      <w:r w:rsidRPr="00593AD4">
        <w:rPr>
          <w:rFonts w:ascii="Arial" w:hAnsi="Arial" w:cs="Arial"/>
        </w:rPr>
        <w:t xml:space="preserve"> shows management of children with TB prior to their demise. Sixty-four (90.1%) children were treated with first line regime; four (5.6%) did not start treatment as they passed away on the day of diagnosis. Directly observed treatment (DOT) was documented for 37 (52.1%) patients; 30 of them were performed by healthcare workers, four by family members and three not specified. From 38 patients’ medical records, 31 (81.6%) were admitted to intensive care unit (ICU), with 29 (76.3%) needing invasive ventilation. The most common treatment complication is hepatitis with 6 (15.8%) of 38 children affected, followed by rash and severe gastrointestinal upset (1, 2.6% respectively).</w:t>
      </w:r>
    </w:p>
    <w:p w:rsidR="00B05A68" w:rsidRPr="00593AD4" w:rsidRDefault="00B05A68" w:rsidP="001F68E1">
      <w:pPr>
        <w:jc w:val="both"/>
        <w:rPr>
          <w:rFonts w:ascii="Arial" w:hAnsi="Arial" w:cs="Arial"/>
          <w:b/>
        </w:rPr>
      </w:pPr>
    </w:p>
    <w:p w:rsidR="00DB2903" w:rsidRPr="00593AD4" w:rsidRDefault="00DB2903" w:rsidP="001F68E1">
      <w:pPr>
        <w:jc w:val="both"/>
        <w:rPr>
          <w:rFonts w:ascii="Arial" w:hAnsi="Arial" w:cs="Arial"/>
        </w:rPr>
      </w:pPr>
      <w:r w:rsidRPr="00593AD4">
        <w:rPr>
          <w:rFonts w:ascii="Arial" w:hAnsi="Arial" w:cs="Arial"/>
        </w:rPr>
        <w:t>Median duration between diagnosis to death is 9 days (0-280). Fifty-one (71.8%) children passed away within the first month of diagnosis.</w:t>
      </w:r>
    </w:p>
    <w:p w:rsidR="00B05A68" w:rsidRPr="00CC0E1B" w:rsidRDefault="00B05A68" w:rsidP="00DB2903">
      <w:pPr>
        <w:spacing w:line="360" w:lineRule="auto"/>
        <w:jc w:val="both"/>
        <w:rPr>
          <w:rFonts w:ascii="Arial" w:hAnsi="Arial" w:cs="Arial"/>
        </w:rPr>
      </w:pPr>
    </w:p>
    <w:p w:rsidR="00B05A68" w:rsidRPr="00CC0E1B" w:rsidRDefault="00B05A68" w:rsidP="00B05A68">
      <w:pPr>
        <w:spacing w:line="480" w:lineRule="auto"/>
        <w:jc w:val="center"/>
        <w:rPr>
          <w:rFonts w:ascii="Arial" w:hAnsi="Arial" w:cs="Arial"/>
        </w:rPr>
      </w:pPr>
      <w:r w:rsidRPr="00CC0E1B">
        <w:rPr>
          <w:rFonts w:ascii="Arial" w:hAnsi="Arial" w:cs="Arial"/>
          <w:b/>
        </w:rPr>
        <w:t>Table 4. Management of children with TB prior to their demise.</w:t>
      </w:r>
    </w:p>
    <w:tbl>
      <w:tblPr>
        <w:tblStyle w:val="PlainTable2"/>
        <w:tblW w:w="0" w:type="auto"/>
        <w:tblLook w:val="04A0" w:firstRow="1" w:lastRow="0" w:firstColumn="1" w:lastColumn="0" w:noHBand="0" w:noVBand="1"/>
      </w:tblPr>
      <w:tblGrid>
        <w:gridCol w:w="6656"/>
        <w:gridCol w:w="2358"/>
      </w:tblGrid>
      <w:tr w:rsidR="00B05A68" w:rsidRPr="00CC0E1B" w:rsidTr="00B05A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B05A68" w:rsidRPr="00CC0E1B" w:rsidRDefault="00B05A68" w:rsidP="00B05A68">
            <w:pPr>
              <w:spacing w:line="480" w:lineRule="auto"/>
              <w:rPr>
                <w:rFonts w:ascii="Arial" w:hAnsi="Arial" w:cs="Arial"/>
              </w:rPr>
            </w:pPr>
            <w:r w:rsidRPr="00CC0E1B">
              <w:rPr>
                <w:rFonts w:ascii="Arial" w:hAnsi="Arial" w:cs="Arial"/>
              </w:rPr>
              <w:t>Variables</w:t>
            </w:r>
          </w:p>
        </w:tc>
        <w:tc>
          <w:tcPr>
            <w:tcW w:w="2358" w:type="dxa"/>
          </w:tcPr>
          <w:p w:rsidR="00B05A68" w:rsidRPr="00CC0E1B" w:rsidRDefault="00B05A68" w:rsidP="00B05A68">
            <w:pPr>
              <w:spacing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Frequency, n (%)</w:t>
            </w:r>
          </w:p>
        </w:tc>
      </w:tr>
      <w:tr w:rsidR="00B05A68" w:rsidRPr="00CC0E1B" w:rsidTr="00B05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B05A68" w:rsidRPr="00CC0E1B" w:rsidRDefault="00B05A68" w:rsidP="00B05A68">
            <w:pPr>
              <w:spacing w:line="480" w:lineRule="auto"/>
              <w:rPr>
                <w:rFonts w:ascii="Arial" w:hAnsi="Arial" w:cs="Arial"/>
                <w:b w:val="0"/>
              </w:rPr>
            </w:pPr>
            <w:r w:rsidRPr="00CC0E1B">
              <w:rPr>
                <w:rFonts w:ascii="Arial" w:hAnsi="Arial" w:cs="Arial"/>
                <w:b w:val="0"/>
              </w:rPr>
              <w:t>TB treatment regime</w:t>
            </w:r>
          </w:p>
          <w:p w:rsidR="00B05A68" w:rsidRPr="00CC0E1B" w:rsidRDefault="00B05A68" w:rsidP="00B05A68">
            <w:pPr>
              <w:spacing w:line="480" w:lineRule="auto"/>
              <w:ind w:left="720"/>
              <w:rPr>
                <w:rFonts w:ascii="Arial" w:hAnsi="Arial" w:cs="Arial"/>
                <w:b w:val="0"/>
              </w:rPr>
            </w:pPr>
            <w:r w:rsidRPr="00CC0E1B">
              <w:rPr>
                <w:rFonts w:ascii="Arial" w:hAnsi="Arial" w:cs="Arial"/>
                <w:b w:val="0"/>
              </w:rPr>
              <w:t>First line</w:t>
            </w:r>
          </w:p>
          <w:p w:rsidR="00B05A68" w:rsidRPr="00CC0E1B" w:rsidRDefault="00B05A68" w:rsidP="00B05A68">
            <w:pPr>
              <w:spacing w:line="480" w:lineRule="auto"/>
              <w:ind w:left="720"/>
              <w:rPr>
                <w:rFonts w:ascii="Arial" w:hAnsi="Arial" w:cs="Arial"/>
                <w:b w:val="0"/>
              </w:rPr>
            </w:pPr>
            <w:r w:rsidRPr="00CC0E1B">
              <w:rPr>
                <w:rFonts w:ascii="Arial" w:hAnsi="Arial" w:cs="Arial"/>
                <w:b w:val="0"/>
              </w:rPr>
              <w:t>Not treated – patient passed away on the day of diagnosis</w:t>
            </w:r>
          </w:p>
          <w:p w:rsidR="00B05A68" w:rsidRPr="00CC0E1B" w:rsidRDefault="00B05A68" w:rsidP="00B05A68">
            <w:pPr>
              <w:spacing w:line="480" w:lineRule="auto"/>
              <w:ind w:left="720"/>
              <w:rPr>
                <w:rFonts w:ascii="Arial" w:hAnsi="Arial" w:cs="Arial"/>
                <w:b w:val="0"/>
              </w:rPr>
            </w:pPr>
            <w:r w:rsidRPr="00CC0E1B">
              <w:rPr>
                <w:rFonts w:ascii="Arial" w:hAnsi="Arial" w:cs="Arial"/>
                <w:b w:val="0"/>
              </w:rPr>
              <w:t>Unknown</w:t>
            </w:r>
          </w:p>
        </w:tc>
        <w:tc>
          <w:tcPr>
            <w:tcW w:w="2358" w:type="dxa"/>
          </w:tcPr>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64 (90.1)</w:t>
            </w: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4 (5.6)</w:t>
            </w: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3 (4.2)</w:t>
            </w:r>
          </w:p>
        </w:tc>
      </w:tr>
      <w:tr w:rsidR="00B05A68" w:rsidRPr="00CC0E1B" w:rsidTr="00B05A68">
        <w:tc>
          <w:tcPr>
            <w:cnfStyle w:val="001000000000" w:firstRow="0" w:lastRow="0" w:firstColumn="1" w:lastColumn="0" w:oddVBand="0" w:evenVBand="0" w:oddHBand="0" w:evenHBand="0" w:firstRowFirstColumn="0" w:firstRowLastColumn="0" w:lastRowFirstColumn="0" w:lastRowLastColumn="0"/>
            <w:tcW w:w="6656" w:type="dxa"/>
          </w:tcPr>
          <w:p w:rsidR="00B05A68" w:rsidRPr="00CC0E1B" w:rsidRDefault="00B05A68" w:rsidP="00B05A68">
            <w:pPr>
              <w:spacing w:line="480" w:lineRule="auto"/>
              <w:rPr>
                <w:rFonts w:ascii="Arial" w:hAnsi="Arial" w:cs="Arial"/>
                <w:b w:val="0"/>
              </w:rPr>
            </w:pPr>
            <w:r w:rsidRPr="00CC0E1B">
              <w:rPr>
                <w:rFonts w:ascii="Arial" w:hAnsi="Arial" w:cs="Arial"/>
                <w:b w:val="0"/>
              </w:rPr>
              <w:t>DOT supervisor</w:t>
            </w:r>
          </w:p>
          <w:p w:rsidR="00B05A68" w:rsidRPr="00CC0E1B" w:rsidRDefault="00B05A68" w:rsidP="00B05A68">
            <w:pPr>
              <w:spacing w:line="480" w:lineRule="auto"/>
              <w:ind w:left="720"/>
              <w:rPr>
                <w:rFonts w:ascii="Arial" w:hAnsi="Arial" w:cs="Arial"/>
                <w:b w:val="0"/>
              </w:rPr>
            </w:pPr>
            <w:r w:rsidRPr="00CC0E1B">
              <w:rPr>
                <w:rFonts w:ascii="Arial" w:hAnsi="Arial" w:cs="Arial"/>
                <w:b w:val="0"/>
              </w:rPr>
              <w:t>Healthcare worker</w:t>
            </w:r>
          </w:p>
          <w:p w:rsidR="00B05A68" w:rsidRPr="00CC0E1B" w:rsidRDefault="00B05A68" w:rsidP="00B05A68">
            <w:pPr>
              <w:spacing w:line="480" w:lineRule="auto"/>
              <w:ind w:left="720"/>
              <w:rPr>
                <w:rFonts w:ascii="Arial" w:hAnsi="Arial" w:cs="Arial"/>
                <w:b w:val="0"/>
              </w:rPr>
            </w:pPr>
            <w:r w:rsidRPr="00CC0E1B">
              <w:rPr>
                <w:rFonts w:ascii="Arial" w:hAnsi="Arial" w:cs="Arial"/>
                <w:b w:val="0"/>
              </w:rPr>
              <w:t>Family members</w:t>
            </w:r>
          </w:p>
          <w:p w:rsidR="00B05A68" w:rsidRPr="00CC0E1B" w:rsidRDefault="00B05A68" w:rsidP="00B05A68">
            <w:pPr>
              <w:spacing w:line="480" w:lineRule="auto"/>
              <w:ind w:left="720"/>
              <w:rPr>
                <w:rFonts w:ascii="Arial" w:hAnsi="Arial" w:cs="Arial"/>
                <w:b w:val="0"/>
              </w:rPr>
            </w:pPr>
            <w:r w:rsidRPr="00CC0E1B">
              <w:rPr>
                <w:rFonts w:ascii="Arial" w:hAnsi="Arial" w:cs="Arial"/>
                <w:b w:val="0"/>
              </w:rPr>
              <w:t>Unspecified</w:t>
            </w:r>
          </w:p>
          <w:p w:rsidR="00B05A68" w:rsidRPr="00CC0E1B" w:rsidRDefault="00B05A68" w:rsidP="00B05A68">
            <w:pPr>
              <w:spacing w:line="480" w:lineRule="auto"/>
              <w:ind w:left="720"/>
              <w:rPr>
                <w:rFonts w:ascii="Arial" w:hAnsi="Arial" w:cs="Arial"/>
                <w:b w:val="0"/>
              </w:rPr>
            </w:pPr>
            <w:r w:rsidRPr="00CC0E1B">
              <w:rPr>
                <w:rFonts w:ascii="Arial" w:hAnsi="Arial" w:cs="Arial"/>
                <w:b w:val="0"/>
              </w:rPr>
              <w:t>Not treated – patient passed away on the day of diagnosis</w:t>
            </w:r>
          </w:p>
          <w:p w:rsidR="00B05A68" w:rsidRPr="00CC0E1B" w:rsidRDefault="00B05A68" w:rsidP="00B05A68">
            <w:pPr>
              <w:spacing w:line="480" w:lineRule="auto"/>
              <w:ind w:left="720"/>
              <w:rPr>
                <w:rFonts w:ascii="Arial" w:hAnsi="Arial" w:cs="Arial"/>
                <w:b w:val="0"/>
              </w:rPr>
            </w:pPr>
            <w:r w:rsidRPr="00CC0E1B">
              <w:rPr>
                <w:rFonts w:ascii="Arial" w:hAnsi="Arial" w:cs="Arial"/>
                <w:b w:val="0"/>
              </w:rPr>
              <w:lastRenderedPageBreak/>
              <w:t>Unknown</w:t>
            </w:r>
          </w:p>
          <w:p w:rsidR="00B05A68" w:rsidRPr="00CC0E1B" w:rsidRDefault="00B05A68" w:rsidP="00B05A68">
            <w:pPr>
              <w:spacing w:line="480" w:lineRule="auto"/>
              <w:ind w:left="720"/>
              <w:rPr>
                <w:rFonts w:ascii="Arial" w:hAnsi="Arial" w:cs="Arial"/>
                <w:b w:val="0"/>
              </w:rPr>
            </w:pPr>
            <w:r w:rsidRPr="00CC0E1B">
              <w:rPr>
                <w:rFonts w:ascii="Arial" w:hAnsi="Arial" w:cs="Arial"/>
                <w:b w:val="0"/>
              </w:rPr>
              <w:t>DOT not performed</w:t>
            </w:r>
          </w:p>
        </w:tc>
        <w:tc>
          <w:tcPr>
            <w:tcW w:w="2358" w:type="dxa"/>
          </w:tcPr>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30 (42.3)</w:t>
            </w: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4 (5.6)</w:t>
            </w: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3 (4.2)</w:t>
            </w: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4 (5.6)</w:t>
            </w: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lastRenderedPageBreak/>
              <w:t>7 (9.9)</w:t>
            </w: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23 (32.4)</w:t>
            </w:r>
          </w:p>
        </w:tc>
      </w:tr>
      <w:tr w:rsidR="00B05A68" w:rsidRPr="00CC0E1B" w:rsidTr="00B05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B05A68" w:rsidRPr="00CC0E1B" w:rsidRDefault="00B05A68" w:rsidP="00B05A68">
            <w:pPr>
              <w:spacing w:line="480" w:lineRule="auto"/>
              <w:rPr>
                <w:rFonts w:ascii="Arial" w:hAnsi="Arial" w:cs="Arial"/>
                <w:b w:val="0"/>
              </w:rPr>
            </w:pPr>
            <w:r w:rsidRPr="00CC0E1B">
              <w:rPr>
                <w:rFonts w:ascii="Arial" w:hAnsi="Arial" w:cs="Arial"/>
                <w:b w:val="0"/>
              </w:rPr>
              <w:lastRenderedPageBreak/>
              <w:t>Intensive care needs*</w:t>
            </w:r>
          </w:p>
          <w:p w:rsidR="00B05A68" w:rsidRPr="00CC0E1B" w:rsidRDefault="00B05A68" w:rsidP="00B05A68">
            <w:pPr>
              <w:spacing w:line="480" w:lineRule="auto"/>
              <w:ind w:left="720"/>
              <w:rPr>
                <w:rFonts w:ascii="Arial" w:hAnsi="Arial" w:cs="Arial"/>
                <w:b w:val="0"/>
              </w:rPr>
            </w:pPr>
            <w:r w:rsidRPr="00CC0E1B">
              <w:rPr>
                <w:rFonts w:ascii="Arial" w:hAnsi="Arial" w:cs="Arial"/>
                <w:b w:val="0"/>
              </w:rPr>
              <w:t>Intensive care unit admission</w:t>
            </w:r>
          </w:p>
          <w:p w:rsidR="00B05A68" w:rsidRPr="00CC0E1B" w:rsidRDefault="00B05A68" w:rsidP="00B05A68">
            <w:pPr>
              <w:spacing w:line="480" w:lineRule="auto"/>
              <w:ind w:left="720"/>
              <w:rPr>
                <w:rFonts w:ascii="Arial" w:hAnsi="Arial" w:cs="Arial"/>
                <w:b w:val="0"/>
              </w:rPr>
            </w:pPr>
            <w:r w:rsidRPr="00CC0E1B">
              <w:rPr>
                <w:rFonts w:ascii="Arial" w:hAnsi="Arial" w:cs="Arial"/>
                <w:b w:val="0"/>
              </w:rPr>
              <w:t>Invasive ventilation</w:t>
            </w:r>
          </w:p>
        </w:tc>
        <w:tc>
          <w:tcPr>
            <w:tcW w:w="2358" w:type="dxa"/>
          </w:tcPr>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31 (81.6)</w:t>
            </w: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29 (76.3)</w:t>
            </w:r>
          </w:p>
        </w:tc>
      </w:tr>
      <w:tr w:rsidR="00B05A68" w:rsidRPr="00CC0E1B" w:rsidTr="00B05A68">
        <w:tc>
          <w:tcPr>
            <w:cnfStyle w:val="001000000000" w:firstRow="0" w:lastRow="0" w:firstColumn="1" w:lastColumn="0" w:oddVBand="0" w:evenVBand="0" w:oddHBand="0" w:evenHBand="0" w:firstRowFirstColumn="0" w:firstRowLastColumn="0" w:lastRowFirstColumn="0" w:lastRowLastColumn="0"/>
            <w:tcW w:w="6656" w:type="dxa"/>
          </w:tcPr>
          <w:p w:rsidR="00B05A68" w:rsidRPr="00CC0E1B" w:rsidRDefault="00B05A68" w:rsidP="00B05A68">
            <w:pPr>
              <w:spacing w:line="480" w:lineRule="auto"/>
              <w:rPr>
                <w:rFonts w:ascii="Arial" w:hAnsi="Arial" w:cs="Arial"/>
                <w:b w:val="0"/>
              </w:rPr>
            </w:pPr>
            <w:r w:rsidRPr="00CC0E1B">
              <w:rPr>
                <w:rFonts w:ascii="Arial" w:hAnsi="Arial" w:cs="Arial"/>
                <w:b w:val="0"/>
              </w:rPr>
              <w:t>Treatment complications*</w:t>
            </w:r>
          </w:p>
          <w:p w:rsidR="00B05A68" w:rsidRPr="00CC0E1B" w:rsidRDefault="00B05A68" w:rsidP="00B05A68">
            <w:pPr>
              <w:spacing w:line="480" w:lineRule="auto"/>
              <w:ind w:left="720"/>
              <w:rPr>
                <w:rFonts w:ascii="Arial" w:hAnsi="Arial" w:cs="Arial"/>
                <w:b w:val="0"/>
              </w:rPr>
            </w:pPr>
            <w:r w:rsidRPr="00CC0E1B">
              <w:rPr>
                <w:rFonts w:ascii="Arial" w:hAnsi="Arial" w:cs="Arial"/>
                <w:b w:val="0"/>
              </w:rPr>
              <w:t>Hepatitis</w:t>
            </w:r>
          </w:p>
          <w:p w:rsidR="00B05A68" w:rsidRPr="00CC0E1B" w:rsidRDefault="00B05A68" w:rsidP="00B05A68">
            <w:pPr>
              <w:spacing w:line="480" w:lineRule="auto"/>
              <w:ind w:left="720"/>
              <w:rPr>
                <w:rFonts w:ascii="Arial" w:hAnsi="Arial" w:cs="Arial"/>
                <w:b w:val="0"/>
              </w:rPr>
            </w:pPr>
            <w:r w:rsidRPr="00CC0E1B">
              <w:rPr>
                <w:rFonts w:ascii="Arial" w:hAnsi="Arial" w:cs="Arial"/>
                <w:b w:val="0"/>
              </w:rPr>
              <w:t>Rash</w:t>
            </w:r>
          </w:p>
          <w:p w:rsidR="00B05A68" w:rsidRPr="00CC0E1B" w:rsidRDefault="00B05A68" w:rsidP="00B05A68">
            <w:pPr>
              <w:spacing w:line="480" w:lineRule="auto"/>
              <w:ind w:left="720"/>
              <w:rPr>
                <w:rFonts w:ascii="Arial" w:hAnsi="Arial" w:cs="Arial"/>
                <w:b w:val="0"/>
              </w:rPr>
            </w:pPr>
            <w:r w:rsidRPr="00CC0E1B">
              <w:rPr>
                <w:rFonts w:ascii="Arial" w:hAnsi="Arial" w:cs="Arial"/>
                <w:b w:val="0"/>
              </w:rPr>
              <w:t>Severe gastrointestinal upset</w:t>
            </w:r>
          </w:p>
        </w:tc>
        <w:tc>
          <w:tcPr>
            <w:tcW w:w="2358" w:type="dxa"/>
          </w:tcPr>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6 (15.8)</w:t>
            </w: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1 (2.6)</w:t>
            </w:r>
          </w:p>
          <w:p w:rsidR="00B05A68" w:rsidRPr="00CC0E1B" w:rsidRDefault="00B05A68" w:rsidP="00B05A68">
            <w:pPr>
              <w:spacing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CC0E1B">
              <w:rPr>
                <w:rFonts w:ascii="Arial" w:hAnsi="Arial" w:cs="Arial"/>
              </w:rPr>
              <w:t>1 (2.6)</w:t>
            </w:r>
          </w:p>
        </w:tc>
      </w:tr>
      <w:tr w:rsidR="00B05A68" w:rsidRPr="00CC0E1B" w:rsidTr="00B05A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6" w:type="dxa"/>
          </w:tcPr>
          <w:p w:rsidR="00B05A68" w:rsidRPr="00CC0E1B" w:rsidRDefault="00B05A68" w:rsidP="00B05A68">
            <w:pPr>
              <w:spacing w:line="480" w:lineRule="auto"/>
              <w:rPr>
                <w:rFonts w:ascii="Arial" w:hAnsi="Arial" w:cs="Arial"/>
                <w:b w:val="0"/>
              </w:rPr>
            </w:pPr>
            <w:r w:rsidRPr="00CC0E1B">
              <w:rPr>
                <w:rFonts w:ascii="Arial" w:hAnsi="Arial" w:cs="Arial"/>
                <w:b w:val="0"/>
              </w:rPr>
              <w:t>Duration between diagnosis to death</w:t>
            </w:r>
          </w:p>
          <w:p w:rsidR="00B05A68" w:rsidRPr="00CC0E1B" w:rsidRDefault="00B05A68" w:rsidP="00B05A68">
            <w:pPr>
              <w:spacing w:line="480" w:lineRule="auto"/>
              <w:ind w:left="720"/>
              <w:rPr>
                <w:rFonts w:ascii="Arial" w:hAnsi="Arial" w:cs="Arial"/>
                <w:b w:val="0"/>
              </w:rPr>
            </w:pPr>
            <w:r w:rsidRPr="00CC0E1B">
              <w:rPr>
                <w:rFonts w:ascii="Arial" w:hAnsi="Arial" w:cs="Arial"/>
                <w:b w:val="0"/>
              </w:rPr>
              <w:t>Within 7 days</w:t>
            </w:r>
          </w:p>
          <w:p w:rsidR="00B05A68" w:rsidRPr="00CC0E1B" w:rsidRDefault="00B05A68" w:rsidP="00B05A68">
            <w:pPr>
              <w:spacing w:line="480" w:lineRule="auto"/>
              <w:ind w:left="720"/>
              <w:rPr>
                <w:rFonts w:ascii="Arial" w:hAnsi="Arial" w:cs="Arial"/>
                <w:b w:val="0"/>
              </w:rPr>
            </w:pPr>
            <w:r w:rsidRPr="00CC0E1B">
              <w:rPr>
                <w:rFonts w:ascii="Arial" w:hAnsi="Arial" w:cs="Arial"/>
                <w:b w:val="0"/>
              </w:rPr>
              <w:t>Within 8 to 28 days</w:t>
            </w:r>
          </w:p>
          <w:p w:rsidR="00B05A68" w:rsidRPr="00CC0E1B" w:rsidRDefault="00B05A68" w:rsidP="00B05A68">
            <w:pPr>
              <w:spacing w:line="480" w:lineRule="auto"/>
              <w:ind w:left="720"/>
              <w:rPr>
                <w:rFonts w:ascii="Arial" w:hAnsi="Arial" w:cs="Arial"/>
                <w:b w:val="0"/>
              </w:rPr>
            </w:pPr>
            <w:r w:rsidRPr="00CC0E1B">
              <w:rPr>
                <w:rFonts w:ascii="Arial" w:hAnsi="Arial" w:cs="Arial"/>
                <w:b w:val="0"/>
              </w:rPr>
              <w:t>More than 28 days</w:t>
            </w:r>
          </w:p>
          <w:p w:rsidR="00B05A68" w:rsidRPr="00CC0E1B" w:rsidRDefault="00B05A68" w:rsidP="00B05A68">
            <w:pPr>
              <w:spacing w:line="480" w:lineRule="auto"/>
              <w:rPr>
                <w:rFonts w:ascii="Arial" w:hAnsi="Arial" w:cs="Arial"/>
                <w:b w:val="0"/>
              </w:rPr>
            </w:pPr>
          </w:p>
          <w:p w:rsidR="00B05A68" w:rsidRPr="00CC0E1B" w:rsidRDefault="00B05A68" w:rsidP="00B05A68">
            <w:pPr>
              <w:spacing w:line="480" w:lineRule="auto"/>
              <w:rPr>
                <w:rFonts w:ascii="Arial" w:hAnsi="Arial" w:cs="Arial"/>
                <w:b w:val="0"/>
              </w:rPr>
            </w:pPr>
            <w:r w:rsidRPr="00CC0E1B">
              <w:rPr>
                <w:rFonts w:ascii="Arial" w:hAnsi="Arial" w:cs="Arial"/>
                <w:b w:val="0"/>
              </w:rPr>
              <w:t>Median duration between diagnosis and death, in days (range)</w:t>
            </w:r>
          </w:p>
        </w:tc>
        <w:tc>
          <w:tcPr>
            <w:tcW w:w="2358" w:type="dxa"/>
          </w:tcPr>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29 (40.8)</w:t>
            </w: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20 (28.2)</w:t>
            </w: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22 (31.0)</w:t>
            </w: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B05A68" w:rsidRPr="00CC0E1B" w:rsidRDefault="00B05A68" w:rsidP="00B05A68">
            <w:pPr>
              <w:spacing w:line="48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C0E1B">
              <w:rPr>
                <w:rFonts w:ascii="Arial" w:hAnsi="Arial" w:cs="Arial"/>
              </w:rPr>
              <w:t>9 (0-280)</w:t>
            </w:r>
          </w:p>
        </w:tc>
      </w:tr>
    </w:tbl>
    <w:p w:rsidR="00B05A68" w:rsidRPr="00CC0E1B" w:rsidRDefault="00B05A68" w:rsidP="00B05A68">
      <w:pPr>
        <w:spacing w:line="480" w:lineRule="auto"/>
        <w:rPr>
          <w:rFonts w:ascii="Arial" w:hAnsi="Arial" w:cs="Arial"/>
          <w:sz w:val="18"/>
          <w:szCs w:val="18"/>
          <w:vertAlign w:val="superscript"/>
        </w:rPr>
      </w:pPr>
      <w:r w:rsidRPr="00CC0E1B">
        <w:rPr>
          <w:rFonts w:ascii="Arial" w:hAnsi="Arial" w:cs="Arial"/>
          <w:sz w:val="18"/>
          <w:szCs w:val="18"/>
          <w:vertAlign w:val="superscript"/>
        </w:rPr>
        <w:t>*n=38</w:t>
      </w:r>
    </w:p>
    <w:p w:rsidR="00B05A68" w:rsidRPr="00CC0E1B" w:rsidRDefault="00B05A68" w:rsidP="00B05A68">
      <w:pPr>
        <w:spacing w:line="480" w:lineRule="auto"/>
        <w:rPr>
          <w:rFonts w:ascii="Arial" w:hAnsi="Arial" w:cs="Arial"/>
          <w:sz w:val="18"/>
          <w:szCs w:val="18"/>
          <w:vertAlign w:val="superscript"/>
        </w:rPr>
      </w:pPr>
      <w:r w:rsidRPr="00CC0E1B">
        <w:rPr>
          <w:rFonts w:ascii="Arial" w:hAnsi="Arial" w:cs="Arial"/>
          <w:sz w:val="18"/>
          <w:szCs w:val="18"/>
          <w:vertAlign w:val="superscript"/>
        </w:rPr>
        <w:t>DOT = Directly observed treatment</w:t>
      </w:r>
    </w:p>
    <w:p w:rsidR="00E053D0" w:rsidRPr="004E008D" w:rsidRDefault="00E053D0" w:rsidP="00441B6F">
      <w:pPr>
        <w:pStyle w:val="Body"/>
        <w:spacing w:after="0"/>
        <w:rPr>
          <w:rFonts w:ascii="Arial" w:hAnsi="Arial" w:cs="Arial"/>
          <w:color w:val="9BBB59" w:themeColor="accent3"/>
        </w:rPr>
      </w:pPr>
    </w:p>
    <w:p w:rsidR="005C478E" w:rsidRPr="00306C50" w:rsidRDefault="005C478E" w:rsidP="005C478E">
      <w:pPr>
        <w:pStyle w:val="Head1"/>
        <w:spacing w:after="0"/>
        <w:jc w:val="both"/>
        <w:rPr>
          <w:rFonts w:ascii="Arial" w:hAnsi="Arial" w:cs="Arial"/>
        </w:rPr>
      </w:pPr>
      <w:r>
        <w:rPr>
          <w:rFonts w:ascii="Arial" w:hAnsi="Arial" w:cs="Arial"/>
        </w:rPr>
        <w:t>4</w:t>
      </w:r>
      <w:r w:rsidRPr="00306C50">
        <w:rPr>
          <w:rFonts w:ascii="Arial" w:hAnsi="Arial" w:cs="Arial"/>
        </w:rPr>
        <w:t xml:space="preserve">. </w:t>
      </w:r>
      <w:r>
        <w:rPr>
          <w:rFonts w:ascii="Arial" w:hAnsi="Arial" w:cs="Arial"/>
        </w:rPr>
        <w:t>DISCUSSION</w:t>
      </w:r>
    </w:p>
    <w:p w:rsidR="005C478E" w:rsidRDefault="005C478E" w:rsidP="005C478E">
      <w:pPr>
        <w:rPr>
          <w:color w:val="9BBB59" w:themeColor="accent3"/>
        </w:rPr>
      </w:pPr>
    </w:p>
    <w:p w:rsidR="005C478E" w:rsidRDefault="005C478E" w:rsidP="005C478E">
      <w:pPr>
        <w:rPr>
          <w:rFonts w:ascii="Arial" w:hAnsi="Arial" w:cs="Arial"/>
        </w:rPr>
      </w:pPr>
      <w:r w:rsidRPr="005C478E">
        <w:rPr>
          <w:rFonts w:ascii="Arial" w:hAnsi="Arial" w:cs="Arial"/>
        </w:rPr>
        <w:t>In this study, we found that 36.6% of children who passed awa</w:t>
      </w:r>
      <w:r w:rsidR="005F51E2">
        <w:rPr>
          <w:rFonts w:ascii="Arial" w:hAnsi="Arial" w:cs="Arial"/>
        </w:rPr>
        <w:t>y from TB were below 5 years</w:t>
      </w:r>
      <w:r w:rsidRPr="005C478E">
        <w:rPr>
          <w:rFonts w:ascii="Arial" w:hAnsi="Arial" w:cs="Arial"/>
        </w:rPr>
        <w:t>, and 40.8% were non-Malaysians. Only 60.6% of the children had a scar from BCG vaccination. More than half of the children presented with cough, fever and shortness of breath. Most children had abnormal chest radiographs, acid-fast bacilli smear was only positive in 35.2% children, and Mycobacterium tuberculosis only grew on culture in 18.3% cases. EPTB was diagnosed in 32.4% of the patients, with the central nervous system being the most common extra-pulmonary site. Half of the patients passed away within nine days of diagnosis.</w:t>
      </w:r>
    </w:p>
    <w:p w:rsidR="003F0778" w:rsidRPr="005C478E" w:rsidRDefault="003F0778" w:rsidP="005C478E">
      <w:pPr>
        <w:rPr>
          <w:rFonts w:ascii="Arial" w:hAnsi="Arial" w:cs="Arial"/>
        </w:rPr>
      </w:pPr>
    </w:p>
    <w:p w:rsidR="005C478E" w:rsidRDefault="005C478E" w:rsidP="005C478E">
      <w:pPr>
        <w:rPr>
          <w:rFonts w:ascii="Arial" w:hAnsi="Arial" w:cs="Arial"/>
        </w:rPr>
      </w:pPr>
      <w:r w:rsidRPr="005C478E">
        <w:rPr>
          <w:rFonts w:ascii="Arial" w:hAnsi="Arial" w:cs="Arial"/>
        </w:rPr>
        <w:t>Although the East Malaysian states of Sabah, Sarawak and Wilayah Persekutuan Labuan makes o</w:t>
      </w:r>
      <w:r w:rsidR="00C611F8">
        <w:rPr>
          <w:rFonts w:ascii="Arial" w:hAnsi="Arial" w:cs="Arial"/>
        </w:rPr>
        <w:t>nly 21% of Malaysian population, as reported by Ministry of Health (2020),</w:t>
      </w:r>
      <w:r w:rsidRPr="005C478E">
        <w:rPr>
          <w:rFonts w:ascii="Arial" w:hAnsi="Arial" w:cs="Arial"/>
        </w:rPr>
        <w:t xml:space="preserve"> two-thirds of the deaths came from this region. This could be due to low average household income and higher prevalence of extreme poverty in East Malaysia compared to West Malaysia</w:t>
      </w:r>
      <w:r w:rsidR="00C611F8">
        <w:rPr>
          <w:rFonts w:ascii="Arial" w:hAnsi="Arial" w:cs="Arial"/>
        </w:rPr>
        <w:t xml:space="preserve"> (Bertolozzi, et al. 2020)</w:t>
      </w:r>
      <w:r w:rsidR="00CC0E1B">
        <w:rPr>
          <w:rFonts w:ascii="Arial" w:hAnsi="Arial" w:cs="Arial"/>
        </w:rPr>
        <w:t xml:space="preserve">. </w:t>
      </w:r>
      <w:r w:rsidRPr="005C478E">
        <w:rPr>
          <w:rFonts w:ascii="Arial" w:hAnsi="Arial" w:cs="Arial"/>
        </w:rPr>
        <w:t>The higher population density in the states Kuala Lumpur and Selangor may have contributed to the high TB mortality numbers in these areas. Previous studies demonstrated that household socioeconomic status, extreme poverty and population density contribute towards TB prevalenc</w:t>
      </w:r>
      <w:r w:rsidR="00CC0E1B">
        <w:rPr>
          <w:rFonts w:ascii="Arial" w:hAnsi="Arial" w:cs="Arial"/>
        </w:rPr>
        <w:t>e and mortality in a population (</w:t>
      </w:r>
      <w:r w:rsidR="003F0778">
        <w:rPr>
          <w:rFonts w:ascii="Arial" w:hAnsi="Arial" w:cs="Arial"/>
        </w:rPr>
        <w:t>Zurcher</w:t>
      </w:r>
      <w:r w:rsidR="00CC0E1B">
        <w:rPr>
          <w:rFonts w:ascii="Arial" w:hAnsi="Arial" w:cs="Arial"/>
        </w:rPr>
        <w:t xml:space="preserve"> et al.,</w:t>
      </w:r>
      <w:r w:rsidR="003F0778">
        <w:rPr>
          <w:rFonts w:ascii="Arial" w:hAnsi="Arial" w:cs="Arial"/>
        </w:rPr>
        <w:t xml:space="preserve"> 2016</w:t>
      </w:r>
      <w:r w:rsidRPr="005C478E">
        <w:rPr>
          <w:rFonts w:ascii="Arial" w:hAnsi="Arial" w:cs="Arial"/>
        </w:rPr>
        <w:t>,</w:t>
      </w:r>
      <w:r w:rsidR="00CC0E1B">
        <w:rPr>
          <w:rFonts w:ascii="Arial" w:hAnsi="Arial" w:cs="Arial"/>
        </w:rPr>
        <w:t xml:space="preserve"> </w:t>
      </w:r>
      <w:proofErr w:type="spellStart"/>
      <w:r w:rsidR="003F0778">
        <w:rPr>
          <w:rFonts w:ascii="Arial" w:hAnsi="Arial" w:cs="Arial"/>
        </w:rPr>
        <w:t>Awaluddin</w:t>
      </w:r>
      <w:proofErr w:type="spellEnd"/>
      <w:r w:rsidR="00CC0E1B">
        <w:rPr>
          <w:rFonts w:ascii="Arial" w:hAnsi="Arial" w:cs="Arial"/>
        </w:rPr>
        <w:t xml:space="preserve"> et al.,</w:t>
      </w:r>
      <w:r w:rsidR="003F0778">
        <w:rPr>
          <w:rFonts w:ascii="Arial" w:hAnsi="Arial" w:cs="Arial"/>
        </w:rPr>
        <w:t xml:space="preserve"> 2020</w:t>
      </w:r>
      <w:r w:rsidR="00CC0E1B">
        <w:rPr>
          <w:rFonts w:ascii="Arial" w:hAnsi="Arial" w:cs="Arial"/>
        </w:rPr>
        <w:t>).</w:t>
      </w:r>
    </w:p>
    <w:p w:rsidR="00594D15" w:rsidRDefault="00594D15" w:rsidP="005C478E">
      <w:pPr>
        <w:rPr>
          <w:rFonts w:ascii="Arial" w:hAnsi="Arial" w:cs="Arial"/>
        </w:rPr>
      </w:pPr>
    </w:p>
    <w:p w:rsidR="00594D15" w:rsidRDefault="00594D15" w:rsidP="005C478E">
      <w:pPr>
        <w:rPr>
          <w:rFonts w:ascii="Arial" w:hAnsi="Arial" w:cs="Arial"/>
        </w:rPr>
      </w:pPr>
      <w:r w:rsidRPr="00594D15">
        <w:rPr>
          <w:rFonts w:ascii="Arial" w:hAnsi="Arial" w:cs="Arial"/>
        </w:rPr>
        <w:t>Cough and shortness of breath were among the commonest symptoms for all children; other symptoms are non-specific. There are variable reports regarding presenting features of TB in children. Some studies showed that 14.4 to 46.2% patients present with cough, while 27 to 83.8% patients present with fever</w:t>
      </w:r>
      <w:r>
        <w:rPr>
          <w:rFonts w:ascii="Arial" w:hAnsi="Arial" w:cs="Arial"/>
        </w:rPr>
        <w:t xml:space="preserve"> (</w:t>
      </w:r>
      <w:proofErr w:type="spellStart"/>
      <w:r>
        <w:rPr>
          <w:rFonts w:ascii="Arial" w:hAnsi="Arial" w:cs="Arial"/>
        </w:rPr>
        <w:t>Soekotjo</w:t>
      </w:r>
      <w:proofErr w:type="spellEnd"/>
      <w:r>
        <w:rPr>
          <w:rFonts w:ascii="Arial" w:hAnsi="Arial" w:cs="Arial"/>
        </w:rPr>
        <w:t xml:space="preserve"> et al., 2019, </w:t>
      </w:r>
      <w:proofErr w:type="spellStart"/>
      <w:r>
        <w:rPr>
          <w:rFonts w:ascii="Arial" w:hAnsi="Arial" w:cs="Arial"/>
        </w:rPr>
        <w:t>Panigatti</w:t>
      </w:r>
      <w:proofErr w:type="spellEnd"/>
      <w:r>
        <w:rPr>
          <w:rFonts w:ascii="Arial" w:hAnsi="Arial" w:cs="Arial"/>
        </w:rPr>
        <w:t xml:space="preserve"> et al., 2013, Aygun et al., 2019)</w:t>
      </w:r>
      <w:r w:rsidRPr="00594D15">
        <w:rPr>
          <w:rFonts w:ascii="Arial" w:hAnsi="Arial" w:cs="Arial"/>
        </w:rPr>
        <w:t>.</w:t>
      </w:r>
      <w:r w:rsidR="0018294E">
        <w:rPr>
          <w:rFonts w:ascii="Arial" w:hAnsi="Arial" w:cs="Arial"/>
        </w:rPr>
        <w:t xml:space="preserve"> </w:t>
      </w:r>
      <w:r w:rsidRPr="00594D15">
        <w:rPr>
          <w:rFonts w:ascii="Arial" w:hAnsi="Arial" w:cs="Arial"/>
        </w:rPr>
        <w:t>Weight loss occurred among between 39 to 41.5% of children with TB</w:t>
      </w:r>
      <w:r>
        <w:rPr>
          <w:rFonts w:ascii="Arial" w:hAnsi="Arial" w:cs="Arial"/>
        </w:rPr>
        <w:t xml:space="preserve"> (Loh et al., 2018, Shresta et al., 2011)</w:t>
      </w:r>
      <w:r w:rsidRPr="00594D15">
        <w:rPr>
          <w:rFonts w:ascii="Arial" w:hAnsi="Arial" w:cs="Arial"/>
        </w:rPr>
        <w:t>.</w:t>
      </w:r>
      <w:r w:rsidR="00E350C6">
        <w:rPr>
          <w:rFonts w:ascii="Arial" w:hAnsi="Arial" w:cs="Arial"/>
          <w:color w:val="FF0000"/>
        </w:rPr>
        <w:t xml:space="preserve"> </w:t>
      </w:r>
      <w:r w:rsidRPr="00594D15">
        <w:rPr>
          <w:rFonts w:ascii="Arial" w:hAnsi="Arial" w:cs="Arial"/>
        </w:rPr>
        <w:t>Since young children may present with non-specific symptoms and signs, clinicians must be aware of its diversity to be able to suspect TB within this young population.</w:t>
      </w:r>
    </w:p>
    <w:p w:rsidR="001F68E1" w:rsidRDefault="001F68E1" w:rsidP="005C478E">
      <w:pPr>
        <w:rPr>
          <w:rFonts w:ascii="Arial" w:hAnsi="Arial" w:cs="Arial"/>
        </w:rPr>
      </w:pPr>
    </w:p>
    <w:p w:rsidR="001F68E1" w:rsidRDefault="001F68E1" w:rsidP="005C478E">
      <w:pPr>
        <w:rPr>
          <w:rFonts w:ascii="Arial" w:hAnsi="Arial" w:cs="Arial"/>
        </w:rPr>
      </w:pPr>
      <w:r w:rsidRPr="001F68E1">
        <w:rPr>
          <w:rFonts w:ascii="Arial" w:hAnsi="Arial" w:cs="Arial"/>
        </w:rPr>
        <w:lastRenderedPageBreak/>
        <w:t>The low number of patients with a BCG scar may reflect poor coverage of immunization among children, including non-Malaysians. A local study found that non-Malaysians are less likely to get complete vaccination compared to Malaysians</w:t>
      </w:r>
      <w:r>
        <w:rPr>
          <w:rFonts w:ascii="Arial" w:hAnsi="Arial" w:cs="Arial"/>
        </w:rPr>
        <w:t xml:space="preserve"> (Michal Christina Steven et al., 2021). </w:t>
      </w:r>
      <w:r w:rsidRPr="001F68E1">
        <w:rPr>
          <w:rFonts w:ascii="Arial" w:hAnsi="Arial" w:cs="Arial"/>
        </w:rPr>
        <w:t>Barriers to immunization among non-Malaysians include illegal immigrant status, financial issues, communication difficulties, or difficulties to take leave from work</w:t>
      </w:r>
      <w:r>
        <w:rPr>
          <w:rFonts w:ascii="Arial" w:hAnsi="Arial" w:cs="Arial"/>
        </w:rPr>
        <w:t xml:space="preserve"> (Michal Christina Steven et al., 2021).</w:t>
      </w:r>
      <w:r w:rsidRPr="001F68E1">
        <w:rPr>
          <w:rFonts w:ascii="Arial" w:hAnsi="Arial" w:cs="Arial"/>
        </w:rPr>
        <w:t xml:space="preserve"> Meanwhile, fear of diseases, trust in healthcare providers and vaccine accessibility were drivers to vaccine uptake among this population</w:t>
      </w:r>
      <w:r>
        <w:rPr>
          <w:rFonts w:ascii="Arial" w:hAnsi="Arial" w:cs="Arial"/>
        </w:rPr>
        <w:t xml:space="preserve"> (Michal Christina Steven et al., 2021)</w:t>
      </w:r>
      <w:r w:rsidRPr="001F68E1">
        <w:rPr>
          <w:rFonts w:ascii="Arial" w:hAnsi="Arial" w:cs="Arial"/>
        </w:rPr>
        <w:t>. Therefore, it would be advisable to focus on the incentives for vaccination in order to increase vaccine uptake.</w:t>
      </w:r>
    </w:p>
    <w:p w:rsidR="00A13304" w:rsidRDefault="00A13304" w:rsidP="005C478E">
      <w:pPr>
        <w:rPr>
          <w:rFonts w:ascii="Arial" w:hAnsi="Arial" w:cs="Arial"/>
        </w:rPr>
      </w:pPr>
    </w:p>
    <w:p w:rsidR="00A13304" w:rsidRDefault="00A13304" w:rsidP="00A13304">
      <w:pPr>
        <w:rPr>
          <w:rFonts w:ascii="Arial" w:hAnsi="Arial" w:cs="Arial"/>
        </w:rPr>
      </w:pPr>
      <w:r w:rsidRPr="00A13304">
        <w:rPr>
          <w:rFonts w:ascii="Arial" w:hAnsi="Arial" w:cs="Arial"/>
        </w:rPr>
        <w:t>One in four patients in this study had underlying immunodeficiency. HIV positivity is known to be a factor associated with TB treatment failure</w:t>
      </w:r>
      <w:r>
        <w:rPr>
          <w:rFonts w:ascii="Arial" w:hAnsi="Arial" w:cs="Arial"/>
        </w:rPr>
        <w:t xml:space="preserve"> (</w:t>
      </w:r>
      <w:proofErr w:type="spellStart"/>
      <w:r>
        <w:rPr>
          <w:rFonts w:ascii="Arial" w:hAnsi="Arial" w:cs="Arial"/>
        </w:rPr>
        <w:t>Awaluddin</w:t>
      </w:r>
      <w:proofErr w:type="spellEnd"/>
      <w:r>
        <w:rPr>
          <w:rFonts w:ascii="Arial" w:hAnsi="Arial" w:cs="Arial"/>
        </w:rPr>
        <w:t xml:space="preserve"> et al. 2020, Tok et al., 2020)</w:t>
      </w:r>
      <w:r w:rsidR="00334A68">
        <w:rPr>
          <w:rFonts w:ascii="Arial" w:hAnsi="Arial" w:cs="Arial"/>
        </w:rPr>
        <w:t xml:space="preserve">. </w:t>
      </w:r>
      <w:r w:rsidRPr="00A13304">
        <w:rPr>
          <w:rFonts w:ascii="Arial" w:hAnsi="Arial" w:cs="Arial"/>
        </w:rPr>
        <w:t>Previous studies have shown that patients with rheumatological diseases like SLE and JIA are at higher risk for opportunistic infections, including TB, compared to other children</w:t>
      </w:r>
      <w:r>
        <w:rPr>
          <w:rFonts w:ascii="Arial" w:hAnsi="Arial" w:cs="Arial"/>
        </w:rPr>
        <w:t xml:space="preserve"> (Gupta et al., 2020, </w:t>
      </w:r>
      <w:proofErr w:type="spellStart"/>
      <w:r>
        <w:rPr>
          <w:rFonts w:ascii="Arial" w:hAnsi="Arial" w:cs="Arial"/>
        </w:rPr>
        <w:t>Giancane</w:t>
      </w:r>
      <w:proofErr w:type="spellEnd"/>
      <w:r>
        <w:rPr>
          <w:rFonts w:ascii="Arial" w:hAnsi="Arial" w:cs="Arial"/>
        </w:rPr>
        <w:t xml:space="preserve"> et al., 2020)</w:t>
      </w:r>
      <w:r w:rsidRPr="00A13304">
        <w:rPr>
          <w:rFonts w:ascii="Arial" w:hAnsi="Arial" w:cs="Arial"/>
        </w:rPr>
        <w:t>.</w:t>
      </w:r>
      <w:r>
        <w:rPr>
          <w:rFonts w:ascii="Arial" w:hAnsi="Arial" w:cs="Arial"/>
        </w:rPr>
        <w:t xml:space="preserve"> </w:t>
      </w:r>
      <w:r w:rsidRPr="00A13304">
        <w:rPr>
          <w:rFonts w:ascii="Arial" w:hAnsi="Arial" w:cs="Arial"/>
        </w:rPr>
        <w:t>Predisposing factors include high disease activity, severe leucopenia, lupus nephritis, and use of glucocorticoids and disease-modifying antirheumatic drugs (DMARDs)</w:t>
      </w:r>
      <w:r>
        <w:rPr>
          <w:rFonts w:ascii="Arial" w:hAnsi="Arial" w:cs="Arial"/>
        </w:rPr>
        <w:t xml:space="preserve"> (</w:t>
      </w:r>
      <w:proofErr w:type="spellStart"/>
      <w:r>
        <w:rPr>
          <w:rFonts w:ascii="Arial" w:hAnsi="Arial" w:cs="Arial"/>
        </w:rPr>
        <w:t>Fanouriakis</w:t>
      </w:r>
      <w:proofErr w:type="spellEnd"/>
      <w:r>
        <w:rPr>
          <w:rFonts w:ascii="Arial" w:hAnsi="Arial" w:cs="Arial"/>
        </w:rPr>
        <w:t xml:space="preserve"> et al., 2019, Bao et al., 2023)</w:t>
      </w:r>
      <w:r w:rsidR="00284E27">
        <w:rPr>
          <w:rFonts w:ascii="Arial" w:hAnsi="Arial" w:cs="Arial"/>
        </w:rPr>
        <w:t>.</w:t>
      </w:r>
    </w:p>
    <w:p w:rsidR="00284E27" w:rsidRDefault="00284E27" w:rsidP="00A13304">
      <w:pPr>
        <w:rPr>
          <w:rFonts w:ascii="Arial" w:hAnsi="Arial" w:cs="Arial"/>
        </w:rPr>
      </w:pPr>
    </w:p>
    <w:p w:rsidR="00284E27" w:rsidRDefault="00284E27" w:rsidP="00284E27">
      <w:pPr>
        <w:rPr>
          <w:rFonts w:ascii="Arial" w:hAnsi="Arial" w:cs="Arial"/>
        </w:rPr>
      </w:pPr>
      <w:r w:rsidRPr="00284E27">
        <w:rPr>
          <w:rFonts w:ascii="Arial" w:hAnsi="Arial" w:cs="Arial"/>
        </w:rPr>
        <w:t>A proactive approach to detection of TB infection and disease is recommended to prevent mortality from tuberculosis in patients who are immunodeficient. Screening and timely treatment of latent TB infection are paramount in preventing development of TB disease</w:t>
      </w:r>
      <w:r>
        <w:rPr>
          <w:rFonts w:ascii="Arial" w:hAnsi="Arial" w:cs="Arial"/>
        </w:rPr>
        <w:t xml:space="preserve"> (</w:t>
      </w:r>
      <w:proofErr w:type="spellStart"/>
      <w:r>
        <w:rPr>
          <w:rFonts w:ascii="Arial" w:hAnsi="Arial" w:cs="Arial"/>
        </w:rPr>
        <w:t>Fanouriakis</w:t>
      </w:r>
      <w:proofErr w:type="spellEnd"/>
      <w:r>
        <w:rPr>
          <w:rFonts w:ascii="Arial" w:hAnsi="Arial" w:cs="Arial"/>
        </w:rPr>
        <w:t xml:space="preserve"> et al., 2019, Balbi, et al., 2018)</w:t>
      </w:r>
      <w:r w:rsidRPr="00284E27">
        <w:rPr>
          <w:rFonts w:ascii="Arial" w:hAnsi="Arial" w:cs="Arial"/>
        </w:rPr>
        <w:t>. This is even more important in areas of high TB burden, and in patients with known TB contact.</w:t>
      </w:r>
    </w:p>
    <w:p w:rsidR="00284E27" w:rsidRDefault="00284E27" w:rsidP="00284E27">
      <w:pPr>
        <w:rPr>
          <w:rFonts w:ascii="Arial" w:hAnsi="Arial" w:cs="Arial"/>
        </w:rPr>
      </w:pPr>
    </w:p>
    <w:p w:rsidR="00284E27" w:rsidRDefault="00284E27" w:rsidP="00284E27">
      <w:pPr>
        <w:rPr>
          <w:rFonts w:ascii="Arial" w:hAnsi="Arial" w:cs="Arial"/>
        </w:rPr>
      </w:pPr>
      <w:r w:rsidRPr="00284E27">
        <w:rPr>
          <w:rFonts w:ascii="Arial" w:hAnsi="Arial" w:cs="Arial"/>
        </w:rPr>
        <w:t>Only 16% of our patients had abnormal TST. This is lower than other studies that reported 34.7 to 58.9% TST positivity in their studies</w:t>
      </w:r>
      <w:r w:rsidR="00DD1232" w:rsidRPr="00DD1232">
        <w:rPr>
          <w:rFonts w:ascii="Arial" w:hAnsi="Arial" w:cs="Arial"/>
        </w:rPr>
        <w:t xml:space="preserve"> </w:t>
      </w:r>
      <w:r w:rsidR="00DD1232">
        <w:rPr>
          <w:rFonts w:ascii="Arial" w:hAnsi="Arial" w:cs="Arial"/>
        </w:rPr>
        <w:t>(Aygun et al., 2019, Loh et al., 2018, Shresta et al., 2011, Verma et al., 2014)</w:t>
      </w:r>
      <w:r w:rsidRPr="00284E27">
        <w:rPr>
          <w:rFonts w:ascii="Arial" w:hAnsi="Arial" w:cs="Arial"/>
        </w:rPr>
        <w:t>. False negative results can be due to TB infection within the past 8 to 10 weeks, severe TB, immunosuppression, and malnutrition</w:t>
      </w:r>
      <w:r w:rsidR="00DD1232">
        <w:rPr>
          <w:rFonts w:ascii="Arial" w:hAnsi="Arial" w:cs="Arial"/>
        </w:rPr>
        <w:t xml:space="preserve"> (WHO, 2022)</w:t>
      </w:r>
      <w:r w:rsidR="00DF4AD0">
        <w:rPr>
          <w:rFonts w:ascii="Arial" w:hAnsi="Arial" w:cs="Arial"/>
        </w:rPr>
        <w:t>.</w:t>
      </w:r>
      <w:r w:rsidRPr="00284E27">
        <w:rPr>
          <w:rFonts w:ascii="Arial" w:hAnsi="Arial" w:cs="Arial"/>
        </w:rPr>
        <w:t xml:space="preserve"> Since an abnormal TST is more useful in predicting latent TB than diagnosing TB disease, if other clinical features are suggestive of TB disease, treatment should not be delayed. It is also important to train the relevant staff on administering and interpreting TST.</w:t>
      </w:r>
    </w:p>
    <w:p w:rsidR="00CB2917" w:rsidRDefault="00CB2917" w:rsidP="00284E27">
      <w:pPr>
        <w:rPr>
          <w:rFonts w:ascii="Arial" w:hAnsi="Arial" w:cs="Arial"/>
        </w:rPr>
      </w:pPr>
    </w:p>
    <w:p w:rsidR="00790ADA" w:rsidRDefault="00CB2917" w:rsidP="00F93538">
      <w:pPr>
        <w:rPr>
          <w:rFonts w:ascii="Arial" w:hAnsi="Arial" w:cs="Arial"/>
        </w:rPr>
      </w:pPr>
      <w:r w:rsidRPr="00CB2917">
        <w:rPr>
          <w:rFonts w:ascii="Arial" w:hAnsi="Arial" w:cs="Arial"/>
        </w:rPr>
        <w:t>A high percentage of patients with cough and shortness of breath had abnormal CXR. A recent study of children with TB in Malaysia showed that 73.5% of them had minimal to advanced CXR abnormalities, and that advanced disease on CXR is a significant factor for unsuccessful treatment outcome</w:t>
      </w:r>
      <w:r>
        <w:rPr>
          <w:rFonts w:ascii="Arial" w:hAnsi="Arial" w:cs="Arial"/>
        </w:rPr>
        <w:t xml:space="preserve"> (</w:t>
      </w:r>
      <w:proofErr w:type="spellStart"/>
      <w:r>
        <w:rPr>
          <w:rFonts w:ascii="Arial" w:hAnsi="Arial" w:cs="Arial"/>
        </w:rPr>
        <w:t>Awaluddin</w:t>
      </w:r>
      <w:proofErr w:type="spellEnd"/>
      <w:r>
        <w:rPr>
          <w:rFonts w:ascii="Arial" w:hAnsi="Arial" w:cs="Arial"/>
        </w:rPr>
        <w:t xml:space="preserve"> et al.</w:t>
      </w:r>
      <w:r w:rsidR="00334A68">
        <w:rPr>
          <w:rFonts w:ascii="Arial" w:hAnsi="Arial" w:cs="Arial"/>
        </w:rPr>
        <w:t>,</w:t>
      </w:r>
      <w:r>
        <w:rPr>
          <w:rFonts w:ascii="Arial" w:hAnsi="Arial" w:cs="Arial"/>
        </w:rPr>
        <w:t xml:space="preserve"> 2020)</w:t>
      </w:r>
      <w:r w:rsidRPr="00CB2917">
        <w:rPr>
          <w:rFonts w:ascii="Arial" w:hAnsi="Arial" w:cs="Arial"/>
        </w:rPr>
        <w:t>. Other studies showed that abnormal CXR is seen in 73.5 to 84.0% of children with PTB</w:t>
      </w:r>
      <w:r>
        <w:rPr>
          <w:rFonts w:ascii="Arial" w:hAnsi="Arial" w:cs="Arial"/>
        </w:rPr>
        <w:t xml:space="preserve"> (</w:t>
      </w:r>
      <w:proofErr w:type="spellStart"/>
      <w:r>
        <w:rPr>
          <w:rFonts w:ascii="Arial" w:hAnsi="Arial" w:cs="Arial"/>
        </w:rPr>
        <w:t>Awaluddin</w:t>
      </w:r>
      <w:proofErr w:type="spellEnd"/>
      <w:r>
        <w:rPr>
          <w:rFonts w:ascii="Arial" w:hAnsi="Arial" w:cs="Arial"/>
        </w:rPr>
        <w:t xml:space="preserve"> et al.</w:t>
      </w:r>
      <w:r w:rsidR="00334A68">
        <w:rPr>
          <w:rFonts w:ascii="Arial" w:hAnsi="Arial" w:cs="Arial"/>
        </w:rPr>
        <w:t>,</w:t>
      </w:r>
      <w:r>
        <w:rPr>
          <w:rFonts w:ascii="Arial" w:hAnsi="Arial" w:cs="Arial"/>
        </w:rPr>
        <w:t xml:space="preserve"> 2020, Loh et al., 2018)</w:t>
      </w:r>
      <w:r w:rsidRPr="00CB2917">
        <w:rPr>
          <w:rFonts w:ascii="Arial" w:hAnsi="Arial" w:cs="Arial"/>
        </w:rPr>
        <w:t>. Presence of enlarged perihilar lymph nodes, bronchial compression, pleural effusion or cavities would strongly support diagnosis of TB in children</w:t>
      </w:r>
      <w:r w:rsidR="00334A68">
        <w:rPr>
          <w:rFonts w:ascii="Arial" w:hAnsi="Arial" w:cs="Arial"/>
        </w:rPr>
        <w:t xml:space="preserve"> (Palmer et al., 2022).</w:t>
      </w:r>
      <w:r w:rsidRPr="00CB2917">
        <w:rPr>
          <w:rFonts w:ascii="Arial" w:hAnsi="Arial" w:cs="Arial"/>
        </w:rPr>
        <w:t xml:space="preserve"> It is therefore crucial to consider performing a chest radiograph for children who present with prolonged fever, cough and shortness of breath.</w:t>
      </w:r>
    </w:p>
    <w:p w:rsidR="00F93538" w:rsidRDefault="00F93538" w:rsidP="00F93538">
      <w:pPr>
        <w:rPr>
          <w:rFonts w:ascii="Arial" w:hAnsi="Arial" w:cs="Arial"/>
        </w:rPr>
      </w:pPr>
    </w:p>
    <w:p w:rsidR="00F93538" w:rsidRDefault="00F93538" w:rsidP="00F93538">
      <w:pPr>
        <w:rPr>
          <w:rFonts w:ascii="Arial" w:hAnsi="Arial" w:cs="Arial"/>
        </w:rPr>
      </w:pPr>
      <w:r w:rsidRPr="00F93538">
        <w:rPr>
          <w:rFonts w:ascii="Arial" w:hAnsi="Arial" w:cs="Arial"/>
        </w:rPr>
        <w:t>The results of sputum smear for acid-fast bacilli are more often negative in children</w:t>
      </w:r>
      <w:r>
        <w:rPr>
          <w:rFonts w:ascii="Arial" w:hAnsi="Arial" w:cs="Arial"/>
        </w:rPr>
        <w:t xml:space="preserve"> (</w:t>
      </w:r>
      <w:proofErr w:type="spellStart"/>
      <w:r>
        <w:rPr>
          <w:rFonts w:ascii="Arial" w:hAnsi="Arial" w:cs="Arial"/>
        </w:rPr>
        <w:t>Awaluddin</w:t>
      </w:r>
      <w:proofErr w:type="spellEnd"/>
      <w:r>
        <w:rPr>
          <w:rFonts w:ascii="Arial" w:hAnsi="Arial" w:cs="Arial"/>
        </w:rPr>
        <w:t xml:space="preserve"> et al., 2020, Aygun et al., 2019, </w:t>
      </w:r>
      <w:proofErr w:type="spellStart"/>
      <w:r>
        <w:rPr>
          <w:rFonts w:ascii="Arial" w:hAnsi="Arial" w:cs="Arial"/>
        </w:rPr>
        <w:t>Khantee</w:t>
      </w:r>
      <w:proofErr w:type="spellEnd"/>
      <w:r>
        <w:rPr>
          <w:rFonts w:ascii="Arial" w:hAnsi="Arial" w:cs="Arial"/>
        </w:rPr>
        <w:t xml:space="preserve"> &amp; </w:t>
      </w:r>
      <w:proofErr w:type="spellStart"/>
      <w:r>
        <w:rPr>
          <w:rFonts w:ascii="Arial" w:hAnsi="Arial" w:cs="Arial"/>
        </w:rPr>
        <w:t>Laoprasopwattana</w:t>
      </w:r>
      <w:proofErr w:type="spellEnd"/>
      <w:r>
        <w:rPr>
          <w:rFonts w:ascii="Arial" w:hAnsi="Arial" w:cs="Arial"/>
        </w:rPr>
        <w:t>, 2021)</w:t>
      </w:r>
      <w:r w:rsidR="00FF5623">
        <w:rPr>
          <w:rFonts w:ascii="Arial" w:hAnsi="Arial" w:cs="Arial"/>
        </w:rPr>
        <w:t>.</w:t>
      </w:r>
      <w:r w:rsidRPr="00F93538">
        <w:rPr>
          <w:rFonts w:ascii="Arial" w:hAnsi="Arial" w:cs="Arial"/>
        </w:rPr>
        <w:t xml:space="preserve"> In addition to the paucibacillary nature of childhood TB, sputum specimens are difficult to collect especially in young patients, because they are unable to expectorate</w:t>
      </w:r>
      <w:r>
        <w:rPr>
          <w:rFonts w:ascii="Arial" w:hAnsi="Arial" w:cs="Arial"/>
        </w:rPr>
        <w:t xml:space="preserve"> (Piccini et al., 2014, Lamb &amp; Starke, 2017, Dunn et al., 2016). </w:t>
      </w:r>
      <w:r w:rsidRPr="00F93538">
        <w:rPr>
          <w:rFonts w:ascii="Arial" w:hAnsi="Arial" w:cs="Arial"/>
        </w:rPr>
        <w:t>Several guidelines recommended collection of early morning sputum from children who can expectorate</w:t>
      </w:r>
      <w:r w:rsidR="00243BC3">
        <w:rPr>
          <w:rFonts w:ascii="Arial" w:hAnsi="Arial" w:cs="Arial"/>
        </w:rPr>
        <w:t xml:space="preserve"> (Medical Development Division, 2021, Muhammad Ismail et al., 2019, T</w:t>
      </w:r>
      <w:r w:rsidR="00562A0D">
        <w:rPr>
          <w:rFonts w:ascii="Arial" w:hAnsi="Arial" w:cs="Arial"/>
        </w:rPr>
        <w:t>urnbull et al., 2017</w:t>
      </w:r>
      <w:r w:rsidR="00243BC3">
        <w:rPr>
          <w:rFonts w:ascii="Arial" w:hAnsi="Arial" w:cs="Arial"/>
        </w:rPr>
        <w:t>)</w:t>
      </w:r>
      <w:r w:rsidRPr="00F93538">
        <w:rPr>
          <w:rFonts w:ascii="Arial" w:hAnsi="Arial" w:cs="Arial"/>
        </w:rPr>
        <w:t>. Sputum induction was found to be a feasible method for these patients, while gastric or nasopharyngeal aspirate of sputum is advised for younger children.</w:t>
      </w:r>
    </w:p>
    <w:p w:rsidR="001D62D4" w:rsidRDefault="001D62D4" w:rsidP="00F93538">
      <w:pPr>
        <w:rPr>
          <w:rFonts w:ascii="Arial" w:hAnsi="Arial" w:cs="Arial"/>
        </w:rPr>
      </w:pPr>
    </w:p>
    <w:p w:rsidR="001D62D4" w:rsidRDefault="001D62D4" w:rsidP="00F93538">
      <w:pPr>
        <w:rPr>
          <w:rFonts w:ascii="Arial" w:hAnsi="Arial" w:cs="Arial"/>
        </w:rPr>
      </w:pPr>
      <w:r w:rsidRPr="001D62D4">
        <w:rPr>
          <w:rFonts w:ascii="Arial" w:hAnsi="Arial" w:cs="Arial"/>
        </w:rPr>
        <w:t>There is a low percentage of MTB culture positivity in children. While our study found only 18.3% of patients having MTB growth, other studies showed 20.2 to 44.4% positivity from their MTB sputum culture</w:t>
      </w:r>
      <w:r>
        <w:rPr>
          <w:rFonts w:ascii="Arial" w:hAnsi="Arial" w:cs="Arial"/>
        </w:rPr>
        <w:t xml:space="preserve"> (Aygun et al., 2019, </w:t>
      </w:r>
      <w:proofErr w:type="spellStart"/>
      <w:r>
        <w:rPr>
          <w:rFonts w:ascii="Arial" w:hAnsi="Arial" w:cs="Arial"/>
        </w:rPr>
        <w:t>Khantee</w:t>
      </w:r>
      <w:proofErr w:type="spellEnd"/>
      <w:r>
        <w:rPr>
          <w:rFonts w:ascii="Arial" w:hAnsi="Arial" w:cs="Arial"/>
        </w:rPr>
        <w:t xml:space="preserve"> &amp; </w:t>
      </w:r>
      <w:proofErr w:type="spellStart"/>
      <w:r>
        <w:rPr>
          <w:rFonts w:ascii="Arial" w:hAnsi="Arial" w:cs="Arial"/>
        </w:rPr>
        <w:t>Laoprasopwattana</w:t>
      </w:r>
      <w:proofErr w:type="spellEnd"/>
      <w:r>
        <w:rPr>
          <w:rFonts w:ascii="Arial" w:hAnsi="Arial" w:cs="Arial"/>
        </w:rPr>
        <w:t>, 2021</w:t>
      </w:r>
      <w:r w:rsidR="003F329C">
        <w:rPr>
          <w:rFonts w:ascii="Arial" w:hAnsi="Arial" w:cs="Arial"/>
        </w:rPr>
        <w:t>).</w:t>
      </w:r>
      <w:r w:rsidR="0018294E">
        <w:rPr>
          <w:rFonts w:ascii="Arial" w:hAnsi="Arial" w:cs="Arial"/>
        </w:rPr>
        <w:t xml:space="preserve"> </w:t>
      </w:r>
      <w:r w:rsidRPr="001D62D4">
        <w:rPr>
          <w:rFonts w:ascii="Arial" w:hAnsi="Arial" w:cs="Arial"/>
        </w:rPr>
        <w:t>Although a small number of mycobacteria is required for TB confirmation in sputum culture,10 children’s sample may have inadequate organism, as the bacilli in the specimen may become non-viable during the decontamination process</w:t>
      </w:r>
      <w:r w:rsidR="003F329C">
        <w:rPr>
          <w:rFonts w:ascii="Arial" w:hAnsi="Arial" w:cs="Arial"/>
        </w:rPr>
        <w:t xml:space="preserve"> (Dunn et al., 2016)</w:t>
      </w:r>
      <w:r w:rsidRPr="001D62D4">
        <w:rPr>
          <w:rFonts w:ascii="Arial" w:hAnsi="Arial" w:cs="Arial"/>
        </w:rPr>
        <w:t>. Therefore, it is recommended that specimens are sent for nucleic acid amplification techniques (NAAT) such as Xpert MTB/RIF, especially if there is suspicion of smear negative tuberculosis. This could potentially hasten diagnosis and increase the yield of positive results.</w:t>
      </w:r>
    </w:p>
    <w:p w:rsidR="00EA4FBA" w:rsidRDefault="00EA4FBA" w:rsidP="00F93538">
      <w:pPr>
        <w:rPr>
          <w:rFonts w:ascii="Arial" w:hAnsi="Arial" w:cs="Arial"/>
        </w:rPr>
      </w:pPr>
    </w:p>
    <w:p w:rsidR="00EA4FBA" w:rsidRDefault="00EA4FBA" w:rsidP="00F93538">
      <w:pPr>
        <w:rPr>
          <w:rFonts w:ascii="Arial" w:hAnsi="Arial" w:cs="Arial"/>
        </w:rPr>
      </w:pPr>
      <w:r w:rsidRPr="00EA4FBA">
        <w:rPr>
          <w:rFonts w:ascii="Arial" w:hAnsi="Arial" w:cs="Arial"/>
        </w:rPr>
        <w:t>Almost half of children under 5 years in our study had EPTB, compared with only a quarter of the older children. Studies showed that younger patients are at higher risk of EPTB</w:t>
      </w:r>
      <w:r>
        <w:rPr>
          <w:rFonts w:ascii="Arial" w:hAnsi="Arial" w:cs="Arial"/>
        </w:rPr>
        <w:t xml:space="preserve"> (Loh et al., 2018, Verma et al., 2014)</w:t>
      </w:r>
      <w:r w:rsidRPr="00284E27">
        <w:rPr>
          <w:rFonts w:ascii="Arial" w:hAnsi="Arial" w:cs="Arial"/>
        </w:rPr>
        <w:t xml:space="preserve">. </w:t>
      </w:r>
      <w:r w:rsidRPr="00EA4FBA">
        <w:rPr>
          <w:rFonts w:ascii="Arial" w:hAnsi="Arial" w:cs="Arial"/>
        </w:rPr>
        <w:t>The most common extra-pulmonary site in our study is the CNS. This is similar to two other studies which showed 26.9 and 70.1% of patients having CNS TB respectively</w:t>
      </w:r>
      <w:r>
        <w:rPr>
          <w:rFonts w:ascii="Arial" w:hAnsi="Arial" w:cs="Arial"/>
        </w:rPr>
        <w:t xml:space="preserve"> (</w:t>
      </w:r>
      <w:proofErr w:type="spellStart"/>
      <w:r>
        <w:rPr>
          <w:rFonts w:ascii="Arial" w:hAnsi="Arial" w:cs="Arial"/>
        </w:rPr>
        <w:t>Panigatti</w:t>
      </w:r>
      <w:proofErr w:type="spellEnd"/>
      <w:r>
        <w:rPr>
          <w:rFonts w:ascii="Arial" w:hAnsi="Arial" w:cs="Arial"/>
        </w:rPr>
        <w:t xml:space="preserve"> et al., 2013, Loh et al., 2018, Verma et al., 2014).</w:t>
      </w:r>
      <w:r w:rsidR="0018294E">
        <w:rPr>
          <w:rFonts w:ascii="Arial" w:hAnsi="Arial" w:cs="Arial"/>
        </w:rPr>
        <w:t xml:space="preserve"> </w:t>
      </w:r>
      <w:r w:rsidRPr="00EA4FBA">
        <w:rPr>
          <w:rFonts w:ascii="Arial" w:hAnsi="Arial" w:cs="Arial"/>
        </w:rPr>
        <w:t>The immature immune system in young children, with a lower number of certain T-cells, minimal production of interferon-gamma and a small numbe</w:t>
      </w:r>
      <w:r w:rsidR="004D4F9B">
        <w:rPr>
          <w:rFonts w:ascii="Arial" w:hAnsi="Arial" w:cs="Arial"/>
        </w:rPr>
        <w:t xml:space="preserve">r of alveolar macrophages, </w:t>
      </w:r>
      <w:r w:rsidRPr="00EA4FBA">
        <w:rPr>
          <w:rFonts w:ascii="Arial" w:hAnsi="Arial" w:cs="Arial"/>
        </w:rPr>
        <w:t>increases the risk of disease progression from TB infection to disease</w:t>
      </w:r>
      <w:r w:rsidR="004D4F9B">
        <w:rPr>
          <w:rFonts w:ascii="Arial" w:hAnsi="Arial" w:cs="Arial"/>
        </w:rPr>
        <w:t xml:space="preserve"> (Tok et al., 2020, WHO, 2013)</w:t>
      </w:r>
      <w:r w:rsidRPr="00EA4FBA">
        <w:rPr>
          <w:rFonts w:ascii="Arial" w:hAnsi="Arial" w:cs="Arial"/>
        </w:rPr>
        <w:t>. Therefore, it is crucial that early diagnosis is made and treatment given promptly to prevent complications and mortality among this group of patients.</w:t>
      </w:r>
    </w:p>
    <w:p w:rsidR="00DD7FDF" w:rsidRDefault="00DD7FDF" w:rsidP="00F93538">
      <w:pPr>
        <w:rPr>
          <w:rFonts w:ascii="Arial" w:hAnsi="Arial" w:cs="Arial"/>
        </w:rPr>
      </w:pPr>
    </w:p>
    <w:p w:rsidR="00DD7FDF" w:rsidRDefault="00DD7FDF" w:rsidP="00DD7FDF">
      <w:pPr>
        <w:rPr>
          <w:rFonts w:ascii="Arial" w:hAnsi="Arial" w:cs="Arial"/>
        </w:rPr>
      </w:pPr>
      <w:r w:rsidRPr="00DD7FDF">
        <w:rPr>
          <w:rFonts w:ascii="Arial" w:hAnsi="Arial" w:cs="Arial"/>
        </w:rPr>
        <w:lastRenderedPageBreak/>
        <w:t>The high number of patients in this study who passed away within a month of diagnosis may likely be due to late presentation to a healthcare facility. Other studies demonstrated that passive case detection is a risk factor for unsuccessful treatment outcome and mortality in patients with TB</w:t>
      </w:r>
      <w:r>
        <w:rPr>
          <w:rFonts w:ascii="Arial" w:hAnsi="Arial" w:cs="Arial"/>
        </w:rPr>
        <w:t xml:space="preserve"> (</w:t>
      </w:r>
      <w:proofErr w:type="spellStart"/>
      <w:r>
        <w:rPr>
          <w:rFonts w:ascii="Arial" w:hAnsi="Arial" w:cs="Arial"/>
        </w:rPr>
        <w:t>Awaluddin</w:t>
      </w:r>
      <w:proofErr w:type="spellEnd"/>
      <w:r>
        <w:rPr>
          <w:rFonts w:ascii="Arial" w:hAnsi="Arial" w:cs="Arial"/>
        </w:rPr>
        <w:t xml:space="preserve"> et al., 2020,</w:t>
      </w:r>
      <w:r w:rsidRPr="00DD7FDF">
        <w:rPr>
          <w:rFonts w:ascii="Arial" w:hAnsi="Arial" w:cs="Arial"/>
        </w:rPr>
        <w:t xml:space="preserve"> </w:t>
      </w:r>
      <w:r>
        <w:rPr>
          <w:rFonts w:ascii="Arial" w:hAnsi="Arial" w:cs="Arial"/>
        </w:rPr>
        <w:t>Tok et al., 2020)</w:t>
      </w:r>
      <w:r w:rsidRPr="00DD7FDF">
        <w:rPr>
          <w:rFonts w:ascii="Arial" w:hAnsi="Arial" w:cs="Arial"/>
        </w:rPr>
        <w:t>. This, coupled with a significant percentage of patients being non-Malaysian, may have resulted in them presenting late to the hospital.</w:t>
      </w:r>
    </w:p>
    <w:p w:rsidR="004C1DCD" w:rsidRDefault="004C1DCD" w:rsidP="00DD7FDF">
      <w:pPr>
        <w:rPr>
          <w:rFonts w:ascii="Arial" w:hAnsi="Arial" w:cs="Arial"/>
        </w:rPr>
      </w:pPr>
    </w:p>
    <w:p w:rsidR="00C54D78" w:rsidRDefault="00C54D78" w:rsidP="00C54D78">
      <w:pPr>
        <w:rPr>
          <w:rFonts w:ascii="Arial" w:hAnsi="Arial" w:cs="Arial"/>
        </w:rPr>
      </w:pPr>
      <w:r w:rsidRPr="00C54D78">
        <w:rPr>
          <w:rFonts w:ascii="Arial" w:hAnsi="Arial" w:cs="Arial"/>
        </w:rPr>
        <w:t>Our study has a few limitations. Since we depended almost totally on secondary data, we could gain little information about the patients’ living conditions. The study only covers three years of TB mortality among children in Malaysia; therefore, the study population is small, making it difficult to perform further analysis.</w:t>
      </w:r>
    </w:p>
    <w:p w:rsidR="00C54D78" w:rsidRPr="00C54D78" w:rsidRDefault="00C54D78" w:rsidP="00C54D78">
      <w:pPr>
        <w:rPr>
          <w:rFonts w:ascii="Arial" w:hAnsi="Arial" w:cs="Arial"/>
        </w:rPr>
      </w:pPr>
    </w:p>
    <w:p w:rsidR="00C54D78" w:rsidRDefault="00C54D78" w:rsidP="00C54D78">
      <w:pPr>
        <w:rPr>
          <w:rFonts w:ascii="Arial" w:hAnsi="Arial" w:cs="Arial"/>
        </w:rPr>
      </w:pPr>
      <w:r w:rsidRPr="00C54D78">
        <w:rPr>
          <w:rFonts w:ascii="Arial" w:hAnsi="Arial" w:cs="Arial"/>
        </w:rPr>
        <w:t xml:space="preserve">We would recommend a prospective study looking into the outcome of TB in </w:t>
      </w:r>
      <w:proofErr w:type="spellStart"/>
      <w:r w:rsidRPr="00C54D78">
        <w:rPr>
          <w:rFonts w:ascii="Arial" w:hAnsi="Arial" w:cs="Arial"/>
        </w:rPr>
        <w:t>paediatric</w:t>
      </w:r>
      <w:proofErr w:type="spellEnd"/>
      <w:r w:rsidRPr="00C54D78">
        <w:rPr>
          <w:rFonts w:ascii="Arial" w:hAnsi="Arial" w:cs="Arial"/>
        </w:rPr>
        <w:t xml:space="preserve"> population, involving all states in the country, to be able to achieve a larger sample size and to enable deeper analysis of disease outcomes. We would also recommend an investigation on the living conditions of patients, such as house occupancy, size of living space, house and population density, as well as availability of indoor toilets and running water. </w:t>
      </w:r>
    </w:p>
    <w:p w:rsidR="00C54D78" w:rsidRPr="00C54D78" w:rsidRDefault="00C54D78" w:rsidP="00C54D78">
      <w:pPr>
        <w:rPr>
          <w:rFonts w:ascii="Arial" w:hAnsi="Arial" w:cs="Arial"/>
        </w:rPr>
      </w:pPr>
    </w:p>
    <w:p w:rsidR="00F93538" w:rsidRDefault="00C54D78" w:rsidP="006C088A">
      <w:pPr>
        <w:rPr>
          <w:rFonts w:ascii="Arial" w:hAnsi="Arial" w:cs="Arial"/>
        </w:rPr>
      </w:pPr>
      <w:r w:rsidRPr="00C54D78">
        <w:rPr>
          <w:rFonts w:ascii="Arial" w:hAnsi="Arial" w:cs="Arial"/>
        </w:rPr>
        <w:t xml:space="preserve">As of our knowledge, this is the only study in Malaysia that focused into mortality from TB in </w:t>
      </w:r>
      <w:proofErr w:type="spellStart"/>
      <w:r w:rsidRPr="00C54D78">
        <w:rPr>
          <w:rFonts w:ascii="Arial" w:hAnsi="Arial" w:cs="Arial"/>
        </w:rPr>
        <w:t>paediatric</w:t>
      </w:r>
      <w:proofErr w:type="spellEnd"/>
      <w:r w:rsidRPr="00C54D78">
        <w:rPr>
          <w:rFonts w:ascii="Arial" w:hAnsi="Arial" w:cs="Arial"/>
        </w:rPr>
        <w:t xml:space="preserve"> population. This study can be a background from which better studies could be done in the future.</w:t>
      </w:r>
    </w:p>
    <w:p w:rsidR="00F93538" w:rsidRPr="004E008D" w:rsidRDefault="00F93538" w:rsidP="006C088A">
      <w:pPr>
        <w:rPr>
          <w:rFonts w:ascii="Arial" w:hAnsi="Arial" w:cs="Arial"/>
          <w:color w:val="9BBB59" w:themeColor="accent3"/>
        </w:rPr>
      </w:pPr>
    </w:p>
    <w:p w:rsidR="00B01FCD" w:rsidRPr="00C54D78" w:rsidRDefault="00000F8F" w:rsidP="006C088A">
      <w:pPr>
        <w:pStyle w:val="ConcHead"/>
        <w:spacing w:after="0"/>
        <w:jc w:val="both"/>
        <w:rPr>
          <w:rFonts w:ascii="Arial" w:hAnsi="Arial" w:cs="Arial"/>
        </w:rPr>
      </w:pPr>
      <w:r w:rsidRPr="00C54D78">
        <w:rPr>
          <w:rFonts w:ascii="Arial" w:hAnsi="Arial" w:cs="Arial"/>
        </w:rPr>
        <w:t xml:space="preserve">4. </w:t>
      </w:r>
      <w:r w:rsidR="00B01FCD" w:rsidRPr="00C54D78">
        <w:rPr>
          <w:rFonts w:ascii="Arial" w:hAnsi="Arial" w:cs="Arial"/>
        </w:rPr>
        <w:t>Conclusion</w:t>
      </w:r>
    </w:p>
    <w:p w:rsidR="00790ADA" w:rsidRPr="00C54D78" w:rsidRDefault="00790ADA" w:rsidP="006C088A">
      <w:pPr>
        <w:pStyle w:val="ConcHead"/>
        <w:spacing w:after="0"/>
        <w:jc w:val="both"/>
        <w:rPr>
          <w:rFonts w:ascii="Arial" w:hAnsi="Arial" w:cs="Arial"/>
        </w:rPr>
      </w:pPr>
    </w:p>
    <w:p w:rsidR="00790ADA" w:rsidRDefault="00C54D78" w:rsidP="006C088A">
      <w:pPr>
        <w:pStyle w:val="Body"/>
        <w:spacing w:after="0"/>
        <w:rPr>
          <w:rFonts w:ascii="Arial" w:hAnsi="Arial" w:cs="Arial"/>
          <w:lang w:val="en-MY"/>
        </w:rPr>
      </w:pPr>
      <w:r w:rsidRPr="00C54D78">
        <w:rPr>
          <w:rFonts w:ascii="Arial" w:hAnsi="Arial" w:cs="Arial"/>
          <w:lang w:val="en-MY"/>
        </w:rPr>
        <w:t>It is crucial for clinicians to be aware of the diversity of TB symptoms and signs. A high index of suspicion is paramount in order to make early TB diagnosis, hence preventing development of complications. The collaboration between the public health sector with policy makers would be ideal for improvement of vaccination uptake, as well as advancement of the people’s socio-economic status and living conditions.</w:t>
      </w:r>
    </w:p>
    <w:p w:rsidR="006C088A" w:rsidRPr="004E008D" w:rsidRDefault="006C088A" w:rsidP="006C088A">
      <w:pPr>
        <w:pStyle w:val="Body"/>
        <w:spacing w:after="0"/>
        <w:rPr>
          <w:rFonts w:ascii="Arial" w:hAnsi="Arial" w:cs="Arial"/>
          <w:color w:val="9BBB59" w:themeColor="accent3"/>
        </w:rPr>
      </w:pPr>
    </w:p>
    <w:p w:rsidR="00597D5F" w:rsidRPr="009C081E" w:rsidRDefault="00597D5F" w:rsidP="006C088A">
      <w:pPr>
        <w:pStyle w:val="Body"/>
        <w:spacing w:after="0"/>
        <w:rPr>
          <w:rFonts w:ascii="Arial" w:hAnsi="Arial" w:cs="Arial"/>
        </w:rPr>
      </w:pPr>
      <w:r w:rsidRPr="009C081E">
        <w:rPr>
          <w:rFonts w:ascii="Arial" w:hAnsi="Arial" w:cs="Arial"/>
        </w:rPr>
        <w:t xml:space="preserve"> </w:t>
      </w:r>
    </w:p>
    <w:p w:rsidR="00860000" w:rsidRPr="004E008D" w:rsidRDefault="00860000" w:rsidP="00441B6F">
      <w:pPr>
        <w:pStyle w:val="ReferHead"/>
        <w:spacing w:after="0"/>
        <w:jc w:val="both"/>
        <w:rPr>
          <w:rFonts w:ascii="Arial" w:hAnsi="Arial" w:cs="Arial"/>
          <w:color w:val="9BBB59" w:themeColor="accent3"/>
        </w:rPr>
      </w:pPr>
    </w:p>
    <w:p w:rsidR="00E7314D" w:rsidRPr="00AB4549" w:rsidRDefault="00B01FCD" w:rsidP="00AB4549">
      <w:pPr>
        <w:pStyle w:val="ReferHead"/>
        <w:spacing w:after="0"/>
        <w:jc w:val="both"/>
        <w:rPr>
          <w:rFonts w:ascii="Arial" w:hAnsi="Arial" w:cs="Arial"/>
        </w:rPr>
      </w:pPr>
      <w:r w:rsidRPr="00AB4549">
        <w:rPr>
          <w:rFonts w:ascii="Arial" w:hAnsi="Arial" w:cs="Arial"/>
        </w:rPr>
        <w:t>References</w:t>
      </w:r>
    </w:p>
    <w:p w:rsidR="00F51A71" w:rsidRPr="00AB4549" w:rsidRDefault="00F51A71" w:rsidP="00AB4549">
      <w:pPr>
        <w:pStyle w:val="ReferHead"/>
        <w:spacing w:after="0"/>
        <w:jc w:val="both"/>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Ahmad, Z., Lockard, C.A., Ooi, J.B., &amp; Leinbach, T.R. (1999, updated 2025 Nov 13). Malaysia [Internet]. Available from: https://www.britannica.com/place/Malaysia</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proofErr w:type="spellStart"/>
      <w:r w:rsidRPr="00AB4549">
        <w:rPr>
          <w:rFonts w:ascii="Arial" w:hAnsi="Arial" w:cs="Arial"/>
        </w:rPr>
        <w:t>Awaluddin</w:t>
      </w:r>
      <w:proofErr w:type="spellEnd"/>
      <w:r w:rsidRPr="00AB4549">
        <w:rPr>
          <w:rFonts w:ascii="Arial" w:hAnsi="Arial" w:cs="Arial"/>
        </w:rPr>
        <w:t xml:space="preserve">, S.M., Ismail, N., Zakaria, Y., Yasin, S., Razali, A., </w:t>
      </w:r>
      <w:proofErr w:type="spellStart"/>
      <w:r w:rsidRPr="00AB4549">
        <w:rPr>
          <w:rFonts w:ascii="Arial" w:hAnsi="Arial" w:cs="Arial"/>
        </w:rPr>
        <w:t>Mutalip</w:t>
      </w:r>
      <w:proofErr w:type="spellEnd"/>
      <w:r w:rsidRPr="00AB4549">
        <w:rPr>
          <w:rFonts w:ascii="Arial" w:hAnsi="Arial" w:cs="Arial"/>
        </w:rPr>
        <w:t xml:space="preserve">, M.H. et al. (2020). Characteristics of </w:t>
      </w:r>
      <w:proofErr w:type="spellStart"/>
      <w:r w:rsidRPr="00AB4549">
        <w:rPr>
          <w:rFonts w:ascii="Arial" w:hAnsi="Arial" w:cs="Arial"/>
        </w:rPr>
        <w:t>paediatric</w:t>
      </w:r>
      <w:proofErr w:type="spellEnd"/>
      <w:r w:rsidRPr="00AB4549">
        <w:rPr>
          <w:rFonts w:ascii="Arial" w:hAnsi="Arial" w:cs="Arial"/>
        </w:rPr>
        <w:t xml:space="preserve"> patients with tuberculosis and associated determinants of treatment success in </w:t>
      </w:r>
      <w:proofErr w:type="spellStart"/>
      <w:r w:rsidRPr="00AB4549">
        <w:rPr>
          <w:rFonts w:ascii="Arial" w:hAnsi="Arial" w:cs="Arial"/>
        </w:rPr>
        <w:t>malaysia</w:t>
      </w:r>
      <w:proofErr w:type="spellEnd"/>
      <w:r w:rsidRPr="00AB4549">
        <w:rPr>
          <w:rFonts w:ascii="Arial" w:hAnsi="Arial" w:cs="Arial"/>
        </w:rPr>
        <w:t xml:space="preserve"> using the </w:t>
      </w:r>
      <w:proofErr w:type="spellStart"/>
      <w:r w:rsidRPr="00AB4549">
        <w:rPr>
          <w:rFonts w:ascii="Arial" w:hAnsi="Arial" w:cs="Arial"/>
        </w:rPr>
        <w:t>MyTB</w:t>
      </w:r>
      <w:proofErr w:type="spellEnd"/>
      <w:r w:rsidRPr="00AB4549">
        <w:rPr>
          <w:rFonts w:ascii="Arial" w:hAnsi="Arial" w:cs="Arial"/>
        </w:rPr>
        <w:t xml:space="preserve"> version 2.1 database over five years. BMC Public Health, 20(1903). https://doi.org/10.1186/s12889-020-10005-y</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 xml:space="preserve">Aygun, D., </w:t>
      </w:r>
      <w:proofErr w:type="spellStart"/>
      <w:r w:rsidRPr="00AB4549">
        <w:rPr>
          <w:rFonts w:ascii="Arial" w:hAnsi="Arial" w:cs="Arial"/>
        </w:rPr>
        <w:t>Akçakaya</w:t>
      </w:r>
      <w:proofErr w:type="spellEnd"/>
      <w:r w:rsidRPr="00AB4549">
        <w:rPr>
          <w:rFonts w:ascii="Arial" w:hAnsi="Arial" w:cs="Arial"/>
        </w:rPr>
        <w:t xml:space="preserve">, N., </w:t>
      </w:r>
      <w:proofErr w:type="spellStart"/>
      <w:r w:rsidRPr="00AB4549">
        <w:rPr>
          <w:rFonts w:ascii="Arial" w:hAnsi="Arial" w:cs="Arial"/>
        </w:rPr>
        <w:t>Çokuğraş</w:t>
      </w:r>
      <w:proofErr w:type="spellEnd"/>
      <w:r w:rsidRPr="00AB4549">
        <w:rPr>
          <w:rFonts w:ascii="Arial" w:hAnsi="Arial" w:cs="Arial"/>
        </w:rPr>
        <w:t xml:space="preserve">, H.C., &amp; </w:t>
      </w:r>
      <w:proofErr w:type="spellStart"/>
      <w:r w:rsidRPr="00AB4549">
        <w:rPr>
          <w:rFonts w:ascii="Arial" w:hAnsi="Arial" w:cs="Arial"/>
        </w:rPr>
        <w:t>Camcıoğlu</w:t>
      </w:r>
      <w:proofErr w:type="spellEnd"/>
      <w:r w:rsidRPr="00AB4549">
        <w:rPr>
          <w:rFonts w:ascii="Arial" w:hAnsi="Arial" w:cs="Arial"/>
        </w:rPr>
        <w:t>, Y. (2019). Evaluation of clinical and laboratory characteristics of children with pulmonary and extrapulmonary tuberculosis. Medicina, 55(8). https://doi.org/10.3390/medicina55080428</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 xml:space="preserve">Balbi, G.G., Machado-Ribeiro, F., Marques, C.D., Signorelli, F.V., &amp; Levy, R.A. (2018). The interplay between tuberculosis and systemic lupus erythematosus. Current Opinion in Rheumatology, 30(4), 395–402. </w:t>
      </w:r>
      <w:hyperlink r:id="rId16" w:history="1">
        <w:r w:rsidRPr="00AB4549">
          <w:rPr>
            <w:rStyle w:val="Hyperlink"/>
            <w:rFonts w:ascii="Arial" w:hAnsi="Arial" w:cs="Arial"/>
            <w:color w:val="auto"/>
          </w:rPr>
          <w:t>https://doi.org/10.1097/BOR.0000000000000493</w:t>
        </w:r>
      </w:hyperlink>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Bao, S., Lu, J., Huang, H., Jin, Y., Ding, F., Yang, Z., et al. (2023). Major infections of newly diagnosed childhood-onset systemic lupus erythematosus. Journal of Multidisciplinary Healthcare, 16, 1455-1462.</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Beig, F.K., Ali, M.K., &amp; Naim, E. (2019). Induced sputum versus gastric aspirate for microbiological confirmation of pulmonary tuberculosis in infants and young children: A prospective cohort study. Indian Journal of Child Health. 6(3),117-120.</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Bertolozzi, M.R., Takahashi, R.F., França, F.O., &amp; Hino, P. (2020). The incidence of tuberculosis and its relation to social inequalities: Integrative review study on PubMed Base. Escola Anna Nery, 24(1), e20180367. https://doi.org/10.1590/2177-9465-EAN-2018-0367</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Disease Control Division (TB/Leprosy Sector). (2021). National Strategic Plan to End TB (2021 - 2030). Ministry of Health Malaysia.</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Dunn, J.J., Starke, J.R., &amp; Revell, P.A. (2016). Laboratory diagnosis of Mycobacterium tuberculosis infection and disease in children. Journal of Clinical Microbiology, 54(6), 1434-1441. https://doi.org/10.1128/JCM.03043-15</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proofErr w:type="spellStart"/>
      <w:r w:rsidRPr="00AB4549">
        <w:rPr>
          <w:rFonts w:ascii="Arial" w:hAnsi="Arial" w:cs="Arial"/>
        </w:rPr>
        <w:lastRenderedPageBreak/>
        <w:t>Fanouriakis</w:t>
      </w:r>
      <w:proofErr w:type="spellEnd"/>
      <w:r w:rsidRPr="00AB4549">
        <w:rPr>
          <w:rFonts w:ascii="Arial" w:hAnsi="Arial" w:cs="Arial"/>
        </w:rPr>
        <w:t xml:space="preserve">, A., </w:t>
      </w:r>
      <w:proofErr w:type="spellStart"/>
      <w:r w:rsidRPr="00AB4549">
        <w:rPr>
          <w:rFonts w:ascii="Arial" w:hAnsi="Arial" w:cs="Arial"/>
        </w:rPr>
        <w:t>Kostopoulou</w:t>
      </w:r>
      <w:proofErr w:type="spellEnd"/>
      <w:r w:rsidRPr="00AB4549">
        <w:rPr>
          <w:rFonts w:ascii="Arial" w:hAnsi="Arial" w:cs="Arial"/>
        </w:rPr>
        <w:t xml:space="preserve">, M., Alunno, A., </w:t>
      </w:r>
      <w:proofErr w:type="spellStart"/>
      <w:r w:rsidRPr="00AB4549">
        <w:rPr>
          <w:rFonts w:ascii="Arial" w:hAnsi="Arial" w:cs="Arial"/>
        </w:rPr>
        <w:t>Aringer</w:t>
      </w:r>
      <w:proofErr w:type="spellEnd"/>
      <w:r w:rsidRPr="00AB4549">
        <w:rPr>
          <w:rFonts w:ascii="Arial" w:hAnsi="Arial" w:cs="Arial"/>
        </w:rPr>
        <w:t>, M., Bajema, I.M., Boletis, J., et al. (2019). 2019 Update of the EULAR recommendations for the management of systemic lupus erythematosus. Annals of the Rheumatic Diseases, 78(6), 736-745. https://doi.org/ https://doi.org/10.1136/annrheumdis-2019-215089</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proofErr w:type="spellStart"/>
      <w:r w:rsidRPr="00AB4549">
        <w:rPr>
          <w:rFonts w:ascii="Arial" w:hAnsi="Arial" w:cs="Arial"/>
        </w:rPr>
        <w:t>Giancane</w:t>
      </w:r>
      <w:proofErr w:type="spellEnd"/>
      <w:r w:rsidRPr="00AB4549">
        <w:rPr>
          <w:rFonts w:ascii="Arial" w:hAnsi="Arial" w:cs="Arial"/>
        </w:rPr>
        <w:t xml:space="preserve">, G., Swart, J.F., Castagnola, E., Groll, A.H., Horneff, G., </w:t>
      </w:r>
      <w:proofErr w:type="spellStart"/>
      <w:r w:rsidRPr="00AB4549">
        <w:rPr>
          <w:rFonts w:ascii="Arial" w:hAnsi="Arial" w:cs="Arial"/>
        </w:rPr>
        <w:t>Huppertz</w:t>
      </w:r>
      <w:proofErr w:type="spellEnd"/>
      <w:r w:rsidRPr="00AB4549">
        <w:rPr>
          <w:rFonts w:ascii="Arial" w:hAnsi="Arial" w:cs="Arial"/>
        </w:rPr>
        <w:t xml:space="preserve">, H., et al. (2020). Opportunistic infections in immunosuppressed patients with juvenile idiopathic arthritis: Analysis by the </w:t>
      </w:r>
      <w:proofErr w:type="spellStart"/>
      <w:r w:rsidRPr="00AB4549">
        <w:rPr>
          <w:rFonts w:ascii="Arial" w:hAnsi="Arial" w:cs="Arial"/>
        </w:rPr>
        <w:t>Pharmachild</w:t>
      </w:r>
      <w:proofErr w:type="spellEnd"/>
      <w:r w:rsidRPr="00AB4549">
        <w:rPr>
          <w:rFonts w:ascii="Arial" w:hAnsi="Arial" w:cs="Arial"/>
        </w:rPr>
        <w:t xml:space="preserve"> Safety Adjudication Committee. Arthritis Research &amp; Therapy, 22(71). https://doi.org/10.1186/s13075-020-02167-2</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 xml:space="preserve">Goroh, M.M., </w:t>
      </w:r>
      <w:proofErr w:type="spellStart"/>
      <w:r w:rsidRPr="00AB4549">
        <w:rPr>
          <w:rFonts w:ascii="Arial" w:hAnsi="Arial" w:cs="Arial"/>
        </w:rPr>
        <w:t>Rajahram</w:t>
      </w:r>
      <w:proofErr w:type="spellEnd"/>
      <w:r w:rsidRPr="00AB4549">
        <w:rPr>
          <w:rFonts w:ascii="Arial" w:hAnsi="Arial" w:cs="Arial"/>
        </w:rPr>
        <w:t xml:space="preserve">, G.S., </w:t>
      </w:r>
      <w:proofErr w:type="spellStart"/>
      <w:r w:rsidRPr="00AB4549">
        <w:rPr>
          <w:rFonts w:ascii="Arial" w:hAnsi="Arial" w:cs="Arial"/>
        </w:rPr>
        <w:t>Avoi</w:t>
      </w:r>
      <w:proofErr w:type="spellEnd"/>
      <w:r w:rsidRPr="00AB4549">
        <w:rPr>
          <w:rFonts w:ascii="Arial" w:hAnsi="Arial" w:cs="Arial"/>
        </w:rPr>
        <w:t>, R., van den Boogard, C., William, T., Ralph, A.P. et al. (2020). Epidemiology of tuberculosis in Sabah, Malaysia, 2012-2018. Infectious Diseases of Poverty. 9(119). https://doi.org/10.1186/s40249-020-00739-7</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 xml:space="preserve">Gupta, L., Aggarwal, R., Naveen, R., Lawrence, A., </w:t>
      </w:r>
      <w:proofErr w:type="spellStart"/>
      <w:r w:rsidRPr="00AB4549">
        <w:rPr>
          <w:rFonts w:ascii="Arial" w:hAnsi="Arial" w:cs="Arial"/>
        </w:rPr>
        <w:t>Zanwar</w:t>
      </w:r>
      <w:proofErr w:type="spellEnd"/>
      <w:r w:rsidRPr="00AB4549">
        <w:rPr>
          <w:rFonts w:ascii="Arial" w:hAnsi="Arial" w:cs="Arial"/>
        </w:rPr>
        <w:t xml:space="preserve">, A.A., </w:t>
      </w:r>
      <w:proofErr w:type="spellStart"/>
      <w:r w:rsidRPr="00AB4549">
        <w:rPr>
          <w:rFonts w:ascii="Arial" w:hAnsi="Arial" w:cs="Arial"/>
        </w:rPr>
        <w:t>Misra</w:t>
      </w:r>
      <w:proofErr w:type="spellEnd"/>
      <w:r w:rsidRPr="00AB4549">
        <w:rPr>
          <w:rFonts w:ascii="Arial" w:hAnsi="Arial" w:cs="Arial"/>
        </w:rPr>
        <w:t xml:space="preserve">, D.P., et al. (2020). High prevalence of active tuberculosis in adults and children with idiopathic inflammatory myositis as compared with systemic lupus erythematosus in a tuberculosis endemic country: Retrospective data review from a tertiary care </w:t>
      </w:r>
      <w:proofErr w:type="spellStart"/>
      <w:r w:rsidRPr="00AB4549">
        <w:rPr>
          <w:rFonts w:ascii="Arial" w:hAnsi="Arial" w:cs="Arial"/>
        </w:rPr>
        <w:t>centre</w:t>
      </w:r>
      <w:proofErr w:type="spellEnd"/>
      <w:r w:rsidRPr="00AB4549">
        <w:rPr>
          <w:rFonts w:ascii="Arial" w:hAnsi="Arial" w:cs="Arial"/>
        </w:rPr>
        <w:t xml:space="preserve"> in India. Mediterranean Journal of Rheumatology, 32(2), 134-142. https://doi.org/10.31138/mjr.32.2.134</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Human Resources Policy Division. (2020) Malaysian Standard Classification of Occupations 2020. Ministry of Human Resources Malaysia.</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proofErr w:type="spellStart"/>
      <w:r w:rsidRPr="00AB4549">
        <w:rPr>
          <w:rFonts w:ascii="Arial" w:hAnsi="Arial" w:cs="Arial"/>
        </w:rPr>
        <w:t>Khantee</w:t>
      </w:r>
      <w:proofErr w:type="spellEnd"/>
      <w:r w:rsidRPr="00AB4549">
        <w:rPr>
          <w:rFonts w:ascii="Arial" w:hAnsi="Arial" w:cs="Arial"/>
        </w:rPr>
        <w:t xml:space="preserve">, P., &amp; </w:t>
      </w:r>
      <w:proofErr w:type="spellStart"/>
      <w:r w:rsidRPr="00AB4549">
        <w:rPr>
          <w:rFonts w:ascii="Arial" w:hAnsi="Arial" w:cs="Arial"/>
        </w:rPr>
        <w:t>Laoprasopwattana</w:t>
      </w:r>
      <w:proofErr w:type="spellEnd"/>
      <w:r w:rsidRPr="00AB4549">
        <w:rPr>
          <w:rFonts w:ascii="Arial" w:hAnsi="Arial" w:cs="Arial"/>
        </w:rPr>
        <w:t>, K. (2021). Comparing treatment outcomes between confirmed and non-confirmed childhood TB cases: Study from a major tertiary center in Thailand. Journal of Tropical Pediatrics, 67(1), fmaa125. https://doi.org/10.1093/tropej/fmaa125</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Lamb G.S., &amp; Starke J.R. (2017) Tuberculosis in infants and children. Microbiology Spectrum, 5(2), TNMI7-0037-2016. https://doi.org/10.1128/microbiolspec.TNMI7-0037-2016.</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proofErr w:type="spellStart"/>
      <w:r w:rsidRPr="00AB4549">
        <w:rPr>
          <w:rFonts w:ascii="Arial" w:hAnsi="Arial" w:cs="Arial"/>
        </w:rPr>
        <w:t>Loh</w:t>
      </w:r>
      <w:proofErr w:type="spellEnd"/>
      <w:r w:rsidRPr="00AB4549">
        <w:rPr>
          <w:rFonts w:ascii="Arial" w:hAnsi="Arial" w:cs="Arial"/>
        </w:rPr>
        <w:t xml:space="preserve">, S.W., </w:t>
      </w:r>
      <w:proofErr w:type="spellStart"/>
      <w:r w:rsidRPr="00AB4549">
        <w:rPr>
          <w:rFonts w:ascii="Arial" w:hAnsi="Arial" w:cs="Arial"/>
        </w:rPr>
        <w:t>Thoon</w:t>
      </w:r>
      <w:proofErr w:type="spellEnd"/>
      <w:r w:rsidRPr="00AB4549">
        <w:rPr>
          <w:rFonts w:ascii="Arial" w:hAnsi="Arial" w:cs="Arial"/>
        </w:rPr>
        <w:t xml:space="preserve">, K.C., Tan, N.W.H., Li, J., &amp; Chong, C.Y. (2018). </w:t>
      </w:r>
      <w:proofErr w:type="spellStart"/>
      <w:r w:rsidRPr="00AB4549">
        <w:rPr>
          <w:rFonts w:ascii="Arial" w:hAnsi="Arial" w:cs="Arial"/>
        </w:rPr>
        <w:t>Paediatric</w:t>
      </w:r>
      <w:proofErr w:type="spellEnd"/>
      <w:r w:rsidRPr="00AB4549">
        <w:rPr>
          <w:rFonts w:ascii="Arial" w:hAnsi="Arial" w:cs="Arial"/>
        </w:rPr>
        <w:t xml:space="preserve"> tuberculosis in Singapore: A retrospective review. BMJ </w:t>
      </w:r>
      <w:proofErr w:type="spellStart"/>
      <w:r w:rsidRPr="00AB4549">
        <w:rPr>
          <w:rFonts w:ascii="Arial" w:hAnsi="Arial" w:cs="Arial"/>
        </w:rPr>
        <w:t>Paediatrics</w:t>
      </w:r>
      <w:proofErr w:type="spellEnd"/>
      <w:r w:rsidRPr="00AB4549">
        <w:rPr>
          <w:rFonts w:ascii="Arial" w:hAnsi="Arial" w:cs="Arial"/>
        </w:rPr>
        <w:t xml:space="preserve"> Open, 2(1), e000308. https://doi.org/10.1136/bmjpo-2018-000308</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Medical Development Division. (2021). Clinical Practice Guidelines: Management of Tuberculosis (4th ed.). Malaysian Health Technology Assessment Section.</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 xml:space="preserve">Michal Christina Steven, M., Ibrahim, M.Y., Abdul Karim, H., Dhanaraj, P., &amp; </w:t>
      </w:r>
      <w:proofErr w:type="spellStart"/>
      <w:r w:rsidRPr="00AB4549">
        <w:rPr>
          <w:rFonts w:ascii="Arial" w:hAnsi="Arial" w:cs="Arial"/>
        </w:rPr>
        <w:t>Mansin</w:t>
      </w:r>
      <w:proofErr w:type="spellEnd"/>
      <w:r w:rsidRPr="00AB4549">
        <w:rPr>
          <w:rFonts w:ascii="Arial" w:hAnsi="Arial" w:cs="Arial"/>
        </w:rPr>
        <w:t>, K.A. (2021). Barriers and Drivers towards the Use of Childhood Vaccination Services by Undocumented Migrant Caregivers in Sabah, Malaysia: A Qualitative Analysis. World Academy of Science, Engineering and Technology, Open Science Index 176, International Journal of Nursing and Health Sciences, 15(8), 247-256.</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 xml:space="preserve">Ministry of Health. 2020. </w:t>
      </w:r>
      <w:proofErr w:type="spellStart"/>
      <w:r w:rsidRPr="00AB4549">
        <w:rPr>
          <w:rFonts w:ascii="Arial" w:hAnsi="Arial" w:cs="Arial"/>
        </w:rPr>
        <w:t>Laporan</w:t>
      </w:r>
      <w:proofErr w:type="spellEnd"/>
      <w:r w:rsidRPr="00AB4549">
        <w:rPr>
          <w:rFonts w:ascii="Arial" w:hAnsi="Arial" w:cs="Arial"/>
        </w:rPr>
        <w:t xml:space="preserve"> </w:t>
      </w:r>
      <w:proofErr w:type="spellStart"/>
      <w:r w:rsidRPr="00AB4549">
        <w:rPr>
          <w:rFonts w:ascii="Arial" w:hAnsi="Arial" w:cs="Arial"/>
        </w:rPr>
        <w:t>Tahunan</w:t>
      </w:r>
      <w:proofErr w:type="spellEnd"/>
      <w:r w:rsidRPr="00AB4549">
        <w:rPr>
          <w:rFonts w:ascii="Arial" w:hAnsi="Arial" w:cs="Arial"/>
        </w:rPr>
        <w:t xml:space="preserve"> Kementerian Kesihatan Malaysia 2020. Ministry of Health Malaysia.</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 xml:space="preserve">Muhammad Ismail, H.I., Mohd Ibrahim, H., Ng, H.P., Thomas, T. (2019). </w:t>
      </w:r>
      <w:proofErr w:type="spellStart"/>
      <w:r w:rsidRPr="00AB4549">
        <w:rPr>
          <w:rFonts w:ascii="Arial" w:hAnsi="Arial" w:cs="Arial"/>
        </w:rPr>
        <w:t>Paediatric</w:t>
      </w:r>
      <w:proofErr w:type="spellEnd"/>
      <w:r w:rsidRPr="00AB4549">
        <w:rPr>
          <w:rFonts w:ascii="Arial" w:hAnsi="Arial" w:cs="Arial"/>
        </w:rPr>
        <w:t xml:space="preserve"> Protocols for Malaysian Hospitals (4th Ed.). Ministry of Health Malaysia.</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 xml:space="preserve">Palmer, M., Gunasekera, K.S., van der Zalm, M.M., Morrison, J., Simon Schaaf, H., </w:t>
      </w:r>
      <w:proofErr w:type="spellStart"/>
      <w:r w:rsidRPr="00AB4549">
        <w:rPr>
          <w:rFonts w:ascii="Arial" w:hAnsi="Arial" w:cs="Arial"/>
        </w:rPr>
        <w:t>Goussard</w:t>
      </w:r>
      <w:proofErr w:type="spellEnd"/>
      <w:r w:rsidRPr="00AB4549">
        <w:rPr>
          <w:rFonts w:ascii="Arial" w:hAnsi="Arial" w:cs="Arial"/>
        </w:rPr>
        <w:t>, P., et al. (2022). The diagnostic accuracy of chest radiographic features for pediatric intrathoracic tuberculosis. Clinical Infectious Diseases, 75(6), 1014–1021. https://doi.org/10.1093/cid/ciac011</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proofErr w:type="spellStart"/>
      <w:r w:rsidRPr="00AB4549">
        <w:rPr>
          <w:rFonts w:ascii="Arial" w:hAnsi="Arial" w:cs="Arial"/>
        </w:rPr>
        <w:t>Panigatti</w:t>
      </w:r>
      <w:proofErr w:type="spellEnd"/>
      <w:r w:rsidRPr="00AB4549">
        <w:rPr>
          <w:rFonts w:ascii="Arial" w:hAnsi="Arial" w:cs="Arial"/>
        </w:rPr>
        <w:t xml:space="preserve">, P., </w:t>
      </w:r>
      <w:proofErr w:type="spellStart"/>
      <w:r w:rsidRPr="00AB4549">
        <w:rPr>
          <w:rFonts w:ascii="Arial" w:hAnsi="Arial" w:cs="Arial"/>
        </w:rPr>
        <w:t>Ratageri</w:t>
      </w:r>
      <w:proofErr w:type="spellEnd"/>
      <w:r w:rsidRPr="00AB4549">
        <w:rPr>
          <w:rFonts w:ascii="Arial" w:hAnsi="Arial" w:cs="Arial"/>
        </w:rPr>
        <w:t xml:space="preserve">, V.H., </w:t>
      </w:r>
      <w:proofErr w:type="spellStart"/>
      <w:r w:rsidRPr="00AB4549">
        <w:rPr>
          <w:rFonts w:ascii="Arial" w:hAnsi="Arial" w:cs="Arial"/>
        </w:rPr>
        <w:t>Shivanand</w:t>
      </w:r>
      <w:proofErr w:type="spellEnd"/>
      <w:r w:rsidRPr="00AB4549">
        <w:rPr>
          <w:rFonts w:ascii="Arial" w:hAnsi="Arial" w:cs="Arial"/>
        </w:rPr>
        <w:t xml:space="preserve">, I., Madhu, P.K., &amp; </w:t>
      </w:r>
      <w:proofErr w:type="spellStart"/>
      <w:r w:rsidRPr="00AB4549">
        <w:rPr>
          <w:rFonts w:ascii="Arial" w:hAnsi="Arial" w:cs="Arial"/>
        </w:rPr>
        <w:t>Shepur</w:t>
      </w:r>
      <w:proofErr w:type="spellEnd"/>
      <w:r w:rsidRPr="00AB4549">
        <w:rPr>
          <w:rFonts w:ascii="Arial" w:hAnsi="Arial" w:cs="Arial"/>
        </w:rPr>
        <w:t>, T.A. (2014). Profile and outcome of childhood tuberculosis treated with DOTS—An observational study. The Indian Journal of Pediatrics, 81, 9-14. https://doi.org/10.1007/s12098-013-1175-8</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 xml:space="preserve">Piccini, P., Chiappini, E., </w:t>
      </w:r>
      <w:proofErr w:type="spellStart"/>
      <w:r w:rsidRPr="00AB4549">
        <w:rPr>
          <w:rFonts w:ascii="Arial" w:hAnsi="Arial" w:cs="Arial"/>
        </w:rPr>
        <w:t>Tortoli</w:t>
      </w:r>
      <w:proofErr w:type="spellEnd"/>
      <w:r w:rsidRPr="00AB4549">
        <w:rPr>
          <w:rFonts w:ascii="Arial" w:hAnsi="Arial" w:cs="Arial"/>
        </w:rPr>
        <w:t>, E., de Martino, M., &amp; Galli, L. (2014). Clinical peculiarities of tuberculosis. BMC Infectious Diseases, 14, S1-S4.</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proofErr w:type="spellStart"/>
      <w:r w:rsidRPr="00AB4549">
        <w:rPr>
          <w:rFonts w:ascii="Arial" w:hAnsi="Arial" w:cs="Arial"/>
        </w:rPr>
        <w:t>Ranzani</w:t>
      </w:r>
      <w:proofErr w:type="spellEnd"/>
      <w:r w:rsidRPr="00AB4549">
        <w:rPr>
          <w:rFonts w:ascii="Arial" w:hAnsi="Arial" w:cs="Arial"/>
        </w:rPr>
        <w:t xml:space="preserve">, O.T., Rodrigues, L.C., Waldman, E.A., &amp; Carvalho, C.R. (2017). Estimating the impact of tuberculosis anatomical classification on treatment outcomes: A patient and surveillance perspective analysis. </w:t>
      </w:r>
      <w:proofErr w:type="spellStart"/>
      <w:r w:rsidRPr="00AB4549">
        <w:rPr>
          <w:rFonts w:ascii="Arial" w:hAnsi="Arial" w:cs="Arial"/>
        </w:rPr>
        <w:t>PLoS</w:t>
      </w:r>
      <w:proofErr w:type="spellEnd"/>
      <w:r w:rsidRPr="00AB4549">
        <w:rPr>
          <w:rFonts w:ascii="Arial" w:hAnsi="Arial" w:cs="Arial"/>
        </w:rPr>
        <w:t xml:space="preserve"> ONE, 12(11), e0187585. https://doi.org/10.1371/journal.pone.0187585</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 xml:space="preserve">Shrestha, S., </w:t>
      </w:r>
      <w:proofErr w:type="spellStart"/>
      <w:r w:rsidRPr="00AB4549">
        <w:rPr>
          <w:rFonts w:ascii="Arial" w:hAnsi="Arial" w:cs="Arial"/>
        </w:rPr>
        <w:t>Bichha</w:t>
      </w:r>
      <w:proofErr w:type="spellEnd"/>
      <w:r w:rsidRPr="00AB4549">
        <w:rPr>
          <w:rFonts w:ascii="Arial" w:hAnsi="Arial" w:cs="Arial"/>
        </w:rPr>
        <w:t>, R.P., Sharma, A., Upadhyay, S., &amp; Rijal, P. (2011) Clinical profile of tuberculosis in children. Nepal Medical College Journal, 13(2),119-122.</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proofErr w:type="spellStart"/>
      <w:r w:rsidRPr="00AB4549">
        <w:rPr>
          <w:rFonts w:ascii="Arial" w:hAnsi="Arial" w:cs="Arial"/>
        </w:rPr>
        <w:t>Soekotjo</w:t>
      </w:r>
      <w:proofErr w:type="spellEnd"/>
      <w:r w:rsidRPr="00AB4549">
        <w:rPr>
          <w:rFonts w:ascii="Arial" w:hAnsi="Arial" w:cs="Arial"/>
        </w:rPr>
        <w:t xml:space="preserve">, F.N., </w:t>
      </w:r>
      <w:proofErr w:type="spellStart"/>
      <w:r w:rsidRPr="00AB4549">
        <w:rPr>
          <w:rFonts w:ascii="Arial" w:hAnsi="Arial" w:cs="Arial"/>
        </w:rPr>
        <w:t>Sudarwati</w:t>
      </w:r>
      <w:proofErr w:type="spellEnd"/>
      <w:r w:rsidRPr="00AB4549">
        <w:rPr>
          <w:rFonts w:ascii="Arial" w:hAnsi="Arial" w:cs="Arial"/>
        </w:rPr>
        <w:t>, S., &amp; Alam, A. (2019). Clinical profile of TB in children at pediatric outpatient clinic Hasan Sadikin Hospital Bandung 2016. Journal of Medicine &amp; Health, 2(3), 818-827.</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 xml:space="preserve">Tok, P.S., Liew, S.M., Wong, L.P., Razali, A., Loganathan, T., Chinna, K., et al. (2020). Determinants of unsuccessful treatment outcomes and mortality among tuberculosis patients in Malaysia: A registry-based cohort study. </w:t>
      </w:r>
      <w:proofErr w:type="spellStart"/>
      <w:r w:rsidRPr="00AB4549">
        <w:rPr>
          <w:rFonts w:ascii="Arial" w:hAnsi="Arial" w:cs="Arial"/>
        </w:rPr>
        <w:t>PLoS</w:t>
      </w:r>
      <w:proofErr w:type="spellEnd"/>
      <w:r w:rsidRPr="00AB4549">
        <w:rPr>
          <w:rFonts w:ascii="Arial" w:hAnsi="Arial" w:cs="Arial"/>
        </w:rPr>
        <w:t xml:space="preserve"> ONE, 15(4), e0231986. https://doi.org/10.1371/journal.pone.0231986</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Turnbull, L., Bell, C., &amp; Child, F. (2017). Tuberculosis (NICE Clinical Guideline 33). Archives of Disease in Childhood. Education and Practice Edition, 102(3), 136–142. https://doi.org/10.1136/archdischild-2016-310870</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 xml:space="preserve">Verma, J., </w:t>
      </w:r>
      <w:proofErr w:type="spellStart"/>
      <w:r w:rsidRPr="00AB4549">
        <w:rPr>
          <w:rFonts w:ascii="Arial" w:hAnsi="Arial" w:cs="Arial"/>
        </w:rPr>
        <w:t>Ahirwal</w:t>
      </w:r>
      <w:proofErr w:type="spellEnd"/>
      <w:r w:rsidRPr="00AB4549">
        <w:rPr>
          <w:rFonts w:ascii="Arial" w:hAnsi="Arial" w:cs="Arial"/>
        </w:rPr>
        <w:t xml:space="preserve">, K., Patel, U., </w:t>
      </w:r>
      <w:proofErr w:type="spellStart"/>
      <w:r w:rsidRPr="00AB4549">
        <w:rPr>
          <w:rFonts w:ascii="Arial" w:hAnsi="Arial" w:cs="Arial"/>
        </w:rPr>
        <w:t>Shingwekar</w:t>
      </w:r>
      <w:proofErr w:type="spellEnd"/>
      <w:r w:rsidRPr="00AB4549">
        <w:rPr>
          <w:rFonts w:ascii="Arial" w:hAnsi="Arial" w:cs="Arial"/>
        </w:rPr>
        <w:t>, A.G., &amp; Sharma, S. (2014). Clinical profile of tuberculosis in children up to 5 years of age. Pediatric Review: International Journal of Pediatric Research, 1(1), 10-16.</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World Health Organization. (2021). Global Tuberculosis Report, 2021. WHO.</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World Health Organization. (2010) Treatment of Tuberculosis Guidelines (4th ed.). WHO.</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World Health Organization. (2022). WHO Operational Handbook On Tuberculosis. Module 5: Management of Tuberculosis in Children and Adolescents. WHO.</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r w:rsidRPr="00AB4549">
        <w:rPr>
          <w:rFonts w:ascii="Arial" w:hAnsi="Arial" w:cs="Arial"/>
        </w:rPr>
        <w:t>World Health Organization. (2013). Guideline: Nutritional Care and Support for Patients with Tuberculosis. WHO.</w:t>
      </w:r>
    </w:p>
    <w:p w:rsidR="00F51A71" w:rsidRPr="00AB4549" w:rsidRDefault="00F51A71" w:rsidP="00AB4549">
      <w:pPr>
        <w:pStyle w:val="Body"/>
        <w:spacing w:after="0"/>
        <w:rPr>
          <w:rFonts w:ascii="Arial" w:hAnsi="Arial" w:cs="Arial"/>
        </w:rPr>
      </w:pPr>
    </w:p>
    <w:p w:rsidR="00F51A71" w:rsidRPr="00AB4549" w:rsidRDefault="00F51A71" w:rsidP="00AB4549">
      <w:pPr>
        <w:pStyle w:val="Body"/>
        <w:spacing w:after="0"/>
        <w:rPr>
          <w:rFonts w:ascii="Arial" w:hAnsi="Arial" w:cs="Arial"/>
        </w:rPr>
      </w:pPr>
      <w:proofErr w:type="spellStart"/>
      <w:r w:rsidRPr="00AB4549">
        <w:rPr>
          <w:rFonts w:ascii="Arial" w:hAnsi="Arial" w:cs="Arial"/>
        </w:rPr>
        <w:t>Zürcher</w:t>
      </w:r>
      <w:proofErr w:type="spellEnd"/>
      <w:r w:rsidRPr="00AB4549">
        <w:rPr>
          <w:rFonts w:ascii="Arial" w:hAnsi="Arial" w:cs="Arial"/>
        </w:rPr>
        <w:t xml:space="preserve">, K., Ballif, M., Zwahlen, M., Rieder, H.L., Egger, M., &amp; Fenner, L. (2016). Tuberculosis mortality and living conditions in Bern, Switzerland, 1856-1950. </w:t>
      </w:r>
      <w:proofErr w:type="spellStart"/>
      <w:r w:rsidRPr="00AB4549">
        <w:rPr>
          <w:rFonts w:ascii="Arial" w:hAnsi="Arial" w:cs="Arial"/>
        </w:rPr>
        <w:t>PLoS</w:t>
      </w:r>
      <w:proofErr w:type="spellEnd"/>
      <w:r w:rsidRPr="00AB4549">
        <w:rPr>
          <w:rFonts w:ascii="Arial" w:hAnsi="Arial" w:cs="Arial"/>
        </w:rPr>
        <w:t xml:space="preserve"> ONE, 11(2), e0149195. https://doi.org/10.1371/journal.pone.0149195</w:t>
      </w:r>
    </w:p>
    <w:p w:rsidR="00B01FCD" w:rsidRPr="004E008D" w:rsidRDefault="00B01FCD" w:rsidP="00441B6F">
      <w:pPr>
        <w:pStyle w:val="Appendix"/>
        <w:spacing w:after="0"/>
        <w:jc w:val="both"/>
        <w:rPr>
          <w:rFonts w:ascii="Arial" w:hAnsi="Arial" w:cs="Arial"/>
          <w:b w:val="0"/>
          <w:color w:val="9BBB59" w:themeColor="accent3"/>
        </w:rPr>
      </w:pPr>
    </w:p>
    <w:sectPr w:rsidR="00B01FCD" w:rsidRPr="004E008D" w:rsidSect="006B13DC">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615" w:rsidRDefault="007E7615" w:rsidP="00C37E61">
      <w:r>
        <w:separator/>
      </w:r>
    </w:p>
  </w:endnote>
  <w:endnote w:type="continuationSeparator" w:id="0">
    <w:p w:rsidR="007E7615" w:rsidRDefault="007E761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A0E" w:rsidRDefault="00640A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9C8" w:rsidRPr="00E65229" w:rsidRDefault="004829C8" w:rsidP="00E65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9C8" w:rsidRDefault="004829C8">
    <w:pPr>
      <w:pStyle w:val="Footer"/>
      <w:rPr>
        <w:rFonts w:ascii="Arial" w:hAnsi="Arial" w:cs="Arial"/>
        <w:sz w:val="16"/>
      </w:rPr>
    </w:pPr>
  </w:p>
  <w:p w:rsidR="004829C8" w:rsidRDefault="004829C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4829C8" w:rsidRPr="009E048A" w:rsidRDefault="004829C8">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9C8" w:rsidRPr="00C37E61" w:rsidRDefault="004829C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615" w:rsidRDefault="007E7615" w:rsidP="00C37E61">
      <w:r>
        <w:separator/>
      </w:r>
    </w:p>
  </w:footnote>
  <w:footnote w:type="continuationSeparator" w:id="0">
    <w:p w:rsidR="007E7615" w:rsidRDefault="007E761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A0E" w:rsidRDefault="00640A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7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A0E" w:rsidRDefault="00640A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7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9C8" w:rsidRPr="00296529" w:rsidRDefault="00640A0E"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7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4829C8" w:rsidRPr="00296529" w:rsidRDefault="004829C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4829C8" w:rsidRPr="00296529" w:rsidRDefault="004829C8" w:rsidP="00296529">
    <w:pPr>
      <w:jc w:val="center"/>
      <w:rPr>
        <w:rFonts w:ascii="Times New Roman" w:eastAsia="Calibri" w:hAnsi="Times New Roman"/>
        <w:i/>
        <w:sz w:val="18"/>
        <w:szCs w:val="22"/>
      </w:rPr>
    </w:pPr>
    <w:r>
      <w:rPr>
        <w:rFonts w:ascii="Times New Roman" w:eastAsia="Calibri" w:hAnsi="Times New Roman"/>
        <w:i/>
        <w:sz w:val="18"/>
        <w:szCs w:val="22"/>
      </w:rPr>
      <w:t>.</w:t>
    </w:r>
  </w:p>
  <w:p w:rsidR="004829C8" w:rsidRPr="00296529" w:rsidRDefault="004829C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4829C8" w:rsidRDefault="004829C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4829C8" w:rsidRDefault="004829C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4829C8" w:rsidRDefault="004829C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A0E" w:rsidRDefault="00640A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7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A0E" w:rsidRDefault="00640A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7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A0E" w:rsidRDefault="00640A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7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1041"/>
    <w:rsid w:val="00024A81"/>
    <w:rsid w:val="00030174"/>
    <w:rsid w:val="0004579C"/>
    <w:rsid w:val="00064F65"/>
    <w:rsid w:val="000A47FA"/>
    <w:rsid w:val="000A65D3"/>
    <w:rsid w:val="000B1E33"/>
    <w:rsid w:val="000D689F"/>
    <w:rsid w:val="000E7B7B"/>
    <w:rsid w:val="000E7D62"/>
    <w:rsid w:val="00103357"/>
    <w:rsid w:val="00112C6A"/>
    <w:rsid w:val="00123C9F"/>
    <w:rsid w:val="00126190"/>
    <w:rsid w:val="00130F17"/>
    <w:rsid w:val="001320BF"/>
    <w:rsid w:val="0013601A"/>
    <w:rsid w:val="00163BC4"/>
    <w:rsid w:val="001727BB"/>
    <w:rsid w:val="0018294E"/>
    <w:rsid w:val="00191062"/>
    <w:rsid w:val="00192B72"/>
    <w:rsid w:val="001A29D8"/>
    <w:rsid w:val="001A5CAA"/>
    <w:rsid w:val="001B0427"/>
    <w:rsid w:val="001C22D9"/>
    <w:rsid w:val="001C2FE8"/>
    <w:rsid w:val="001D3A51"/>
    <w:rsid w:val="001D62D4"/>
    <w:rsid w:val="001E10D2"/>
    <w:rsid w:val="001E25AB"/>
    <w:rsid w:val="001E25B4"/>
    <w:rsid w:val="001E44FE"/>
    <w:rsid w:val="001F68E1"/>
    <w:rsid w:val="001F69EE"/>
    <w:rsid w:val="00200595"/>
    <w:rsid w:val="00204835"/>
    <w:rsid w:val="00215291"/>
    <w:rsid w:val="00231920"/>
    <w:rsid w:val="0023195C"/>
    <w:rsid w:val="0024282C"/>
    <w:rsid w:val="00243BC3"/>
    <w:rsid w:val="002460DC"/>
    <w:rsid w:val="00250985"/>
    <w:rsid w:val="00251599"/>
    <w:rsid w:val="002556F6"/>
    <w:rsid w:val="00283105"/>
    <w:rsid w:val="00284C4C"/>
    <w:rsid w:val="00284E27"/>
    <w:rsid w:val="00287E68"/>
    <w:rsid w:val="00294D9B"/>
    <w:rsid w:val="00296529"/>
    <w:rsid w:val="002B27FB"/>
    <w:rsid w:val="002B685A"/>
    <w:rsid w:val="002C57D2"/>
    <w:rsid w:val="002D1363"/>
    <w:rsid w:val="002E0D56"/>
    <w:rsid w:val="002E7C96"/>
    <w:rsid w:val="00306C50"/>
    <w:rsid w:val="00306DEA"/>
    <w:rsid w:val="00315186"/>
    <w:rsid w:val="0033343E"/>
    <w:rsid w:val="00334A68"/>
    <w:rsid w:val="00336227"/>
    <w:rsid w:val="00350250"/>
    <w:rsid w:val="003512C2"/>
    <w:rsid w:val="00371FB6"/>
    <w:rsid w:val="003763C1"/>
    <w:rsid w:val="00376BBE"/>
    <w:rsid w:val="0039224F"/>
    <w:rsid w:val="003A43A4"/>
    <w:rsid w:val="003A7E18"/>
    <w:rsid w:val="003C4C86"/>
    <w:rsid w:val="003C6258"/>
    <w:rsid w:val="003E2904"/>
    <w:rsid w:val="003F0778"/>
    <w:rsid w:val="003F329C"/>
    <w:rsid w:val="00401927"/>
    <w:rsid w:val="0041027F"/>
    <w:rsid w:val="00412475"/>
    <w:rsid w:val="00423789"/>
    <w:rsid w:val="00440F43"/>
    <w:rsid w:val="00441B6F"/>
    <w:rsid w:val="00446221"/>
    <w:rsid w:val="0044780C"/>
    <w:rsid w:val="00450E62"/>
    <w:rsid w:val="004539DB"/>
    <w:rsid w:val="00471A80"/>
    <w:rsid w:val="004829C8"/>
    <w:rsid w:val="004C1DCD"/>
    <w:rsid w:val="004D305E"/>
    <w:rsid w:val="004D4277"/>
    <w:rsid w:val="004D4F9B"/>
    <w:rsid w:val="004E008D"/>
    <w:rsid w:val="0050109E"/>
    <w:rsid w:val="00502516"/>
    <w:rsid w:val="0050292B"/>
    <w:rsid w:val="00504813"/>
    <w:rsid w:val="005051FC"/>
    <w:rsid w:val="00505F06"/>
    <w:rsid w:val="00506828"/>
    <w:rsid w:val="0053056E"/>
    <w:rsid w:val="00554FDA"/>
    <w:rsid w:val="00562A0D"/>
    <w:rsid w:val="00574EEB"/>
    <w:rsid w:val="00593AD4"/>
    <w:rsid w:val="00594D15"/>
    <w:rsid w:val="00597D5F"/>
    <w:rsid w:val="005C478E"/>
    <w:rsid w:val="005C784C"/>
    <w:rsid w:val="005D17F6"/>
    <w:rsid w:val="005D1870"/>
    <w:rsid w:val="005E5539"/>
    <w:rsid w:val="005F51E2"/>
    <w:rsid w:val="00602BF5"/>
    <w:rsid w:val="00603705"/>
    <w:rsid w:val="00617FDD"/>
    <w:rsid w:val="00633614"/>
    <w:rsid w:val="00633F68"/>
    <w:rsid w:val="00636EB2"/>
    <w:rsid w:val="006375B8"/>
    <w:rsid w:val="00640A0E"/>
    <w:rsid w:val="0066510A"/>
    <w:rsid w:val="00673F9F"/>
    <w:rsid w:val="00686953"/>
    <w:rsid w:val="00687DEA"/>
    <w:rsid w:val="00687E67"/>
    <w:rsid w:val="006967F7"/>
    <w:rsid w:val="006A250C"/>
    <w:rsid w:val="006B13DC"/>
    <w:rsid w:val="006B21D3"/>
    <w:rsid w:val="006B57D0"/>
    <w:rsid w:val="006C088A"/>
    <w:rsid w:val="006D30FF"/>
    <w:rsid w:val="006D6940"/>
    <w:rsid w:val="006F11EC"/>
    <w:rsid w:val="0070082C"/>
    <w:rsid w:val="0072603B"/>
    <w:rsid w:val="007309F1"/>
    <w:rsid w:val="007369E6"/>
    <w:rsid w:val="00746E59"/>
    <w:rsid w:val="0075465C"/>
    <w:rsid w:val="00754C9A"/>
    <w:rsid w:val="0075599A"/>
    <w:rsid w:val="00761D52"/>
    <w:rsid w:val="0077749E"/>
    <w:rsid w:val="00790ADA"/>
    <w:rsid w:val="007D2288"/>
    <w:rsid w:val="007E088F"/>
    <w:rsid w:val="007E3292"/>
    <w:rsid w:val="007E7615"/>
    <w:rsid w:val="007F0593"/>
    <w:rsid w:val="007F7B32"/>
    <w:rsid w:val="00804BC2"/>
    <w:rsid w:val="0081431A"/>
    <w:rsid w:val="0083216F"/>
    <w:rsid w:val="00860000"/>
    <w:rsid w:val="00863BD3"/>
    <w:rsid w:val="008641ED"/>
    <w:rsid w:val="00866D66"/>
    <w:rsid w:val="008671C6"/>
    <w:rsid w:val="00867BAA"/>
    <w:rsid w:val="00875803"/>
    <w:rsid w:val="00875FEF"/>
    <w:rsid w:val="008B459E"/>
    <w:rsid w:val="008E13AE"/>
    <w:rsid w:val="008E1506"/>
    <w:rsid w:val="008E710C"/>
    <w:rsid w:val="008F3D5D"/>
    <w:rsid w:val="008F69D6"/>
    <w:rsid w:val="00902823"/>
    <w:rsid w:val="00915CA6"/>
    <w:rsid w:val="00927834"/>
    <w:rsid w:val="0093036C"/>
    <w:rsid w:val="009500A6"/>
    <w:rsid w:val="00957C18"/>
    <w:rsid w:val="009659BA"/>
    <w:rsid w:val="009759E0"/>
    <w:rsid w:val="00977C05"/>
    <w:rsid w:val="00983040"/>
    <w:rsid w:val="009A1510"/>
    <w:rsid w:val="009B3FB9"/>
    <w:rsid w:val="009C081E"/>
    <w:rsid w:val="009C2465"/>
    <w:rsid w:val="009D35A0"/>
    <w:rsid w:val="009D7EB7"/>
    <w:rsid w:val="009E048A"/>
    <w:rsid w:val="009E08E9"/>
    <w:rsid w:val="009E3DB9"/>
    <w:rsid w:val="009E6E35"/>
    <w:rsid w:val="009F0EDA"/>
    <w:rsid w:val="00A03B96"/>
    <w:rsid w:val="00A05B19"/>
    <w:rsid w:val="00A1134E"/>
    <w:rsid w:val="00A13304"/>
    <w:rsid w:val="00A22EFB"/>
    <w:rsid w:val="00A24E7E"/>
    <w:rsid w:val="00A258C3"/>
    <w:rsid w:val="00A347C0"/>
    <w:rsid w:val="00A41C48"/>
    <w:rsid w:val="00A51431"/>
    <w:rsid w:val="00A539AD"/>
    <w:rsid w:val="00A71AA4"/>
    <w:rsid w:val="00A8300B"/>
    <w:rsid w:val="00A94063"/>
    <w:rsid w:val="00AA6219"/>
    <w:rsid w:val="00AA74E0"/>
    <w:rsid w:val="00AB4549"/>
    <w:rsid w:val="00AB703F"/>
    <w:rsid w:val="00AC6BB8"/>
    <w:rsid w:val="00AD5906"/>
    <w:rsid w:val="00AE008F"/>
    <w:rsid w:val="00AF7796"/>
    <w:rsid w:val="00B01FCD"/>
    <w:rsid w:val="00B05A68"/>
    <w:rsid w:val="00B13FB0"/>
    <w:rsid w:val="00B1776C"/>
    <w:rsid w:val="00B2528D"/>
    <w:rsid w:val="00B3486C"/>
    <w:rsid w:val="00B52583"/>
    <w:rsid w:val="00B52896"/>
    <w:rsid w:val="00B95236"/>
    <w:rsid w:val="00B96BD9"/>
    <w:rsid w:val="00BA1B01"/>
    <w:rsid w:val="00BA2641"/>
    <w:rsid w:val="00BB37AA"/>
    <w:rsid w:val="00BC53A0"/>
    <w:rsid w:val="00BE62AD"/>
    <w:rsid w:val="00BF121F"/>
    <w:rsid w:val="00BF1F80"/>
    <w:rsid w:val="00BF2FCB"/>
    <w:rsid w:val="00C166EF"/>
    <w:rsid w:val="00C17EB0"/>
    <w:rsid w:val="00C27F5F"/>
    <w:rsid w:val="00C30A0F"/>
    <w:rsid w:val="00C37E61"/>
    <w:rsid w:val="00C542F9"/>
    <w:rsid w:val="00C54D39"/>
    <w:rsid w:val="00C54D78"/>
    <w:rsid w:val="00C611D8"/>
    <w:rsid w:val="00C611F8"/>
    <w:rsid w:val="00C70F1B"/>
    <w:rsid w:val="00C71A47"/>
    <w:rsid w:val="00C7464C"/>
    <w:rsid w:val="00C74FF6"/>
    <w:rsid w:val="00C851EA"/>
    <w:rsid w:val="00C85588"/>
    <w:rsid w:val="00CB2917"/>
    <w:rsid w:val="00CB6B55"/>
    <w:rsid w:val="00CC0E1B"/>
    <w:rsid w:val="00CD6755"/>
    <w:rsid w:val="00CD6856"/>
    <w:rsid w:val="00CE0089"/>
    <w:rsid w:val="00CE793C"/>
    <w:rsid w:val="00CF193C"/>
    <w:rsid w:val="00D173F1"/>
    <w:rsid w:val="00D3115B"/>
    <w:rsid w:val="00D74CB0"/>
    <w:rsid w:val="00D8295D"/>
    <w:rsid w:val="00DB2903"/>
    <w:rsid w:val="00DC2A65"/>
    <w:rsid w:val="00DD1232"/>
    <w:rsid w:val="00DD7FDF"/>
    <w:rsid w:val="00DE15F0"/>
    <w:rsid w:val="00DE5663"/>
    <w:rsid w:val="00DE78AA"/>
    <w:rsid w:val="00DF4AD0"/>
    <w:rsid w:val="00E053D0"/>
    <w:rsid w:val="00E15994"/>
    <w:rsid w:val="00E262C9"/>
    <w:rsid w:val="00E3114E"/>
    <w:rsid w:val="00E31A70"/>
    <w:rsid w:val="00E350C6"/>
    <w:rsid w:val="00E35B02"/>
    <w:rsid w:val="00E65229"/>
    <w:rsid w:val="00E66496"/>
    <w:rsid w:val="00E66B35"/>
    <w:rsid w:val="00E66E10"/>
    <w:rsid w:val="00E7314D"/>
    <w:rsid w:val="00E769F6"/>
    <w:rsid w:val="00E8407C"/>
    <w:rsid w:val="00E84F3C"/>
    <w:rsid w:val="00EA012C"/>
    <w:rsid w:val="00EA4FBA"/>
    <w:rsid w:val="00EC6A55"/>
    <w:rsid w:val="00ED0288"/>
    <w:rsid w:val="00EE52CB"/>
    <w:rsid w:val="00EF581D"/>
    <w:rsid w:val="00EF7FD8"/>
    <w:rsid w:val="00F01484"/>
    <w:rsid w:val="00F06F59"/>
    <w:rsid w:val="00F07D5B"/>
    <w:rsid w:val="00F13187"/>
    <w:rsid w:val="00F17988"/>
    <w:rsid w:val="00F35BD3"/>
    <w:rsid w:val="00F424D8"/>
    <w:rsid w:val="00F4486A"/>
    <w:rsid w:val="00F469F0"/>
    <w:rsid w:val="00F51428"/>
    <w:rsid w:val="00F51A71"/>
    <w:rsid w:val="00F53273"/>
    <w:rsid w:val="00F6573D"/>
    <w:rsid w:val="00F755E4"/>
    <w:rsid w:val="00F77D02"/>
    <w:rsid w:val="00F93538"/>
    <w:rsid w:val="00F946C7"/>
    <w:rsid w:val="00FA2F0B"/>
    <w:rsid w:val="00FB3A86"/>
    <w:rsid w:val="00FD36C8"/>
    <w:rsid w:val="00FF5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DEB07B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TableGridLight">
    <w:name w:val="Grid Table Light"/>
    <w:basedOn w:val="TableNormal"/>
    <w:uiPriority w:val="40"/>
    <w:rsid w:val="00306C50"/>
    <w:rPr>
      <w:rFonts w:asciiTheme="minorHAnsi" w:eastAsiaTheme="minorHAnsi" w:hAnsiTheme="minorHAnsi" w:cstheme="minorBidi"/>
      <w:sz w:val="22"/>
      <w:szCs w:val="22"/>
      <w:lang w:val="en-MY"/>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06C5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E65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97/BOR.0000000000000493"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tksm.mohr.gov.my/ms/penerbitan/garis-panduan"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Smear positive PTB</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&lt; 5 years</c:v>
                </c:pt>
                <c:pt idx="1">
                  <c:v>5 years and above</c:v>
                </c:pt>
              </c:strCache>
            </c:strRef>
          </c:cat>
          <c:val>
            <c:numRef>
              <c:f>Sheet1!$B$2:$B$3</c:f>
              <c:numCache>
                <c:formatCode>General</c:formatCode>
                <c:ptCount val="2"/>
                <c:pt idx="0">
                  <c:v>5</c:v>
                </c:pt>
                <c:pt idx="1">
                  <c:v>21</c:v>
                </c:pt>
              </c:numCache>
            </c:numRef>
          </c:val>
          <c:extLst>
            <c:ext xmlns:c16="http://schemas.microsoft.com/office/drawing/2014/chart" uri="{C3380CC4-5D6E-409C-BE32-E72D297353CC}">
              <c16:uniqueId val="{00000000-41A5-4DC4-B34E-EB506F95331D}"/>
            </c:ext>
          </c:extLst>
        </c:ser>
        <c:ser>
          <c:idx val="1"/>
          <c:order val="1"/>
          <c:tx>
            <c:strRef>
              <c:f>Sheet1!$C$1</c:f>
              <c:strCache>
                <c:ptCount val="1"/>
                <c:pt idx="0">
                  <c:v>Smear negative PTB</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&lt; 5 years</c:v>
                </c:pt>
                <c:pt idx="1">
                  <c:v>5 years and above</c:v>
                </c:pt>
              </c:strCache>
            </c:strRef>
          </c:cat>
          <c:val>
            <c:numRef>
              <c:f>Sheet1!$C$2:$C$3</c:f>
              <c:numCache>
                <c:formatCode>General</c:formatCode>
                <c:ptCount val="2"/>
                <c:pt idx="0">
                  <c:v>9</c:v>
                </c:pt>
                <c:pt idx="1">
                  <c:v>13</c:v>
                </c:pt>
              </c:numCache>
            </c:numRef>
          </c:val>
          <c:extLst>
            <c:ext xmlns:c16="http://schemas.microsoft.com/office/drawing/2014/chart" uri="{C3380CC4-5D6E-409C-BE32-E72D297353CC}">
              <c16:uniqueId val="{00000001-41A5-4DC4-B34E-EB506F95331D}"/>
            </c:ext>
          </c:extLst>
        </c:ser>
        <c:ser>
          <c:idx val="2"/>
          <c:order val="2"/>
          <c:tx>
            <c:strRef>
              <c:f>Sheet1!$D$1</c:f>
              <c:strCache>
                <c:ptCount val="1"/>
                <c:pt idx="0">
                  <c:v>Extrapulmonary TB</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&lt; 5 years</c:v>
                </c:pt>
                <c:pt idx="1">
                  <c:v>5 years and above</c:v>
                </c:pt>
              </c:strCache>
            </c:strRef>
          </c:cat>
          <c:val>
            <c:numRef>
              <c:f>Sheet1!$D$2:$D$3</c:f>
              <c:numCache>
                <c:formatCode>General</c:formatCode>
                <c:ptCount val="2"/>
                <c:pt idx="0">
                  <c:v>12</c:v>
                </c:pt>
                <c:pt idx="1">
                  <c:v>11</c:v>
                </c:pt>
              </c:numCache>
            </c:numRef>
          </c:val>
          <c:extLst>
            <c:ext xmlns:c16="http://schemas.microsoft.com/office/drawing/2014/chart" uri="{C3380CC4-5D6E-409C-BE32-E72D297353CC}">
              <c16:uniqueId val="{00000002-41A5-4DC4-B34E-EB506F95331D}"/>
            </c:ext>
          </c:extLst>
        </c:ser>
        <c:dLbls>
          <c:dLblPos val="outEnd"/>
          <c:showLegendKey val="0"/>
          <c:showVal val="1"/>
          <c:showCatName val="0"/>
          <c:showSerName val="0"/>
          <c:showPercent val="0"/>
          <c:showBubbleSize val="0"/>
        </c:dLbls>
        <c:gapWidth val="219"/>
        <c:overlap val="-27"/>
        <c:axId val="352474768"/>
        <c:axId val="352479760"/>
      </c:barChart>
      <c:catAx>
        <c:axId val="352474768"/>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MY">
                    <a:solidFill>
                      <a:sysClr val="windowText" lastClr="000000"/>
                    </a:solidFill>
                    <a:latin typeface="Arial" panose="020B0604020202020204" pitchFamily="34" charset="0"/>
                    <a:cs typeface="Arial" panose="020B0604020202020204" pitchFamily="34" charset="0"/>
                  </a:rPr>
                  <a:t>Age group</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352479760"/>
        <c:crosses val="autoZero"/>
        <c:auto val="1"/>
        <c:lblAlgn val="ctr"/>
        <c:lblOffset val="100"/>
        <c:noMultiLvlLbl val="0"/>
      </c:catAx>
      <c:valAx>
        <c:axId val="352479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MY">
                    <a:solidFill>
                      <a:sysClr val="windowText" lastClr="000000"/>
                    </a:solidFill>
                    <a:latin typeface="Arial" panose="020B0604020202020204" pitchFamily="34" charset="0"/>
                    <a:cs typeface="Arial" panose="020B0604020202020204" pitchFamily="34" charset="0"/>
                  </a:rPr>
                  <a:t>Number</a:t>
                </a:r>
                <a:r>
                  <a:rPr lang="en-MY" baseline="0">
                    <a:solidFill>
                      <a:sysClr val="windowText" lastClr="000000"/>
                    </a:solidFill>
                    <a:latin typeface="Arial" panose="020B0604020202020204" pitchFamily="34" charset="0"/>
                    <a:cs typeface="Arial" panose="020B0604020202020204" pitchFamily="34" charset="0"/>
                  </a:rPr>
                  <a:t> of children</a:t>
                </a:r>
                <a:endParaRPr lang="en-MY">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5247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45F72-EBB5-409D-8CBA-7B2248F1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347</TotalTime>
  <Pages>12</Pages>
  <Words>4521</Words>
  <Characters>25771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30232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115</cp:revision>
  <cp:lastPrinted>1999-07-06T11:00:00Z</cp:lastPrinted>
  <dcterms:created xsi:type="dcterms:W3CDTF">2026-01-22T07:38:00Z</dcterms:created>
  <dcterms:modified xsi:type="dcterms:W3CDTF">2026-02-11T07:20:00Z</dcterms:modified>
</cp:coreProperties>
</file>